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64312" w:rsidRDefault="0095270D" w:rsidP="00DD5558">
      <w:pPr>
        <w:tabs>
          <w:tab w:val="right" w:pos="9360"/>
        </w:tabs>
        <w:jc w:val="both"/>
        <w:rPr>
          <w:caps/>
          <w:color w:val="auto"/>
        </w:rPr>
      </w:pPr>
      <w:r w:rsidRPr="00F64312">
        <w:rPr>
          <w:caps/>
          <w:color w:val="auto"/>
        </w:rPr>
        <w:t xml:space="preserve">NAME:  </w:t>
      </w:r>
      <w:r w:rsidR="00911081">
        <w:rPr>
          <w:caps/>
          <w:color w:val="auto"/>
        </w:rPr>
        <w:t>XXXXXXXXXXXXXX</w:t>
      </w:r>
      <w:r w:rsidR="00D73108">
        <w:rPr>
          <w:caps/>
          <w:color w:val="auto"/>
        </w:rPr>
        <w:t xml:space="preserve">                                                                  </w:t>
      </w:r>
      <w:r w:rsidRPr="00F64312">
        <w:rPr>
          <w:caps/>
          <w:color w:val="auto"/>
        </w:rPr>
        <w:t>BRANCH OF SERVICE</w:t>
      </w:r>
      <w:r w:rsidRPr="00D73108">
        <w:rPr>
          <w:caps/>
          <w:color w:val="auto"/>
        </w:rPr>
        <w:t xml:space="preserve">:  </w:t>
      </w:r>
      <w:r w:rsidR="00DF70F4" w:rsidRPr="00D73108">
        <w:rPr>
          <w:caps/>
          <w:color w:val="auto"/>
        </w:rPr>
        <w:t xml:space="preserve">Army </w:t>
      </w:r>
    </w:p>
    <w:p w:rsidR="0095270D" w:rsidRPr="00F64312" w:rsidRDefault="0095270D" w:rsidP="00DD5558">
      <w:pPr>
        <w:tabs>
          <w:tab w:val="right" w:pos="9360"/>
        </w:tabs>
        <w:jc w:val="both"/>
        <w:rPr>
          <w:color w:val="auto"/>
        </w:rPr>
      </w:pPr>
      <w:r w:rsidRPr="00F64312">
        <w:rPr>
          <w:caps/>
          <w:color w:val="auto"/>
        </w:rPr>
        <w:t xml:space="preserve">CASE NUMBER:  </w:t>
      </w:r>
      <w:r w:rsidRPr="00D73108">
        <w:rPr>
          <w:caps/>
          <w:color w:val="auto"/>
        </w:rPr>
        <w:t>PD1100</w:t>
      </w:r>
      <w:r w:rsidR="00D73108" w:rsidRPr="00D73108">
        <w:rPr>
          <w:caps/>
          <w:color w:val="auto"/>
        </w:rPr>
        <w:t>966</w:t>
      </w:r>
      <w:r w:rsidR="00173E1A">
        <w:rPr>
          <w:caps/>
          <w:color w:val="auto"/>
        </w:rPr>
        <w:t xml:space="preserve">                                                              </w:t>
      </w:r>
      <w:r w:rsidR="0018208F" w:rsidRPr="00F64312">
        <w:rPr>
          <w:color w:val="auto"/>
        </w:rPr>
        <w:t>SE</w:t>
      </w:r>
      <w:r w:rsidRPr="00F64312">
        <w:rPr>
          <w:color w:val="auto"/>
        </w:rPr>
        <w:t>PARATION DATE:  200</w:t>
      </w:r>
      <w:r w:rsidR="00D73108">
        <w:rPr>
          <w:color w:val="auto"/>
        </w:rPr>
        <w:t>50111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173E1A">
        <w:rPr>
          <w:caps/>
          <w:color w:val="auto"/>
        </w:rPr>
        <w:t>1004</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173E1A">
        <w:rPr>
          <w:color w:val="auto"/>
          <w:u w:val="single"/>
        </w:rPr>
        <w:t>SUMMARY OF CASE</w:t>
      </w:r>
      <w:r w:rsidRPr="00173E1A">
        <w:rPr>
          <w:color w:val="auto"/>
        </w:rPr>
        <w:t>:</w:t>
      </w:r>
      <w:r w:rsidR="00532B33" w:rsidRPr="00173E1A">
        <w:rPr>
          <w:color w:val="auto"/>
        </w:rPr>
        <w:t xml:space="preserve"> </w:t>
      </w:r>
      <w:r w:rsidRPr="00173E1A">
        <w:rPr>
          <w:color w:val="auto"/>
        </w:rPr>
        <w:t xml:space="preserve"> Data extracted from the available evidence of record reflects that this covered individual (CI) was </w:t>
      </w:r>
      <w:r w:rsidR="00A70270" w:rsidRPr="00173E1A">
        <w:rPr>
          <w:color w:val="auto"/>
        </w:rPr>
        <w:t>a</w:t>
      </w:r>
      <w:r w:rsidR="0019232F" w:rsidRPr="00173E1A">
        <w:rPr>
          <w:color w:val="auto"/>
        </w:rPr>
        <w:t xml:space="preserve">n activated Army </w:t>
      </w:r>
      <w:r w:rsidR="00463478" w:rsidRPr="00173E1A">
        <w:rPr>
          <w:color w:val="auto"/>
        </w:rPr>
        <w:t xml:space="preserve">National </w:t>
      </w:r>
      <w:r w:rsidRPr="00173E1A">
        <w:rPr>
          <w:color w:val="auto"/>
        </w:rPr>
        <w:t>Guard</w:t>
      </w:r>
      <w:r w:rsidR="0021565F" w:rsidRPr="00173E1A">
        <w:rPr>
          <w:color w:val="auto"/>
        </w:rPr>
        <w:t xml:space="preserve"> </w:t>
      </w:r>
      <w:r w:rsidR="0017172C" w:rsidRPr="00173E1A">
        <w:rPr>
          <w:color w:val="auto"/>
        </w:rPr>
        <w:t>S</w:t>
      </w:r>
      <w:r w:rsidR="001C6E10" w:rsidRPr="00173E1A">
        <w:rPr>
          <w:color w:val="auto"/>
        </w:rPr>
        <w:t>FC</w:t>
      </w:r>
      <w:r w:rsidR="0017172C" w:rsidRPr="00173E1A">
        <w:rPr>
          <w:color w:val="auto"/>
        </w:rPr>
        <w:t>/E-</w:t>
      </w:r>
      <w:r w:rsidR="001C6E10" w:rsidRPr="00173E1A">
        <w:rPr>
          <w:color w:val="auto"/>
        </w:rPr>
        <w:t>7</w:t>
      </w:r>
      <w:r w:rsidRPr="00173E1A">
        <w:rPr>
          <w:color w:val="auto"/>
        </w:rPr>
        <w:t xml:space="preserve"> (</w:t>
      </w:r>
      <w:r w:rsidR="001C6E10" w:rsidRPr="00173E1A">
        <w:rPr>
          <w:color w:val="auto"/>
        </w:rPr>
        <w:t>63B</w:t>
      </w:r>
      <w:r w:rsidR="00112F44" w:rsidRPr="00173E1A">
        <w:rPr>
          <w:color w:val="auto"/>
        </w:rPr>
        <w:t xml:space="preserve">, </w:t>
      </w:r>
      <w:r w:rsidR="001C6E10" w:rsidRPr="00173E1A">
        <w:rPr>
          <w:color w:val="auto"/>
        </w:rPr>
        <w:t>Light-Wheel Vehicle Mechanic</w:t>
      </w:r>
      <w:r w:rsidR="00A70270" w:rsidRPr="00173E1A">
        <w:rPr>
          <w:color w:val="auto"/>
        </w:rPr>
        <w:t>)</w:t>
      </w:r>
      <w:r w:rsidR="00565636" w:rsidRPr="00173E1A">
        <w:rPr>
          <w:color w:val="auto"/>
        </w:rPr>
        <w:t>,</w:t>
      </w:r>
      <w:r w:rsidR="00A70270" w:rsidRPr="00173E1A">
        <w:rPr>
          <w:color w:val="auto"/>
        </w:rPr>
        <w:t xml:space="preserve"> </w:t>
      </w:r>
      <w:r w:rsidRPr="00173E1A">
        <w:rPr>
          <w:color w:val="auto"/>
        </w:rPr>
        <w:t xml:space="preserve">medically separated for </w:t>
      </w:r>
      <w:r w:rsidR="00970B0D">
        <w:rPr>
          <w:color w:val="auto"/>
        </w:rPr>
        <w:t>p</w:t>
      </w:r>
      <w:r w:rsidR="00DA6814" w:rsidRPr="00173E1A">
        <w:rPr>
          <w:color w:val="auto"/>
        </w:rPr>
        <w:t xml:space="preserve">eripheral </w:t>
      </w:r>
      <w:r w:rsidR="00970B0D">
        <w:rPr>
          <w:color w:val="auto"/>
        </w:rPr>
        <w:t>s</w:t>
      </w:r>
      <w:r w:rsidR="00DA6814" w:rsidRPr="00173E1A">
        <w:rPr>
          <w:color w:val="auto"/>
        </w:rPr>
        <w:t xml:space="preserve">ensory </w:t>
      </w:r>
      <w:r w:rsidR="00970B0D">
        <w:rPr>
          <w:color w:val="auto"/>
        </w:rPr>
        <w:t>n</w:t>
      </w:r>
      <w:r w:rsidR="00DA6814" w:rsidRPr="00173E1A">
        <w:rPr>
          <w:color w:val="auto"/>
        </w:rPr>
        <w:t xml:space="preserve">europathy of </w:t>
      </w:r>
      <w:r w:rsidR="00970B0D">
        <w:rPr>
          <w:color w:val="auto"/>
        </w:rPr>
        <w:t>u</w:t>
      </w:r>
      <w:r w:rsidR="00DA6814" w:rsidRPr="00173E1A">
        <w:rPr>
          <w:color w:val="auto"/>
        </w:rPr>
        <w:t xml:space="preserve">pper and </w:t>
      </w:r>
      <w:r w:rsidR="00970B0D">
        <w:rPr>
          <w:color w:val="auto"/>
        </w:rPr>
        <w:t>l</w:t>
      </w:r>
      <w:r w:rsidR="00DA6814" w:rsidRPr="00173E1A">
        <w:rPr>
          <w:color w:val="auto"/>
        </w:rPr>
        <w:t xml:space="preserve">ower </w:t>
      </w:r>
      <w:r w:rsidR="00970B0D">
        <w:rPr>
          <w:color w:val="auto"/>
        </w:rPr>
        <w:t>e</w:t>
      </w:r>
      <w:r w:rsidR="00DA6814" w:rsidRPr="00173E1A">
        <w:rPr>
          <w:color w:val="auto"/>
        </w:rPr>
        <w:t>xtremities</w:t>
      </w:r>
      <w:r w:rsidR="0021565F" w:rsidRPr="00173E1A">
        <w:rPr>
          <w:color w:val="auto"/>
          <w:szCs w:val="24"/>
        </w:rPr>
        <w:t>.</w:t>
      </w:r>
      <w:r w:rsidR="00B259E6" w:rsidRPr="00173E1A">
        <w:rPr>
          <w:color w:val="auto"/>
          <w:szCs w:val="24"/>
        </w:rPr>
        <w:t xml:space="preserve">  </w:t>
      </w:r>
      <w:r w:rsidR="0019232F" w:rsidRPr="00173E1A">
        <w:rPr>
          <w:color w:val="auto"/>
          <w:szCs w:val="24"/>
        </w:rPr>
        <w:t>Immediately p</w:t>
      </w:r>
      <w:r w:rsidR="00B259E6" w:rsidRPr="00173E1A">
        <w:rPr>
          <w:color w:val="auto"/>
          <w:szCs w:val="24"/>
        </w:rPr>
        <w:t>rior to deployment</w:t>
      </w:r>
      <w:r w:rsidR="0019232F" w:rsidRPr="00173E1A">
        <w:rPr>
          <w:color w:val="auto"/>
          <w:szCs w:val="24"/>
        </w:rPr>
        <w:t xml:space="preserve"> in October 2003</w:t>
      </w:r>
      <w:r w:rsidR="00B259E6" w:rsidRPr="00173E1A">
        <w:rPr>
          <w:color w:val="auto"/>
          <w:szCs w:val="24"/>
        </w:rPr>
        <w:t>, t</w:t>
      </w:r>
      <w:r w:rsidR="00E47EBA" w:rsidRPr="00173E1A">
        <w:rPr>
          <w:color w:val="auto"/>
          <w:szCs w:val="24"/>
        </w:rPr>
        <w:t>he CI received</w:t>
      </w:r>
      <w:r w:rsidR="00610C1D" w:rsidRPr="00173E1A">
        <w:rPr>
          <w:color w:val="auto"/>
          <w:szCs w:val="24"/>
        </w:rPr>
        <w:t xml:space="preserve"> </w:t>
      </w:r>
      <w:r w:rsidR="0019232F" w:rsidRPr="00173E1A">
        <w:rPr>
          <w:color w:val="auto"/>
          <w:szCs w:val="24"/>
        </w:rPr>
        <w:t xml:space="preserve">the </w:t>
      </w:r>
      <w:r w:rsidR="00610C1D" w:rsidRPr="00173E1A">
        <w:rPr>
          <w:color w:val="auto"/>
          <w:szCs w:val="24"/>
        </w:rPr>
        <w:t>required immunizations and within days of arriving at the deployed location, he began experiencing progressive numbness, tingling</w:t>
      </w:r>
      <w:r w:rsidR="00242FD4">
        <w:rPr>
          <w:color w:val="auto"/>
          <w:szCs w:val="24"/>
        </w:rPr>
        <w:t>/</w:t>
      </w:r>
      <w:r w:rsidR="00610C1D" w:rsidRPr="00173E1A">
        <w:rPr>
          <w:color w:val="auto"/>
          <w:szCs w:val="24"/>
        </w:rPr>
        <w:t xml:space="preserve">weakness of </w:t>
      </w:r>
      <w:r w:rsidR="0019232F" w:rsidRPr="00173E1A">
        <w:rPr>
          <w:color w:val="auto"/>
          <w:szCs w:val="24"/>
        </w:rPr>
        <w:t xml:space="preserve">both </w:t>
      </w:r>
      <w:r w:rsidR="00610C1D" w:rsidRPr="00173E1A">
        <w:rPr>
          <w:color w:val="auto"/>
          <w:szCs w:val="24"/>
        </w:rPr>
        <w:t>upper and lower extremities.</w:t>
      </w:r>
      <w:r w:rsidR="0019232F" w:rsidRPr="00173E1A">
        <w:rPr>
          <w:color w:val="auto"/>
          <w:szCs w:val="24"/>
        </w:rPr>
        <w:t xml:space="preserve">  His symptoms progressed to require hospitalization</w:t>
      </w:r>
      <w:r w:rsidR="00C25AF3" w:rsidRPr="00173E1A">
        <w:rPr>
          <w:color w:val="auto"/>
          <w:szCs w:val="24"/>
        </w:rPr>
        <w:t>;</w:t>
      </w:r>
      <w:r w:rsidR="0019232F" w:rsidRPr="00173E1A">
        <w:rPr>
          <w:color w:val="auto"/>
          <w:szCs w:val="24"/>
        </w:rPr>
        <w:t xml:space="preserve"> however, w</w:t>
      </w:r>
      <w:r w:rsidR="00B259E6" w:rsidRPr="00173E1A">
        <w:rPr>
          <w:color w:val="auto"/>
          <w:szCs w:val="24"/>
        </w:rPr>
        <w:t xml:space="preserve">ith treatment, </w:t>
      </w:r>
      <w:r w:rsidR="00610C1D" w:rsidRPr="00173E1A">
        <w:rPr>
          <w:color w:val="auto"/>
          <w:szCs w:val="24"/>
        </w:rPr>
        <w:t>h</w:t>
      </w:r>
      <w:r w:rsidR="00DA6814" w:rsidRPr="00173E1A">
        <w:rPr>
          <w:color w:val="auto"/>
        </w:rPr>
        <w:t>is</w:t>
      </w:r>
      <w:r w:rsidR="0019232F" w:rsidRPr="00173E1A">
        <w:rPr>
          <w:color w:val="auto"/>
        </w:rPr>
        <w:t xml:space="preserve"> condition </w:t>
      </w:r>
      <w:r w:rsidR="00B259E6" w:rsidRPr="00173E1A">
        <w:rPr>
          <w:color w:val="auto"/>
        </w:rPr>
        <w:t xml:space="preserve">stabilized but </w:t>
      </w:r>
      <w:r w:rsidR="00F15483" w:rsidRPr="00173E1A">
        <w:rPr>
          <w:color w:val="auto"/>
        </w:rPr>
        <w:t xml:space="preserve">did not improve adequately </w:t>
      </w:r>
      <w:r w:rsidR="00F566B7" w:rsidRPr="00173E1A">
        <w:rPr>
          <w:color w:val="auto"/>
        </w:rPr>
        <w:t>to meet the physical requirements of his Military Occupational Specialty (MOS)</w:t>
      </w:r>
      <w:r w:rsidR="0021565F" w:rsidRPr="00173E1A">
        <w:rPr>
          <w:color w:val="auto"/>
        </w:rPr>
        <w:t xml:space="preserve"> </w:t>
      </w:r>
      <w:r w:rsidR="00F566B7" w:rsidRPr="00173E1A">
        <w:rPr>
          <w:color w:val="auto"/>
        </w:rPr>
        <w:t>or satis</w:t>
      </w:r>
      <w:r w:rsidR="009C12A1" w:rsidRPr="00173E1A">
        <w:rPr>
          <w:color w:val="auto"/>
        </w:rPr>
        <w:t>fy physical fitness standards.</w:t>
      </w:r>
      <w:r w:rsidR="00F566B7" w:rsidRPr="00173E1A">
        <w:rPr>
          <w:color w:val="auto"/>
        </w:rPr>
        <w:t xml:space="preserve"> </w:t>
      </w:r>
      <w:r w:rsidR="009C12A1" w:rsidRPr="00173E1A">
        <w:rPr>
          <w:color w:val="auto"/>
        </w:rPr>
        <w:t xml:space="preserve"> He</w:t>
      </w:r>
      <w:r w:rsidR="00DA6814" w:rsidRPr="00173E1A">
        <w:rPr>
          <w:color w:val="auto"/>
        </w:rPr>
        <w:t xml:space="preserve"> </w:t>
      </w:r>
      <w:r w:rsidR="00F566B7" w:rsidRPr="00173E1A">
        <w:rPr>
          <w:color w:val="auto"/>
        </w:rPr>
        <w:t xml:space="preserve">was issued a permanent </w:t>
      </w:r>
      <w:r w:rsidR="00DA6814" w:rsidRPr="00173E1A">
        <w:rPr>
          <w:color w:val="auto"/>
        </w:rPr>
        <w:t>P</w:t>
      </w:r>
      <w:r w:rsidR="00F566B7" w:rsidRPr="00173E1A">
        <w:rPr>
          <w:color w:val="auto"/>
        </w:rPr>
        <w:t>3 profile and</w:t>
      </w:r>
      <w:r w:rsidR="009C12A1" w:rsidRPr="00173E1A">
        <w:rPr>
          <w:color w:val="auto"/>
        </w:rPr>
        <w:t xml:space="preserve"> </w:t>
      </w:r>
      <w:r w:rsidR="00F566B7" w:rsidRPr="00173E1A">
        <w:rPr>
          <w:color w:val="auto"/>
        </w:rPr>
        <w:t>referred for a Medical Evaluation Board (MEB).</w:t>
      </w:r>
      <w:r w:rsidR="00970B0D">
        <w:rPr>
          <w:color w:val="auto"/>
        </w:rPr>
        <w:t xml:space="preserve">  The MEB identified the c</w:t>
      </w:r>
      <w:r w:rsidR="00B259E6" w:rsidRPr="00173E1A">
        <w:rPr>
          <w:color w:val="auto"/>
        </w:rPr>
        <w:t xml:space="preserve">hronic </w:t>
      </w:r>
      <w:r w:rsidR="00970B0D">
        <w:rPr>
          <w:color w:val="auto"/>
        </w:rPr>
        <w:t>s</w:t>
      </w:r>
      <w:r w:rsidR="00B259E6" w:rsidRPr="00173E1A">
        <w:rPr>
          <w:color w:val="auto"/>
        </w:rPr>
        <w:t xml:space="preserve">ensory </w:t>
      </w:r>
      <w:r w:rsidR="00970B0D">
        <w:rPr>
          <w:color w:val="auto"/>
        </w:rPr>
        <w:t>n</w:t>
      </w:r>
      <w:r w:rsidR="00B259E6" w:rsidRPr="00173E1A">
        <w:rPr>
          <w:color w:val="auto"/>
        </w:rPr>
        <w:t>europathy</w:t>
      </w:r>
      <w:r w:rsidR="0019232F" w:rsidRPr="00173E1A">
        <w:rPr>
          <w:color w:val="auto"/>
        </w:rPr>
        <w:t xml:space="preserve"> condition </w:t>
      </w:r>
      <w:r w:rsidR="00B259E6" w:rsidRPr="00173E1A">
        <w:rPr>
          <w:color w:val="auto"/>
        </w:rPr>
        <w:t>as “significantly interfering with performance of duty”</w:t>
      </w:r>
      <w:r w:rsidR="0019232F" w:rsidRPr="00173E1A">
        <w:rPr>
          <w:color w:val="auto"/>
        </w:rPr>
        <w:t xml:space="preserve">; </w:t>
      </w:r>
      <w:r w:rsidR="00B259E6" w:rsidRPr="00173E1A">
        <w:rPr>
          <w:color w:val="auto"/>
        </w:rPr>
        <w:t xml:space="preserve">with </w:t>
      </w:r>
      <w:proofErr w:type="spellStart"/>
      <w:r w:rsidR="00970B0D">
        <w:rPr>
          <w:color w:val="auto"/>
        </w:rPr>
        <w:t>p</w:t>
      </w:r>
      <w:r w:rsidR="00B259E6" w:rsidRPr="00173E1A">
        <w:rPr>
          <w:color w:val="auto"/>
        </w:rPr>
        <w:t>es</w:t>
      </w:r>
      <w:proofErr w:type="spellEnd"/>
      <w:r w:rsidR="00B259E6" w:rsidRPr="00173E1A">
        <w:rPr>
          <w:color w:val="auto"/>
        </w:rPr>
        <w:t xml:space="preserve"> </w:t>
      </w:r>
      <w:proofErr w:type="spellStart"/>
      <w:r w:rsidR="00970B0D">
        <w:rPr>
          <w:color w:val="auto"/>
        </w:rPr>
        <w:t>p</w:t>
      </w:r>
      <w:r w:rsidR="00B259E6" w:rsidRPr="00173E1A">
        <w:rPr>
          <w:color w:val="auto"/>
        </w:rPr>
        <w:t>lanus</w:t>
      </w:r>
      <w:proofErr w:type="spellEnd"/>
      <w:r w:rsidR="00B259E6" w:rsidRPr="00173E1A">
        <w:rPr>
          <w:color w:val="auto"/>
        </w:rPr>
        <w:t xml:space="preserve"> and </w:t>
      </w:r>
      <w:r w:rsidR="00970B0D">
        <w:rPr>
          <w:color w:val="auto"/>
        </w:rPr>
        <w:t>c</w:t>
      </w:r>
      <w:r w:rsidR="00B259E6" w:rsidRPr="00173E1A">
        <w:rPr>
          <w:color w:val="auto"/>
        </w:rPr>
        <w:t>orrectable vision identified as “other conditions that meet retention standards</w:t>
      </w:r>
      <w:r w:rsidR="0019232F" w:rsidRPr="00173E1A">
        <w:rPr>
          <w:color w:val="auto"/>
        </w:rPr>
        <w:t>.</w:t>
      </w:r>
      <w:r w:rsidR="00B259E6" w:rsidRPr="00173E1A">
        <w:rPr>
          <w:color w:val="auto"/>
        </w:rPr>
        <w:t>”</w:t>
      </w:r>
      <w:r w:rsidR="0019232F" w:rsidRPr="00173E1A">
        <w:rPr>
          <w:color w:val="auto"/>
        </w:rPr>
        <w:t xml:space="preserve">  All were </w:t>
      </w:r>
      <w:r w:rsidR="00B259E6" w:rsidRPr="00173E1A">
        <w:rPr>
          <w:color w:val="auto"/>
        </w:rPr>
        <w:t xml:space="preserve">forwarded </w:t>
      </w:r>
      <w:r w:rsidR="0019232F" w:rsidRPr="00173E1A">
        <w:rPr>
          <w:color w:val="auto"/>
        </w:rPr>
        <w:t xml:space="preserve">to the </w:t>
      </w:r>
      <w:r w:rsidR="0071697B">
        <w:rPr>
          <w:color w:val="auto"/>
        </w:rPr>
        <w:t>Physical Evaluation Board (</w:t>
      </w:r>
      <w:r w:rsidR="00B259E6" w:rsidRPr="00173E1A">
        <w:rPr>
          <w:color w:val="auto"/>
        </w:rPr>
        <w:t>PEB</w:t>
      </w:r>
      <w:r w:rsidR="0071697B">
        <w:rPr>
          <w:color w:val="auto"/>
        </w:rPr>
        <w:t>)</w:t>
      </w:r>
      <w:r w:rsidR="0019232F" w:rsidRPr="00173E1A">
        <w:rPr>
          <w:color w:val="auto"/>
        </w:rPr>
        <w:t xml:space="preserve"> for </w:t>
      </w:r>
      <w:r w:rsidR="00B259E6" w:rsidRPr="00173E1A">
        <w:rPr>
          <w:color w:val="auto"/>
        </w:rPr>
        <w:t xml:space="preserve">adjudication.  </w:t>
      </w:r>
      <w:r w:rsidRPr="00173E1A">
        <w:rPr>
          <w:color w:val="auto"/>
        </w:rPr>
        <w:t xml:space="preserve">The PEB adjudicated the </w:t>
      </w:r>
      <w:r w:rsidR="00970B0D">
        <w:rPr>
          <w:color w:val="auto"/>
        </w:rPr>
        <w:t>p</w:t>
      </w:r>
      <w:r w:rsidR="00DA6814" w:rsidRPr="00173E1A">
        <w:rPr>
          <w:color w:val="auto"/>
        </w:rPr>
        <w:t xml:space="preserve">eripheral </w:t>
      </w:r>
      <w:r w:rsidR="00970B0D">
        <w:rPr>
          <w:color w:val="auto"/>
        </w:rPr>
        <w:t>s</w:t>
      </w:r>
      <w:r w:rsidR="00DA6814" w:rsidRPr="00173E1A">
        <w:rPr>
          <w:color w:val="auto"/>
        </w:rPr>
        <w:t xml:space="preserve">ensory </w:t>
      </w:r>
      <w:r w:rsidR="00970B0D">
        <w:rPr>
          <w:color w:val="auto"/>
        </w:rPr>
        <w:t>n</w:t>
      </w:r>
      <w:r w:rsidR="00DA6814" w:rsidRPr="00173E1A">
        <w:rPr>
          <w:color w:val="auto"/>
        </w:rPr>
        <w:t>europathy</w:t>
      </w:r>
      <w:r w:rsidR="008530E3" w:rsidRPr="00173E1A">
        <w:rPr>
          <w:color w:val="auto"/>
        </w:rPr>
        <w:t xml:space="preserve"> condition as unfitting, rated </w:t>
      </w:r>
      <w:r w:rsidR="00DA6814" w:rsidRPr="00173E1A">
        <w:rPr>
          <w:color w:val="auto"/>
        </w:rPr>
        <w:t>10</w:t>
      </w:r>
      <w:r w:rsidRPr="00173E1A">
        <w:rPr>
          <w:color w:val="auto"/>
        </w:rPr>
        <w:t xml:space="preserve">% </w:t>
      </w:r>
      <w:r w:rsidR="00E46D90" w:rsidRPr="00173E1A">
        <w:rPr>
          <w:color w:val="auto"/>
        </w:rPr>
        <w:t xml:space="preserve">with application of the </w:t>
      </w:r>
      <w:r w:rsidRPr="00173E1A">
        <w:rPr>
          <w:color w:val="auto"/>
        </w:rPr>
        <w:t>Veteran</w:t>
      </w:r>
      <w:r w:rsidR="00BF72CA" w:rsidRPr="00173E1A">
        <w:rPr>
          <w:color w:val="auto"/>
        </w:rPr>
        <w:t>’</w:t>
      </w:r>
      <w:r w:rsidRPr="00173E1A">
        <w:rPr>
          <w:color w:val="auto"/>
        </w:rPr>
        <w:t>s A</w:t>
      </w:r>
      <w:r w:rsidR="00BF72CA" w:rsidRPr="00173E1A">
        <w:rPr>
          <w:color w:val="auto"/>
        </w:rPr>
        <w:t>ffairs</w:t>
      </w:r>
      <w:r w:rsidRPr="00173E1A">
        <w:rPr>
          <w:color w:val="auto"/>
        </w:rPr>
        <w:t xml:space="preserve"> Schedule for Rating Disabilities (VASRD)</w:t>
      </w:r>
      <w:r w:rsidR="00DA6814" w:rsidRPr="00173E1A">
        <w:rPr>
          <w:color w:val="auto"/>
        </w:rPr>
        <w:t>.</w:t>
      </w:r>
      <w:r w:rsidR="00B259E6" w:rsidRPr="00173E1A">
        <w:rPr>
          <w:color w:val="auto"/>
        </w:rPr>
        <w:t xml:space="preserve">  T</w:t>
      </w:r>
      <w:r w:rsidR="00380601" w:rsidRPr="00173E1A">
        <w:rPr>
          <w:color w:val="auto"/>
        </w:rPr>
        <w:t xml:space="preserve">he remaining conditions were </w:t>
      </w:r>
      <w:proofErr w:type="gramStart"/>
      <w:r w:rsidR="00380601" w:rsidRPr="00173E1A">
        <w:rPr>
          <w:color w:val="auto"/>
        </w:rPr>
        <w:t>determined</w:t>
      </w:r>
      <w:proofErr w:type="gramEnd"/>
      <w:r w:rsidR="00380601" w:rsidRPr="00173E1A">
        <w:rPr>
          <w:color w:val="auto"/>
        </w:rPr>
        <w:t xml:space="preserve"> to be not unfitting</w:t>
      </w:r>
      <w:r w:rsidR="00DA6814" w:rsidRPr="00173E1A">
        <w:rPr>
          <w:color w:val="auto"/>
        </w:rPr>
        <w:t>.</w:t>
      </w:r>
      <w:r w:rsidR="00B259E6" w:rsidRPr="00173E1A">
        <w:rPr>
          <w:color w:val="auto"/>
        </w:rPr>
        <w:t xml:space="preserve">  </w:t>
      </w:r>
      <w:r w:rsidRPr="00173E1A">
        <w:rPr>
          <w:color w:val="auto"/>
        </w:rPr>
        <w:t xml:space="preserve">The CI made no appeals, and was medically separated with </w:t>
      </w:r>
      <w:r w:rsidR="0066684A" w:rsidRPr="00173E1A">
        <w:rPr>
          <w:color w:val="auto"/>
        </w:rPr>
        <w:t xml:space="preserve">a </w:t>
      </w:r>
      <w:r w:rsidR="00DA6814" w:rsidRPr="00173E1A">
        <w:rPr>
          <w:color w:val="auto"/>
        </w:rPr>
        <w:t>10</w:t>
      </w:r>
      <w:r w:rsidR="0066684A" w:rsidRPr="00173E1A">
        <w:rPr>
          <w:color w:val="auto"/>
        </w:rPr>
        <w:t xml:space="preserve">% </w:t>
      </w:r>
      <w:r w:rsidRPr="00173E1A">
        <w:rPr>
          <w:color w:val="auto"/>
        </w:rPr>
        <w:t>disability rating.</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E212DF">
      <w:pPr>
        <w:tabs>
          <w:tab w:val="left" w:pos="288"/>
          <w:tab w:val="left" w:pos="4752"/>
        </w:tabs>
        <w:jc w:val="both"/>
        <w:rPr>
          <w:rFonts w:eastAsia="Cambria"/>
          <w:color w:val="auto"/>
          <w:szCs w:val="24"/>
        </w:rPr>
      </w:pPr>
      <w:r w:rsidRPr="00173E1A">
        <w:rPr>
          <w:color w:val="auto"/>
          <w:u w:val="single"/>
        </w:rPr>
        <w:t>CI CONTENTION</w:t>
      </w:r>
      <w:r w:rsidRPr="00173E1A">
        <w:rPr>
          <w:color w:val="auto"/>
        </w:rPr>
        <w:t>:</w:t>
      </w:r>
      <w:r w:rsidR="0066684A" w:rsidRPr="00173E1A">
        <w:rPr>
          <w:color w:val="auto"/>
        </w:rPr>
        <w:t xml:space="preserve"> </w:t>
      </w:r>
      <w:r w:rsidR="006F674E" w:rsidRPr="00173E1A">
        <w:rPr>
          <w:color w:val="auto"/>
        </w:rPr>
        <w:t xml:space="preserve"> </w:t>
      </w:r>
      <w:r w:rsidR="00855E73" w:rsidRPr="00173E1A">
        <w:rPr>
          <w:rFonts w:eastAsia="Cambria"/>
          <w:color w:val="auto"/>
          <w:szCs w:val="24"/>
        </w:rPr>
        <w:t xml:space="preserve">The CI attached a </w:t>
      </w:r>
      <w:r w:rsidR="002C6F7E" w:rsidRPr="00173E1A">
        <w:rPr>
          <w:rFonts w:eastAsia="Cambria"/>
          <w:color w:val="auto"/>
          <w:szCs w:val="24"/>
        </w:rPr>
        <w:t>6</w:t>
      </w:r>
      <w:r w:rsidR="00855E73" w:rsidRPr="00173E1A">
        <w:rPr>
          <w:rFonts w:eastAsia="Cambria"/>
          <w:color w:val="auto"/>
          <w:szCs w:val="24"/>
        </w:rPr>
        <w:t xml:space="preserve"> page counsel pleading</w:t>
      </w:r>
      <w:r w:rsidR="00BA54D0" w:rsidRPr="00173E1A">
        <w:rPr>
          <w:rFonts w:eastAsia="Cambria"/>
          <w:color w:val="auto"/>
          <w:szCs w:val="24"/>
        </w:rPr>
        <w:t xml:space="preserve"> </w:t>
      </w:r>
      <w:r w:rsidR="00855E73" w:rsidRPr="00173E1A">
        <w:rPr>
          <w:rFonts w:eastAsia="Cambria"/>
          <w:color w:val="auto"/>
          <w:szCs w:val="24"/>
        </w:rPr>
        <w:t xml:space="preserve">to his application which was reviewed by the Board and </w:t>
      </w:r>
      <w:r w:rsidR="00BA54D0" w:rsidRPr="00173E1A">
        <w:rPr>
          <w:rFonts w:eastAsia="Cambria"/>
          <w:color w:val="auto"/>
          <w:szCs w:val="24"/>
        </w:rPr>
        <w:t>deemed</w:t>
      </w:r>
      <w:r w:rsidR="00855E73" w:rsidRPr="00173E1A">
        <w:rPr>
          <w:rFonts w:eastAsia="Cambria"/>
          <w:color w:val="auto"/>
          <w:szCs w:val="24"/>
        </w:rPr>
        <w:t xml:space="preserve"> </w:t>
      </w:r>
      <w:r w:rsidR="00BA54D0" w:rsidRPr="00173E1A">
        <w:rPr>
          <w:rFonts w:eastAsia="Cambria"/>
          <w:color w:val="auto"/>
          <w:szCs w:val="24"/>
        </w:rPr>
        <w:t>to request consideration of his unfitting PEB condition and his vision condition</w:t>
      </w:r>
      <w:r w:rsidR="00855E73" w:rsidRPr="00F64312">
        <w:rPr>
          <w:rFonts w:eastAsia="Cambria"/>
          <w:color w:val="auto"/>
          <w:szCs w:val="24"/>
        </w:rPr>
        <w:t>.</w:t>
      </w:r>
      <w:r w:rsidR="006B690F" w:rsidRPr="00F64312">
        <w:rPr>
          <w:rFonts w:eastAsia="Cambria"/>
          <w:color w:val="auto"/>
          <w:szCs w:val="24"/>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173E1A">
        <w:rPr>
          <w:color w:val="auto"/>
          <w:u w:val="single"/>
        </w:rPr>
        <w:t>SCOPE OF REVIEW</w:t>
      </w:r>
      <w:r w:rsidRPr="00173E1A">
        <w:rPr>
          <w:color w:val="auto"/>
        </w:rPr>
        <w:t>:  The Board wishes to clarify that the scope of its re</w:t>
      </w:r>
      <w:r w:rsidR="00AE2B85" w:rsidRPr="00173E1A">
        <w:rPr>
          <w:color w:val="auto"/>
        </w:rPr>
        <w:t xml:space="preserve">view as defined in </w:t>
      </w:r>
      <w:r w:rsidR="0071697B">
        <w:rPr>
          <w:color w:val="auto"/>
        </w:rPr>
        <w:t>the Department of Defense Instruction (</w:t>
      </w:r>
      <w:proofErr w:type="spellStart"/>
      <w:r w:rsidR="00AE2B85" w:rsidRPr="00173E1A">
        <w:rPr>
          <w:color w:val="auto"/>
        </w:rPr>
        <w:t>DoDI</w:t>
      </w:r>
      <w:proofErr w:type="spellEnd"/>
      <w:r w:rsidR="0071697B">
        <w:rPr>
          <w:color w:val="auto"/>
        </w:rPr>
        <w:t>)</w:t>
      </w:r>
      <w:r w:rsidR="00AE2B85" w:rsidRPr="00173E1A">
        <w:rPr>
          <w:color w:val="auto"/>
        </w:rPr>
        <w:t xml:space="preserve"> 6040.44 </w:t>
      </w:r>
      <w:r w:rsidR="00B7690B">
        <w:rPr>
          <w:color w:val="auto"/>
        </w:rPr>
        <w:t>(</w:t>
      </w:r>
      <w:r w:rsidR="00AE2B85" w:rsidRPr="00173E1A">
        <w:rPr>
          <w:color w:val="auto"/>
        </w:rPr>
        <w:t>Enclosure 3, paragraph 5.e</w:t>
      </w:r>
      <w:proofErr w:type="gramStart"/>
      <w:r w:rsidR="00AE2B85" w:rsidRPr="00173E1A">
        <w:rPr>
          <w:color w:val="auto"/>
        </w:rPr>
        <w:t>.(</w:t>
      </w:r>
      <w:proofErr w:type="gramEnd"/>
      <w:r w:rsidR="00AE2B85" w:rsidRPr="00173E1A">
        <w:rPr>
          <w:color w:val="auto"/>
        </w:rPr>
        <w:t>2)</w:t>
      </w:r>
      <w:r w:rsidRPr="00173E1A">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71697B">
        <w:rPr>
          <w:color w:val="auto"/>
        </w:rPr>
        <w:t>”</w:t>
      </w:r>
      <w:r w:rsidRPr="00173E1A">
        <w:rPr>
          <w:color w:val="auto"/>
        </w:rPr>
        <w:t xml:space="preserve">  T</w:t>
      </w:r>
      <w:r w:rsidR="00702C72" w:rsidRPr="00173E1A">
        <w:rPr>
          <w:color w:val="auto"/>
        </w:rPr>
        <w:t>he condition</w:t>
      </w:r>
      <w:r w:rsidRPr="00173E1A">
        <w:rPr>
          <w:color w:val="auto"/>
        </w:rPr>
        <w:t xml:space="preserve"> </w:t>
      </w:r>
      <w:r w:rsidR="00702C72" w:rsidRPr="00173E1A">
        <w:rPr>
          <w:color w:val="auto"/>
        </w:rPr>
        <w:t xml:space="preserve">Peripheral Sensory Neuropathy is a rated condition and </w:t>
      </w:r>
      <w:r w:rsidRPr="00173E1A">
        <w:rPr>
          <w:color w:val="auto"/>
        </w:rPr>
        <w:t>meet</w:t>
      </w:r>
      <w:r w:rsidR="00702C72" w:rsidRPr="00173E1A">
        <w:rPr>
          <w:color w:val="auto"/>
        </w:rPr>
        <w:t>s</w:t>
      </w:r>
      <w:r w:rsidRPr="00173E1A">
        <w:rPr>
          <w:color w:val="auto"/>
        </w:rPr>
        <w:t xml:space="preserve"> the criteria prescribed in </w:t>
      </w:r>
      <w:proofErr w:type="spellStart"/>
      <w:r w:rsidRPr="00173E1A">
        <w:rPr>
          <w:color w:val="auto"/>
        </w:rPr>
        <w:t>DoDI</w:t>
      </w:r>
      <w:proofErr w:type="spellEnd"/>
      <w:r w:rsidRPr="00173E1A">
        <w:rPr>
          <w:color w:val="auto"/>
        </w:rPr>
        <w:t xml:space="preserve"> 6040.44 for Board purview</w:t>
      </w:r>
      <w:r w:rsidR="00F65CF8" w:rsidRPr="00173E1A">
        <w:rPr>
          <w:color w:val="auto"/>
        </w:rPr>
        <w:t xml:space="preserve">.  The </w:t>
      </w:r>
      <w:r w:rsidR="00702C72" w:rsidRPr="00173E1A">
        <w:rPr>
          <w:color w:val="auto"/>
        </w:rPr>
        <w:t>Correctable Vision</w:t>
      </w:r>
      <w:r w:rsidRPr="00173E1A">
        <w:rPr>
          <w:color w:val="auto"/>
        </w:rPr>
        <w:t xml:space="preserve"> condition</w:t>
      </w:r>
      <w:r w:rsidR="00F65CF8" w:rsidRPr="00173E1A">
        <w:rPr>
          <w:color w:val="auto"/>
        </w:rPr>
        <w:t xml:space="preserve"> </w:t>
      </w:r>
      <w:r w:rsidRPr="00173E1A">
        <w:rPr>
          <w:color w:val="auto"/>
        </w:rPr>
        <w:t xml:space="preserve">requested for consideration </w:t>
      </w:r>
      <w:r w:rsidR="00F65CF8" w:rsidRPr="00173E1A">
        <w:rPr>
          <w:color w:val="auto"/>
        </w:rPr>
        <w:t xml:space="preserve">also </w:t>
      </w:r>
      <w:r w:rsidRPr="00173E1A">
        <w:rPr>
          <w:color w:val="auto"/>
        </w:rPr>
        <w:t>meet</w:t>
      </w:r>
      <w:r w:rsidR="00702C72" w:rsidRPr="00173E1A">
        <w:rPr>
          <w:color w:val="auto"/>
        </w:rPr>
        <w:t>s</w:t>
      </w:r>
      <w:r w:rsidRPr="00173E1A">
        <w:rPr>
          <w:color w:val="auto"/>
        </w:rPr>
        <w:t xml:space="preserve"> the criteria prescribed in </w:t>
      </w:r>
      <w:proofErr w:type="spellStart"/>
      <w:r w:rsidRPr="00173E1A">
        <w:rPr>
          <w:color w:val="auto"/>
        </w:rPr>
        <w:t>DoDI</w:t>
      </w:r>
      <w:proofErr w:type="spellEnd"/>
      <w:r w:rsidRPr="00173E1A">
        <w:rPr>
          <w:color w:val="auto"/>
        </w:rPr>
        <w:t xml:space="preserve"> 6040.44 for Board purview</w:t>
      </w:r>
      <w:r w:rsidR="00F65CF8" w:rsidRPr="00173E1A">
        <w:rPr>
          <w:color w:val="auto"/>
        </w:rPr>
        <w:t xml:space="preserve">.  Both conditions are </w:t>
      </w:r>
      <w:r w:rsidRPr="00173E1A">
        <w:rPr>
          <w:color w:val="auto"/>
        </w:rPr>
        <w:t>addressed below.  Any conditions or contention not requested in this application, or otherwise outside the Board’s defined scope of review, remain eligible for future consideration by the Army Board for Correction of Military Records</w:t>
      </w:r>
      <w:r w:rsidR="00702C72" w:rsidRPr="00173E1A">
        <w:rPr>
          <w:color w:val="auto"/>
        </w:rPr>
        <w:t>.</w:t>
      </w:r>
      <w:r>
        <w:rPr>
          <w:color w:val="auto"/>
        </w:rPr>
        <w:t xml:space="preserve"> </w:t>
      </w:r>
      <w:r w:rsidR="00BA54D0">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242FD4" w:rsidRDefault="00242FD4" w:rsidP="00242FD4">
      <w:pPr>
        <w:jc w:val="left"/>
        <w:rPr>
          <w:color w:val="auto"/>
          <w:u w:val="single"/>
        </w:rPr>
      </w:pPr>
    </w:p>
    <w:p w:rsidR="00D276D6" w:rsidRDefault="00D276D6">
      <w:pPr>
        <w:spacing w:line="240" w:lineRule="auto"/>
        <w:jc w:val="left"/>
        <w:rPr>
          <w:color w:val="auto"/>
          <w:u w:val="single"/>
        </w:rPr>
      </w:pPr>
      <w:r>
        <w:rPr>
          <w:color w:val="auto"/>
          <w:u w:val="single"/>
        </w:rPr>
        <w:br w:type="page"/>
      </w:r>
    </w:p>
    <w:p w:rsidR="00AD2379" w:rsidRPr="00416361" w:rsidRDefault="00AD2379" w:rsidP="00DB7E14">
      <w:pPr>
        <w:spacing w:line="240" w:lineRule="auto"/>
        <w:jc w:val="left"/>
        <w:rPr>
          <w:color w:val="auto"/>
        </w:rPr>
      </w:pPr>
      <w:r w:rsidRPr="00F64312">
        <w:rPr>
          <w:color w:val="auto"/>
          <w:u w:val="single"/>
        </w:rPr>
        <w:lastRenderedPageBreak/>
        <w:t>RATING COMPARISON</w:t>
      </w:r>
      <w:r w:rsidRPr="00F64312">
        <w:rPr>
          <w:color w:val="auto"/>
        </w:rPr>
        <w:t xml:space="preserve">: </w:t>
      </w:r>
    </w:p>
    <w:p w:rsidR="00F90376" w:rsidRPr="00416361" w:rsidRDefault="00F90376" w:rsidP="00F90376">
      <w:pPr>
        <w:jc w:val="both"/>
        <w:rPr>
          <w:color w:val="auto"/>
        </w:rPr>
      </w:pPr>
    </w:p>
    <w:tbl>
      <w:tblPr>
        <w:tblStyle w:val="TableGrid"/>
        <w:tblW w:w="9369" w:type="dxa"/>
        <w:jc w:val="center"/>
        <w:tblInd w:w="9" w:type="dxa"/>
        <w:tblLayout w:type="fixed"/>
        <w:tblLook w:val="00A0"/>
      </w:tblPr>
      <w:tblGrid>
        <w:gridCol w:w="2525"/>
        <w:gridCol w:w="1080"/>
        <w:gridCol w:w="720"/>
        <w:gridCol w:w="2250"/>
        <w:gridCol w:w="1080"/>
        <w:gridCol w:w="720"/>
        <w:gridCol w:w="994"/>
      </w:tblGrid>
      <w:tr w:rsidR="00F90376" w:rsidRPr="00416361" w:rsidTr="00242FD4">
        <w:trPr>
          <w:trHeight w:val="170"/>
          <w:jc w:val="center"/>
        </w:trPr>
        <w:tc>
          <w:tcPr>
            <w:tcW w:w="4325" w:type="dxa"/>
            <w:gridSpan w:val="3"/>
            <w:tcBorders>
              <w:right w:val="thinThickThinSmallGap" w:sz="24" w:space="0" w:color="auto"/>
            </w:tcBorders>
            <w:shd w:val="clear" w:color="auto" w:fill="D9D9D9"/>
            <w:vAlign w:val="center"/>
          </w:tcPr>
          <w:p w:rsidR="00F90376" w:rsidRPr="00416361" w:rsidRDefault="00F90376" w:rsidP="00702C72">
            <w:pPr>
              <w:spacing w:line="180" w:lineRule="exact"/>
              <w:contextualSpacing/>
              <w:rPr>
                <w:rFonts w:cs="Calibri"/>
                <w:b/>
                <w:color w:val="auto"/>
                <w:sz w:val="18"/>
              </w:rPr>
            </w:pPr>
            <w:r w:rsidRPr="00416361">
              <w:rPr>
                <w:b/>
                <w:color w:val="auto"/>
                <w:sz w:val="18"/>
              </w:rPr>
              <w:t>Service PEB – Dated 200</w:t>
            </w:r>
            <w:r w:rsidR="00702C72" w:rsidRPr="00416361">
              <w:rPr>
                <w:b/>
                <w:color w:val="auto"/>
                <w:sz w:val="18"/>
              </w:rPr>
              <w:t>41207</w:t>
            </w:r>
          </w:p>
        </w:tc>
        <w:tc>
          <w:tcPr>
            <w:tcW w:w="5044" w:type="dxa"/>
            <w:gridSpan w:val="4"/>
            <w:tcBorders>
              <w:left w:val="thinThickThinSmallGap" w:sz="24" w:space="0" w:color="auto"/>
            </w:tcBorders>
            <w:shd w:val="clear" w:color="auto" w:fill="D9D9D9"/>
            <w:vAlign w:val="center"/>
          </w:tcPr>
          <w:p w:rsidR="00F90376" w:rsidRPr="00416361" w:rsidRDefault="00F90376" w:rsidP="00257CE0">
            <w:pPr>
              <w:spacing w:line="180" w:lineRule="exact"/>
              <w:contextualSpacing/>
              <w:rPr>
                <w:rFonts w:cs="Calibri"/>
                <w:b/>
                <w:color w:val="auto"/>
                <w:sz w:val="18"/>
              </w:rPr>
            </w:pPr>
            <w:r w:rsidRPr="00416361">
              <w:rPr>
                <w:b/>
                <w:color w:val="auto"/>
                <w:sz w:val="18"/>
              </w:rPr>
              <w:t>VA (</w:t>
            </w:r>
            <w:r w:rsidR="00257CE0" w:rsidRPr="00416361">
              <w:rPr>
                <w:b/>
                <w:color w:val="auto"/>
                <w:sz w:val="18"/>
              </w:rPr>
              <w:t>3</w:t>
            </w:r>
            <w:r w:rsidRPr="00416361">
              <w:rPr>
                <w:b/>
                <w:color w:val="auto"/>
                <w:sz w:val="18"/>
              </w:rPr>
              <w:t xml:space="preserve"> Mos. Post-Separation) – All Effective Date 200</w:t>
            </w:r>
            <w:r w:rsidR="00257CE0" w:rsidRPr="00416361">
              <w:rPr>
                <w:b/>
                <w:color w:val="auto"/>
                <w:sz w:val="18"/>
              </w:rPr>
              <w:t>50112</w:t>
            </w:r>
          </w:p>
        </w:tc>
      </w:tr>
      <w:tr w:rsidR="00165EDE" w:rsidRPr="00416361" w:rsidTr="00242FD4">
        <w:trPr>
          <w:trHeight w:val="97"/>
          <w:jc w:val="center"/>
        </w:trPr>
        <w:tc>
          <w:tcPr>
            <w:tcW w:w="2525" w:type="dxa"/>
            <w:tcBorders>
              <w:bottom w:val="single" w:sz="4" w:space="0" w:color="000000"/>
              <w:right w:val="single" w:sz="4" w:space="0" w:color="auto"/>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Rating</w:t>
            </w:r>
          </w:p>
        </w:tc>
        <w:tc>
          <w:tcPr>
            <w:tcW w:w="2250" w:type="dxa"/>
            <w:tcBorders>
              <w:left w:val="thinThickThinSmallGap" w:sz="24" w:space="0" w:color="auto"/>
              <w:bottom w:val="single" w:sz="4" w:space="0" w:color="000000"/>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Condition</w:t>
            </w:r>
          </w:p>
        </w:tc>
        <w:tc>
          <w:tcPr>
            <w:tcW w:w="1080" w:type="dxa"/>
            <w:tcBorders>
              <w:bottom w:val="single" w:sz="4" w:space="0" w:color="000000"/>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Code</w:t>
            </w:r>
          </w:p>
        </w:tc>
        <w:tc>
          <w:tcPr>
            <w:tcW w:w="720" w:type="dxa"/>
            <w:tcBorders>
              <w:bottom w:val="single" w:sz="4" w:space="0" w:color="000000"/>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Rating</w:t>
            </w:r>
          </w:p>
        </w:tc>
        <w:tc>
          <w:tcPr>
            <w:tcW w:w="994" w:type="dxa"/>
            <w:tcBorders>
              <w:bottom w:val="single" w:sz="4" w:space="0" w:color="000000"/>
            </w:tcBorders>
            <w:shd w:val="clear" w:color="auto" w:fill="D9D9D9"/>
            <w:vAlign w:val="center"/>
          </w:tcPr>
          <w:p w:rsidR="00F90376" w:rsidRPr="00416361" w:rsidRDefault="00F90376" w:rsidP="006B690F">
            <w:pPr>
              <w:spacing w:line="180" w:lineRule="exact"/>
              <w:contextualSpacing/>
              <w:rPr>
                <w:rFonts w:cs="Calibri"/>
                <w:b/>
                <w:color w:val="auto"/>
                <w:sz w:val="18"/>
              </w:rPr>
            </w:pPr>
            <w:r w:rsidRPr="00416361">
              <w:rPr>
                <w:b/>
                <w:color w:val="auto"/>
                <w:sz w:val="18"/>
              </w:rPr>
              <w:t>Exam</w:t>
            </w:r>
          </w:p>
        </w:tc>
      </w:tr>
      <w:tr w:rsidR="00165EDE" w:rsidRPr="00416361" w:rsidTr="00242FD4">
        <w:trPr>
          <w:trHeight w:val="118"/>
          <w:jc w:val="center"/>
        </w:trPr>
        <w:tc>
          <w:tcPr>
            <w:tcW w:w="2525" w:type="dxa"/>
            <w:tcBorders>
              <w:right w:val="single" w:sz="4" w:space="0" w:color="auto"/>
            </w:tcBorders>
            <w:shd w:val="clear" w:color="auto" w:fill="FFFFFF"/>
            <w:vAlign w:val="center"/>
          </w:tcPr>
          <w:p w:rsidR="00F90376" w:rsidRPr="00416361" w:rsidRDefault="00702C72" w:rsidP="00242FD4">
            <w:pPr>
              <w:spacing w:line="180" w:lineRule="exact"/>
              <w:contextualSpacing/>
              <w:jc w:val="left"/>
              <w:rPr>
                <w:rFonts w:cs="Calibri"/>
                <w:color w:val="auto"/>
                <w:sz w:val="18"/>
              </w:rPr>
            </w:pPr>
            <w:r w:rsidRPr="00416361">
              <w:rPr>
                <w:rFonts w:cs="Calibri"/>
                <w:color w:val="auto"/>
                <w:sz w:val="18"/>
              </w:rPr>
              <w:t xml:space="preserve">Peripheral Sensory </w:t>
            </w:r>
            <w:r w:rsidR="00242FD4" w:rsidRPr="00416361">
              <w:rPr>
                <w:rFonts w:cs="Calibri"/>
                <w:color w:val="auto"/>
                <w:sz w:val="18"/>
              </w:rPr>
              <w:t>N</w:t>
            </w:r>
            <w:r w:rsidRPr="00416361">
              <w:rPr>
                <w:rFonts w:cs="Calibri"/>
                <w:color w:val="auto"/>
                <w:sz w:val="18"/>
              </w:rPr>
              <w:t>europathy</w:t>
            </w:r>
          </w:p>
        </w:tc>
        <w:tc>
          <w:tcPr>
            <w:tcW w:w="1080" w:type="dxa"/>
            <w:tcBorders>
              <w:left w:val="single" w:sz="4" w:space="0" w:color="auto"/>
            </w:tcBorders>
            <w:shd w:val="clear" w:color="auto" w:fill="FFFFFF"/>
            <w:vAlign w:val="center"/>
          </w:tcPr>
          <w:p w:rsidR="00F90376" w:rsidRPr="00416361" w:rsidRDefault="00702C72" w:rsidP="006B690F">
            <w:pPr>
              <w:spacing w:line="180" w:lineRule="exact"/>
              <w:contextualSpacing/>
              <w:rPr>
                <w:rFonts w:cs="Calibri"/>
                <w:color w:val="auto"/>
                <w:sz w:val="18"/>
              </w:rPr>
            </w:pPr>
            <w:r w:rsidRPr="00416361">
              <w:rPr>
                <w:rFonts w:cs="Calibri"/>
                <w:color w:val="auto"/>
                <w:sz w:val="18"/>
              </w:rPr>
              <w:t>8099-8011</w:t>
            </w:r>
          </w:p>
        </w:tc>
        <w:tc>
          <w:tcPr>
            <w:tcW w:w="720" w:type="dxa"/>
            <w:tcBorders>
              <w:right w:val="thinThickThinSmallGap" w:sz="24" w:space="0" w:color="auto"/>
            </w:tcBorders>
            <w:shd w:val="clear" w:color="auto" w:fill="FFFFFF"/>
            <w:vAlign w:val="center"/>
          </w:tcPr>
          <w:p w:rsidR="00F90376" w:rsidRPr="00416361" w:rsidRDefault="00702C72" w:rsidP="006B690F">
            <w:pPr>
              <w:spacing w:line="180" w:lineRule="exact"/>
              <w:rPr>
                <w:rFonts w:cs="Calibri"/>
                <w:color w:val="auto"/>
                <w:sz w:val="18"/>
              </w:rPr>
            </w:pPr>
            <w:r w:rsidRPr="00416361">
              <w:rPr>
                <w:rFonts w:cs="Calibri"/>
                <w:color w:val="auto"/>
                <w:sz w:val="18"/>
              </w:rPr>
              <w:t>10%</w:t>
            </w:r>
          </w:p>
        </w:tc>
        <w:tc>
          <w:tcPr>
            <w:tcW w:w="2250" w:type="dxa"/>
            <w:tcBorders>
              <w:left w:val="thinThickThinSmallGap" w:sz="24" w:space="0" w:color="auto"/>
            </w:tcBorders>
            <w:shd w:val="clear" w:color="auto" w:fill="FFFFFF"/>
            <w:vAlign w:val="center"/>
          </w:tcPr>
          <w:p w:rsidR="00F90376" w:rsidRPr="00416361" w:rsidRDefault="00257CE0" w:rsidP="00592907">
            <w:pPr>
              <w:spacing w:line="180" w:lineRule="exact"/>
              <w:contextualSpacing/>
              <w:jc w:val="left"/>
              <w:rPr>
                <w:rFonts w:cs="Calibri"/>
                <w:color w:val="auto"/>
                <w:sz w:val="18"/>
              </w:rPr>
            </w:pPr>
            <w:proofErr w:type="spellStart"/>
            <w:r w:rsidRPr="00416361">
              <w:rPr>
                <w:rFonts w:cs="Calibri"/>
                <w:color w:val="auto"/>
                <w:sz w:val="18"/>
              </w:rPr>
              <w:t>Guillain-Barre</w:t>
            </w:r>
            <w:proofErr w:type="spellEnd"/>
            <w:r w:rsidRPr="00416361">
              <w:rPr>
                <w:rFonts w:cs="Calibri"/>
                <w:color w:val="auto"/>
                <w:sz w:val="18"/>
              </w:rPr>
              <w:t xml:space="preserve"> Syndrome</w:t>
            </w:r>
          </w:p>
        </w:tc>
        <w:tc>
          <w:tcPr>
            <w:tcW w:w="1080" w:type="dxa"/>
            <w:shd w:val="clear" w:color="auto" w:fill="FFFFFF"/>
            <w:vAlign w:val="center"/>
          </w:tcPr>
          <w:p w:rsidR="00F90376" w:rsidRPr="00416361" w:rsidRDefault="00257CE0" w:rsidP="0017172C">
            <w:pPr>
              <w:spacing w:line="180" w:lineRule="exact"/>
              <w:contextualSpacing/>
              <w:rPr>
                <w:rFonts w:cs="Calibri"/>
                <w:color w:val="auto"/>
                <w:sz w:val="18"/>
              </w:rPr>
            </w:pPr>
            <w:r w:rsidRPr="00416361">
              <w:rPr>
                <w:rFonts w:cs="Calibri"/>
                <w:color w:val="auto"/>
                <w:sz w:val="18"/>
              </w:rPr>
              <w:t>8099-8025</w:t>
            </w:r>
          </w:p>
        </w:tc>
        <w:tc>
          <w:tcPr>
            <w:tcW w:w="720" w:type="dxa"/>
            <w:shd w:val="clear" w:color="auto" w:fill="FFFFFF"/>
            <w:vAlign w:val="center"/>
          </w:tcPr>
          <w:p w:rsidR="00F90376" w:rsidRPr="00416361" w:rsidRDefault="00257CE0" w:rsidP="0017172C">
            <w:pPr>
              <w:spacing w:line="180" w:lineRule="exact"/>
              <w:contextualSpacing/>
              <w:rPr>
                <w:rFonts w:cs="Calibri"/>
                <w:color w:val="auto"/>
                <w:sz w:val="18"/>
              </w:rPr>
            </w:pPr>
            <w:r w:rsidRPr="00416361">
              <w:rPr>
                <w:rFonts w:cs="Calibri"/>
                <w:color w:val="auto"/>
                <w:sz w:val="18"/>
              </w:rPr>
              <w:t>30%</w:t>
            </w:r>
          </w:p>
        </w:tc>
        <w:tc>
          <w:tcPr>
            <w:tcW w:w="994" w:type="dxa"/>
            <w:shd w:val="clear" w:color="auto" w:fill="FFFFFF"/>
            <w:vAlign w:val="center"/>
          </w:tcPr>
          <w:p w:rsidR="00F90376" w:rsidRPr="00416361" w:rsidRDefault="00A314B6" w:rsidP="00257CE0">
            <w:pPr>
              <w:spacing w:line="180" w:lineRule="exact"/>
              <w:contextualSpacing/>
              <w:rPr>
                <w:rFonts w:cs="Calibri"/>
                <w:color w:val="auto"/>
                <w:sz w:val="18"/>
              </w:rPr>
            </w:pPr>
            <w:r w:rsidRPr="00416361">
              <w:rPr>
                <w:color w:val="auto"/>
                <w:sz w:val="18"/>
              </w:rPr>
              <w:t>200</w:t>
            </w:r>
            <w:r w:rsidR="00257CE0" w:rsidRPr="00416361">
              <w:rPr>
                <w:color w:val="auto"/>
                <w:sz w:val="18"/>
              </w:rPr>
              <w:t>50425</w:t>
            </w:r>
          </w:p>
        </w:tc>
      </w:tr>
      <w:tr w:rsidR="00E61CCD" w:rsidRPr="00416361" w:rsidTr="00242FD4">
        <w:trPr>
          <w:trHeight w:val="118"/>
          <w:jc w:val="center"/>
        </w:trPr>
        <w:tc>
          <w:tcPr>
            <w:tcW w:w="2525" w:type="dxa"/>
            <w:tcBorders>
              <w:right w:val="single" w:sz="4" w:space="0" w:color="auto"/>
            </w:tcBorders>
            <w:shd w:val="clear" w:color="auto" w:fill="FFFFFF"/>
            <w:vAlign w:val="center"/>
          </w:tcPr>
          <w:p w:rsidR="00E61CCD" w:rsidRPr="00416361" w:rsidRDefault="00E61CCD" w:rsidP="006B690F">
            <w:pPr>
              <w:spacing w:line="180" w:lineRule="exact"/>
              <w:contextualSpacing/>
              <w:jc w:val="left"/>
              <w:rPr>
                <w:color w:val="auto"/>
                <w:sz w:val="18"/>
              </w:rPr>
            </w:pPr>
            <w:r w:rsidRPr="00416361">
              <w:rPr>
                <w:color w:val="auto"/>
                <w:sz w:val="18"/>
              </w:rPr>
              <w:t>Correctable Vision</w:t>
            </w:r>
          </w:p>
        </w:tc>
        <w:tc>
          <w:tcPr>
            <w:tcW w:w="1800" w:type="dxa"/>
            <w:gridSpan w:val="2"/>
            <w:tcBorders>
              <w:left w:val="single" w:sz="4" w:space="0" w:color="auto"/>
              <w:right w:val="thinThickThinSmallGap" w:sz="24" w:space="0" w:color="auto"/>
            </w:tcBorders>
            <w:shd w:val="clear" w:color="auto" w:fill="FFFFFF"/>
            <w:vAlign w:val="center"/>
          </w:tcPr>
          <w:p w:rsidR="00E61CCD" w:rsidRPr="00416361" w:rsidRDefault="00E61CCD" w:rsidP="006B690F">
            <w:pPr>
              <w:spacing w:line="180" w:lineRule="exact"/>
              <w:rPr>
                <w:color w:val="auto"/>
                <w:sz w:val="18"/>
              </w:rPr>
            </w:pPr>
            <w:r w:rsidRPr="00416361">
              <w:rPr>
                <w:color w:val="auto"/>
                <w:sz w:val="18"/>
              </w:rPr>
              <w:t>Not Unfitting</w:t>
            </w:r>
          </w:p>
        </w:tc>
        <w:tc>
          <w:tcPr>
            <w:tcW w:w="5044" w:type="dxa"/>
            <w:gridSpan w:val="4"/>
            <w:tcBorders>
              <w:left w:val="thinThickThinSmallGap" w:sz="24" w:space="0" w:color="auto"/>
            </w:tcBorders>
            <w:shd w:val="clear" w:color="auto" w:fill="FFFFFF"/>
            <w:vAlign w:val="center"/>
          </w:tcPr>
          <w:p w:rsidR="00E61CCD" w:rsidRPr="00416361" w:rsidRDefault="00E61CCD" w:rsidP="0017172C">
            <w:pPr>
              <w:spacing w:line="180" w:lineRule="exact"/>
              <w:contextualSpacing/>
              <w:rPr>
                <w:color w:val="auto"/>
                <w:sz w:val="18"/>
              </w:rPr>
            </w:pPr>
            <w:r w:rsidRPr="00416361">
              <w:rPr>
                <w:rFonts w:cs="Calibri"/>
                <w:color w:val="auto"/>
                <w:sz w:val="18"/>
              </w:rPr>
              <w:t>NO VA ENTRY</w:t>
            </w:r>
          </w:p>
        </w:tc>
      </w:tr>
      <w:tr w:rsidR="00E61CCD" w:rsidRPr="00416361" w:rsidTr="00242FD4">
        <w:trPr>
          <w:trHeight w:val="118"/>
          <w:jc w:val="center"/>
        </w:trPr>
        <w:tc>
          <w:tcPr>
            <w:tcW w:w="2525" w:type="dxa"/>
            <w:tcBorders>
              <w:right w:val="single" w:sz="4" w:space="0" w:color="auto"/>
            </w:tcBorders>
            <w:shd w:val="clear" w:color="auto" w:fill="FFFFFF"/>
            <w:vAlign w:val="center"/>
          </w:tcPr>
          <w:p w:rsidR="00E61CCD" w:rsidRPr="00416361" w:rsidRDefault="00E61CCD" w:rsidP="006B690F">
            <w:pPr>
              <w:spacing w:line="180" w:lineRule="exact"/>
              <w:contextualSpacing/>
              <w:jc w:val="left"/>
              <w:rPr>
                <w:color w:val="auto"/>
                <w:sz w:val="18"/>
              </w:rPr>
            </w:pPr>
            <w:proofErr w:type="spellStart"/>
            <w:r w:rsidRPr="00416361">
              <w:rPr>
                <w:color w:val="auto"/>
                <w:sz w:val="18"/>
              </w:rPr>
              <w:t>Pes</w:t>
            </w:r>
            <w:proofErr w:type="spellEnd"/>
            <w:r w:rsidRPr="00416361">
              <w:rPr>
                <w:color w:val="auto"/>
                <w:sz w:val="18"/>
              </w:rPr>
              <w:t xml:space="preserve"> </w:t>
            </w:r>
            <w:proofErr w:type="spellStart"/>
            <w:r w:rsidRPr="00416361">
              <w:rPr>
                <w:color w:val="auto"/>
                <w:sz w:val="18"/>
              </w:rPr>
              <w:t>Planus</w:t>
            </w:r>
            <w:proofErr w:type="spellEnd"/>
          </w:p>
        </w:tc>
        <w:tc>
          <w:tcPr>
            <w:tcW w:w="1800" w:type="dxa"/>
            <w:gridSpan w:val="2"/>
            <w:tcBorders>
              <w:left w:val="single" w:sz="4" w:space="0" w:color="auto"/>
              <w:right w:val="thinThickThinSmallGap" w:sz="24" w:space="0" w:color="auto"/>
            </w:tcBorders>
            <w:shd w:val="clear" w:color="auto" w:fill="FFFFFF"/>
            <w:vAlign w:val="center"/>
          </w:tcPr>
          <w:p w:rsidR="00E61CCD" w:rsidRPr="00416361" w:rsidRDefault="00E61CCD" w:rsidP="006B690F">
            <w:pPr>
              <w:spacing w:line="180" w:lineRule="exact"/>
              <w:rPr>
                <w:color w:val="auto"/>
                <w:sz w:val="18"/>
              </w:rPr>
            </w:pPr>
            <w:r w:rsidRPr="00416361">
              <w:rPr>
                <w:color w:val="auto"/>
                <w:sz w:val="18"/>
              </w:rPr>
              <w:t>Not Unfitting</w:t>
            </w:r>
          </w:p>
        </w:tc>
        <w:tc>
          <w:tcPr>
            <w:tcW w:w="5044" w:type="dxa"/>
            <w:gridSpan w:val="4"/>
            <w:tcBorders>
              <w:left w:val="thinThickThinSmallGap" w:sz="24" w:space="0" w:color="auto"/>
            </w:tcBorders>
            <w:shd w:val="clear" w:color="auto" w:fill="FFFFFF"/>
            <w:vAlign w:val="center"/>
          </w:tcPr>
          <w:p w:rsidR="00E61CCD" w:rsidRPr="00416361" w:rsidRDefault="00E61CCD" w:rsidP="0017172C">
            <w:pPr>
              <w:spacing w:line="180" w:lineRule="exact"/>
              <w:contextualSpacing/>
              <w:rPr>
                <w:color w:val="auto"/>
                <w:sz w:val="18"/>
                <w:highlight w:val="yellow"/>
              </w:rPr>
            </w:pPr>
            <w:r w:rsidRPr="00416361">
              <w:rPr>
                <w:rFonts w:cs="Calibri"/>
                <w:color w:val="auto"/>
                <w:sz w:val="18"/>
              </w:rPr>
              <w:t>NO VA ENTRY</w:t>
            </w:r>
          </w:p>
        </w:tc>
      </w:tr>
      <w:tr w:rsidR="00F90376" w:rsidRPr="00416361" w:rsidTr="00242FD4">
        <w:trPr>
          <w:trHeight w:val="172"/>
          <w:jc w:val="center"/>
        </w:trPr>
        <w:tc>
          <w:tcPr>
            <w:tcW w:w="4325" w:type="dxa"/>
            <w:gridSpan w:val="3"/>
            <w:tcBorders>
              <w:right w:val="thinThickThinSmallGap" w:sz="24" w:space="0" w:color="auto"/>
            </w:tcBorders>
            <w:shd w:val="clear" w:color="auto" w:fill="FFFFFF"/>
            <w:vAlign w:val="center"/>
          </w:tcPr>
          <w:p w:rsidR="00F90376" w:rsidRPr="00416361" w:rsidRDefault="00905EA6" w:rsidP="006B690F">
            <w:pPr>
              <w:spacing w:line="180" w:lineRule="exact"/>
              <w:contextualSpacing/>
              <w:rPr>
                <w:rFonts w:cs="Calibri"/>
                <w:color w:val="auto"/>
                <w:sz w:val="18"/>
              </w:rPr>
            </w:pPr>
            <w:r w:rsidRPr="00416361">
              <w:rPr>
                <w:rFonts w:cs="Calibri"/>
                <w:color w:val="auto"/>
                <w:sz w:val="18"/>
                <w:szCs w:val="18"/>
              </w:rPr>
              <w:t>↓No Additional MEB/PEB Entries↓</w:t>
            </w:r>
          </w:p>
        </w:tc>
        <w:tc>
          <w:tcPr>
            <w:tcW w:w="4050" w:type="dxa"/>
            <w:gridSpan w:val="3"/>
            <w:tcBorders>
              <w:left w:val="thinThickThinSmallGap" w:sz="24" w:space="0" w:color="auto"/>
            </w:tcBorders>
            <w:shd w:val="clear" w:color="auto" w:fill="FFFFFF"/>
            <w:vAlign w:val="center"/>
          </w:tcPr>
          <w:p w:rsidR="00F90376" w:rsidRPr="00416361" w:rsidRDefault="00ED7820" w:rsidP="00E61CCD">
            <w:pPr>
              <w:spacing w:line="180" w:lineRule="exact"/>
              <w:contextualSpacing/>
              <w:rPr>
                <w:rFonts w:cs="Calibri"/>
                <w:color w:val="auto"/>
                <w:sz w:val="18"/>
              </w:rPr>
            </w:pPr>
            <w:r w:rsidRPr="00416361">
              <w:rPr>
                <w:color w:val="auto"/>
                <w:sz w:val="18"/>
              </w:rPr>
              <w:t>Not Service-</w:t>
            </w:r>
            <w:r w:rsidR="00F90376" w:rsidRPr="00416361">
              <w:rPr>
                <w:color w:val="auto"/>
                <w:sz w:val="18"/>
              </w:rPr>
              <w:t xml:space="preserve">Connected x </w:t>
            </w:r>
            <w:r w:rsidR="00E61CCD" w:rsidRPr="00416361">
              <w:rPr>
                <w:color w:val="auto"/>
                <w:sz w:val="18"/>
              </w:rPr>
              <w:t>3</w:t>
            </w:r>
          </w:p>
        </w:tc>
        <w:tc>
          <w:tcPr>
            <w:tcW w:w="994" w:type="dxa"/>
            <w:shd w:val="clear" w:color="auto" w:fill="FFFFFF"/>
            <w:vAlign w:val="center"/>
          </w:tcPr>
          <w:p w:rsidR="00F90376" w:rsidRPr="00416361" w:rsidRDefault="00E61CCD" w:rsidP="0017172C">
            <w:pPr>
              <w:spacing w:line="180" w:lineRule="exact"/>
              <w:contextualSpacing/>
              <w:rPr>
                <w:rFonts w:cs="Calibri"/>
                <w:color w:val="auto"/>
                <w:sz w:val="18"/>
              </w:rPr>
            </w:pPr>
            <w:r w:rsidRPr="00416361">
              <w:rPr>
                <w:rFonts w:cs="Calibri"/>
                <w:color w:val="auto"/>
                <w:sz w:val="18"/>
              </w:rPr>
              <w:t>20050425</w:t>
            </w:r>
          </w:p>
        </w:tc>
      </w:tr>
      <w:tr w:rsidR="00F90376" w:rsidRPr="00416361" w:rsidTr="00242FD4">
        <w:trPr>
          <w:trHeight w:val="124"/>
          <w:jc w:val="center"/>
        </w:trPr>
        <w:tc>
          <w:tcPr>
            <w:tcW w:w="4325" w:type="dxa"/>
            <w:gridSpan w:val="3"/>
            <w:tcBorders>
              <w:right w:val="thinThickThinSmallGap" w:sz="24" w:space="0" w:color="auto"/>
            </w:tcBorders>
            <w:shd w:val="clear" w:color="auto" w:fill="D9D9D9"/>
          </w:tcPr>
          <w:p w:rsidR="00F90376" w:rsidRPr="00416361" w:rsidRDefault="00F90376" w:rsidP="00257CE0">
            <w:pPr>
              <w:spacing w:line="180" w:lineRule="exact"/>
              <w:contextualSpacing/>
              <w:rPr>
                <w:rFonts w:cs="Calibri"/>
                <w:b/>
                <w:color w:val="auto"/>
                <w:sz w:val="18"/>
              </w:rPr>
            </w:pPr>
            <w:r w:rsidRPr="00416361">
              <w:rPr>
                <w:b/>
                <w:color w:val="auto"/>
                <w:sz w:val="18"/>
              </w:rPr>
              <w:t xml:space="preserve">Combined:  </w:t>
            </w:r>
            <w:r w:rsidR="00257CE0" w:rsidRPr="00416361">
              <w:rPr>
                <w:b/>
                <w:color w:val="auto"/>
                <w:sz w:val="18"/>
              </w:rPr>
              <w:t>10</w:t>
            </w:r>
            <w:r w:rsidRPr="00416361">
              <w:rPr>
                <w:b/>
                <w:color w:val="auto"/>
                <w:sz w:val="18"/>
              </w:rPr>
              <w:t>%</w:t>
            </w:r>
          </w:p>
        </w:tc>
        <w:tc>
          <w:tcPr>
            <w:tcW w:w="5044" w:type="dxa"/>
            <w:gridSpan w:val="4"/>
            <w:tcBorders>
              <w:left w:val="thinThickThinSmallGap" w:sz="24" w:space="0" w:color="auto"/>
            </w:tcBorders>
            <w:shd w:val="clear" w:color="auto" w:fill="D9D9D9"/>
          </w:tcPr>
          <w:p w:rsidR="00F90376" w:rsidRPr="00416361" w:rsidRDefault="00F90376" w:rsidP="00E61CCD">
            <w:pPr>
              <w:spacing w:line="180" w:lineRule="exact"/>
              <w:contextualSpacing/>
              <w:rPr>
                <w:rFonts w:cs="Calibri"/>
                <w:b/>
                <w:color w:val="auto"/>
                <w:sz w:val="18"/>
              </w:rPr>
            </w:pPr>
            <w:r w:rsidRPr="00416361">
              <w:rPr>
                <w:b/>
                <w:color w:val="auto"/>
                <w:sz w:val="18"/>
              </w:rPr>
              <w:t xml:space="preserve">Combined:  </w:t>
            </w:r>
            <w:r w:rsidR="00E61CCD" w:rsidRPr="00416361">
              <w:rPr>
                <w:b/>
                <w:color w:val="auto"/>
                <w:sz w:val="18"/>
              </w:rPr>
              <w:t>30</w:t>
            </w:r>
            <w:r w:rsidRPr="00416361">
              <w:rPr>
                <w:b/>
                <w:color w:val="auto"/>
                <w:sz w:val="18"/>
              </w:rPr>
              <w:t>%</w:t>
            </w:r>
            <w:r w:rsidR="00C01007" w:rsidRPr="00416361">
              <w:rPr>
                <w:b/>
                <w:color w:val="auto"/>
                <w:sz w:val="18"/>
              </w:rPr>
              <w:t>*</w:t>
            </w:r>
          </w:p>
        </w:tc>
      </w:tr>
    </w:tbl>
    <w:p w:rsidR="00BF2C95" w:rsidRDefault="00F65CF8" w:rsidP="00BF2C95">
      <w:pPr>
        <w:pBdr>
          <w:bottom w:val="single" w:sz="12" w:space="1" w:color="auto"/>
        </w:pBdr>
        <w:tabs>
          <w:tab w:val="left" w:pos="288"/>
          <w:tab w:val="left" w:pos="4752"/>
        </w:tabs>
        <w:spacing w:line="180" w:lineRule="exact"/>
        <w:jc w:val="both"/>
        <w:rPr>
          <w:color w:val="auto"/>
          <w:sz w:val="18"/>
          <w:szCs w:val="18"/>
        </w:rPr>
      </w:pPr>
      <w:r w:rsidRPr="00416361">
        <w:rPr>
          <w:color w:val="auto"/>
          <w:sz w:val="18"/>
          <w:szCs w:val="18"/>
        </w:rPr>
        <w:t xml:space="preserve">* </w:t>
      </w:r>
      <w:r w:rsidR="00BF2C95" w:rsidRPr="00416361">
        <w:rPr>
          <w:color w:val="auto"/>
          <w:sz w:val="18"/>
          <w:szCs w:val="18"/>
        </w:rPr>
        <w:t>Added Major Depression 9434 at 30%, R</w:t>
      </w:r>
      <w:r w:rsidR="00242FD4" w:rsidRPr="00416361">
        <w:rPr>
          <w:color w:val="auto"/>
          <w:sz w:val="18"/>
          <w:szCs w:val="18"/>
        </w:rPr>
        <w:t xml:space="preserve">UE </w:t>
      </w:r>
      <w:r w:rsidR="00BF2C95" w:rsidRPr="00416361">
        <w:rPr>
          <w:color w:val="auto"/>
          <w:sz w:val="18"/>
          <w:szCs w:val="18"/>
        </w:rPr>
        <w:t>neuropathy at 10%, L</w:t>
      </w:r>
      <w:r w:rsidR="00242FD4" w:rsidRPr="00416361">
        <w:rPr>
          <w:color w:val="auto"/>
          <w:sz w:val="18"/>
          <w:szCs w:val="18"/>
        </w:rPr>
        <w:t xml:space="preserve">UE </w:t>
      </w:r>
      <w:r w:rsidR="00BF2C95" w:rsidRPr="00416361">
        <w:rPr>
          <w:color w:val="auto"/>
          <w:sz w:val="18"/>
          <w:szCs w:val="18"/>
        </w:rPr>
        <w:t>neuropathy at 10%, R</w:t>
      </w:r>
      <w:r w:rsidR="00242FD4" w:rsidRPr="00416361">
        <w:rPr>
          <w:color w:val="auto"/>
          <w:sz w:val="18"/>
          <w:szCs w:val="18"/>
        </w:rPr>
        <w:t>LE</w:t>
      </w:r>
      <w:r w:rsidR="00BF2C95" w:rsidRPr="00416361">
        <w:rPr>
          <w:color w:val="auto"/>
          <w:sz w:val="18"/>
          <w:szCs w:val="18"/>
        </w:rPr>
        <w:t xml:space="preserve"> neuropathy at 10%, L</w:t>
      </w:r>
      <w:r w:rsidR="00242FD4" w:rsidRPr="00416361">
        <w:rPr>
          <w:color w:val="auto"/>
          <w:sz w:val="18"/>
          <w:szCs w:val="18"/>
        </w:rPr>
        <w:t>LE</w:t>
      </w:r>
      <w:r w:rsidR="00242FD4">
        <w:rPr>
          <w:color w:val="auto"/>
          <w:sz w:val="18"/>
          <w:szCs w:val="18"/>
        </w:rPr>
        <w:t xml:space="preserve"> </w:t>
      </w:r>
      <w:r w:rsidR="00BF2C95" w:rsidRPr="00173E1A">
        <w:rPr>
          <w:color w:val="auto"/>
          <w:sz w:val="18"/>
          <w:szCs w:val="18"/>
        </w:rPr>
        <w:t xml:space="preserve">neuropathy at 10% and individual </w:t>
      </w:r>
      <w:proofErr w:type="spellStart"/>
      <w:r w:rsidR="00BF2C95" w:rsidRPr="00173E1A">
        <w:rPr>
          <w:color w:val="auto"/>
          <w:sz w:val="18"/>
          <w:szCs w:val="18"/>
        </w:rPr>
        <w:t>unemployability</w:t>
      </w:r>
      <w:proofErr w:type="spellEnd"/>
      <w:r w:rsidR="00BF2C95" w:rsidRPr="00173E1A">
        <w:rPr>
          <w:color w:val="auto"/>
          <w:sz w:val="18"/>
          <w:szCs w:val="18"/>
        </w:rPr>
        <w:t xml:space="preserve"> all effective 20060726</w:t>
      </w:r>
      <w:r w:rsidR="00242FD4">
        <w:rPr>
          <w:color w:val="auto"/>
          <w:sz w:val="18"/>
          <w:szCs w:val="18"/>
        </w:rPr>
        <w:t xml:space="preserve"> </w:t>
      </w:r>
      <w:r w:rsidR="00BF2C95" w:rsidRPr="00173E1A">
        <w:rPr>
          <w:color w:val="auto"/>
          <w:sz w:val="18"/>
          <w:szCs w:val="18"/>
        </w:rPr>
        <w:t>(combined 60%); added Tinnitus at 10% effective 20060926 (combined 70%)</w:t>
      </w:r>
      <w:r w:rsidR="00BF2C95">
        <w:rPr>
          <w:color w:val="auto"/>
          <w:sz w:val="18"/>
          <w:szCs w:val="18"/>
        </w:rPr>
        <w:t xml:space="preserve"> </w:t>
      </w:r>
    </w:p>
    <w:p w:rsidR="0004555A" w:rsidRPr="00416361" w:rsidRDefault="0004555A" w:rsidP="00F65CF8">
      <w:pPr>
        <w:pBdr>
          <w:bottom w:val="single" w:sz="12" w:space="1" w:color="auto"/>
        </w:pBdr>
        <w:tabs>
          <w:tab w:val="left" w:pos="288"/>
          <w:tab w:val="left" w:pos="4752"/>
        </w:tabs>
        <w:jc w:val="both"/>
        <w:rPr>
          <w:color w:val="auto"/>
          <w:szCs w:val="18"/>
        </w:rPr>
      </w:pPr>
    </w:p>
    <w:p w:rsidR="00AD2379" w:rsidRPr="00F64312" w:rsidRDefault="00AD2379" w:rsidP="00165C7B">
      <w:pPr>
        <w:jc w:val="both"/>
        <w:rPr>
          <w:color w:val="auto"/>
        </w:rPr>
      </w:pPr>
    </w:p>
    <w:p w:rsidR="00C01007" w:rsidRDefault="00AD2379" w:rsidP="00726F84">
      <w:pPr>
        <w:jc w:val="both"/>
        <w:rPr>
          <w:color w:val="auto"/>
          <w:u w:val="single"/>
        </w:rPr>
      </w:pPr>
      <w:r w:rsidRPr="00F64312">
        <w:rPr>
          <w:color w:val="auto"/>
          <w:u w:val="single"/>
        </w:rPr>
        <w:t>ANALYSIS SUMMARY</w:t>
      </w:r>
      <w:r w:rsidR="00C01007" w:rsidRPr="00BF2C95">
        <w:rPr>
          <w:color w:val="auto"/>
        </w:rPr>
        <w:t>:</w:t>
      </w:r>
    </w:p>
    <w:p w:rsidR="00C01007" w:rsidRDefault="00C01007" w:rsidP="00726F84">
      <w:pPr>
        <w:jc w:val="both"/>
        <w:rPr>
          <w:color w:val="auto"/>
          <w:u w:val="single"/>
        </w:rPr>
      </w:pPr>
    </w:p>
    <w:p w:rsidR="00297653" w:rsidRDefault="00E61CCD" w:rsidP="00DE5A79">
      <w:pPr>
        <w:autoSpaceDE w:val="0"/>
        <w:autoSpaceDN w:val="0"/>
        <w:adjustRightInd w:val="0"/>
        <w:jc w:val="both"/>
        <w:rPr>
          <w:color w:val="auto"/>
          <w:szCs w:val="24"/>
        </w:rPr>
      </w:pPr>
      <w:proofErr w:type="gramStart"/>
      <w:r w:rsidRPr="00173E1A">
        <w:rPr>
          <w:color w:val="auto"/>
          <w:u w:val="single"/>
        </w:rPr>
        <w:t xml:space="preserve">Peripheral Sensory Neuropathy </w:t>
      </w:r>
      <w:r w:rsidR="00AD2379" w:rsidRPr="00173E1A">
        <w:rPr>
          <w:color w:val="auto"/>
          <w:u w:val="single"/>
        </w:rPr>
        <w:t>Condition</w:t>
      </w:r>
      <w:r w:rsidR="00AD2379" w:rsidRPr="00173E1A">
        <w:rPr>
          <w:color w:val="auto"/>
        </w:rPr>
        <w:t>.</w:t>
      </w:r>
      <w:proofErr w:type="gramEnd"/>
      <w:r w:rsidR="00AD2379" w:rsidRPr="00173E1A">
        <w:rPr>
          <w:color w:val="auto"/>
        </w:rPr>
        <w:t xml:space="preserve"> </w:t>
      </w:r>
      <w:r w:rsidR="00385708" w:rsidRPr="00173E1A">
        <w:rPr>
          <w:color w:val="auto"/>
        </w:rPr>
        <w:t xml:space="preserve"> The narrative summary (NARSUM) </w:t>
      </w:r>
      <w:r w:rsidR="003D4BC0" w:rsidRPr="00173E1A">
        <w:rPr>
          <w:color w:val="auto"/>
        </w:rPr>
        <w:t xml:space="preserve">prepared </w:t>
      </w:r>
      <w:r w:rsidR="0071697B">
        <w:rPr>
          <w:color w:val="auto"/>
        </w:rPr>
        <w:t>2</w:t>
      </w:r>
      <w:r w:rsidR="003D4BC0" w:rsidRPr="00173E1A">
        <w:rPr>
          <w:color w:val="auto"/>
        </w:rPr>
        <w:t xml:space="preserve"> months prior to separation </w:t>
      </w:r>
      <w:r w:rsidR="00385708" w:rsidRPr="00173E1A">
        <w:rPr>
          <w:color w:val="auto"/>
        </w:rPr>
        <w:t>notes</w:t>
      </w:r>
      <w:r w:rsidR="003D4BC0" w:rsidRPr="00173E1A">
        <w:rPr>
          <w:color w:val="auto"/>
        </w:rPr>
        <w:t xml:space="preserve"> constant numbness and tingling in both hands and feet </w:t>
      </w:r>
      <w:r w:rsidR="00BC4AE5" w:rsidRPr="00173E1A">
        <w:rPr>
          <w:color w:val="auto"/>
        </w:rPr>
        <w:t xml:space="preserve">as he arrived in Afghanistan.  In preparation for the deployment, the CI </w:t>
      </w:r>
      <w:r w:rsidR="003D4BC0" w:rsidRPr="00173E1A">
        <w:rPr>
          <w:color w:val="auto"/>
        </w:rPr>
        <w:t>receiv</w:t>
      </w:r>
      <w:r w:rsidR="00BC4AE5" w:rsidRPr="00173E1A">
        <w:rPr>
          <w:color w:val="auto"/>
        </w:rPr>
        <w:t>ed</w:t>
      </w:r>
      <w:r w:rsidR="003D4BC0" w:rsidRPr="00173E1A">
        <w:rPr>
          <w:color w:val="auto"/>
        </w:rPr>
        <w:t xml:space="preserve"> multiple immunizations </w:t>
      </w:r>
      <w:r w:rsidR="00BC4AE5" w:rsidRPr="00173E1A">
        <w:rPr>
          <w:color w:val="auto"/>
        </w:rPr>
        <w:t xml:space="preserve">the week </w:t>
      </w:r>
      <w:r w:rsidR="003D4BC0" w:rsidRPr="00173E1A">
        <w:rPr>
          <w:color w:val="auto"/>
        </w:rPr>
        <w:t>prior to</w:t>
      </w:r>
      <w:r w:rsidR="00BC4AE5" w:rsidRPr="00173E1A">
        <w:rPr>
          <w:color w:val="auto"/>
        </w:rPr>
        <w:t xml:space="preserve"> deploying</w:t>
      </w:r>
      <w:r w:rsidR="003D4BC0" w:rsidRPr="00173E1A">
        <w:rPr>
          <w:color w:val="auto"/>
        </w:rPr>
        <w:t>.  The CI</w:t>
      </w:r>
      <w:r w:rsidR="00BC4AE5" w:rsidRPr="00173E1A">
        <w:rPr>
          <w:color w:val="auto"/>
        </w:rPr>
        <w:t xml:space="preserve"> awoke one morning with loss of sensation in his legs up to his knees and in his hands up to his elbows.  He</w:t>
      </w:r>
      <w:r w:rsidR="003D4BC0" w:rsidRPr="00173E1A">
        <w:rPr>
          <w:color w:val="auto"/>
        </w:rPr>
        <w:t xml:space="preserve"> was initially seen and evaluated in country</w:t>
      </w:r>
      <w:r w:rsidR="0040474B" w:rsidRPr="00173E1A">
        <w:rPr>
          <w:color w:val="auto"/>
        </w:rPr>
        <w:t xml:space="preserve"> then</w:t>
      </w:r>
      <w:r w:rsidR="00BC4AE5" w:rsidRPr="00173E1A">
        <w:rPr>
          <w:color w:val="auto"/>
        </w:rPr>
        <w:t>, as he progressively worsened becoming very weak, needing assistance to walk and ha</w:t>
      </w:r>
      <w:r w:rsidR="001953AE" w:rsidRPr="00173E1A">
        <w:rPr>
          <w:color w:val="auto"/>
        </w:rPr>
        <w:t xml:space="preserve">ving </w:t>
      </w:r>
      <w:r w:rsidR="00BC4AE5" w:rsidRPr="00173E1A">
        <w:rPr>
          <w:color w:val="auto"/>
        </w:rPr>
        <w:t xml:space="preserve">difficulty talking and swallowing, he was evacuated </w:t>
      </w:r>
      <w:r w:rsidR="0040474B" w:rsidRPr="00173E1A">
        <w:rPr>
          <w:color w:val="auto"/>
        </w:rPr>
        <w:t>to Germany then</w:t>
      </w:r>
      <w:r w:rsidR="001953AE" w:rsidRPr="00173E1A">
        <w:rPr>
          <w:color w:val="auto"/>
        </w:rPr>
        <w:t xml:space="preserve"> to </w:t>
      </w:r>
      <w:r w:rsidR="0040474B" w:rsidRPr="00173E1A">
        <w:rPr>
          <w:color w:val="auto"/>
        </w:rPr>
        <w:t>a major state-side Army medical center for treatment</w:t>
      </w:r>
      <w:r w:rsidR="00297653" w:rsidRPr="00173E1A">
        <w:rPr>
          <w:color w:val="auto"/>
        </w:rPr>
        <w:t xml:space="preserve"> and evaluation within the Vaccine Healthcare Center</w:t>
      </w:r>
      <w:r w:rsidR="00BC4AE5" w:rsidRPr="00173E1A">
        <w:rPr>
          <w:color w:val="auto"/>
        </w:rPr>
        <w:t xml:space="preserve">.  </w:t>
      </w:r>
      <w:r w:rsidR="0040474B" w:rsidRPr="00173E1A">
        <w:rPr>
          <w:color w:val="auto"/>
        </w:rPr>
        <w:t xml:space="preserve">There he received intravenous immune-globulin treatment and the diagnosis of </w:t>
      </w:r>
      <w:proofErr w:type="spellStart"/>
      <w:r w:rsidR="0040474B" w:rsidRPr="00173E1A">
        <w:rPr>
          <w:color w:val="auto"/>
        </w:rPr>
        <w:t>Guillain-Barre</w:t>
      </w:r>
      <w:proofErr w:type="spellEnd"/>
      <w:r w:rsidR="0040474B" w:rsidRPr="00173E1A">
        <w:rPr>
          <w:color w:val="auto"/>
        </w:rPr>
        <w:t xml:space="preserve"> </w:t>
      </w:r>
      <w:r w:rsidR="002D10A6" w:rsidRPr="00173E1A">
        <w:rPr>
          <w:color w:val="auto"/>
        </w:rPr>
        <w:t>S</w:t>
      </w:r>
      <w:r w:rsidR="0040474B" w:rsidRPr="00173E1A">
        <w:rPr>
          <w:color w:val="auto"/>
        </w:rPr>
        <w:t>yndrome</w:t>
      </w:r>
      <w:r w:rsidR="002D10A6" w:rsidRPr="00173E1A">
        <w:rPr>
          <w:color w:val="auto"/>
        </w:rPr>
        <w:t xml:space="preserve"> (GBS)</w:t>
      </w:r>
      <w:r w:rsidR="00BC4AE5" w:rsidRPr="00173E1A">
        <w:rPr>
          <w:color w:val="auto"/>
        </w:rPr>
        <w:t xml:space="preserve"> was made </w:t>
      </w:r>
      <w:r w:rsidR="0040474B" w:rsidRPr="00173E1A">
        <w:rPr>
          <w:color w:val="auto"/>
        </w:rPr>
        <w:t xml:space="preserve">after extensive </w:t>
      </w:r>
      <w:r w:rsidR="0040474B" w:rsidRPr="00173E1A">
        <w:rPr>
          <w:color w:val="auto"/>
          <w:szCs w:val="24"/>
        </w:rPr>
        <w:t>evaluation</w:t>
      </w:r>
      <w:r w:rsidR="001953AE" w:rsidRPr="00173E1A">
        <w:rPr>
          <w:color w:val="auto"/>
          <w:szCs w:val="24"/>
        </w:rPr>
        <w:t xml:space="preserve"> including </w:t>
      </w:r>
      <w:r w:rsidR="0071697B">
        <w:rPr>
          <w:color w:val="auto"/>
          <w:szCs w:val="24"/>
        </w:rPr>
        <w:t xml:space="preserve">a </w:t>
      </w:r>
      <w:r w:rsidR="001953AE" w:rsidRPr="00173E1A">
        <w:rPr>
          <w:color w:val="auto"/>
          <w:szCs w:val="24"/>
        </w:rPr>
        <w:t>CT</w:t>
      </w:r>
      <w:r w:rsidR="0071697B">
        <w:rPr>
          <w:color w:val="auto"/>
          <w:szCs w:val="24"/>
        </w:rPr>
        <w:t xml:space="preserve"> scan</w:t>
      </w:r>
      <w:r w:rsidR="001953AE" w:rsidRPr="00173E1A">
        <w:rPr>
          <w:color w:val="auto"/>
          <w:szCs w:val="24"/>
        </w:rPr>
        <w:t xml:space="preserve">, </w:t>
      </w:r>
      <w:r w:rsidR="0071697B">
        <w:rPr>
          <w:color w:val="auto"/>
          <w:szCs w:val="24"/>
        </w:rPr>
        <w:t>magnetic resonance imaging (</w:t>
      </w:r>
      <w:r w:rsidR="001953AE" w:rsidRPr="00173E1A">
        <w:rPr>
          <w:color w:val="auto"/>
          <w:szCs w:val="24"/>
        </w:rPr>
        <w:t>MRI</w:t>
      </w:r>
      <w:r w:rsidR="0071697B">
        <w:rPr>
          <w:color w:val="auto"/>
          <w:szCs w:val="24"/>
        </w:rPr>
        <w:t>)</w:t>
      </w:r>
      <w:r w:rsidR="001953AE" w:rsidRPr="00173E1A">
        <w:rPr>
          <w:color w:val="auto"/>
          <w:szCs w:val="24"/>
        </w:rPr>
        <w:t xml:space="preserve"> and </w:t>
      </w:r>
      <w:r w:rsidR="007528C5">
        <w:rPr>
          <w:color w:val="auto"/>
          <w:szCs w:val="24"/>
        </w:rPr>
        <w:t>l</w:t>
      </w:r>
      <w:r w:rsidR="001953AE" w:rsidRPr="00173E1A">
        <w:rPr>
          <w:color w:val="auto"/>
          <w:szCs w:val="24"/>
        </w:rPr>
        <w:t xml:space="preserve">umbar puncture.  The CI was discharged to convalescent leave at which time he underwent </w:t>
      </w:r>
      <w:r w:rsidR="00543A8F" w:rsidRPr="00173E1A">
        <w:rPr>
          <w:color w:val="auto"/>
          <w:szCs w:val="24"/>
        </w:rPr>
        <w:t>electro-diagnostic</w:t>
      </w:r>
      <w:r w:rsidR="001953AE" w:rsidRPr="00173E1A">
        <w:rPr>
          <w:color w:val="auto"/>
          <w:szCs w:val="24"/>
        </w:rPr>
        <w:t xml:space="preserve"> studies that confirmed a bilateral motor and sensory peripheral neuropathy</w:t>
      </w:r>
      <w:r w:rsidR="0042081D" w:rsidRPr="00173E1A">
        <w:rPr>
          <w:color w:val="auto"/>
          <w:szCs w:val="24"/>
        </w:rPr>
        <w:t xml:space="preserve"> specifically of the median, </w:t>
      </w:r>
      <w:proofErr w:type="spellStart"/>
      <w:r w:rsidR="0042081D" w:rsidRPr="00173E1A">
        <w:rPr>
          <w:color w:val="auto"/>
          <w:szCs w:val="24"/>
        </w:rPr>
        <w:t>ulnar</w:t>
      </w:r>
      <w:proofErr w:type="spellEnd"/>
      <w:r w:rsidR="0042081D" w:rsidRPr="00173E1A">
        <w:rPr>
          <w:color w:val="auto"/>
          <w:szCs w:val="24"/>
        </w:rPr>
        <w:t xml:space="preserve"> and radial sensory nerves of the upper extremity and bil</w:t>
      </w:r>
      <w:r w:rsidR="00543A8F" w:rsidRPr="00173E1A">
        <w:rPr>
          <w:color w:val="auto"/>
          <w:szCs w:val="24"/>
        </w:rPr>
        <w:t>ateral</w:t>
      </w:r>
      <w:r w:rsidR="0042081D" w:rsidRPr="00173E1A">
        <w:rPr>
          <w:color w:val="auto"/>
          <w:szCs w:val="24"/>
        </w:rPr>
        <w:t xml:space="preserve"> </w:t>
      </w:r>
      <w:proofErr w:type="spellStart"/>
      <w:r w:rsidR="0042081D" w:rsidRPr="00173E1A">
        <w:rPr>
          <w:color w:val="auto"/>
          <w:szCs w:val="24"/>
        </w:rPr>
        <w:t>peroneal</w:t>
      </w:r>
      <w:proofErr w:type="spellEnd"/>
      <w:r w:rsidR="00543A8F" w:rsidRPr="00173E1A">
        <w:rPr>
          <w:color w:val="auto"/>
          <w:szCs w:val="24"/>
        </w:rPr>
        <w:t xml:space="preserve"> &amp; </w:t>
      </w:r>
      <w:proofErr w:type="spellStart"/>
      <w:r w:rsidR="0042081D" w:rsidRPr="00173E1A">
        <w:rPr>
          <w:color w:val="auto"/>
          <w:szCs w:val="24"/>
        </w:rPr>
        <w:t>tibial</w:t>
      </w:r>
      <w:proofErr w:type="spellEnd"/>
      <w:r w:rsidR="00543A8F" w:rsidRPr="00173E1A">
        <w:rPr>
          <w:color w:val="auto"/>
          <w:szCs w:val="24"/>
        </w:rPr>
        <w:t xml:space="preserve"> ner</w:t>
      </w:r>
      <w:r w:rsidR="00491F0B" w:rsidRPr="00173E1A">
        <w:rPr>
          <w:color w:val="auto"/>
          <w:szCs w:val="24"/>
        </w:rPr>
        <w:t>ves of both lower extremities.</w:t>
      </w:r>
      <w:r w:rsidR="001953AE" w:rsidRPr="00173E1A">
        <w:rPr>
          <w:color w:val="auto"/>
          <w:szCs w:val="24"/>
        </w:rPr>
        <w:t xml:space="preserve">  He was placed on chronic medication for control of his </w:t>
      </w:r>
      <w:proofErr w:type="spellStart"/>
      <w:r w:rsidR="001953AE" w:rsidRPr="00173E1A">
        <w:rPr>
          <w:color w:val="auto"/>
          <w:szCs w:val="24"/>
        </w:rPr>
        <w:t>paresthesias</w:t>
      </w:r>
      <w:proofErr w:type="spellEnd"/>
      <w:r w:rsidR="00491F0B" w:rsidRPr="00173E1A">
        <w:rPr>
          <w:color w:val="auto"/>
          <w:szCs w:val="24"/>
        </w:rPr>
        <w:t>,</w:t>
      </w:r>
      <w:r w:rsidR="001953AE" w:rsidRPr="00173E1A">
        <w:rPr>
          <w:color w:val="auto"/>
          <w:szCs w:val="24"/>
        </w:rPr>
        <w:t xml:space="preserve"> but gained no benefit.</w:t>
      </w:r>
      <w:r w:rsidR="004A20D4" w:rsidRPr="00173E1A">
        <w:rPr>
          <w:color w:val="auto"/>
          <w:szCs w:val="24"/>
        </w:rPr>
        <w:t xml:space="preserve">  </w:t>
      </w:r>
      <w:r w:rsidR="00DE5A79" w:rsidRPr="00173E1A">
        <w:rPr>
          <w:color w:val="auto"/>
          <w:szCs w:val="24"/>
        </w:rPr>
        <w:t>The NARSUM also states</w:t>
      </w:r>
      <w:r w:rsidR="00491F0B" w:rsidRPr="00173E1A">
        <w:rPr>
          <w:color w:val="auto"/>
          <w:szCs w:val="24"/>
        </w:rPr>
        <w:t xml:space="preserve">: </w:t>
      </w:r>
      <w:r w:rsidR="00DE5A79" w:rsidRPr="00173E1A">
        <w:rPr>
          <w:color w:val="auto"/>
          <w:szCs w:val="24"/>
        </w:rPr>
        <w:t xml:space="preserve"> “</w:t>
      </w:r>
      <w:r w:rsidR="004A20D4" w:rsidRPr="00173E1A">
        <w:rPr>
          <w:color w:val="auto"/>
          <w:szCs w:val="24"/>
        </w:rPr>
        <w:t xml:space="preserve">The </w:t>
      </w:r>
      <w:proofErr w:type="spellStart"/>
      <w:r w:rsidR="004A20D4" w:rsidRPr="00173E1A">
        <w:rPr>
          <w:color w:val="auto"/>
          <w:szCs w:val="24"/>
        </w:rPr>
        <w:t>paresthesias</w:t>
      </w:r>
      <w:proofErr w:type="spellEnd"/>
      <w:r w:rsidR="004A20D4" w:rsidRPr="00173E1A">
        <w:rPr>
          <w:color w:val="auto"/>
          <w:szCs w:val="24"/>
        </w:rPr>
        <w:t xml:space="preserve"> and sensory loss of</w:t>
      </w:r>
      <w:r w:rsidR="00DE5A79" w:rsidRPr="00173E1A">
        <w:rPr>
          <w:color w:val="auto"/>
          <w:szCs w:val="24"/>
        </w:rPr>
        <w:t xml:space="preserve"> </w:t>
      </w:r>
      <w:r w:rsidR="004A20D4" w:rsidRPr="00173E1A">
        <w:rPr>
          <w:color w:val="auto"/>
          <w:szCs w:val="24"/>
        </w:rPr>
        <w:t>the feet impair his ambulation especially over uneven ground and in the dark.</w:t>
      </w:r>
      <w:r w:rsidR="00DE5A79" w:rsidRPr="00173E1A">
        <w:rPr>
          <w:color w:val="auto"/>
          <w:szCs w:val="24"/>
        </w:rPr>
        <w:t xml:space="preserve">”  </w:t>
      </w:r>
      <w:r w:rsidR="001953AE" w:rsidRPr="00173E1A">
        <w:rPr>
          <w:color w:val="auto"/>
          <w:szCs w:val="24"/>
        </w:rPr>
        <w:t>A neurologic evaluation</w:t>
      </w:r>
      <w:r w:rsidR="002D10A6" w:rsidRPr="00173E1A">
        <w:rPr>
          <w:color w:val="auto"/>
          <w:szCs w:val="24"/>
        </w:rPr>
        <w:t xml:space="preserve"> </w:t>
      </w:r>
      <w:r w:rsidR="00970B0D">
        <w:rPr>
          <w:color w:val="auto"/>
          <w:szCs w:val="24"/>
        </w:rPr>
        <w:t>4</w:t>
      </w:r>
      <w:r w:rsidR="002D10A6" w:rsidRPr="00173E1A">
        <w:rPr>
          <w:color w:val="auto"/>
          <w:szCs w:val="24"/>
        </w:rPr>
        <w:t xml:space="preserve"> months prior to separation</w:t>
      </w:r>
      <w:r w:rsidR="00297653" w:rsidRPr="00173E1A">
        <w:rPr>
          <w:color w:val="auto"/>
          <w:szCs w:val="24"/>
        </w:rPr>
        <w:t xml:space="preserve">, and </w:t>
      </w:r>
      <w:r w:rsidR="00970B0D">
        <w:rPr>
          <w:color w:val="auto"/>
          <w:szCs w:val="24"/>
        </w:rPr>
        <w:t>a</w:t>
      </w:r>
      <w:r w:rsidR="00297653" w:rsidRPr="00173E1A">
        <w:rPr>
          <w:color w:val="auto"/>
          <w:szCs w:val="24"/>
        </w:rPr>
        <w:t xml:space="preserve"> month prior to the NARSUM exam, </w:t>
      </w:r>
      <w:r w:rsidR="002D10A6" w:rsidRPr="00173E1A">
        <w:rPr>
          <w:color w:val="auto"/>
          <w:szCs w:val="24"/>
        </w:rPr>
        <w:t>stated “he regained ambulatory status and good recovery of muscle strength</w:t>
      </w:r>
      <w:r w:rsidR="00297653" w:rsidRPr="00173E1A">
        <w:rPr>
          <w:color w:val="auto"/>
          <w:szCs w:val="24"/>
        </w:rPr>
        <w:t>;</w:t>
      </w:r>
      <w:r w:rsidR="002D10A6" w:rsidRPr="00173E1A">
        <w:rPr>
          <w:color w:val="auto"/>
          <w:szCs w:val="24"/>
        </w:rPr>
        <w:t xml:space="preserve"> however, he has had persistent distal </w:t>
      </w:r>
      <w:proofErr w:type="spellStart"/>
      <w:r w:rsidR="002D10A6" w:rsidRPr="00173E1A">
        <w:rPr>
          <w:color w:val="auto"/>
          <w:szCs w:val="24"/>
        </w:rPr>
        <w:t>paresthesias</w:t>
      </w:r>
      <w:proofErr w:type="spellEnd"/>
      <w:r w:rsidR="002D10A6" w:rsidRPr="00173E1A">
        <w:rPr>
          <w:color w:val="auto"/>
          <w:szCs w:val="24"/>
        </w:rPr>
        <w:t xml:space="preserve"> of his hands and feet that prevent him from properly using his hands and he frequently drops objects and he is not able to run.”</w:t>
      </w:r>
      <w:r w:rsidR="00C25AF3">
        <w:rPr>
          <w:color w:val="auto"/>
          <w:szCs w:val="24"/>
        </w:rPr>
        <w:t xml:space="preserve"> </w:t>
      </w:r>
      <w:r w:rsidR="003D4BC0" w:rsidRPr="00DE5A79">
        <w:rPr>
          <w:color w:val="auto"/>
          <w:szCs w:val="24"/>
        </w:rPr>
        <w:t xml:space="preserve"> </w:t>
      </w:r>
    </w:p>
    <w:p w:rsidR="00297653" w:rsidRDefault="00297653" w:rsidP="00DE5A79">
      <w:pPr>
        <w:autoSpaceDE w:val="0"/>
        <w:autoSpaceDN w:val="0"/>
        <w:adjustRightInd w:val="0"/>
        <w:jc w:val="both"/>
        <w:rPr>
          <w:color w:val="auto"/>
          <w:szCs w:val="24"/>
        </w:rPr>
      </w:pPr>
    </w:p>
    <w:p w:rsidR="00543A8F" w:rsidRDefault="00CF0280" w:rsidP="0069687C">
      <w:pPr>
        <w:jc w:val="both"/>
        <w:rPr>
          <w:color w:val="auto"/>
          <w:szCs w:val="24"/>
        </w:rPr>
      </w:pPr>
      <w:r w:rsidRPr="00173E1A">
        <w:rPr>
          <w:color w:val="auto"/>
          <w:szCs w:val="24"/>
        </w:rPr>
        <w:t>At the MEB exam</w:t>
      </w:r>
      <w:r w:rsidR="002D10A6" w:rsidRPr="00173E1A">
        <w:rPr>
          <w:color w:val="auto"/>
          <w:szCs w:val="24"/>
        </w:rPr>
        <w:t xml:space="preserve"> performed </w:t>
      </w:r>
      <w:r w:rsidR="00716B95">
        <w:rPr>
          <w:color w:val="auto"/>
          <w:szCs w:val="24"/>
        </w:rPr>
        <w:t>3</w:t>
      </w:r>
      <w:r w:rsidR="002D10A6" w:rsidRPr="00173E1A">
        <w:rPr>
          <w:color w:val="auto"/>
          <w:szCs w:val="24"/>
        </w:rPr>
        <w:t xml:space="preserve"> months prior to separation, </w:t>
      </w:r>
      <w:r w:rsidRPr="00173E1A">
        <w:rPr>
          <w:color w:val="auto"/>
          <w:szCs w:val="24"/>
        </w:rPr>
        <w:t>the CI reported</w:t>
      </w:r>
      <w:r w:rsidR="005D32AD" w:rsidRPr="00173E1A">
        <w:rPr>
          <w:color w:val="auto"/>
          <w:szCs w:val="24"/>
        </w:rPr>
        <w:t xml:space="preserve"> “vision problem in left eye, </w:t>
      </w:r>
      <w:r w:rsidR="002D10A6" w:rsidRPr="00173E1A">
        <w:rPr>
          <w:color w:val="auto"/>
          <w:szCs w:val="24"/>
        </w:rPr>
        <w:t>hands and feet numb and tingling, pain/throbbing in feet/calves and hands, feet don’t always work like they should and always tired worn out</w:t>
      </w:r>
      <w:r w:rsidR="005D32AD" w:rsidRPr="00173E1A">
        <w:rPr>
          <w:color w:val="auto"/>
          <w:szCs w:val="24"/>
        </w:rPr>
        <w:t>;” all</w:t>
      </w:r>
      <w:r w:rsidR="002D10A6" w:rsidRPr="00173E1A">
        <w:rPr>
          <w:color w:val="auto"/>
          <w:szCs w:val="24"/>
        </w:rPr>
        <w:t xml:space="preserve"> from GBS</w:t>
      </w:r>
      <w:r w:rsidR="005D32AD" w:rsidRPr="00173E1A">
        <w:rPr>
          <w:color w:val="auto"/>
          <w:szCs w:val="24"/>
        </w:rPr>
        <w:t xml:space="preserve">.  </w:t>
      </w:r>
      <w:r w:rsidRPr="00173E1A">
        <w:rPr>
          <w:color w:val="auto"/>
          <w:szCs w:val="24"/>
        </w:rPr>
        <w:t>The MEB physical exam noted</w:t>
      </w:r>
      <w:r w:rsidR="005D32AD" w:rsidRPr="00173E1A">
        <w:rPr>
          <w:color w:val="auto"/>
          <w:szCs w:val="24"/>
        </w:rPr>
        <w:t xml:space="preserve"> decreased sensation bilateral hands and feet to cold/sharp with </w:t>
      </w:r>
      <w:proofErr w:type="spellStart"/>
      <w:r w:rsidR="00543A8F" w:rsidRPr="00173E1A">
        <w:rPr>
          <w:color w:val="auto"/>
          <w:szCs w:val="24"/>
        </w:rPr>
        <w:t>dysesthesias</w:t>
      </w:r>
      <w:proofErr w:type="spellEnd"/>
      <w:r w:rsidR="005D32AD" w:rsidRPr="00173E1A">
        <w:rPr>
          <w:color w:val="auto"/>
          <w:szCs w:val="24"/>
        </w:rPr>
        <w:t xml:space="preserve"> stocking/glove. </w:t>
      </w:r>
      <w:r w:rsidR="00491F0B" w:rsidRPr="00173E1A">
        <w:rPr>
          <w:color w:val="auto"/>
          <w:szCs w:val="24"/>
        </w:rPr>
        <w:t xml:space="preserve"> </w:t>
      </w:r>
      <w:proofErr w:type="gramStart"/>
      <w:r w:rsidR="005D32AD" w:rsidRPr="00173E1A">
        <w:rPr>
          <w:color w:val="auto"/>
          <w:szCs w:val="24"/>
        </w:rPr>
        <w:t>Motor strength normal.</w:t>
      </w:r>
      <w:proofErr w:type="gramEnd"/>
      <w:r w:rsidR="005D32AD" w:rsidRPr="00173E1A">
        <w:rPr>
          <w:color w:val="auto"/>
          <w:szCs w:val="24"/>
        </w:rPr>
        <w:t xml:space="preserve">  </w:t>
      </w:r>
      <w:r w:rsidR="00543A8F" w:rsidRPr="00173E1A">
        <w:rPr>
          <w:color w:val="auto"/>
          <w:szCs w:val="24"/>
        </w:rPr>
        <w:t>Tandem</w:t>
      </w:r>
      <w:r w:rsidR="005D32AD" w:rsidRPr="00173E1A">
        <w:rPr>
          <w:color w:val="auto"/>
          <w:szCs w:val="24"/>
        </w:rPr>
        <w:t xml:space="preserve"> gait </w:t>
      </w:r>
      <w:r w:rsidR="00284B35" w:rsidRPr="00173E1A">
        <w:rPr>
          <w:color w:val="auto"/>
          <w:szCs w:val="24"/>
        </w:rPr>
        <w:t xml:space="preserve">(walk heel-to-toe) </w:t>
      </w:r>
      <w:r w:rsidR="005D32AD" w:rsidRPr="00173E1A">
        <w:rPr>
          <w:color w:val="auto"/>
          <w:szCs w:val="24"/>
        </w:rPr>
        <w:t xml:space="preserve">&amp; </w:t>
      </w:r>
      <w:r w:rsidR="00543A8F" w:rsidRPr="00173E1A">
        <w:rPr>
          <w:color w:val="auto"/>
          <w:szCs w:val="24"/>
        </w:rPr>
        <w:t>Romberg</w:t>
      </w:r>
      <w:r w:rsidR="005D32AD" w:rsidRPr="00173E1A">
        <w:rPr>
          <w:color w:val="auto"/>
          <w:szCs w:val="24"/>
        </w:rPr>
        <w:t xml:space="preserve"> </w:t>
      </w:r>
      <w:r w:rsidR="00491F0B" w:rsidRPr="00173E1A">
        <w:rPr>
          <w:color w:val="auto"/>
          <w:szCs w:val="24"/>
        </w:rPr>
        <w:t>(</w:t>
      </w:r>
      <w:r w:rsidR="00491F0B" w:rsidRPr="00173E1A">
        <w:rPr>
          <w:i/>
          <w:color w:val="auto"/>
          <w:szCs w:val="24"/>
        </w:rPr>
        <w:t>balance</w:t>
      </w:r>
      <w:r w:rsidR="00491F0B" w:rsidRPr="00173E1A">
        <w:rPr>
          <w:color w:val="auto"/>
          <w:szCs w:val="24"/>
        </w:rPr>
        <w:t xml:space="preserve">) </w:t>
      </w:r>
      <w:r w:rsidR="005D32AD" w:rsidRPr="00173E1A">
        <w:rPr>
          <w:color w:val="auto"/>
          <w:szCs w:val="24"/>
        </w:rPr>
        <w:t xml:space="preserve">slightly impaired.  </w:t>
      </w:r>
      <w:proofErr w:type="gramStart"/>
      <w:r w:rsidR="005D32AD" w:rsidRPr="00173E1A">
        <w:rPr>
          <w:color w:val="auto"/>
          <w:szCs w:val="24"/>
        </w:rPr>
        <w:t xml:space="preserve">Slight decrease in </w:t>
      </w:r>
      <w:proofErr w:type="spellStart"/>
      <w:r w:rsidR="005D32AD" w:rsidRPr="00173E1A">
        <w:rPr>
          <w:color w:val="auto"/>
          <w:szCs w:val="24"/>
        </w:rPr>
        <w:t>dysdiodokinesis</w:t>
      </w:r>
      <w:proofErr w:type="spellEnd"/>
      <w:r w:rsidR="00491F0B" w:rsidRPr="00173E1A">
        <w:rPr>
          <w:color w:val="auto"/>
          <w:szCs w:val="24"/>
        </w:rPr>
        <w:t xml:space="preserve"> (repetitive alternating movement function most commonly)</w:t>
      </w:r>
      <w:r w:rsidR="005D32AD" w:rsidRPr="00173E1A">
        <w:rPr>
          <w:color w:val="auto"/>
          <w:szCs w:val="24"/>
        </w:rPr>
        <w:t>.</w:t>
      </w:r>
      <w:proofErr w:type="gramEnd"/>
      <w:r w:rsidR="005D32AD" w:rsidRPr="00173E1A">
        <w:rPr>
          <w:color w:val="auto"/>
          <w:szCs w:val="24"/>
        </w:rPr>
        <w:t xml:space="preserve">  </w:t>
      </w:r>
      <w:proofErr w:type="gramStart"/>
      <w:r w:rsidR="005D32AD" w:rsidRPr="00173E1A">
        <w:rPr>
          <w:color w:val="auto"/>
          <w:szCs w:val="24"/>
        </w:rPr>
        <w:t>Finger to nose normal.</w:t>
      </w:r>
      <w:proofErr w:type="gramEnd"/>
      <w:r w:rsidR="00297653" w:rsidRPr="00173E1A">
        <w:rPr>
          <w:color w:val="auto"/>
          <w:szCs w:val="24"/>
        </w:rPr>
        <w:t xml:space="preserve">  The CI was right-handed.</w:t>
      </w:r>
      <w:r w:rsidR="00297653">
        <w:rPr>
          <w:color w:val="auto"/>
          <w:szCs w:val="24"/>
        </w:rPr>
        <w:t xml:space="preserve">  </w:t>
      </w:r>
    </w:p>
    <w:p w:rsidR="00543A8F" w:rsidRDefault="00543A8F" w:rsidP="0069687C">
      <w:pPr>
        <w:jc w:val="both"/>
        <w:rPr>
          <w:color w:val="auto"/>
          <w:szCs w:val="24"/>
        </w:rPr>
      </w:pPr>
    </w:p>
    <w:p w:rsidR="00165EDE" w:rsidRDefault="00CF0280" w:rsidP="00165EDE">
      <w:pPr>
        <w:jc w:val="both"/>
        <w:rPr>
          <w:color w:val="auto"/>
          <w:szCs w:val="24"/>
        </w:rPr>
      </w:pPr>
      <w:r w:rsidRPr="00173E1A">
        <w:rPr>
          <w:color w:val="auto"/>
          <w:szCs w:val="24"/>
        </w:rPr>
        <w:t>At the VA Compensation and Pension (C&amp;P) exam</w:t>
      </w:r>
      <w:r w:rsidR="00ED7820" w:rsidRPr="00173E1A">
        <w:rPr>
          <w:color w:val="auto"/>
          <w:szCs w:val="24"/>
        </w:rPr>
        <w:t xml:space="preserve"> </w:t>
      </w:r>
      <w:r w:rsidR="005D32AD" w:rsidRPr="00173E1A">
        <w:rPr>
          <w:color w:val="auto"/>
          <w:szCs w:val="24"/>
        </w:rPr>
        <w:t xml:space="preserve">performed </w:t>
      </w:r>
      <w:r w:rsidR="00716B95">
        <w:rPr>
          <w:color w:val="auto"/>
          <w:szCs w:val="24"/>
        </w:rPr>
        <w:t>3</w:t>
      </w:r>
      <w:r w:rsidR="005D32AD" w:rsidRPr="00173E1A">
        <w:rPr>
          <w:color w:val="auto"/>
          <w:szCs w:val="24"/>
        </w:rPr>
        <w:t xml:space="preserve"> months </w:t>
      </w:r>
      <w:r w:rsidR="00ED7820" w:rsidRPr="00173E1A">
        <w:rPr>
          <w:color w:val="auto"/>
          <w:szCs w:val="24"/>
        </w:rPr>
        <w:t>afte</w:t>
      </w:r>
      <w:r w:rsidR="00E61CCD" w:rsidRPr="00173E1A">
        <w:rPr>
          <w:color w:val="auto"/>
          <w:szCs w:val="24"/>
        </w:rPr>
        <w:t xml:space="preserve">r </w:t>
      </w:r>
      <w:r w:rsidR="00ED7820" w:rsidRPr="00173E1A">
        <w:rPr>
          <w:color w:val="auto"/>
          <w:szCs w:val="24"/>
        </w:rPr>
        <w:t>separation</w:t>
      </w:r>
      <w:r w:rsidRPr="00173E1A">
        <w:rPr>
          <w:color w:val="auto"/>
          <w:szCs w:val="24"/>
        </w:rPr>
        <w:t>, the CI reported</w:t>
      </w:r>
      <w:r w:rsidR="00730F0D" w:rsidRPr="00173E1A">
        <w:rPr>
          <w:color w:val="auto"/>
          <w:szCs w:val="24"/>
        </w:rPr>
        <w:t xml:space="preserve"> constant numbness and tingling, abnormal sensation and weakness of the affected parts.  He can’t hold objects or judge his strength.  He can’t run or walk long distances.  </w:t>
      </w:r>
      <w:r w:rsidR="00970B0D">
        <w:rPr>
          <w:color w:val="auto"/>
          <w:szCs w:val="24"/>
        </w:rPr>
        <w:t>The e</w:t>
      </w:r>
      <w:r w:rsidR="00730F0D" w:rsidRPr="00173E1A">
        <w:rPr>
          <w:color w:val="auto"/>
          <w:szCs w:val="24"/>
        </w:rPr>
        <w:t>xamination was significant for both upper and lower extremities with symmetric normal reflexes and normal motor function.  Upper extremities had normal sensory function while the lower extremities had abnormal sensory function with findings of hyperesthesia.</w:t>
      </w:r>
      <w:r w:rsidR="00165EDE">
        <w:rPr>
          <w:color w:val="auto"/>
          <w:szCs w:val="24"/>
        </w:rPr>
        <w:t xml:space="preserve">  </w:t>
      </w:r>
      <w:r w:rsidR="00284B35">
        <w:rPr>
          <w:color w:val="auto"/>
          <w:szCs w:val="24"/>
        </w:rPr>
        <w:t xml:space="preserve">A VA C&amp;P exam </w:t>
      </w:r>
      <w:r w:rsidR="00CA3688">
        <w:rPr>
          <w:color w:val="auto"/>
          <w:szCs w:val="24"/>
        </w:rPr>
        <w:t>20 months remote from separation</w:t>
      </w:r>
      <w:r w:rsidR="00CA3688">
        <w:rPr>
          <w:i/>
          <w:color w:val="auto"/>
          <w:sz w:val="18"/>
          <w:szCs w:val="18"/>
        </w:rPr>
        <w:t xml:space="preserve"> </w:t>
      </w:r>
      <w:r w:rsidR="00CA3688">
        <w:rPr>
          <w:color w:val="auto"/>
          <w:szCs w:val="24"/>
        </w:rPr>
        <w:t xml:space="preserve">documented decreased sensation of the left face with slight left upper lip droop, slight loss of balance with Romberg, decreased 3/5 strength and mild diffuse sensory deficits in the upper and lower extremities.  </w:t>
      </w:r>
    </w:p>
    <w:p w:rsidR="00DC489A" w:rsidRDefault="00416361" w:rsidP="00165EDE">
      <w:pPr>
        <w:tabs>
          <w:tab w:val="left" w:pos="288"/>
          <w:tab w:val="left" w:pos="4752"/>
        </w:tabs>
        <w:jc w:val="both"/>
        <w:rPr>
          <w:color w:val="auto"/>
        </w:rPr>
      </w:pPr>
      <w:bookmarkStart w:id="0" w:name="_GoBack"/>
      <w:bookmarkEnd w:id="0"/>
      <w:r>
        <w:rPr>
          <w:rFonts w:cs="Times New Roman"/>
          <w:color w:val="auto"/>
        </w:rPr>
        <w:lastRenderedPageBreak/>
        <w:t xml:space="preserve">The Board directs attention to its rating recommendation based on the above evidence.  </w:t>
      </w:r>
      <w:r w:rsidR="00E2392A">
        <w:rPr>
          <w:color w:val="auto"/>
          <w:szCs w:val="24"/>
        </w:rPr>
        <w:t xml:space="preserve">The PEB combined </w:t>
      </w:r>
      <w:r w:rsidR="00970B0D">
        <w:rPr>
          <w:color w:val="auto"/>
          <w:szCs w:val="24"/>
        </w:rPr>
        <w:t>p</w:t>
      </w:r>
      <w:r w:rsidR="00E2392A">
        <w:rPr>
          <w:color w:val="auto"/>
        </w:rPr>
        <w:t xml:space="preserve">eripheral </w:t>
      </w:r>
      <w:r w:rsidR="00970B0D">
        <w:rPr>
          <w:color w:val="auto"/>
        </w:rPr>
        <w:t>s</w:t>
      </w:r>
      <w:r w:rsidR="00E2392A">
        <w:rPr>
          <w:color w:val="auto"/>
        </w:rPr>
        <w:t xml:space="preserve">ensory </w:t>
      </w:r>
      <w:r w:rsidR="00970B0D">
        <w:rPr>
          <w:color w:val="auto"/>
        </w:rPr>
        <w:t>n</w:t>
      </w:r>
      <w:r w:rsidR="00E2392A">
        <w:rPr>
          <w:color w:val="auto"/>
        </w:rPr>
        <w:t xml:space="preserve">europathy of </w:t>
      </w:r>
      <w:r w:rsidR="00970B0D">
        <w:rPr>
          <w:color w:val="auto"/>
        </w:rPr>
        <w:t>u</w:t>
      </w:r>
      <w:r w:rsidR="00E2392A">
        <w:rPr>
          <w:color w:val="auto"/>
        </w:rPr>
        <w:t xml:space="preserve">pper and </w:t>
      </w:r>
      <w:r w:rsidR="00970B0D">
        <w:rPr>
          <w:color w:val="auto"/>
        </w:rPr>
        <w:t>l</w:t>
      </w:r>
      <w:r w:rsidR="00E2392A">
        <w:rPr>
          <w:color w:val="auto"/>
        </w:rPr>
        <w:t xml:space="preserve">ower </w:t>
      </w:r>
      <w:r w:rsidR="00970B0D">
        <w:rPr>
          <w:color w:val="auto"/>
        </w:rPr>
        <w:t>e</w:t>
      </w:r>
      <w:r w:rsidR="00E2392A">
        <w:rPr>
          <w:color w:val="auto"/>
        </w:rPr>
        <w:t xml:space="preserve">xtremities </w:t>
      </w:r>
      <w:r w:rsidR="00E2392A">
        <w:rPr>
          <w:color w:val="auto"/>
          <w:szCs w:val="24"/>
        </w:rPr>
        <w:t xml:space="preserve">as the single unfitting and solely rated condition, coded analogously to </w:t>
      </w:r>
      <w:r w:rsidR="00E2392A" w:rsidRPr="00E2392A">
        <w:rPr>
          <w:color w:val="auto"/>
          <w:szCs w:val="24"/>
        </w:rPr>
        <w:t>8011 (Poliomyelitis, anterior),</w:t>
      </w:r>
      <w:r w:rsidR="00E2392A">
        <w:rPr>
          <w:color w:val="auto"/>
          <w:szCs w:val="24"/>
        </w:rPr>
        <w:t xml:space="preserve"> with rating of 10% for minimal residuals of sensory neuropathy.  </w:t>
      </w:r>
      <w:r w:rsidR="00705037" w:rsidRPr="00173E1A">
        <w:rPr>
          <w:color w:val="auto"/>
        </w:rPr>
        <w:t>The VA rated the same condition analogously to 8025 (Myasthenia gravis) at 30%, the minimum rating.</w:t>
      </w:r>
      <w:r w:rsidR="00705037">
        <w:rPr>
          <w:color w:val="auto"/>
        </w:rPr>
        <w:t xml:space="preserve">  </w:t>
      </w:r>
      <w:r w:rsidR="007528C5">
        <w:rPr>
          <w:color w:val="auto"/>
        </w:rPr>
        <w:t>A subsequent</w:t>
      </w:r>
      <w:r w:rsidR="00705037" w:rsidRPr="00173E1A">
        <w:rPr>
          <w:color w:val="auto"/>
        </w:rPr>
        <w:t xml:space="preserve"> VA exam led to the addition of 10% peripheral nerve </w:t>
      </w:r>
      <w:r w:rsidR="00705037" w:rsidRPr="00DC489A">
        <w:rPr>
          <w:color w:val="auto"/>
        </w:rPr>
        <w:t xml:space="preserve">ratings (8025-8515 each arm and 8025-8520 each leg) for each extremity in addition to the 30% 8025 minimum rating.  </w:t>
      </w:r>
      <w:r w:rsidR="00DC489A" w:rsidRPr="00DC489A">
        <w:rPr>
          <w:color w:val="auto"/>
        </w:rPr>
        <w:t>The Board adjudged that the “</w:t>
      </w:r>
      <w:r w:rsidR="00970B0D">
        <w:rPr>
          <w:color w:val="auto"/>
        </w:rPr>
        <w:t>p</w:t>
      </w:r>
      <w:r w:rsidR="00DC489A" w:rsidRPr="00DC489A">
        <w:rPr>
          <w:color w:val="auto"/>
        </w:rPr>
        <w:t xml:space="preserve">eripheral </w:t>
      </w:r>
      <w:r w:rsidR="00970B0D">
        <w:rPr>
          <w:color w:val="auto"/>
        </w:rPr>
        <w:t>s</w:t>
      </w:r>
      <w:r w:rsidR="00DC489A" w:rsidRPr="00DC489A">
        <w:rPr>
          <w:color w:val="auto"/>
        </w:rPr>
        <w:t xml:space="preserve">ensory </w:t>
      </w:r>
      <w:r w:rsidR="00970B0D">
        <w:rPr>
          <w:color w:val="auto"/>
        </w:rPr>
        <w:t>n</w:t>
      </w:r>
      <w:r w:rsidR="00DC489A" w:rsidRPr="00DC489A">
        <w:rPr>
          <w:color w:val="auto"/>
        </w:rPr>
        <w:t xml:space="preserve">europathy of </w:t>
      </w:r>
      <w:r w:rsidR="00970B0D">
        <w:rPr>
          <w:color w:val="auto"/>
        </w:rPr>
        <w:t>u</w:t>
      </w:r>
      <w:r w:rsidR="00DC489A" w:rsidRPr="00DC489A">
        <w:rPr>
          <w:color w:val="auto"/>
        </w:rPr>
        <w:t xml:space="preserve">pper and </w:t>
      </w:r>
      <w:r w:rsidR="00970B0D">
        <w:rPr>
          <w:color w:val="auto"/>
        </w:rPr>
        <w:t>l</w:t>
      </w:r>
      <w:r w:rsidR="00DC489A" w:rsidRPr="00DC489A">
        <w:rPr>
          <w:color w:val="auto"/>
        </w:rPr>
        <w:t xml:space="preserve">ower </w:t>
      </w:r>
      <w:r w:rsidR="00970B0D">
        <w:rPr>
          <w:color w:val="auto"/>
        </w:rPr>
        <w:t>e</w:t>
      </w:r>
      <w:r w:rsidR="00DC489A" w:rsidRPr="00DC489A">
        <w:rPr>
          <w:color w:val="auto"/>
        </w:rPr>
        <w:t>xtremities …” condition</w:t>
      </w:r>
      <w:r w:rsidR="00DC489A">
        <w:rPr>
          <w:color w:val="auto"/>
        </w:rPr>
        <w:t xml:space="preserve"> was due to the diagnosis of </w:t>
      </w:r>
      <w:proofErr w:type="spellStart"/>
      <w:r w:rsidR="00DC489A">
        <w:rPr>
          <w:color w:val="auto"/>
        </w:rPr>
        <w:t>Guillian-Barre</w:t>
      </w:r>
      <w:proofErr w:type="spellEnd"/>
      <w:r w:rsidR="00DC489A">
        <w:rPr>
          <w:color w:val="auto"/>
        </w:rPr>
        <w:t xml:space="preserve"> Syndrome and was best considered </w:t>
      </w:r>
      <w:r w:rsidR="007528C5">
        <w:rPr>
          <w:color w:val="auto"/>
        </w:rPr>
        <w:t>analogous</w:t>
      </w:r>
      <w:r w:rsidR="00DC489A">
        <w:rPr>
          <w:color w:val="auto"/>
        </w:rPr>
        <w:t xml:space="preserve"> to disability code 8025 </w:t>
      </w:r>
      <w:r w:rsidR="00DC489A" w:rsidRPr="00173E1A">
        <w:rPr>
          <w:color w:val="auto"/>
        </w:rPr>
        <w:t>(Myasthenia gravis)</w:t>
      </w:r>
      <w:r w:rsidR="00DC489A">
        <w:rPr>
          <w:color w:val="auto"/>
        </w:rPr>
        <w:t xml:space="preserve"> rather than </w:t>
      </w:r>
      <w:r w:rsidR="00DC489A" w:rsidRPr="00E2392A">
        <w:rPr>
          <w:color w:val="auto"/>
          <w:szCs w:val="24"/>
        </w:rPr>
        <w:t>8011 (Poliomyelitis, anterior)</w:t>
      </w:r>
      <w:r w:rsidR="00DC489A">
        <w:rPr>
          <w:color w:val="auto"/>
          <w:szCs w:val="24"/>
        </w:rPr>
        <w:t>, as the CI’s condition was not from an infectious disease and was not predominately paralytic.</w:t>
      </w:r>
      <w:r w:rsidR="00DC489A">
        <w:rPr>
          <w:color w:val="auto"/>
        </w:rPr>
        <w:t xml:space="preserve">  </w:t>
      </w:r>
    </w:p>
    <w:p w:rsidR="00DC489A" w:rsidRDefault="00DC489A" w:rsidP="00165EDE">
      <w:pPr>
        <w:tabs>
          <w:tab w:val="left" w:pos="288"/>
          <w:tab w:val="left" w:pos="4752"/>
        </w:tabs>
        <w:jc w:val="both"/>
        <w:rPr>
          <w:color w:val="auto"/>
        </w:rPr>
      </w:pPr>
    </w:p>
    <w:p w:rsidR="00165EDE" w:rsidRPr="00165EDE" w:rsidRDefault="00165EDE" w:rsidP="00165EDE">
      <w:pPr>
        <w:tabs>
          <w:tab w:val="left" w:pos="288"/>
          <w:tab w:val="left" w:pos="4752"/>
        </w:tabs>
        <w:jc w:val="both"/>
        <w:rPr>
          <w:color w:val="auto"/>
          <w:szCs w:val="24"/>
        </w:rPr>
      </w:pPr>
      <w:r w:rsidRPr="00165EDE">
        <w:rPr>
          <w:color w:val="auto"/>
          <w:szCs w:val="24"/>
        </w:rPr>
        <w:t>Although th</w:t>
      </w:r>
      <w:r w:rsidR="00E2392A">
        <w:rPr>
          <w:color w:val="auto"/>
          <w:szCs w:val="24"/>
        </w:rPr>
        <w:t>e PEB</w:t>
      </w:r>
      <w:r w:rsidRPr="00165EDE">
        <w:rPr>
          <w:color w:val="auto"/>
          <w:szCs w:val="24"/>
        </w:rPr>
        <w:t xml:space="preserve"> approach </w:t>
      </w:r>
      <w:r w:rsidR="00DC489A">
        <w:rPr>
          <w:color w:val="auto"/>
          <w:szCs w:val="24"/>
        </w:rPr>
        <w:t>may comply</w:t>
      </w:r>
      <w:r w:rsidRPr="00165EDE">
        <w:rPr>
          <w:color w:val="auto"/>
          <w:szCs w:val="24"/>
        </w:rPr>
        <w:t xml:space="preserve"> with AR 635.40 (B.104); the Board must apply separate codes and ratings in its recommendations, if compensable ratings for each condition</w:t>
      </w:r>
      <w:r w:rsidR="00DC489A">
        <w:rPr>
          <w:color w:val="auto"/>
          <w:szCs w:val="24"/>
        </w:rPr>
        <w:t xml:space="preserve"> (each extremity)</w:t>
      </w:r>
      <w:r w:rsidRPr="00165EDE">
        <w:rPr>
          <w:color w:val="auto"/>
          <w:szCs w:val="24"/>
        </w:rPr>
        <w:t xml:space="preserve"> are achieved IAW VASRD §4.124a.  If the Board judges that two or more separate ratings are warranted in such cases, however, it must satisfy the requirement that each ‘unbundled’ condition was unfitting in and of itself.  Not uncommonly this approach by the PEB reflects its judgment that the constellation of conditions was unfitting; and, that there was no need for separate fitness adjudications, not a judgment that each condition was independently unfitting.  Thus the Board must exercise the prerogative of separate fitness recommendations in this circumstance, with the caveat that its recommendations may not produce a lower combined rating than that of the PEB</w:t>
      </w:r>
      <w:r w:rsidR="00705037">
        <w:rPr>
          <w:color w:val="auto"/>
          <w:szCs w:val="24"/>
        </w:rPr>
        <w:t xml:space="preserve"> and provide for a higher rating than the minimum rating for disease residuals.</w:t>
      </w:r>
      <w:r w:rsidRPr="00165EDE">
        <w:rPr>
          <w:color w:val="auto"/>
          <w:szCs w:val="24"/>
        </w:rPr>
        <w:t xml:space="preserve"> </w:t>
      </w:r>
      <w:r w:rsidR="00416361">
        <w:rPr>
          <w:color w:val="auto"/>
          <w:szCs w:val="24"/>
        </w:rPr>
        <w:t xml:space="preserve"> </w:t>
      </w:r>
    </w:p>
    <w:p w:rsidR="00165EDE" w:rsidRDefault="00165EDE" w:rsidP="00705037">
      <w:pPr>
        <w:tabs>
          <w:tab w:val="left" w:pos="288"/>
          <w:tab w:val="left" w:pos="4752"/>
        </w:tabs>
        <w:jc w:val="both"/>
        <w:rPr>
          <w:color w:val="auto"/>
          <w:sz w:val="20"/>
          <w:szCs w:val="24"/>
        </w:rPr>
      </w:pPr>
    </w:p>
    <w:p w:rsidR="00297BC0" w:rsidRDefault="00CA3688" w:rsidP="00165EDE">
      <w:pPr>
        <w:tabs>
          <w:tab w:val="left" w:pos="288"/>
          <w:tab w:val="left" w:pos="4752"/>
        </w:tabs>
        <w:jc w:val="both"/>
        <w:rPr>
          <w:color w:val="auto"/>
          <w:szCs w:val="24"/>
        </w:rPr>
      </w:pPr>
      <w:r w:rsidRPr="006E1352">
        <w:rPr>
          <w:color w:val="auto"/>
          <w:szCs w:val="24"/>
        </w:rPr>
        <w:t xml:space="preserve">The Board considered that the exam had the highest probative value for rating.  The initial VA C&amp;P exam </w:t>
      </w:r>
      <w:r w:rsidR="002355CE" w:rsidRPr="006E1352">
        <w:rPr>
          <w:color w:val="auto"/>
          <w:szCs w:val="24"/>
        </w:rPr>
        <w:t xml:space="preserve">was less detailed and </w:t>
      </w:r>
      <w:r w:rsidRPr="006E1352">
        <w:rPr>
          <w:color w:val="auto"/>
          <w:szCs w:val="24"/>
        </w:rPr>
        <w:t>had no indication of testing of balance or rapid alternating movements</w:t>
      </w:r>
      <w:r w:rsidR="002355CE" w:rsidRPr="006E1352">
        <w:rPr>
          <w:color w:val="auto"/>
          <w:szCs w:val="24"/>
        </w:rPr>
        <w:t>.</w:t>
      </w:r>
      <w:r w:rsidR="00705037" w:rsidRPr="006E1352">
        <w:rPr>
          <w:color w:val="auto"/>
          <w:szCs w:val="24"/>
        </w:rPr>
        <w:t xml:space="preserve">  The Board first considered if the sensory neuropathy of the left and </w:t>
      </w:r>
      <w:r w:rsidR="00E2392A">
        <w:rPr>
          <w:color w:val="auto"/>
          <w:szCs w:val="24"/>
        </w:rPr>
        <w:t xml:space="preserve">of the </w:t>
      </w:r>
      <w:r w:rsidR="00705037" w:rsidRPr="006E1352">
        <w:rPr>
          <w:color w:val="auto"/>
          <w:szCs w:val="24"/>
        </w:rPr>
        <w:t xml:space="preserve">right upper extremities having been de-coupled from the combined PEB adjudication </w:t>
      </w:r>
      <w:r w:rsidR="00E2392A">
        <w:rPr>
          <w:color w:val="auto"/>
          <w:szCs w:val="24"/>
        </w:rPr>
        <w:t xml:space="preserve">each </w:t>
      </w:r>
      <w:r w:rsidR="00705037" w:rsidRPr="006E1352">
        <w:rPr>
          <w:color w:val="auto"/>
          <w:szCs w:val="24"/>
        </w:rPr>
        <w:t>remained independently unfitting</w:t>
      </w:r>
      <w:r w:rsidR="004E6414" w:rsidRPr="006E1352">
        <w:rPr>
          <w:color w:val="auto"/>
          <w:szCs w:val="24"/>
        </w:rPr>
        <w:t xml:space="preserve">. </w:t>
      </w:r>
      <w:r w:rsidR="00E2392A">
        <w:rPr>
          <w:color w:val="auto"/>
          <w:szCs w:val="24"/>
        </w:rPr>
        <w:t xml:space="preserve"> </w:t>
      </w:r>
    </w:p>
    <w:p w:rsidR="00297BC0" w:rsidRDefault="00297BC0" w:rsidP="00165EDE">
      <w:pPr>
        <w:tabs>
          <w:tab w:val="left" w:pos="288"/>
          <w:tab w:val="left" w:pos="4752"/>
        </w:tabs>
        <w:jc w:val="both"/>
        <w:rPr>
          <w:color w:val="auto"/>
          <w:szCs w:val="24"/>
        </w:rPr>
      </w:pPr>
    </w:p>
    <w:p w:rsidR="00705037" w:rsidRDefault="004E6414" w:rsidP="00165EDE">
      <w:pPr>
        <w:tabs>
          <w:tab w:val="left" w:pos="288"/>
          <w:tab w:val="left" w:pos="4752"/>
        </w:tabs>
        <w:jc w:val="both"/>
        <w:rPr>
          <w:color w:val="auto"/>
          <w:szCs w:val="24"/>
        </w:rPr>
      </w:pPr>
      <w:r w:rsidRPr="006E1352">
        <w:rPr>
          <w:color w:val="auto"/>
          <w:szCs w:val="24"/>
        </w:rPr>
        <w:t>The CI’s military occupation was a vehicle mechanic which requires both hands to be fully functional.</w:t>
      </w:r>
      <w:r w:rsidR="008C3CC3" w:rsidRPr="006E1352">
        <w:rPr>
          <w:color w:val="auto"/>
          <w:szCs w:val="24"/>
        </w:rPr>
        <w:t xml:space="preserve">  As documented above, the CI’s hands were not fully functional and additionally, </w:t>
      </w:r>
      <w:r w:rsidR="00E2392A">
        <w:rPr>
          <w:color w:val="auto"/>
          <w:szCs w:val="24"/>
        </w:rPr>
        <w:t>neither hand was significantly less impacted than the other.  T</w:t>
      </w:r>
      <w:r w:rsidR="008C3CC3" w:rsidRPr="006E1352">
        <w:rPr>
          <w:color w:val="auto"/>
          <w:szCs w:val="24"/>
        </w:rPr>
        <w:t>here was insufficient evidence in the record to overturn the PEB’s determination of a globally unfitting condition that included specific consideration of the hands</w:t>
      </w:r>
      <w:r w:rsidR="00E2392A">
        <w:rPr>
          <w:color w:val="auto"/>
          <w:szCs w:val="24"/>
        </w:rPr>
        <w:t>, and the left hand and the right hand were adjudged as each unfitting</w:t>
      </w:r>
      <w:r w:rsidR="008C3CC3" w:rsidRPr="006E1352">
        <w:rPr>
          <w:color w:val="auto"/>
          <w:szCs w:val="24"/>
        </w:rPr>
        <w:t xml:space="preserve">.  All members agreed that Sensory Neuropathy left </w:t>
      </w:r>
      <w:r w:rsidR="00E2392A">
        <w:rPr>
          <w:color w:val="auto"/>
          <w:szCs w:val="24"/>
        </w:rPr>
        <w:t xml:space="preserve">upper extremity </w:t>
      </w:r>
      <w:r w:rsidR="008C3CC3" w:rsidRPr="006E1352">
        <w:rPr>
          <w:color w:val="auto"/>
          <w:szCs w:val="24"/>
        </w:rPr>
        <w:t xml:space="preserve">and </w:t>
      </w:r>
      <w:r w:rsidR="00E2392A">
        <w:rPr>
          <w:color w:val="auto"/>
          <w:szCs w:val="24"/>
        </w:rPr>
        <w:t xml:space="preserve">the </w:t>
      </w:r>
      <w:r w:rsidR="00E2392A" w:rsidRPr="006E1352">
        <w:rPr>
          <w:color w:val="auto"/>
          <w:szCs w:val="24"/>
        </w:rPr>
        <w:t xml:space="preserve">Sensory Neuropathy </w:t>
      </w:r>
      <w:r w:rsidR="008C3CC3" w:rsidRPr="006E1352">
        <w:rPr>
          <w:color w:val="auto"/>
          <w:szCs w:val="24"/>
        </w:rPr>
        <w:t xml:space="preserve">right upper extremity, would </w:t>
      </w:r>
      <w:r w:rsidR="00297BC0">
        <w:rPr>
          <w:color w:val="auto"/>
          <w:szCs w:val="24"/>
        </w:rPr>
        <w:t xml:space="preserve">each </w:t>
      </w:r>
      <w:r w:rsidR="008C3CC3" w:rsidRPr="006E1352">
        <w:rPr>
          <w:color w:val="auto"/>
          <w:szCs w:val="24"/>
        </w:rPr>
        <w:t xml:space="preserve">have rendered the CI incapable of continued service within his MOS; and, accordingly merit a separate Service rating. </w:t>
      </w:r>
      <w:r w:rsidR="006E1352">
        <w:rPr>
          <w:color w:val="auto"/>
          <w:szCs w:val="24"/>
        </w:rPr>
        <w:t xml:space="preserve"> </w:t>
      </w:r>
      <w:r w:rsidR="008C3CC3" w:rsidRPr="006E1352">
        <w:rPr>
          <w:color w:val="auto"/>
          <w:szCs w:val="24"/>
        </w:rPr>
        <w:t xml:space="preserve">VARSD code 8612 represents an inflammation of the lower </w:t>
      </w:r>
      <w:proofErr w:type="spellStart"/>
      <w:r w:rsidR="008C3CC3" w:rsidRPr="006E1352">
        <w:rPr>
          <w:color w:val="auto"/>
          <w:szCs w:val="24"/>
        </w:rPr>
        <w:t>radicular</w:t>
      </w:r>
      <w:proofErr w:type="spellEnd"/>
      <w:r w:rsidR="008C3CC3" w:rsidRPr="006E1352">
        <w:rPr>
          <w:color w:val="auto"/>
          <w:szCs w:val="24"/>
        </w:rPr>
        <w:t xml:space="preserve"> group, all intrinsic of the hands, and corresponds with the CI’s upper extremity symptoms</w:t>
      </w:r>
      <w:r w:rsidR="00E2392A">
        <w:rPr>
          <w:color w:val="auto"/>
          <w:szCs w:val="24"/>
        </w:rPr>
        <w:t xml:space="preserve"> and EMG findings</w:t>
      </w:r>
      <w:r w:rsidR="008C3CC3" w:rsidRPr="006E1352">
        <w:rPr>
          <w:color w:val="auto"/>
          <w:szCs w:val="24"/>
        </w:rPr>
        <w:t>.</w:t>
      </w:r>
      <w:r w:rsidR="006E1352" w:rsidRPr="006E1352">
        <w:rPr>
          <w:color w:val="auto"/>
          <w:szCs w:val="24"/>
        </w:rPr>
        <w:t xml:space="preserve">  </w:t>
      </w:r>
      <w:r w:rsidR="00297BC0">
        <w:rPr>
          <w:color w:val="auto"/>
          <w:szCs w:val="24"/>
        </w:rPr>
        <w:t>Each of</w:t>
      </w:r>
      <w:r w:rsidR="006E1352" w:rsidRPr="006E1352">
        <w:rPr>
          <w:color w:val="auto"/>
          <w:szCs w:val="24"/>
        </w:rPr>
        <w:t xml:space="preserve"> the CI’s upper extremities </w:t>
      </w:r>
      <w:r w:rsidR="00297BC0">
        <w:rPr>
          <w:color w:val="auto"/>
          <w:szCs w:val="24"/>
        </w:rPr>
        <w:t>is</w:t>
      </w:r>
      <w:r w:rsidR="006E1352" w:rsidRPr="006E1352">
        <w:rPr>
          <w:color w:val="auto"/>
          <w:szCs w:val="24"/>
        </w:rPr>
        <w:t xml:space="preserve"> impaired </w:t>
      </w:r>
      <w:r w:rsidR="006E1352">
        <w:rPr>
          <w:color w:val="auto"/>
          <w:szCs w:val="24"/>
        </w:rPr>
        <w:t xml:space="preserve">with the CI </w:t>
      </w:r>
      <w:r w:rsidR="006E1352" w:rsidRPr="006E1352">
        <w:rPr>
          <w:color w:val="auto"/>
          <w:szCs w:val="24"/>
        </w:rPr>
        <w:t>experienc</w:t>
      </w:r>
      <w:r w:rsidR="006E1352">
        <w:rPr>
          <w:color w:val="auto"/>
          <w:szCs w:val="24"/>
        </w:rPr>
        <w:t xml:space="preserve">ing </w:t>
      </w:r>
      <w:r w:rsidR="006E1352" w:rsidRPr="006E1352">
        <w:rPr>
          <w:color w:val="auto"/>
          <w:szCs w:val="24"/>
        </w:rPr>
        <w:t>painful sensations in both hands that prevent him from properly using his hands and he frequently drops objects.  Th</w:t>
      </w:r>
      <w:r w:rsidR="00297BC0">
        <w:rPr>
          <w:color w:val="auto"/>
          <w:szCs w:val="24"/>
        </w:rPr>
        <w:t xml:space="preserve">e Board adjudged the level of impairment of the right hand as mild and the left hand as mild </w:t>
      </w:r>
      <w:r w:rsidR="006D5EBB">
        <w:rPr>
          <w:color w:val="auto"/>
          <w:szCs w:val="24"/>
        </w:rPr>
        <w:t xml:space="preserve">each </w:t>
      </w:r>
      <w:r w:rsidR="00297BC0">
        <w:rPr>
          <w:color w:val="auto"/>
          <w:szCs w:val="24"/>
        </w:rPr>
        <w:t xml:space="preserve">under the </w:t>
      </w:r>
      <w:r w:rsidR="00297BC0" w:rsidRPr="006E1352">
        <w:rPr>
          <w:color w:val="auto"/>
          <w:szCs w:val="24"/>
        </w:rPr>
        <w:t xml:space="preserve">lower </w:t>
      </w:r>
      <w:proofErr w:type="spellStart"/>
      <w:r w:rsidR="00297BC0" w:rsidRPr="006E1352">
        <w:rPr>
          <w:color w:val="auto"/>
          <w:szCs w:val="24"/>
        </w:rPr>
        <w:t>radicular</w:t>
      </w:r>
      <w:proofErr w:type="spellEnd"/>
      <w:r w:rsidR="00297BC0" w:rsidRPr="006E1352">
        <w:rPr>
          <w:color w:val="auto"/>
          <w:szCs w:val="24"/>
        </w:rPr>
        <w:t xml:space="preserve"> group </w:t>
      </w:r>
      <w:r w:rsidR="00297BC0">
        <w:rPr>
          <w:color w:val="auto"/>
          <w:szCs w:val="24"/>
        </w:rPr>
        <w:t xml:space="preserve">coding of 8612.  </w:t>
      </w:r>
    </w:p>
    <w:p w:rsidR="00705037" w:rsidRDefault="00705037" w:rsidP="00165EDE">
      <w:pPr>
        <w:tabs>
          <w:tab w:val="left" w:pos="288"/>
          <w:tab w:val="left" w:pos="4752"/>
        </w:tabs>
        <w:jc w:val="both"/>
        <w:rPr>
          <w:color w:val="auto"/>
        </w:rPr>
      </w:pPr>
    </w:p>
    <w:p w:rsidR="00297BC0" w:rsidRDefault="006E1352" w:rsidP="00165EDE">
      <w:pPr>
        <w:tabs>
          <w:tab w:val="left" w:pos="288"/>
          <w:tab w:val="left" w:pos="4752"/>
        </w:tabs>
        <w:jc w:val="both"/>
        <w:rPr>
          <w:color w:val="auto"/>
          <w:szCs w:val="24"/>
        </w:rPr>
      </w:pPr>
      <w:r w:rsidRPr="006E1352">
        <w:rPr>
          <w:color w:val="auto"/>
          <w:szCs w:val="24"/>
        </w:rPr>
        <w:t xml:space="preserve">The Board then considered if, </w:t>
      </w:r>
      <w:r w:rsidR="00970B0D">
        <w:rPr>
          <w:color w:val="auto"/>
          <w:szCs w:val="24"/>
        </w:rPr>
        <w:t>s</w:t>
      </w:r>
      <w:r w:rsidRPr="006E1352">
        <w:rPr>
          <w:color w:val="auto"/>
          <w:szCs w:val="24"/>
        </w:rPr>
        <w:t xml:space="preserve">ensory </w:t>
      </w:r>
      <w:r w:rsidR="00970B0D">
        <w:rPr>
          <w:color w:val="auto"/>
          <w:szCs w:val="24"/>
        </w:rPr>
        <w:t>n</w:t>
      </w:r>
      <w:r w:rsidRPr="006E1352">
        <w:rPr>
          <w:color w:val="auto"/>
          <w:szCs w:val="24"/>
        </w:rPr>
        <w:t xml:space="preserve">europathy </w:t>
      </w:r>
      <w:r w:rsidR="00297BC0">
        <w:rPr>
          <w:color w:val="auto"/>
          <w:szCs w:val="24"/>
        </w:rPr>
        <w:t xml:space="preserve">of the </w:t>
      </w:r>
      <w:r>
        <w:rPr>
          <w:color w:val="auto"/>
          <w:szCs w:val="24"/>
        </w:rPr>
        <w:t>left and</w:t>
      </w:r>
      <w:r w:rsidR="00297BC0">
        <w:rPr>
          <w:color w:val="auto"/>
          <w:szCs w:val="24"/>
        </w:rPr>
        <w:t>/or the</w:t>
      </w:r>
      <w:r>
        <w:rPr>
          <w:color w:val="auto"/>
          <w:szCs w:val="24"/>
        </w:rPr>
        <w:t xml:space="preserve"> right l</w:t>
      </w:r>
      <w:r w:rsidRPr="006E1352">
        <w:rPr>
          <w:color w:val="auto"/>
          <w:szCs w:val="24"/>
        </w:rPr>
        <w:t xml:space="preserve">ower </w:t>
      </w:r>
      <w:r>
        <w:rPr>
          <w:color w:val="auto"/>
          <w:szCs w:val="24"/>
        </w:rPr>
        <w:t>e</w:t>
      </w:r>
      <w:r w:rsidRPr="006E1352">
        <w:rPr>
          <w:color w:val="auto"/>
          <w:szCs w:val="24"/>
        </w:rPr>
        <w:t xml:space="preserve">xtremity having been de-coupled from the combined PEB </w:t>
      </w:r>
      <w:r w:rsidR="00716B95" w:rsidRPr="006E1352">
        <w:rPr>
          <w:color w:val="auto"/>
          <w:szCs w:val="24"/>
        </w:rPr>
        <w:t>adjudication</w:t>
      </w:r>
      <w:r w:rsidRPr="006E1352">
        <w:rPr>
          <w:color w:val="auto"/>
          <w:szCs w:val="24"/>
        </w:rPr>
        <w:t xml:space="preserve"> remained independently unfitting as established above.  </w:t>
      </w:r>
      <w:r>
        <w:rPr>
          <w:color w:val="auto"/>
          <w:szCs w:val="24"/>
        </w:rPr>
        <w:t>As a military member, one must be able to run and perform operations during the night.  A</w:t>
      </w:r>
      <w:r w:rsidRPr="006E1352">
        <w:rPr>
          <w:color w:val="auto"/>
          <w:szCs w:val="24"/>
        </w:rPr>
        <w:t>s documented above, the CI</w:t>
      </w:r>
      <w:r>
        <w:rPr>
          <w:color w:val="auto"/>
          <w:szCs w:val="24"/>
        </w:rPr>
        <w:t xml:space="preserve">’s ambulation was impaired </w:t>
      </w:r>
      <w:r w:rsidR="00782DD0">
        <w:rPr>
          <w:color w:val="auto"/>
          <w:szCs w:val="24"/>
        </w:rPr>
        <w:t xml:space="preserve">especially at night and on uneven ground due to the sensory deficits present in </w:t>
      </w:r>
      <w:r w:rsidR="00297BC0">
        <w:rPr>
          <w:color w:val="auto"/>
          <w:szCs w:val="24"/>
        </w:rPr>
        <w:t>each</w:t>
      </w:r>
      <w:r w:rsidR="00782DD0">
        <w:rPr>
          <w:color w:val="auto"/>
          <w:szCs w:val="24"/>
        </w:rPr>
        <w:t xml:space="preserve"> f</w:t>
      </w:r>
      <w:r w:rsidR="00297BC0">
        <w:rPr>
          <w:color w:val="auto"/>
          <w:szCs w:val="24"/>
        </w:rPr>
        <w:t>oo</w:t>
      </w:r>
      <w:r w:rsidR="00782DD0">
        <w:rPr>
          <w:color w:val="auto"/>
          <w:szCs w:val="24"/>
        </w:rPr>
        <w:t>t</w:t>
      </w:r>
      <w:r w:rsidRPr="006E1352">
        <w:rPr>
          <w:color w:val="auto"/>
          <w:szCs w:val="24"/>
        </w:rPr>
        <w:t xml:space="preserve"> and </w:t>
      </w:r>
      <w:r w:rsidR="00782DD0" w:rsidRPr="006E1352">
        <w:rPr>
          <w:color w:val="auto"/>
          <w:szCs w:val="24"/>
        </w:rPr>
        <w:t>additionally;</w:t>
      </w:r>
      <w:r w:rsidRPr="006E1352">
        <w:rPr>
          <w:color w:val="auto"/>
          <w:szCs w:val="24"/>
        </w:rPr>
        <w:t xml:space="preserve"> there was insufficient evidence in the record to overturn the PEB’s determination of a globally unfitting condition that included specific consideration of </w:t>
      </w:r>
      <w:r w:rsidR="00297BC0">
        <w:rPr>
          <w:color w:val="auto"/>
          <w:szCs w:val="24"/>
        </w:rPr>
        <w:t>both</w:t>
      </w:r>
      <w:r w:rsidRPr="006E1352">
        <w:rPr>
          <w:color w:val="auto"/>
          <w:szCs w:val="24"/>
        </w:rPr>
        <w:t xml:space="preserve"> </w:t>
      </w:r>
      <w:r w:rsidR="00782DD0">
        <w:rPr>
          <w:color w:val="auto"/>
          <w:szCs w:val="24"/>
        </w:rPr>
        <w:t>feet</w:t>
      </w:r>
      <w:r w:rsidRPr="006E1352">
        <w:rPr>
          <w:color w:val="auto"/>
          <w:szCs w:val="24"/>
        </w:rPr>
        <w:t xml:space="preserve">.  All members agreed that </w:t>
      </w:r>
      <w:r w:rsidR="00970B0D">
        <w:rPr>
          <w:color w:val="auto"/>
          <w:szCs w:val="24"/>
        </w:rPr>
        <w:t>s</w:t>
      </w:r>
      <w:r w:rsidRPr="006E1352">
        <w:rPr>
          <w:color w:val="auto"/>
          <w:szCs w:val="24"/>
        </w:rPr>
        <w:t xml:space="preserve">ensory </w:t>
      </w:r>
      <w:r w:rsidR="00970B0D">
        <w:rPr>
          <w:color w:val="auto"/>
          <w:szCs w:val="24"/>
        </w:rPr>
        <w:t>n</w:t>
      </w:r>
      <w:r w:rsidRPr="006E1352">
        <w:rPr>
          <w:color w:val="auto"/>
          <w:szCs w:val="24"/>
        </w:rPr>
        <w:t xml:space="preserve">europathy left </w:t>
      </w:r>
      <w:r w:rsidR="00782DD0">
        <w:rPr>
          <w:color w:val="auto"/>
          <w:szCs w:val="24"/>
        </w:rPr>
        <w:t xml:space="preserve">lower </w:t>
      </w:r>
      <w:r w:rsidR="00716B95" w:rsidRPr="006E1352">
        <w:rPr>
          <w:color w:val="auto"/>
          <w:szCs w:val="24"/>
        </w:rPr>
        <w:t>extremity</w:t>
      </w:r>
      <w:r w:rsidRPr="006E1352">
        <w:rPr>
          <w:color w:val="auto"/>
          <w:szCs w:val="24"/>
        </w:rPr>
        <w:t xml:space="preserve"> </w:t>
      </w:r>
      <w:r w:rsidR="00297BC0">
        <w:rPr>
          <w:color w:val="auto"/>
          <w:szCs w:val="24"/>
        </w:rPr>
        <w:t xml:space="preserve">and </w:t>
      </w:r>
      <w:r w:rsidR="00970B0D">
        <w:rPr>
          <w:color w:val="auto"/>
          <w:szCs w:val="24"/>
        </w:rPr>
        <w:t>s</w:t>
      </w:r>
      <w:r w:rsidR="00297BC0" w:rsidRPr="006E1352">
        <w:rPr>
          <w:color w:val="auto"/>
          <w:szCs w:val="24"/>
        </w:rPr>
        <w:t xml:space="preserve">ensory </w:t>
      </w:r>
      <w:r w:rsidR="00970B0D">
        <w:rPr>
          <w:color w:val="auto"/>
          <w:szCs w:val="24"/>
        </w:rPr>
        <w:t>n</w:t>
      </w:r>
      <w:r w:rsidR="00297BC0" w:rsidRPr="006E1352">
        <w:rPr>
          <w:color w:val="auto"/>
          <w:szCs w:val="24"/>
        </w:rPr>
        <w:t xml:space="preserve">europathy right </w:t>
      </w:r>
      <w:r w:rsidR="00297BC0">
        <w:rPr>
          <w:color w:val="auto"/>
          <w:szCs w:val="24"/>
        </w:rPr>
        <w:t xml:space="preserve">lower </w:t>
      </w:r>
      <w:r w:rsidR="00297BC0" w:rsidRPr="006E1352">
        <w:rPr>
          <w:color w:val="auto"/>
          <w:szCs w:val="24"/>
        </w:rPr>
        <w:t>extremity</w:t>
      </w:r>
      <w:r w:rsidRPr="006E1352">
        <w:rPr>
          <w:color w:val="auto"/>
          <w:szCs w:val="24"/>
        </w:rPr>
        <w:t xml:space="preserve"> would have rendered the CI incapable of continued </w:t>
      </w:r>
      <w:r w:rsidR="00782DD0">
        <w:rPr>
          <w:color w:val="auto"/>
          <w:szCs w:val="24"/>
        </w:rPr>
        <w:t xml:space="preserve">military </w:t>
      </w:r>
      <w:r w:rsidRPr="006E1352">
        <w:rPr>
          <w:color w:val="auto"/>
          <w:szCs w:val="24"/>
        </w:rPr>
        <w:t>service</w:t>
      </w:r>
      <w:r w:rsidR="00782DD0">
        <w:rPr>
          <w:color w:val="auto"/>
          <w:szCs w:val="24"/>
        </w:rPr>
        <w:t xml:space="preserve">; </w:t>
      </w:r>
      <w:r w:rsidRPr="006E1352">
        <w:rPr>
          <w:color w:val="auto"/>
          <w:szCs w:val="24"/>
        </w:rPr>
        <w:t xml:space="preserve">and, accordingly </w:t>
      </w:r>
      <w:r w:rsidR="00297BC0">
        <w:rPr>
          <w:color w:val="auto"/>
          <w:szCs w:val="24"/>
        </w:rPr>
        <w:t xml:space="preserve">each lower </w:t>
      </w:r>
      <w:r w:rsidR="00297BC0">
        <w:rPr>
          <w:color w:val="auto"/>
          <w:szCs w:val="24"/>
        </w:rPr>
        <w:lastRenderedPageBreak/>
        <w:t xml:space="preserve">extremity </w:t>
      </w:r>
      <w:r w:rsidRPr="006E1352">
        <w:rPr>
          <w:color w:val="auto"/>
          <w:szCs w:val="24"/>
        </w:rPr>
        <w:t xml:space="preserve">merits a separate Service rating. </w:t>
      </w:r>
      <w:r>
        <w:rPr>
          <w:color w:val="auto"/>
          <w:szCs w:val="24"/>
        </w:rPr>
        <w:t xml:space="preserve"> </w:t>
      </w:r>
      <w:r w:rsidRPr="006E1352">
        <w:rPr>
          <w:color w:val="auto"/>
          <w:szCs w:val="24"/>
        </w:rPr>
        <w:t xml:space="preserve">VASRD code 8621 represents neuritis of the common </w:t>
      </w:r>
      <w:proofErr w:type="spellStart"/>
      <w:r w:rsidRPr="006E1352">
        <w:rPr>
          <w:color w:val="auto"/>
          <w:szCs w:val="24"/>
        </w:rPr>
        <w:t>peroneal</w:t>
      </w:r>
      <w:proofErr w:type="spellEnd"/>
      <w:r w:rsidRPr="006E1352">
        <w:rPr>
          <w:color w:val="auto"/>
          <w:szCs w:val="24"/>
        </w:rPr>
        <w:t xml:space="preserve"> nerve of the lower extremities</w:t>
      </w:r>
      <w:r w:rsidR="00297BC0">
        <w:rPr>
          <w:color w:val="auto"/>
          <w:szCs w:val="24"/>
        </w:rPr>
        <w:t xml:space="preserve"> which aligns with the EMG and physical exam findings</w:t>
      </w:r>
      <w:r w:rsidRPr="006E1352">
        <w:rPr>
          <w:color w:val="auto"/>
          <w:szCs w:val="24"/>
        </w:rPr>
        <w:t xml:space="preserve">.  </w:t>
      </w:r>
      <w:r w:rsidR="00297BC0" w:rsidRPr="006E1352">
        <w:rPr>
          <w:color w:val="auto"/>
          <w:szCs w:val="24"/>
        </w:rPr>
        <w:t>Th</w:t>
      </w:r>
      <w:r w:rsidR="00297BC0">
        <w:rPr>
          <w:color w:val="auto"/>
          <w:szCs w:val="24"/>
        </w:rPr>
        <w:t>e Board adjudged the level of impairment of the right leg as mild and the left leg as mild</w:t>
      </w:r>
      <w:r w:rsidR="006D5EBB">
        <w:rPr>
          <w:color w:val="auto"/>
          <w:szCs w:val="24"/>
        </w:rPr>
        <w:t>, each</w:t>
      </w:r>
      <w:r w:rsidR="00297BC0">
        <w:rPr>
          <w:color w:val="auto"/>
          <w:szCs w:val="24"/>
        </w:rPr>
        <w:t xml:space="preserve"> under the </w:t>
      </w:r>
      <w:r w:rsidR="00970B0D">
        <w:rPr>
          <w:color w:val="auto"/>
          <w:szCs w:val="24"/>
        </w:rPr>
        <w:t>e</w:t>
      </w:r>
      <w:r w:rsidR="006D5EBB" w:rsidRPr="006D5EBB">
        <w:rPr>
          <w:color w:val="auto"/>
          <w:szCs w:val="24"/>
        </w:rPr>
        <w:t xml:space="preserve">xternal </w:t>
      </w:r>
      <w:proofErr w:type="spellStart"/>
      <w:r w:rsidR="006D5EBB" w:rsidRPr="006D5EBB">
        <w:rPr>
          <w:color w:val="auto"/>
          <w:szCs w:val="24"/>
        </w:rPr>
        <w:t>popliteal</w:t>
      </w:r>
      <w:proofErr w:type="spellEnd"/>
      <w:r w:rsidR="006D5EBB" w:rsidRPr="006D5EBB">
        <w:rPr>
          <w:color w:val="auto"/>
          <w:szCs w:val="24"/>
        </w:rPr>
        <w:t xml:space="preserve"> nerve (common </w:t>
      </w:r>
      <w:proofErr w:type="spellStart"/>
      <w:r w:rsidR="006D5EBB" w:rsidRPr="006D5EBB">
        <w:rPr>
          <w:color w:val="auto"/>
          <w:szCs w:val="24"/>
        </w:rPr>
        <w:t>peroneal</w:t>
      </w:r>
      <w:proofErr w:type="spellEnd"/>
      <w:r w:rsidR="006D5EBB" w:rsidRPr="006D5EBB">
        <w:rPr>
          <w:color w:val="auto"/>
          <w:szCs w:val="24"/>
        </w:rPr>
        <w:t>)</w:t>
      </w:r>
      <w:r w:rsidR="006D5EBB">
        <w:rPr>
          <w:color w:val="auto"/>
          <w:szCs w:val="24"/>
        </w:rPr>
        <w:t xml:space="preserve"> </w:t>
      </w:r>
      <w:r w:rsidR="00297BC0">
        <w:rPr>
          <w:color w:val="auto"/>
          <w:szCs w:val="24"/>
        </w:rPr>
        <w:t>coding of 86</w:t>
      </w:r>
      <w:r w:rsidR="006D5EBB">
        <w:rPr>
          <w:color w:val="auto"/>
          <w:szCs w:val="24"/>
        </w:rPr>
        <w:t>21</w:t>
      </w:r>
      <w:r w:rsidR="00297BC0">
        <w:rPr>
          <w:color w:val="auto"/>
          <w:szCs w:val="24"/>
        </w:rPr>
        <w:t xml:space="preserve">.  </w:t>
      </w:r>
    </w:p>
    <w:p w:rsidR="00705037" w:rsidRDefault="00705037" w:rsidP="00165EDE">
      <w:pPr>
        <w:tabs>
          <w:tab w:val="left" w:pos="288"/>
          <w:tab w:val="left" w:pos="4752"/>
        </w:tabs>
        <w:jc w:val="both"/>
        <w:rPr>
          <w:color w:val="auto"/>
        </w:rPr>
      </w:pPr>
    </w:p>
    <w:p w:rsidR="006B6840" w:rsidRPr="00242FD4" w:rsidRDefault="00241B01" w:rsidP="00242FD4">
      <w:pPr>
        <w:tabs>
          <w:tab w:val="left" w:pos="288"/>
          <w:tab w:val="left" w:pos="4752"/>
        </w:tabs>
        <w:jc w:val="both"/>
        <w:rPr>
          <w:rFonts w:eastAsia="Calibri" w:cs="Times New Roman"/>
          <w:color w:val="auto"/>
          <w:szCs w:val="24"/>
        </w:rPr>
      </w:pPr>
      <w:r w:rsidRPr="00242FD4">
        <w:rPr>
          <w:rFonts w:eastAsia="Calibri" w:cs="Times New Roman"/>
          <w:color w:val="auto"/>
          <w:szCs w:val="24"/>
        </w:rPr>
        <w:t xml:space="preserve">After due deliberation, considering all of the evidence and mindful of VASRD §4.3 (reasonable doubt), the Board recommends </w:t>
      </w:r>
      <w:r w:rsidR="006D5EBB">
        <w:rPr>
          <w:rFonts w:eastAsia="Calibri" w:cs="Times New Roman"/>
          <w:color w:val="auto"/>
          <w:szCs w:val="24"/>
        </w:rPr>
        <w:t xml:space="preserve">the CI’s </w:t>
      </w:r>
      <w:r w:rsidR="00970B0D">
        <w:rPr>
          <w:rFonts w:eastAsia="Calibri" w:cs="Times New Roman"/>
          <w:color w:val="auto"/>
          <w:szCs w:val="24"/>
        </w:rPr>
        <w:t>p</w:t>
      </w:r>
      <w:r w:rsidR="006D5EBB" w:rsidRPr="00173E1A">
        <w:rPr>
          <w:color w:val="auto"/>
        </w:rPr>
        <w:t xml:space="preserve">eripheral </w:t>
      </w:r>
      <w:r w:rsidR="00970B0D">
        <w:rPr>
          <w:color w:val="auto"/>
        </w:rPr>
        <w:t>s</w:t>
      </w:r>
      <w:r w:rsidR="006D5EBB" w:rsidRPr="00173E1A">
        <w:rPr>
          <w:color w:val="auto"/>
        </w:rPr>
        <w:t xml:space="preserve">ensory </w:t>
      </w:r>
      <w:r w:rsidR="00970B0D">
        <w:rPr>
          <w:color w:val="auto"/>
        </w:rPr>
        <w:t>n</w:t>
      </w:r>
      <w:r w:rsidR="006D5EBB" w:rsidRPr="00173E1A">
        <w:rPr>
          <w:color w:val="auto"/>
        </w:rPr>
        <w:t xml:space="preserve">europathy of </w:t>
      </w:r>
      <w:r w:rsidR="00970B0D">
        <w:rPr>
          <w:color w:val="auto"/>
        </w:rPr>
        <w:t>u</w:t>
      </w:r>
      <w:r w:rsidR="006D5EBB" w:rsidRPr="00173E1A">
        <w:rPr>
          <w:color w:val="auto"/>
        </w:rPr>
        <w:t xml:space="preserve">pper and </w:t>
      </w:r>
      <w:r w:rsidR="00970B0D">
        <w:rPr>
          <w:color w:val="auto"/>
        </w:rPr>
        <w:t>l</w:t>
      </w:r>
      <w:r w:rsidR="006D5EBB" w:rsidRPr="00173E1A">
        <w:rPr>
          <w:color w:val="auto"/>
        </w:rPr>
        <w:t xml:space="preserve">ower </w:t>
      </w:r>
      <w:r w:rsidR="00970B0D">
        <w:rPr>
          <w:color w:val="auto"/>
        </w:rPr>
        <w:t>e</w:t>
      </w:r>
      <w:r w:rsidR="006D5EBB" w:rsidRPr="00173E1A">
        <w:rPr>
          <w:color w:val="auto"/>
        </w:rPr>
        <w:t>xtremities</w:t>
      </w:r>
      <w:r w:rsidR="006D5EBB">
        <w:rPr>
          <w:color w:val="auto"/>
        </w:rPr>
        <w:t xml:space="preserve"> be rated for each individual extremity with </w:t>
      </w:r>
      <w:r w:rsidRPr="00242FD4">
        <w:rPr>
          <w:rFonts w:eastAsia="Calibri" w:cs="Times New Roman"/>
          <w:color w:val="auto"/>
          <w:szCs w:val="24"/>
        </w:rPr>
        <w:t xml:space="preserve">disability rating of </w:t>
      </w:r>
      <w:r w:rsidR="006D5EBB" w:rsidRPr="000B1E45">
        <w:rPr>
          <w:color w:val="auto"/>
          <w:szCs w:val="24"/>
        </w:rPr>
        <w:t>Left upper extremity neuritis coded 8025-8612 at 20%</w:t>
      </w:r>
      <w:r w:rsidR="006D5EBB">
        <w:rPr>
          <w:color w:val="auto"/>
          <w:szCs w:val="24"/>
        </w:rPr>
        <w:t xml:space="preserve"> (mild)</w:t>
      </w:r>
      <w:r w:rsidR="00DC489A">
        <w:rPr>
          <w:color w:val="auto"/>
          <w:szCs w:val="24"/>
        </w:rPr>
        <w:t>;</w:t>
      </w:r>
      <w:r w:rsidR="006D5EBB" w:rsidRPr="000B1E45">
        <w:rPr>
          <w:color w:val="auto"/>
          <w:szCs w:val="24"/>
        </w:rPr>
        <w:t xml:space="preserve"> right upper extremity neuritis coded 8025-8612 at 20%</w:t>
      </w:r>
      <w:r w:rsidR="006D5EBB">
        <w:rPr>
          <w:color w:val="auto"/>
          <w:szCs w:val="24"/>
        </w:rPr>
        <w:t xml:space="preserve"> (mild)</w:t>
      </w:r>
      <w:r w:rsidR="00DC489A">
        <w:rPr>
          <w:color w:val="auto"/>
          <w:szCs w:val="24"/>
        </w:rPr>
        <w:t>;</w:t>
      </w:r>
      <w:r w:rsidR="006D5EBB" w:rsidRPr="000B1E45">
        <w:rPr>
          <w:color w:val="auto"/>
          <w:szCs w:val="24"/>
        </w:rPr>
        <w:t xml:space="preserve"> left lower extremity neuritis coded 8025-8621 at 10%</w:t>
      </w:r>
      <w:r w:rsidR="006D5EBB">
        <w:rPr>
          <w:color w:val="auto"/>
          <w:szCs w:val="24"/>
        </w:rPr>
        <w:t xml:space="preserve"> (mild)</w:t>
      </w:r>
      <w:r w:rsidR="00DC489A">
        <w:rPr>
          <w:color w:val="auto"/>
          <w:szCs w:val="24"/>
        </w:rPr>
        <w:t>;</w:t>
      </w:r>
      <w:r w:rsidR="006D5EBB" w:rsidRPr="000B1E45">
        <w:rPr>
          <w:color w:val="auto"/>
          <w:szCs w:val="24"/>
        </w:rPr>
        <w:t xml:space="preserve"> and right lower extremity neuritis coded 8025-8621 at 10%</w:t>
      </w:r>
      <w:r w:rsidR="006D5EBB">
        <w:rPr>
          <w:color w:val="auto"/>
          <w:szCs w:val="24"/>
        </w:rPr>
        <w:t xml:space="preserve"> (mild).  </w:t>
      </w:r>
      <w:r w:rsidR="00242FD4" w:rsidRPr="00242FD4">
        <w:rPr>
          <w:rFonts w:eastAsia="Calibri" w:cs="Times New Roman"/>
          <w:color w:val="auto"/>
          <w:szCs w:val="24"/>
        </w:rPr>
        <w:t>This coding scheme is greater than the minimum 30% rating under VASRD code 8025</w:t>
      </w:r>
      <w:r w:rsidR="006D5EBB">
        <w:rPr>
          <w:rFonts w:eastAsia="Calibri" w:cs="Times New Roman"/>
          <w:color w:val="auto"/>
          <w:szCs w:val="24"/>
        </w:rPr>
        <w:t>, so no stand-alone 8025 rating is warranted.</w:t>
      </w:r>
      <w:r w:rsidR="006B6840" w:rsidRPr="00242FD4">
        <w:rPr>
          <w:rFonts w:eastAsia="Calibri" w:cs="Times New Roman"/>
          <w:color w:val="auto"/>
          <w:szCs w:val="24"/>
        </w:rPr>
        <w:t xml:space="preserve">  </w:t>
      </w:r>
    </w:p>
    <w:p w:rsidR="006B6840" w:rsidRDefault="006B6840" w:rsidP="00BF0E94">
      <w:pPr>
        <w:jc w:val="left"/>
        <w:rPr>
          <w:rFonts w:eastAsia="HiddenHorzOCR"/>
          <w:color w:val="auto"/>
          <w:highlight w:val="magenta"/>
          <w:u w:val="single"/>
        </w:rPr>
      </w:pPr>
    </w:p>
    <w:p w:rsidR="003863E9" w:rsidRPr="00792790" w:rsidRDefault="006B690F" w:rsidP="00D3361E">
      <w:pPr>
        <w:autoSpaceDE w:val="0"/>
        <w:autoSpaceDN w:val="0"/>
        <w:adjustRightInd w:val="0"/>
        <w:jc w:val="both"/>
        <w:rPr>
          <w:rFonts w:eastAsia="Calibri" w:cs="Times New Roman"/>
          <w:color w:val="auto"/>
          <w:szCs w:val="24"/>
        </w:rPr>
      </w:pPr>
      <w:proofErr w:type="gramStart"/>
      <w:r w:rsidRPr="00D3361E">
        <w:rPr>
          <w:rFonts w:eastAsia="HiddenHorzOCR"/>
          <w:color w:val="auto"/>
          <w:szCs w:val="24"/>
          <w:u w:val="single"/>
        </w:rPr>
        <w:t xml:space="preserve">Contended </w:t>
      </w:r>
      <w:r w:rsidR="00AD2379" w:rsidRPr="00D3361E">
        <w:rPr>
          <w:rFonts w:eastAsia="HiddenHorzOCR"/>
          <w:color w:val="auto"/>
          <w:szCs w:val="24"/>
          <w:u w:val="single"/>
        </w:rPr>
        <w:t>PEB Conditions</w:t>
      </w:r>
      <w:r w:rsidR="00AD2379" w:rsidRPr="00D3361E">
        <w:rPr>
          <w:rFonts w:eastAsia="HiddenHorzOCR"/>
          <w:color w:val="auto"/>
          <w:szCs w:val="24"/>
        </w:rPr>
        <w:t>.</w:t>
      </w:r>
      <w:proofErr w:type="gramEnd"/>
      <w:r w:rsidR="0001281C" w:rsidRPr="00D3361E">
        <w:rPr>
          <w:rFonts w:eastAsia="HiddenHorzOCR"/>
          <w:color w:val="auto"/>
          <w:szCs w:val="24"/>
        </w:rPr>
        <w:t xml:space="preserve">  </w:t>
      </w:r>
      <w:r w:rsidR="003863E9" w:rsidRPr="00D3361E">
        <w:rPr>
          <w:rFonts w:eastAsia="Calibri" w:cs="Times New Roman"/>
          <w:color w:val="auto"/>
          <w:szCs w:val="24"/>
        </w:rPr>
        <w:t xml:space="preserve">The contended condition adjudicated as </w:t>
      </w:r>
      <w:r w:rsidR="001C545A" w:rsidRPr="00D3361E">
        <w:rPr>
          <w:rFonts w:eastAsia="Calibri" w:cs="Times New Roman"/>
          <w:color w:val="auto"/>
          <w:szCs w:val="24"/>
        </w:rPr>
        <w:t xml:space="preserve">not </w:t>
      </w:r>
      <w:r w:rsidR="003863E9" w:rsidRPr="00D3361E">
        <w:rPr>
          <w:rFonts w:eastAsia="Calibri" w:cs="Times New Roman"/>
          <w:color w:val="auto"/>
          <w:szCs w:val="24"/>
        </w:rPr>
        <w:t>unfitting by the PEB w</w:t>
      </w:r>
      <w:r w:rsidR="00D3361E" w:rsidRPr="00D3361E">
        <w:rPr>
          <w:rFonts w:eastAsia="Calibri" w:cs="Times New Roman"/>
          <w:color w:val="auto"/>
          <w:szCs w:val="24"/>
        </w:rPr>
        <w:t>as correctable vision</w:t>
      </w:r>
      <w:r w:rsidR="003863E9" w:rsidRPr="00D3361E">
        <w:rPr>
          <w:rFonts w:eastAsia="Calibri" w:cs="Times New Roman"/>
          <w:color w:val="auto"/>
          <w:szCs w:val="24"/>
        </w:rPr>
        <w:t>.  The Board’s first charge with respect to th</w:t>
      </w:r>
      <w:r w:rsidR="00D3361E" w:rsidRPr="00D3361E">
        <w:rPr>
          <w:rFonts w:eastAsia="Calibri" w:cs="Times New Roman"/>
          <w:color w:val="auto"/>
          <w:szCs w:val="24"/>
        </w:rPr>
        <w:t>i</w:t>
      </w:r>
      <w:r w:rsidR="003863E9" w:rsidRPr="00D3361E">
        <w:rPr>
          <w:rFonts w:eastAsia="Calibri" w:cs="Times New Roman"/>
          <w:color w:val="auto"/>
          <w:szCs w:val="24"/>
        </w:rPr>
        <w:t xml:space="preserve">s condition is an assessment of the appropriateness of the PEB’s fitness adjudication.  The Board’s threshold for countering fitness determinations is higher than the VASRD §4.3 (reasonable doubt) standard used for its rating recommendations, but remains adherent to the </w:t>
      </w:r>
      <w:proofErr w:type="spellStart"/>
      <w:r w:rsidR="003863E9" w:rsidRPr="00D3361E">
        <w:rPr>
          <w:rFonts w:eastAsia="Calibri" w:cs="Times New Roman"/>
          <w:color w:val="auto"/>
          <w:szCs w:val="24"/>
        </w:rPr>
        <w:t>DoDI</w:t>
      </w:r>
      <w:proofErr w:type="spellEnd"/>
      <w:r w:rsidR="003863E9" w:rsidRPr="00D3361E">
        <w:rPr>
          <w:rFonts w:eastAsia="Calibri" w:cs="Times New Roman"/>
          <w:color w:val="auto"/>
          <w:szCs w:val="24"/>
        </w:rPr>
        <w:t xml:space="preserve"> 6040.44 “fair and equitable” standard.</w:t>
      </w:r>
      <w:r w:rsidR="00D3361E" w:rsidRPr="00D3361E">
        <w:rPr>
          <w:rFonts w:eastAsia="Calibri" w:cs="Times New Roman"/>
          <w:color w:val="auto"/>
          <w:szCs w:val="24"/>
        </w:rPr>
        <w:t xml:space="preserve">  This </w:t>
      </w:r>
      <w:r w:rsidR="003863E9" w:rsidRPr="00D3361E">
        <w:rPr>
          <w:color w:val="000000"/>
          <w:szCs w:val="24"/>
        </w:rPr>
        <w:t>condition</w:t>
      </w:r>
      <w:r w:rsidR="00D3361E" w:rsidRPr="00D3361E">
        <w:rPr>
          <w:color w:val="000000"/>
          <w:szCs w:val="24"/>
        </w:rPr>
        <w:t xml:space="preserve"> was not </w:t>
      </w:r>
      <w:r w:rsidR="003863E9" w:rsidRPr="00D3361E">
        <w:rPr>
          <w:color w:val="000000"/>
          <w:szCs w:val="24"/>
        </w:rPr>
        <w:t>profiled</w:t>
      </w:r>
      <w:r w:rsidR="00D3361E" w:rsidRPr="00D3361E">
        <w:rPr>
          <w:color w:val="000000"/>
          <w:szCs w:val="24"/>
        </w:rPr>
        <w:t xml:space="preserve">, </w:t>
      </w:r>
      <w:r w:rsidR="00284B35">
        <w:rPr>
          <w:color w:val="000000"/>
          <w:szCs w:val="24"/>
        </w:rPr>
        <w:t xml:space="preserve">not </w:t>
      </w:r>
      <w:r w:rsidR="003863E9" w:rsidRPr="00D3361E">
        <w:rPr>
          <w:color w:val="000000"/>
          <w:szCs w:val="24"/>
        </w:rPr>
        <w:t>implicated in the commander’s statement and</w:t>
      </w:r>
      <w:r w:rsidR="00D3361E" w:rsidRPr="00D3361E">
        <w:rPr>
          <w:color w:val="000000"/>
          <w:szCs w:val="24"/>
        </w:rPr>
        <w:t xml:space="preserve"> not </w:t>
      </w:r>
      <w:r w:rsidR="003863E9" w:rsidRPr="00D3361E">
        <w:rPr>
          <w:color w:val="000000"/>
          <w:szCs w:val="24"/>
        </w:rPr>
        <w:t xml:space="preserve">judged to fail retention standards.  </w:t>
      </w:r>
      <w:r w:rsidR="00D3361E" w:rsidRPr="00D3361E">
        <w:rPr>
          <w:color w:val="000000"/>
          <w:szCs w:val="24"/>
        </w:rPr>
        <w:t xml:space="preserve">It was </w:t>
      </w:r>
      <w:r w:rsidR="003863E9" w:rsidRPr="00D3361E">
        <w:rPr>
          <w:color w:val="000000"/>
          <w:szCs w:val="24"/>
        </w:rPr>
        <w:t>reviewed and considered by the Board.  There was no indication from the record that th</w:t>
      </w:r>
      <w:r w:rsidR="00D3361E" w:rsidRPr="00D3361E">
        <w:rPr>
          <w:color w:val="000000"/>
          <w:szCs w:val="24"/>
        </w:rPr>
        <w:t>i</w:t>
      </w:r>
      <w:r w:rsidR="003863E9" w:rsidRPr="00D3361E">
        <w:rPr>
          <w:color w:val="000000"/>
          <w:szCs w:val="24"/>
        </w:rPr>
        <w:t>s condition significantly interfered with satisfactory duty performance.</w:t>
      </w:r>
      <w:r w:rsidR="00D3361E" w:rsidRPr="00D3361E">
        <w:rPr>
          <w:color w:val="000000"/>
          <w:szCs w:val="24"/>
        </w:rPr>
        <w:t xml:space="preserve"> </w:t>
      </w:r>
      <w:r w:rsidR="00703AE9">
        <w:rPr>
          <w:color w:val="000000"/>
          <w:szCs w:val="24"/>
        </w:rPr>
        <w:t xml:space="preserve"> </w:t>
      </w:r>
      <w:r w:rsidR="003863E9"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D3361E">
        <w:rPr>
          <w:rFonts w:eastAsia="Calibri" w:cs="Times New Roman"/>
          <w:color w:val="auto"/>
          <w:szCs w:val="24"/>
        </w:rPr>
        <w:t xml:space="preserve">correctable vision </w:t>
      </w:r>
      <w:r w:rsidR="003863E9" w:rsidRPr="00792790">
        <w:rPr>
          <w:rFonts w:eastAsia="Calibri" w:cs="Times New Roman"/>
          <w:color w:val="auto"/>
          <w:szCs w:val="24"/>
        </w:rPr>
        <w:t>and, therefore, no additional disability ratings can be recommended.</w:t>
      </w:r>
      <w:r w:rsidR="00284B35">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0B1E45">
        <w:rPr>
          <w:color w:val="auto"/>
          <w:u w:val="single"/>
        </w:rPr>
        <w:t>BOARD FINDINGS</w:t>
      </w:r>
      <w:r w:rsidRPr="000B1E45">
        <w:rPr>
          <w:color w:val="auto"/>
        </w:rPr>
        <w:t xml:space="preserve">:  IAW </w:t>
      </w:r>
      <w:proofErr w:type="spellStart"/>
      <w:r w:rsidRPr="000B1E45">
        <w:rPr>
          <w:color w:val="auto"/>
        </w:rPr>
        <w:t>DoDI</w:t>
      </w:r>
      <w:proofErr w:type="spellEnd"/>
      <w:r w:rsidRPr="000B1E45">
        <w:rPr>
          <w:color w:val="auto"/>
        </w:rPr>
        <w:t xml:space="preserve"> 6040.44, provisions of </w:t>
      </w:r>
      <w:proofErr w:type="spellStart"/>
      <w:r w:rsidRPr="000B1E45">
        <w:rPr>
          <w:color w:val="auto"/>
        </w:rPr>
        <w:t>DoD</w:t>
      </w:r>
      <w:proofErr w:type="spellEnd"/>
      <w:r w:rsidRPr="000B1E45">
        <w:rPr>
          <w:color w:val="auto"/>
        </w:rPr>
        <w:t xml:space="preserve"> or Military Department regulations or guidelines relied upon by the PEB will not be considered by the Board to the extent they were inconsistent with the VASRD in effect at the time of the adjudication</w:t>
      </w:r>
      <w:r w:rsidRPr="000B1E45">
        <w:rPr>
          <w:rFonts w:cs="Times New Roman"/>
          <w:color w:val="auto"/>
        </w:rPr>
        <w:t>.</w:t>
      </w:r>
      <w:r w:rsidR="00173E1A" w:rsidRPr="000B1E45">
        <w:rPr>
          <w:rFonts w:cs="Times New Roman"/>
          <w:color w:val="auto"/>
        </w:rPr>
        <w:t xml:space="preserve">  </w:t>
      </w:r>
      <w:r w:rsidRPr="000B1E45">
        <w:rPr>
          <w:rFonts w:cs="Times New Roman"/>
          <w:color w:val="auto"/>
        </w:rPr>
        <w:t>The Board did not surmise from the record or PEB ruling in this case that any prerogatives outside the VASRD were exercised.</w:t>
      </w:r>
      <w:r w:rsidR="00173E1A" w:rsidRPr="000B1E45">
        <w:rPr>
          <w:rFonts w:cs="Times New Roman"/>
          <w:color w:val="auto"/>
        </w:rPr>
        <w:t xml:space="preserve">  </w:t>
      </w:r>
      <w:r w:rsidR="003D5B96" w:rsidRPr="000B1E45">
        <w:rPr>
          <w:rFonts w:eastAsia="Calibri" w:cs="Times New Roman"/>
          <w:color w:val="auto"/>
          <w:szCs w:val="24"/>
        </w:rPr>
        <w:t xml:space="preserve">In the matter of the peripheral sensory neuropathy of limbs (all four extremities) condition, the Board unanimously recommends </w:t>
      </w:r>
      <w:r w:rsidR="00297653" w:rsidRPr="000B1E45">
        <w:rPr>
          <w:color w:val="auto"/>
          <w:szCs w:val="24"/>
        </w:rPr>
        <w:t>that it be rated for four separate unfitting conditions as follows:  Left upper extremity neur</w:t>
      </w:r>
      <w:r w:rsidR="00173E1A" w:rsidRPr="000B1E45">
        <w:rPr>
          <w:color w:val="auto"/>
          <w:szCs w:val="24"/>
        </w:rPr>
        <w:t xml:space="preserve">itis </w:t>
      </w:r>
      <w:r w:rsidR="00297653" w:rsidRPr="000B1E45">
        <w:rPr>
          <w:color w:val="auto"/>
          <w:szCs w:val="24"/>
        </w:rPr>
        <w:t>coded 8025-8612 and rated at 20%, right upper extremity neur</w:t>
      </w:r>
      <w:r w:rsidR="00173E1A" w:rsidRPr="000B1E45">
        <w:rPr>
          <w:color w:val="auto"/>
          <w:szCs w:val="24"/>
        </w:rPr>
        <w:t xml:space="preserve">itis </w:t>
      </w:r>
      <w:r w:rsidR="00297653" w:rsidRPr="000B1E45">
        <w:rPr>
          <w:color w:val="auto"/>
          <w:szCs w:val="24"/>
        </w:rPr>
        <w:t>coded 8025-8612 and rated at 20%, left lower extremity neur</w:t>
      </w:r>
      <w:r w:rsidR="00173E1A" w:rsidRPr="000B1E45">
        <w:rPr>
          <w:color w:val="auto"/>
          <w:szCs w:val="24"/>
        </w:rPr>
        <w:t xml:space="preserve">itis </w:t>
      </w:r>
      <w:r w:rsidR="00297653" w:rsidRPr="000B1E45">
        <w:rPr>
          <w:color w:val="auto"/>
          <w:szCs w:val="24"/>
        </w:rPr>
        <w:t xml:space="preserve">coded 8025-8621 and rated at </w:t>
      </w:r>
      <w:r w:rsidR="00173E1A" w:rsidRPr="000B1E45">
        <w:rPr>
          <w:color w:val="auto"/>
          <w:szCs w:val="24"/>
        </w:rPr>
        <w:t>1</w:t>
      </w:r>
      <w:r w:rsidR="00297653" w:rsidRPr="000B1E45">
        <w:rPr>
          <w:color w:val="auto"/>
          <w:szCs w:val="24"/>
        </w:rPr>
        <w:t>0%, and right lower extremity neur</w:t>
      </w:r>
      <w:r w:rsidR="00173E1A" w:rsidRPr="000B1E45">
        <w:rPr>
          <w:color w:val="auto"/>
          <w:szCs w:val="24"/>
        </w:rPr>
        <w:t xml:space="preserve">itis </w:t>
      </w:r>
      <w:r w:rsidR="00297653" w:rsidRPr="000B1E45">
        <w:rPr>
          <w:color w:val="auto"/>
          <w:szCs w:val="24"/>
        </w:rPr>
        <w:t xml:space="preserve">coded 8025-8621 and rated at </w:t>
      </w:r>
      <w:r w:rsidR="00173E1A" w:rsidRPr="000B1E45">
        <w:rPr>
          <w:color w:val="auto"/>
          <w:szCs w:val="24"/>
        </w:rPr>
        <w:t>1</w:t>
      </w:r>
      <w:r w:rsidR="00297653" w:rsidRPr="000B1E45">
        <w:rPr>
          <w:color w:val="auto"/>
          <w:szCs w:val="24"/>
        </w:rPr>
        <w:t xml:space="preserve">0%, all IAW </w:t>
      </w:r>
      <w:r w:rsidR="00297653" w:rsidRPr="000B1E45">
        <w:rPr>
          <w:rFonts w:eastAsia="Calibri" w:cs="Times New Roman"/>
          <w:color w:val="auto"/>
          <w:szCs w:val="24"/>
        </w:rPr>
        <w:t>VASRD §</w:t>
      </w:r>
      <w:r w:rsidR="00297653" w:rsidRPr="000B1E45">
        <w:rPr>
          <w:bCs/>
          <w:color w:val="auto"/>
          <w:szCs w:val="24"/>
        </w:rPr>
        <w:t xml:space="preserve">4.123 and §4.124a.  </w:t>
      </w:r>
      <w:r w:rsidR="00560F12" w:rsidRPr="000B1E45">
        <w:rPr>
          <w:rFonts w:eastAsia="Calibri" w:cs="Times New Roman"/>
          <w:color w:val="auto"/>
          <w:szCs w:val="24"/>
        </w:rPr>
        <w:t>In the matter of the contended</w:t>
      </w:r>
      <w:r w:rsidR="00BE2E2A" w:rsidRPr="000B1E45">
        <w:rPr>
          <w:rFonts w:eastAsia="Calibri" w:cs="Times New Roman"/>
          <w:color w:val="auto"/>
          <w:szCs w:val="24"/>
        </w:rPr>
        <w:t xml:space="preserve"> correctable vision </w:t>
      </w:r>
      <w:r w:rsidR="00560F12" w:rsidRPr="000B1E45">
        <w:rPr>
          <w:rFonts w:eastAsia="Calibri" w:cs="Times New Roman"/>
          <w:color w:val="auto"/>
          <w:szCs w:val="24"/>
        </w:rPr>
        <w:t xml:space="preserve">condition, the Board unanimously </w:t>
      </w:r>
      <w:r w:rsidR="00417BED" w:rsidRPr="000B1E45">
        <w:rPr>
          <w:rFonts w:eastAsia="Calibri" w:cs="Times New Roman"/>
          <w:color w:val="auto"/>
          <w:szCs w:val="24"/>
        </w:rPr>
        <w:t>recommends no change from the PEB determination as not unfitting.</w:t>
      </w:r>
      <w:r w:rsidR="000B1E45" w:rsidRPr="000B1E45">
        <w:rPr>
          <w:rFonts w:eastAsia="Calibri" w:cs="Times New Roman"/>
          <w:color w:val="auto"/>
          <w:szCs w:val="24"/>
        </w:rPr>
        <w:t xml:space="preserve">  </w:t>
      </w:r>
      <w:r w:rsidR="00417BED" w:rsidRPr="000B1E45">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D276D6" w:rsidRDefault="00D276D6">
      <w:pPr>
        <w:spacing w:line="240" w:lineRule="auto"/>
        <w:jc w:val="left"/>
        <w:rPr>
          <w:color w:val="auto"/>
          <w:u w:val="single"/>
        </w:rPr>
      </w:pPr>
      <w:r>
        <w:rPr>
          <w:color w:val="auto"/>
          <w:u w:val="single"/>
        </w:rPr>
        <w:br w:type="page"/>
      </w:r>
    </w:p>
    <w:p w:rsidR="00071071" w:rsidRPr="00416361" w:rsidRDefault="00AD2379" w:rsidP="000B1E45">
      <w:pPr>
        <w:jc w:val="both"/>
        <w:rPr>
          <w:rFonts w:eastAsia="Calibri" w:cs="Times New Roman"/>
          <w:color w:val="auto"/>
          <w:szCs w:val="24"/>
        </w:rPr>
      </w:pPr>
      <w:r w:rsidRPr="00F64312">
        <w:rPr>
          <w:color w:val="auto"/>
          <w:u w:val="single"/>
        </w:rPr>
        <w:lastRenderedPageBreak/>
        <w:t>RECOMMENDATION</w:t>
      </w:r>
      <w:r w:rsidRPr="00F64312">
        <w:rPr>
          <w:color w:val="auto"/>
        </w:rPr>
        <w:t>:</w:t>
      </w:r>
      <w:r w:rsidR="00BE2E2A">
        <w:rPr>
          <w:color w:val="auto"/>
        </w:rPr>
        <w:t xml:space="preserve">  </w:t>
      </w:r>
      <w:r w:rsidR="00565636" w:rsidRPr="00F64312">
        <w:rPr>
          <w:rFonts w:eastAsia="Calibri" w:cs="Times New Roman"/>
          <w:color w:val="auto"/>
          <w:szCs w:val="24"/>
        </w:rPr>
        <w:t>The Board recommends that the CI’s prior determination be modified as follows</w:t>
      </w:r>
      <w:r w:rsidR="00417BED" w:rsidRPr="00F64312">
        <w:rPr>
          <w:rFonts w:eastAsia="Calibri" w:cs="Times New Roman"/>
          <w:color w:val="auto"/>
          <w:szCs w:val="24"/>
        </w:rPr>
        <w:t>;</w:t>
      </w:r>
      <w:r w:rsidR="00565636" w:rsidRPr="00F64312">
        <w:rPr>
          <w:rFonts w:eastAsia="Calibri" w:cs="Times New Roman"/>
          <w:color w:val="auto"/>
          <w:szCs w:val="24"/>
        </w:rPr>
        <w:t xml:space="preserve"> and</w:t>
      </w:r>
      <w:r w:rsidR="00417BED" w:rsidRPr="00F64312">
        <w:rPr>
          <w:rFonts w:eastAsia="Calibri" w:cs="Times New Roman"/>
          <w:color w:val="auto"/>
          <w:szCs w:val="24"/>
        </w:rPr>
        <w:t>,</w:t>
      </w:r>
      <w:r w:rsidR="00565636" w:rsidRPr="00F64312">
        <w:rPr>
          <w:rFonts w:eastAsia="Calibri" w:cs="Times New Roman"/>
          <w:color w:val="auto"/>
          <w:szCs w:val="24"/>
        </w:rPr>
        <w:t xml:space="preserve"> that the discharge with severance pay be </w:t>
      </w:r>
      <w:proofErr w:type="spellStart"/>
      <w:r w:rsidR="00565636" w:rsidRPr="00F64312">
        <w:rPr>
          <w:rFonts w:eastAsia="Calibri" w:cs="Times New Roman"/>
          <w:color w:val="auto"/>
          <w:szCs w:val="24"/>
        </w:rPr>
        <w:t>recharacterized</w:t>
      </w:r>
      <w:proofErr w:type="spellEnd"/>
      <w:r w:rsidR="00565636" w:rsidRPr="00F64312">
        <w:rPr>
          <w:rFonts w:eastAsia="Calibri" w:cs="Times New Roman"/>
          <w:color w:val="auto"/>
          <w:szCs w:val="24"/>
        </w:rPr>
        <w:t xml:space="preserve"> to reflect permanent disability </w:t>
      </w:r>
      <w:r w:rsidR="00565636" w:rsidRPr="00416361">
        <w:rPr>
          <w:rFonts w:eastAsia="Calibri" w:cs="Times New Roman"/>
          <w:color w:val="auto"/>
          <w:szCs w:val="24"/>
        </w:rPr>
        <w:t>retirement, effective as of the date of his</w:t>
      </w:r>
      <w:r w:rsidR="00417BED" w:rsidRPr="00416361">
        <w:rPr>
          <w:rFonts w:eastAsia="Calibri" w:cs="Times New Roman"/>
          <w:color w:val="auto"/>
          <w:szCs w:val="24"/>
        </w:rPr>
        <w:t xml:space="preserve"> prior medical separation:</w:t>
      </w:r>
      <w:r w:rsidR="006B690F" w:rsidRPr="00416361">
        <w:rPr>
          <w:rFonts w:eastAsia="Calibri" w:cs="Times New Roman"/>
          <w:color w:val="auto"/>
          <w:szCs w:val="24"/>
        </w:rPr>
        <w:t xml:space="preserve"> </w:t>
      </w:r>
    </w:p>
    <w:p w:rsidR="000B1E45" w:rsidRPr="00416361" w:rsidRDefault="000B1E45" w:rsidP="000B1E45">
      <w:pPr>
        <w:jc w:val="both"/>
        <w:rPr>
          <w:color w:val="auto"/>
        </w:rPr>
      </w:pPr>
    </w:p>
    <w:tbl>
      <w:tblPr>
        <w:tblW w:w="498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3"/>
        <w:gridCol w:w="4861"/>
        <w:gridCol w:w="2250"/>
        <w:gridCol w:w="1008"/>
      </w:tblGrid>
      <w:tr w:rsidR="000B1E45" w:rsidRPr="00416361" w:rsidTr="00416361">
        <w:trPr>
          <w:trHeight w:val="233"/>
          <w:jc w:val="right"/>
        </w:trPr>
        <w:tc>
          <w:tcPr>
            <w:tcW w:w="3293" w:type="pct"/>
            <w:gridSpan w:val="2"/>
            <w:tcBorders>
              <w:right w:val="single" w:sz="4" w:space="0" w:color="auto"/>
            </w:tcBorders>
            <w:shd w:val="clear" w:color="auto" w:fill="D9D9D9"/>
          </w:tcPr>
          <w:p w:rsidR="000B1E45" w:rsidRPr="00416361" w:rsidRDefault="000B1E45" w:rsidP="00321BF3">
            <w:pPr>
              <w:tabs>
                <w:tab w:val="left" w:pos="288"/>
                <w:tab w:val="left" w:pos="4752"/>
              </w:tabs>
              <w:rPr>
                <w:b/>
                <w:color w:val="auto"/>
              </w:rPr>
            </w:pPr>
            <w:r w:rsidRPr="00416361">
              <w:rPr>
                <w:b/>
                <w:color w:val="auto"/>
              </w:rPr>
              <w:t>UNFITTING CONDITION</w:t>
            </w:r>
          </w:p>
        </w:tc>
        <w:tc>
          <w:tcPr>
            <w:tcW w:w="1179" w:type="pct"/>
            <w:tcBorders>
              <w:left w:val="single" w:sz="4" w:space="0" w:color="auto"/>
            </w:tcBorders>
            <w:shd w:val="clear" w:color="auto" w:fill="D9D9D9"/>
            <w:vAlign w:val="center"/>
          </w:tcPr>
          <w:p w:rsidR="000B1E45" w:rsidRPr="00416361" w:rsidRDefault="000B1E45" w:rsidP="00321BF3">
            <w:pPr>
              <w:tabs>
                <w:tab w:val="left" w:pos="288"/>
                <w:tab w:val="left" w:pos="4752"/>
              </w:tabs>
              <w:rPr>
                <w:b/>
                <w:color w:val="auto"/>
              </w:rPr>
            </w:pPr>
            <w:r w:rsidRPr="00416361">
              <w:rPr>
                <w:b/>
                <w:color w:val="auto"/>
              </w:rPr>
              <w:t>VASRD CODE</w:t>
            </w:r>
          </w:p>
        </w:tc>
        <w:tc>
          <w:tcPr>
            <w:tcW w:w="528" w:type="pct"/>
            <w:shd w:val="clear" w:color="auto" w:fill="D9D9D9"/>
            <w:vAlign w:val="center"/>
          </w:tcPr>
          <w:p w:rsidR="000B1E45" w:rsidRPr="00416361" w:rsidRDefault="000B1E45" w:rsidP="00321BF3">
            <w:pPr>
              <w:tabs>
                <w:tab w:val="left" w:pos="288"/>
                <w:tab w:val="left" w:pos="4752"/>
              </w:tabs>
              <w:rPr>
                <w:b/>
                <w:color w:val="auto"/>
              </w:rPr>
            </w:pPr>
            <w:r w:rsidRPr="00416361">
              <w:rPr>
                <w:b/>
                <w:color w:val="auto"/>
              </w:rPr>
              <w:t>RATING</w:t>
            </w:r>
          </w:p>
        </w:tc>
      </w:tr>
      <w:tr w:rsidR="00DB7E14" w:rsidRPr="00416361" w:rsidTr="00416361">
        <w:trPr>
          <w:jc w:val="right"/>
        </w:trPr>
        <w:tc>
          <w:tcPr>
            <w:tcW w:w="746" w:type="pct"/>
            <w:vMerge w:val="restart"/>
            <w:tcBorders>
              <w:right w:val="single" w:sz="4" w:space="0" w:color="auto"/>
            </w:tcBorders>
          </w:tcPr>
          <w:p w:rsidR="00F711EF" w:rsidRDefault="00DB7E14" w:rsidP="00F711EF">
            <w:pPr>
              <w:tabs>
                <w:tab w:val="left" w:pos="288"/>
                <w:tab w:val="left" w:pos="4752"/>
              </w:tabs>
              <w:jc w:val="left"/>
              <w:rPr>
                <w:color w:val="auto"/>
              </w:rPr>
            </w:pPr>
            <w:r w:rsidRPr="00416361">
              <w:rPr>
                <w:color w:val="auto"/>
              </w:rPr>
              <w:t xml:space="preserve">Peripheral </w:t>
            </w:r>
            <w:r w:rsidR="00416361" w:rsidRPr="00416361">
              <w:rPr>
                <w:color w:val="auto"/>
              </w:rPr>
              <w:t>Sensory Neuropathy</w:t>
            </w:r>
          </w:p>
          <w:p w:rsidR="00DB7E14" w:rsidRPr="00416361" w:rsidRDefault="00F711EF" w:rsidP="00F711EF">
            <w:pPr>
              <w:tabs>
                <w:tab w:val="left" w:pos="288"/>
                <w:tab w:val="left" w:pos="4752"/>
              </w:tabs>
              <w:jc w:val="left"/>
              <w:rPr>
                <w:color w:val="auto"/>
              </w:rPr>
            </w:pPr>
            <w:r>
              <w:rPr>
                <w:color w:val="auto"/>
              </w:rPr>
              <w:t>…</w:t>
            </w:r>
            <w:r w:rsidR="00416361" w:rsidRPr="00416361">
              <w:rPr>
                <w:color w:val="auto"/>
              </w:rPr>
              <w:t xml:space="preserve"> </w:t>
            </w:r>
          </w:p>
        </w:tc>
        <w:tc>
          <w:tcPr>
            <w:tcW w:w="2547" w:type="pct"/>
            <w:tcBorders>
              <w:right w:val="single" w:sz="4" w:space="0" w:color="auto"/>
            </w:tcBorders>
            <w:vAlign w:val="center"/>
          </w:tcPr>
          <w:p w:rsidR="00DB7E14" w:rsidRPr="00416361" w:rsidRDefault="00DB7E14" w:rsidP="00416361">
            <w:pPr>
              <w:tabs>
                <w:tab w:val="left" w:pos="288"/>
                <w:tab w:val="left" w:pos="4752"/>
              </w:tabs>
              <w:jc w:val="left"/>
              <w:rPr>
                <w:color w:val="auto"/>
              </w:rPr>
            </w:pPr>
            <w:r w:rsidRPr="00416361">
              <w:rPr>
                <w:color w:val="auto"/>
              </w:rPr>
              <w:t xml:space="preserve">Lower </w:t>
            </w:r>
            <w:proofErr w:type="spellStart"/>
            <w:r w:rsidRPr="00416361">
              <w:rPr>
                <w:color w:val="auto"/>
              </w:rPr>
              <w:t>Radicular</w:t>
            </w:r>
            <w:proofErr w:type="spellEnd"/>
            <w:r w:rsidRPr="00416361">
              <w:rPr>
                <w:color w:val="auto"/>
              </w:rPr>
              <w:t xml:space="preserve"> Group – Right Upper Extremity</w:t>
            </w:r>
          </w:p>
        </w:tc>
        <w:tc>
          <w:tcPr>
            <w:tcW w:w="1179" w:type="pct"/>
            <w:tcBorders>
              <w:left w:val="single" w:sz="4" w:space="0" w:color="auto"/>
            </w:tcBorders>
            <w:vAlign w:val="center"/>
          </w:tcPr>
          <w:p w:rsidR="00DB7E14" w:rsidRPr="00416361" w:rsidRDefault="00DB7E14" w:rsidP="00321BF3">
            <w:pPr>
              <w:tabs>
                <w:tab w:val="left" w:pos="288"/>
                <w:tab w:val="left" w:pos="4752"/>
              </w:tabs>
              <w:rPr>
                <w:color w:val="auto"/>
              </w:rPr>
            </w:pPr>
            <w:r w:rsidRPr="00416361">
              <w:rPr>
                <w:color w:val="auto"/>
              </w:rPr>
              <w:t>8025-8612</w:t>
            </w:r>
          </w:p>
        </w:tc>
        <w:tc>
          <w:tcPr>
            <w:tcW w:w="528" w:type="pct"/>
            <w:vAlign w:val="center"/>
          </w:tcPr>
          <w:p w:rsidR="00DB7E14" w:rsidRPr="00416361" w:rsidRDefault="00DB7E14" w:rsidP="00321BF3">
            <w:pPr>
              <w:tabs>
                <w:tab w:val="left" w:pos="288"/>
                <w:tab w:val="left" w:pos="4752"/>
              </w:tabs>
              <w:rPr>
                <w:color w:val="auto"/>
              </w:rPr>
            </w:pPr>
            <w:r w:rsidRPr="00416361">
              <w:rPr>
                <w:color w:val="auto"/>
              </w:rPr>
              <w:t>20%</w:t>
            </w:r>
          </w:p>
        </w:tc>
      </w:tr>
      <w:tr w:rsidR="00DB7E14" w:rsidRPr="00416361" w:rsidTr="00416361">
        <w:trPr>
          <w:jc w:val="right"/>
        </w:trPr>
        <w:tc>
          <w:tcPr>
            <w:tcW w:w="746" w:type="pct"/>
            <w:vMerge/>
            <w:tcBorders>
              <w:right w:val="single" w:sz="4" w:space="0" w:color="auto"/>
            </w:tcBorders>
          </w:tcPr>
          <w:p w:rsidR="00DB7E14" w:rsidRPr="00416361" w:rsidRDefault="00DB7E14" w:rsidP="000B1E45">
            <w:pPr>
              <w:tabs>
                <w:tab w:val="left" w:pos="288"/>
                <w:tab w:val="left" w:pos="4752"/>
              </w:tabs>
              <w:jc w:val="left"/>
              <w:rPr>
                <w:color w:val="auto"/>
              </w:rPr>
            </w:pPr>
          </w:p>
        </w:tc>
        <w:tc>
          <w:tcPr>
            <w:tcW w:w="2547" w:type="pct"/>
            <w:tcBorders>
              <w:right w:val="single" w:sz="4" w:space="0" w:color="auto"/>
            </w:tcBorders>
            <w:vAlign w:val="center"/>
          </w:tcPr>
          <w:p w:rsidR="00DB7E14" w:rsidRPr="00416361" w:rsidRDefault="00DB7E14" w:rsidP="00DB7E14">
            <w:pPr>
              <w:tabs>
                <w:tab w:val="left" w:pos="288"/>
                <w:tab w:val="left" w:pos="4752"/>
              </w:tabs>
              <w:jc w:val="left"/>
              <w:rPr>
                <w:color w:val="auto"/>
              </w:rPr>
            </w:pPr>
            <w:r w:rsidRPr="00416361">
              <w:rPr>
                <w:color w:val="auto"/>
              </w:rPr>
              <w:t xml:space="preserve">Lower </w:t>
            </w:r>
            <w:proofErr w:type="spellStart"/>
            <w:r w:rsidRPr="00416361">
              <w:rPr>
                <w:color w:val="auto"/>
              </w:rPr>
              <w:t>Radicular</w:t>
            </w:r>
            <w:proofErr w:type="spellEnd"/>
            <w:r w:rsidRPr="00416361">
              <w:rPr>
                <w:color w:val="auto"/>
              </w:rPr>
              <w:t xml:space="preserve"> Group – Left Upper Extremity</w:t>
            </w:r>
          </w:p>
        </w:tc>
        <w:tc>
          <w:tcPr>
            <w:tcW w:w="1179" w:type="pct"/>
            <w:tcBorders>
              <w:left w:val="single" w:sz="4" w:space="0" w:color="auto"/>
            </w:tcBorders>
            <w:vAlign w:val="center"/>
          </w:tcPr>
          <w:p w:rsidR="00DB7E14" w:rsidRPr="00416361" w:rsidRDefault="00DB7E14" w:rsidP="00321BF3">
            <w:pPr>
              <w:tabs>
                <w:tab w:val="left" w:pos="288"/>
                <w:tab w:val="left" w:pos="4752"/>
              </w:tabs>
              <w:rPr>
                <w:color w:val="auto"/>
              </w:rPr>
            </w:pPr>
            <w:r w:rsidRPr="00416361">
              <w:rPr>
                <w:color w:val="auto"/>
              </w:rPr>
              <w:t>8025-8612</w:t>
            </w:r>
          </w:p>
        </w:tc>
        <w:tc>
          <w:tcPr>
            <w:tcW w:w="528" w:type="pct"/>
            <w:vAlign w:val="center"/>
          </w:tcPr>
          <w:p w:rsidR="00DB7E14" w:rsidRPr="00416361" w:rsidRDefault="00DB7E14" w:rsidP="00871F22">
            <w:pPr>
              <w:tabs>
                <w:tab w:val="left" w:pos="288"/>
                <w:tab w:val="left" w:pos="4752"/>
              </w:tabs>
              <w:rPr>
                <w:color w:val="auto"/>
              </w:rPr>
            </w:pPr>
            <w:r w:rsidRPr="00416361">
              <w:rPr>
                <w:color w:val="auto"/>
              </w:rPr>
              <w:t>20%</w:t>
            </w:r>
          </w:p>
        </w:tc>
      </w:tr>
      <w:tr w:rsidR="00DB7E14" w:rsidRPr="00416361" w:rsidTr="00416361">
        <w:trPr>
          <w:jc w:val="right"/>
        </w:trPr>
        <w:tc>
          <w:tcPr>
            <w:tcW w:w="746" w:type="pct"/>
            <w:vMerge/>
            <w:tcBorders>
              <w:right w:val="single" w:sz="4" w:space="0" w:color="auto"/>
            </w:tcBorders>
          </w:tcPr>
          <w:p w:rsidR="00DB7E14" w:rsidRPr="00416361" w:rsidRDefault="00DB7E14" w:rsidP="000B1E45">
            <w:pPr>
              <w:tabs>
                <w:tab w:val="left" w:pos="288"/>
                <w:tab w:val="left" w:pos="4752"/>
              </w:tabs>
              <w:jc w:val="left"/>
              <w:rPr>
                <w:color w:val="auto"/>
              </w:rPr>
            </w:pPr>
          </w:p>
        </w:tc>
        <w:tc>
          <w:tcPr>
            <w:tcW w:w="2547" w:type="pct"/>
            <w:tcBorders>
              <w:right w:val="single" w:sz="4" w:space="0" w:color="auto"/>
            </w:tcBorders>
            <w:vAlign w:val="center"/>
          </w:tcPr>
          <w:p w:rsidR="00DB7E14" w:rsidRPr="00416361" w:rsidRDefault="00DB7E14" w:rsidP="00416361">
            <w:pPr>
              <w:tabs>
                <w:tab w:val="left" w:pos="288"/>
                <w:tab w:val="left" w:pos="4752"/>
              </w:tabs>
              <w:jc w:val="left"/>
              <w:rPr>
                <w:color w:val="auto"/>
              </w:rPr>
            </w:pPr>
            <w:r w:rsidRPr="00416361">
              <w:rPr>
                <w:color w:val="auto"/>
              </w:rPr>
              <w:t xml:space="preserve">Common </w:t>
            </w:r>
            <w:proofErr w:type="spellStart"/>
            <w:r w:rsidRPr="00416361">
              <w:rPr>
                <w:color w:val="auto"/>
              </w:rPr>
              <w:t>Peroneal</w:t>
            </w:r>
            <w:proofErr w:type="spellEnd"/>
            <w:r w:rsidRPr="00416361">
              <w:rPr>
                <w:color w:val="auto"/>
              </w:rPr>
              <w:t xml:space="preserve"> – Right Lower Extremity</w:t>
            </w:r>
          </w:p>
        </w:tc>
        <w:tc>
          <w:tcPr>
            <w:tcW w:w="1179" w:type="pct"/>
            <w:tcBorders>
              <w:left w:val="single" w:sz="4" w:space="0" w:color="auto"/>
            </w:tcBorders>
            <w:vAlign w:val="center"/>
          </w:tcPr>
          <w:p w:rsidR="00DB7E14" w:rsidRPr="00416361" w:rsidRDefault="00DB7E14" w:rsidP="00321BF3">
            <w:pPr>
              <w:tabs>
                <w:tab w:val="left" w:pos="288"/>
                <w:tab w:val="left" w:pos="4752"/>
              </w:tabs>
              <w:rPr>
                <w:color w:val="auto"/>
              </w:rPr>
            </w:pPr>
            <w:r w:rsidRPr="00416361">
              <w:rPr>
                <w:color w:val="auto"/>
              </w:rPr>
              <w:t>8025-8621</w:t>
            </w:r>
          </w:p>
        </w:tc>
        <w:tc>
          <w:tcPr>
            <w:tcW w:w="528" w:type="pct"/>
            <w:vAlign w:val="center"/>
          </w:tcPr>
          <w:p w:rsidR="00DB7E14" w:rsidRPr="00416361" w:rsidRDefault="00DB7E14" w:rsidP="000B1E45">
            <w:pPr>
              <w:tabs>
                <w:tab w:val="left" w:pos="288"/>
                <w:tab w:val="left" w:pos="4752"/>
              </w:tabs>
              <w:rPr>
                <w:color w:val="auto"/>
              </w:rPr>
            </w:pPr>
            <w:r w:rsidRPr="00416361">
              <w:rPr>
                <w:color w:val="auto"/>
              </w:rPr>
              <w:t>10%</w:t>
            </w:r>
          </w:p>
        </w:tc>
      </w:tr>
      <w:tr w:rsidR="00DB7E14" w:rsidRPr="00416361" w:rsidTr="00416361">
        <w:trPr>
          <w:jc w:val="right"/>
        </w:trPr>
        <w:tc>
          <w:tcPr>
            <w:tcW w:w="746" w:type="pct"/>
            <w:vMerge/>
            <w:tcBorders>
              <w:right w:val="single" w:sz="4" w:space="0" w:color="auto"/>
            </w:tcBorders>
          </w:tcPr>
          <w:p w:rsidR="00DB7E14" w:rsidRPr="00416361" w:rsidRDefault="00DB7E14" w:rsidP="000B1E45">
            <w:pPr>
              <w:tabs>
                <w:tab w:val="left" w:pos="288"/>
                <w:tab w:val="left" w:pos="4752"/>
              </w:tabs>
              <w:jc w:val="left"/>
              <w:rPr>
                <w:color w:val="auto"/>
              </w:rPr>
            </w:pPr>
          </w:p>
        </w:tc>
        <w:tc>
          <w:tcPr>
            <w:tcW w:w="2547" w:type="pct"/>
            <w:tcBorders>
              <w:right w:val="single" w:sz="4" w:space="0" w:color="auto"/>
            </w:tcBorders>
            <w:vAlign w:val="center"/>
          </w:tcPr>
          <w:p w:rsidR="00DB7E14" w:rsidRPr="00416361" w:rsidRDefault="00DB7E14" w:rsidP="00DB7E14">
            <w:pPr>
              <w:tabs>
                <w:tab w:val="left" w:pos="288"/>
                <w:tab w:val="left" w:pos="4752"/>
              </w:tabs>
              <w:jc w:val="left"/>
              <w:rPr>
                <w:color w:val="auto"/>
              </w:rPr>
            </w:pPr>
            <w:r w:rsidRPr="00416361">
              <w:rPr>
                <w:color w:val="auto"/>
              </w:rPr>
              <w:t xml:space="preserve">Common </w:t>
            </w:r>
            <w:proofErr w:type="spellStart"/>
            <w:r w:rsidRPr="00416361">
              <w:rPr>
                <w:color w:val="auto"/>
              </w:rPr>
              <w:t>Peroneal</w:t>
            </w:r>
            <w:proofErr w:type="spellEnd"/>
            <w:r w:rsidRPr="00416361">
              <w:rPr>
                <w:color w:val="auto"/>
              </w:rPr>
              <w:t xml:space="preserve"> – Left Lower Extremity</w:t>
            </w:r>
          </w:p>
        </w:tc>
        <w:tc>
          <w:tcPr>
            <w:tcW w:w="1179" w:type="pct"/>
            <w:tcBorders>
              <w:left w:val="single" w:sz="4" w:space="0" w:color="auto"/>
            </w:tcBorders>
            <w:vAlign w:val="center"/>
          </w:tcPr>
          <w:p w:rsidR="00DB7E14" w:rsidRPr="00416361" w:rsidRDefault="00DB7E14" w:rsidP="00321BF3">
            <w:pPr>
              <w:tabs>
                <w:tab w:val="left" w:pos="288"/>
                <w:tab w:val="left" w:pos="4752"/>
              </w:tabs>
              <w:rPr>
                <w:color w:val="auto"/>
              </w:rPr>
            </w:pPr>
            <w:r w:rsidRPr="00416361">
              <w:rPr>
                <w:color w:val="auto"/>
              </w:rPr>
              <w:t>8025-8621</w:t>
            </w:r>
          </w:p>
        </w:tc>
        <w:tc>
          <w:tcPr>
            <w:tcW w:w="528" w:type="pct"/>
            <w:vAlign w:val="center"/>
          </w:tcPr>
          <w:p w:rsidR="00DB7E14" w:rsidRPr="00416361" w:rsidRDefault="00DB7E14" w:rsidP="000B1E45">
            <w:pPr>
              <w:tabs>
                <w:tab w:val="left" w:pos="288"/>
                <w:tab w:val="left" w:pos="4752"/>
              </w:tabs>
              <w:rPr>
                <w:color w:val="auto"/>
              </w:rPr>
            </w:pPr>
            <w:r w:rsidRPr="00416361">
              <w:rPr>
                <w:color w:val="auto"/>
              </w:rPr>
              <w:t>10%</w:t>
            </w:r>
          </w:p>
        </w:tc>
      </w:tr>
      <w:tr w:rsidR="00DB7E14" w:rsidRPr="00416361" w:rsidTr="00416361">
        <w:tblPrEx>
          <w:tblLook w:val="0000"/>
        </w:tblPrEx>
        <w:trPr>
          <w:gridBefore w:val="2"/>
          <w:wBefore w:w="3293" w:type="pct"/>
          <w:trHeight w:val="152"/>
          <w:jc w:val="right"/>
        </w:trPr>
        <w:tc>
          <w:tcPr>
            <w:tcW w:w="1179" w:type="pct"/>
            <w:tcBorders>
              <w:left w:val="single" w:sz="4" w:space="0" w:color="auto"/>
            </w:tcBorders>
            <w:shd w:val="clear" w:color="auto" w:fill="D9D9D9"/>
          </w:tcPr>
          <w:p w:rsidR="00DB7E14" w:rsidRPr="00416361" w:rsidRDefault="00DB7E14" w:rsidP="00321BF3">
            <w:pPr>
              <w:tabs>
                <w:tab w:val="left" w:pos="288"/>
                <w:tab w:val="left" w:pos="4752"/>
              </w:tabs>
              <w:rPr>
                <w:b/>
                <w:color w:val="auto"/>
              </w:rPr>
            </w:pPr>
            <w:r w:rsidRPr="00416361">
              <w:rPr>
                <w:b/>
                <w:color w:val="auto"/>
              </w:rPr>
              <w:t>COMBINED (w/ BLF)</w:t>
            </w:r>
          </w:p>
        </w:tc>
        <w:tc>
          <w:tcPr>
            <w:tcW w:w="528" w:type="pct"/>
            <w:tcBorders>
              <w:left w:val="single" w:sz="4" w:space="0" w:color="auto"/>
            </w:tcBorders>
            <w:shd w:val="clear" w:color="auto" w:fill="D9D9D9"/>
          </w:tcPr>
          <w:p w:rsidR="00DB7E14" w:rsidRPr="00416361" w:rsidRDefault="00DB7E14" w:rsidP="000B1E45">
            <w:pPr>
              <w:tabs>
                <w:tab w:val="left" w:pos="288"/>
                <w:tab w:val="left" w:pos="4752"/>
              </w:tabs>
              <w:rPr>
                <w:b/>
                <w:color w:val="auto"/>
              </w:rPr>
            </w:pPr>
            <w:r w:rsidRPr="00416361">
              <w:rPr>
                <w:b/>
                <w:color w:val="auto"/>
              </w:rPr>
              <w:t>50%</w:t>
            </w:r>
          </w:p>
        </w:tc>
      </w:tr>
    </w:tbl>
    <w:p w:rsidR="00AD2379" w:rsidRPr="00416361" w:rsidRDefault="00AD2379" w:rsidP="006B690F">
      <w:pPr>
        <w:pBdr>
          <w:bottom w:val="single" w:sz="12" w:space="1" w:color="auto"/>
        </w:pBdr>
        <w:tabs>
          <w:tab w:val="left" w:pos="288"/>
          <w:tab w:val="left" w:pos="4752"/>
        </w:tabs>
        <w:jc w:val="both"/>
        <w:rPr>
          <w:color w:val="auto"/>
        </w:rPr>
      </w:pPr>
    </w:p>
    <w:p w:rsidR="00592907" w:rsidRPr="00F64312" w:rsidRDefault="00592907"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r w:rsidR="00284B35">
        <w:rPr>
          <w:color w:val="auto"/>
        </w:rPr>
        <w:t xml:space="preserve">  </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E61CCD">
        <w:rPr>
          <w:color w:val="auto"/>
        </w:rPr>
        <w:t>20</w:t>
      </w:r>
      <w:r w:rsidR="00E61CCD" w:rsidRPr="00E61CCD">
        <w:rPr>
          <w:color w:val="auto"/>
        </w:rPr>
        <w:t>110404</w:t>
      </w:r>
      <w:r w:rsidR="00ED7820" w:rsidRPr="00E61CCD">
        <w:rPr>
          <w:color w:val="auto"/>
        </w:rPr>
        <w:t>,</w:t>
      </w:r>
      <w:r w:rsidR="00ED7820">
        <w:rPr>
          <w:color w:val="auto"/>
        </w:rPr>
        <w:t xml:space="preserve">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911081">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DF3B06" w:rsidRDefault="00AD2379" w:rsidP="00BF0E94">
      <w:pPr>
        <w:tabs>
          <w:tab w:val="left" w:pos="0"/>
          <w:tab w:val="left" w:pos="4320"/>
        </w:tabs>
        <w:jc w:val="both"/>
        <w:rPr>
          <w:color w:val="auto"/>
        </w:rPr>
      </w:pPr>
      <w:r w:rsidRPr="00F64312">
        <w:rPr>
          <w:color w:val="auto"/>
        </w:rPr>
        <w:tab/>
        <w:t xml:space="preserve">           Physical Disability Board of Review</w:t>
      </w:r>
    </w:p>
    <w:p w:rsidR="00911081" w:rsidRDefault="00911081" w:rsidP="00BF0E94">
      <w:pPr>
        <w:tabs>
          <w:tab w:val="left" w:pos="0"/>
          <w:tab w:val="left" w:pos="4320"/>
        </w:tabs>
        <w:jc w:val="both"/>
        <w:rPr>
          <w:color w:val="auto"/>
        </w:rPr>
      </w:pPr>
    </w:p>
    <w:p w:rsidR="00911081" w:rsidRDefault="00911081">
      <w:pPr>
        <w:spacing w:line="240" w:lineRule="auto"/>
        <w:jc w:val="left"/>
        <w:rPr>
          <w:color w:val="auto"/>
        </w:rPr>
      </w:pPr>
      <w:r>
        <w:rPr>
          <w:color w:val="auto"/>
        </w:rPr>
        <w:br w:type="page"/>
      </w:r>
    </w:p>
    <w:p w:rsidR="00911081" w:rsidRDefault="00911081" w:rsidP="00911081">
      <w:pPr>
        <w:pStyle w:val="Header"/>
        <w:tabs>
          <w:tab w:val="left" w:pos="720"/>
        </w:tabs>
        <w:jc w:val="left"/>
      </w:pPr>
      <w:r>
        <w:lastRenderedPageBreak/>
        <w:t>SFMR-RB</w:t>
      </w:r>
      <w:r>
        <w:tab/>
      </w:r>
      <w:r>
        <w:tab/>
      </w:r>
      <w:r>
        <w:tab/>
      </w:r>
      <w:r>
        <w:tab/>
      </w:r>
      <w:r>
        <w:tab/>
      </w:r>
      <w:r>
        <w:tab/>
      </w:r>
      <w:r>
        <w:tab/>
      </w:r>
      <w:r>
        <w:tab/>
      </w:r>
      <w:r>
        <w:tab/>
      </w:r>
    </w:p>
    <w:p w:rsidR="00911081" w:rsidRDefault="00911081" w:rsidP="00911081">
      <w:pPr>
        <w:pStyle w:val="Header"/>
        <w:tabs>
          <w:tab w:val="left" w:pos="720"/>
        </w:tabs>
        <w:jc w:val="left"/>
      </w:pPr>
    </w:p>
    <w:p w:rsidR="00911081" w:rsidRDefault="00911081" w:rsidP="00911081">
      <w:pPr>
        <w:jc w:val="left"/>
      </w:pPr>
    </w:p>
    <w:p w:rsidR="00911081" w:rsidRDefault="00911081" w:rsidP="00911081">
      <w:pPr>
        <w:jc w:val="left"/>
      </w:pPr>
      <w:r>
        <w:t xml:space="preserve">MEMORANDUM FOR Commander, US Army Physical Disability Agency </w:t>
      </w:r>
    </w:p>
    <w:p w:rsidR="00911081" w:rsidRDefault="00911081" w:rsidP="00911081">
      <w:pPr>
        <w:jc w:val="left"/>
      </w:pPr>
      <w:r>
        <w:t xml:space="preserve">(TAPD-ZB </w:t>
      </w:r>
      <w:proofErr w:type="gramStart"/>
      <w:r>
        <w:t>/  )</w:t>
      </w:r>
      <w:proofErr w:type="gramEnd"/>
      <w:r>
        <w:t>, 2900 Crystal Drive, Suite 300, Arlington, VA  22202-3557</w:t>
      </w:r>
    </w:p>
    <w:p w:rsidR="00911081" w:rsidRDefault="00911081" w:rsidP="00911081">
      <w:pPr>
        <w:jc w:val="left"/>
      </w:pPr>
    </w:p>
    <w:p w:rsidR="00911081" w:rsidRDefault="00911081" w:rsidP="00911081">
      <w:pPr>
        <w:jc w:val="left"/>
      </w:pPr>
    </w:p>
    <w:p w:rsidR="00911081" w:rsidRDefault="00911081" w:rsidP="00911081">
      <w:pPr>
        <w:ind w:right="-180"/>
        <w:jc w:val="left"/>
      </w:pPr>
      <w:r>
        <w:t xml:space="preserve">SUBJECT:  Department of Defense Physical Disability Board of Review Recommendation </w:t>
      </w:r>
    </w:p>
    <w:p w:rsidR="00911081" w:rsidRDefault="00911081" w:rsidP="00911081">
      <w:pPr>
        <w:pStyle w:val="Header"/>
        <w:tabs>
          <w:tab w:val="left" w:pos="720"/>
        </w:tabs>
        <w:jc w:val="left"/>
      </w:pPr>
      <w:proofErr w:type="gramStart"/>
      <w:r>
        <w:t>for</w:t>
      </w:r>
      <w:proofErr w:type="gramEnd"/>
      <w:r>
        <w:t xml:space="preserve"> XXXXXXXXXXXXXXXXXXXXXX, AR20120019098 (PD201100966)</w:t>
      </w:r>
    </w:p>
    <w:p w:rsidR="00911081" w:rsidRDefault="00911081" w:rsidP="00911081">
      <w:pPr>
        <w:pStyle w:val="Header"/>
        <w:tabs>
          <w:tab w:val="left" w:pos="720"/>
        </w:tabs>
        <w:jc w:val="left"/>
      </w:pPr>
    </w:p>
    <w:p w:rsidR="00911081" w:rsidRDefault="00911081" w:rsidP="00911081">
      <w:pPr>
        <w:jc w:val="left"/>
      </w:pPr>
    </w:p>
    <w:p w:rsidR="00911081" w:rsidRDefault="00911081" w:rsidP="00911081">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50% effective the date of the individual’s original medical separation for disability with severance pay.  </w:t>
      </w:r>
    </w:p>
    <w:p w:rsidR="00911081" w:rsidRDefault="00911081" w:rsidP="00911081">
      <w:pPr>
        <w:jc w:val="left"/>
      </w:pPr>
    </w:p>
    <w:p w:rsidR="00911081" w:rsidRDefault="00911081" w:rsidP="00911081">
      <w:pPr>
        <w:jc w:val="left"/>
      </w:pPr>
      <w:r>
        <w:t>2.  I direct that all the Department of the Army records of the individual concerned be corrected accordingly no later than 120 days from the date of this memorandum:</w:t>
      </w:r>
    </w:p>
    <w:p w:rsidR="00911081" w:rsidRDefault="00911081" w:rsidP="00911081">
      <w:pPr>
        <w:jc w:val="left"/>
      </w:pPr>
    </w:p>
    <w:p w:rsidR="00911081" w:rsidRDefault="00911081" w:rsidP="00911081">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911081" w:rsidRDefault="00911081" w:rsidP="00911081">
      <w:pPr>
        <w:jc w:val="left"/>
      </w:pPr>
    </w:p>
    <w:p w:rsidR="00911081" w:rsidRDefault="00911081" w:rsidP="00911081">
      <w:pPr>
        <w:jc w:val="left"/>
      </w:pPr>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911081" w:rsidRDefault="00911081" w:rsidP="00911081">
      <w:pPr>
        <w:jc w:val="left"/>
      </w:pPr>
    </w:p>
    <w:p w:rsidR="00911081" w:rsidRDefault="00911081" w:rsidP="00911081">
      <w:pPr>
        <w:jc w:val="left"/>
      </w:pPr>
      <w:r>
        <w:tab/>
      </w:r>
      <w:proofErr w:type="gramStart"/>
      <w:r>
        <w:t>c.  Adjusting</w:t>
      </w:r>
      <w:proofErr w:type="gramEnd"/>
      <w:r>
        <w:t xml:space="preserve"> pay and allowances accordingly.  Pay and allowance adjustment will account for recoupment of severance pay, and payment of permanent retired pay at 50% effective the date of the original medical separation for disability with severance pay.</w:t>
      </w:r>
    </w:p>
    <w:p w:rsidR="00911081" w:rsidRDefault="00911081" w:rsidP="00911081">
      <w:pPr>
        <w:jc w:val="left"/>
      </w:pPr>
    </w:p>
    <w:p w:rsidR="00911081" w:rsidRDefault="00911081" w:rsidP="00911081">
      <w:pPr>
        <w:jc w:val="left"/>
      </w:pPr>
      <w:r>
        <w:tab/>
      </w:r>
      <w:proofErr w:type="gramStart"/>
      <w:r>
        <w:t>d.  Affording</w:t>
      </w:r>
      <w:proofErr w:type="gramEnd"/>
      <w:r>
        <w:t xml:space="preserve"> the individual the opportunity to elect Survivor Benefit Plan (SBP) and medical TRICARE retiree options.</w:t>
      </w:r>
    </w:p>
    <w:p w:rsidR="00911081" w:rsidRDefault="00911081" w:rsidP="00911081">
      <w:pPr>
        <w:jc w:val="left"/>
      </w:pPr>
    </w:p>
    <w:p w:rsidR="00911081" w:rsidRDefault="00911081" w:rsidP="00911081">
      <w:pPr>
        <w:jc w:val="left"/>
      </w:pPr>
    </w:p>
    <w:p w:rsidR="00911081" w:rsidRDefault="00911081" w:rsidP="00911081">
      <w:pPr>
        <w:jc w:val="left"/>
      </w:pPr>
    </w:p>
    <w:p w:rsidR="00911081" w:rsidRDefault="00911081" w:rsidP="00911081">
      <w:pPr>
        <w:jc w:val="left"/>
      </w:pPr>
    </w:p>
    <w:p w:rsidR="00911081" w:rsidRDefault="00911081" w:rsidP="00911081">
      <w:pPr>
        <w:jc w:val="left"/>
      </w:pPr>
    </w:p>
    <w:p w:rsidR="00911081" w:rsidRDefault="00911081" w:rsidP="00911081">
      <w:pPr>
        <w:jc w:val="left"/>
      </w:pPr>
    </w:p>
    <w:p w:rsidR="00911081" w:rsidRDefault="00911081" w:rsidP="00911081">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911081" w:rsidRDefault="00911081" w:rsidP="00911081">
      <w:pPr>
        <w:jc w:val="left"/>
      </w:pPr>
    </w:p>
    <w:p w:rsidR="00911081" w:rsidRDefault="00911081" w:rsidP="00911081">
      <w:pPr>
        <w:jc w:val="left"/>
      </w:pPr>
      <w:r>
        <w:t>BY ORDER OF THE SECRETARY OF THE ARMY:</w:t>
      </w:r>
    </w:p>
    <w:p w:rsidR="00911081" w:rsidRDefault="00911081" w:rsidP="00911081">
      <w:pPr>
        <w:jc w:val="left"/>
      </w:pPr>
    </w:p>
    <w:p w:rsidR="00911081" w:rsidRDefault="00911081" w:rsidP="00911081">
      <w:pPr>
        <w:jc w:val="left"/>
      </w:pPr>
    </w:p>
    <w:p w:rsidR="00911081" w:rsidRDefault="00911081" w:rsidP="00911081">
      <w:pPr>
        <w:pStyle w:val="Header"/>
        <w:tabs>
          <w:tab w:val="left" w:pos="720"/>
        </w:tabs>
        <w:jc w:val="left"/>
      </w:pPr>
    </w:p>
    <w:p w:rsidR="00911081" w:rsidRDefault="00911081" w:rsidP="00911081">
      <w:pPr>
        <w:jc w:val="left"/>
      </w:pPr>
    </w:p>
    <w:p w:rsidR="00911081" w:rsidRDefault="00911081" w:rsidP="00911081">
      <w:pPr>
        <w:jc w:val="left"/>
      </w:pPr>
      <w:bookmarkStart w:id="1" w:name="OLE_LINK4"/>
      <w:bookmarkStart w:id="2" w:name="OLE_LINK3"/>
      <w:r>
        <w:t>Encl</w:t>
      </w:r>
      <w:r>
        <w:tab/>
      </w:r>
      <w:r>
        <w:tab/>
      </w:r>
      <w:r>
        <w:tab/>
      </w:r>
      <w:r>
        <w:tab/>
      </w:r>
      <w:r>
        <w:tab/>
      </w:r>
      <w:r>
        <w:tab/>
        <w:t xml:space="preserve">     XXXXXXXXXXXXXXXXXXXX</w:t>
      </w:r>
    </w:p>
    <w:p w:rsidR="00911081" w:rsidRDefault="00911081" w:rsidP="00911081">
      <w:pPr>
        <w:jc w:val="left"/>
      </w:pPr>
      <w:r>
        <w:tab/>
      </w:r>
      <w:r>
        <w:tab/>
      </w:r>
      <w:r>
        <w:tab/>
      </w:r>
      <w:r>
        <w:tab/>
      </w:r>
      <w:r>
        <w:tab/>
      </w:r>
      <w:r>
        <w:tab/>
        <w:t xml:space="preserve">     Deputy Assistant Secretary</w:t>
      </w:r>
    </w:p>
    <w:p w:rsidR="00911081" w:rsidRDefault="00911081" w:rsidP="00911081">
      <w:pPr>
        <w:jc w:val="left"/>
      </w:pPr>
      <w:r>
        <w:tab/>
      </w:r>
      <w:r>
        <w:tab/>
      </w:r>
      <w:r>
        <w:tab/>
      </w:r>
      <w:r>
        <w:tab/>
      </w:r>
      <w:r>
        <w:tab/>
      </w:r>
      <w:r>
        <w:tab/>
        <w:t xml:space="preserve">         (Army Review Boards)</w:t>
      </w:r>
      <w:bookmarkEnd w:id="1"/>
      <w:bookmarkEnd w:id="2"/>
    </w:p>
    <w:p w:rsidR="00911081" w:rsidRDefault="00911081" w:rsidP="00911081">
      <w:pPr>
        <w:jc w:val="left"/>
      </w:pPr>
    </w:p>
    <w:p w:rsidR="00911081" w:rsidRDefault="00911081" w:rsidP="00911081">
      <w:pPr>
        <w:jc w:val="left"/>
      </w:pPr>
      <w:r>
        <w:t xml:space="preserve">CF: </w:t>
      </w:r>
    </w:p>
    <w:p w:rsidR="00911081" w:rsidRDefault="00911081" w:rsidP="00911081">
      <w:pPr>
        <w:jc w:val="left"/>
      </w:pPr>
      <w:r>
        <w:t xml:space="preserve">(  ) </w:t>
      </w:r>
      <w:proofErr w:type="spellStart"/>
      <w:proofErr w:type="gramStart"/>
      <w:r>
        <w:t>DoD</w:t>
      </w:r>
      <w:proofErr w:type="spellEnd"/>
      <w:proofErr w:type="gramEnd"/>
      <w:r>
        <w:t xml:space="preserve"> PDBR</w:t>
      </w:r>
    </w:p>
    <w:p w:rsidR="00911081" w:rsidRDefault="00911081" w:rsidP="00911081">
      <w:pPr>
        <w:jc w:val="left"/>
      </w:pPr>
      <w:r>
        <w:t>(  ) DVA</w:t>
      </w:r>
    </w:p>
    <w:p w:rsidR="00416361" w:rsidRDefault="00416361" w:rsidP="00911081">
      <w:pPr>
        <w:tabs>
          <w:tab w:val="left" w:pos="0"/>
          <w:tab w:val="left" w:pos="4320"/>
        </w:tabs>
        <w:jc w:val="left"/>
        <w:rPr>
          <w:color w:val="auto"/>
        </w:rPr>
      </w:pPr>
    </w:p>
    <w:sectPr w:rsidR="00416361"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9E" w:rsidRDefault="001D1C9E">
      <w:r>
        <w:separator/>
      </w:r>
    </w:p>
  </w:endnote>
  <w:endnote w:type="continuationSeparator" w:id="0">
    <w:p w:rsidR="001D1C9E" w:rsidRDefault="001D1C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840" w:rsidRPr="00374247" w:rsidRDefault="006B6840" w:rsidP="00726F84">
    <w:pPr>
      <w:pStyle w:val="Footer"/>
      <w:ind w:firstLine="4320"/>
      <w:rPr>
        <w:color w:val="auto"/>
      </w:rPr>
    </w:pPr>
    <w:r w:rsidRPr="00374247">
      <w:rPr>
        <w:color w:val="auto"/>
      </w:rPr>
      <w:t xml:space="preserve">   </w:t>
    </w:r>
    <w:r w:rsidR="00462F8B" w:rsidRPr="00462F8B">
      <w:fldChar w:fldCharType="begin"/>
    </w:r>
    <w:r w:rsidR="001D1C9E">
      <w:instrText xml:space="preserve"> PAGE   \* MERGEFORMAT </w:instrText>
    </w:r>
    <w:r w:rsidR="00462F8B" w:rsidRPr="00462F8B">
      <w:fldChar w:fldCharType="separate"/>
    </w:r>
    <w:r w:rsidR="00911081" w:rsidRPr="00911081">
      <w:rPr>
        <w:noProof/>
        <w:color w:val="auto"/>
      </w:rPr>
      <w:t>6</w:t>
    </w:r>
    <w:r w:rsidR="00462F8B">
      <w:rPr>
        <w:noProof/>
        <w:color w:val="auto"/>
      </w:rPr>
      <w:fldChar w:fldCharType="end"/>
    </w:r>
    <w:r w:rsidRPr="00374247">
      <w:rPr>
        <w:color w:val="auto"/>
      </w:rPr>
      <w:t xml:space="preserve">                                                           </w:t>
    </w:r>
    <w:r w:rsidR="00BA54D0">
      <w:rPr>
        <w:color w:val="auto"/>
      </w:rPr>
      <w:t>PD11</w:t>
    </w:r>
    <w:r w:rsidRPr="00E61CCD">
      <w:rPr>
        <w:color w:val="auto"/>
      </w:rPr>
      <w:t>00966</w:t>
    </w:r>
  </w:p>
  <w:p w:rsidR="006B6840" w:rsidRPr="00684CE6" w:rsidRDefault="006B684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9E" w:rsidRDefault="001D1C9E">
      <w:r>
        <w:separator/>
      </w:r>
    </w:p>
  </w:footnote>
  <w:footnote w:type="continuationSeparator" w:id="0">
    <w:p w:rsidR="001D1C9E" w:rsidRDefault="001D1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7F0AF9"/>
    <w:multiLevelType w:val="hybridMultilevel"/>
    <w:tmpl w:val="F2425AE8"/>
    <w:lvl w:ilvl="0" w:tplc="3D5C3FDA">
      <w:start w:val="809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0F7A"/>
    <w:rsid w:val="0000141A"/>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555A"/>
    <w:rsid w:val="00046203"/>
    <w:rsid w:val="00051622"/>
    <w:rsid w:val="00051A11"/>
    <w:rsid w:val="00051F89"/>
    <w:rsid w:val="00052234"/>
    <w:rsid w:val="00053D7C"/>
    <w:rsid w:val="00056BFA"/>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1E45"/>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1867"/>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2E64"/>
    <w:rsid w:val="00153740"/>
    <w:rsid w:val="001537D8"/>
    <w:rsid w:val="00153D88"/>
    <w:rsid w:val="001541C5"/>
    <w:rsid w:val="001554E4"/>
    <w:rsid w:val="0015623F"/>
    <w:rsid w:val="00156585"/>
    <w:rsid w:val="00156BA9"/>
    <w:rsid w:val="00161642"/>
    <w:rsid w:val="00161761"/>
    <w:rsid w:val="00164413"/>
    <w:rsid w:val="001657BE"/>
    <w:rsid w:val="00165C7B"/>
    <w:rsid w:val="00165EDE"/>
    <w:rsid w:val="00166182"/>
    <w:rsid w:val="0017038B"/>
    <w:rsid w:val="00170C94"/>
    <w:rsid w:val="0017139A"/>
    <w:rsid w:val="0017172C"/>
    <w:rsid w:val="001724C8"/>
    <w:rsid w:val="001726BA"/>
    <w:rsid w:val="001732C4"/>
    <w:rsid w:val="00173E1A"/>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2F"/>
    <w:rsid w:val="00192392"/>
    <w:rsid w:val="0019273F"/>
    <w:rsid w:val="00193814"/>
    <w:rsid w:val="00193AAB"/>
    <w:rsid w:val="00193AD5"/>
    <w:rsid w:val="00193BAF"/>
    <w:rsid w:val="00194930"/>
    <w:rsid w:val="001953AE"/>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3833"/>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6E10"/>
    <w:rsid w:val="001C7231"/>
    <w:rsid w:val="001C7418"/>
    <w:rsid w:val="001C7EBE"/>
    <w:rsid w:val="001D0051"/>
    <w:rsid w:val="001D150B"/>
    <w:rsid w:val="001D169A"/>
    <w:rsid w:val="001D1C9E"/>
    <w:rsid w:val="001D2224"/>
    <w:rsid w:val="001D31AA"/>
    <w:rsid w:val="001D37B9"/>
    <w:rsid w:val="001D3DC0"/>
    <w:rsid w:val="001D4F88"/>
    <w:rsid w:val="001D64F3"/>
    <w:rsid w:val="001D68CF"/>
    <w:rsid w:val="001D6A8C"/>
    <w:rsid w:val="001D7A56"/>
    <w:rsid w:val="001E0291"/>
    <w:rsid w:val="001E15C0"/>
    <w:rsid w:val="001E16A3"/>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5CE"/>
    <w:rsid w:val="00235AD0"/>
    <w:rsid w:val="00236018"/>
    <w:rsid w:val="002374C9"/>
    <w:rsid w:val="0024162D"/>
    <w:rsid w:val="0024174E"/>
    <w:rsid w:val="00241B01"/>
    <w:rsid w:val="00241ECD"/>
    <w:rsid w:val="00242238"/>
    <w:rsid w:val="0024227D"/>
    <w:rsid w:val="00242D14"/>
    <w:rsid w:val="00242FD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CE0"/>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4B35"/>
    <w:rsid w:val="00285095"/>
    <w:rsid w:val="002854EB"/>
    <w:rsid w:val="00287006"/>
    <w:rsid w:val="0029030A"/>
    <w:rsid w:val="00291A69"/>
    <w:rsid w:val="00292397"/>
    <w:rsid w:val="00292AB2"/>
    <w:rsid w:val="00292B82"/>
    <w:rsid w:val="00293DB6"/>
    <w:rsid w:val="00293FE8"/>
    <w:rsid w:val="00294437"/>
    <w:rsid w:val="00296686"/>
    <w:rsid w:val="00297653"/>
    <w:rsid w:val="00297A00"/>
    <w:rsid w:val="00297A45"/>
    <w:rsid w:val="00297BC0"/>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C6F7E"/>
    <w:rsid w:val="002D08F3"/>
    <w:rsid w:val="002D10A6"/>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4BC0"/>
    <w:rsid w:val="003D56A0"/>
    <w:rsid w:val="003D5B96"/>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74B"/>
    <w:rsid w:val="00404B45"/>
    <w:rsid w:val="00405BCF"/>
    <w:rsid w:val="004068E0"/>
    <w:rsid w:val="00406CC5"/>
    <w:rsid w:val="00406FCA"/>
    <w:rsid w:val="004074A4"/>
    <w:rsid w:val="004101B2"/>
    <w:rsid w:val="004123D7"/>
    <w:rsid w:val="00412658"/>
    <w:rsid w:val="004129DA"/>
    <w:rsid w:val="00415EA4"/>
    <w:rsid w:val="0041604B"/>
    <w:rsid w:val="00416361"/>
    <w:rsid w:val="004172DB"/>
    <w:rsid w:val="004174F0"/>
    <w:rsid w:val="00417999"/>
    <w:rsid w:val="00417BED"/>
    <w:rsid w:val="0042081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514"/>
    <w:rsid w:val="00460E3F"/>
    <w:rsid w:val="0046111A"/>
    <w:rsid w:val="004613A3"/>
    <w:rsid w:val="00462F68"/>
    <w:rsid w:val="00462F8B"/>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1F0B"/>
    <w:rsid w:val="0049255F"/>
    <w:rsid w:val="0049445D"/>
    <w:rsid w:val="00494D39"/>
    <w:rsid w:val="00495350"/>
    <w:rsid w:val="00495E3C"/>
    <w:rsid w:val="00496041"/>
    <w:rsid w:val="00497156"/>
    <w:rsid w:val="004A0C79"/>
    <w:rsid w:val="004A1FE0"/>
    <w:rsid w:val="004A20D4"/>
    <w:rsid w:val="004A24D2"/>
    <w:rsid w:val="004A2728"/>
    <w:rsid w:val="004A3214"/>
    <w:rsid w:val="004A4136"/>
    <w:rsid w:val="004A417B"/>
    <w:rsid w:val="004A4378"/>
    <w:rsid w:val="004A712D"/>
    <w:rsid w:val="004A7C03"/>
    <w:rsid w:val="004B03F3"/>
    <w:rsid w:val="004B0CC9"/>
    <w:rsid w:val="004B1C61"/>
    <w:rsid w:val="004B2536"/>
    <w:rsid w:val="004B46D7"/>
    <w:rsid w:val="004B46FD"/>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414"/>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3A8F"/>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2907"/>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5BA"/>
    <w:rsid w:val="005C16F3"/>
    <w:rsid w:val="005C3758"/>
    <w:rsid w:val="005C4D72"/>
    <w:rsid w:val="005C50C1"/>
    <w:rsid w:val="005C62C2"/>
    <w:rsid w:val="005D0ABC"/>
    <w:rsid w:val="005D2306"/>
    <w:rsid w:val="005D2562"/>
    <w:rsid w:val="005D2666"/>
    <w:rsid w:val="005D32AD"/>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0C1D"/>
    <w:rsid w:val="006110FB"/>
    <w:rsid w:val="006114BB"/>
    <w:rsid w:val="006121F1"/>
    <w:rsid w:val="00612625"/>
    <w:rsid w:val="00612FB0"/>
    <w:rsid w:val="0061356D"/>
    <w:rsid w:val="00613E26"/>
    <w:rsid w:val="00614B21"/>
    <w:rsid w:val="00615641"/>
    <w:rsid w:val="00615A66"/>
    <w:rsid w:val="00616959"/>
    <w:rsid w:val="0062036E"/>
    <w:rsid w:val="00620E33"/>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2E4B"/>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1B37"/>
    <w:rsid w:val="006B31E6"/>
    <w:rsid w:val="006B3923"/>
    <w:rsid w:val="006B3F3E"/>
    <w:rsid w:val="006B4AA2"/>
    <w:rsid w:val="006B4C4D"/>
    <w:rsid w:val="006B53C4"/>
    <w:rsid w:val="006B586B"/>
    <w:rsid w:val="006B5923"/>
    <w:rsid w:val="006B67D9"/>
    <w:rsid w:val="006B6840"/>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5EBB"/>
    <w:rsid w:val="006D6804"/>
    <w:rsid w:val="006D7854"/>
    <w:rsid w:val="006E06D1"/>
    <w:rsid w:val="006E11E2"/>
    <w:rsid w:val="006E122E"/>
    <w:rsid w:val="006E1313"/>
    <w:rsid w:val="006E1352"/>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2C72"/>
    <w:rsid w:val="00703AE9"/>
    <w:rsid w:val="00703B6C"/>
    <w:rsid w:val="00703BB0"/>
    <w:rsid w:val="00704519"/>
    <w:rsid w:val="00704C40"/>
    <w:rsid w:val="00704C88"/>
    <w:rsid w:val="00704EA1"/>
    <w:rsid w:val="00705037"/>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697B"/>
    <w:rsid w:val="00716B9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0F0D"/>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28C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2DD0"/>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428"/>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1F22"/>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8671C"/>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CC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7B9"/>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081"/>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5D23"/>
    <w:rsid w:val="009672CD"/>
    <w:rsid w:val="00970B0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5F70"/>
    <w:rsid w:val="00986514"/>
    <w:rsid w:val="00986FCC"/>
    <w:rsid w:val="00987438"/>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4F8"/>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3382"/>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2B46"/>
    <w:rsid w:val="00A44141"/>
    <w:rsid w:val="00A44CCA"/>
    <w:rsid w:val="00A44D75"/>
    <w:rsid w:val="00A46CC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394"/>
    <w:rsid w:val="00A80B13"/>
    <w:rsid w:val="00A82C52"/>
    <w:rsid w:val="00A838E8"/>
    <w:rsid w:val="00A83C15"/>
    <w:rsid w:val="00A84EC4"/>
    <w:rsid w:val="00A86530"/>
    <w:rsid w:val="00A86CB6"/>
    <w:rsid w:val="00A90D55"/>
    <w:rsid w:val="00A91E6C"/>
    <w:rsid w:val="00A9225E"/>
    <w:rsid w:val="00A92884"/>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E45"/>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59E6"/>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690B"/>
    <w:rsid w:val="00B771E0"/>
    <w:rsid w:val="00B77828"/>
    <w:rsid w:val="00B7793B"/>
    <w:rsid w:val="00B77EE7"/>
    <w:rsid w:val="00B80EDD"/>
    <w:rsid w:val="00B812BD"/>
    <w:rsid w:val="00B81964"/>
    <w:rsid w:val="00B82277"/>
    <w:rsid w:val="00B82C7B"/>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4D0"/>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3F2C"/>
    <w:rsid w:val="00BC4AE5"/>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E2A"/>
    <w:rsid w:val="00BE2FC1"/>
    <w:rsid w:val="00BE3142"/>
    <w:rsid w:val="00BE37AA"/>
    <w:rsid w:val="00BE4039"/>
    <w:rsid w:val="00BE4570"/>
    <w:rsid w:val="00BE5D55"/>
    <w:rsid w:val="00BE6365"/>
    <w:rsid w:val="00BE71DF"/>
    <w:rsid w:val="00BF01B7"/>
    <w:rsid w:val="00BF0B7F"/>
    <w:rsid w:val="00BF0E94"/>
    <w:rsid w:val="00BF2988"/>
    <w:rsid w:val="00BF2C95"/>
    <w:rsid w:val="00BF3FB9"/>
    <w:rsid w:val="00BF4012"/>
    <w:rsid w:val="00BF4225"/>
    <w:rsid w:val="00BF4720"/>
    <w:rsid w:val="00BF4F49"/>
    <w:rsid w:val="00BF6759"/>
    <w:rsid w:val="00BF70A6"/>
    <w:rsid w:val="00BF72CA"/>
    <w:rsid w:val="00BF7B4F"/>
    <w:rsid w:val="00BF7B63"/>
    <w:rsid w:val="00BF7F3C"/>
    <w:rsid w:val="00C005D4"/>
    <w:rsid w:val="00C00671"/>
    <w:rsid w:val="00C01007"/>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AF3"/>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125F"/>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6BB7"/>
    <w:rsid w:val="00C87BE6"/>
    <w:rsid w:val="00C87F76"/>
    <w:rsid w:val="00C910DE"/>
    <w:rsid w:val="00C91AE7"/>
    <w:rsid w:val="00C931FC"/>
    <w:rsid w:val="00C932C5"/>
    <w:rsid w:val="00C94CB6"/>
    <w:rsid w:val="00C95299"/>
    <w:rsid w:val="00C95A72"/>
    <w:rsid w:val="00C9650E"/>
    <w:rsid w:val="00C97000"/>
    <w:rsid w:val="00C975BD"/>
    <w:rsid w:val="00CA068D"/>
    <w:rsid w:val="00CA08DF"/>
    <w:rsid w:val="00CA1228"/>
    <w:rsid w:val="00CA1C73"/>
    <w:rsid w:val="00CA282D"/>
    <w:rsid w:val="00CA3688"/>
    <w:rsid w:val="00CA3F73"/>
    <w:rsid w:val="00CA4670"/>
    <w:rsid w:val="00CA5F89"/>
    <w:rsid w:val="00CA6B1A"/>
    <w:rsid w:val="00CA720B"/>
    <w:rsid w:val="00CA7516"/>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485B"/>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2635"/>
    <w:rsid w:val="00CF4340"/>
    <w:rsid w:val="00CF4394"/>
    <w:rsid w:val="00CF48B4"/>
    <w:rsid w:val="00CF5C12"/>
    <w:rsid w:val="00CF7B72"/>
    <w:rsid w:val="00CF7CDD"/>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6D6"/>
    <w:rsid w:val="00D27C99"/>
    <w:rsid w:val="00D31683"/>
    <w:rsid w:val="00D33452"/>
    <w:rsid w:val="00D3361E"/>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108"/>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6AB"/>
    <w:rsid w:val="00D94F76"/>
    <w:rsid w:val="00D95984"/>
    <w:rsid w:val="00D95C64"/>
    <w:rsid w:val="00D9706F"/>
    <w:rsid w:val="00D972D4"/>
    <w:rsid w:val="00DA0614"/>
    <w:rsid w:val="00DA0FE3"/>
    <w:rsid w:val="00DA195B"/>
    <w:rsid w:val="00DA27F3"/>
    <w:rsid w:val="00DA2D1E"/>
    <w:rsid w:val="00DA3EC8"/>
    <w:rsid w:val="00DA40C1"/>
    <w:rsid w:val="00DA5564"/>
    <w:rsid w:val="00DA681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B7E14"/>
    <w:rsid w:val="00DC07B7"/>
    <w:rsid w:val="00DC0BF1"/>
    <w:rsid w:val="00DC11B7"/>
    <w:rsid w:val="00DC1607"/>
    <w:rsid w:val="00DC17F2"/>
    <w:rsid w:val="00DC4001"/>
    <w:rsid w:val="00DC41C3"/>
    <w:rsid w:val="00DC4842"/>
    <w:rsid w:val="00DC489A"/>
    <w:rsid w:val="00DC4A3C"/>
    <w:rsid w:val="00DC4FA4"/>
    <w:rsid w:val="00DC5028"/>
    <w:rsid w:val="00DC5B37"/>
    <w:rsid w:val="00DD286D"/>
    <w:rsid w:val="00DD2CAF"/>
    <w:rsid w:val="00DD3593"/>
    <w:rsid w:val="00DD462A"/>
    <w:rsid w:val="00DD5558"/>
    <w:rsid w:val="00DD6465"/>
    <w:rsid w:val="00DD64E0"/>
    <w:rsid w:val="00DD775C"/>
    <w:rsid w:val="00DD7BE0"/>
    <w:rsid w:val="00DE0C67"/>
    <w:rsid w:val="00DE1551"/>
    <w:rsid w:val="00DE2EB8"/>
    <w:rsid w:val="00DE3555"/>
    <w:rsid w:val="00DE3AAD"/>
    <w:rsid w:val="00DE598A"/>
    <w:rsid w:val="00DE5A79"/>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392A"/>
    <w:rsid w:val="00E2421B"/>
    <w:rsid w:val="00E242AF"/>
    <w:rsid w:val="00E24849"/>
    <w:rsid w:val="00E2536E"/>
    <w:rsid w:val="00E25A99"/>
    <w:rsid w:val="00E25B8A"/>
    <w:rsid w:val="00E25EF8"/>
    <w:rsid w:val="00E2632B"/>
    <w:rsid w:val="00E26F75"/>
    <w:rsid w:val="00E27423"/>
    <w:rsid w:val="00E3077F"/>
    <w:rsid w:val="00E322F7"/>
    <w:rsid w:val="00E3369B"/>
    <w:rsid w:val="00E33EF1"/>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47EBA"/>
    <w:rsid w:val="00E50BEB"/>
    <w:rsid w:val="00E523FB"/>
    <w:rsid w:val="00E53460"/>
    <w:rsid w:val="00E54846"/>
    <w:rsid w:val="00E548FA"/>
    <w:rsid w:val="00E55CD9"/>
    <w:rsid w:val="00E57703"/>
    <w:rsid w:val="00E57ED4"/>
    <w:rsid w:val="00E57FED"/>
    <w:rsid w:val="00E6092F"/>
    <w:rsid w:val="00E61CCD"/>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6297"/>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7BF"/>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191"/>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CF8"/>
    <w:rsid w:val="00F65E1F"/>
    <w:rsid w:val="00F65ED5"/>
    <w:rsid w:val="00F6608B"/>
    <w:rsid w:val="00F6636A"/>
    <w:rsid w:val="00F667C5"/>
    <w:rsid w:val="00F67E31"/>
    <w:rsid w:val="00F70B44"/>
    <w:rsid w:val="00F711EF"/>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999"/>
    <w:rsid w:val="00FA0C8F"/>
    <w:rsid w:val="00FA24F2"/>
    <w:rsid w:val="00FA2DEF"/>
    <w:rsid w:val="00FA2F7B"/>
    <w:rsid w:val="00FA3C90"/>
    <w:rsid w:val="00FA3C97"/>
    <w:rsid w:val="00FA3D30"/>
    <w:rsid w:val="00FA4B49"/>
    <w:rsid w:val="00FA54F8"/>
    <w:rsid w:val="00FA5D7E"/>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63C"/>
    <w:rsid w:val="00FC4284"/>
    <w:rsid w:val="00FC4576"/>
    <w:rsid w:val="00FC494C"/>
    <w:rsid w:val="00FC5FF5"/>
    <w:rsid w:val="00FC6285"/>
    <w:rsid w:val="00FC78FB"/>
    <w:rsid w:val="00FC7DBC"/>
    <w:rsid w:val="00FD076A"/>
    <w:rsid w:val="00FD0AA0"/>
    <w:rsid w:val="00FD1D5A"/>
    <w:rsid w:val="00FD29F2"/>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 w:type="character" w:customStyle="1" w:styleId="hw1">
    <w:name w:val="hw1"/>
    <w:basedOn w:val="DefaultParagraphFont"/>
    <w:rsid w:val="00491F0B"/>
    <w:rPr>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244036">
      <w:bodyDiv w:val="1"/>
      <w:marLeft w:val="85"/>
      <w:marRight w:val="85"/>
      <w:marTop w:val="12"/>
      <w:marBottom w:val="12"/>
      <w:divBdr>
        <w:top w:val="none" w:sz="0" w:space="0" w:color="auto"/>
        <w:left w:val="none" w:sz="0" w:space="0" w:color="auto"/>
        <w:bottom w:val="none" w:sz="0" w:space="0" w:color="auto"/>
        <w:right w:val="none" w:sz="0" w:space="0" w:color="auto"/>
      </w:divBdr>
      <w:divsChild>
        <w:div w:id="266667141">
          <w:marLeft w:val="567"/>
          <w:marRight w:val="0"/>
          <w:marTop w:val="0"/>
          <w:marBottom w:val="0"/>
          <w:divBdr>
            <w:top w:val="none" w:sz="0" w:space="0" w:color="auto"/>
            <w:left w:val="none" w:sz="0" w:space="0" w:color="auto"/>
            <w:bottom w:val="none" w:sz="0" w:space="0" w:color="auto"/>
            <w:right w:val="none" w:sz="0" w:space="0" w:color="auto"/>
          </w:divBdr>
        </w:div>
      </w:divsChild>
    </w:div>
    <w:div w:id="648510382">
      <w:bodyDiv w:val="1"/>
      <w:marLeft w:val="0"/>
      <w:marRight w:val="0"/>
      <w:marTop w:val="0"/>
      <w:marBottom w:val="0"/>
      <w:divBdr>
        <w:top w:val="none" w:sz="0" w:space="0" w:color="auto"/>
        <w:left w:val="none" w:sz="0" w:space="0" w:color="auto"/>
        <w:bottom w:val="none" w:sz="0" w:space="0" w:color="auto"/>
        <w:right w:val="none" w:sz="0" w:space="0" w:color="auto"/>
      </w:divBdr>
    </w:div>
    <w:div w:id="1432697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0C0B-B1D2-4F9C-ACF1-7F28A029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2012-10-16T13:20:00Z</cp:lastPrinted>
  <dcterms:created xsi:type="dcterms:W3CDTF">2012-11-07T21:24:00Z</dcterms:created>
  <dcterms:modified xsi:type="dcterms:W3CDTF">2012-11-07T21:24:00Z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