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1E36DA">
        <w:rPr>
          <w:caps/>
          <w:color w:val="000000" w:themeColor="text1"/>
        </w:rPr>
        <w:t>XXXXXXXXXXXXXXXXXX</w:t>
      </w:r>
      <w:r>
        <w:rPr>
          <w:caps/>
          <w:color w:val="000000" w:themeColor="text1"/>
        </w:rPr>
        <w:tab/>
        <w:t xml:space="preserve">                             </w:t>
      </w:r>
      <w:r w:rsidRPr="001F29F9">
        <w:rPr>
          <w:caps/>
          <w:color w:val="000000" w:themeColor="text1"/>
        </w:rPr>
        <w:t xml:space="preserve">BRANCH </w:t>
      </w:r>
      <w:r w:rsidRPr="00403A04">
        <w:rPr>
          <w:caps/>
          <w:color w:val="000000" w:themeColor="text1"/>
        </w:rPr>
        <w:t>OF SERVICE:  Army</w:t>
      </w:r>
      <w:r w:rsidRPr="00BA4A38">
        <w:rPr>
          <w:caps/>
          <w:color w:val="000000" w:themeColor="text1"/>
        </w:rPr>
        <w:t xml:space="preserve"> </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565636">
        <w:rPr>
          <w:caps/>
          <w:color w:val="000000" w:themeColor="text1"/>
        </w:rPr>
        <w:t>9</w:t>
      </w:r>
      <w:r w:rsidR="00403A04">
        <w:rPr>
          <w:caps/>
          <w:color w:val="000000" w:themeColor="text1"/>
        </w:rPr>
        <w:t>64</w:t>
      </w:r>
      <w:r w:rsidRPr="001F29F9">
        <w:rPr>
          <w:color w:val="000000" w:themeColor="text1"/>
        </w:rPr>
        <w:t xml:space="preserve">                            </w:t>
      </w:r>
      <w:r>
        <w:rPr>
          <w:color w:val="000000" w:themeColor="text1"/>
        </w:rPr>
        <w:tab/>
      </w:r>
      <w:r>
        <w:rPr>
          <w:color w:val="000000" w:themeColor="text1"/>
        </w:rPr>
        <w:tab/>
        <w:t xml:space="preserve">          </w:t>
      </w:r>
      <w:r w:rsidR="007C5B18">
        <w:rPr>
          <w:color w:val="000000" w:themeColor="text1"/>
        </w:rPr>
        <w:t xml:space="preserve"> </w:t>
      </w:r>
      <w:r w:rsidRPr="001F29F9">
        <w:rPr>
          <w:color w:val="000000" w:themeColor="text1"/>
        </w:rPr>
        <w:t xml:space="preserve">SEPARATION DATE:  </w:t>
      </w:r>
      <w:r w:rsidR="00403A04" w:rsidRPr="001F29F9">
        <w:rPr>
          <w:color w:val="000000" w:themeColor="text1"/>
        </w:rPr>
        <w:t>200</w:t>
      </w:r>
      <w:r w:rsidR="00194495">
        <w:rPr>
          <w:color w:val="000000" w:themeColor="text1"/>
        </w:rPr>
        <w:t>80516</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FF04CA">
        <w:rPr>
          <w:caps/>
          <w:color w:val="000000"/>
        </w:rPr>
        <w:t>0830</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403A04" w:rsidRPr="00CC2F62" w:rsidRDefault="00AD2379" w:rsidP="00CC2F62">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403A04" w:rsidRPr="001F29F9">
        <w:rPr>
          <w:color w:val="000000" w:themeColor="text1"/>
          <w:szCs w:val="24"/>
        </w:rPr>
        <w:t>S</w:t>
      </w:r>
      <w:r w:rsidR="00403A04">
        <w:rPr>
          <w:color w:val="000000" w:themeColor="text1"/>
          <w:szCs w:val="24"/>
        </w:rPr>
        <w:t>PC</w:t>
      </w:r>
      <w:r w:rsidR="00403A04" w:rsidRPr="001F29F9">
        <w:rPr>
          <w:color w:val="000000" w:themeColor="text1"/>
          <w:szCs w:val="24"/>
        </w:rPr>
        <w:t>/E-</w:t>
      </w:r>
      <w:r w:rsidR="00403A04">
        <w:rPr>
          <w:color w:val="000000" w:themeColor="text1"/>
          <w:szCs w:val="24"/>
        </w:rPr>
        <w:t>4</w:t>
      </w:r>
      <w:r w:rsidR="00403A04">
        <w:rPr>
          <w:color w:val="000000"/>
        </w:rPr>
        <w:t xml:space="preserve"> (25U</w:t>
      </w:r>
      <w:r w:rsidRPr="001F29F9">
        <w:rPr>
          <w:color w:val="000000"/>
        </w:rPr>
        <w:t xml:space="preserve">, </w:t>
      </w:r>
      <w:r w:rsidR="00403A04" w:rsidRPr="00BB13FC">
        <w:rPr>
          <w:color w:val="000000" w:themeColor="text1"/>
          <w:szCs w:val="24"/>
        </w:rPr>
        <w:t>Signal Support</w:t>
      </w:r>
      <w:r w:rsidR="00A70270">
        <w:rPr>
          <w:color w:val="000000"/>
        </w:rPr>
        <w:t xml:space="preserve">) </w:t>
      </w:r>
      <w:r w:rsidRPr="001F29F9">
        <w:rPr>
          <w:color w:val="000000"/>
        </w:rPr>
        <w:t xml:space="preserve">medically separated for </w:t>
      </w:r>
      <w:r w:rsidR="00CC2F62">
        <w:rPr>
          <w:color w:val="000000"/>
        </w:rPr>
        <w:t>sciatic neuritis</w:t>
      </w:r>
      <w:r w:rsidR="00403A04">
        <w:rPr>
          <w:color w:val="000000"/>
        </w:rPr>
        <w:t>, lumbar spine and bilateral knee</w:t>
      </w:r>
      <w:r w:rsidRPr="001F29F9">
        <w:rPr>
          <w:color w:val="000000"/>
        </w:rPr>
        <w:t xml:space="preserve"> </w:t>
      </w:r>
      <w:r w:rsidR="00261B7E">
        <w:rPr>
          <w:color w:val="000000"/>
        </w:rPr>
        <w:t>condition</w:t>
      </w:r>
      <w:r w:rsidR="00403A04">
        <w:rPr>
          <w:color w:val="000000"/>
        </w:rPr>
        <w:t>s</w:t>
      </w:r>
      <w:r w:rsidRPr="001F29F9">
        <w:rPr>
          <w:color w:val="000000"/>
        </w:rPr>
        <w:t xml:space="preserve">. </w:t>
      </w:r>
      <w:r w:rsidR="000E6DB2">
        <w:rPr>
          <w:color w:val="000000"/>
        </w:rPr>
        <w:t>He experienced an onset of low back pain and bilateral knee pain early in service during Advanced Individual Training</w:t>
      </w:r>
      <w:r w:rsidR="00DC3689">
        <w:rPr>
          <w:color w:val="000000"/>
        </w:rPr>
        <w:t xml:space="preserve"> (AIT)</w:t>
      </w:r>
      <w:r w:rsidR="000E6DB2">
        <w:rPr>
          <w:color w:val="000000"/>
        </w:rPr>
        <w:t xml:space="preserve">.  His lumbar spine condition was diagnosed as disk disease, and was associated with left sciatic radicular symptoms.  The knee condition was </w:t>
      </w:r>
      <w:r w:rsidR="00CC2F62">
        <w:rPr>
          <w:color w:val="000000"/>
        </w:rPr>
        <w:t xml:space="preserve">diagnosed as </w:t>
      </w:r>
      <w:r w:rsidR="000E6DB2">
        <w:rPr>
          <w:color w:val="000000"/>
        </w:rPr>
        <w:t xml:space="preserve">bilateral </w:t>
      </w:r>
      <w:r w:rsidR="00CC2F62">
        <w:rPr>
          <w:color w:val="000000"/>
        </w:rPr>
        <w:t>patellofemoral syndrome (PFS)</w:t>
      </w:r>
      <w:r w:rsidR="000E6DB2">
        <w:rPr>
          <w:color w:val="000000"/>
        </w:rPr>
        <w:t>.  All of the conditions worsened over the course of his service, and</w:t>
      </w:r>
      <w:r w:rsidR="00F566B7" w:rsidRPr="00F566B7">
        <w:rPr>
          <w:color w:val="000000"/>
        </w:rPr>
        <w:t xml:space="preserve"> could not be adequately rehabilitated to meet the physical requirements of his Military Occupational Specialty (MOS) or satis</w:t>
      </w:r>
      <w:r w:rsidR="009C12A1">
        <w:rPr>
          <w:color w:val="000000"/>
        </w:rPr>
        <w:t>fy physical fitness standards.</w:t>
      </w:r>
      <w:r w:rsidR="00F566B7" w:rsidRPr="00F566B7">
        <w:rPr>
          <w:color w:val="000000"/>
        </w:rPr>
        <w:t xml:space="preserve"> </w:t>
      </w:r>
      <w:r w:rsidR="009C12A1">
        <w:rPr>
          <w:color w:val="000000"/>
        </w:rPr>
        <w:t xml:space="preserve"> </w:t>
      </w:r>
      <w:r w:rsidR="00403A04" w:rsidRPr="00B7213F">
        <w:rPr>
          <w:color w:val="000000"/>
          <w:szCs w:val="24"/>
        </w:rPr>
        <w:t xml:space="preserve">He was consequently issued a permanent L3 profile and referred for a Medical Evaluation Board (MEB).  </w:t>
      </w:r>
      <w:r w:rsidR="00403A04">
        <w:rPr>
          <w:color w:val="000000"/>
          <w:szCs w:val="24"/>
        </w:rPr>
        <w:t xml:space="preserve">Two </w:t>
      </w:r>
      <w:r w:rsidR="00403A04" w:rsidRPr="00B7213F">
        <w:rPr>
          <w:color w:val="000000"/>
          <w:szCs w:val="24"/>
        </w:rPr>
        <w:t>conditions were forwarded to the Physical Evaluation Board (PEB) as medicall</w:t>
      </w:r>
      <w:r w:rsidR="00403A04">
        <w:rPr>
          <w:color w:val="000000"/>
          <w:szCs w:val="24"/>
        </w:rPr>
        <w:t xml:space="preserve">y unacceptable IAW AR 40-501: bilateral </w:t>
      </w:r>
      <w:r w:rsidR="00CC2F62">
        <w:rPr>
          <w:color w:val="000000"/>
          <w:szCs w:val="24"/>
        </w:rPr>
        <w:t>PFS</w:t>
      </w:r>
      <w:r w:rsidR="00403A04">
        <w:rPr>
          <w:color w:val="000000"/>
          <w:szCs w:val="24"/>
        </w:rPr>
        <w:t xml:space="preserve">, and “chronic low back pain without </w:t>
      </w:r>
      <w:proofErr w:type="spellStart"/>
      <w:r w:rsidR="00403A04">
        <w:rPr>
          <w:color w:val="000000"/>
          <w:szCs w:val="24"/>
        </w:rPr>
        <w:t>radiculopathy</w:t>
      </w:r>
      <w:proofErr w:type="spellEnd"/>
      <w:r w:rsidR="007C5B18">
        <w:rPr>
          <w:color w:val="000000"/>
          <w:szCs w:val="24"/>
        </w:rPr>
        <w:t>.</w:t>
      </w:r>
      <w:r w:rsidR="00403A04">
        <w:rPr>
          <w:color w:val="000000"/>
          <w:szCs w:val="24"/>
        </w:rPr>
        <w:t xml:space="preserve">”  </w:t>
      </w:r>
      <w:r w:rsidR="00403A04" w:rsidRPr="00B7213F">
        <w:rPr>
          <w:color w:val="000000"/>
          <w:szCs w:val="24"/>
        </w:rPr>
        <w:t>No other conditions were submitted by the MEB.  The PEB</w:t>
      </w:r>
      <w:r w:rsidR="00FF04CA">
        <w:rPr>
          <w:color w:val="000000"/>
          <w:szCs w:val="24"/>
        </w:rPr>
        <w:t xml:space="preserve"> </w:t>
      </w:r>
      <w:r w:rsidR="009D40B6">
        <w:rPr>
          <w:color w:val="000000"/>
          <w:szCs w:val="24"/>
        </w:rPr>
        <w:t>split the lumbar spine diagnoses into an unfitting “left sciatic neuritis” and an unfitting “intervertebral disk syndrome</w:t>
      </w:r>
      <w:r w:rsidR="007C5B18">
        <w:rPr>
          <w:color w:val="000000"/>
          <w:szCs w:val="24"/>
        </w:rPr>
        <w:t>;</w:t>
      </w:r>
      <w:r w:rsidR="009D40B6">
        <w:rPr>
          <w:color w:val="000000"/>
          <w:szCs w:val="24"/>
        </w:rPr>
        <w:t xml:space="preserve">” each rated 10% </w:t>
      </w:r>
      <w:r w:rsidR="009D40B6" w:rsidRPr="00B7213F">
        <w:rPr>
          <w:color w:val="000000"/>
          <w:szCs w:val="24"/>
        </w:rPr>
        <w:t>citing criteria of the Veterans Administration Schedule for Rating Disabilities (VASRD)</w:t>
      </w:r>
      <w:r w:rsidR="009D40B6">
        <w:rPr>
          <w:color w:val="000000"/>
          <w:szCs w:val="24"/>
        </w:rPr>
        <w:t xml:space="preserve">.  </w:t>
      </w:r>
      <w:r w:rsidR="00CC2F62">
        <w:rPr>
          <w:color w:val="000000"/>
          <w:szCs w:val="24"/>
        </w:rPr>
        <w:t>B</w:t>
      </w:r>
      <w:r w:rsidR="009D40B6">
        <w:rPr>
          <w:color w:val="000000"/>
          <w:szCs w:val="24"/>
        </w:rPr>
        <w:t xml:space="preserve">ilateral </w:t>
      </w:r>
      <w:r w:rsidR="00CC2F62">
        <w:rPr>
          <w:color w:val="000000"/>
          <w:szCs w:val="24"/>
        </w:rPr>
        <w:t>PFS</w:t>
      </w:r>
      <w:r w:rsidR="009D40B6">
        <w:rPr>
          <w:color w:val="000000"/>
          <w:szCs w:val="24"/>
        </w:rPr>
        <w:t xml:space="preserve"> was adjudicated as a single unfitting condition, rated 0%, referencing </w:t>
      </w:r>
      <w:r w:rsidR="00FF04CA" w:rsidRPr="00B7213F">
        <w:rPr>
          <w:color w:val="000000"/>
          <w:szCs w:val="24"/>
        </w:rPr>
        <w:t>VASRD</w:t>
      </w:r>
      <w:r w:rsidR="00FF04CA">
        <w:rPr>
          <w:color w:val="000000"/>
          <w:szCs w:val="24"/>
        </w:rPr>
        <w:t xml:space="preserve"> </w:t>
      </w:r>
      <w:r w:rsidR="009D40B6">
        <w:rPr>
          <w:color w:val="000000"/>
          <w:szCs w:val="24"/>
        </w:rPr>
        <w:t>§4.31 (</w:t>
      </w:r>
      <w:r w:rsidR="00CC2F62">
        <w:rPr>
          <w:color w:val="000000"/>
          <w:szCs w:val="24"/>
        </w:rPr>
        <w:t xml:space="preserve">no-percent rating).  </w:t>
      </w:r>
      <w:r w:rsidR="00403A04" w:rsidRPr="00B7213F">
        <w:rPr>
          <w:color w:val="000000"/>
          <w:szCs w:val="24"/>
        </w:rPr>
        <w:t>The CI made no appeals, and was medically separated with a combined disability rating</w:t>
      </w:r>
      <w:r w:rsidR="00E74FB7">
        <w:rPr>
          <w:color w:val="000000"/>
          <w:szCs w:val="24"/>
        </w:rPr>
        <w:t xml:space="preserve"> of </w:t>
      </w:r>
      <w:r w:rsidR="00E74FB7" w:rsidRPr="00B7213F">
        <w:rPr>
          <w:color w:val="000000"/>
          <w:szCs w:val="24"/>
        </w:rPr>
        <w:t>20%</w:t>
      </w:r>
      <w:r w:rsidR="00403A04" w:rsidRPr="00B7213F">
        <w:rPr>
          <w:color w:val="000000"/>
          <w:szCs w:val="24"/>
        </w:rPr>
        <w:t>.</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CC2F62">
        <w:rPr>
          <w:color w:val="000000" w:themeColor="text1"/>
        </w:rPr>
        <w:t>“These medical i</w:t>
      </w:r>
      <w:r w:rsidR="00CC2F62" w:rsidRPr="00612A26">
        <w:rPr>
          <w:color w:val="000000" w:themeColor="text1"/>
        </w:rPr>
        <w:t xml:space="preserve">ssues have not been getting better but worse and the VA has given a </w:t>
      </w:r>
      <w:r w:rsidR="00CC2F62">
        <w:rPr>
          <w:color w:val="000000" w:themeColor="text1"/>
        </w:rPr>
        <w:t>higher rating and then inc</w:t>
      </w:r>
      <w:r w:rsidR="00CC2F62" w:rsidRPr="00612A26">
        <w:rPr>
          <w:color w:val="000000" w:themeColor="text1"/>
        </w:rPr>
        <w:t xml:space="preserve">reased my percentage based on </w:t>
      </w:r>
      <w:r w:rsidR="00CC2F62">
        <w:rPr>
          <w:color w:val="000000" w:themeColor="text1"/>
        </w:rPr>
        <w:t>t</w:t>
      </w:r>
      <w:r w:rsidR="00CC2F62" w:rsidRPr="00612A26">
        <w:rPr>
          <w:color w:val="000000" w:themeColor="text1"/>
        </w:rPr>
        <w:t>ha</w:t>
      </w:r>
      <w:r w:rsidR="00CC2F62">
        <w:rPr>
          <w:color w:val="000000" w:themeColor="text1"/>
        </w:rPr>
        <w:t xml:space="preserve">t.”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00CC2F62" w:rsidRPr="00CC2F62">
        <w:rPr>
          <w:color w:val="auto"/>
        </w:rPr>
        <w:t>The Board wishes to clarify that the scope of its review as defined in Department of Defense Instruction (DoDI) 6040.44 (Enclosure 3, paragraph 5.e.2) is limited to those conditions which were determined by the PEB to be specifically unfitting for continued military service; or, when requested by the CI, those condition(s) “identified but not determined to be unfitting by the PEB</w:t>
      </w:r>
      <w:r w:rsidR="007C5B18">
        <w:rPr>
          <w:color w:val="auto"/>
        </w:rPr>
        <w:t>.</w:t>
      </w:r>
      <w:r w:rsidR="00CC2F62" w:rsidRPr="00CC2F62">
        <w:rPr>
          <w:color w:val="auto"/>
        </w:rPr>
        <w:t xml:space="preserve">”  The rating for the unfitting </w:t>
      </w:r>
      <w:r w:rsidR="00CC2F62">
        <w:rPr>
          <w:color w:val="auto"/>
        </w:rPr>
        <w:t>sciatic neuritis, lumbar disk disease, and bilateral knee</w:t>
      </w:r>
      <w:r w:rsidR="00CC2F62" w:rsidRPr="00CC2F62">
        <w:rPr>
          <w:color w:val="auto"/>
        </w:rPr>
        <w:t xml:space="preserve"> condition</w:t>
      </w:r>
      <w:r w:rsidR="00CC2F62">
        <w:rPr>
          <w:color w:val="auto"/>
        </w:rPr>
        <w:t>s</w:t>
      </w:r>
      <w:r w:rsidR="00CC2F62" w:rsidRPr="00CC2F62">
        <w:rPr>
          <w:color w:val="auto"/>
        </w:rPr>
        <w:t xml:space="preserve"> </w:t>
      </w:r>
      <w:r w:rsidR="00CC2F62">
        <w:rPr>
          <w:color w:val="auto"/>
        </w:rPr>
        <w:t>are</w:t>
      </w:r>
      <w:r w:rsidR="00CC2F62" w:rsidRPr="00CC2F62">
        <w:rPr>
          <w:color w:val="auto"/>
        </w:rPr>
        <w:t xml:space="preserve"> addressed below; and, no additional conditions are within the DoDI 6040.44 defined purview of the Board.  Any conditions or contention not requested in this application, or otherwise outside the Board’s defined scope of review, remain eligible for future consideration by the Army Board for the Correction of Military Records (ABCMR)</w:t>
      </w:r>
      <w:r w:rsidR="00CC2F62">
        <w:rPr>
          <w:color w:val="auto"/>
        </w:rPr>
        <w:t>.</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E74FB7" w:rsidRDefault="00E74FB7">
      <w:pPr>
        <w:spacing w:line="240" w:lineRule="auto"/>
        <w:jc w:val="left"/>
        <w:rPr>
          <w:color w:val="000000"/>
          <w:u w:val="single"/>
        </w:rPr>
      </w:pPr>
      <w:r>
        <w:rPr>
          <w:color w:val="000000"/>
          <w:u w:val="single"/>
        </w:rPr>
        <w:br w:type="page"/>
      </w:r>
    </w:p>
    <w:p w:rsidR="00AD237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E74FB7" w:rsidRDefault="00E74FB7" w:rsidP="00BF0E94">
      <w:pPr>
        <w:jc w:val="left"/>
        <w:rPr>
          <w:color w:val="000000"/>
        </w:rPr>
      </w:pPr>
    </w:p>
    <w:tbl>
      <w:tblPr>
        <w:tblStyle w:val="TableGrid"/>
        <w:tblpPr w:leftFromText="187" w:rightFromText="187" w:vertAnchor="text" w:tblpXSpec="center" w:tblpY="1"/>
        <w:tblOverlap w:val="never"/>
        <w:tblW w:w="9360" w:type="dxa"/>
        <w:tblLayout w:type="fixed"/>
        <w:tblLook w:val="04A0"/>
      </w:tblPr>
      <w:tblGrid>
        <w:gridCol w:w="2430"/>
        <w:gridCol w:w="1080"/>
        <w:gridCol w:w="720"/>
        <w:gridCol w:w="2340"/>
        <w:gridCol w:w="1080"/>
        <w:gridCol w:w="721"/>
        <w:gridCol w:w="989"/>
      </w:tblGrid>
      <w:tr w:rsidR="00E74FB7" w:rsidRPr="001F29F9" w:rsidTr="000E6DB2">
        <w:trPr>
          <w:trHeight w:val="233"/>
        </w:trPr>
        <w:tc>
          <w:tcPr>
            <w:tcW w:w="4230" w:type="dxa"/>
            <w:gridSpan w:val="3"/>
            <w:tcBorders>
              <w:right w:val="thinThickThinSmallGap" w:sz="24" w:space="0" w:color="auto"/>
            </w:tcBorders>
            <w:shd w:val="clear" w:color="auto" w:fill="D9D9D9" w:themeFill="background1" w:themeFillShade="D9"/>
            <w:vAlign w:val="center"/>
          </w:tcPr>
          <w:p w:rsidR="00E74FB7" w:rsidRPr="00BD5622" w:rsidRDefault="00E74FB7" w:rsidP="003447A8">
            <w:pPr>
              <w:contextualSpacing/>
              <w:rPr>
                <w:rFonts w:cs="Calibri"/>
                <w:b/>
                <w:color w:val="000000" w:themeColor="text1"/>
                <w:sz w:val="18"/>
                <w:szCs w:val="18"/>
              </w:rPr>
            </w:pPr>
            <w:r w:rsidRPr="00BD5622">
              <w:rPr>
                <w:rFonts w:cs="Calibri"/>
                <w:b/>
                <w:color w:val="000000" w:themeColor="text1"/>
                <w:sz w:val="18"/>
                <w:szCs w:val="18"/>
              </w:rPr>
              <w:t>Service PEB – Dated 20080324</w:t>
            </w:r>
          </w:p>
        </w:tc>
        <w:tc>
          <w:tcPr>
            <w:tcW w:w="5130" w:type="dxa"/>
            <w:gridSpan w:val="4"/>
            <w:tcBorders>
              <w:left w:val="thinThickThinSmallGap" w:sz="24" w:space="0" w:color="auto"/>
            </w:tcBorders>
            <w:shd w:val="clear" w:color="auto" w:fill="D9D9D9" w:themeFill="background1" w:themeFillShade="D9"/>
            <w:vAlign w:val="center"/>
          </w:tcPr>
          <w:p w:rsidR="00E74FB7" w:rsidRPr="00BD5622" w:rsidRDefault="00E74FB7" w:rsidP="003447A8">
            <w:pPr>
              <w:contextualSpacing/>
              <w:rPr>
                <w:rFonts w:cs="Calibri"/>
                <w:b/>
                <w:color w:val="000000" w:themeColor="text1"/>
                <w:sz w:val="18"/>
                <w:szCs w:val="18"/>
              </w:rPr>
            </w:pPr>
            <w:r w:rsidRPr="00BD5622">
              <w:rPr>
                <w:rFonts w:cs="Calibri"/>
                <w:b/>
                <w:color w:val="000000" w:themeColor="text1"/>
                <w:sz w:val="18"/>
                <w:szCs w:val="18"/>
              </w:rPr>
              <w:t xml:space="preserve">VA (2 Mo. </w:t>
            </w:r>
            <w:r>
              <w:rPr>
                <w:rFonts w:cs="Calibri"/>
                <w:b/>
                <w:color w:val="000000" w:themeColor="text1"/>
                <w:sz w:val="18"/>
                <w:szCs w:val="18"/>
              </w:rPr>
              <w:t>Post-</w:t>
            </w:r>
            <w:r w:rsidRPr="00BD5622">
              <w:rPr>
                <w:rFonts w:cs="Calibri"/>
                <w:b/>
                <w:color w:val="000000" w:themeColor="text1"/>
                <w:sz w:val="18"/>
                <w:szCs w:val="18"/>
              </w:rPr>
              <w:t>Separation) – All Effective 20080517</w:t>
            </w:r>
          </w:p>
        </w:tc>
      </w:tr>
      <w:tr w:rsidR="00E74FB7" w:rsidRPr="001F29F9" w:rsidTr="000E6DB2">
        <w:trPr>
          <w:trHeight w:val="103"/>
        </w:trPr>
        <w:tc>
          <w:tcPr>
            <w:tcW w:w="2430" w:type="dxa"/>
            <w:tcBorders>
              <w:bottom w:val="single" w:sz="4" w:space="0" w:color="000000" w:themeColor="text1"/>
              <w:right w:val="single" w:sz="4" w:space="0" w:color="auto"/>
            </w:tcBorders>
            <w:shd w:val="clear" w:color="auto" w:fill="D9D9D9" w:themeFill="background1" w:themeFillShade="D9"/>
            <w:vAlign w:val="center"/>
          </w:tcPr>
          <w:p w:rsidR="00E74FB7" w:rsidRPr="001F29F9" w:rsidRDefault="00E74FB7" w:rsidP="003447A8">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E74FB7" w:rsidRPr="001F29F9" w:rsidRDefault="00E74FB7" w:rsidP="003447A8">
            <w:pPr>
              <w:contextualSpacing/>
              <w:rPr>
                <w:rFonts w:cs="Calibri"/>
                <w:b/>
                <w:color w:val="000000" w:themeColor="text1"/>
                <w:sz w:val="18"/>
                <w:szCs w:val="18"/>
              </w:rPr>
            </w:pPr>
            <w:r w:rsidRPr="001F29F9">
              <w:rPr>
                <w:rFonts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E74FB7" w:rsidRPr="00BD5622" w:rsidRDefault="00E74FB7" w:rsidP="003447A8">
            <w:pPr>
              <w:contextualSpacing/>
              <w:rPr>
                <w:rFonts w:cs="Calibri"/>
                <w:b/>
                <w:color w:val="000000" w:themeColor="text1"/>
                <w:sz w:val="18"/>
                <w:szCs w:val="18"/>
              </w:rPr>
            </w:pPr>
            <w:r w:rsidRPr="00BD5622">
              <w:rPr>
                <w:rFonts w:cs="Calibri"/>
                <w:b/>
                <w:color w:val="000000" w:themeColor="text1"/>
                <w:sz w:val="18"/>
                <w:szCs w:val="18"/>
              </w:rPr>
              <w:t>Rating</w:t>
            </w:r>
          </w:p>
        </w:tc>
        <w:tc>
          <w:tcPr>
            <w:tcW w:w="2340" w:type="dxa"/>
            <w:tcBorders>
              <w:left w:val="thinThickThinSmallGap" w:sz="24" w:space="0" w:color="auto"/>
              <w:bottom w:val="single" w:sz="4" w:space="0" w:color="000000" w:themeColor="text1"/>
            </w:tcBorders>
            <w:shd w:val="clear" w:color="auto" w:fill="D9D9D9" w:themeFill="background1" w:themeFillShade="D9"/>
            <w:vAlign w:val="center"/>
          </w:tcPr>
          <w:p w:rsidR="00E74FB7" w:rsidRPr="00BD5622" w:rsidRDefault="00E74FB7" w:rsidP="003447A8">
            <w:pPr>
              <w:contextualSpacing/>
              <w:rPr>
                <w:rFonts w:cs="Calibri"/>
                <w:b/>
                <w:color w:val="000000" w:themeColor="text1"/>
                <w:sz w:val="18"/>
                <w:szCs w:val="18"/>
              </w:rPr>
            </w:pPr>
            <w:r w:rsidRPr="00BD5622">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E74FB7" w:rsidRPr="001F29F9" w:rsidRDefault="00E74FB7" w:rsidP="003447A8">
            <w:pPr>
              <w:contextualSpacing/>
              <w:rPr>
                <w:rFonts w:cs="Calibri"/>
                <w:b/>
                <w:color w:val="000000" w:themeColor="text1"/>
                <w:sz w:val="18"/>
                <w:szCs w:val="18"/>
              </w:rPr>
            </w:pPr>
            <w:r w:rsidRPr="001F29F9">
              <w:rPr>
                <w:rFonts w:cs="Calibri"/>
                <w:b/>
                <w:color w:val="000000" w:themeColor="text1"/>
                <w:sz w:val="18"/>
                <w:szCs w:val="18"/>
              </w:rPr>
              <w:t>Code</w:t>
            </w:r>
          </w:p>
        </w:tc>
        <w:tc>
          <w:tcPr>
            <w:tcW w:w="721" w:type="dxa"/>
            <w:tcBorders>
              <w:bottom w:val="single" w:sz="4" w:space="0" w:color="000000" w:themeColor="text1"/>
            </w:tcBorders>
            <w:shd w:val="clear" w:color="auto" w:fill="D9D9D9" w:themeFill="background1" w:themeFillShade="D9"/>
            <w:vAlign w:val="center"/>
          </w:tcPr>
          <w:p w:rsidR="00E74FB7" w:rsidRPr="001F29F9" w:rsidRDefault="00E74FB7" w:rsidP="003447A8">
            <w:pPr>
              <w:contextualSpacing/>
              <w:rPr>
                <w:rFonts w:cs="Calibri"/>
                <w:b/>
                <w:color w:val="000000" w:themeColor="text1"/>
                <w:sz w:val="18"/>
                <w:szCs w:val="18"/>
              </w:rPr>
            </w:pPr>
            <w:r w:rsidRPr="001F29F9">
              <w:rPr>
                <w:rFonts w:cs="Calibri"/>
                <w:b/>
                <w:color w:val="000000" w:themeColor="text1"/>
                <w:sz w:val="18"/>
                <w:szCs w:val="18"/>
              </w:rPr>
              <w:t>Rating</w:t>
            </w:r>
          </w:p>
        </w:tc>
        <w:tc>
          <w:tcPr>
            <w:tcW w:w="989" w:type="dxa"/>
            <w:tcBorders>
              <w:bottom w:val="single" w:sz="4" w:space="0" w:color="000000" w:themeColor="text1"/>
            </w:tcBorders>
            <w:shd w:val="clear" w:color="auto" w:fill="D9D9D9" w:themeFill="background1" w:themeFillShade="D9"/>
            <w:vAlign w:val="center"/>
          </w:tcPr>
          <w:p w:rsidR="00E74FB7" w:rsidRPr="001F29F9" w:rsidRDefault="00E74FB7" w:rsidP="003447A8">
            <w:pPr>
              <w:contextualSpacing/>
              <w:rPr>
                <w:rFonts w:cs="Calibri"/>
                <w:b/>
                <w:color w:val="000000" w:themeColor="text1"/>
                <w:sz w:val="18"/>
                <w:szCs w:val="18"/>
              </w:rPr>
            </w:pPr>
            <w:r w:rsidRPr="001F29F9">
              <w:rPr>
                <w:rFonts w:cs="Calibri"/>
                <w:b/>
                <w:color w:val="000000" w:themeColor="text1"/>
                <w:sz w:val="18"/>
                <w:szCs w:val="18"/>
              </w:rPr>
              <w:t>Exam</w:t>
            </w:r>
          </w:p>
        </w:tc>
      </w:tr>
      <w:tr w:rsidR="00E74FB7" w:rsidRPr="001F29F9" w:rsidTr="000E6DB2">
        <w:trPr>
          <w:trHeight w:val="66"/>
        </w:trPr>
        <w:tc>
          <w:tcPr>
            <w:tcW w:w="2430" w:type="dxa"/>
            <w:tcBorders>
              <w:right w:val="single" w:sz="4" w:space="0" w:color="auto"/>
            </w:tcBorders>
            <w:shd w:val="clear" w:color="auto" w:fill="FFFFFF" w:themeFill="background1"/>
            <w:vAlign w:val="center"/>
          </w:tcPr>
          <w:p w:rsidR="00E74FB7" w:rsidRPr="001F29F9" w:rsidRDefault="00E74FB7" w:rsidP="003447A8">
            <w:pPr>
              <w:spacing w:line="220" w:lineRule="exact"/>
              <w:contextualSpacing/>
              <w:jc w:val="left"/>
              <w:rPr>
                <w:rFonts w:cs="Calibri"/>
                <w:color w:val="000000" w:themeColor="text1"/>
                <w:sz w:val="18"/>
                <w:szCs w:val="18"/>
              </w:rPr>
            </w:pPr>
            <w:r>
              <w:rPr>
                <w:rFonts w:cs="Calibri"/>
                <w:color w:val="000000" w:themeColor="text1"/>
                <w:sz w:val="18"/>
                <w:szCs w:val="18"/>
              </w:rPr>
              <w:t>Left Sciatic Neuritis</w:t>
            </w:r>
          </w:p>
        </w:tc>
        <w:tc>
          <w:tcPr>
            <w:tcW w:w="1080" w:type="dxa"/>
            <w:tcBorders>
              <w:lef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5243-8620</w:t>
            </w:r>
          </w:p>
        </w:tc>
        <w:tc>
          <w:tcPr>
            <w:tcW w:w="720" w:type="dxa"/>
            <w:tcBorders>
              <w:right w:val="thinThickThinSmallGap" w:sz="24" w:space="0" w:color="auto"/>
            </w:tcBorders>
            <w:shd w:val="clear" w:color="auto" w:fill="FFFFFF" w:themeFill="background1"/>
            <w:vAlign w:val="center"/>
          </w:tcPr>
          <w:p w:rsidR="00E74FB7" w:rsidRPr="00BD5622" w:rsidRDefault="00E74FB7" w:rsidP="003447A8">
            <w:pPr>
              <w:spacing w:line="220" w:lineRule="exact"/>
              <w:rPr>
                <w:rFonts w:cs="Calibri"/>
                <w:color w:val="000000" w:themeColor="text1"/>
                <w:sz w:val="18"/>
                <w:szCs w:val="18"/>
              </w:rPr>
            </w:pPr>
            <w:r w:rsidRPr="00BD5622">
              <w:rPr>
                <w:rFonts w:cs="Calibri"/>
                <w:color w:val="000000" w:themeColor="text1"/>
                <w:sz w:val="18"/>
                <w:szCs w:val="18"/>
              </w:rPr>
              <w:t>10%</w:t>
            </w:r>
          </w:p>
        </w:tc>
        <w:tc>
          <w:tcPr>
            <w:tcW w:w="2340" w:type="dxa"/>
            <w:tcBorders>
              <w:left w:val="thinThickThinSmallGap" w:sz="24" w:space="0" w:color="auto"/>
            </w:tcBorders>
            <w:shd w:val="clear" w:color="auto" w:fill="FFFFFF" w:themeFill="background1"/>
            <w:vAlign w:val="center"/>
          </w:tcPr>
          <w:p w:rsidR="00E74FB7" w:rsidRPr="00BD5622" w:rsidRDefault="00E74FB7" w:rsidP="003447A8">
            <w:pPr>
              <w:spacing w:line="220" w:lineRule="exact"/>
              <w:contextualSpacing/>
              <w:jc w:val="left"/>
              <w:rPr>
                <w:rFonts w:cs="Calibri"/>
                <w:color w:val="000000" w:themeColor="text1"/>
                <w:sz w:val="18"/>
                <w:szCs w:val="18"/>
              </w:rPr>
            </w:pPr>
            <w:r>
              <w:rPr>
                <w:rFonts w:cs="Calibri"/>
                <w:color w:val="000000" w:themeColor="text1"/>
                <w:sz w:val="18"/>
                <w:szCs w:val="18"/>
              </w:rPr>
              <w:t>Left Sciatic Neuritis</w:t>
            </w:r>
          </w:p>
        </w:tc>
        <w:tc>
          <w:tcPr>
            <w:tcW w:w="1080"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8620</w:t>
            </w:r>
          </w:p>
        </w:tc>
        <w:tc>
          <w:tcPr>
            <w:tcW w:w="721"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89"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80708</w:t>
            </w:r>
          </w:p>
        </w:tc>
      </w:tr>
      <w:tr w:rsidR="00E74FB7" w:rsidRPr="001F29F9" w:rsidTr="000E6DB2">
        <w:trPr>
          <w:trHeight w:val="66"/>
        </w:trPr>
        <w:tc>
          <w:tcPr>
            <w:tcW w:w="2430" w:type="dxa"/>
            <w:tcBorders>
              <w:right w:val="single" w:sz="4" w:space="0" w:color="auto"/>
            </w:tcBorders>
            <w:shd w:val="clear" w:color="auto" w:fill="FFFFFF" w:themeFill="background1"/>
            <w:vAlign w:val="center"/>
          </w:tcPr>
          <w:p w:rsidR="00E74FB7" w:rsidRPr="001F29F9" w:rsidRDefault="00E74FB7" w:rsidP="003447A8">
            <w:pPr>
              <w:spacing w:line="220" w:lineRule="exact"/>
              <w:contextualSpacing/>
              <w:jc w:val="left"/>
              <w:rPr>
                <w:rFonts w:cs="Calibri"/>
                <w:color w:val="000000" w:themeColor="text1"/>
                <w:sz w:val="18"/>
                <w:szCs w:val="18"/>
              </w:rPr>
            </w:pPr>
            <w:r>
              <w:rPr>
                <w:rFonts w:cs="Calibri"/>
                <w:color w:val="000000" w:themeColor="text1"/>
                <w:sz w:val="18"/>
                <w:szCs w:val="18"/>
              </w:rPr>
              <w:t>Intervertebral Disc Syndrome</w:t>
            </w:r>
          </w:p>
        </w:tc>
        <w:tc>
          <w:tcPr>
            <w:tcW w:w="1080" w:type="dxa"/>
            <w:tcBorders>
              <w:lef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5243</w:t>
            </w:r>
          </w:p>
        </w:tc>
        <w:tc>
          <w:tcPr>
            <w:tcW w:w="720" w:type="dxa"/>
            <w:tcBorders>
              <w:right w:val="thinThickThinSmallGap" w:sz="24" w:space="0" w:color="auto"/>
            </w:tcBorders>
            <w:shd w:val="clear" w:color="auto" w:fill="FFFFFF" w:themeFill="background1"/>
            <w:vAlign w:val="center"/>
          </w:tcPr>
          <w:p w:rsidR="00E74FB7" w:rsidRPr="00BD5622" w:rsidRDefault="00E74FB7" w:rsidP="003447A8">
            <w:pPr>
              <w:spacing w:line="220" w:lineRule="exact"/>
              <w:rPr>
                <w:rFonts w:cs="Calibri"/>
                <w:color w:val="000000" w:themeColor="text1"/>
                <w:sz w:val="18"/>
                <w:szCs w:val="18"/>
              </w:rPr>
            </w:pPr>
            <w:r w:rsidRPr="00BD5622">
              <w:rPr>
                <w:rFonts w:cs="Calibri"/>
                <w:color w:val="000000" w:themeColor="text1"/>
                <w:sz w:val="18"/>
                <w:szCs w:val="18"/>
              </w:rPr>
              <w:t>10%</w:t>
            </w:r>
          </w:p>
        </w:tc>
        <w:tc>
          <w:tcPr>
            <w:tcW w:w="2340" w:type="dxa"/>
            <w:tcBorders>
              <w:left w:val="thinThickThinSmallGap" w:sz="24" w:space="0" w:color="auto"/>
              <w:right w:val="single" w:sz="4" w:space="0" w:color="auto"/>
            </w:tcBorders>
            <w:shd w:val="clear" w:color="auto" w:fill="FFFFFF" w:themeFill="background1"/>
            <w:vAlign w:val="center"/>
          </w:tcPr>
          <w:p w:rsidR="00E74FB7" w:rsidRPr="00BD5622" w:rsidRDefault="00E74FB7" w:rsidP="003447A8">
            <w:pPr>
              <w:spacing w:line="220" w:lineRule="exact"/>
              <w:contextualSpacing/>
              <w:jc w:val="left"/>
              <w:rPr>
                <w:rFonts w:cs="Calibri"/>
                <w:color w:val="000000" w:themeColor="text1"/>
                <w:sz w:val="18"/>
                <w:szCs w:val="18"/>
              </w:rPr>
            </w:pPr>
            <w:r>
              <w:rPr>
                <w:rFonts w:cs="Calibri"/>
                <w:color w:val="000000" w:themeColor="text1"/>
                <w:sz w:val="18"/>
                <w:szCs w:val="18"/>
              </w:rPr>
              <w:t xml:space="preserve">DDD, Lumbar </w:t>
            </w:r>
            <w:r w:rsidRPr="00BD5622">
              <w:rPr>
                <w:rFonts w:cs="Calibri"/>
                <w:color w:val="000000" w:themeColor="text1"/>
                <w:sz w:val="18"/>
                <w:szCs w:val="18"/>
              </w:rPr>
              <w:t>Spine</w:t>
            </w:r>
          </w:p>
        </w:tc>
        <w:tc>
          <w:tcPr>
            <w:tcW w:w="1080" w:type="dxa"/>
            <w:tcBorders>
              <w:lef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5243</w:t>
            </w:r>
          </w:p>
        </w:tc>
        <w:tc>
          <w:tcPr>
            <w:tcW w:w="721"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89"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80708</w:t>
            </w:r>
          </w:p>
        </w:tc>
      </w:tr>
      <w:tr w:rsidR="00E74FB7" w:rsidRPr="001F29F9" w:rsidTr="000E6DB2">
        <w:trPr>
          <w:trHeight w:val="66"/>
        </w:trPr>
        <w:tc>
          <w:tcPr>
            <w:tcW w:w="2430" w:type="dxa"/>
            <w:tcBorders>
              <w:right w:val="single" w:sz="4" w:space="0" w:color="auto"/>
            </w:tcBorders>
            <w:shd w:val="clear" w:color="auto" w:fill="FFFFFF" w:themeFill="background1"/>
            <w:vAlign w:val="center"/>
          </w:tcPr>
          <w:p w:rsidR="00E74FB7" w:rsidRPr="001F29F9" w:rsidRDefault="00E74FB7" w:rsidP="003447A8">
            <w:pPr>
              <w:spacing w:line="220" w:lineRule="exact"/>
              <w:contextualSpacing/>
              <w:jc w:val="left"/>
              <w:rPr>
                <w:rFonts w:cs="Calibri"/>
                <w:color w:val="000000" w:themeColor="text1"/>
                <w:sz w:val="18"/>
                <w:szCs w:val="18"/>
              </w:rPr>
            </w:pPr>
            <w:r>
              <w:rPr>
                <w:rFonts w:cs="Calibri"/>
                <w:color w:val="000000" w:themeColor="text1"/>
                <w:sz w:val="18"/>
                <w:szCs w:val="18"/>
              </w:rPr>
              <w:t>Bilateral PFS</w:t>
            </w:r>
          </w:p>
        </w:tc>
        <w:tc>
          <w:tcPr>
            <w:tcW w:w="1080" w:type="dxa"/>
            <w:tcBorders>
              <w:lef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5099-5003</w:t>
            </w:r>
          </w:p>
        </w:tc>
        <w:tc>
          <w:tcPr>
            <w:tcW w:w="720" w:type="dxa"/>
            <w:tcBorders>
              <w:right w:val="thinThickThinSmallGap" w:sz="24" w:space="0" w:color="auto"/>
            </w:tcBorders>
            <w:shd w:val="clear" w:color="auto" w:fill="FFFFFF" w:themeFill="background1"/>
            <w:vAlign w:val="center"/>
          </w:tcPr>
          <w:p w:rsidR="00E74FB7" w:rsidRPr="00BD5622" w:rsidRDefault="00E74FB7" w:rsidP="003447A8">
            <w:pPr>
              <w:spacing w:line="220" w:lineRule="exact"/>
              <w:contextualSpacing/>
              <w:rPr>
                <w:rFonts w:cs="Calibri"/>
                <w:color w:val="000000" w:themeColor="text1"/>
                <w:sz w:val="18"/>
                <w:szCs w:val="18"/>
              </w:rPr>
            </w:pPr>
            <w:r w:rsidRPr="00BD5622">
              <w:rPr>
                <w:rFonts w:cs="Calibri"/>
                <w:color w:val="000000" w:themeColor="text1"/>
                <w:sz w:val="18"/>
                <w:szCs w:val="18"/>
              </w:rPr>
              <w:t>0%</w:t>
            </w:r>
          </w:p>
        </w:tc>
        <w:tc>
          <w:tcPr>
            <w:tcW w:w="2340" w:type="dxa"/>
            <w:tcBorders>
              <w:left w:val="thinThickThinSmallGap" w:sz="24" w:space="0" w:color="auto"/>
              <w:right w:val="single" w:sz="4" w:space="0" w:color="auto"/>
            </w:tcBorders>
            <w:shd w:val="clear" w:color="auto" w:fill="FFFFFF" w:themeFill="background1"/>
            <w:vAlign w:val="center"/>
          </w:tcPr>
          <w:p w:rsidR="00E74FB7" w:rsidRPr="00BD5622" w:rsidRDefault="00E74FB7" w:rsidP="003447A8">
            <w:pPr>
              <w:spacing w:line="220" w:lineRule="exact"/>
              <w:contextualSpacing/>
              <w:jc w:val="left"/>
              <w:rPr>
                <w:rFonts w:cs="Calibri"/>
                <w:color w:val="000000" w:themeColor="text1"/>
                <w:sz w:val="18"/>
                <w:szCs w:val="18"/>
              </w:rPr>
            </w:pPr>
            <w:r w:rsidRPr="00BD5622">
              <w:rPr>
                <w:rFonts w:cs="Calibri"/>
                <w:color w:val="000000" w:themeColor="text1"/>
                <w:sz w:val="18"/>
                <w:szCs w:val="18"/>
              </w:rPr>
              <w:t>PFS</w:t>
            </w:r>
            <w:r>
              <w:rPr>
                <w:rFonts w:cs="Calibri"/>
                <w:color w:val="000000" w:themeColor="text1"/>
                <w:sz w:val="18"/>
                <w:szCs w:val="18"/>
              </w:rPr>
              <w:t>, Left</w:t>
            </w:r>
            <w:r w:rsidRPr="00BD5622">
              <w:rPr>
                <w:rFonts w:cs="Calibri"/>
                <w:color w:val="000000" w:themeColor="text1"/>
                <w:sz w:val="18"/>
                <w:szCs w:val="18"/>
              </w:rPr>
              <w:t xml:space="preserve"> Knee</w:t>
            </w:r>
          </w:p>
        </w:tc>
        <w:tc>
          <w:tcPr>
            <w:tcW w:w="1080" w:type="dxa"/>
            <w:tcBorders>
              <w:lef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5260</w:t>
            </w:r>
          </w:p>
        </w:tc>
        <w:tc>
          <w:tcPr>
            <w:tcW w:w="721"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10%</w:t>
            </w:r>
          </w:p>
        </w:tc>
        <w:tc>
          <w:tcPr>
            <w:tcW w:w="989"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80708</w:t>
            </w:r>
          </w:p>
        </w:tc>
      </w:tr>
      <w:tr w:rsidR="00E74FB7" w:rsidRPr="001F29F9" w:rsidTr="000E6DB2">
        <w:trPr>
          <w:trHeight w:val="66"/>
        </w:trPr>
        <w:tc>
          <w:tcPr>
            <w:tcW w:w="4230" w:type="dxa"/>
            <w:gridSpan w:val="3"/>
            <w:vMerge w:val="restart"/>
            <w:tcBorders>
              <w:right w:val="thinThickThinSmallGap" w:sz="2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340" w:type="dxa"/>
            <w:tcBorders>
              <w:left w:val="thinThickThinSmallGap" w:sz="24" w:space="0" w:color="auto"/>
              <w:right w:val="single" w:sz="4" w:space="0" w:color="auto"/>
            </w:tcBorders>
            <w:shd w:val="clear" w:color="auto" w:fill="FFFFFF" w:themeFill="background1"/>
            <w:vAlign w:val="center"/>
          </w:tcPr>
          <w:p w:rsidR="00E74FB7" w:rsidRPr="001F29F9" w:rsidRDefault="00E74FB7" w:rsidP="003447A8">
            <w:pPr>
              <w:spacing w:line="220" w:lineRule="exact"/>
              <w:contextualSpacing/>
              <w:jc w:val="left"/>
              <w:rPr>
                <w:rFonts w:cs="Calibri"/>
                <w:color w:val="000000" w:themeColor="text1"/>
                <w:sz w:val="18"/>
                <w:szCs w:val="18"/>
              </w:rPr>
            </w:pPr>
            <w:r>
              <w:rPr>
                <w:rFonts w:cs="Calibri"/>
                <w:color w:val="000000" w:themeColor="text1"/>
                <w:sz w:val="18"/>
                <w:szCs w:val="18"/>
              </w:rPr>
              <w:t>PFS, Right Knee</w:t>
            </w:r>
          </w:p>
        </w:tc>
        <w:tc>
          <w:tcPr>
            <w:tcW w:w="1080" w:type="dxa"/>
            <w:tcBorders>
              <w:lef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5260</w:t>
            </w:r>
          </w:p>
        </w:tc>
        <w:tc>
          <w:tcPr>
            <w:tcW w:w="721"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10%</w:t>
            </w:r>
          </w:p>
        </w:tc>
        <w:tc>
          <w:tcPr>
            <w:tcW w:w="989"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80708</w:t>
            </w:r>
          </w:p>
        </w:tc>
      </w:tr>
      <w:tr w:rsidR="00E74FB7" w:rsidRPr="001F29F9" w:rsidTr="000E6DB2">
        <w:trPr>
          <w:trHeight w:val="66"/>
        </w:trPr>
        <w:tc>
          <w:tcPr>
            <w:tcW w:w="4230" w:type="dxa"/>
            <w:gridSpan w:val="3"/>
            <w:vMerge/>
            <w:tcBorders>
              <w:right w:val="thinThickThinSmallGap" w:sz="2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p>
        </w:tc>
        <w:tc>
          <w:tcPr>
            <w:tcW w:w="2340" w:type="dxa"/>
            <w:tcBorders>
              <w:left w:val="thinThickThinSmallGap" w:sz="24" w:space="0" w:color="auto"/>
              <w:right w:val="single" w:sz="4" w:space="0" w:color="auto"/>
            </w:tcBorders>
            <w:shd w:val="clear" w:color="auto" w:fill="FFFFFF" w:themeFill="background1"/>
            <w:vAlign w:val="center"/>
          </w:tcPr>
          <w:p w:rsidR="00E74FB7" w:rsidRPr="001F29F9" w:rsidRDefault="00E74FB7" w:rsidP="003447A8">
            <w:pPr>
              <w:spacing w:line="220" w:lineRule="exact"/>
              <w:contextualSpacing/>
              <w:jc w:val="left"/>
              <w:rPr>
                <w:rFonts w:cs="Calibri"/>
                <w:color w:val="000000" w:themeColor="text1"/>
                <w:sz w:val="18"/>
                <w:szCs w:val="18"/>
              </w:rPr>
            </w:pPr>
            <w:r>
              <w:rPr>
                <w:rFonts w:cs="Calibri"/>
                <w:color w:val="000000" w:themeColor="text1"/>
                <w:sz w:val="18"/>
                <w:szCs w:val="18"/>
              </w:rPr>
              <w:t>Osteoarthritis, Left Ankle.</w:t>
            </w:r>
          </w:p>
        </w:tc>
        <w:tc>
          <w:tcPr>
            <w:tcW w:w="1080" w:type="dxa"/>
            <w:tcBorders>
              <w:left w:val="single" w:sz="4" w:space="0" w:color="auto"/>
              <w:righ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5010-5271</w:t>
            </w:r>
          </w:p>
        </w:tc>
        <w:tc>
          <w:tcPr>
            <w:tcW w:w="721" w:type="dxa"/>
            <w:tcBorders>
              <w:lef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10%</w:t>
            </w:r>
          </w:p>
        </w:tc>
        <w:tc>
          <w:tcPr>
            <w:tcW w:w="989"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80708</w:t>
            </w:r>
          </w:p>
        </w:tc>
      </w:tr>
      <w:tr w:rsidR="00E74FB7" w:rsidRPr="001F29F9" w:rsidTr="000E6DB2">
        <w:trPr>
          <w:trHeight w:val="66"/>
        </w:trPr>
        <w:tc>
          <w:tcPr>
            <w:tcW w:w="4230" w:type="dxa"/>
            <w:gridSpan w:val="3"/>
            <w:vMerge/>
            <w:tcBorders>
              <w:right w:val="thinThickThinSmallGap" w:sz="2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p>
        </w:tc>
        <w:tc>
          <w:tcPr>
            <w:tcW w:w="2340" w:type="dxa"/>
            <w:tcBorders>
              <w:left w:val="thinThickThinSmallGap" w:sz="24" w:space="0" w:color="auto"/>
              <w:right w:val="single" w:sz="4" w:space="0" w:color="auto"/>
            </w:tcBorders>
            <w:shd w:val="clear" w:color="auto" w:fill="FFFFFF" w:themeFill="background1"/>
            <w:vAlign w:val="center"/>
          </w:tcPr>
          <w:p w:rsidR="00E74FB7" w:rsidRPr="001F29F9" w:rsidRDefault="00E74FB7" w:rsidP="003447A8">
            <w:pPr>
              <w:spacing w:line="220" w:lineRule="exact"/>
              <w:contextualSpacing/>
              <w:jc w:val="left"/>
              <w:rPr>
                <w:rFonts w:cs="Calibri"/>
                <w:color w:val="000000" w:themeColor="text1"/>
                <w:sz w:val="18"/>
                <w:szCs w:val="18"/>
              </w:rPr>
            </w:pPr>
            <w:r>
              <w:rPr>
                <w:rFonts w:cs="Calibri"/>
                <w:color w:val="000000" w:themeColor="text1"/>
                <w:sz w:val="18"/>
                <w:szCs w:val="18"/>
              </w:rPr>
              <w:t>Bilateral Pes Planus</w:t>
            </w:r>
          </w:p>
        </w:tc>
        <w:tc>
          <w:tcPr>
            <w:tcW w:w="1080" w:type="dxa"/>
            <w:tcBorders>
              <w:left w:val="single" w:sz="4" w:space="0" w:color="auto"/>
              <w:righ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5276</w:t>
            </w:r>
          </w:p>
        </w:tc>
        <w:tc>
          <w:tcPr>
            <w:tcW w:w="721" w:type="dxa"/>
            <w:tcBorders>
              <w:left w:val="single" w:sz="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Pr>
                <w:rFonts w:cs="Calibri"/>
                <w:color w:val="000000" w:themeColor="text1"/>
                <w:sz w:val="18"/>
                <w:szCs w:val="18"/>
              </w:rPr>
              <w:t>10%</w:t>
            </w:r>
          </w:p>
        </w:tc>
        <w:tc>
          <w:tcPr>
            <w:tcW w:w="989"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80708</w:t>
            </w:r>
          </w:p>
        </w:tc>
      </w:tr>
      <w:tr w:rsidR="00E74FB7" w:rsidRPr="001F29F9" w:rsidTr="000E6DB2">
        <w:trPr>
          <w:trHeight w:val="203"/>
        </w:trPr>
        <w:tc>
          <w:tcPr>
            <w:tcW w:w="4230" w:type="dxa"/>
            <w:gridSpan w:val="3"/>
            <w:vMerge/>
            <w:tcBorders>
              <w:right w:val="thinThickThinSmallGap" w:sz="2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p>
        </w:tc>
        <w:tc>
          <w:tcPr>
            <w:tcW w:w="4141" w:type="dxa"/>
            <w:gridSpan w:val="3"/>
            <w:tcBorders>
              <w:left w:val="thinThickThinSmallGap" w:sz="24" w:space="0" w:color="auto"/>
            </w:tcBorders>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sidRPr="001F29F9">
              <w:rPr>
                <w:rFonts w:cs="Calibri"/>
                <w:color w:val="000000" w:themeColor="text1"/>
                <w:sz w:val="18"/>
                <w:szCs w:val="18"/>
              </w:rPr>
              <w:t xml:space="preserve">0% x </w:t>
            </w:r>
            <w:r>
              <w:rPr>
                <w:rFonts w:cs="Calibri"/>
                <w:color w:val="000000" w:themeColor="text1"/>
                <w:sz w:val="18"/>
                <w:szCs w:val="18"/>
              </w:rPr>
              <w:t xml:space="preserve">2 </w:t>
            </w:r>
            <w:r w:rsidRPr="001F29F9">
              <w:rPr>
                <w:rFonts w:cs="Calibri"/>
                <w:color w:val="000000" w:themeColor="text1"/>
                <w:sz w:val="18"/>
                <w:szCs w:val="18"/>
              </w:rPr>
              <w:t>/</w:t>
            </w:r>
            <w:r>
              <w:rPr>
                <w:rFonts w:cs="Calibri"/>
                <w:color w:val="000000" w:themeColor="text1"/>
                <w:sz w:val="18"/>
                <w:szCs w:val="18"/>
              </w:rPr>
              <w:t xml:space="preserve"> </w:t>
            </w:r>
            <w:r w:rsidR="007C5B18">
              <w:rPr>
                <w:rFonts w:cs="Calibri"/>
                <w:color w:val="000000" w:themeColor="text1"/>
                <w:sz w:val="18"/>
                <w:szCs w:val="18"/>
              </w:rPr>
              <w:t>Not Service-</w:t>
            </w:r>
            <w:r w:rsidRPr="001F29F9">
              <w:rPr>
                <w:rFonts w:cs="Calibri"/>
                <w:color w:val="000000" w:themeColor="text1"/>
                <w:sz w:val="18"/>
                <w:szCs w:val="18"/>
              </w:rPr>
              <w:t xml:space="preserve">Connected x </w:t>
            </w:r>
            <w:r>
              <w:rPr>
                <w:rFonts w:cs="Calibri"/>
                <w:color w:val="000000" w:themeColor="text1"/>
                <w:sz w:val="18"/>
                <w:szCs w:val="18"/>
              </w:rPr>
              <w:t>1</w:t>
            </w:r>
          </w:p>
        </w:tc>
        <w:tc>
          <w:tcPr>
            <w:tcW w:w="989" w:type="dxa"/>
            <w:shd w:val="clear" w:color="auto" w:fill="FFFFFF" w:themeFill="background1"/>
            <w:vAlign w:val="center"/>
          </w:tcPr>
          <w:p w:rsidR="00E74FB7" w:rsidRPr="001F29F9" w:rsidRDefault="00E74FB7" w:rsidP="003447A8">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80708</w:t>
            </w:r>
          </w:p>
        </w:tc>
      </w:tr>
      <w:tr w:rsidR="00E74FB7" w:rsidRPr="001F29F9" w:rsidTr="000E6DB2">
        <w:trPr>
          <w:trHeight w:val="242"/>
        </w:trPr>
        <w:tc>
          <w:tcPr>
            <w:tcW w:w="4230" w:type="dxa"/>
            <w:gridSpan w:val="3"/>
            <w:tcBorders>
              <w:right w:val="thinThickThinSmallGap" w:sz="24" w:space="0" w:color="auto"/>
            </w:tcBorders>
            <w:shd w:val="clear" w:color="auto" w:fill="D9D9D9" w:themeFill="background1" w:themeFillShade="D9"/>
          </w:tcPr>
          <w:p w:rsidR="00E74FB7" w:rsidRPr="001F29F9" w:rsidRDefault="00E74FB7" w:rsidP="003447A8">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20</w:t>
            </w:r>
            <w:r w:rsidRPr="001F29F9">
              <w:rPr>
                <w:rFonts w:cs="Calibri"/>
                <w:b/>
                <w:color w:val="000000" w:themeColor="text1"/>
                <w:sz w:val="18"/>
                <w:szCs w:val="18"/>
              </w:rPr>
              <w:t>%</w:t>
            </w:r>
          </w:p>
        </w:tc>
        <w:tc>
          <w:tcPr>
            <w:tcW w:w="5130" w:type="dxa"/>
            <w:gridSpan w:val="4"/>
            <w:tcBorders>
              <w:left w:val="thinThickThinSmallGap" w:sz="24" w:space="0" w:color="auto"/>
            </w:tcBorders>
            <w:shd w:val="clear" w:color="auto" w:fill="D9D9D9" w:themeFill="background1" w:themeFillShade="D9"/>
          </w:tcPr>
          <w:p w:rsidR="00E74FB7" w:rsidRPr="001F29F9" w:rsidRDefault="00E74FB7" w:rsidP="003447A8">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5</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CE3200">
        <w:rPr>
          <w:color w:val="000000"/>
        </w:rPr>
        <w:t xml:space="preserve"> </w:t>
      </w:r>
      <w:r w:rsidR="00CE3200" w:rsidRPr="00CE3200">
        <w:rPr>
          <w:color w:val="000000"/>
        </w:rPr>
        <w:t xml:space="preserve">The Board acknowledges the sentiment expressed in the CI’s application regarding the significant impairment with which his service-connected conditions continue to burden him.  It is a fact, however, that the </w:t>
      </w:r>
      <w:r w:rsidR="007C5B18">
        <w:rPr>
          <w:color w:val="000000"/>
        </w:rPr>
        <w:t>Disability Evaluation System (</w:t>
      </w:r>
      <w:r w:rsidR="00CE3200" w:rsidRPr="00CE3200">
        <w:rPr>
          <w:color w:val="000000"/>
        </w:rPr>
        <w:t>DES) has neither the role nor the authority to compensate service members for anticipated future severity or potential complications of conditions resulting in medical separation.  This role and authority is granted by Congress to the Department of Veteran</w:t>
      </w:r>
      <w:r w:rsidR="007C5B18">
        <w:rPr>
          <w:color w:val="000000"/>
        </w:rPr>
        <w:t>s’</w:t>
      </w:r>
      <w:r w:rsidR="00CE3200" w:rsidRPr="00CE3200">
        <w:rPr>
          <w:color w:val="000000"/>
        </w:rPr>
        <w:t xml:space="preserve"> Affairs (DVA).  The DVA, operating under a different set of laws (Title 38, United States Code), is </w:t>
      </w:r>
      <w:r w:rsidR="007C5B18">
        <w:rPr>
          <w:color w:val="000000"/>
        </w:rPr>
        <w:t>empowered to compensate service-</w:t>
      </w:r>
      <w:r w:rsidR="00CE3200" w:rsidRPr="00CE3200">
        <w:rPr>
          <w:color w:val="000000"/>
        </w:rPr>
        <w:t xml:space="preserve">connected conditions and to periodically re-evaluate said conditions for the purpose of adjusting the </w:t>
      </w:r>
      <w:r w:rsidR="007C5B18">
        <w:rPr>
          <w:color w:val="000000"/>
        </w:rPr>
        <w:t>V</w:t>
      </w:r>
      <w:r w:rsidR="00CE3200" w:rsidRPr="00CE3200">
        <w:rPr>
          <w:color w:val="000000"/>
        </w:rPr>
        <w:t xml:space="preserve">eteran’s disability rating should </w:t>
      </w:r>
      <w:r w:rsidR="007C5B18">
        <w:rPr>
          <w:color w:val="000000"/>
        </w:rPr>
        <w:t>the</w:t>
      </w:r>
      <w:r w:rsidR="00CE3200" w:rsidRPr="00CE3200">
        <w:rPr>
          <w:color w:val="000000"/>
        </w:rPr>
        <w:t xml:space="preserve"> degree of impairment vary over time.  The Board utilizes </w:t>
      </w:r>
      <w:r w:rsidR="007C5B18">
        <w:rPr>
          <w:color w:val="000000"/>
        </w:rPr>
        <w:t>D</w:t>
      </w:r>
      <w:r w:rsidR="00CE3200" w:rsidRPr="00CE3200">
        <w:rPr>
          <w:color w:val="000000"/>
        </w:rPr>
        <w:t>VA evidence proximate to separation in arriving at its recommendations; and, DoDI 60</w:t>
      </w:r>
      <w:r w:rsidR="007C5B18">
        <w:rPr>
          <w:color w:val="000000"/>
        </w:rPr>
        <w:t>40.44 defines a 12-</w:t>
      </w:r>
      <w:r w:rsidR="00CE3200" w:rsidRPr="00CE3200">
        <w:rPr>
          <w:color w:val="000000"/>
        </w:rPr>
        <w:t>month interval for special consideration to post-separation evidence.  The Board’s authority as defined in DoDI 6044.40, however, resides</w:t>
      </w:r>
      <w:r w:rsidR="007C5B18">
        <w:rPr>
          <w:color w:val="000000"/>
        </w:rPr>
        <w:t xml:space="preserve"> in evaluating the fairness of </w:t>
      </w:r>
      <w:r w:rsidR="00CE3200" w:rsidRPr="00CE3200">
        <w:rPr>
          <w:color w:val="000000"/>
        </w:rPr>
        <w:t>DES rating determinations for the disability existing at the time of separation.  Post-separation evidence therefore is probative only to the extent that it reasonably reflects the disability at the time of separation.</w:t>
      </w:r>
    </w:p>
    <w:p w:rsidR="00AD2379" w:rsidRPr="001F29F9" w:rsidRDefault="00AD2379" w:rsidP="00B22D42">
      <w:pPr>
        <w:jc w:val="both"/>
        <w:rPr>
          <w:color w:val="000000"/>
          <w:highlight w:val="yellow"/>
        </w:rPr>
      </w:pPr>
    </w:p>
    <w:p w:rsidR="007C5B18" w:rsidRDefault="000E6DB2" w:rsidP="000E6DB2">
      <w:pPr>
        <w:jc w:val="both"/>
        <w:rPr>
          <w:color w:val="000000"/>
        </w:rPr>
      </w:pPr>
      <w:proofErr w:type="gramStart"/>
      <w:r>
        <w:rPr>
          <w:color w:val="000000"/>
          <w:u w:val="single"/>
        </w:rPr>
        <w:t>Lumbar Spine Condition</w:t>
      </w:r>
      <w:r w:rsidRPr="009A7578">
        <w:rPr>
          <w:color w:val="000000"/>
        </w:rPr>
        <w:t>.</w:t>
      </w:r>
      <w:proofErr w:type="gramEnd"/>
      <w:r w:rsidRPr="009A7578">
        <w:rPr>
          <w:color w:val="000000"/>
        </w:rPr>
        <w:t xml:space="preserve"> </w:t>
      </w:r>
      <w:r>
        <w:rPr>
          <w:color w:val="000000"/>
        </w:rPr>
        <w:t xml:space="preserve"> The narrative summary (NARSUM) </w:t>
      </w:r>
      <w:r w:rsidR="00DC3689">
        <w:rPr>
          <w:color w:val="000000"/>
        </w:rPr>
        <w:t>states</w:t>
      </w:r>
      <w:r>
        <w:rPr>
          <w:color w:val="000000"/>
        </w:rPr>
        <w:t xml:space="preserve"> </w:t>
      </w:r>
      <w:r w:rsidR="00DC3689">
        <w:rPr>
          <w:color w:val="000000"/>
        </w:rPr>
        <w:t xml:space="preserve">that although the CI suffered persistent back pain “with all episodes of lifting and carrying” since its onset in AIT, he did not seek medical care until MEB proceedings were initiated for the knee condition.  </w:t>
      </w:r>
      <w:r w:rsidR="001B7710">
        <w:rPr>
          <w:color w:val="000000"/>
        </w:rPr>
        <w:t>Magnetic resonance i</w:t>
      </w:r>
      <w:r w:rsidR="00DB0382">
        <w:rPr>
          <w:color w:val="000000"/>
        </w:rPr>
        <w:t xml:space="preserve">maging </w:t>
      </w:r>
      <w:r w:rsidR="001B7710">
        <w:rPr>
          <w:color w:val="000000"/>
        </w:rPr>
        <w:t xml:space="preserve">(MRI) </w:t>
      </w:r>
      <w:r w:rsidR="00DB0382">
        <w:rPr>
          <w:color w:val="000000"/>
        </w:rPr>
        <w:t>identified degenerative disk disease</w:t>
      </w:r>
      <w:r w:rsidR="007C42AE">
        <w:rPr>
          <w:color w:val="000000"/>
        </w:rPr>
        <w:t xml:space="preserve"> </w:t>
      </w:r>
      <w:r w:rsidR="007C5B18">
        <w:rPr>
          <w:color w:val="000000"/>
        </w:rPr>
        <w:t xml:space="preserve">(DDD) </w:t>
      </w:r>
      <w:r w:rsidR="007C42AE">
        <w:rPr>
          <w:color w:val="000000"/>
        </w:rPr>
        <w:t xml:space="preserve">with a </w:t>
      </w:r>
      <w:r w:rsidR="005D34B3">
        <w:rPr>
          <w:color w:val="000000"/>
        </w:rPr>
        <w:t xml:space="preserve">bulge at L4/5; and, no surgery was advised.  </w:t>
      </w:r>
      <w:r w:rsidR="0001655D">
        <w:rPr>
          <w:color w:val="000000"/>
        </w:rPr>
        <w:t xml:space="preserve">The NARSUM documented only the profile limitations </w:t>
      </w:r>
      <w:r w:rsidR="00FF04CA">
        <w:rPr>
          <w:color w:val="000000"/>
        </w:rPr>
        <w:t>as functional impairments</w:t>
      </w:r>
      <w:r w:rsidR="0001655D">
        <w:rPr>
          <w:color w:val="000000"/>
        </w:rPr>
        <w:t>, and the physical exam recorded “</w:t>
      </w:r>
      <w:r w:rsidR="0001655D" w:rsidRPr="0001655D">
        <w:rPr>
          <w:color w:val="000000"/>
        </w:rPr>
        <w:t>no evidence of palpable spasm tenderness or</w:t>
      </w:r>
      <w:r w:rsidR="0001655D">
        <w:rPr>
          <w:color w:val="000000"/>
        </w:rPr>
        <w:t xml:space="preserve"> </w:t>
      </w:r>
      <w:r w:rsidR="0001655D" w:rsidRPr="0001655D">
        <w:rPr>
          <w:color w:val="000000"/>
        </w:rPr>
        <w:t xml:space="preserve">deformity of </w:t>
      </w:r>
      <w:r w:rsidR="0001655D">
        <w:rPr>
          <w:color w:val="000000"/>
        </w:rPr>
        <w:t>his spine</w:t>
      </w:r>
      <w:r w:rsidR="00B91BC1">
        <w:rPr>
          <w:color w:val="000000"/>
        </w:rPr>
        <w:t>.”</w:t>
      </w:r>
      <w:r w:rsidR="0001655D">
        <w:rPr>
          <w:color w:val="000000"/>
        </w:rPr>
        <w:t xml:space="preserve">  </w:t>
      </w:r>
      <w:r w:rsidR="0001655D">
        <w:rPr>
          <w:color w:val="000000"/>
          <w:szCs w:val="24"/>
        </w:rPr>
        <w:t xml:space="preserve">The VA </w:t>
      </w:r>
      <w:r w:rsidR="0001655D" w:rsidRPr="00CF0280">
        <w:rPr>
          <w:color w:val="000000"/>
          <w:szCs w:val="24"/>
        </w:rPr>
        <w:t>Compensation and Pension (C&amp;P)</w:t>
      </w:r>
      <w:r w:rsidR="0001655D">
        <w:rPr>
          <w:color w:val="000000"/>
          <w:szCs w:val="24"/>
        </w:rPr>
        <w:t xml:space="preserve"> exam</w:t>
      </w:r>
      <w:r w:rsidR="007C5B18">
        <w:rPr>
          <w:color w:val="000000"/>
          <w:szCs w:val="24"/>
        </w:rPr>
        <w:t>,</w:t>
      </w:r>
      <w:r w:rsidR="0001655D">
        <w:rPr>
          <w:color w:val="000000"/>
          <w:szCs w:val="24"/>
        </w:rPr>
        <w:t xml:space="preserve"> </w:t>
      </w:r>
      <w:r w:rsidR="007C5B18">
        <w:rPr>
          <w:color w:val="000000"/>
          <w:szCs w:val="24"/>
        </w:rPr>
        <w:t xml:space="preserve">performed </w:t>
      </w:r>
      <w:r w:rsidR="0001655D">
        <w:rPr>
          <w:color w:val="000000"/>
          <w:szCs w:val="24"/>
        </w:rPr>
        <w:t xml:space="preserve">2 months </w:t>
      </w:r>
      <w:r w:rsidR="007C5B18">
        <w:rPr>
          <w:color w:val="000000"/>
          <w:szCs w:val="24"/>
        </w:rPr>
        <w:t>after separation,</w:t>
      </w:r>
      <w:r w:rsidR="0001655D">
        <w:rPr>
          <w:color w:val="000000"/>
          <w:szCs w:val="24"/>
        </w:rPr>
        <w:t xml:space="preserve"> noted constant pain rated 8/10 aggravated by prolonged sitting or standing, and various physical exercises.  The physical exam noted a normal gait, and no tenderness or spasm.</w:t>
      </w:r>
      <w:r w:rsidR="0001655D">
        <w:rPr>
          <w:color w:val="000000"/>
        </w:rPr>
        <w:t xml:space="preserve">  </w:t>
      </w:r>
    </w:p>
    <w:p w:rsidR="007C5B18" w:rsidRDefault="007C5B18" w:rsidP="000E6DB2">
      <w:pPr>
        <w:jc w:val="both"/>
        <w:rPr>
          <w:color w:val="000000"/>
        </w:rPr>
      </w:pPr>
    </w:p>
    <w:p w:rsidR="000E6DB2" w:rsidRPr="0001655D" w:rsidRDefault="000E6DB2" w:rsidP="000E6DB2">
      <w:pPr>
        <w:jc w:val="both"/>
        <w:rPr>
          <w:color w:val="000000"/>
        </w:rPr>
      </w:pPr>
      <w:r w:rsidRPr="00B652C3">
        <w:rPr>
          <w:color w:val="000000"/>
          <w:szCs w:val="24"/>
        </w:rPr>
        <w:t xml:space="preserve">There were </w:t>
      </w:r>
      <w:r w:rsidR="007C5B18">
        <w:rPr>
          <w:color w:val="000000"/>
          <w:szCs w:val="24"/>
        </w:rPr>
        <w:t>three</w:t>
      </w:r>
      <w:r w:rsidR="00FF04CA">
        <w:rPr>
          <w:color w:val="000000"/>
          <w:szCs w:val="24"/>
        </w:rPr>
        <w:t xml:space="preserve"> goniometric range-of-</w:t>
      </w:r>
      <w:r w:rsidRPr="00B652C3">
        <w:rPr>
          <w:color w:val="000000"/>
          <w:szCs w:val="24"/>
        </w:rPr>
        <w:t>motion (ROM) evaluations in evidence, with documentation of additional ratable criteria, which the Board weighed in arriving at its rating recommendation; as summarized in the chart below.</w:t>
      </w:r>
    </w:p>
    <w:p w:rsidR="000E6DB2" w:rsidRDefault="005D4491" w:rsidP="000E6DB2">
      <w:pPr>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tbl>
      <w:tblPr>
        <w:tblW w:w="7630" w:type="dxa"/>
        <w:jc w:val="center"/>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04"/>
        <w:gridCol w:w="1656"/>
        <w:gridCol w:w="1980"/>
        <w:gridCol w:w="1790"/>
      </w:tblGrid>
      <w:tr w:rsidR="005D4491" w:rsidRPr="00194ECC" w:rsidTr="005D4491">
        <w:trPr>
          <w:jc w:val="center"/>
        </w:trPr>
        <w:tc>
          <w:tcPr>
            <w:tcW w:w="2204" w:type="dxa"/>
            <w:shd w:val="clear" w:color="auto" w:fill="D9D9D9"/>
            <w:vAlign w:val="center"/>
          </w:tcPr>
          <w:p w:rsidR="00194ECC" w:rsidRPr="00194ECC" w:rsidRDefault="00194ECC" w:rsidP="006F5E47">
            <w:pPr>
              <w:spacing w:line="200" w:lineRule="exact"/>
              <w:contextualSpacing/>
              <w:rPr>
                <w:rFonts w:cs="Times New Roman"/>
                <w:color w:val="auto"/>
                <w:sz w:val="22"/>
              </w:rPr>
            </w:pPr>
            <w:r w:rsidRPr="00194ECC">
              <w:rPr>
                <w:rFonts w:cs="Times New Roman"/>
                <w:color w:val="auto"/>
                <w:sz w:val="22"/>
              </w:rPr>
              <w:t>Thoracolumbar ROM</w:t>
            </w:r>
          </w:p>
        </w:tc>
        <w:tc>
          <w:tcPr>
            <w:tcW w:w="1656" w:type="dxa"/>
            <w:shd w:val="clear" w:color="auto" w:fill="D9D9D9"/>
            <w:vAlign w:val="center"/>
          </w:tcPr>
          <w:p w:rsidR="00194ECC" w:rsidRDefault="00194ECC" w:rsidP="006F5E47">
            <w:pPr>
              <w:spacing w:line="200" w:lineRule="exact"/>
              <w:contextualSpacing/>
              <w:rPr>
                <w:rFonts w:cs="Times New Roman"/>
                <w:color w:val="auto"/>
                <w:sz w:val="22"/>
              </w:rPr>
            </w:pPr>
            <w:r w:rsidRPr="00194ECC">
              <w:rPr>
                <w:rFonts w:cs="Times New Roman"/>
                <w:color w:val="auto"/>
                <w:sz w:val="22"/>
              </w:rPr>
              <w:t xml:space="preserve">MEB </w:t>
            </w:r>
            <w:r>
              <w:rPr>
                <w:rFonts w:cs="Times New Roman"/>
                <w:color w:val="auto"/>
                <w:sz w:val="22"/>
              </w:rPr>
              <w:t>PT</w:t>
            </w:r>
          </w:p>
          <w:p w:rsidR="00194ECC" w:rsidRPr="00194ECC" w:rsidRDefault="005D4491" w:rsidP="006F5E47">
            <w:pPr>
              <w:spacing w:line="200" w:lineRule="exact"/>
              <w:contextualSpacing/>
              <w:rPr>
                <w:rFonts w:cs="Times New Roman"/>
                <w:color w:val="auto"/>
                <w:sz w:val="22"/>
              </w:rPr>
            </w:pPr>
            <w:r>
              <w:rPr>
                <w:rFonts w:cs="Times New Roman"/>
                <w:color w:val="auto"/>
                <w:sz w:val="22"/>
              </w:rPr>
              <w:t>~3 Mo. Pre-Sep</w:t>
            </w:r>
          </w:p>
        </w:tc>
        <w:tc>
          <w:tcPr>
            <w:tcW w:w="1980" w:type="dxa"/>
            <w:shd w:val="clear" w:color="auto" w:fill="D9D9D9"/>
            <w:vAlign w:val="center"/>
          </w:tcPr>
          <w:p w:rsidR="00194ECC" w:rsidRDefault="00194ECC" w:rsidP="006F5E47">
            <w:pPr>
              <w:spacing w:line="200" w:lineRule="exact"/>
              <w:contextualSpacing/>
              <w:rPr>
                <w:rFonts w:cs="Times New Roman"/>
                <w:color w:val="auto"/>
                <w:sz w:val="22"/>
              </w:rPr>
            </w:pPr>
            <w:r>
              <w:rPr>
                <w:rFonts w:cs="Times New Roman"/>
                <w:color w:val="auto"/>
                <w:sz w:val="22"/>
              </w:rPr>
              <w:t>NARSUM Exam</w:t>
            </w:r>
            <w:r w:rsidR="006F5E47">
              <w:rPr>
                <w:rFonts w:cs="Times New Roman"/>
                <w:color w:val="auto"/>
                <w:sz w:val="22"/>
              </w:rPr>
              <w:t>iner</w:t>
            </w:r>
          </w:p>
          <w:p w:rsidR="00194ECC" w:rsidRPr="00194ECC" w:rsidRDefault="00194ECC" w:rsidP="006F5E47">
            <w:pPr>
              <w:spacing w:line="200" w:lineRule="exact"/>
              <w:contextualSpacing/>
              <w:rPr>
                <w:rFonts w:cs="Times New Roman"/>
                <w:color w:val="auto"/>
                <w:sz w:val="22"/>
              </w:rPr>
            </w:pPr>
            <w:r>
              <w:rPr>
                <w:rFonts w:cs="Times New Roman"/>
                <w:color w:val="auto"/>
                <w:sz w:val="22"/>
              </w:rPr>
              <w:t>~3 Mo. Pre-Sep</w:t>
            </w:r>
          </w:p>
        </w:tc>
        <w:tc>
          <w:tcPr>
            <w:tcW w:w="1790" w:type="dxa"/>
            <w:shd w:val="clear" w:color="auto" w:fill="D9D9D9"/>
            <w:vAlign w:val="center"/>
          </w:tcPr>
          <w:p w:rsidR="006F5E47" w:rsidRDefault="00194ECC" w:rsidP="006F5E47">
            <w:pPr>
              <w:spacing w:line="200" w:lineRule="exact"/>
              <w:contextualSpacing/>
              <w:rPr>
                <w:rFonts w:cs="Times New Roman"/>
                <w:color w:val="auto"/>
                <w:sz w:val="22"/>
              </w:rPr>
            </w:pPr>
            <w:r w:rsidRPr="00194ECC">
              <w:rPr>
                <w:rFonts w:cs="Times New Roman"/>
                <w:color w:val="auto"/>
                <w:sz w:val="22"/>
              </w:rPr>
              <w:t>VA C&amp;P</w:t>
            </w:r>
          </w:p>
          <w:p w:rsidR="00194ECC" w:rsidRPr="00194ECC" w:rsidRDefault="006F5E47" w:rsidP="006F5E47">
            <w:pPr>
              <w:spacing w:line="200" w:lineRule="exact"/>
              <w:contextualSpacing/>
              <w:rPr>
                <w:rFonts w:cs="Times New Roman"/>
                <w:color w:val="auto"/>
                <w:sz w:val="22"/>
              </w:rPr>
            </w:pPr>
            <w:r>
              <w:rPr>
                <w:rFonts w:cs="Times New Roman"/>
                <w:color w:val="auto"/>
                <w:sz w:val="22"/>
              </w:rPr>
              <w:t>~2</w:t>
            </w:r>
            <w:r w:rsidR="00194ECC" w:rsidRPr="00194ECC">
              <w:rPr>
                <w:rFonts w:cs="Times New Roman"/>
                <w:color w:val="auto"/>
                <w:sz w:val="22"/>
              </w:rPr>
              <w:t xml:space="preserve"> </w:t>
            </w:r>
            <w:r>
              <w:rPr>
                <w:rFonts w:cs="Times New Roman"/>
                <w:color w:val="auto"/>
                <w:sz w:val="22"/>
              </w:rPr>
              <w:t>Mo. Post</w:t>
            </w:r>
            <w:r w:rsidR="00194ECC" w:rsidRPr="00194ECC">
              <w:rPr>
                <w:rFonts w:cs="Times New Roman"/>
                <w:color w:val="auto"/>
                <w:sz w:val="22"/>
              </w:rPr>
              <w:t>-Sep</w:t>
            </w:r>
          </w:p>
        </w:tc>
      </w:tr>
      <w:tr w:rsidR="00194ECC" w:rsidRPr="00194ECC" w:rsidTr="005D4491">
        <w:trPr>
          <w:jc w:val="center"/>
        </w:trPr>
        <w:tc>
          <w:tcPr>
            <w:tcW w:w="2204" w:type="dxa"/>
            <w:vAlign w:val="center"/>
          </w:tcPr>
          <w:p w:rsidR="00194ECC" w:rsidRPr="00194ECC" w:rsidRDefault="00194ECC" w:rsidP="006F5E47">
            <w:pPr>
              <w:contextualSpacing/>
              <w:rPr>
                <w:rFonts w:cs="Times New Roman"/>
                <w:color w:val="auto"/>
                <w:sz w:val="22"/>
              </w:rPr>
            </w:pPr>
            <w:r w:rsidRPr="00194ECC">
              <w:rPr>
                <w:rFonts w:cs="Times New Roman"/>
                <w:color w:val="auto"/>
                <w:sz w:val="22"/>
              </w:rPr>
              <w:t>Flexion (90⁰ Normal)</w:t>
            </w:r>
          </w:p>
        </w:tc>
        <w:tc>
          <w:tcPr>
            <w:tcW w:w="1656" w:type="dxa"/>
            <w:vAlign w:val="center"/>
          </w:tcPr>
          <w:p w:rsidR="00194ECC" w:rsidRPr="00194ECC" w:rsidRDefault="006F5E47" w:rsidP="006F5E47">
            <w:pPr>
              <w:contextualSpacing/>
              <w:rPr>
                <w:rFonts w:cs="Times New Roman"/>
                <w:color w:val="auto"/>
                <w:sz w:val="22"/>
              </w:rPr>
            </w:pPr>
            <w:r>
              <w:rPr>
                <w:rFonts w:cs="Times New Roman"/>
                <w:color w:val="auto"/>
                <w:sz w:val="22"/>
              </w:rPr>
              <w:t>&gt;9</w:t>
            </w:r>
            <w:r w:rsidR="00194ECC" w:rsidRPr="00194ECC">
              <w:rPr>
                <w:rFonts w:cs="Times New Roman"/>
                <w:color w:val="auto"/>
                <w:sz w:val="22"/>
              </w:rPr>
              <w:t>0⁰</w:t>
            </w:r>
          </w:p>
        </w:tc>
        <w:tc>
          <w:tcPr>
            <w:tcW w:w="1980" w:type="dxa"/>
            <w:vAlign w:val="center"/>
          </w:tcPr>
          <w:p w:rsidR="00194ECC" w:rsidRPr="00194ECC" w:rsidRDefault="006F5E47" w:rsidP="006F5E47">
            <w:pPr>
              <w:contextualSpacing/>
              <w:rPr>
                <w:rFonts w:cs="Times New Roman"/>
                <w:color w:val="auto"/>
                <w:sz w:val="22"/>
              </w:rPr>
            </w:pPr>
            <w:r>
              <w:rPr>
                <w:rFonts w:cs="Times New Roman"/>
                <w:color w:val="auto"/>
                <w:sz w:val="22"/>
              </w:rPr>
              <w:t>90⁰</w:t>
            </w:r>
          </w:p>
        </w:tc>
        <w:tc>
          <w:tcPr>
            <w:tcW w:w="1790" w:type="dxa"/>
            <w:vAlign w:val="center"/>
          </w:tcPr>
          <w:p w:rsidR="00194ECC" w:rsidRPr="00194ECC" w:rsidRDefault="006F5E47" w:rsidP="006F5E47">
            <w:pPr>
              <w:contextualSpacing/>
              <w:rPr>
                <w:rFonts w:cs="Times New Roman"/>
                <w:color w:val="auto"/>
                <w:sz w:val="22"/>
              </w:rPr>
            </w:pPr>
            <w:r>
              <w:rPr>
                <w:rFonts w:cs="Times New Roman"/>
                <w:color w:val="auto"/>
                <w:sz w:val="22"/>
              </w:rPr>
              <w:t>&gt;9</w:t>
            </w:r>
            <w:r w:rsidRPr="00194ECC">
              <w:rPr>
                <w:rFonts w:cs="Times New Roman"/>
                <w:color w:val="auto"/>
                <w:sz w:val="22"/>
              </w:rPr>
              <w:t>0⁰</w:t>
            </w:r>
          </w:p>
        </w:tc>
      </w:tr>
      <w:tr w:rsidR="00194ECC" w:rsidRPr="00194ECC" w:rsidTr="005D4491">
        <w:trPr>
          <w:jc w:val="center"/>
        </w:trPr>
        <w:tc>
          <w:tcPr>
            <w:tcW w:w="2204" w:type="dxa"/>
            <w:vAlign w:val="center"/>
          </w:tcPr>
          <w:p w:rsidR="00194ECC" w:rsidRPr="00194ECC" w:rsidRDefault="00194ECC" w:rsidP="006F5E47">
            <w:pPr>
              <w:contextualSpacing/>
              <w:rPr>
                <w:rFonts w:cs="Times New Roman"/>
                <w:color w:val="auto"/>
                <w:sz w:val="22"/>
              </w:rPr>
            </w:pPr>
            <w:r w:rsidRPr="00194ECC">
              <w:rPr>
                <w:rFonts w:cs="Times New Roman"/>
                <w:color w:val="auto"/>
                <w:sz w:val="22"/>
              </w:rPr>
              <w:t>Combined (240⁰)</w:t>
            </w:r>
          </w:p>
        </w:tc>
        <w:tc>
          <w:tcPr>
            <w:tcW w:w="1656" w:type="dxa"/>
            <w:vAlign w:val="center"/>
          </w:tcPr>
          <w:p w:rsidR="00194ECC" w:rsidRPr="00194ECC" w:rsidRDefault="006F5E47" w:rsidP="006F5E47">
            <w:pPr>
              <w:contextualSpacing/>
              <w:rPr>
                <w:rFonts w:cs="Times New Roman"/>
                <w:color w:val="auto"/>
                <w:sz w:val="22"/>
              </w:rPr>
            </w:pPr>
            <w:r>
              <w:rPr>
                <w:rFonts w:cs="Times New Roman"/>
                <w:color w:val="auto"/>
                <w:sz w:val="22"/>
              </w:rPr>
              <w:t>20</w:t>
            </w:r>
            <w:r w:rsidR="00194ECC" w:rsidRPr="00194ECC">
              <w:rPr>
                <w:rFonts w:cs="Times New Roman"/>
                <w:color w:val="auto"/>
                <w:sz w:val="22"/>
              </w:rPr>
              <w:t>5⁰</w:t>
            </w:r>
          </w:p>
        </w:tc>
        <w:tc>
          <w:tcPr>
            <w:tcW w:w="1980" w:type="dxa"/>
            <w:vAlign w:val="center"/>
          </w:tcPr>
          <w:p w:rsidR="00194ECC" w:rsidRPr="00194ECC" w:rsidRDefault="006F5E47" w:rsidP="006F5E47">
            <w:pPr>
              <w:contextualSpacing/>
              <w:rPr>
                <w:rFonts w:cs="Times New Roman"/>
                <w:color w:val="auto"/>
                <w:sz w:val="22"/>
              </w:rPr>
            </w:pPr>
            <w:r>
              <w:rPr>
                <w:rFonts w:cs="Times New Roman"/>
                <w:color w:val="auto"/>
                <w:sz w:val="22"/>
              </w:rPr>
              <w:t>220⁰</w:t>
            </w:r>
          </w:p>
        </w:tc>
        <w:tc>
          <w:tcPr>
            <w:tcW w:w="1790" w:type="dxa"/>
            <w:vAlign w:val="center"/>
          </w:tcPr>
          <w:p w:rsidR="00194ECC" w:rsidRPr="00194ECC" w:rsidRDefault="00194ECC" w:rsidP="006F5E47">
            <w:pPr>
              <w:contextualSpacing/>
              <w:rPr>
                <w:rFonts w:cs="Times New Roman"/>
                <w:color w:val="auto"/>
                <w:sz w:val="22"/>
              </w:rPr>
            </w:pPr>
            <w:r w:rsidRPr="00194ECC">
              <w:rPr>
                <w:rFonts w:cs="Times New Roman"/>
                <w:color w:val="auto"/>
                <w:sz w:val="22"/>
              </w:rPr>
              <w:t>220⁰</w:t>
            </w:r>
          </w:p>
        </w:tc>
      </w:tr>
      <w:tr w:rsidR="00194ECC" w:rsidRPr="00194ECC" w:rsidTr="005D4491">
        <w:trPr>
          <w:trHeight w:val="70"/>
          <w:jc w:val="center"/>
        </w:trPr>
        <w:tc>
          <w:tcPr>
            <w:tcW w:w="2204" w:type="dxa"/>
            <w:vAlign w:val="center"/>
          </w:tcPr>
          <w:p w:rsidR="00194ECC" w:rsidRPr="00194ECC" w:rsidRDefault="00194ECC" w:rsidP="006F5E47">
            <w:pPr>
              <w:tabs>
                <w:tab w:val="left" w:pos="288"/>
                <w:tab w:val="left" w:pos="4752"/>
              </w:tabs>
              <w:rPr>
                <w:rFonts w:cs="Times New Roman"/>
                <w:color w:val="auto"/>
                <w:sz w:val="22"/>
              </w:rPr>
            </w:pPr>
            <w:r w:rsidRPr="00194ECC">
              <w:rPr>
                <w:rFonts w:cs="Times New Roman"/>
                <w:color w:val="auto"/>
                <w:sz w:val="22"/>
              </w:rPr>
              <w:t>§4.71a Rating</w:t>
            </w:r>
          </w:p>
        </w:tc>
        <w:tc>
          <w:tcPr>
            <w:tcW w:w="1656" w:type="dxa"/>
            <w:vAlign w:val="center"/>
          </w:tcPr>
          <w:p w:rsidR="00194ECC" w:rsidRPr="00194ECC" w:rsidRDefault="006F5E47" w:rsidP="006F5E47">
            <w:pPr>
              <w:tabs>
                <w:tab w:val="left" w:pos="288"/>
                <w:tab w:val="left" w:pos="4752"/>
              </w:tabs>
              <w:rPr>
                <w:rFonts w:cs="Times New Roman"/>
                <w:color w:val="auto"/>
                <w:sz w:val="22"/>
              </w:rPr>
            </w:pPr>
            <w:r>
              <w:rPr>
                <w:rFonts w:cs="Times New Roman"/>
                <w:color w:val="auto"/>
                <w:sz w:val="22"/>
              </w:rPr>
              <w:t>1</w:t>
            </w:r>
            <w:r w:rsidR="00194ECC" w:rsidRPr="00194ECC">
              <w:rPr>
                <w:rFonts w:cs="Times New Roman"/>
                <w:color w:val="auto"/>
                <w:sz w:val="22"/>
              </w:rPr>
              <w:t>0%</w:t>
            </w:r>
          </w:p>
        </w:tc>
        <w:tc>
          <w:tcPr>
            <w:tcW w:w="1980" w:type="dxa"/>
            <w:vAlign w:val="center"/>
          </w:tcPr>
          <w:p w:rsidR="00194ECC" w:rsidRPr="00194ECC" w:rsidRDefault="006F5E47" w:rsidP="006F5E47">
            <w:pPr>
              <w:tabs>
                <w:tab w:val="left" w:pos="288"/>
                <w:tab w:val="left" w:pos="4752"/>
              </w:tabs>
              <w:rPr>
                <w:rFonts w:cs="Times New Roman"/>
                <w:color w:val="auto"/>
                <w:sz w:val="22"/>
              </w:rPr>
            </w:pPr>
            <w:r>
              <w:rPr>
                <w:rFonts w:cs="Times New Roman"/>
                <w:color w:val="auto"/>
                <w:sz w:val="22"/>
              </w:rPr>
              <w:t>1</w:t>
            </w:r>
            <w:r w:rsidRPr="00194ECC">
              <w:rPr>
                <w:rFonts w:cs="Times New Roman"/>
                <w:color w:val="auto"/>
                <w:sz w:val="22"/>
              </w:rPr>
              <w:t>0%</w:t>
            </w:r>
          </w:p>
        </w:tc>
        <w:tc>
          <w:tcPr>
            <w:tcW w:w="1790" w:type="dxa"/>
            <w:vAlign w:val="center"/>
          </w:tcPr>
          <w:p w:rsidR="00194ECC" w:rsidRPr="00194ECC" w:rsidRDefault="006F5E47" w:rsidP="006F5E47">
            <w:pPr>
              <w:tabs>
                <w:tab w:val="left" w:pos="288"/>
                <w:tab w:val="left" w:pos="4752"/>
              </w:tabs>
              <w:rPr>
                <w:rFonts w:cs="Times New Roman"/>
                <w:color w:val="auto"/>
                <w:sz w:val="22"/>
              </w:rPr>
            </w:pPr>
            <w:r>
              <w:rPr>
                <w:rFonts w:cs="Times New Roman"/>
                <w:color w:val="auto"/>
                <w:sz w:val="22"/>
              </w:rPr>
              <w:t>1</w:t>
            </w:r>
            <w:r w:rsidR="00194ECC" w:rsidRPr="00194ECC">
              <w:rPr>
                <w:rFonts w:cs="Times New Roman"/>
                <w:color w:val="auto"/>
                <w:sz w:val="22"/>
              </w:rPr>
              <w:t>0%</w:t>
            </w:r>
            <w:r>
              <w:rPr>
                <w:rFonts w:cs="Times New Roman"/>
                <w:color w:val="auto"/>
                <w:sz w:val="22"/>
              </w:rPr>
              <w:t>*</w:t>
            </w:r>
          </w:p>
        </w:tc>
      </w:tr>
    </w:tbl>
    <w:p w:rsidR="00194ECC" w:rsidRPr="006F5E47" w:rsidRDefault="00CE791F" w:rsidP="000E6DB2">
      <w:pPr>
        <w:jc w:val="both"/>
        <w:rPr>
          <w:color w:val="000000"/>
          <w:sz w:val="22"/>
          <w:szCs w:val="22"/>
        </w:rPr>
      </w:pPr>
      <w:r>
        <w:rPr>
          <w:color w:val="000000"/>
          <w:sz w:val="22"/>
          <w:szCs w:val="22"/>
        </w:rPr>
        <w:tab/>
      </w:r>
      <w:r>
        <w:rPr>
          <w:color w:val="000000"/>
          <w:sz w:val="22"/>
          <w:szCs w:val="22"/>
        </w:rPr>
        <w:tab/>
        <w:t xml:space="preserve"> </w:t>
      </w:r>
      <w:r w:rsidR="005D4491">
        <w:rPr>
          <w:color w:val="000000"/>
          <w:sz w:val="22"/>
          <w:szCs w:val="22"/>
        </w:rPr>
        <w:t xml:space="preserve">    </w:t>
      </w:r>
      <w:r>
        <w:rPr>
          <w:color w:val="000000"/>
          <w:sz w:val="22"/>
          <w:szCs w:val="22"/>
        </w:rPr>
        <w:t xml:space="preserve"> </w:t>
      </w:r>
      <w:r w:rsidR="006F5E47">
        <w:rPr>
          <w:color w:val="000000"/>
          <w:sz w:val="22"/>
          <w:szCs w:val="22"/>
        </w:rPr>
        <w:t xml:space="preserve">* Based on </w:t>
      </w:r>
      <w:r>
        <w:rPr>
          <w:color w:val="000000"/>
          <w:sz w:val="22"/>
          <w:szCs w:val="22"/>
        </w:rPr>
        <w:t xml:space="preserve">documented </w:t>
      </w:r>
      <w:r w:rsidR="006F5E47">
        <w:rPr>
          <w:color w:val="000000"/>
          <w:sz w:val="22"/>
          <w:szCs w:val="22"/>
        </w:rPr>
        <w:t>painful motion</w:t>
      </w:r>
      <w:r>
        <w:rPr>
          <w:color w:val="000000"/>
          <w:sz w:val="22"/>
          <w:szCs w:val="22"/>
        </w:rPr>
        <w:t xml:space="preserve"> and modest DeLuca degradations.</w:t>
      </w:r>
      <w:r w:rsidR="006F5E47">
        <w:rPr>
          <w:color w:val="000000"/>
          <w:sz w:val="22"/>
          <w:szCs w:val="22"/>
        </w:rPr>
        <w:t xml:space="preserve"> </w:t>
      </w:r>
    </w:p>
    <w:p w:rsidR="00194ECC" w:rsidRDefault="00194ECC" w:rsidP="000E6DB2">
      <w:pPr>
        <w:jc w:val="both"/>
        <w:rPr>
          <w:color w:val="000000"/>
          <w:szCs w:val="24"/>
        </w:rPr>
      </w:pPr>
    </w:p>
    <w:p w:rsidR="00657FB6" w:rsidRPr="00241B01" w:rsidRDefault="000E6DB2" w:rsidP="00657FB6">
      <w:pPr>
        <w:jc w:val="both"/>
        <w:rPr>
          <w:rFonts w:eastAsia="Calibri" w:cs="Times New Roman"/>
          <w:color w:val="auto"/>
          <w:szCs w:val="24"/>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657FB6">
        <w:rPr>
          <w:rFonts w:cs="Times New Roman"/>
          <w:color w:val="auto"/>
        </w:rPr>
        <w:t xml:space="preserve">ROM criteria were closely correlated by all examiners.  Under the </w:t>
      </w:r>
      <w:r w:rsidR="00657FB6" w:rsidRPr="00C50329">
        <w:rPr>
          <w:color w:val="000000"/>
          <w:szCs w:val="24"/>
        </w:rPr>
        <w:t>VASRD §4.71a general rating formula for the spine</w:t>
      </w:r>
      <w:r w:rsidR="00657FB6">
        <w:rPr>
          <w:color w:val="000000"/>
          <w:szCs w:val="24"/>
        </w:rPr>
        <w:t>,</w:t>
      </w:r>
      <w:r w:rsidR="00657FB6">
        <w:rPr>
          <w:rFonts w:cs="Times New Roman"/>
          <w:color w:val="auto"/>
        </w:rPr>
        <w:t xml:space="preserve"> the combined ROM’s on both exams rate 10%; and, §4.59 (painful motion) was supported on the VA exam to achieve the minimum compensable 10% rating.  There were no gait or contour abnormalities to achieve the 20% rating, and there was no </w:t>
      </w:r>
      <w:r w:rsidR="00657FB6" w:rsidRPr="00491733">
        <w:rPr>
          <w:color w:val="000000"/>
          <w:szCs w:val="24"/>
        </w:rPr>
        <w:t xml:space="preserve">documentation of incapacitating episodes which would </w:t>
      </w:r>
      <w:r w:rsidR="00657FB6">
        <w:rPr>
          <w:color w:val="000000"/>
          <w:szCs w:val="24"/>
        </w:rPr>
        <w:t xml:space="preserve">achieve a </w:t>
      </w:r>
      <w:r w:rsidR="00657FB6" w:rsidRPr="00491733">
        <w:rPr>
          <w:color w:val="000000"/>
          <w:szCs w:val="24"/>
        </w:rPr>
        <w:t>higher rating</w:t>
      </w:r>
      <w:r w:rsidR="00657FB6">
        <w:rPr>
          <w:color w:val="000000"/>
          <w:szCs w:val="24"/>
        </w:rPr>
        <w:t xml:space="preserve"> under that formula.  </w:t>
      </w:r>
      <w:r w:rsidR="00657FB6" w:rsidRPr="00626902">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w:t>
      </w:r>
      <w:r w:rsidR="00657FB6">
        <w:rPr>
          <w:rFonts w:eastAsia="Calibri" w:cs="Times New Roman"/>
          <w:color w:val="auto"/>
          <w:szCs w:val="24"/>
        </w:rPr>
        <w:t>of</w:t>
      </w:r>
      <w:r w:rsidR="00657FB6" w:rsidRPr="00626902">
        <w:rPr>
          <w:rFonts w:eastAsia="Calibri" w:cs="Times New Roman"/>
          <w:color w:val="auto"/>
          <w:szCs w:val="24"/>
        </w:rPr>
        <w:t xml:space="preserve"> the </w:t>
      </w:r>
      <w:r w:rsidR="00657FB6">
        <w:rPr>
          <w:rFonts w:eastAsia="Calibri" w:cs="Times New Roman"/>
          <w:color w:val="auto"/>
          <w:szCs w:val="24"/>
        </w:rPr>
        <w:t>lumbar spine</w:t>
      </w:r>
      <w:r w:rsidR="00657FB6" w:rsidRPr="00626902">
        <w:rPr>
          <w:rFonts w:eastAsia="Calibri" w:cs="Times New Roman"/>
          <w:color w:val="auto"/>
          <w:szCs w:val="24"/>
        </w:rPr>
        <w:t xml:space="preserve"> condition.</w:t>
      </w:r>
    </w:p>
    <w:p w:rsidR="000E6DB2" w:rsidRDefault="000E6DB2" w:rsidP="00792790">
      <w:pPr>
        <w:jc w:val="both"/>
        <w:rPr>
          <w:rFonts w:eastAsia="Calibri" w:cs="Times New Roman"/>
          <w:color w:val="auto"/>
          <w:szCs w:val="24"/>
          <w:u w:val="single"/>
        </w:rPr>
      </w:pPr>
    </w:p>
    <w:p w:rsidR="000E6DB2" w:rsidRDefault="000E6DB2" w:rsidP="000E6DB2">
      <w:pPr>
        <w:jc w:val="both"/>
        <w:rPr>
          <w:color w:val="000000"/>
        </w:rPr>
      </w:pPr>
      <w:r>
        <w:rPr>
          <w:color w:val="000000"/>
          <w:u w:val="single"/>
        </w:rPr>
        <w:t>Left Sciatic Neuritis</w:t>
      </w:r>
      <w:r w:rsidRPr="009A7578">
        <w:rPr>
          <w:color w:val="000000"/>
        </w:rPr>
        <w:t xml:space="preserve">. </w:t>
      </w:r>
      <w:r>
        <w:rPr>
          <w:color w:val="000000"/>
        </w:rPr>
        <w:t xml:space="preserve"> The </w:t>
      </w:r>
      <w:r w:rsidR="005D4491">
        <w:rPr>
          <w:color w:val="000000"/>
        </w:rPr>
        <w:t xml:space="preserve">NARSUM documented that the </w:t>
      </w:r>
      <w:r w:rsidR="007C5B18">
        <w:rPr>
          <w:color w:val="000000"/>
        </w:rPr>
        <w:t>DDD</w:t>
      </w:r>
      <w:r w:rsidR="005D4491">
        <w:rPr>
          <w:color w:val="000000"/>
        </w:rPr>
        <w:t xml:space="preserve"> was associated with “</w:t>
      </w:r>
      <w:r w:rsidR="005D4491" w:rsidRPr="005D4491">
        <w:rPr>
          <w:color w:val="000000"/>
          <w:szCs w:val="24"/>
        </w:rPr>
        <w:t>some radiation of pain to the left buttock and down</w:t>
      </w:r>
      <w:r w:rsidR="005D4491">
        <w:rPr>
          <w:color w:val="000000"/>
          <w:szCs w:val="24"/>
        </w:rPr>
        <w:t xml:space="preserve"> his left leg</w:t>
      </w:r>
      <w:r w:rsidR="00B91BC1">
        <w:rPr>
          <w:color w:val="000000"/>
        </w:rPr>
        <w:t>.”</w:t>
      </w:r>
      <w:r w:rsidR="005D4491">
        <w:rPr>
          <w:color w:val="000000"/>
        </w:rPr>
        <w:t xml:space="preserve">  </w:t>
      </w:r>
      <w:r w:rsidR="001B7710">
        <w:rPr>
          <w:color w:val="000000"/>
        </w:rPr>
        <w:t xml:space="preserve">The MRI reported “mild to moderate narrowing of the central canal traversing L5 and S1 nerve roots bilaterally.”  </w:t>
      </w:r>
      <w:r w:rsidR="005D4491">
        <w:rPr>
          <w:color w:val="000000"/>
        </w:rPr>
        <w:t>An electrodiagnostic study was performed 3 months prior to separation which reported “</w:t>
      </w:r>
      <w:r w:rsidR="007C42AE" w:rsidRPr="005D4491">
        <w:rPr>
          <w:bCs/>
          <w:color w:val="000000"/>
          <w:szCs w:val="24"/>
        </w:rPr>
        <w:t xml:space="preserve">nonspecific findings </w:t>
      </w:r>
      <w:r w:rsidR="007C42AE" w:rsidRPr="005D4491">
        <w:rPr>
          <w:color w:val="000000"/>
          <w:szCs w:val="24"/>
        </w:rPr>
        <w:t xml:space="preserve">on </w:t>
      </w:r>
      <w:r w:rsidR="007C42AE" w:rsidRPr="005D4491">
        <w:rPr>
          <w:bCs/>
          <w:color w:val="000000"/>
          <w:szCs w:val="24"/>
        </w:rPr>
        <w:t xml:space="preserve">electromyography </w:t>
      </w:r>
      <w:r w:rsidR="007C42AE" w:rsidRPr="005D4491">
        <w:rPr>
          <w:color w:val="000000"/>
          <w:szCs w:val="24"/>
        </w:rPr>
        <w:t xml:space="preserve">of the left lower </w:t>
      </w:r>
      <w:r w:rsidR="007C42AE" w:rsidRPr="005D4491">
        <w:rPr>
          <w:bCs/>
          <w:color w:val="000000"/>
          <w:szCs w:val="24"/>
        </w:rPr>
        <w:t xml:space="preserve">extremity, </w:t>
      </w:r>
      <w:r w:rsidR="007C42AE" w:rsidRPr="005D4491">
        <w:rPr>
          <w:color w:val="000000"/>
          <w:szCs w:val="24"/>
        </w:rPr>
        <w:t xml:space="preserve">suggesting possible </w:t>
      </w:r>
      <w:r w:rsidR="007C42AE">
        <w:rPr>
          <w:color w:val="000000"/>
          <w:szCs w:val="24"/>
        </w:rPr>
        <w:t xml:space="preserve">mild </w:t>
      </w:r>
      <w:r w:rsidR="007C42AE" w:rsidRPr="005D4491">
        <w:rPr>
          <w:color w:val="000000"/>
          <w:szCs w:val="24"/>
        </w:rPr>
        <w:t>irritation</w:t>
      </w:r>
      <w:r w:rsidR="007C42AE">
        <w:rPr>
          <w:color w:val="000000"/>
          <w:szCs w:val="24"/>
        </w:rPr>
        <w:t xml:space="preserve"> </w:t>
      </w:r>
      <w:r w:rsidR="007C42AE" w:rsidRPr="005D4491">
        <w:rPr>
          <w:color w:val="000000"/>
          <w:szCs w:val="24"/>
        </w:rPr>
        <w:t xml:space="preserve">to the </w:t>
      </w:r>
      <w:r w:rsidR="007C42AE" w:rsidRPr="005D4491">
        <w:rPr>
          <w:bCs/>
          <w:color w:val="000000"/>
          <w:szCs w:val="24"/>
        </w:rPr>
        <w:t xml:space="preserve">left S1 nerve </w:t>
      </w:r>
      <w:r w:rsidR="007C42AE" w:rsidRPr="005D4491">
        <w:rPr>
          <w:color w:val="000000"/>
          <w:szCs w:val="24"/>
        </w:rPr>
        <w:t xml:space="preserve">root, </w:t>
      </w:r>
      <w:r w:rsidR="007C42AE" w:rsidRPr="005D4491">
        <w:rPr>
          <w:bCs/>
          <w:color w:val="000000"/>
          <w:szCs w:val="24"/>
        </w:rPr>
        <w:t xml:space="preserve">but </w:t>
      </w:r>
      <w:r w:rsidR="007C42AE" w:rsidRPr="005D4491">
        <w:rPr>
          <w:color w:val="000000"/>
          <w:szCs w:val="24"/>
        </w:rPr>
        <w:t>no evidence of</w:t>
      </w:r>
      <w:r w:rsidR="007C42AE">
        <w:rPr>
          <w:color w:val="000000"/>
          <w:szCs w:val="24"/>
        </w:rPr>
        <w:t xml:space="preserve"> any </w:t>
      </w:r>
      <w:r w:rsidR="007C42AE" w:rsidRPr="005D4491">
        <w:rPr>
          <w:color w:val="000000"/>
          <w:szCs w:val="24"/>
        </w:rPr>
        <w:t xml:space="preserve">significant </w:t>
      </w:r>
      <w:r w:rsidR="007C42AE" w:rsidRPr="005D4491">
        <w:rPr>
          <w:bCs/>
          <w:color w:val="000000"/>
          <w:szCs w:val="24"/>
        </w:rPr>
        <w:t>axonal</w:t>
      </w:r>
      <w:r w:rsidR="007C42AE" w:rsidRPr="005D4491">
        <w:rPr>
          <w:b/>
          <w:bCs/>
          <w:color w:val="000000"/>
          <w:szCs w:val="24"/>
        </w:rPr>
        <w:t xml:space="preserve"> </w:t>
      </w:r>
      <w:r w:rsidR="007C42AE" w:rsidRPr="005D4491">
        <w:rPr>
          <w:color w:val="000000"/>
          <w:szCs w:val="24"/>
        </w:rPr>
        <w:t>damage</w:t>
      </w:r>
      <w:r w:rsidR="007C42AE">
        <w:rPr>
          <w:color w:val="000000"/>
          <w:szCs w:val="24"/>
        </w:rPr>
        <w:t>.</w:t>
      </w:r>
      <w:r w:rsidR="005D4491">
        <w:rPr>
          <w:color w:val="000000"/>
        </w:rPr>
        <w:t>”</w:t>
      </w:r>
      <w:r w:rsidR="007C42AE">
        <w:rPr>
          <w:color w:val="000000"/>
        </w:rPr>
        <w:t xml:space="preserve">  Detailed normal neurologic findings on exam were also documented.  </w:t>
      </w:r>
      <w:r w:rsidR="001B7710">
        <w:rPr>
          <w:color w:val="000000"/>
        </w:rPr>
        <w:t>The MEB examiner did not assess the radiculopathy as significant, and did not forward a neuropathy condition on the DA Form 3947.  The VA C&amp;P examiner</w:t>
      </w:r>
      <w:r w:rsidR="007C5B18">
        <w:rPr>
          <w:color w:val="000000"/>
        </w:rPr>
        <w:t>, after separation,</w:t>
      </w:r>
      <w:r w:rsidR="001B7710">
        <w:rPr>
          <w:color w:val="000000"/>
        </w:rPr>
        <w:t xml:space="preserve"> </w:t>
      </w:r>
      <w:r w:rsidR="00DD5968">
        <w:rPr>
          <w:color w:val="000000"/>
        </w:rPr>
        <w:t>recorded normal neurologic testing except for an abs</w:t>
      </w:r>
      <w:r w:rsidR="00FD0574">
        <w:rPr>
          <w:color w:val="000000"/>
        </w:rPr>
        <w:t>ent patellar reflex on the left; and, also</w:t>
      </w:r>
      <w:r w:rsidR="00DD5968">
        <w:rPr>
          <w:color w:val="000000"/>
        </w:rPr>
        <w:t xml:space="preserve"> did not identify neuropathy as a specific condition.</w:t>
      </w:r>
    </w:p>
    <w:p w:rsidR="00DD5968" w:rsidRDefault="00DD5968" w:rsidP="000E6DB2">
      <w:pPr>
        <w:jc w:val="both"/>
        <w:rPr>
          <w:color w:val="000000"/>
        </w:rPr>
      </w:pPr>
    </w:p>
    <w:p w:rsidR="00396572" w:rsidRDefault="00DD5968" w:rsidP="006905CD">
      <w:pPr>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In adding sciatic neuritis as an unfitting condition, the PEB’s DA Form 199 </w:t>
      </w:r>
      <w:r w:rsidR="00CB22F3">
        <w:rPr>
          <w:rFonts w:cs="Times New Roman"/>
          <w:color w:val="auto"/>
        </w:rPr>
        <w:t xml:space="preserve">cited </w:t>
      </w:r>
      <w:r>
        <w:rPr>
          <w:rFonts w:cs="Times New Roman"/>
          <w:color w:val="auto"/>
        </w:rPr>
        <w:t xml:space="preserve">the imaging and electrodiagnostic findings </w:t>
      </w:r>
      <w:r w:rsidR="00CB22F3">
        <w:rPr>
          <w:rFonts w:cs="Times New Roman"/>
          <w:color w:val="auto"/>
        </w:rPr>
        <w:t>described above; and further noted</w:t>
      </w:r>
      <w:r>
        <w:rPr>
          <w:rFonts w:cs="Times New Roman"/>
          <w:color w:val="auto"/>
        </w:rPr>
        <w:t xml:space="preserve"> “</w:t>
      </w:r>
      <w:r w:rsidR="007C5B18">
        <w:rPr>
          <w:color w:val="000000"/>
        </w:rPr>
        <w:t>e</w:t>
      </w:r>
      <w:r w:rsidRPr="00DD5968">
        <w:rPr>
          <w:color w:val="000000"/>
        </w:rPr>
        <w:t>xam shows normal</w:t>
      </w:r>
      <w:r>
        <w:rPr>
          <w:color w:val="000000"/>
        </w:rPr>
        <w:t xml:space="preserve"> </w:t>
      </w:r>
      <w:r w:rsidRPr="00DD5968">
        <w:rPr>
          <w:color w:val="000000"/>
        </w:rPr>
        <w:t>sensation, muscle strength and reflexes.</w:t>
      </w:r>
      <w:r w:rsidR="00CB22F3">
        <w:rPr>
          <w:color w:val="000000"/>
        </w:rPr>
        <w:t>”</w:t>
      </w:r>
      <w:r w:rsidRPr="00DD5968">
        <w:rPr>
          <w:color w:val="000000"/>
        </w:rPr>
        <w:t xml:space="preserve"> </w:t>
      </w:r>
      <w:r>
        <w:rPr>
          <w:color w:val="000000"/>
        </w:rPr>
        <w:t xml:space="preserve"> </w:t>
      </w:r>
      <w:r w:rsidR="00CB22F3">
        <w:rPr>
          <w:color w:val="000000"/>
        </w:rPr>
        <w:t>The fitness link was elaborated as, “</w:t>
      </w:r>
      <w:r w:rsidR="007C5B18">
        <w:rPr>
          <w:color w:val="000000"/>
        </w:rPr>
        <w:t>l</w:t>
      </w:r>
      <w:r w:rsidRPr="00DD5968">
        <w:rPr>
          <w:color w:val="000000"/>
        </w:rPr>
        <w:t>eft lower extremity pain prevents</w:t>
      </w:r>
      <w:r>
        <w:rPr>
          <w:color w:val="000000"/>
        </w:rPr>
        <w:t xml:space="preserve"> </w:t>
      </w:r>
      <w:r w:rsidRPr="00DD5968">
        <w:rPr>
          <w:color w:val="000000"/>
        </w:rPr>
        <w:t>training for APFT</w:t>
      </w:r>
      <w:r>
        <w:rPr>
          <w:color w:val="000000"/>
        </w:rPr>
        <w:t xml:space="preserve"> [Army Physical Fitness Test]</w:t>
      </w:r>
      <w:r w:rsidRPr="00DD5968">
        <w:rPr>
          <w:color w:val="000000"/>
        </w:rPr>
        <w:t>.</w:t>
      </w:r>
      <w:r>
        <w:rPr>
          <w:rFonts w:cs="Times New Roman"/>
          <w:color w:val="auto"/>
        </w:rPr>
        <w:t xml:space="preserve">” </w:t>
      </w:r>
      <w:r w:rsidR="00F0552E">
        <w:rPr>
          <w:rFonts w:cs="Times New Roman"/>
          <w:color w:val="auto"/>
        </w:rPr>
        <w:t xml:space="preserve"> The VA rating decision, conferring the same 10% rating under 8620 (sciatic neuritis) as </w:t>
      </w:r>
      <w:r w:rsidR="005D655C">
        <w:rPr>
          <w:rFonts w:cs="Times New Roman"/>
          <w:color w:val="auto"/>
        </w:rPr>
        <w:t>did</w:t>
      </w:r>
      <w:r w:rsidR="00F0552E">
        <w:rPr>
          <w:rFonts w:cs="Times New Roman"/>
          <w:color w:val="auto"/>
        </w:rPr>
        <w:t xml:space="preserve"> the PEB, quoted the DA Form 199 statements in its rationale.  Since the APFT limitations cannot be functionally segregated from the intrinsic spine impairment, and there were no motor or sensory limitations linked to fitness (pain is subsumed under the general spine rating); the evidence in this case does not meet the Board’s established threshold for conferring additional rating for spinal neuropathy.  </w:t>
      </w:r>
      <w:r w:rsidR="006905CD" w:rsidRPr="006905CD">
        <w:rPr>
          <w:rFonts w:cs="Times New Roman"/>
          <w:color w:val="auto"/>
        </w:rPr>
        <w:t xml:space="preserve">That said, however, the Board (by </w:t>
      </w:r>
      <w:r w:rsidR="006905CD">
        <w:rPr>
          <w:rFonts w:cs="Times New Roman"/>
          <w:color w:val="auto"/>
        </w:rPr>
        <w:t>firm</w:t>
      </w:r>
      <w:r w:rsidR="006905CD" w:rsidRPr="006905CD">
        <w:rPr>
          <w:rFonts w:cs="Times New Roman"/>
          <w:color w:val="auto"/>
        </w:rPr>
        <w:t xml:space="preserve"> precedence</w:t>
      </w:r>
      <w:r w:rsidR="006905CD">
        <w:rPr>
          <w:rFonts w:cs="Times New Roman"/>
          <w:color w:val="auto"/>
        </w:rPr>
        <w:t xml:space="preserve"> and prior legal opinion</w:t>
      </w:r>
      <w:r w:rsidR="006905CD" w:rsidRPr="006905CD">
        <w:rPr>
          <w:rFonts w:cs="Times New Roman"/>
          <w:color w:val="auto"/>
        </w:rPr>
        <w:t xml:space="preserve">) </w:t>
      </w:r>
      <w:r w:rsidR="006905CD">
        <w:rPr>
          <w:rFonts w:cs="Times New Roman"/>
          <w:color w:val="auto"/>
        </w:rPr>
        <w:t>does not exercise</w:t>
      </w:r>
      <w:r w:rsidR="006905CD" w:rsidRPr="006905CD">
        <w:rPr>
          <w:rFonts w:cs="Times New Roman"/>
          <w:color w:val="auto"/>
        </w:rPr>
        <w:t xml:space="preserve"> the latitude </w:t>
      </w:r>
      <w:r w:rsidR="006905CD">
        <w:rPr>
          <w:rFonts w:cs="Times New Roman"/>
          <w:color w:val="auto"/>
        </w:rPr>
        <w:t>of making</w:t>
      </w:r>
      <w:r w:rsidR="006905CD" w:rsidRPr="006905CD">
        <w:rPr>
          <w:rFonts w:cs="Times New Roman"/>
          <w:color w:val="auto"/>
        </w:rPr>
        <w:t xml:space="preserve"> unfavorable recommendations countering a PEB determination </w:t>
      </w:r>
      <w:r w:rsidR="006905CD">
        <w:rPr>
          <w:rFonts w:cs="Times New Roman"/>
          <w:color w:val="auto"/>
        </w:rPr>
        <w:t>that a condition was s</w:t>
      </w:r>
      <w:r w:rsidR="00396572">
        <w:rPr>
          <w:rFonts w:cs="Times New Roman"/>
          <w:color w:val="auto"/>
        </w:rPr>
        <w:t>eparately unfitting</w:t>
      </w:r>
      <w:r w:rsidR="006905CD" w:rsidRPr="006905CD">
        <w:rPr>
          <w:rFonts w:cs="Times New Roman"/>
          <w:color w:val="auto"/>
        </w:rPr>
        <w:t xml:space="preserve">.  </w:t>
      </w:r>
      <w:r w:rsidR="006905CD">
        <w:rPr>
          <w:rFonts w:cs="Times New Roman"/>
          <w:color w:val="auto"/>
        </w:rPr>
        <w:t xml:space="preserve">Having so conceded the sciatic neuropathy as separately ratable, </w:t>
      </w:r>
      <w:r w:rsidR="00396572">
        <w:rPr>
          <w:rFonts w:cs="Times New Roman"/>
          <w:color w:val="auto"/>
        </w:rPr>
        <w:t xml:space="preserve">however, no member could conclude that a compensable rating was supported IAW the applicable VASRD stipulations.  The §4.71a spine formula specifically subsumes pain, i.e., “with </w:t>
      </w:r>
      <w:r w:rsidR="00396572" w:rsidRPr="00396572">
        <w:rPr>
          <w:rFonts w:cs="Times New Roman"/>
          <w:color w:val="auto"/>
        </w:rPr>
        <w:t>or without symptoms such as pa</w:t>
      </w:r>
      <w:r w:rsidR="00396572">
        <w:rPr>
          <w:rFonts w:cs="Times New Roman"/>
          <w:color w:val="auto"/>
        </w:rPr>
        <w:t>in (whether or not it radiates)</w:t>
      </w:r>
      <w:r w:rsidR="007C5B18">
        <w:rPr>
          <w:rFonts w:cs="Times New Roman"/>
          <w:color w:val="auto"/>
        </w:rPr>
        <w:t>;</w:t>
      </w:r>
      <w:r w:rsidR="00396572">
        <w:rPr>
          <w:rFonts w:cs="Times New Roman"/>
          <w:color w:val="auto"/>
        </w:rPr>
        <w:t>”</w:t>
      </w:r>
      <w:r w:rsidR="00D170DF">
        <w:rPr>
          <w:rFonts w:cs="Times New Roman"/>
          <w:color w:val="auto"/>
        </w:rPr>
        <w:t xml:space="preserve"> and, the evidence is quite conclusive that there was no motor, sensory, or other functional disability associated with the equivocal sciatic radiculopathy which would support a compensable rating.  </w:t>
      </w:r>
      <w:r w:rsidR="00E00A2C">
        <w:rPr>
          <w:rFonts w:cs="Times New Roman"/>
          <w:color w:val="auto"/>
        </w:rPr>
        <w:t xml:space="preserve">VASRD §4.123 (neuritis) and the §4.124a rating schedule for peripheral nerves specifically provide for the rating of sensory loss and </w:t>
      </w:r>
      <w:r w:rsidR="00833BCF">
        <w:rPr>
          <w:rFonts w:cs="Times New Roman"/>
          <w:color w:val="auto"/>
        </w:rPr>
        <w:t>progressive</w:t>
      </w:r>
      <w:r w:rsidR="00E00A2C">
        <w:rPr>
          <w:rFonts w:cs="Times New Roman"/>
          <w:color w:val="auto"/>
        </w:rPr>
        <w:t xml:space="preserve"> degrees of incomplete paralysis; neither of which was in evidence.  In the instance of this condition, therefore, all members agreed that </w:t>
      </w:r>
      <w:r w:rsidR="00E00A2C" w:rsidRPr="00B7213F">
        <w:rPr>
          <w:color w:val="000000"/>
          <w:szCs w:val="24"/>
        </w:rPr>
        <w:t>VASRD</w:t>
      </w:r>
      <w:r w:rsidR="00E00A2C">
        <w:rPr>
          <w:color w:val="000000"/>
          <w:szCs w:val="24"/>
        </w:rPr>
        <w:t xml:space="preserve"> §4.31 (no-percent rating) did attach.  </w:t>
      </w:r>
      <w:r w:rsidR="00833BCF" w:rsidRPr="00626902">
        <w:rPr>
          <w:rFonts w:eastAsia="Calibri" w:cs="Times New Roman"/>
          <w:color w:val="auto"/>
          <w:szCs w:val="24"/>
        </w:rPr>
        <w:t>After due deliberation, considering all of the evidence and mindful of VASRD §4.3 (reasonable doubt), the Board</w:t>
      </w:r>
      <w:r w:rsidR="00833BCF">
        <w:rPr>
          <w:rFonts w:eastAsia="Calibri" w:cs="Times New Roman"/>
          <w:color w:val="auto"/>
          <w:szCs w:val="24"/>
        </w:rPr>
        <w:t xml:space="preserve"> therefore concedes sciatic neuritis as a separately unfitting condition; but, recommends that it be rated 0% under code 8620.</w:t>
      </w:r>
    </w:p>
    <w:p w:rsidR="000E6DB2" w:rsidRDefault="000E6DB2" w:rsidP="000E6DB2">
      <w:pPr>
        <w:jc w:val="both"/>
        <w:rPr>
          <w:color w:val="000000"/>
          <w:u w:val="single"/>
        </w:rPr>
      </w:pPr>
    </w:p>
    <w:p w:rsidR="005D655C" w:rsidRDefault="000E6DB2" w:rsidP="000E6DB2">
      <w:pPr>
        <w:jc w:val="both"/>
        <w:rPr>
          <w:color w:val="000000"/>
        </w:rPr>
      </w:pPr>
      <w:proofErr w:type="gramStart"/>
      <w:r>
        <w:rPr>
          <w:color w:val="000000"/>
          <w:u w:val="single"/>
        </w:rPr>
        <w:t>Bilateral Knee Condition</w:t>
      </w:r>
      <w:r w:rsidRPr="009A7578">
        <w:rPr>
          <w:color w:val="000000"/>
        </w:rPr>
        <w:t>.</w:t>
      </w:r>
      <w:proofErr w:type="gramEnd"/>
      <w:r w:rsidRPr="009A7578">
        <w:rPr>
          <w:color w:val="000000"/>
        </w:rPr>
        <w:t xml:space="preserve"> </w:t>
      </w:r>
      <w:r>
        <w:rPr>
          <w:color w:val="000000"/>
        </w:rPr>
        <w:t xml:space="preserve"> </w:t>
      </w:r>
      <w:r w:rsidR="005D655C">
        <w:rPr>
          <w:color w:val="000000"/>
        </w:rPr>
        <w:t>The CI experienced an onset of bilateral knee pain in AIT which was diagnosed as PFS (</w:t>
      </w:r>
      <w:r w:rsidR="00FD730E">
        <w:rPr>
          <w:color w:val="000000"/>
        </w:rPr>
        <w:t xml:space="preserve">no </w:t>
      </w:r>
      <w:r w:rsidR="005D655C">
        <w:rPr>
          <w:color w:val="000000"/>
        </w:rPr>
        <w:t>surgical</w:t>
      </w:r>
      <w:r w:rsidR="00FD730E">
        <w:rPr>
          <w:color w:val="000000"/>
        </w:rPr>
        <w:t xml:space="preserve"> indications</w:t>
      </w:r>
      <w:r w:rsidR="005D655C">
        <w:rPr>
          <w:color w:val="000000"/>
        </w:rPr>
        <w:t xml:space="preserve">), and was treated </w:t>
      </w:r>
      <w:r w:rsidR="00FF54CC">
        <w:rPr>
          <w:color w:val="000000"/>
        </w:rPr>
        <w:t xml:space="preserve">conservatively </w:t>
      </w:r>
      <w:r w:rsidR="005D655C">
        <w:rPr>
          <w:color w:val="000000"/>
        </w:rPr>
        <w:t xml:space="preserve">with physical therapy (PT) and </w:t>
      </w:r>
      <w:r w:rsidR="00FF54CC">
        <w:rPr>
          <w:color w:val="000000"/>
        </w:rPr>
        <w:t>a temporary</w:t>
      </w:r>
      <w:r w:rsidR="00FF54CC" w:rsidRPr="00FF54CC">
        <w:rPr>
          <w:color w:val="000000"/>
        </w:rPr>
        <w:t xml:space="preserve"> </w:t>
      </w:r>
      <w:r w:rsidR="00FF54CC">
        <w:rPr>
          <w:color w:val="000000"/>
        </w:rPr>
        <w:t>profile</w:t>
      </w:r>
      <w:r w:rsidR="005D655C">
        <w:rPr>
          <w:color w:val="000000"/>
        </w:rPr>
        <w:t xml:space="preserve">.  </w:t>
      </w:r>
      <w:r w:rsidR="00067105">
        <w:rPr>
          <w:color w:val="000000"/>
        </w:rPr>
        <w:t xml:space="preserve">Treatment notes document continued complaints of bilateral </w:t>
      </w:r>
      <w:r w:rsidR="00067105">
        <w:rPr>
          <w:color w:val="000000"/>
        </w:rPr>
        <w:lastRenderedPageBreak/>
        <w:t xml:space="preserve">knee pain, predominantly on the right.  </w:t>
      </w:r>
      <w:r w:rsidR="00D74E69">
        <w:rPr>
          <w:color w:val="000000"/>
        </w:rPr>
        <w:t xml:space="preserve">Bilateral </w:t>
      </w:r>
      <w:r w:rsidR="00FF54CC">
        <w:rPr>
          <w:color w:val="000000"/>
        </w:rPr>
        <w:t>MRI’s noted “trivial” effusion on the left, but there was no</w:t>
      </w:r>
      <w:r w:rsidR="00FC5C20">
        <w:rPr>
          <w:color w:val="000000"/>
        </w:rPr>
        <w:t xml:space="preserve"> </w:t>
      </w:r>
      <w:r w:rsidR="00D74E69">
        <w:rPr>
          <w:color w:val="000000"/>
        </w:rPr>
        <w:t xml:space="preserve">internal derangement or </w:t>
      </w:r>
      <w:r w:rsidR="00FF54CC">
        <w:rPr>
          <w:color w:val="000000"/>
        </w:rPr>
        <w:t>significant abnormality identified for either knee</w:t>
      </w:r>
      <w:r w:rsidR="00D74E69">
        <w:rPr>
          <w:color w:val="000000"/>
        </w:rPr>
        <w:t xml:space="preserve">.  In December 2007 orthopedics issued a permanent profile and recommended a MEB.  </w:t>
      </w:r>
      <w:r w:rsidR="00EC12FC">
        <w:rPr>
          <w:color w:val="000000"/>
        </w:rPr>
        <w:t xml:space="preserve">A </w:t>
      </w:r>
      <w:proofErr w:type="spellStart"/>
      <w:r w:rsidR="007C5B18">
        <w:rPr>
          <w:color w:val="000000"/>
        </w:rPr>
        <w:t>p</w:t>
      </w:r>
      <w:r w:rsidR="00EC12FC">
        <w:rPr>
          <w:color w:val="000000"/>
        </w:rPr>
        <w:t>hysiatry</w:t>
      </w:r>
      <w:proofErr w:type="spellEnd"/>
      <w:r w:rsidR="00EC12FC">
        <w:rPr>
          <w:color w:val="000000"/>
        </w:rPr>
        <w:t>/</w:t>
      </w:r>
      <w:r w:rsidR="007C5B18">
        <w:rPr>
          <w:color w:val="000000"/>
        </w:rPr>
        <w:t>r</w:t>
      </w:r>
      <w:r w:rsidR="00EC12FC">
        <w:rPr>
          <w:color w:val="000000"/>
        </w:rPr>
        <w:t>ehabilitation consult of January 2008 noted that “objective findings do not correlate with the severity of reported symptoms</w:t>
      </w:r>
      <w:r w:rsidR="00B91BC1">
        <w:rPr>
          <w:color w:val="000000"/>
        </w:rPr>
        <w:t>,”</w:t>
      </w:r>
      <w:r w:rsidR="00EC12FC">
        <w:rPr>
          <w:color w:val="000000"/>
        </w:rPr>
        <w:t xml:space="preserve"> and suggested psychological evaluation.  No follow-up in that vein is in evidence.  </w:t>
      </w:r>
      <w:r w:rsidR="00D74E69">
        <w:rPr>
          <w:color w:val="000000"/>
        </w:rPr>
        <w:t>Th</w:t>
      </w:r>
      <w:r w:rsidR="008C29AA">
        <w:rPr>
          <w:color w:val="000000"/>
        </w:rPr>
        <w:t>e NARSUM noted persistent pain (</w:t>
      </w:r>
      <w:r w:rsidR="00D74E69">
        <w:rPr>
          <w:color w:val="000000"/>
        </w:rPr>
        <w:t xml:space="preserve">right </w:t>
      </w:r>
      <w:r w:rsidR="008C29AA">
        <w:rPr>
          <w:color w:val="000000"/>
        </w:rPr>
        <w:t>&gt; left)</w:t>
      </w:r>
      <w:r w:rsidR="00D74E69">
        <w:rPr>
          <w:color w:val="000000"/>
        </w:rPr>
        <w:t xml:space="preserve"> aggravated by prolonged standing, crouching and kneeling.  The NARSUM did not provide a physical exam of the knees, but </w:t>
      </w:r>
      <w:r w:rsidR="008A0A4B">
        <w:rPr>
          <w:color w:val="000000"/>
        </w:rPr>
        <w:t>the MEB orthopedic consultant</w:t>
      </w:r>
      <w:r w:rsidR="00B91BC1">
        <w:rPr>
          <w:color w:val="000000"/>
        </w:rPr>
        <w:t xml:space="preserve">, performed in </w:t>
      </w:r>
      <w:r w:rsidR="008A0A4B">
        <w:rPr>
          <w:color w:val="000000"/>
        </w:rPr>
        <w:t>December 2007</w:t>
      </w:r>
      <w:r w:rsidR="00B91BC1">
        <w:rPr>
          <w:color w:val="000000"/>
        </w:rPr>
        <w:t>,</w:t>
      </w:r>
      <w:r w:rsidR="008A0A4B">
        <w:rPr>
          <w:color w:val="000000"/>
        </w:rPr>
        <w:t xml:space="preserve"> </w:t>
      </w:r>
      <w:r w:rsidR="003447A8">
        <w:rPr>
          <w:color w:val="000000"/>
        </w:rPr>
        <w:t xml:space="preserve">documented a positive patellar grind for each knee; without effusion, ligamental laxity, or signs of cartilage impingement. </w:t>
      </w:r>
      <w:r w:rsidR="00CE3200">
        <w:rPr>
          <w:color w:val="000000"/>
        </w:rPr>
        <w:t xml:space="preserve"> </w:t>
      </w:r>
      <w:r w:rsidR="008A0A4B">
        <w:rPr>
          <w:color w:val="000000"/>
        </w:rPr>
        <w:t>Th</w:t>
      </w:r>
      <w:r w:rsidR="00067105">
        <w:rPr>
          <w:color w:val="000000"/>
        </w:rPr>
        <w:t xml:space="preserve">at note specifically documented the presence of painful motion for the right knee and the absence of same for the left knee.  </w:t>
      </w:r>
      <w:r w:rsidR="003447A8">
        <w:rPr>
          <w:color w:val="000000"/>
        </w:rPr>
        <w:t xml:space="preserve">The MEB’s ROM measurements by PT recorded flexion of 130⁰ </w:t>
      </w:r>
      <w:r w:rsidR="003447A8">
        <w:rPr>
          <w:color w:val="000000"/>
          <w:szCs w:val="24"/>
        </w:rPr>
        <w:t>(normal 140</w:t>
      </w:r>
      <w:r w:rsidR="003447A8" w:rsidRPr="0087277D">
        <w:rPr>
          <w:color w:val="000000"/>
          <w:szCs w:val="24"/>
        </w:rPr>
        <w:t xml:space="preserve">⁰; minimal compensable </w:t>
      </w:r>
      <w:r w:rsidR="003447A8">
        <w:rPr>
          <w:color w:val="000000"/>
          <w:szCs w:val="24"/>
        </w:rPr>
        <w:t>45</w:t>
      </w:r>
      <w:r w:rsidR="003447A8" w:rsidRPr="0087277D">
        <w:rPr>
          <w:color w:val="000000"/>
          <w:szCs w:val="24"/>
        </w:rPr>
        <w:t>⁰)</w:t>
      </w:r>
      <w:r w:rsidR="003447A8">
        <w:rPr>
          <w:color w:val="000000"/>
          <w:szCs w:val="24"/>
        </w:rPr>
        <w:t xml:space="preserve"> and normal extension for each knee.  </w:t>
      </w:r>
      <w:r w:rsidR="008A0A4B">
        <w:rPr>
          <w:color w:val="000000"/>
          <w:szCs w:val="24"/>
        </w:rPr>
        <w:t xml:space="preserve">The </w:t>
      </w:r>
      <w:r w:rsidR="00067105">
        <w:rPr>
          <w:color w:val="000000"/>
          <w:szCs w:val="24"/>
        </w:rPr>
        <w:t>physical therapist</w:t>
      </w:r>
      <w:r w:rsidR="008A0A4B">
        <w:rPr>
          <w:color w:val="000000"/>
          <w:szCs w:val="24"/>
        </w:rPr>
        <w:t xml:space="preserve"> recorded “muscle bulk</w:t>
      </w:r>
      <w:r w:rsidR="007C5B18">
        <w:rPr>
          <w:color w:val="000000"/>
          <w:szCs w:val="24"/>
        </w:rPr>
        <w:t>,</w:t>
      </w:r>
      <w:r w:rsidR="008A0A4B">
        <w:rPr>
          <w:color w:val="000000"/>
          <w:szCs w:val="24"/>
        </w:rPr>
        <w:t>” rather than pain, as the cause of the minimal limitation of flexion.</w:t>
      </w:r>
      <w:r w:rsidR="00FD730E">
        <w:rPr>
          <w:color w:val="000000"/>
          <w:szCs w:val="24"/>
        </w:rPr>
        <w:t xml:space="preserve"> </w:t>
      </w:r>
      <w:r w:rsidR="008A0A4B">
        <w:rPr>
          <w:color w:val="000000"/>
          <w:szCs w:val="24"/>
        </w:rPr>
        <w:t xml:space="preserve"> </w:t>
      </w:r>
      <w:r w:rsidR="00FD730E">
        <w:rPr>
          <w:color w:val="000000"/>
        </w:rPr>
        <w:t>The VA C&amp;P examiner</w:t>
      </w:r>
      <w:r w:rsidR="007C5B18">
        <w:rPr>
          <w:color w:val="000000"/>
        </w:rPr>
        <w:t>, after separation,</w:t>
      </w:r>
      <w:r w:rsidR="00FD730E">
        <w:rPr>
          <w:color w:val="000000"/>
        </w:rPr>
        <w:t xml:space="preserve"> recorded </w:t>
      </w:r>
      <w:r w:rsidR="00142973">
        <w:rPr>
          <w:color w:val="000000"/>
        </w:rPr>
        <w:t>the CI’s subjective complaint</w:t>
      </w:r>
      <w:r w:rsidR="00FD730E">
        <w:rPr>
          <w:color w:val="000000"/>
        </w:rPr>
        <w:t xml:space="preserve"> </w:t>
      </w:r>
      <w:r w:rsidR="00142973">
        <w:rPr>
          <w:color w:val="000000"/>
        </w:rPr>
        <w:t xml:space="preserve">of </w:t>
      </w:r>
      <w:r w:rsidR="00FD730E">
        <w:rPr>
          <w:color w:val="000000"/>
        </w:rPr>
        <w:t>b</w:t>
      </w:r>
      <w:r w:rsidR="00142973">
        <w:rPr>
          <w:color w:val="000000"/>
        </w:rPr>
        <w:t>ilateral knee pain rated 7</w:t>
      </w:r>
      <w:r w:rsidR="007C5B18">
        <w:rPr>
          <w:color w:val="000000"/>
        </w:rPr>
        <w:t xml:space="preserve"> 1/2</w:t>
      </w:r>
      <w:r w:rsidR="00142973">
        <w:rPr>
          <w:color w:val="000000"/>
        </w:rPr>
        <w:t>/10,</w:t>
      </w:r>
      <w:r w:rsidR="00FD730E">
        <w:rPr>
          <w:color w:val="000000"/>
        </w:rPr>
        <w:t xml:space="preserve"> </w:t>
      </w:r>
      <w:r w:rsidR="00142973">
        <w:rPr>
          <w:color w:val="000000"/>
        </w:rPr>
        <w:t xml:space="preserve">now </w:t>
      </w:r>
      <w:r w:rsidR="00FD730E">
        <w:rPr>
          <w:color w:val="000000"/>
        </w:rPr>
        <w:t>a</w:t>
      </w:r>
      <w:r w:rsidR="00142973">
        <w:rPr>
          <w:color w:val="000000"/>
        </w:rPr>
        <w:t xml:space="preserve">ggravated by prolonged walking and </w:t>
      </w:r>
      <w:r w:rsidR="00FD730E">
        <w:rPr>
          <w:color w:val="000000"/>
        </w:rPr>
        <w:t>sitti</w:t>
      </w:r>
      <w:r w:rsidR="00142973">
        <w:rPr>
          <w:color w:val="000000"/>
        </w:rPr>
        <w:t>ng in addition to the limitations described in the NARSUM</w:t>
      </w:r>
      <w:r w:rsidR="00FD730E">
        <w:rPr>
          <w:color w:val="000000"/>
        </w:rPr>
        <w:t>.  The VA physical exam noted only right patellar tenderness; with no effusion, laxity, or cartilage signs.  The ROM measurements were 120⁰ flexion bilaterally, “probably full flexion for this patient related to his size</w:t>
      </w:r>
      <w:r w:rsidR="007C5B18">
        <w:rPr>
          <w:color w:val="000000"/>
        </w:rPr>
        <w:t>,</w:t>
      </w:r>
      <w:r w:rsidR="00FD730E">
        <w:rPr>
          <w:color w:val="000000"/>
        </w:rPr>
        <w:t>” with “discomfort” on the left at 75⁰ and right at 90⁰.</w:t>
      </w:r>
    </w:p>
    <w:p w:rsidR="00FD730E" w:rsidRDefault="00FD730E" w:rsidP="000E6DB2">
      <w:pPr>
        <w:jc w:val="both"/>
        <w:rPr>
          <w:color w:val="000000"/>
        </w:rPr>
      </w:pPr>
    </w:p>
    <w:p w:rsidR="005452F7" w:rsidRPr="00355B26" w:rsidRDefault="000E6DB2" w:rsidP="00792790">
      <w:pPr>
        <w:jc w:val="both"/>
        <w:rPr>
          <w:rFonts w:cs="Times New Roman"/>
          <w:color w:val="auto"/>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7028E1" w:rsidRPr="007028E1">
        <w:rPr>
          <w:rFonts w:cs="Times New Roman"/>
          <w:color w:val="auto"/>
        </w:rPr>
        <w:t>IAW VASRD §4.7 (higher of two evaluations), the Board must consider separate ratings for PEB bilateral joint adjudications; although, separate fitness assessments must justify each disability rating.</w:t>
      </w:r>
      <w:r w:rsidR="007028E1">
        <w:rPr>
          <w:rFonts w:cs="Times New Roman"/>
          <w:color w:val="auto"/>
        </w:rPr>
        <w:t xml:space="preserve">  </w:t>
      </w:r>
      <w:r w:rsidR="007028E1" w:rsidRPr="007028E1">
        <w:rPr>
          <w:rFonts w:cs="Times New Roman"/>
          <w:color w:val="auto"/>
        </w:rPr>
        <w:t xml:space="preserve">In this case, both knees were considered to fail retention standards; both were implicated by the NARSUM and in the commander’s statement; and, both were profiled.  </w:t>
      </w:r>
      <w:r w:rsidR="00EC12FC">
        <w:rPr>
          <w:rFonts w:cs="Times New Roman"/>
          <w:color w:val="auto"/>
        </w:rPr>
        <w:t>Deliberation ensued</w:t>
      </w:r>
      <w:r w:rsidR="007C5B18">
        <w:rPr>
          <w:rFonts w:cs="Times New Roman"/>
          <w:color w:val="auto"/>
        </w:rPr>
        <w:t>;</w:t>
      </w:r>
      <w:r w:rsidR="00EC12FC">
        <w:rPr>
          <w:rFonts w:cs="Times New Roman"/>
          <w:color w:val="auto"/>
        </w:rPr>
        <w:t xml:space="preserve"> however, as to whether the left knee could be considered separately unfitting; given the evidence of disproportionate severity on the right.  Member consensus was </w:t>
      </w:r>
      <w:r w:rsidR="00EC12FC" w:rsidRPr="007028E1">
        <w:rPr>
          <w:rFonts w:cs="Times New Roman"/>
          <w:color w:val="auto"/>
        </w:rPr>
        <w:t>that each knee should be conceded as separately unfitting</w:t>
      </w:r>
      <w:r w:rsidR="00EC12FC">
        <w:rPr>
          <w:rFonts w:cs="Times New Roman"/>
          <w:color w:val="auto"/>
        </w:rPr>
        <w:t xml:space="preserve">, although </w:t>
      </w:r>
      <w:r w:rsidR="00FD0574">
        <w:rPr>
          <w:rFonts w:cs="Times New Roman"/>
          <w:color w:val="auto"/>
        </w:rPr>
        <w:t xml:space="preserve">it was agreed that </w:t>
      </w:r>
      <w:r w:rsidR="00EC12FC">
        <w:rPr>
          <w:rFonts w:cs="Times New Roman"/>
          <w:color w:val="auto"/>
        </w:rPr>
        <w:t xml:space="preserve">rating </w:t>
      </w:r>
      <w:r w:rsidR="005D4732">
        <w:rPr>
          <w:rFonts w:cs="Times New Roman"/>
          <w:color w:val="auto"/>
        </w:rPr>
        <w:t>criteria were not equal.  T</w:t>
      </w:r>
      <w:r w:rsidR="005D4732" w:rsidRPr="00522E95">
        <w:rPr>
          <w:rFonts w:cs="Times New Roman"/>
          <w:color w:val="auto"/>
        </w:rPr>
        <w:t xml:space="preserve">here was no </w:t>
      </w:r>
      <w:r w:rsidR="005D4732">
        <w:rPr>
          <w:rFonts w:cs="Times New Roman"/>
          <w:color w:val="auto"/>
        </w:rPr>
        <w:t xml:space="preserve">degree of </w:t>
      </w:r>
      <w:r w:rsidR="005D4732" w:rsidRPr="00522E95">
        <w:rPr>
          <w:rFonts w:cs="Times New Roman"/>
          <w:color w:val="auto"/>
        </w:rPr>
        <w:t xml:space="preserve">ROM limitation, instability, locking or effusion which would achieve a </w:t>
      </w:r>
      <w:r w:rsidR="005D4732">
        <w:rPr>
          <w:rFonts w:cs="Times New Roman"/>
          <w:color w:val="auto"/>
        </w:rPr>
        <w:t xml:space="preserve">compensable </w:t>
      </w:r>
      <w:r w:rsidR="005D4732" w:rsidRPr="00522E95">
        <w:rPr>
          <w:rFonts w:cs="Times New Roman"/>
          <w:color w:val="auto"/>
        </w:rPr>
        <w:t xml:space="preserve">rating </w:t>
      </w:r>
      <w:r w:rsidR="005D4732">
        <w:rPr>
          <w:rFonts w:cs="Times New Roman"/>
          <w:color w:val="auto"/>
        </w:rPr>
        <w:t>under the available joint codes; barring application of</w:t>
      </w:r>
      <w:r w:rsidR="005D4732" w:rsidRPr="00522E95">
        <w:rPr>
          <w:rFonts w:cs="Times New Roman"/>
          <w:color w:val="auto"/>
        </w:rPr>
        <w:t xml:space="preserve"> VASRD §4.59 (painful motion)</w:t>
      </w:r>
      <w:r w:rsidR="005D4732">
        <w:rPr>
          <w:rFonts w:cs="Times New Roman"/>
          <w:color w:val="auto"/>
        </w:rPr>
        <w:t xml:space="preserve"> or §4.40</w:t>
      </w:r>
      <w:r w:rsidR="005D4732" w:rsidRPr="00522E95">
        <w:rPr>
          <w:rFonts w:cs="Times New Roman"/>
          <w:color w:val="auto"/>
        </w:rPr>
        <w:t xml:space="preserve"> (functional loss)</w:t>
      </w:r>
      <w:r w:rsidR="005D4732">
        <w:rPr>
          <w:rFonts w:cs="Times New Roman"/>
          <w:color w:val="auto"/>
        </w:rPr>
        <w:t xml:space="preserve"> to achieve the minimum compensable rating of 10%.  </w:t>
      </w:r>
      <w:r w:rsidR="00AC37DA">
        <w:rPr>
          <w:rFonts w:cs="Times New Roman"/>
          <w:color w:val="auto"/>
        </w:rPr>
        <w:t>Although the orthopedic evaluation referenced above (of considerable probative weight) provided confirmation for painful motion of the right knee</w:t>
      </w:r>
      <w:r w:rsidR="00697C9A">
        <w:rPr>
          <w:rFonts w:cs="Times New Roman"/>
          <w:color w:val="auto"/>
        </w:rPr>
        <w:t>, it was specifically excluded for the left knee.  The PT ROM evidence excluded painful motion as contributory for either knee.  The §4.40 stipulation for pain “supported by adequate pathology and evidenced by the visible behavior of the claimant” was not in evidence; and, its stipulation that “a part which becomes painful on use must be regarded as seriously disabled</w:t>
      </w:r>
      <w:r w:rsidR="00C4251E">
        <w:rPr>
          <w:rFonts w:cs="Times New Roman"/>
          <w:color w:val="auto"/>
        </w:rPr>
        <w:t>” is dubiously applicable to at least the left knee in this case.  Only more demanding physical tasks were limited by pain, and even this was logically disproportionately in favor of a right knee rating.  The VA examiner</w:t>
      </w:r>
      <w:r w:rsidR="00B91BC1">
        <w:rPr>
          <w:rFonts w:cs="Times New Roman"/>
          <w:color w:val="auto"/>
        </w:rPr>
        <w:t>, after separation,</w:t>
      </w:r>
      <w:r w:rsidR="00C4251E">
        <w:rPr>
          <w:rFonts w:cs="Times New Roman"/>
          <w:color w:val="auto"/>
        </w:rPr>
        <w:t xml:space="preserve"> documented “discomfort” as a substitute for pain on motion and described more significant physical limitations, which was the rationale for separate compensable ratings in the VA rating decision.  Probative value concerns are relevant for the VA evidence</w:t>
      </w:r>
      <w:r w:rsidR="007C5B18">
        <w:rPr>
          <w:rFonts w:cs="Times New Roman"/>
          <w:color w:val="auto"/>
        </w:rPr>
        <w:t>;</w:t>
      </w:r>
      <w:r w:rsidR="00C4251E">
        <w:rPr>
          <w:rFonts w:cs="Times New Roman"/>
          <w:color w:val="auto"/>
        </w:rPr>
        <w:t xml:space="preserve"> however, since </w:t>
      </w:r>
      <w:r w:rsidR="00355B26">
        <w:rPr>
          <w:rFonts w:cs="Times New Roman"/>
          <w:color w:val="auto"/>
        </w:rPr>
        <w:t xml:space="preserve">VA rating exams are vulnerable to secondary gain bias; and, speculation regarding a psychogenic contribution was raised during the MEB evaluation.  </w:t>
      </w:r>
      <w:r w:rsidR="00785F52">
        <w:rPr>
          <w:rFonts w:cs="Times New Roman"/>
          <w:color w:val="auto"/>
        </w:rPr>
        <w:t xml:space="preserve">After due deliberation, members agreed that the </w:t>
      </w:r>
      <w:r w:rsidR="00355B26">
        <w:rPr>
          <w:rFonts w:cs="Times New Roman"/>
          <w:color w:val="auto"/>
        </w:rPr>
        <w:t xml:space="preserve">preponderance of the evidence (reasonable doubt considered) supported the minimum compensable rating of 10% for the right knee; but, that IAW VASRD §4.31 no compensable rating was supported for the left knee.  </w:t>
      </w:r>
      <w:r w:rsidR="00534076" w:rsidRPr="00534076">
        <w:rPr>
          <w:color w:val="000000"/>
          <w:szCs w:val="24"/>
        </w:rPr>
        <w:t xml:space="preserve">The </w:t>
      </w:r>
      <w:r w:rsidR="00B91BC1">
        <w:rPr>
          <w:color w:val="000000"/>
          <w:szCs w:val="24"/>
        </w:rPr>
        <w:t>a</w:t>
      </w:r>
      <w:r w:rsidR="00534076" w:rsidRPr="00534076">
        <w:rPr>
          <w:color w:val="000000"/>
          <w:szCs w:val="24"/>
        </w:rPr>
        <w:t xml:space="preserve">ction </w:t>
      </w:r>
      <w:r w:rsidR="00B91BC1">
        <w:rPr>
          <w:color w:val="000000"/>
          <w:szCs w:val="24"/>
        </w:rPr>
        <w:t>o</w:t>
      </w:r>
      <w:r w:rsidR="00534076" w:rsidRPr="00534076">
        <w:rPr>
          <w:color w:val="000000"/>
          <w:szCs w:val="24"/>
        </w:rPr>
        <w:t xml:space="preserve">fficer recommended, and the Board concurred with, the code 5099-5024 (tenosynovitis) </w:t>
      </w:r>
      <w:r w:rsidR="00355B26">
        <w:rPr>
          <w:color w:val="000000"/>
          <w:szCs w:val="24"/>
        </w:rPr>
        <w:t xml:space="preserve">for each knee, based on </w:t>
      </w:r>
      <w:r w:rsidR="00534076" w:rsidRPr="00534076">
        <w:rPr>
          <w:color w:val="000000"/>
          <w:szCs w:val="24"/>
        </w:rPr>
        <w:t>its clinical</w:t>
      </w:r>
      <w:r w:rsidR="00534076">
        <w:rPr>
          <w:color w:val="000000"/>
          <w:szCs w:val="24"/>
        </w:rPr>
        <w:t xml:space="preserve"> compatibility.</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C3C9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record or PEB ruling in </w:t>
      </w:r>
      <w:r w:rsidRPr="00CE3200">
        <w:rPr>
          <w:rFonts w:cs="Times New Roman"/>
          <w:color w:val="auto"/>
        </w:rPr>
        <w:t>this case that any prerogatives outside the VASRD were exercised.</w:t>
      </w:r>
      <w:r w:rsidR="008734E7" w:rsidRPr="00CE3200">
        <w:rPr>
          <w:rFonts w:cs="Times New Roman"/>
          <w:color w:val="auto"/>
        </w:rPr>
        <w:t xml:space="preserve"> </w:t>
      </w:r>
      <w:r w:rsidRPr="00CE3200">
        <w:rPr>
          <w:rFonts w:cs="Times New Roman"/>
          <w:color w:val="auto"/>
        </w:rPr>
        <w:t xml:space="preserve"> </w:t>
      </w:r>
      <w:r w:rsidR="00534076" w:rsidRPr="00CE3200">
        <w:rPr>
          <w:rFonts w:eastAsia="Calibri" w:cs="Times New Roman"/>
          <w:color w:val="auto"/>
          <w:szCs w:val="24"/>
        </w:rPr>
        <w:t xml:space="preserve">In the matter of the </w:t>
      </w:r>
      <w:r w:rsidR="00B249CD" w:rsidRPr="00CE3200">
        <w:rPr>
          <w:rFonts w:eastAsia="Calibri" w:cs="Times New Roman"/>
          <w:color w:val="auto"/>
          <w:szCs w:val="24"/>
        </w:rPr>
        <w:t>lumbar disk</w:t>
      </w:r>
      <w:r w:rsidR="00534076" w:rsidRPr="00CE3200">
        <w:rPr>
          <w:rFonts w:eastAsia="Calibri" w:cs="Times New Roman"/>
          <w:color w:val="auto"/>
          <w:szCs w:val="24"/>
        </w:rPr>
        <w:t xml:space="preserve"> condition and IAW VASRD §4.71a, the Board unanimously recommends no change in the PEB adjudication.  </w:t>
      </w:r>
      <w:r w:rsidR="00C60683" w:rsidRPr="00241B01">
        <w:rPr>
          <w:rFonts w:eastAsia="Calibri" w:cs="Times New Roman"/>
          <w:color w:val="auto"/>
          <w:szCs w:val="24"/>
        </w:rPr>
        <w:t xml:space="preserve">In the matter of the </w:t>
      </w:r>
      <w:r w:rsidR="00C60683" w:rsidRPr="00CE3200">
        <w:rPr>
          <w:rFonts w:eastAsia="Calibri" w:cs="Times New Roman"/>
          <w:color w:val="auto"/>
          <w:szCs w:val="24"/>
        </w:rPr>
        <w:t xml:space="preserve">left sciatic neuritis </w:t>
      </w:r>
      <w:r w:rsidR="00C60683" w:rsidRPr="00241B01">
        <w:rPr>
          <w:rFonts w:eastAsia="Calibri" w:cs="Times New Roman"/>
          <w:color w:val="auto"/>
          <w:szCs w:val="24"/>
        </w:rPr>
        <w:t xml:space="preserve">condition, the </w:t>
      </w:r>
      <w:r w:rsidR="00C60683" w:rsidRPr="00C60683">
        <w:rPr>
          <w:rFonts w:eastAsia="Calibri" w:cs="Times New Roman"/>
          <w:color w:val="auto"/>
          <w:szCs w:val="24"/>
        </w:rPr>
        <w:t>Board unanimously recommends</w:t>
      </w:r>
      <w:r w:rsidR="00C60683" w:rsidRPr="00241B01">
        <w:rPr>
          <w:rFonts w:eastAsia="Calibri" w:cs="Times New Roman"/>
          <w:color w:val="auto"/>
          <w:szCs w:val="24"/>
        </w:rPr>
        <w:t xml:space="preserve"> a disability rating of 0%, coded </w:t>
      </w:r>
      <w:r w:rsidR="006E1739">
        <w:rPr>
          <w:rFonts w:eastAsia="Calibri" w:cs="Times New Roman"/>
          <w:color w:val="auto"/>
          <w:szCs w:val="24"/>
        </w:rPr>
        <w:t>5243-</w:t>
      </w:r>
      <w:r w:rsidR="00C60683">
        <w:rPr>
          <w:rFonts w:eastAsia="Calibri" w:cs="Times New Roman"/>
          <w:color w:val="auto"/>
          <w:szCs w:val="24"/>
        </w:rPr>
        <w:t>8620,</w:t>
      </w:r>
      <w:r w:rsidR="00C60683" w:rsidRPr="00241B01">
        <w:rPr>
          <w:rFonts w:eastAsia="Calibri" w:cs="Times New Roman"/>
          <w:color w:val="auto"/>
          <w:szCs w:val="24"/>
        </w:rPr>
        <w:t xml:space="preserve"> IAW VASRD </w:t>
      </w:r>
      <w:r w:rsidR="00C60683" w:rsidRPr="00CE3200">
        <w:rPr>
          <w:rFonts w:eastAsia="Calibri" w:cs="Times New Roman"/>
          <w:color w:val="auto"/>
          <w:szCs w:val="24"/>
        </w:rPr>
        <w:t>§4.124a</w:t>
      </w:r>
      <w:r w:rsidR="00C60683" w:rsidRPr="00241B01">
        <w:rPr>
          <w:rFonts w:eastAsia="Calibri" w:cs="Times New Roman"/>
          <w:color w:val="auto"/>
          <w:szCs w:val="24"/>
        </w:rPr>
        <w:t>.</w:t>
      </w:r>
      <w:r w:rsidR="00C60683">
        <w:rPr>
          <w:rFonts w:eastAsia="Calibri" w:cs="Times New Roman"/>
          <w:color w:val="auto"/>
          <w:szCs w:val="24"/>
        </w:rPr>
        <w:t xml:space="preserve">  </w:t>
      </w:r>
      <w:r w:rsidR="00B249CD" w:rsidRPr="00CE3200">
        <w:rPr>
          <w:rFonts w:eastAsia="Calibri" w:cs="Times New Roman"/>
          <w:color w:val="auto"/>
          <w:szCs w:val="24"/>
        </w:rPr>
        <w:t xml:space="preserve">In the matter of the bilateral knee condition, the Board </w:t>
      </w:r>
      <w:r w:rsidR="00E21CB9" w:rsidRPr="006C3C98">
        <w:rPr>
          <w:rFonts w:eastAsia="Calibri" w:cs="Times New Roman"/>
          <w:color w:val="auto"/>
          <w:szCs w:val="24"/>
        </w:rPr>
        <w:t xml:space="preserve">by a vote of 2:1 </w:t>
      </w:r>
      <w:r w:rsidR="00B249CD" w:rsidRPr="00CE3200">
        <w:rPr>
          <w:rFonts w:eastAsia="Calibri" w:cs="Times New Roman"/>
          <w:color w:val="auto"/>
          <w:szCs w:val="24"/>
        </w:rPr>
        <w:t xml:space="preserve">recommends that each joint be </w:t>
      </w:r>
      <w:r w:rsidR="00E21CB9" w:rsidRPr="00CE3200">
        <w:rPr>
          <w:rFonts w:eastAsia="Calibri" w:cs="Times New Roman"/>
          <w:color w:val="auto"/>
          <w:szCs w:val="24"/>
        </w:rPr>
        <w:t xml:space="preserve">rated </w:t>
      </w:r>
      <w:r w:rsidR="00E21CB9">
        <w:rPr>
          <w:rFonts w:eastAsia="Calibri" w:cs="Times New Roman"/>
          <w:color w:val="auto"/>
          <w:szCs w:val="24"/>
        </w:rPr>
        <w:t xml:space="preserve">as </w:t>
      </w:r>
      <w:r w:rsidR="00B249CD" w:rsidRPr="00CE3200">
        <w:rPr>
          <w:rFonts w:eastAsia="Calibri" w:cs="Times New Roman"/>
          <w:color w:val="auto"/>
          <w:szCs w:val="24"/>
        </w:rPr>
        <w:t xml:space="preserve">separately </w:t>
      </w:r>
      <w:r w:rsidR="00E21CB9">
        <w:rPr>
          <w:rFonts w:eastAsia="Calibri" w:cs="Times New Roman"/>
          <w:color w:val="auto"/>
          <w:szCs w:val="24"/>
        </w:rPr>
        <w:t xml:space="preserve">unfitting; the right knee with a disability rating of 10%, and the left knee with a </w:t>
      </w:r>
      <w:r w:rsidR="00D27FC1">
        <w:rPr>
          <w:rFonts w:eastAsia="Calibri" w:cs="Times New Roman"/>
          <w:color w:val="auto"/>
          <w:szCs w:val="24"/>
        </w:rPr>
        <w:t>disability rating of 0%;</w:t>
      </w:r>
      <w:r w:rsidR="00E21CB9">
        <w:rPr>
          <w:rFonts w:eastAsia="Calibri" w:cs="Times New Roman"/>
          <w:color w:val="auto"/>
          <w:szCs w:val="24"/>
        </w:rPr>
        <w:t xml:space="preserve"> each</w:t>
      </w:r>
      <w:r w:rsidR="000839C2">
        <w:rPr>
          <w:rFonts w:eastAsia="Calibri" w:cs="Times New Roman"/>
          <w:color w:val="auto"/>
          <w:szCs w:val="24"/>
        </w:rPr>
        <w:t xml:space="preserve"> </w:t>
      </w:r>
      <w:r w:rsidR="00B249CD" w:rsidRPr="00CE3200">
        <w:rPr>
          <w:rFonts w:eastAsia="Calibri" w:cs="Times New Roman"/>
          <w:color w:val="auto"/>
          <w:szCs w:val="24"/>
        </w:rPr>
        <w:t xml:space="preserve">coded </w:t>
      </w:r>
      <w:r w:rsidR="00B249CD" w:rsidRPr="00CE3200">
        <w:rPr>
          <w:color w:val="000000"/>
          <w:szCs w:val="24"/>
        </w:rPr>
        <w:t>5099-</w:t>
      </w:r>
      <w:r w:rsidR="00B249CD" w:rsidRPr="00534076">
        <w:rPr>
          <w:color w:val="000000"/>
          <w:szCs w:val="24"/>
        </w:rPr>
        <w:t>5024</w:t>
      </w:r>
      <w:r w:rsidR="00E21CB9">
        <w:rPr>
          <w:color w:val="000000"/>
          <w:szCs w:val="24"/>
        </w:rPr>
        <w:t xml:space="preserve"> and IAW VASRD §4.71a</w:t>
      </w:r>
      <w:r w:rsidR="00B249CD" w:rsidRPr="00B249CD">
        <w:rPr>
          <w:rFonts w:eastAsia="Calibri" w:cs="Times New Roman"/>
          <w:color w:val="auto"/>
          <w:szCs w:val="24"/>
        </w:rPr>
        <w:t xml:space="preserve">. </w:t>
      </w:r>
      <w:r w:rsidR="00B249CD">
        <w:rPr>
          <w:rFonts w:eastAsia="Calibri" w:cs="Times New Roman"/>
          <w:color w:val="auto"/>
          <w:szCs w:val="24"/>
        </w:rPr>
        <w:t xml:space="preserve"> </w:t>
      </w:r>
      <w:r w:rsidR="00E21CB9" w:rsidRPr="006C3C98">
        <w:rPr>
          <w:rFonts w:eastAsia="Calibri" w:cs="Times New Roman"/>
          <w:color w:val="auto"/>
          <w:szCs w:val="24"/>
        </w:rPr>
        <w:t xml:space="preserve">The single voter for dissent (who </w:t>
      </w:r>
      <w:r w:rsidR="00E21CB9">
        <w:rPr>
          <w:rFonts w:eastAsia="Calibri" w:cs="Times New Roman"/>
          <w:color w:val="auto"/>
          <w:szCs w:val="24"/>
        </w:rPr>
        <w:t>did not agree that the left knee was separately unfitting</w:t>
      </w:r>
      <w:r w:rsidR="00E21CB9" w:rsidRPr="006C3C98">
        <w:rPr>
          <w:rFonts w:eastAsia="Calibri" w:cs="Times New Roman"/>
          <w:color w:val="auto"/>
          <w:szCs w:val="24"/>
        </w:rPr>
        <w:t xml:space="preserve">) did not elect to submit a minority opinion. </w:t>
      </w:r>
      <w:r w:rsidR="00E21CB9">
        <w:rPr>
          <w:rFonts w:eastAsia="Calibri" w:cs="Times New Roman"/>
          <w:color w:val="auto"/>
          <w:szCs w:val="24"/>
        </w:rPr>
        <w:t xml:space="preserve"> </w:t>
      </w:r>
      <w:r w:rsidR="00B249CD"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D27FC1" w:rsidRDefault="00D27FC1" w:rsidP="00B249CD">
      <w:pPr>
        <w:jc w:val="left"/>
        <w:rPr>
          <w:color w:val="000000"/>
          <w:u w:val="single"/>
        </w:rPr>
      </w:pPr>
    </w:p>
    <w:p w:rsidR="00565636" w:rsidRPr="00D27FC1" w:rsidRDefault="00AD2379" w:rsidP="00D27FC1">
      <w:pPr>
        <w:jc w:val="both"/>
        <w:rPr>
          <w:rFonts w:eastAsia="Calibri" w:cs="Times New Roman"/>
          <w:color w:val="000080"/>
          <w:szCs w:val="24"/>
        </w:rPr>
      </w:pPr>
      <w:r w:rsidRPr="009A7578">
        <w:rPr>
          <w:color w:val="000000"/>
          <w:u w:val="single"/>
        </w:rPr>
        <w:t>RECOMMENDATION</w:t>
      </w:r>
      <w:r w:rsidRPr="009A7578">
        <w:rPr>
          <w:color w:val="000000"/>
        </w:rPr>
        <w:t xml:space="preserve">: </w:t>
      </w:r>
      <w:r w:rsidR="00B249CD">
        <w:rPr>
          <w:color w:val="000000"/>
        </w:rPr>
        <w:t xml:space="preserve"> </w:t>
      </w:r>
      <w:r w:rsidR="00D27FC1" w:rsidRPr="00565636">
        <w:rPr>
          <w:rFonts w:eastAsia="Calibri" w:cs="Times New Roman"/>
          <w:color w:val="auto"/>
          <w:szCs w:val="24"/>
        </w:rPr>
        <w:t>The Board recommends that the CI’s prior determination be modified as follows, effective as of the date of his prior medical separation</w:t>
      </w:r>
      <w:r w:rsidR="00D27FC1">
        <w:rPr>
          <w:rFonts w:eastAsia="Calibri" w:cs="Times New Roman"/>
          <w:color w:val="auto"/>
          <w:szCs w:val="24"/>
        </w:rPr>
        <w:t>:</w:t>
      </w:r>
    </w:p>
    <w:p w:rsidR="00AD2379" w:rsidRDefault="00AD2379" w:rsidP="00BF0E94">
      <w:pPr>
        <w:jc w:val="both"/>
        <w:rPr>
          <w:color w:val="000000"/>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0D5DBE" w:rsidTr="003447A8">
        <w:trPr>
          <w:trHeight w:val="233"/>
        </w:trPr>
        <w:tc>
          <w:tcPr>
            <w:tcW w:w="6768" w:type="dxa"/>
            <w:gridSpan w:val="2"/>
            <w:tcBorders>
              <w:righ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UNFITTING CONDITION</w:t>
            </w:r>
          </w:p>
        </w:tc>
        <w:tc>
          <w:tcPr>
            <w:tcW w:w="1530" w:type="dxa"/>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RATING</w:t>
            </w:r>
          </w:p>
        </w:tc>
      </w:tr>
      <w:tr w:rsidR="000839C2" w:rsidRPr="000D5DBE" w:rsidTr="003447A8">
        <w:tc>
          <w:tcPr>
            <w:tcW w:w="6768" w:type="dxa"/>
            <w:gridSpan w:val="2"/>
            <w:tcBorders>
              <w:right w:val="single" w:sz="4" w:space="0" w:color="auto"/>
            </w:tcBorders>
            <w:vAlign w:val="center"/>
          </w:tcPr>
          <w:p w:rsidR="000839C2" w:rsidRPr="00B249CD" w:rsidRDefault="000839C2" w:rsidP="000839C2">
            <w:pPr>
              <w:tabs>
                <w:tab w:val="left" w:pos="288"/>
                <w:tab w:val="left" w:pos="4752"/>
              </w:tabs>
              <w:jc w:val="left"/>
              <w:rPr>
                <w:color w:val="000000"/>
              </w:rPr>
            </w:pPr>
            <w:r w:rsidRPr="00B249CD">
              <w:rPr>
                <w:color w:val="000000"/>
              </w:rPr>
              <w:t>Intervertebral Disc Syndrome</w:t>
            </w:r>
          </w:p>
        </w:tc>
        <w:tc>
          <w:tcPr>
            <w:tcW w:w="1530" w:type="dxa"/>
            <w:tcBorders>
              <w:left w:val="single" w:sz="4" w:space="0" w:color="auto"/>
            </w:tcBorders>
            <w:vAlign w:val="center"/>
          </w:tcPr>
          <w:p w:rsidR="000839C2" w:rsidRPr="00B249CD" w:rsidRDefault="000839C2" w:rsidP="000839C2">
            <w:pPr>
              <w:tabs>
                <w:tab w:val="left" w:pos="288"/>
                <w:tab w:val="left" w:pos="4752"/>
              </w:tabs>
              <w:rPr>
                <w:color w:val="000000"/>
              </w:rPr>
            </w:pPr>
            <w:r w:rsidRPr="00B249CD">
              <w:rPr>
                <w:color w:val="000000"/>
              </w:rPr>
              <w:t>5243</w:t>
            </w:r>
          </w:p>
        </w:tc>
        <w:tc>
          <w:tcPr>
            <w:tcW w:w="1026" w:type="dxa"/>
            <w:vAlign w:val="center"/>
          </w:tcPr>
          <w:p w:rsidR="000839C2" w:rsidRPr="00B249CD" w:rsidRDefault="000839C2" w:rsidP="000839C2">
            <w:pPr>
              <w:tabs>
                <w:tab w:val="left" w:pos="288"/>
                <w:tab w:val="left" w:pos="4752"/>
              </w:tabs>
              <w:rPr>
                <w:color w:val="000000"/>
              </w:rPr>
            </w:pPr>
            <w:r w:rsidRPr="00B249CD">
              <w:rPr>
                <w:color w:val="000000"/>
              </w:rPr>
              <w:t>10%</w:t>
            </w:r>
          </w:p>
        </w:tc>
      </w:tr>
      <w:tr w:rsidR="00071071" w:rsidRPr="000D5DBE" w:rsidTr="003447A8">
        <w:tc>
          <w:tcPr>
            <w:tcW w:w="6768" w:type="dxa"/>
            <w:gridSpan w:val="2"/>
            <w:tcBorders>
              <w:right w:val="single" w:sz="4" w:space="0" w:color="auto"/>
            </w:tcBorders>
            <w:vAlign w:val="center"/>
          </w:tcPr>
          <w:p w:rsidR="00071071" w:rsidRPr="000D5DBE" w:rsidRDefault="00B249CD" w:rsidP="00071071">
            <w:pPr>
              <w:tabs>
                <w:tab w:val="left" w:pos="288"/>
                <w:tab w:val="left" w:pos="4752"/>
              </w:tabs>
              <w:jc w:val="left"/>
              <w:rPr>
                <w:color w:val="000000"/>
              </w:rPr>
            </w:pPr>
            <w:r>
              <w:rPr>
                <w:color w:val="000000"/>
              </w:rPr>
              <w:t>Left Sciatic Neuritis</w:t>
            </w:r>
          </w:p>
        </w:tc>
        <w:tc>
          <w:tcPr>
            <w:tcW w:w="1530" w:type="dxa"/>
            <w:tcBorders>
              <w:left w:val="single" w:sz="4" w:space="0" w:color="auto"/>
            </w:tcBorders>
            <w:vAlign w:val="center"/>
          </w:tcPr>
          <w:p w:rsidR="00071071" w:rsidRPr="000D5DBE" w:rsidRDefault="006E1739" w:rsidP="00B249CD">
            <w:pPr>
              <w:tabs>
                <w:tab w:val="left" w:pos="288"/>
                <w:tab w:val="left" w:pos="4752"/>
              </w:tabs>
              <w:rPr>
                <w:color w:val="000000"/>
              </w:rPr>
            </w:pPr>
            <w:r>
              <w:rPr>
                <w:color w:val="000000"/>
              </w:rPr>
              <w:t>5234-</w:t>
            </w:r>
            <w:r w:rsidR="00B249CD">
              <w:rPr>
                <w:color w:val="000000"/>
              </w:rPr>
              <w:t>8620</w:t>
            </w:r>
          </w:p>
        </w:tc>
        <w:tc>
          <w:tcPr>
            <w:tcW w:w="1026" w:type="dxa"/>
            <w:vAlign w:val="center"/>
          </w:tcPr>
          <w:p w:rsidR="00071071" w:rsidRPr="000D5DBE" w:rsidRDefault="00071071" w:rsidP="00071071">
            <w:pPr>
              <w:tabs>
                <w:tab w:val="left" w:pos="288"/>
                <w:tab w:val="left" w:pos="4752"/>
              </w:tabs>
              <w:rPr>
                <w:color w:val="000000"/>
              </w:rPr>
            </w:pPr>
            <w:r w:rsidRPr="000D5DBE">
              <w:rPr>
                <w:color w:val="000000"/>
              </w:rPr>
              <w:t>0%</w:t>
            </w:r>
          </w:p>
        </w:tc>
      </w:tr>
      <w:tr w:rsidR="00B249CD" w:rsidRPr="000D5DBE" w:rsidTr="003447A8">
        <w:tc>
          <w:tcPr>
            <w:tcW w:w="6768" w:type="dxa"/>
            <w:gridSpan w:val="2"/>
            <w:tcBorders>
              <w:right w:val="single" w:sz="4" w:space="0" w:color="auto"/>
            </w:tcBorders>
            <w:vAlign w:val="center"/>
          </w:tcPr>
          <w:p w:rsidR="00B249CD" w:rsidRDefault="00B249CD" w:rsidP="000839C2">
            <w:pPr>
              <w:tabs>
                <w:tab w:val="left" w:pos="288"/>
                <w:tab w:val="left" w:pos="4752"/>
              </w:tabs>
              <w:jc w:val="left"/>
              <w:rPr>
                <w:color w:val="000000"/>
              </w:rPr>
            </w:pPr>
            <w:r>
              <w:rPr>
                <w:color w:val="000000"/>
              </w:rPr>
              <w:t xml:space="preserve">Patellofemoral Syndrome, </w:t>
            </w:r>
            <w:r w:rsidR="000839C2">
              <w:rPr>
                <w:color w:val="000000"/>
              </w:rPr>
              <w:t xml:space="preserve"> Right </w:t>
            </w:r>
            <w:r>
              <w:rPr>
                <w:color w:val="000000"/>
              </w:rPr>
              <w:t>Knee</w:t>
            </w:r>
          </w:p>
        </w:tc>
        <w:tc>
          <w:tcPr>
            <w:tcW w:w="1530" w:type="dxa"/>
            <w:tcBorders>
              <w:left w:val="single" w:sz="4" w:space="0" w:color="auto"/>
            </w:tcBorders>
            <w:vAlign w:val="center"/>
          </w:tcPr>
          <w:p w:rsidR="00B249CD" w:rsidRDefault="00B249CD" w:rsidP="00071071">
            <w:pPr>
              <w:tabs>
                <w:tab w:val="left" w:pos="288"/>
                <w:tab w:val="left" w:pos="4752"/>
              </w:tabs>
              <w:rPr>
                <w:color w:val="000000"/>
              </w:rPr>
            </w:pPr>
            <w:r w:rsidRPr="00534076">
              <w:rPr>
                <w:color w:val="000000"/>
                <w:szCs w:val="24"/>
              </w:rPr>
              <w:t>5099-5024</w:t>
            </w:r>
          </w:p>
        </w:tc>
        <w:tc>
          <w:tcPr>
            <w:tcW w:w="1026" w:type="dxa"/>
            <w:vAlign w:val="center"/>
          </w:tcPr>
          <w:p w:rsidR="00B249CD" w:rsidRDefault="00B249CD" w:rsidP="00071071">
            <w:pPr>
              <w:tabs>
                <w:tab w:val="left" w:pos="288"/>
                <w:tab w:val="left" w:pos="4752"/>
              </w:tabs>
              <w:rPr>
                <w:color w:val="000000"/>
              </w:rPr>
            </w:pPr>
            <w:r w:rsidRPr="00B249CD">
              <w:rPr>
                <w:color w:val="000000"/>
              </w:rPr>
              <w:t>10%</w:t>
            </w:r>
          </w:p>
        </w:tc>
      </w:tr>
      <w:tr w:rsidR="00AF7897" w:rsidRPr="000D5DBE" w:rsidTr="003447A8">
        <w:tc>
          <w:tcPr>
            <w:tcW w:w="6768" w:type="dxa"/>
            <w:gridSpan w:val="2"/>
            <w:tcBorders>
              <w:right w:val="single" w:sz="4" w:space="0" w:color="auto"/>
            </w:tcBorders>
            <w:vAlign w:val="center"/>
          </w:tcPr>
          <w:p w:rsidR="00AF7897" w:rsidRDefault="00AF7897" w:rsidP="000839C2">
            <w:pPr>
              <w:tabs>
                <w:tab w:val="left" w:pos="288"/>
                <w:tab w:val="left" w:pos="4752"/>
              </w:tabs>
              <w:jc w:val="left"/>
              <w:rPr>
                <w:color w:val="000000"/>
              </w:rPr>
            </w:pPr>
            <w:r>
              <w:rPr>
                <w:color w:val="000000"/>
              </w:rPr>
              <w:t xml:space="preserve">Patellofemoral Syndrome, </w:t>
            </w:r>
            <w:r w:rsidR="000839C2">
              <w:rPr>
                <w:color w:val="000000"/>
              </w:rPr>
              <w:t xml:space="preserve"> Left </w:t>
            </w:r>
            <w:r>
              <w:rPr>
                <w:color w:val="000000"/>
              </w:rPr>
              <w:t>Knee</w:t>
            </w:r>
            <w:r w:rsidR="000839C2">
              <w:rPr>
                <w:color w:val="000000"/>
              </w:rPr>
              <w:t xml:space="preserve"> </w:t>
            </w:r>
          </w:p>
        </w:tc>
        <w:tc>
          <w:tcPr>
            <w:tcW w:w="1530" w:type="dxa"/>
            <w:tcBorders>
              <w:left w:val="single" w:sz="4" w:space="0" w:color="auto"/>
            </w:tcBorders>
            <w:vAlign w:val="center"/>
          </w:tcPr>
          <w:p w:rsidR="00AF7897" w:rsidRDefault="00AF7897" w:rsidP="00AF7897">
            <w:pPr>
              <w:tabs>
                <w:tab w:val="left" w:pos="288"/>
                <w:tab w:val="left" w:pos="4752"/>
              </w:tabs>
              <w:rPr>
                <w:color w:val="000000"/>
              </w:rPr>
            </w:pPr>
            <w:r w:rsidRPr="00534076">
              <w:rPr>
                <w:color w:val="000000"/>
                <w:szCs w:val="24"/>
              </w:rPr>
              <w:t>5099-5024</w:t>
            </w:r>
          </w:p>
        </w:tc>
        <w:tc>
          <w:tcPr>
            <w:tcW w:w="1026" w:type="dxa"/>
            <w:vAlign w:val="center"/>
          </w:tcPr>
          <w:p w:rsidR="00AF7897" w:rsidRDefault="00AF7897" w:rsidP="00AF7897">
            <w:pPr>
              <w:tabs>
                <w:tab w:val="left" w:pos="288"/>
                <w:tab w:val="left" w:pos="4752"/>
              </w:tabs>
              <w:rPr>
                <w:color w:val="000000"/>
              </w:rPr>
            </w:pPr>
            <w:r w:rsidRPr="00B249CD">
              <w:rPr>
                <w:color w:val="000000"/>
              </w:rPr>
              <w:t>0%</w:t>
            </w:r>
          </w:p>
        </w:tc>
      </w:tr>
      <w:tr w:rsidR="00071071" w:rsidRPr="000D5DBE" w:rsidTr="00071071">
        <w:tblPrEx>
          <w:tblLook w:val="0000"/>
        </w:tblPrEx>
        <w:trPr>
          <w:gridBefore w:val="1"/>
          <w:wBefore w:w="6048" w:type="dxa"/>
          <w:trHeight w:val="152"/>
        </w:trPr>
        <w:tc>
          <w:tcPr>
            <w:tcW w:w="2250" w:type="dxa"/>
            <w:gridSpan w:val="2"/>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COMBINED</w:t>
            </w:r>
            <w:r>
              <w:rPr>
                <w:b/>
                <w:color w:val="000000"/>
              </w:rPr>
              <w:t xml:space="preserve"> (w/ BLF)</w:t>
            </w:r>
          </w:p>
        </w:tc>
        <w:tc>
          <w:tcPr>
            <w:tcW w:w="1026" w:type="dxa"/>
            <w:shd w:val="clear" w:color="auto" w:fill="D9D9D9"/>
            <w:vAlign w:val="center"/>
          </w:tcPr>
          <w:p w:rsidR="00071071" w:rsidRPr="000D5DBE" w:rsidRDefault="000839C2" w:rsidP="00071071">
            <w:pPr>
              <w:tabs>
                <w:tab w:val="left" w:pos="288"/>
                <w:tab w:val="left" w:pos="4752"/>
              </w:tabs>
              <w:rPr>
                <w:b/>
                <w:color w:val="000000"/>
              </w:rPr>
            </w:pPr>
            <w:r>
              <w:rPr>
                <w:b/>
                <w:color w:val="000000"/>
              </w:rPr>
              <w:t>2</w:t>
            </w:r>
            <w:r w:rsidR="00071071"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FD0574">
      <w:pPr>
        <w:spacing w:line="240" w:lineRule="auto"/>
        <w:jc w:val="left"/>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403A04" w:rsidRPr="001F29F9">
        <w:rPr>
          <w:color w:val="000000" w:themeColor="text1"/>
          <w:szCs w:val="24"/>
        </w:rPr>
        <w:t>20</w:t>
      </w:r>
      <w:r w:rsidR="00403A04">
        <w:rPr>
          <w:color w:val="000000" w:themeColor="text1"/>
          <w:szCs w:val="24"/>
        </w:rPr>
        <w:t>111018</w:t>
      </w:r>
      <w:r w:rsidR="00B91BC1">
        <w:rPr>
          <w:color w:val="000000"/>
        </w:rPr>
        <w:t>, w/</w:t>
      </w:r>
      <w:proofErr w:type="spellStart"/>
      <w:r w:rsidR="00B91BC1">
        <w:rPr>
          <w:color w:val="000000"/>
        </w:rPr>
        <w:t>atchs</w:t>
      </w:r>
      <w:proofErr w:type="spellEnd"/>
    </w:p>
    <w:p w:rsidR="00AD2379" w:rsidRPr="001F29F9" w:rsidRDefault="00AD2379" w:rsidP="005144A7">
      <w:pPr>
        <w:tabs>
          <w:tab w:val="left" w:pos="288"/>
          <w:tab w:val="left" w:pos="4752"/>
        </w:tabs>
        <w:jc w:val="both"/>
        <w:rPr>
          <w:color w:val="000000"/>
        </w:rPr>
      </w:pPr>
      <w:r w:rsidRPr="001F29F9">
        <w:rPr>
          <w:color w:val="000000"/>
        </w:rPr>
        <w:t>Exhib</w:t>
      </w:r>
      <w:r w:rsidR="00B91BC1">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B91BC1">
        <w:rPr>
          <w:color w:val="000000"/>
        </w:rPr>
        <w:t>’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1E36DA">
        <w:rPr>
          <w:color w:val="000000"/>
        </w:rPr>
        <w:t>XXXXXXXXXXXXXXXXXXXXX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8C29AA" w:rsidRPr="008C29AA" w:rsidRDefault="00AD2379" w:rsidP="00CE3200">
      <w:pPr>
        <w:tabs>
          <w:tab w:val="left" w:pos="0"/>
          <w:tab w:val="left" w:pos="4320"/>
        </w:tabs>
        <w:jc w:val="both"/>
        <w:rPr>
          <w:rFonts w:ascii="CG Times" w:hAnsi="CG Times" w:cs="Times New Roman"/>
          <w:color w:val="auto"/>
        </w:rPr>
      </w:pPr>
      <w:r w:rsidRPr="001F29F9">
        <w:rPr>
          <w:color w:val="000000"/>
        </w:rPr>
        <w:tab/>
        <w:t xml:space="preserve">           Physical Disability Board of Review</w:t>
      </w:r>
    </w:p>
    <w:p w:rsidR="001E36DA" w:rsidRDefault="001E36DA" w:rsidP="006235F5">
      <w:pPr>
        <w:tabs>
          <w:tab w:val="left" w:pos="288"/>
          <w:tab w:val="left" w:pos="4752"/>
        </w:tabs>
        <w:jc w:val="both"/>
        <w:rPr>
          <w:rFonts w:eastAsia="Calibri" w:cs="Times New Roman"/>
          <w:color w:val="auto"/>
          <w:szCs w:val="24"/>
        </w:rPr>
      </w:pPr>
    </w:p>
    <w:p w:rsidR="001E36DA" w:rsidRDefault="001E36DA">
      <w:pPr>
        <w:spacing w:line="240" w:lineRule="auto"/>
        <w:jc w:val="left"/>
        <w:rPr>
          <w:rFonts w:eastAsia="Calibri" w:cs="Times New Roman"/>
          <w:color w:val="auto"/>
          <w:szCs w:val="24"/>
        </w:rPr>
      </w:pPr>
      <w:r>
        <w:rPr>
          <w:rFonts w:eastAsia="Calibri" w:cs="Times New Roman"/>
          <w:color w:val="auto"/>
          <w:szCs w:val="24"/>
        </w:rPr>
        <w:br w:type="page"/>
      </w:r>
    </w:p>
    <w:p w:rsidR="001E36DA" w:rsidRDefault="001E36DA" w:rsidP="001E36DA">
      <w:pPr>
        <w:sectPr w:rsidR="001E36DA">
          <w:pgSz w:w="12240" w:h="15840"/>
          <w:pgMar w:top="2160" w:right="1440" w:bottom="1440" w:left="1440" w:header="720" w:footer="720" w:gutter="0"/>
          <w:cols w:space="720"/>
        </w:sectPr>
      </w:pPr>
    </w:p>
    <w:p w:rsidR="001E36DA" w:rsidRDefault="001E36DA" w:rsidP="001E36DA">
      <w:pPr>
        <w:pStyle w:val="Header"/>
        <w:tabs>
          <w:tab w:val="left" w:pos="720"/>
        </w:tabs>
        <w:jc w:val="left"/>
      </w:pPr>
      <w:r>
        <w:lastRenderedPageBreak/>
        <w:t>SFMR-RB</w:t>
      </w:r>
      <w:r>
        <w:tab/>
      </w:r>
      <w:r>
        <w:tab/>
      </w:r>
      <w:r>
        <w:tab/>
      </w:r>
      <w:r>
        <w:tab/>
      </w:r>
      <w:r>
        <w:tab/>
      </w:r>
      <w:r>
        <w:tab/>
      </w:r>
      <w:r>
        <w:tab/>
      </w:r>
      <w:r>
        <w:tab/>
      </w:r>
      <w:r>
        <w:tab/>
      </w:r>
    </w:p>
    <w:p w:rsidR="001E36DA" w:rsidRDefault="001E36DA" w:rsidP="001E36DA">
      <w:pPr>
        <w:pStyle w:val="Header"/>
        <w:tabs>
          <w:tab w:val="left" w:pos="720"/>
        </w:tabs>
        <w:jc w:val="left"/>
      </w:pPr>
    </w:p>
    <w:p w:rsidR="001E36DA" w:rsidRDefault="001E36DA" w:rsidP="001E36DA">
      <w:pPr>
        <w:jc w:val="left"/>
      </w:pPr>
    </w:p>
    <w:p w:rsidR="001E36DA" w:rsidRDefault="001E36DA" w:rsidP="001E36DA">
      <w:pPr>
        <w:jc w:val="left"/>
      </w:pPr>
      <w:r>
        <w:t xml:space="preserve">MEMORANDUM FOR Commander, US Army Physical Disability Agency </w:t>
      </w:r>
    </w:p>
    <w:p w:rsidR="001E36DA" w:rsidRDefault="001E36DA" w:rsidP="001E36DA">
      <w:pPr>
        <w:jc w:val="left"/>
      </w:pPr>
      <w:r>
        <w:t xml:space="preserve">(TAPD-ZB </w:t>
      </w:r>
      <w:proofErr w:type="gramStart"/>
      <w:r>
        <w:t>/  )</w:t>
      </w:r>
      <w:proofErr w:type="gramEnd"/>
      <w:r>
        <w:t>, 2900 Crystal Drive, Suite 300, Arlington, VA 22202</w:t>
      </w:r>
    </w:p>
    <w:p w:rsidR="001E36DA" w:rsidRDefault="001E36DA" w:rsidP="001E36DA">
      <w:pPr>
        <w:jc w:val="left"/>
      </w:pPr>
    </w:p>
    <w:p w:rsidR="001E36DA" w:rsidRDefault="001E36DA" w:rsidP="001E36DA">
      <w:pPr>
        <w:ind w:right="-180"/>
        <w:jc w:val="left"/>
      </w:pPr>
      <w:r>
        <w:t xml:space="preserve">SUBJECT:  Department of Defense Physical Disability Board of Review Recommendation </w:t>
      </w:r>
    </w:p>
    <w:p w:rsidR="001E36DA" w:rsidRDefault="001E36DA" w:rsidP="001E36DA">
      <w:pPr>
        <w:pStyle w:val="Header"/>
        <w:tabs>
          <w:tab w:val="left" w:pos="720"/>
        </w:tabs>
        <w:jc w:val="left"/>
      </w:pPr>
      <w:proofErr w:type="gramStart"/>
      <w:r>
        <w:t>for</w:t>
      </w:r>
      <w:proofErr w:type="gramEnd"/>
      <w:r>
        <w:t xml:space="preserve"> XXXXXXXXXXXXXXXXXXXXXX, AR20120016895 (PD201100964)</w:t>
      </w:r>
    </w:p>
    <w:p w:rsidR="001E36DA" w:rsidRDefault="001E36DA" w:rsidP="001E36DA">
      <w:pPr>
        <w:pStyle w:val="Header"/>
        <w:tabs>
          <w:tab w:val="left" w:pos="720"/>
        </w:tabs>
        <w:jc w:val="left"/>
      </w:pPr>
    </w:p>
    <w:p w:rsidR="001E36DA" w:rsidRDefault="001E36DA" w:rsidP="001E36DA">
      <w:pPr>
        <w:jc w:val="left"/>
      </w:pPr>
    </w:p>
    <w:p w:rsidR="001E36DA" w:rsidRDefault="001E36DA" w:rsidP="001E36D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description without modification of the combined rating and without </w:t>
      </w:r>
      <w:proofErr w:type="spellStart"/>
      <w:r>
        <w:t>recharacterization</w:t>
      </w:r>
      <w:proofErr w:type="spellEnd"/>
      <w:r>
        <w:t xml:space="preserve"> of the individual’s separation.  This decision is final.  </w:t>
      </w:r>
    </w:p>
    <w:p w:rsidR="001E36DA" w:rsidRDefault="001E36DA" w:rsidP="001E36DA">
      <w:pPr>
        <w:jc w:val="left"/>
      </w:pPr>
    </w:p>
    <w:p w:rsidR="001E36DA" w:rsidRDefault="001E36DA" w:rsidP="001E36DA">
      <w:pPr>
        <w:jc w:val="left"/>
      </w:pPr>
      <w:r>
        <w:t xml:space="preserve">2.  I direct that all the Department of the Army records of the individual concerned be corrected accordingly no later than 120 days from the date of this memorandum.   </w:t>
      </w:r>
    </w:p>
    <w:p w:rsidR="001E36DA" w:rsidRDefault="001E36DA" w:rsidP="001E36DA">
      <w:pPr>
        <w:jc w:val="left"/>
      </w:pPr>
    </w:p>
    <w:p w:rsidR="001E36DA" w:rsidRDefault="001E36DA" w:rsidP="001E36D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1E36DA" w:rsidRDefault="001E36DA" w:rsidP="001E36DA">
      <w:pPr>
        <w:jc w:val="left"/>
      </w:pPr>
    </w:p>
    <w:p w:rsidR="001E36DA" w:rsidRDefault="001E36DA" w:rsidP="001E36DA">
      <w:pPr>
        <w:jc w:val="left"/>
      </w:pPr>
      <w:r>
        <w:t xml:space="preserve"> BY ORDER OF THE SECRETARY OF THE ARMY:</w:t>
      </w:r>
    </w:p>
    <w:p w:rsidR="001E36DA" w:rsidRDefault="001E36DA" w:rsidP="001E36DA">
      <w:pPr>
        <w:jc w:val="left"/>
      </w:pPr>
    </w:p>
    <w:p w:rsidR="001E36DA" w:rsidRDefault="001E36DA" w:rsidP="001E36DA">
      <w:pPr>
        <w:jc w:val="left"/>
      </w:pPr>
    </w:p>
    <w:p w:rsidR="001E36DA" w:rsidRDefault="001E36DA" w:rsidP="001E36DA">
      <w:pPr>
        <w:pStyle w:val="Header"/>
        <w:tabs>
          <w:tab w:val="left" w:pos="720"/>
        </w:tabs>
        <w:jc w:val="left"/>
      </w:pPr>
    </w:p>
    <w:p w:rsidR="001E36DA" w:rsidRDefault="001E36DA" w:rsidP="001E36DA">
      <w:pPr>
        <w:jc w:val="left"/>
      </w:pPr>
    </w:p>
    <w:p w:rsidR="001E36DA" w:rsidRDefault="001E36DA" w:rsidP="001E36DA">
      <w:pPr>
        <w:jc w:val="left"/>
      </w:pPr>
      <w:bookmarkStart w:id="0" w:name="OLE_LINK4"/>
      <w:bookmarkStart w:id="1" w:name="OLE_LINK3"/>
      <w:r>
        <w:t>Encl</w:t>
      </w:r>
      <w:r>
        <w:tab/>
      </w:r>
      <w:r>
        <w:tab/>
      </w:r>
      <w:r>
        <w:tab/>
      </w:r>
      <w:r>
        <w:tab/>
      </w:r>
      <w:r>
        <w:tab/>
      </w:r>
      <w:r>
        <w:tab/>
        <w:t xml:space="preserve">     XXXXXXXXXXXXXXX</w:t>
      </w:r>
    </w:p>
    <w:p w:rsidR="001E36DA" w:rsidRDefault="001E36DA" w:rsidP="001E36DA">
      <w:pPr>
        <w:jc w:val="left"/>
      </w:pPr>
      <w:r>
        <w:tab/>
      </w:r>
      <w:r>
        <w:tab/>
      </w:r>
      <w:r>
        <w:tab/>
      </w:r>
      <w:r>
        <w:tab/>
      </w:r>
      <w:r>
        <w:tab/>
      </w:r>
      <w:r>
        <w:tab/>
        <w:t xml:space="preserve">     Deputy Assistant Secretary</w:t>
      </w:r>
    </w:p>
    <w:p w:rsidR="001E36DA" w:rsidRDefault="001E36DA" w:rsidP="001E36DA">
      <w:pPr>
        <w:jc w:val="left"/>
      </w:pPr>
      <w:r>
        <w:tab/>
      </w:r>
      <w:r>
        <w:tab/>
      </w:r>
      <w:r>
        <w:tab/>
      </w:r>
      <w:r>
        <w:tab/>
      </w:r>
      <w:r>
        <w:tab/>
      </w:r>
      <w:r>
        <w:tab/>
        <w:t xml:space="preserve">         (Army Review Boards)</w:t>
      </w:r>
      <w:bookmarkEnd w:id="0"/>
      <w:bookmarkEnd w:id="1"/>
    </w:p>
    <w:p w:rsidR="001E36DA" w:rsidRDefault="001E36DA" w:rsidP="001E36DA">
      <w:pPr>
        <w:jc w:val="left"/>
      </w:pPr>
    </w:p>
    <w:p w:rsidR="001E36DA" w:rsidRDefault="001E36DA" w:rsidP="001E36DA">
      <w:pPr>
        <w:jc w:val="left"/>
      </w:pPr>
      <w:r>
        <w:t xml:space="preserve">CF: </w:t>
      </w:r>
    </w:p>
    <w:p w:rsidR="001E36DA" w:rsidRDefault="001E36DA" w:rsidP="001E36DA">
      <w:pPr>
        <w:jc w:val="left"/>
      </w:pPr>
      <w:r>
        <w:t xml:space="preserve">(  ) </w:t>
      </w:r>
      <w:proofErr w:type="spellStart"/>
      <w:proofErr w:type="gramStart"/>
      <w:r>
        <w:t>DoD</w:t>
      </w:r>
      <w:proofErr w:type="spellEnd"/>
      <w:proofErr w:type="gramEnd"/>
      <w:r>
        <w:t xml:space="preserve"> PDBR</w:t>
      </w:r>
    </w:p>
    <w:p w:rsidR="001E36DA" w:rsidRDefault="001E36DA" w:rsidP="001E36DA">
      <w:pPr>
        <w:jc w:val="left"/>
      </w:pPr>
      <w:r>
        <w:t>(  ) DVA</w:t>
      </w:r>
    </w:p>
    <w:p w:rsidR="00FE7EB9" w:rsidRPr="006235F5" w:rsidRDefault="00FE7EB9" w:rsidP="001E36DA">
      <w:pPr>
        <w:tabs>
          <w:tab w:val="left" w:pos="288"/>
          <w:tab w:val="left" w:pos="4752"/>
        </w:tabs>
        <w:jc w:val="left"/>
        <w:rPr>
          <w:rFonts w:eastAsia="Calibri" w:cs="Times New Roman"/>
          <w:color w:val="auto"/>
          <w:szCs w:val="24"/>
        </w:rPr>
      </w:pPr>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CA" w:rsidRDefault="00CE0FCA">
      <w:r>
        <w:separator/>
      </w:r>
    </w:p>
  </w:endnote>
  <w:endnote w:type="continuationSeparator" w:id="0">
    <w:p w:rsidR="00CE0FCA" w:rsidRDefault="00CE0F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EE"/>
    <w:family w:val="roman"/>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7A8" w:rsidRPr="00374247" w:rsidRDefault="003447A8" w:rsidP="00726F84">
    <w:pPr>
      <w:pStyle w:val="Footer"/>
      <w:ind w:firstLine="4320"/>
      <w:rPr>
        <w:color w:val="auto"/>
      </w:rPr>
    </w:pPr>
    <w:r w:rsidRPr="00374247">
      <w:rPr>
        <w:color w:val="auto"/>
      </w:rPr>
      <w:t xml:space="preserve">   </w:t>
    </w:r>
    <w:fldSimple w:instr=" PAGE   \* MERGEFORMAT ">
      <w:r w:rsidR="001E36DA" w:rsidRPr="001E36DA">
        <w:rPr>
          <w:noProof/>
          <w:color w:val="auto"/>
        </w:rPr>
        <w:t>6</w:t>
      </w:r>
    </w:fldSimple>
    <w:r w:rsidRPr="00374247">
      <w:rPr>
        <w:color w:val="auto"/>
      </w:rPr>
      <w:t xml:space="preserve">                                                           </w:t>
    </w:r>
    <w:r w:rsidRPr="001D64F3">
      <w:rPr>
        <w:color w:val="auto"/>
      </w:rPr>
      <w:t>PD1</w:t>
    </w:r>
    <w:r w:rsidRPr="009369A6">
      <w:rPr>
        <w:color w:val="auto"/>
      </w:rPr>
      <w:t>100</w:t>
    </w:r>
    <w:r>
      <w:rPr>
        <w:color w:val="auto"/>
      </w:rPr>
      <w:t>964</w:t>
    </w:r>
  </w:p>
  <w:p w:rsidR="003447A8" w:rsidRPr="00684CE6" w:rsidRDefault="003447A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CA" w:rsidRDefault="00CE0FCA">
      <w:r>
        <w:separator/>
      </w:r>
    </w:p>
  </w:footnote>
  <w:footnote w:type="continuationSeparator" w:id="0">
    <w:p w:rsidR="00CE0FCA" w:rsidRDefault="00CE0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655D"/>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105"/>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9C2"/>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610"/>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6DB2"/>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973"/>
    <w:rsid w:val="00142EBA"/>
    <w:rsid w:val="00143AC7"/>
    <w:rsid w:val="00143B79"/>
    <w:rsid w:val="001441F4"/>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495"/>
    <w:rsid w:val="00194930"/>
    <w:rsid w:val="00194ECC"/>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710"/>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6DA"/>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1FE8"/>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1F08"/>
    <w:rsid w:val="002722F2"/>
    <w:rsid w:val="00274549"/>
    <w:rsid w:val="00274E46"/>
    <w:rsid w:val="002752AE"/>
    <w:rsid w:val="00275AFD"/>
    <w:rsid w:val="002769AF"/>
    <w:rsid w:val="00276C86"/>
    <w:rsid w:val="00276FD0"/>
    <w:rsid w:val="00277217"/>
    <w:rsid w:val="002810A4"/>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3647"/>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7A8"/>
    <w:rsid w:val="00344A4F"/>
    <w:rsid w:val="00344D17"/>
    <w:rsid w:val="0034669F"/>
    <w:rsid w:val="003470C4"/>
    <w:rsid w:val="003471C5"/>
    <w:rsid w:val="00347D0D"/>
    <w:rsid w:val="00351498"/>
    <w:rsid w:val="00352B22"/>
    <w:rsid w:val="00352CBF"/>
    <w:rsid w:val="00354547"/>
    <w:rsid w:val="003545AA"/>
    <w:rsid w:val="003549F5"/>
    <w:rsid w:val="003554B7"/>
    <w:rsid w:val="00355ACB"/>
    <w:rsid w:val="00355B26"/>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572"/>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A04"/>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025A"/>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2E95"/>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076"/>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18"/>
    <w:rsid w:val="0058039C"/>
    <w:rsid w:val="00580A63"/>
    <w:rsid w:val="00580E6B"/>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C6CE4"/>
    <w:rsid w:val="005D0ABC"/>
    <w:rsid w:val="005D2306"/>
    <w:rsid w:val="005D2562"/>
    <w:rsid w:val="005D2666"/>
    <w:rsid w:val="005D34B3"/>
    <w:rsid w:val="005D4491"/>
    <w:rsid w:val="005D4548"/>
    <w:rsid w:val="005D4732"/>
    <w:rsid w:val="005D4A74"/>
    <w:rsid w:val="005D519F"/>
    <w:rsid w:val="005D5E91"/>
    <w:rsid w:val="005D655C"/>
    <w:rsid w:val="005D67EF"/>
    <w:rsid w:val="005E1416"/>
    <w:rsid w:val="005E1D67"/>
    <w:rsid w:val="005E224F"/>
    <w:rsid w:val="005E3064"/>
    <w:rsid w:val="005E54DC"/>
    <w:rsid w:val="005E65DC"/>
    <w:rsid w:val="005E6AEE"/>
    <w:rsid w:val="005E72B2"/>
    <w:rsid w:val="005E79A0"/>
    <w:rsid w:val="005E7A6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57FB6"/>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5CD"/>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A"/>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1739"/>
    <w:rsid w:val="006E2DC8"/>
    <w:rsid w:val="006E58CB"/>
    <w:rsid w:val="006E6B68"/>
    <w:rsid w:val="006E7356"/>
    <w:rsid w:val="006E77C8"/>
    <w:rsid w:val="006E7AFC"/>
    <w:rsid w:val="006F0F9C"/>
    <w:rsid w:val="006F149D"/>
    <w:rsid w:val="006F1A46"/>
    <w:rsid w:val="006F45A0"/>
    <w:rsid w:val="006F4F06"/>
    <w:rsid w:val="006F5A4E"/>
    <w:rsid w:val="006F5D37"/>
    <w:rsid w:val="006F5E47"/>
    <w:rsid w:val="006F6005"/>
    <w:rsid w:val="007005EA"/>
    <w:rsid w:val="0070220D"/>
    <w:rsid w:val="007028E1"/>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5F52"/>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2AE"/>
    <w:rsid w:val="007C433E"/>
    <w:rsid w:val="007C4452"/>
    <w:rsid w:val="007C4B3C"/>
    <w:rsid w:val="007C4DB1"/>
    <w:rsid w:val="007C5B18"/>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698C"/>
    <w:rsid w:val="00827B29"/>
    <w:rsid w:val="00827DB6"/>
    <w:rsid w:val="008304B2"/>
    <w:rsid w:val="00830999"/>
    <w:rsid w:val="00830D5E"/>
    <w:rsid w:val="00830F69"/>
    <w:rsid w:val="00831940"/>
    <w:rsid w:val="008324D9"/>
    <w:rsid w:val="00833170"/>
    <w:rsid w:val="00833418"/>
    <w:rsid w:val="0083387F"/>
    <w:rsid w:val="00833BCF"/>
    <w:rsid w:val="00834458"/>
    <w:rsid w:val="00834AEA"/>
    <w:rsid w:val="00835841"/>
    <w:rsid w:val="00835BF8"/>
    <w:rsid w:val="00835FB7"/>
    <w:rsid w:val="008364DF"/>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A4B"/>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29AA"/>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B88"/>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305A"/>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0B6"/>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222"/>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7DA"/>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AF7897"/>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9CD"/>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4288"/>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85FAC"/>
    <w:rsid w:val="00B91676"/>
    <w:rsid w:val="00B91BC1"/>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270D"/>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51E"/>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683"/>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36D"/>
    <w:rsid w:val="00CB1B18"/>
    <w:rsid w:val="00CB20DC"/>
    <w:rsid w:val="00CB22F3"/>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2F62"/>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0FCA"/>
    <w:rsid w:val="00CE2B1F"/>
    <w:rsid w:val="00CE2CC2"/>
    <w:rsid w:val="00CE3200"/>
    <w:rsid w:val="00CE3722"/>
    <w:rsid w:val="00CE791F"/>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0DF"/>
    <w:rsid w:val="00D17DD9"/>
    <w:rsid w:val="00D20AC0"/>
    <w:rsid w:val="00D229E7"/>
    <w:rsid w:val="00D2321B"/>
    <w:rsid w:val="00D23350"/>
    <w:rsid w:val="00D237E7"/>
    <w:rsid w:val="00D23DE4"/>
    <w:rsid w:val="00D25A5C"/>
    <w:rsid w:val="00D2615F"/>
    <w:rsid w:val="00D26873"/>
    <w:rsid w:val="00D27C99"/>
    <w:rsid w:val="00D27FC1"/>
    <w:rsid w:val="00D31683"/>
    <w:rsid w:val="00D33452"/>
    <w:rsid w:val="00D336C8"/>
    <w:rsid w:val="00D339E8"/>
    <w:rsid w:val="00D33FDD"/>
    <w:rsid w:val="00D3654A"/>
    <w:rsid w:val="00D3662E"/>
    <w:rsid w:val="00D366FF"/>
    <w:rsid w:val="00D373F1"/>
    <w:rsid w:val="00D37567"/>
    <w:rsid w:val="00D37D36"/>
    <w:rsid w:val="00D40B1F"/>
    <w:rsid w:val="00D40D75"/>
    <w:rsid w:val="00D418FD"/>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4E69"/>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2CD7"/>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382"/>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3689"/>
    <w:rsid w:val="00DC4001"/>
    <w:rsid w:val="00DC41C3"/>
    <w:rsid w:val="00DC4A3C"/>
    <w:rsid w:val="00DC4FA4"/>
    <w:rsid w:val="00DC5028"/>
    <w:rsid w:val="00DC5B37"/>
    <w:rsid w:val="00DD286D"/>
    <w:rsid w:val="00DD2CAF"/>
    <w:rsid w:val="00DD3593"/>
    <w:rsid w:val="00DD3885"/>
    <w:rsid w:val="00DD44EA"/>
    <w:rsid w:val="00DD462A"/>
    <w:rsid w:val="00DD5968"/>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2C"/>
    <w:rsid w:val="00E00A69"/>
    <w:rsid w:val="00E017BC"/>
    <w:rsid w:val="00E017F0"/>
    <w:rsid w:val="00E01A0E"/>
    <w:rsid w:val="00E025FE"/>
    <w:rsid w:val="00E0346A"/>
    <w:rsid w:val="00E037C5"/>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1CB9"/>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E4A"/>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3C4"/>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4FB7"/>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12FC"/>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56C"/>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52E"/>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C20"/>
    <w:rsid w:val="00FC5FF5"/>
    <w:rsid w:val="00FC6285"/>
    <w:rsid w:val="00FC78FB"/>
    <w:rsid w:val="00FC7DBC"/>
    <w:rsid w:val="00FD0574"/>
    <w:rsid w:val="00FD076A"/>
    <w:rsid w:val="00FD0A88"/>
    <w:rsid w:val="00FD0AA0"/>
    <w:rsid w:val="00FD1D5A"/>
    <w:rsid w:val="00FD4B85"/>
    <w:rsid w:val="00FD5059"/>
    <w:rsid w:val="00FD554D"/>
    <w:rsid w:val="00FD5BCC"/>
    <w:rsid w:val="00FD5EB8"/>
    <w:rsid w:val="00FD6C2D"/>
    <w:rsid w:val="00FD730E"/>
    <w:rsid w:val="00FD7B23"/>
    <w:rsid w:val="00FE1A5F"/>
    <w:rsid w:val="00FE2A48"/>
    <w:rsid w:val="00FE2DEF"/>
    <w:rsid w:val="00FE323C"/>
    <w:rsid w:val="00FE3A27"/>
    <w:rsid w:val="00FE48A6"/>
    <w:rsid w:val="00FE5D0A"/>
    <w:rsid w:val="00FE6469"/>
    <w:rsid w:val="00FE7C22"/>
    <w:rsid w:val="00FE7C6D"/>
    <w:rsid w:val="00FE7EB9"/>
    <w:rsid w:val="00FF04CA"/>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4CC"/>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1040604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B32B-6545-4111-B1CD-EA2A9C10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2012-10-19T19:30:00Z</dcterms:created>
  <dcterms:modified xsi:type="dcterms:W3CDTF">2012-10-19T19:30:00Z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