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A12132">
      <w:pPr>
        <w:tabs>
          <w:tab w:val="left" w:pos="288"/>
          <w:tab w:val="left" w:pos="4752"/>
          <w:tab w:val="left" w:pos="6300"/>
          <w:tab w:val="left" w:pos="9270"/>
        </w:tabs>
        <w:jc w:val="both"/>
        <w:rPr>
          <w:caps/>
          <w:color w:val="000000" w:themeColor="text1"/>
        </w:rPr>
      </w:pPr>
      <w:r w:rsidRPr="001F29F9">
        <w:rPr>
          <w:caps/>
          <w:color w:val="000000" w:themeColor="text1"/>
        </w:rPr>
        <w:t xml:space="preserve">NAME:  </w:t>
      </w:r>
      <w:r w:rsidR="00B90AFC">
        <w:rPr>
          <w:caps/>
          <w:color w:val="000000" w:themeColor="text1"/>
        </w:rPr>
        <w:t>XXXXXXXXXXXXXXXXXXX</w:t>
      </w:r>
      <w:r w:rsidR="00A12132">
        <w:rPr>
          <w:caps/>
          <w:color w:val="000000" w:themeColor="text1"/>
        </w:rPr>
        <w:tab/>
        <w:t xml:space="preserve">                           </w:t>
      </w:r>
      <w:r w:rsidRPr="001F29F9">
        <w:rPr>
          <w:caps/>
          <w:color w:val="000000" w:themeColor="text1"/>
        </w:rPr>
        <w:t xml:space="preserve">BRANCH OF </w:t>
      </w:r>
      <w:r w:rsidRPr="00316E8E">
        <w:rPr>
          <w:caps/>
          <w:color w:val="000000" w:themeColor="text1"/>
        </w:rPr>
        <w:t>SERVICE:  Army</w:t>
      </w:r>
      <w:r w:rsidRPr="00BA4A38">
        <w:rPr>
          <w:caps/>
          <w:color w:val="000000" w:themeColor="text1"/>
        </w:rPr>
        <w:t xml:space="preserve"> </w:t>
      </w:r>
    </w:p>
    <w:p w:rsidR="0095270D" w:rsidRDefault="0095270D" w:rsidP="00A12132">
      <w:pPr>
        <w:tabs>
          <w:tab w:val="left" w:pos="288"/>
          <w:tab w:val="left" w:pos="5130"/>
          <w:tab w:val="left" w:pos="6300"/>
        </w:tabs>
        <w:jc w:val="both"/>
        <w:rPr>
          <w:color w:val="000000" w:themeColor="text1"/>
        </w:rPr>
      </w:pPr>
      <w:r w:rsidRPr="001F29F9">
        <w:rPr>
          <w:caps/>
          <w:color w:val="000000" w:themeColor="text1"/>
        </w:rPr>
        <w:t>CASE NUMBER:  PD11</w:t>
      </w:r>
      <w:r>
        <w:rPr>
          <w:caps/>
          <w:color w:val="000000" w:themeColor="text1"/>
        </w:rPr>
        <w:t>00</w:t>
      </w:r>
      <w:r w:rsidR="00565636">
        <w:rPr>
          <w:caps/>
          <w:color w:val="000000" w:themeColor="text1"/>
        </w:rPr>
        <w:t>9</w:t>
      </w:r>
      <w:r w:rsidR="00316E8E">
        <w:rPr>
          <w:caps/>
          <w:color w:val="000000" w:themeColor="text1"/>
        </w:rPr>
        <w:t>50</w:t>
      </w:r>
      <w:r w:rsidRPr="001F29F9">
        <w:rPr>
          <w:color w:val="000000" w:themeColor="text1"/>
        </w:rPr>
        <w:t xml:space="preserve">                            </w:t>
      </w:r>
      <w:r w:rsidR="00C6071F">
        <w:rPr>
          <w:color w:val="000000" w:themeColor="text1"/>
        </w:rPr>
        <w:tab/>
        <w:t xml:space="preserve">                    </w:t>
      </w:r>
      <w:r w:rsidRPr="001F29F9">
        <w:rPr>
          <w:color w:val="000000" w:themeColor="text1"/>
        </w:rPr>
        <w:t xml:space="preserve">SEPARATION DATE:  </w:t>
      </w:r>
      <w:r w:rsidR="00316E8E" w:rsidRPr="001F29F9">
        <w:rPr>
          <w:color w:val="000000" w:themeColor="text1"/>
        </w:rPr>
        <w:t>200</w:t>
      </w:r>
      <w:r w:rsidR="00316E8E">
        <w:rPr>
          <w:color w:val="000000" w:themeColor="text1"/>
        </w:rPr>
        <w:t>60825</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802889">
        <w:rPr>
          <w:caps/>
          <w:color w:val="000000"/>
        </w:rPr>
        <w:t>0827</w:t>
      </w:r>
      <w:r w:rsidRPr="001F29F9">
        <w:rPr>
          <w:caps/>
          <w:color w:val="000000"/>
        </w:rPr>
        <w:t xml:space="preserve">         </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331C13" w:rsidRPr="00296CF3" w:rsidRDefault="00AD2379" w:rsidP="00296CF3">
      <w:pPr>
        <w:jc w:val="both"/>
        <w:rPr>
          <w:color w:val="000000"/>
          <w:szCs w:val="24"/>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316E8E" w:rsidRPr="001F29F9">
        <w:rPr>
          <w:color w:val="000000" w:themeColor="text1"/>
          <w:szCs w:val="24"/>
        </w:rPr>
        <w:t>SGT/E-5 (</w:t>
      </w:r>
      <w:r w:rsidR="0077083B">
        <w:rPr>
          <w:color w:val="000000" w:themeColor="text1"/>
          <w:szCs w:val="24"/>
        </w:rPr>
        <w:t>11B</w:t>
      </w:r>
      <w:r w:rsidR="00316E8E">
        <w:rPr>
          <w:color w:val="000000" w:themeColor="text1"/>
          <w:szCs w:val="24"/>
        </w:rPr>
        <w:t>, Infantry</w:t>
      </w:r>
      <w:r w:rsidR="00316E8E" w:rsidRPr="001F29F9">
        <w:rPr>
          <w:color w:val="000000" w:themeColor="text1"/>
          <w:szCs w:val="24"/>
        </w:rPr>
        <w:t xml:space="preserve">) </w:t>
      </w:r>
      <w:r w:rsidRPr="001F29F9">
        <w:rPr>
          <w:color w:val="000000"/>
        </w:rPr>
        <w:t xml:space="preserve">medically separated for </w:t>
      </w:r>
      <w:r w:rsidR="00316E8E">
        <w:rPr>
          <w:color w:val="000000"/>
        </w:rPr>
        <w:t>cognitive disorder</w:t>
      </w:r>
      <w:r w:rsidR="00711834">
        <w:rPr>
          <w:color w:val="000000"/>
        </w:rPr>
        <w:t>.  This resulted</w:t>
      </w:r>
      <w:r w:rsidR="00316E8E">
        <w:rPr>
          <w:color w:val="000000"/>
        </w:rPr>
        <w:t xml:space="preserve"> from </w:t>
      </w:r>
      <w:r w:rsidR="00711834">
        <w:rPr>
          <w:color w:val="000000"/>
        </w:rPr>
        <w:t xml:space="preserve">penetrating brain injury incurred in Iraq in 2004, and was complicated by </w:t>
      </w:r>
      <w:r w:rsidR="003F68A3">
        <w:rPr>
          <w:color w:val="000000"/>
        </w:rPr>
        <w:t xml:space="preserve">a </w:t>
      </w:r>
      <w:r w:rsidR="00711834">
        <w:rPr>
          <w:color w:val="000000"/>
        </w:rPr>
        <w:t xml:space="preserve">seizure </w:t>
      </w:r>
      <w:r w:rsidR="00711834" w:rsidRPr="0077083B">
        <w:rPr>
          <w:color w:val="000000"/>
        </w:rPr>
        <w:t>during the recovery period</w:t>
      </w:r>
      <w:r w:rsidRPr="0077083B">
        <w:rPr>
          <w:color w:val="000000"/>
        </w:rPr>
        <w:t xml:space="preserve">. </w:t>
      </w:r>
      <w:r w:rsidR="00261B7E" w:rsidRPr="0077083B">
        <w:rPr>
          <w:color w:val="000000"/>
        </w:rPr>
        <w:t xml:space="preserve"> </w:t>
      </w:r>
      <w:r w:rsidR="00711834" w:rsidRPr="0077083B">
        <w:rPr>
          <w:color w:val="000000"/>
        </w:rPr>
        <w:t xml:space="preserve">Although he enjoyed a </w:t>
      </w:r>
      <w:r w:rsidR="003F68A3" w:rsidRPr="0077083B">
        <w:rPr>
          <w:color w:val="000000"/>
        </w:rPr>
        <w:t xml:space="preserve">favorable course following surgery and rehabilitative efforts, his residual impairments were not compatible with continued duty in his </w:t>
      </w:r>
      <w:r w:rsidR="00711834" w:rsidRPr="0077083B">
        <w:rPr>
          <w:color w:val="000000"/>
          <w:szCs w:val="24"/>
        </w:rPr>
        <w:t>Military Occupational Specialty (MOS).  He was c</w:t>
      </w:r>
      <w:r w:rsidR="003F68A3" w:rsidRPr="0077083B">
        <w:rPr>
          <w:color w:val="000000"/>
          <w:szCs w:val="24"/>
        </w:rPr>
        <w:t>onsequently issued a permanent P3/S</w:t>
      </w:r>
      <w:r w:rsidR="00711834" w:rsidRPr="0077083B">
        <w:rPr>
          <w:color w:val="000000"/>
          <w:szCs w:val="24"/>
        </w:rPr>
        <w:t xml:space="preserve">3 profile and referred for a Medical Evaluation Board (MEB).  </w:t>
      </w:r>
      <w:r w:rsidR="003F68A3" w:rsidRPr="0077083B">
        <w:rPr>
          <w:color w:val="000000"/>
          <w:szCs w:val="24"/>
        </w:rPr>
        <w:t xml:space="preserve">Two conditions were forwarded to the </w:t>
      </w:r>
      <w:r w:rsidR="00711834" w:rsidRPr="0077083B">
        <w:rPr>
          <w:color w:val="000000"/>
          <w:szCs w:val="24"/>
        </w:rPr>
        <w:t>Physical Evaluation Board (PEB) as medic</w:t>
      </w:r>
      <w:r w:rsidR="003F68A3" w:rsidRPr="0077083B">
        <w:rPr>
          <w:color w:val="000000"/>
          <w:szCs w:val="24"/>
        </w:rPr>
        <w:t>ally unacceptable IAW AR 40-501: “traumatic brain injury</w:t>
      </w:r>
      <w:r w:rsidR="00E65C35">
        <w:rPr>
          <w:color w:val="000000"/>
          <w:szCs w:val="24"/>
        </w:rPr>
        <w:t xml:space="preserve"> </w:t>
      </w:r>
      <w:r w:rsidR="00C6071F">
        <w:rPr>
          <w:color w:val="000000"/>
          <w:szCs w:val="24"/>
        </w:rPr>
        <w:t>(</w:t>
      </w:r>
      <w:r w:rsidR="00E65C35">
        <w:rPr>
          <w:color w:val="000000"/>
          <w:szCs w:val="24"/>
        </w:rPr>
        <w:t>TBI</w:t>
      </w:r>
      <w:r w:rsidR="00C6071F">
        <w:rPr>
          <w:color w:val="000000"/>
          <w:szCs w:val="24"/>
        </w:rPr>
        <w:t>)</w:t>
      </w:r>
      <w:r w:rsidR="003F68A3" w:rsidRPr="0077083B">
        <w:rPr>
          <w:color w:val="000000"/>
          <w:szCs w:val="24"/>
        </w:rPr>
        <w:t>, wit</w:t>
      </w:r>
      <w:r w:rsidR="00C6071F">
        <w:rPr>
          <w:color w:val="000000"/>
          <w:szCs w:val="24"/>
        </w:rPr>
        <w:t>h cognitive disorder” and “post</w:t>
      </w:r>
      <w:r w:rsidR="003F68A3" w:rsidRPr="0077083B">
        <w:rPr>
          <w:color w:val="000000"/>
          <w:szCs w:val="24"/>
        </w:rPr>
        <w:t>traumatic seizure disorder</w:t>
      </w:r>
      <w:r w:rsidR="00C6071F">
        <w:rPr>
          <w:color w:val="000000"/>
          <w:szCs w:val="24"/>
        </w:rPr>
        <w:t>.</w:t>
      </w:r>
      <w:r w:rsidR="003F68A3" w:rsidRPr="0077083B">
        <w:rPr>
          <w:color w:val="000000"/>
          <w:szCs w:val="24"/>
        </w:rPr>
        <w:t>”</w:t>
      </w:r>
      <w:r w:rsidR="00711834" w:rsidRPr="0077083B">
        <w:rPr>
          <w:color w:val="000000"/>
          <w:szCs w:val="24"/>
        </w:rPr>
        <w:t xml:space="preserve">  </w:t>
      </w:r>
      <w:r w:rsidR="003F68A3" w:rsidRPr="0077083B">
        <w:rPr>
          <w:color w:val="000000"/>
        </w:rPr>
        <w:t xml:space="preserve">No other conditions were submitted by the MEB.  </w:t>
      </w:r>
      <w:r w:rsidR="003F68A3" w:rsidRPr="0077083B">
        <w:rPr>
          <w:color w:val="000000"/>
          <w:szCs w:val="24"/>
        </w:rPr>
        <w:t xml:space="preserve">The </w:t>
      </w:r>
      <w:r w:rsidR="009837FE">
        <w:rPr>
          <w:color w:val="000000"/>
          <w:szCs w:val="24"/>
        </w:rPr>
        <w:t xml:space="preserve">Informal </w:t>
      </w:r>
      <w:r w:rsidR="00711834" w:rsidRPr="0077083B">
        <w:rPr>
          <w:color w:val="000000"/>
          <w:szCs w:val="24"/>
        </w:rPr>
        <w:t xml:space="preserve">PEB </w:t>
      </w:r>
      <w:r w:rsidR="009837FE">
        <w:rPr>
          <w:color w:val="000000"/>
          <w:szCs w:val="24"/>
        </w:rPr>
        <w:t xml:space="preserve">(IPEB) </w:t>
      </w:r>
      <w:r w:rsidR="00711834" w:rsidRPr="0077083B">
        <w:rPr>
          <w:color w:val="000000"/>
          <w:szCs w:val="24"/>
        </w:rPr>
        <w:t xml:space="preserve">adjudicated the </w:t>
      </w:r>
      <w:r w:rsidR="003F68A3" w:rsidRPr="0077083B">
        <w:rPr>
          <w:color w:val="000000"/>
          <w:szCs w:val="24"/>
        </w:rPr>
        <w:t xml:space="preserve">cognitive disorder </w:t>
      </w:r>
      <w:r w:rsidR="00802889">
        <w:rPr>
          <w:color w:val="000000"/>
          <w:szCs w:val="24"/>
        </w:rPr>
        <w:t>as unfitting, rated 10%;</w:t>
      </w:r>
      <w:r w:rsidR="00711834" w:rsidRPr="0077083B">
        <w:rPr>
          <w:color w:val="000000"/>
          <w:szCs w:val="24"/>
        </w:rPr>
        <w:t xml:space="preserve"> citing </w:t>
      </w:r>
      <w:r w:rsidR="0077083B" w:rsidRPr="0077083B">
        <w:rPr>
          <w:color w:val="000000"/>
          <w:szCs w:val="24"/>
        </w:rPr>
        <w:t>a criterion</w:t>
      </w:r>
      <w:r w:rsidR="00711834" w:rsidRPr="0077083B">
        <w:rPr>
          <w:color w:val="000000"/>
          <w:szCs w:val="24"/>
        </w:rPr>
        <w:t xml:space="preserve"> of </w:t>
      </w:r>
      <w:r w:rsidR="0077083B" w:rsidRPr="0077083B">
        <w:rPr>
          <w:color w:val="000000"/>
        </w:rPr>
        <w:t>Department of Defense Instruction (DoDI) 1332.39</w:t>
      </w:r>
      <w:r w:rsidR="00802889">
        <w:rPr>
          <w:color w:val="000000"/>
        </w:rPr>
        <w:t>, but rating IAW criteria of the</w:t>
      </w:r>
      <w:r w:rsidR="00802889" w:rsidRPr="00802889">
        <w:rPr>
          <w:color w:val="000000"/>
        </w:rPr>
        <w:t xml:space="preserve"> </w:t>
      </w:r>
      <w:r w:rsidR="00802889" w:rsidRPr="009A7578">
        <w:rPr>
          <w:color w:val="000000"/>
        </w:rPr>
        <w:t>Veterans Administration Schedule for Rating Disabilities (VASRD)</w:t>
      </w:r>
      <w:r w:rsidR="00802889">
        <w:rPr>
          <w:color w:val="000000"/>
        </w:rPr>
        <w:t xml:space="preserve"> in effect for code </w:t>
      </w:r>
      <w:r w:rsidR="00802889" w:rsidRPr="00802889">
        <w:rPr>
          <w:color w:val="000000"/>
        </w:rPr>
        <w:t>8045</w:t>
      </w:r>
      <w:r w:rsidR="00802889">
        <w:rPr>
          <w:color w:val="000000"/>
        </w:rPr>
        <w:t xml:space="preserve"> (b</w:t>
      </w:r>
      <w:r w:rsidR="00802889" w:rsidRPr="00802889">
        <w:rPr>
          <w:color w:val="000000"/>
        </w:rPr>
        <w:t>rain disease due to trauma</w:t>
      </w:r>
      <w:r w:rsidR="00802889">
        <w:rPr>
          <w:color w:val="000000"/>
        </w:rPr>
        <w:t>)</w:t>
      </w:r>
      <w:r w:rsidR="0077083B" w:rsidRPr="0077083B">
        <w:rPr>
          <w:color w:val="000000"/>
        </w:rPr>
        <w:t xml:space="preserve">.  The seizure disorder was determined to be not unfitting.  The CI appealed to a Formal PEB </w:t>
      </w:r>
      <w:r w:rsidR="00550E05">
        <w:rPr>
          <w:color w:val="000000"/>
        </w:rPr>
        <w:t xml:space="preserve">(FPEB), which affirmed the </w:t>
      </w:r>
      <w:r w:rsidR="009837FE">
        <w:rPr>
          <w:color w:val="000000"/>
        </w:rPr>
        <w:t>I</w:t>
      </w:r>
      <w:r w:rsidR="0077083B" w:rsidRPr="0077083B">
        <w:rPr>
          <w:color w:val="000000"/>
        </w:rPr>
        <w:t xml:space="preserve">PEB findings; as did </w:t>
      </w:r>
      <w:r w:rsidR="0077083B" w:rsidRPr="0077083B">
        <w:rPr>
          <w:color w:val="000000"/>
          <w:szCs w:val="24"/>
        </w:rPr>
        <w:t>an advisory opinion from the</w:t>
      </w:r>
      <w:r w:rsidR="00711834" w:rsidRPr="0077083B">
        <w:rPr>
          <w:color w:val="000000"/>
          <w:szCs w:val="24"/>
        </w:rPr>
        <w:t xml:space="preserve"> </w:t>
      </w:r>
      <w:r w:rsidR="00711834" w:rsidRPr="0077083B">
        <w:rPr>
          <w:color w:val="000000" w:themeColor="text1"/>
          <w:szCs w:val="24"/>
        </w:rPr>
        <w:t>US Army Physical Disability Agency (USAPDA)</w:t>
      </w:r>
      <w:r w:rsidR="00846F4F">
        <w:rPr>
          <w:color w:val="000000" w:themeColor="text1"/>
          <w:szCs w:val="24"/>
        </w:rPr>
        <w:t>; and,</w:t>
      </w:r>
      <w:r w:rsidR="0077083B" w:rsidRPr="0077083B">
        <w:rPr>
          <w:color w:val="auto"/>
        </w:rPr>
        <w:t xml:space="preserve"> the CI </w:t>
      </w:r>
      <w:r w:rsidR="00711834" w:rsidRPr="0077083B">
        <w:rPr>
          <w:color w:val="000000"/>
          <w:szCs w:val="24"/>
        </w:rPr>
        <w:t>was medically separated with a 10% disability rating.</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62193A">
        <w:rPr>
          <w:color w:val="000000"/>
        </w:rPr>
        <w:t xml:space="preserve">Via counsel, the CI states </w:t>
      </w:r>
      <w:r w:rsidR="00773C45">
        <w:rPr>
          <w:color w:val="000000"/>
        </w:rPr>
        <w:t>“</w:t>
      </w:r>
      <w:r w:rsidR="0062193A" w:rsidRPr="00B3069F">
        <w:rPr>
          <w:color w:val="000000" w:themeColor="text1"/>
        </w:rPr>
        <w:t xml:space="preserve">The PEB </w:t>
      </w:r>
      <w:r w:rsidR="0062193A">
        <w:rPr>
          <w:color w:val="000000" w:themeColor="text1"/>
        </w:rPr>
        <w:t xml:space="preserve">(1) </w:t>
      </w:r>
      <w:r w:rsidR="0062193A" w:rsidRPr="00B3069F">
        <w:rPr>
          <w:color w:val="000000" w:themeColor="text1"/>
        </w:rPr>
        <w:t xml:space="preserve">unfairly and inaccurately rated </w:t>
      </w:r>
      <w:r w:rsidR="0062193A">
        <w:rPr>
          <w:color w:val="000000" w:themeColor="text1"/>
        </w:rPr>
        <w:t>[CI Name]</w:t>
      </w:r>
      <w:r w:rsidR="0062193A" w:rsidRPr="00B3069F">
        <w:rPr>
          <w:color w:val="000000" w:themeColor="text1"/>
        </w:rPr>
        <w:t xml:space="preserve"> a mere 10% for cognitive disorder secondary to traumatic brain injury ("TBI"), and (2)</w:t>
      </w:r>
      <w:r w:rsidR="0062193A">
        <w:rPr>
          <w:color w:val="000000" w:themeColor="text1"/>
        </w:rPr>
        <w:t xml:space="preserve"> </w:t>
      </w:r>
      <w:r w:rsidR="0062193A" w:rsidRPr="00B3069F">
        <w:rPr>
          <w:color w:val="000000" w:themeColor="text1"/>
        </w:rPr>
        <w:t xml:space="preserve">found </w:t>
      </w:r>
      <w:r w:rsidR="0062193A">
        <w:rPr>
          <w:color w:val="000000" w:themeColor="text1"/>
        </w:rPr>
        <w:t xml:space="preserve">[CI’s] </w:t>
      </w:r>
      <w:r w:rsidR="0062193A" w:rsidRPr="00B3069F">
        <w:rPr>
          <w:color w:val="000000" w:themeColor="text1"/>
        </w:rPr>
        <w:t>post traumatic seizure disorder ("PTSD") a medically fitting condition.</w:t>
      </w:r>
      <w:r w:rsidR="00773C45">
        <w:rPr>
          <w:color w:val="000000"/>
        </w:rPr>
        <w:t>”</w:t>
      </w:r>
      <w:r w:rsidR="004A2728">
        <w:rPr>
          <w:color w:val="000000"/>
        </w:rPr>
        <w:t xml:space="preserve"> </w:t>
      </w:r>
      <w:r w:rsidR="0062193A">
        <w:rPr>
          <w:color w:val="000000"/>
        </w:rPr>
        <w:t xml:space="preserve"> </w:t>
      </w:r>
      <w:r w:rsidR="0040717F" w:rsidRPr="00F64312">
        <w:rPr>
          <w:rFonts w:eastAsia="Cambria"/>
          <w:color w:val="auto"/>
          <w:szCs w:val="24"/>
        </w:rPr>
        <w:t xml:space="preserve">The </w:t>
      </w:r>
      <w:r w:rsidR="0040717F">
        <w:rPr>
          <w:rFonts w:eastAsia="Cambria"/>
          <w:color w:val="auto"/>
          <w:szCs w:val="24"/>
        </w:rPr>
        <w:t>application was accompanied by a</w:t>
      </w:r>
      <w:r w:rsidR="0040717F" w:rsidRPr="00F64312">
        <w:rPr>
          <w:rFonts w:eastAsia="Cambria"/>
          <w:color w:val="auto"/>
          <w:szCs w:val="24"/>
        </w:rPr>
        <w:t xml:space="preserve"> </w:t>
      </w:r>
      <w:r w:rsidR="00C349F3">
        <w:rPr>
          <w:rFonts w:eastAsia="Cambria"/>
          <w:color w:val="auto"/>
          <w:szCs w:val="24"/>
        </w:rPr>
        <w:t>20</w:t>
      </w:r>
      <w:r w:rsidR="0040717F" w:rsidRPr="00F64312">
        <w:rPr>
          <w:rFonts w:eastAsia="Cambria"/>
          <w:color w:val="auto"/>
          <w:szCs w:val="24"/>
        </w:rPr>
        <w:t xml:space="preserve"> page </w:t>
      </w:r>
      <w:r w:rsidR="00E963D6">
        <w:rPr>
          <w:rFonts w:eastAsia="Cambria"/>
          <w:color w:val="auto"/>
          <w:szCs w:val="24"/>
        </w:rPr>
        <w:t xml:space="preserve">legal </w:t>
      </w:r>
      <w:r w:rsidR="0040717F">
        <w:rPr>
          <w:rFonts w:eastAsia="Cambria"/>
          <w:color w:val="auto"/>
          <w:szCs w:val="24"/>
        </w:rPr>
        <w:t>brief</w:t>
      </w:r>
      <w:r w:rsidR="0040717F" w:rsidRPr="00071772">
        <w:rPr>
          <w:rFonts w:eastAsia="Cambria"/>
          <w:color w:val="auto"/>
          <w:szCs w:val="24"/>
        </w:rPr>
        <w:t xml:space="preserve"> </w:t>
      </w:r>
      <w:r w:rsidR="00C349F3">
        <w:rPr>
          <w:rFonts w:eastAsia="Cambria"/>
          <w:color w:val="auto"/>
          <w:szCs w:val="24"/>
        </w:rPr>
        <w:t>(</w:t>
      </w:r>
      <w:r w:rsidR="00E963D6">
        <w:rPr>
          <w:rFonts w:eastAsia="Cambria"/>
          <w:color w:val="auto"/>
          <w:szCs w:val="24"/>
        </w:rPr>
        <w:t>plus</w:t>
      </w:r>
      <w:r w:rsidR="00C349F3">
        <w:rPr>
          <w:rFonts w:eastAsia="Cambria"/>
          <w:color w:val="auto"/>
          <w:szCs w:val="24"/>
        </w:rPr>
        <w:t xml:space="preserve"> </w:t>
      </w:r>
      <w:r w:rsidR="00E963D6">
        <w:rPr>
          <w:rFonts w:eastAsia="Cambria"/>
          <w:color w:val="auto"/>
          <w:szCs w:val="24"/>
        </w:rPr>
        <w:t>voluminous</w:t>
      </w:r>
      <w:r w:rsidR="00C349F3">
        <w:rPr>
          <w:rFonts w:eastAsia="Cambria"/>
          <w:color w:val="auto"/>
          <w:szCs w:val="24"/>
        </w:rPr>
        <w:t xml:space="preserve"> appended evidence)</w:t>
      </w:r>
      <w:r w:rsidR="0040717F">
        <w:rPr>
          <w:rFonts w:eastAsia="Cambria"/>
          <w:color w:val="auto"/>
          <w:szCs w:val="24"/>
        </w:rPr>
        <w:t>,</w:t>
      </w:r>
      <w:r w:rsidR="0040717F" w:rsidRPr="00071772">
        <w:rPr>
          <w:rFonts w:eastAsia="Cambria"/>
          <w:color w:val="auto"/>
          <w:szCs w:val="24"/>
        </w:rPr>
        <w:t xml:space="preserve"> </w:t>
      </w:r>
      <w:r w:rsidR="0040717F" w:rsidRPr="00F64312">
        <w:rPr>
          <w:rFonts w:eastAsia="Cambria"/>
          <w:color w:val="auto"/>
          <w:szCs w:val="24"/>
        </w:rPr>
        <w:t>which was reviewed by the Board and considered in its recommendations.</w:t>
      </w:r>
      <w:r w:rsidR="0040717F">
        <w:rPr>
          <w:rFonts w:eastAsia="Cambria"/>
          <w:color w:val="auto"/>
          <w:szCs w:val="24"/>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w:t>
      </w:r>
      <w:r w:rsidR="00E963D6">
        <w:rPr>
          <w:color w:val="000000"/>
        </w:rPr>
        <w:t>DoDI</w:t>
      </w:r>
      <w:r w:rsidR="00DD44EA">
        <w:rPr>
          <w:color w:val="000000"/>
        </w:rPr>
        <w:t xml:space="preserve"> </w:t>
      </w:r>
      <w:r>
        <w:rPr>
          <w:color w:val="auto"/>
        </w:rPr>
        <w:t xml:space="preserve">6040.44 </w:t>
      </w:r>
      <w:r w:rsidR="003A6FCD">
        <w:rPr>
          <w:color w:val="auto"/>
        </w:rPr>
        <w:t>(Enclosure 3, paragraph 5.e.2)</w:t>
      </w:r>
      <w:r w:rsidR="003A6FCD" w:rsidRPr="00C566C9">
        <w:rPr>
          <w:color w:val="auto"/>
        </w:rPr>
        <w:t xml:space="preserve"> </w:t>
      </w:r>
      <w:r w:rsidRPr="00C566C9">
        <w:rPr>
          <w:color w:val="auto"/>
        </w:rPr>
        <w:t>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A12132">
        <w:rPr>
          <w:color w:val="auto"/>
        </w:rPr>
        <w:t>”</w:t>
      </w:r>
      <w:r>
        <w:rPr>
          <w:color w:val="auto"/>
        </w:rPr>
        <w:t xml:space="preserve">  </w:t>
      </w:r>
      <w:r w:rsidR="00E963D6" w:rsidRPr="00E963D6">
        <w:rPr>
          <w:color w:val="auto"/>
        </w:rPr>
        <w:t xml:space="preserve">Both the unfitting cognitive disorder and the seizure </w:t>
      </w:r>
      <w:r w:rsidR="00E963D6" w:rsidRPr="00A30D62">
        <w:rPr>
          <w:color w:val="auto"/>
        </w:rPr>
        <w:t xml:space="preserve">condition, adjudicated as not unfitting by the FPEB and requested for review, meet the prescribed </w:t>
      </w:r>
      <w:r w:rsidRPr="00A30D62">
        <w:rPr>
          <w:color w:val="auto"/>
        </w:rPr>
        <w:t>criteria for Board pu</w:t>
      </w:r>
      <w:r w:rsidR="00E963D6" w:rsidRPr="00A30D62">
        <w:rPr>
          <w:color w:val="auto"/>
        </w:rPr>
        <w:t>rview; and, are addressed below</w:t>
      </w:r>
      <w:r w:rsidRPr="00A30D62">
        <w:rPr>
          <w:color w:val="auto"/>
        </w:rPr>
        <w:t xml:space="preserve">.  </w:t>
      </w:r>
      <w:r w:rsidR="00C8066D" w:rsidRPr="00A30D62">
        <w:rPr>
          <w:color w:val="auto"/>
        </w:rPr>
        <w:t xml:space="preserve">The CI’s previous application to the Army Board for the Correction of Military Records (ABCMR) dated </w:t>
      </w:r>
      <w:r w:rsidR="00C6071F">
        <w:rPr>
          <w:color w:val="auto"/>
        </w:rPr>
        <w:t xml:space="preserve">21 July </w:t>
      </w:r>
      <w:r w:rsidR="00C8066D" w:rsidRPr="00A30D62">
        <w:rPr>
          <w:color w:val="auto"/>
        </w:rPr>
        <w:t>2009 and the ABCMR’s</w:t>
      </w:r>
      <w:r w:rsidR="00C8066D">
        <w:rPr>
          <w:color w:val="auto"/>
        </w:rPr>
        <w:t xml:space="preserve"> record of proceedings dated </w:t>
      </w:r>
      <w:r w:rsidR="00C6071F">
        <w:rPr>
          <w:color w:val="auto"/>
        </w:rPr>
        <w:t xml:space="preserve">14 January </w:t>
      </w:r>
      <w:r w:rsidR="00C8066D">
        <w:rPr>
          <w:color w:val="auto"/>
        </w:rPr>
        <w:t>2010</w:t>
      </w:r>
      <w:r w:rsidR="00C6071F">
        <w:rPr>
          <w:color w:val="auto"/>
        </w:rPr>
        <w:t xml:space="preserve"> </w:t>
      </w:r>
      <w:r w:rsidR="00C8066D">
        <w:rPr>
          <w:color w:val="auto"/>
        </w:rPr>
        <w:t xml:space="preserve">were reviewed, and the Board agrees that neither the rating for cognitive disorder nor the requested rating for seizure disorder were preempted by those proceedings.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w:t>
      </w:r>
      <w:r w:rsidR="00A30D62">
        <w:rPr>
          <w:color w:val="auto"/>
        </w:rPr>
        <w:t xml:space="preserve">previously considered by the ABMCR, </w:t>
      </w:r>
      <w:r>
        <w:rPr>
          <w:color w:val="auto"/>
        </w:rPr>
        <w:t>remain</w:t>
      </w:r>
      <w:r w:rsidRPr="00C566C9">
        <w:rPr>
          <w:color w:val="auto"/>
        </w:rPr>
        <w:t xml:space="preserve"> eligible for future consideration by </w:t>
      </w:r>
      <w:r w:rsidR="00A30D62">
        <w:rPr>
          <w:color w:val="auto"/>
        </w:rPr>
        <w:t xml:space="preserve">ABMCR.  </w:t>
      </w:r>
      <w:r>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Pr="009C73EA" w:rsidRDefault="009C73EA" w:rsidP="009C73EA">
      <w:pPr>
        <w:spacing w:line="240" w:lineRule="auto"/>
        <w:jc w:val="left"/>
        <w:rPr>
          <w:color w:val="000000"/>
          <w:u w:val="single"/>
        </w:rPr>
      </w:pPr>
      <w:r>
        <w:rPr>
          <w:color w:val="000000"/>
          <w:u w:val="single"/>
        </w:rPr>
        <w:br w:type="page"/>
      </w:r>
      <w:r w:rsidR="00AD2379" w:rsidRPr="001F29F9">
        <w:rPr>
          <w:color w:val="000000"/>
          <w:u w:val="single"/>
        </w:rPr>
        <w:lastRenderedPageBreak/>
        <w:t>RATING COMPARISON</w:t>
      </w:r>
      <w:r w:rsidR="00AD2379" w:rsidRPr="001F29F9">
        <w:rPr>
          <w:color w:val="000000"/>
        </w:rPr>
        <w:t>:</w:t>
      </w:r>
      <w:r w:rsidR="00AD2379"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718"/>
        <w:gridCol w:w="720"/>
        <w:gridCol w:w="720"/>
        <w:gridCol w:w="2790"/>
        <w:gridCol w:w="720"/>
        <w:gridCol w:w="720"/>
        <w:gridCol w:w="960"/>
      </w:tblGrid>
      <w:tr w:rsidR="007A6BDB" w:rsidRPr="000D5DBE" w:rsidTr="007A6BDB">
        <w:trPr>
          <w:trHeight w:val="170"/>
        </w:trPr>
        <w:tc>
          <w:tcPr>
            <w:tcW w:w="4158" w:type="dxa"/>
            <w:gridSpan w:val="3"/>
            <w:tcBorders>
              <w:right w:val="thinThickThinSmallGap" w:sz="24" w:space="0" w:color="auto"/>
            </w:tcBorders>
            <w:shd w:val="clear" w:color="auto" w:fill="D9D9D9"/>
            <w:vAlign w:val="center"/>
          </w:tcPr>
          <w:p w:rsidR="007A6BDB" w:rsidRPr="001F29F9" w:rsidRDefault="007A6BDB" w:rsidP="007A6BDB">
            <w:pPr>
              <w:contextualSpacing/>
              <w:rPr>
                <w:rFonts w:cs="Calibri"/>
                <w:b/>
                <w:color w:val="000000" w:themeColor="text1"/>
                <w:sz w:val="18"/>
                <w:szCs w:val="18"/>
              </w:rPr>
            </w:pPr>
            <w:r w:rsidRPr="001F29F9">
              <w:rPr>
                <w:rFonts w:cs="Calibri"/>
                <w:b/>
                <w:color w:val="000000" w:themeColor="text1"/>
                <w:sz w:val="18"/>
                <w:szCs w:val="18"/>
              </w:rPr>
              <w:t xml:space="preserve">Service </w:t>
            </w:r>
            <w:r>
              <w:rPr>
                <w:rFonts w:cs="Calibri"/>
                <w:b/>
                <w:color w:val="000000" w:themeColor="text1"/>
                <w:sz w:val="18"/>
                <w:szCs w:val="18"/>
              </w:rPr>
              <w:t>F</w:t>
            </w:r>
            <w:r w:rsidRPr="001F29F9">
              <w:rPr>
                <w:rFonts w:cs="Calibri"/>
                <w:b/>
                <w:color w:val="000000" w:themeColor="text1"/>
                <w:sz w:val="18"/>
                <w:szCs w:val="18"/>
              </w:rPr>
              <w:t>PEB – Dated 200</w:t>
            </w:r>
            <w:r>
              <w:rPr>
                <w:rFonts w:cs="Calibri"/>
                <w:b/>
                <w:color w:val="000000" w:themeColor="text1"/>
                <w:sz w:val="18"/>
                <w:szCs w:val="18"/>
              </w:rPr>
              <w:t>60505</w:t>
            </w:r>
          </w:p>
        </w:tc>
        <w:tc>
          <w:tcPr>
            <w:tcW w:w="5190" w:type="dxa"/>
            <w:gridSpan w:val="4"/>
            <w:tcBorders>
              <w:left w:val="thinThickThinSmallGap" w:sz="24" w:space="0" w:color="auto"/>
            </w:tcBorders>
            <w:shd w:val="clear" w:color="auto" w:fill="D9D9D9"/>
            <w:vAlign w:val="center"/>
          </w:tcPr>
          <w:p w:rsidR="007A6BDB" w:rsidRPr="001F29F9" w:rsidRDefault="007A6BDB" w:rsidP="007A6BDB">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~10</w:t>
            </w:r>
            <w:r w:rsidRPr="001F29F9">
              <w:rPr>
                <w:rFonts w:cs="Calibri"/>
                <w:b/>
                <w:color w:val="000000" w:themeColor="text1"/>
                <w:sz w:val="18"/>
                <w:szCs w:val="18"/>
              </w:rPr>
              <w:t xml:space="preserve"> Mo. </w:t>
            </w:r>
            <w:r>
              <w:rPr>
                <w:rFonts w:cs="Calibri"/>
                <w:b/>
                <w:color w:val="000000" w:themeColor="text1"/>
                <w:sz w:val="18"/>
                <w:szCs w:val="18"/>
              </w:rPr>
              <w:t>Post-</w:t>
            </w:r>
            <w:r w:rsidRPr="001F29F9">
              <w:rPr>
                <w:rFonts w:cs="Calibri"/>
                <w:b/>
                <w:color w:val="000000" w:themeColor="text1"/>
                <w:sz w:val="18"/>
                <w:szCs w:val="18"/>
              </w:rPr>
              <w:t>Separation) –</w:t>
            </w:r>
            <w:r>
              <w:rPr>
                <w:rFonts w:cs="Calibri"/>
                <w:b/>
                <w:color w:val="000000" w:themeColor="text1"/>
                <w:sz w:val="18"/>
                <w:szCs w:val="18"/>
              </w:rPr>
              <w:t xml:space="preserve"> </w:t>
            </w:r>
            <w:r w:rsidRPr="001F29F9">
              <w:rPr>
                <w:rFonts w:cs="Calibri"/>
                <w:b/>
                <w:color w:val="000000" w:themeColor="text1"/>
                <w:sz w:val="18"/>
                <w:szCs w:val="18"/>
              </w:rPr>
              <w:t>Effective 200</w:t>
            </w:r>
            <w:r>
              <w:rPr>
                <w:rFonts w:cs="Calibri"/>
                <w:b/>
                <w:color w:val="000000" w:themeColor="text1"/>
                <w:sz w:val="18"/>
                <w:szCs w:val="18"/>
              </w:rPr>
              <w:t>60826</w:t>
            </w:r>
          </w:p>
        </w:tc>
      </w:tr>
      <w:tr w:rsidR="00261B7E" w:rsidRPr="000D5DBE" w:rsidTr="007A6BDB">
        <w:trPr>
          <w:trHeight w:val="97"/>
        </w:trPr>
        <w:tc>
          <w:tcPr>
            <w:tcW w:w="2718" w:type="dxa"/>
            <w:tcBorders>
              <w:righ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720" w:type="dxa"/>
            <w:tcBorders>
              <w:lef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2790" w:type="dxa"/>
            <w:tcBorders>
              <w:lef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72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Exam</w:t>
            </w:r>
          </w:p>
        </w:tc>
      </w:tr>
      <w:tr w:rsidR="007A6BDB" w:rsidRPr="000D5DBE" w:rsidTr="00CB789D">
        <w:trPr>
          <w:trHeight w:val="476"/>
        </w:trPr>
        <w:tc>
          <w:tcPr>
            <w:tcW w:w="2718" w:type="dxa"/>
            <w:tcBorders>
              <w:right w:val="single" w:sz="4" w:space="0" w:color="auto"/>
            </w:tcBorders>
            <w:shd w:val="clear" w:color="auto" w:fill="FFFFFF"/>
            <w:vAlign w:val="center"/>
          </w:tcPr>
          <w:p w:rsidR="007A6BDB" w:rsidRDefault="007A6BDB" w:rsidP="007A6BDB">
            <w:pPr>
              <w:spacing w:line="180" w:lineRule="exact"/>
              <w:contextualSpacing/>
              <w:jc w:val="left"/>
              <w:rPr>
                <w:rFonts w:cs="Calibri"/>
                <w:color w:val="000000" w:themeColor="text1"/>
                <w:sz w:val="18"/>
                <w:szCs w:val="18"/>
              </w:rPr>
            </w:pPr>
            <w:r>
              <w:rPr>
                <w:rFonts w:cs="Calibri"/>
                <w:color w:val="000000" w:themeColor="text1"/>
                <w:sz w:val="18"/>
                <w:szCs w:val="18"/>
              </w:rPr>
              <w:t xml:space="preserve">Cognitive Disorder, NOS, </w:t>
            </w:r>
          </w:p>
          <w:p w:rsidR="007A6BDB" w:rsidRPr="001F29F9" w:rsidRDefault="00A12132" w:rsidP="007A6BDB">
            <w:pPr>
              <w:spacing w:line="180" w:lineRule="exact"/>
              <w:contextualSpacing/>
              <w:jc w:val="left"/>
              <w:rPr>
                <w:rFonts w:cs="Calibri"/>
                <w:color w:val="000000" w:themeColor="text1"/>
                <w:sz w:val="18"/>
                <w:szCs w:val="18"/>
              </w:rPr>
            </w:pPr>
            <w:r>
              <w:rPr>
                <w:rFonts w:cs="Calibri"/>
                <w:color w:val="000000" w:themeColor="text1"/>
                <w:sz w:val="18"/>
                <w:szCs w:val="18"/>
              </w:rPr>
              <w:t>Secondary</w:t>
            </w:r>
            <w:r w:rsidR="007A6BDB">
              <w:rPr>
                <w:rFonts w:cs="Calibri"/>
                <w:color w:val="000000" w:themeColor="text1"/>
                <w:sz w:val="18"/>
                <w:szCs w:val="18"/>
              </w:rPr>
              <w:t xml:space="preserve">  to TBI </w:t>
            </w:r>
          </w:p>
        </w:tc>
        <w:tc>
          <w:tcPr>
            <w:tcW w:w="720" w:type="dxa"/>
            <w:tcBorders>
              <w:left w:val="single" w:sz="4" w:space="0" w:color="auto"/>
            </w:tcBorders>
            <w:shd w:val="clear" w:color="auto" w:fill="FFFFFF"/>
            <w:vAlign w:val="center"/>
          </w:tcPr>
          <w:p w:rsidR="007A6BDB" w:rsidRPr="001F29F9" w:rsidRDefault="007A6BDB" w:rsidP="007A6BDB">
            <w:pPr>
              <w:spacing w:line="180" w:lineRule="exact"/>
              <w:contextualSpacing/>
              <w:rPr>
                <w:rFonts w:cs="Calibri"/>
                <w:color w:val="000000" w:themeColor="text1"/>
                <w:sz w:val="18"/>
                <w:szCs w:val="18"/>
              </w:rPr>
            </w:pPr>
            <w:r>
              <w:rPr>
                <w:rFonts w:cs="Calibri"/>
                <w:color w:val="000000" w:themeColor="text1"/>
                <w:sz w:val="18"/>
                <w:szCs w:val="18"/>
              </w:rPr>
              <w:t>8045-9304</w:t>
            </w:r>
          </w:p>
        </w:tc>
        <w:tc>
          <w:tcPr>
            <w:tcW w:w="720" w:type="dxa"/>
            <w:tcBorders>
              <w:right w:val="thinThickThinSmallGap" w:sz="24" w:space="0" w:color="auto"/>
            </w:tcBorders>
            <w:shd w:val="clear" w:color="auto" w:fill="FFFFFF"/>
            <w:vAlign w:val="center"/>
          </w:tcPr>
          <w:p w:rsidR="007A6BDB" w:rsidRPr="001F29F9" w:rsidRDefault="007A6BDB" w:rsidP="007A6BDB">
            <w:pPr>
              <w:spacing w:line="18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790" w:type="dxa"/>
            <w:vMerge w:val="restart"/>
            <w:tcBorders>
              <w:left w:val="thinThickThinSmallGap" w:sz="24" w:space="0" w:color="auto"/>
            </w:tcBorders>
            <w:shd w:val="clear" w:color="auto" w:fill="FFFFFF"/>
            <w:vAlign w:val="center"/>
          </w:tcPr>
          <w:p w:rsidR="007A6BDB" w:rsidRPr="001F29F9" w:rsidRDefault="007A6BDB" w:rsidP="007A6BDB">
            <w:pPr>
              <w:spacing w:line="180" w:lineRule="exact"/>
              <w:contextualSpacing/>
              <w:jc w:val="left"/>
              <w:rPr>
                <w:rFonts w:cs="Calibri"/>
                <w:color w:val="000000" w:themeColor="text1"/>
                <w:sz w:val="18"/>
                <w:szCs w:val="18"/>
              </w:rPr>
            </w:pPr>
            <w:r>
              <w:rPr>
                <w:rFonts w:cs="Calibri"/>
                <w:color w:val="000000" w:themeColor="text1"/>
                <w:sz w:val="18"/>
                <w:szCs w:val="18"/>
              </w:rPr>
              <w:t xml:space="preserve">Residuals from TBI, Skull Loss, Seizure, Scars, Bilateral Knee, Low Back, Extremity </w:t>
            </w:r>
            <w:r w:rsidR="00CB789D">
              <w:rPr>
                <w:rFonts w:cs="Calibri"/>
                <w:color w:val="000000" w:themeColor="text1"/>
                <w:sz w:val="18"/>
                <w:szCs w:val="18"/>
              </w:rPr>
              <w:t xml:space="preserve">Weakness and Shrapnel </w:t>
            </w:r>
            <w:r>
              <w:rPr>
                <w:rFonts w:cs="Calibri"/>
                <w:color w:val="000000" w:themeColor="text1"/>
                <w:sz w:val="18"/>
                <w:szCs w:val="18"/>
              </w:rPr>
              <w:t>Injuries</w:t>
            </w:r>
          </w:p>
        </w:tc>
        <w:tc>
          <w:tcPr>
            <w:tcW w:w="720" w:type="dxa"/>
            <w:vMerge w:val="restart"/>
            <w:shd w:val="clear" w:color="auto" w:fill="FFFFFF"/>
            <w:vAlign w:val="center"/>
          </w:tcPr>
          <w:p w:rsidR="007A6BDB" w:rsidRPr="001F29F9" w:rsidRDefault="007A6BDB" w:rsidP="007A6BDB">
            <w:pPr>
              <w:spacing w:line="180" w:lineRule="exact"/>
              <w:contextualSpacing/>
              <w:rPr>
                <w:rFonts w:cs="Calibri"/>
                <w:color w:val="000000" w:themeColor="text1"/>
                <w:sz w:val="18"/>
                <w:szCs w:val="18"/>
              </w:rPr>
            </w:pPr>
            <w:r>
              <w:rPr>
                <w:rFonts w:cs="Calibri"/>
                <w:color w:val="000000" w:themeColor="text1"/>
                <w:sz w:val="18"/>
                <w:szCs w:val="18"/>
              </w:rPr>
              <w:t>8045-9304</w:t>
            </w:r>
          </w:p>
        </w:tc>
        <w:tc>
          <w:tcPr>
            <w:tcW w:w="720" w:type="dxa"/>
            <w:vMerge w:val="restart"/>
            <w:shd w:val="clear" w:color="auto" w:fill="FFFFFF"/>
            <w:vAlign w:val="center"/>
          </w:tcPr>
          <w:p w:rsidR="007A6BDB" w:rsidRPr="001F29F9" w:rsidRDefault="007A6BDB" w:rsidP="007A6BDB">
            <w:pPr>
              <w:spacing w:line="180" w:lineRule="exact"/>
              <w:contextualSpacing/>
              <w:rPr>
                <w:rFonts w:cs="Calibri"/>
                <w:color w:val="000000" w:themeColor="text1"/>
                <w:sz w:val="18"/>
                <w:szCs w:val="18"/>
              </w:rPr>
            </w:pPr>
            <w:r>
              <w:rPr>
                <w:rFonts w:cs="Calibri"/>
                <w:color w:val="000000" w:themeColor="text1"/>
                <w:sz w:val="18"/>
                <w:szCs w:val="18"/>
              </w:rPr>
              <w:t>100</w:t>
            </w:r>
            <w:r w:rsidRPr="001F29F9">
              <w:rPr>
                <w:rFonts w:cs="Calibri"/>
                <w:color w:val="000000" w:themeColor="text1"/>
                <w:sz w:val="18"/>
                <w:szCs w:val="18"/>
              </w:rPr>
              <w:t>%</w:t>
            </w:r>
            <w:r>
              <w:rPr>
                <w:rFonts w:cs="Calibri"/>
                <w:color w:val="000000" w:themeColor="text1"/>
                <w:sz w:val="18"/>
                <w:szCs w:val="18"/>
              </w:rPr>
              <w:t>*</w:t>
            </w:r>
          </w:p>
        </w:tc>
        <w:tc>
          <w:tcPr>
            <w:tcW w:w="960" w:type="dxa"/>
            <w:vMerge w:val="restart"/>
            <w:shd w:val="clear" w:color="auto" w:fill="FFFFFF"/>
            <w:vAlign w:val="center"/>
          </w:tcPr>
          <w:p w:rsidR="007A6BDB" w:rsidRPr="001F29F9" w:rsidRDefault="007A6BDB" w:rsidP="007A6BDB">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70620</w:t>
            </w:r>
          </w:p>
        </w:tc>
      </w:tr>
      <w:tr w:rsidR="007A6BDB" w:rsidRPr="000D5DBE" w:rsidTr="00CB789D">
        <w:trPr>
          <w:trHeight w:val="66"/>
        </w:trPr>
        <w:tc>
          <w:tcPr>
            <w:tcW w:w="2718" w:type="dxa"/>
            <w:tcBorders>
              <w:right w:val="single" w:sz="4" w:space="0" w:color="auto"/>
            </w:tcBorders>
            <w:shd w:val="clear" w:color="auto" w:fill="FFFFFF"/>
            <w:vAlign w:val="center"/>
          </w:tcPr>
          <w:p w:rsidR="007A6BDB" w:rsidRPr="001F29F9" w:rsidRDefault="007A6BDB" w:rsidP="001968BB">
            <w:pPr>
              <w:spacing w:line="220" w:lineRule="exact"/>
              <w:contextualSpacing/>
              <w:jc w:val="left"/>
              <w:rPr>
                <w:rFonts w:cs="Calibri"/>
                <w:color w:val="000000"/>
                <w:sz w:val="18"/>
              </w:rPr>
            </w:pPr>
            <w:r>
              <w:rPr>
                <w:rFonts w:cs="Calibri"/>
                <w:color w:val="000000"/>
                <w:sz w:val="18"/>
              </w:rPr>
              <w:t>Post-Traumatic Seizure Disorder</w:t>
            </w:r>
          </w:p>
        </w:tc>
        <w:tc>
          <w:tcPr>
            <w:tcW w:w="1440" w:type="dxa"/>
            <w:gridSpan w:val="2"/>
            <w:tcBorders>
              <w:left w:val="single" w:sz="4" w:space="0" w:color="auto"/>
              <w:right w:val="thinThickThinSmallGap" w:sz="24" w:space="0" w:color="auto"/>
            </w:tcBorders>
            <w:shd w:val="clear" w:color="auto" w:fill="FFFFFF"/>
            <w:vAlign w:val="center"/>
          </w:tcPr>
          <w:p w:rsidR="007A6BDB" w:rsidRPr="00D8352E" w:rsidRDefault="007A6BDB" w:rsidP="001968BB">
            <w:pPr>
              <w:spacing w:line="220" w:lineRule="exact"/>
              <w:contextualSpacing/>
              <w:rPr>
                <w:rFonts w:cs="Calibri"/>
                <w:color w:val="000000"/>
                <w:sz w:val="18"/>
              </w:rPr>
            </w:pPr>
            <w:r w:rsidRPr="00D8352E">
              <w:rPr>
                <w:color w:val="000000"/>
                <w:sz w:val="18"/>
              </w:rPr>
              <w:t>Not Unfitting</w:t>
            </w:r>
          </w:p>
        </w:tc>
        <w:tc>
          <w:tcPr>
            <w:tcW w:w="2790" w:type="dxa"/>
            <w:vMerge/>
            <w:tcBorders>
              <w:left w:val="thinThickThinSmallGap" w:sz="24" w:space="0" w:color="auto"/>
            </w:tcBorders>
            <w:shd w:val="clear" w:color="auto" w:fill="FFFFFF"/>
            <w:vAlign w:val="center"/>
          </w:tcPr>
          <w:p w:rsidR="007A6BDB" w:rsidRPr="001F29F9" w:rsidRDefault="007A6BDB" w:rsidP="001968BB">
            <w:pPr>
              <w:spacing w:line="220" w:lineRule="exact"/>
              <w:contextualSpacing/>
              <w:jc w:val="left"/>
              <w:rPr>
                <w:rFonts w:cs="Calibri"/>
                <w:color w:val="000000"/>
                <w:sz w:val="18"/>
              </w:rPr>
            </w:pPr>
          </w:p>
        </w:tc>
        <w:tc>
          <w:tcPr>
            <w:tcW w:w="720" w:type="dxa"/>
            <w:vMerge/>
            <w:shd w:val="clear" w:color="auto" w:fill="FFFFFF"/>
            <w:vAlign w:val="center"/>
          </w:tcPr>
          <w:p w:rsidR="007A6BDB" w:rsidRPr="001F29F9" w:rsidRDefault="007A6BDB" w:rsidP="001968BB">
            <w:pPr>
              <w:spacing w:line="220" w:lineRule="exact"/>
              <w:contextualSpacing/>
              <w:rPr>
                <w:rFonts w:cs="Calibri"/>
                <w:color w:val="000000"/>
                <w:sz w:val="18"/>
              </w:rPr>
            </w:pPr>
          </w:p>
        </w:tc>
        <w:tc>
          <w:tcPr>
            <w:tcW w:w="720" w:type="dxa"/>
            <w:vMerge/>
            <w:shd w:val="clear" w:color="auto" w:fill="FFFFFF"/>
            <w:vAlign w:val="center"/>
          </w:tcPr>
          <w:p w:rsidR="007A6BDB" w:rsidRPr="00D8352E" w:rsidRDefault="007A6BDB" w:rsidP="001968BB">
            <w:pPr>
              <w:spacing w:line="220" w:lineRule="exact"/>
              <w:contextualSpacing/>
              <w:rPr>
                <w:rFonts w:cs="Calibri"/>
                <w:color w:val="000000"/>
                <w:sz w:val="18"/>
              </w:rPr>
            </w:pPr>
          </w:p>
        </w:tc>
        <w:tc>
          <w:tcPr>
            <w:tcW w:w="960" w:type="dxa"/>
            <w:vMerge/>
            <w:shd w:val="clear" w:color="auto" w:fill="FFFFFF"/>
            <w:vAlign w:val="center"/>
          </w:tcPr>
          <w:p w:rsidR="007A6BDB" w:rsidRPr="00D8352E" w:rsidRDefault="007A6BDB" w:rsidP="001968BB">
            <w:pPr>
              <w:spacing w:line="220" w:lineRule="exact"/>
              <w:contextualSpacing/>
              <w:rPr>
                <w:rFonts w:cs="Calibri"/>
                <w:color w:val="000000"/>
                <w:sz w:val="18"/>
              </w:rPr>
            </w:pPr>
          </w:p>
        </w:tc>
      </w:tr>
      <w:tr w:rsidR="00AD2379" w:rsidRPr="000D5DBE" w:rsidTr="007A6BDB">
        <w:trPr>
          <w:trHeight w:val="124"/>
        </w:trPr>
        <w:tc>
          <w:tcPr>
            <w:tcW w:w="4158" w:type="dxa"/>
            <w:gridSpan w:val="3"/>
            <w:tcBorders>
              <w:right w:val="thinThickThinSmallGap" w:sz="24" w:space="0" w:color="auto"/>
            </w:tcBorders>
            <w:shd w:val="clear" w:color="auto" w:fill="D9D9D9"/>
          </w:tcPr>
          <w:p w:rsidR="00AD2379" w:rsidRPr="000D5DBE" w:rsidRDefault="00463478" w:rsidP="001968BB">
            <w:pPr>
              <w:contextualSpacing/>
              <w:rPr>
                <w:rFonts w:cs="Calibri"/>
                <w:b/>
                <w:color w:val="000000"/>
                <w:sz w:val="18"/>
              </w:rPr>
            </w:pPr>
            <w:r>
              <w:rPr>
                <w:b/>
                <w:color w:val="000000"/>
                <w:sz w:val="18"/>
              </w:rPr>
              <w:t>Combined:</w:t>
            </w:r>
            <w:r w:rsidR="007A6BDB">
              <w:rPr>
                <w:b/>
                <w:color w:val="000000"/>
                <w:sz w:val="18"/>
              </w:rPr>
              <w:t xml:space="preserve">  1</w:t>
            </w:r>
            <w:r w:rsidR="00AD2379" w:rsidRPr="000D5DBE">
              <w:rPr>
                <w:b/>
                <w:color w:val="000000"/>
                <w:sz w:val="18"/>
              </w:rPr>
              <w:t>0%</w:t>
            </w:r>
          </w:p>
        </w:tc>
        <w:tc>
          <w:tcPr>
            <w:tcW w:w="5190" w:type="dxa"/>
            <w:gridSpan w:val="4"/>
            <w:tcBorders>
              <w:left w:val="thinThickThinSmallGap" w:sz="24" w:space="0" w:color="auto"/>
            </w:tcBorders>
            <w:shd w:val="clear" w:color="auto" w:fill="D9D9D9"/>
          </w:tcPr>
          <w:p w:rsidR="00AD2379" w:rsidRPr="000D5DBE" w:rsidRDefault="007A6BDB" w:rsidP="001968BB">
            <w:pPr>
              <w:contextualSpacing/>
              <w:rPr>
                <w:rFonts w:cs="Calibri"/>
                <w:b/>
                <w:color w:val="000000"/>
                <w:sz w:val="18"/>
              </w:rPr>
            </w:pPr>
            <w:r>
              <w:rPr>
                <w:b/>
                <w:color w:val="000000"/>
                <w:sz w:val="18"/>
              </w:rPr>
              <w:t>Combined:  10</w:t>
            </w:r>
            <w:r w:rsidR="00AD2379" w:rsidRPr="000D5DBE">
              <w:rPr>
                <w:b/>
                <w:color w:val="000000"/>
                <w:sz w:val="18"/>
              </w:rPr>
              <w:t>0%</w:t>
            </w:r>
          </w:p>
        </w:tc>
      </w:tr>
    </w:tbl>
    <w:p w:rsidR="009C73EA" w:rsidRDefault="009C73EA" w:rsidP="009C73EA">
      <w:pPr>
        <w:pBdr>
          <w:bottom w:val="single" w:sz="12" w:space="1" w:color="auto"/>
        </w:pBdr>
        <w:tabs>
          <w:tab w:val="left" w:pos="288"/>
          <w:tab w:val="left" w:pos="4752"/>
        </w:tabs>
        <w:spacing w:line="180" w:lineRule="exact"/>
        <w:jc w:val="both"/>
        <w:rPr>
          <w:color w:val="000000" w:themeColor="text1"/>
          <w:sz w:val="18"/>
          <w:szCs w:val="18"/>
        </w:rPr>
      </w:pPr>
      <w:r>
        <w:rPr>
          <w:color w:val="000000"/>
          <w:sz w:val="18"/>
          <w:szCs w:val="18"/>
        </w:rPr>
        <w:t xml:space="preserve">* </w:t>
      </w:r>
      <w:r>
        <w:rPr>
          <w:color w:val="000000" w:themeColor="text1"/>
          <w:sz w:val="18"/>
          <w:szCs w:val="18"/>
        </w:rPr>
        <w:t>Pre-stabilization rating based on individual unemployability;</w:t>
      </w:r>
      <w:r w:rsidR="00802889">
        <w:rPr>
          <w:color w:val="000000" w:themeColor="text1"/>
          <w:sz w:val="18"/>
          <w:szCs w:val="18"/>
        </w:rPr>
        <w:t xml:space="preserve"> a</w:t>
      </w:r>
      <w:r>
        <w:rPr>
          <w:color w:val="000000" w:themeColor="text1"/>
          <w:sz w:val="18"/>
          <w:szCs w:val="18"/>
        </w:rPr>
        <w:t xml:space="preserve"> subsequent VA decision (20071010) separately rated</w:t>
      </w:r>
      <w:r w:rsidRPr="009C73EA">
        <w:rPr>
          <w:color w:val="000000" w:themeColor="text1"/>
          <w:sz w:val="18"/>
          <w:szCs w:val="18"/>
        </w:rPr>
        <w:t xml:space="preserve"> </w:t>
      </w:r>
      <w:r>
        <w:rPr>
          <w:color w:val="000000" w:themeColor="text1"/>
          <w:sz w:val="18"/>
          <w:szCs w:val="18"/>
        </w:rPr>
        <w:t>each</w:t>
      </w:r>
      <w:r w:rsidRPr="009C73EA">
        <w:rPr>
          <w:color w:val="000000" w:themeColor="text1"/>
          <w:sz w:val="18"/>
          <w:szCs w:val="18"/>
        </w:rPr>
        <w:t xml:space="preserve"> </w:t>
      </w:r>
      <w:r>
        <w:rPr>
          <w:color w:val="000000" w:themeColor="text1"/>
          <w:sz w:val="18"/>
          <w:szCs w:val="18"/>
        </w:rPr>
        <w:t>of 13</w:t>
      </w:r>
    </w:p>
    <w:p w:rsidR="007A6BDB" w:rsidRDefault="009C73EA" w:rsidP="009C73EA">
      <w:pPr>
        <w:pBdr>
          <w:bottom w:val="single" w:sz="12" w:space="1" w:color="auto"/>
        </w:pBdr>
        <w:tabs>
          <w:tab w:val="left" w:pos="288"/>
          <w:tab w:val="left" w:pos="4752"/>
        </w:tabs>
        <w:spacing w:line="180" w:lineRule="exact"/>
        <w:jc w:val="both"/>
        <w:rPr>
          <w:color w:val="000000"/>
          <w:sz w:val="18"/>
          <w:szCs w:val="18"/>
        </w:rPr>
      </w:pPr>
      <w:r>
        <w:rPr>
          <w:color w:val="000000" w:themeColor="text1"/>
          <w:sz w:val="18"/>
          <w:szCs w:val="18"/>
        </w:rPr>
        <w:t xml:space="preserve">   </w:t>
      </w:r>
      <w:proofErr w:type="gramStart"/>
      <w:r>
        <w:rPr>
          <w:color w:val="000000" w:themeColor="text1"/>
          <w:sz w:val="18"/>
          <w:szCs w:val="18"/>
        </w:rPr>
        <w:t>residual</w:t>
      </w:r>
      <w:proofErr w:type="gramEnd"/>
      <w:r>
        <w:rPr>
          <w:color w:val="000000" w:themeColor="text1"/>
          <w:sz w:val="18"/>
          <w:szCs w:val="18"/>
        </w:rPr>
        <w:t xml:space="preserve"> conditions, effective 20070620, achieving a combined rating of 100%.</w:t>
      </w:r>
    </w:p>
    <w:p w:rsidR="009C73EA" w:rsidRPr="009C73EA" w:rsidRDefault="009C73EA" w:rsidP="009C73EA">
      <w:pPr>
        <w:pBdr>
          <w:bottom w:val="single" w:sz="12" w:space="1" w:color="auto"/>
        </w:pBdr>
        <w:tabs>
          <w:tab w:val="left" w:pos="288"/>
          <w:tab w:val="left" w:pos="4752"/>
        </w:tabs>
        <w:spacing w:after="200" w:line="180" w:lineRule="exact"/>
        <w:jc w:val="both"/>
        <w:rPr>
          <w:color w:val="000000"/>
          <w:sz w:val="18"/>
          <w:szCs w:val="18"/>
        </w:rPr>
      </w:pPr>
    </w:p>
    <w:p w:rsidR="00E65C35"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r w:rsidR="00E65C35">
        <w:rPr>
          <w:color w:val="000000"/>
        </w:rPr>
        <w:t xml:space="preserve"> It is noted that a good portion of the submitted legal brief is devoted to valid arguments for achieving a higher rating for cognitive disorder under the </w:t>
      </w:r>
      <w:r w:rsidR="000A2AB9">
        <w:rPr>
          <w:color w:val="000000"/>
        </w:rPr>
        <w:t xml:space="preserve">current </w:t>
      </w:r>
      <w:r w:rsidR="00C6071F">
        <w:rPr>
          <w:color w:val="000000"/>
        </w:rPr>
        <w:t>VASRD</w:t>
      </w:r>
      <w:r w:rsidR="00E65C35">
        <w:rPr>
          <w:color w:val="000000"/>
        </w:rPr>
        <w:t xml:space="preserve"> criteria for code 8045 (residuals of TBI)</w:t>
      </w:r>
      <w:r w:rsidR="00732243">
        <w:rPr>
          <w:color w:val="000000"/>
        </w:rPr>
        <w:t>,</w:t>
      </w:r>
      <w:r w:rsidR="009C73EA">
        <w:rPr>
          <w:color w:val="000000"/>
        </w:rPr>
        <w:t xml:space="preserve"> which were not in effect until </w:t>
      </w:r>
      <w:r w:rsidR="00C6071F">
        <w:rPr>
          <w:color w:val="000000"/>
        </w:rPr>
        <w:t xml:space="preserve">23 October </w:t>
      </w:r>
      <w:r w:rsidR="009C73EA">
        <w:rPr>
          <w:color w:val="000000"/>
        </w:rPr>
        <w:t>2008</w:t>
      </w:r>
      <w:r w:rsidR="00E65C35">
        <w:rPr>
          <w:color w:val="000000"/>
        </w:rPr>
        <w:t>.  DoDI 6040.44 (</w:t>
      </w:r>
      <w:r w:rsidR="00C6071F">
        <w:rPr>
          <w:color w:val="000000"/>
        </w:rPr>
        <w:t>e</w:t>
      </w:r>
      <w:r w:rsidR="00E65C35">
        <w:rPr>
          <w:color w:val="000000"/>
        </w:rPr>
        <w:t>nclosure 3, 4.d)</w:t>
      </w:r>
      <w:r w:rsidR="00C6071F">
        <w:rPr>
          <w:color w:val="000000"/>
        </w:rPr>
        <w:t>;</w:t>
      </w:r>
      <w:r w:rsidR="00E65C35">
        <w:rPr>
          <w:color w:val="000000"/>
        </w:rPr>
        <w:t xml:space="preserve"> </w:t>
      </w:r>
      <w:r w:rsidR="000A2AB9">
        <w:rPr>
          <w:color w:val="000000"/>
        </w:rPr>
        <w:t xml:space="preserve">however, </w:t>
      </w:r>
      <w:r w:rsidR="00E65C35">
        <w:rPr>
          <w:color w:val="000000"/>
        </w:rPr>
        <w:t xml:space="preserve">states that the </w:t>
      </w:r>
      <w:r w:rsidR="00C6071F">
        <w:rPr>
          <w:color w:val="000000"/>
        </w:rPr>
        <w:t>Board</w:t>
      </w:r>
      <w:r w:rsidR="00E65C35">
        <w:rPr>
          <w:color w:val="000000"/>
        </w:rPr>
        <w:t xml:space="preserve"> will “</w:t>
      </w:r>
      <w:r w:rsidR="00C6071F">
        <w:rPr>
          <w:color w:val="000000"/>
        </w:rPr>
        <w:t>u</w:t>
      </w:r>
      <w:r w:rsidR="00E65C35" w:rsidRPr="00E65C35">
        <w:rPr>
          <w:color w:val="000000"/>
        </w:rPr>
        <w:t>se the VASRD in arriving at its recommendations, along with all applicable statutes, and any directives in effect at the time of the contested separation (to the extent they do not conflict with the VASRD in effect at the time of the contested separation).</w:t>
      </w:r>
      <w:r w:rsidR="00E65C35">
        <w:rPr>
          <w:color w:val="000000"/>
        </w:rPr>
        <w:t xml:space="preserve">”  The Board is thus obligated to apply the VASRD criteria for </w:t>
      </w:r>
      <w:r w:rsidR="009837FE">
        <w:rPr>
          <w:color w:val="000000"/>
        </w:rPr>
        <w:t xml:space="preserve">code </w:t>
      </w:r>
      <w:r w:rsidR="00E65C35">
        <w:rPr>
          <w:color w:val="000000"/>
        </w:rPr>
        <w:t>8045 which were in effect on the date of separation (as will be elaborated) to its recommendation.</w:t>
      </w:r>
      <w:r w:rsidR="008C7EA6">
        <w:rPr>
          <w:color w:val="000000"/>
        </w:rPr>
        <w:t xml:space="preserve">  The Board’s recommendations in this case</w:t>
      </w:r>
      <w:r w:rsidR="001530CC">
        <w:rPr>
          <w:color w:val="000000"/>
        </w:rPr>
        <w:t>, however,</w:t>
      </w:r>
      <w:r w:rsidR="008C7EA6">
        <w:rPr>
          <w:color w:val="000000"/>
        </w:rPr>
        <w:t xml:space="preserve"> are subject </w:t>
      </w:r>
      <w:r w:rsidR="008C7EA6" w:rsidRPr="008C7EA6">
        <w:rPr>
          <w:color w:val="000000"/>
        </w:rPr>
        <w:t xml:space="preserve">to the following policy (established by precedent and prior legal opinion).  As an implied extension of the DoDI 6040.44 and </w:t>
      </w:r>
      <w:r w:rsidR="008C7EA6" w:rsidRPr="008C7EA6">
        <w:rPr>
          <w:bCs/>
          <w:color w:val="000000"/>
        </w:rPr>
        <w:t>National Defense Authorization Act</w:t>
      </w:r>
      <w:r w:rsidR="008C7EA6" w:rsidRPr="008C7EA6">
        <w:rPr>
          <w:color w:val="000000"/>
        </w:rPr>
        <w:t xml:space="preserve"> (NDAA)</w:t>
      </w:r>
      <w:r w:rsidR="008C7EA6">
        <w:rPr>
          <w:color w:val="000000"/>
        </w:rPr>
        <w:t xml:space="preserve"> </w:t>
      </w:r>
      <w:r w:rsidR="008C7EA6" w:rsidRPr="008C7EA6">
        <w:rPr>
          <w:color w:val="000000"/>
        </w:rPr>
        <w:t xml:space="preserve">2008 mandates, the Board will comply with applicable </w:t>
      </w:r>
      <w:r w:rsidR="00C6071F">
        <w:rPr>
          <w:color w:val="000000"/>
        </w:rPr>
        <w:t>Department of Veterans’ Affairs (D</w:t>
      </w:r>
      <w:r w:rsidR="008C7EA6" w:rsidRPr="008C7EA6">
        <w:rPr>
          <w:color w:val="000000"/>
        </w:rPr>
        <w:t>VA</w:t>
      </w:r>
      <w:r w:rsidR="00C6071F">
        <w:rPr>
          <w:color w:val="000000"/>
        </w:rPr>
        <w:t>)</w:t>
      </w:r>
      <w:r w:rsidR="008C7EA6" w:rsidRPr="008C7EA6">
        <w:rPr>
          <w:color w:val="000000"/>
        </w:rPr>
        <w:t xml:space="preserve"> disability rating policy changes issued via “FAST” or Training Letters effective </w:t>
      </w:r>
      <w:r w:rsidR="001530CC">
        <w:rPr>
          <w:color w:val="000000"/>
        </w:rPr>
        <w:t>on</w:t>
      </w:r>
      <w:r w:rsidR="008C7EA6" w:rsidRPr="008C7EA6">
        <w:rPr>
          <w:color w:val="000000"/>
        </w:rPr>
        <w:t xml:space="preserve"> the </w:t>
      </w:r>
      <w:r w:rsidR="001530CC">
        <w:rPr>
          <w:color w:val="000000"/>
        </w:rPr>
        <w:t>date</w:t>
      </w:r>
      <w:r w:rsidR="008C7EA6" w:rsidRPr="008C7EA6">
        <w:rPr>
          <w:color w:val="000000"/>
        </w:rPr>
        <w:t xml:space="preserve"> of separation.  The </w:t>
      </w:r>
      <w:r w:rsidR="00C6071F">
        <w:rPr>
          <w:color w:val="000000"/>
        </w:rPr>
        <w:t xml:space="preserve">DVA Training Letter, TL06-03, </w:t>
      </w:r>
      <w:r w:rsidR="008C7EA6" w:rsidRPr="008C7EA6">
        <w:rPr>
          <w:color w:val="000000"/>
        </w:rPr>
        <w:t xml:space="preserve">dated </w:t>
      </w:r>
      <w:r w:rsidR="00C6071F">
        <w:rPr>
          <w:color w:val="000000"/>
        </w:rPr>
        <w:t xml:space="preserve">13 February </w:t>
      </w:r>
      <w:r w:rsidR="008C7EA6" w:rsidRPr="008C7EA6">
        <w:rPr>
          <w:color w:val="000000"/>
        </w:rPr>
        <w:t xml:space="preserve">2006, specifically addressed the complexity of TBI and recommended coding “outside” of </w:t>
      </w:r>
      <w:r w:rsidR="009837FE">
        <w:rPr>
          <w:color w:val="000000"/>
        </w:rPr>
        <w:t xml:space="preserve">code </w:t>
      </w:r>
      <w:r w:rsidR="008C7EA6" w:rsidRPr="008C7EA6">
        <w:rPr>
          <w:color w:val="000000"/>
        </w:rPr>
        <w:t>8045 when a more favorable rating could be achieved under an alternate code</w:t>
      </w:r>
      <w:r w:rsidR="008C7EA6">
        <w:rPr>
          <w:color w:val="000000"/>
        </w:rPr>
        <w:t>; e.g., under 8100 if headache was a dominant complaint, etc</w:t>
      </w:r>
      <w:r w:rsidR="00C6071F">
        <w:rPr>
          <w:color w:val="000000"/>
        </w:rPr>
        <w:t xml:space="preserve">.  TL07-05, </w:t>
      </w:r>
      <w:r w:rsidR="008C7EA6" w:rsidRPr="008C7EA6">
        <w:rPr>
          <w:color w:val="000000"/>
        </w:rPr>
        <w:t xml:space="preserve">dated </w:t>
      </w:r>
      <w:r w:rsidR="00C6071F">
        <w:rPr>
          <w:color w:val="000000"/>
        </w:rPr>
        <w:t xml:space="preserve">31 August </w:t>
      </w:r>
      <w:r w:rsidR="008C7EA6" w:rsidRPr="008C7EA6">
        <w:rPr>
          <w:color w:val="000000"/>
        </w:rPr>
        <w:t>2007</w:t>
      </w:r>
      <w:r w:rsidR="00C6071F">
        <w:rPr>
          <w:color w:val="000000"/>
        </w:rPr>
        <w:t xml:space="preserve">, </w:t>
      </w:r>
      <w:r w:rsidR="008C7EA6" w:rsidRPr="008C7EA6">
        <w:rPr>
          <w:color w:val="000000"/>
        </w:rPr>
        <w:t>went further in recommending separate ratings under the applicable codes for each ratable component of TBI in evidence; e.g., headache, tinnitus, dizziness, etc.</w:t>
      </w:r>
      <w:r w:rsidR="008C7EA6">
        <w:rPr>
          <w:color w:val="000000"/>
        </w:rPr>
        <w:t xml:space="preserve">  The latter directive (TL07-05) </w:t>
      </w:r>
      <w:r w:rsidR="001530CC">
        <w:rPr>
          <w:color w:val="000000"/>
        </w:rPr>
        <w:t xml:space="preserve">was quite likely the basis for the </w:t>
      </w:r>
      <w:r w:rsidR="00C6071F">
        <w:rPr>
          <w:color w:val="000000"/>
        </w:rPr>
        <w:t>D</w:t>
      </w:r>
      <w:r w:rsidR="001530CC">
        <w:rPr>
          <w:color w:val="000000"/>
        </w:rPr>
        <w:t xml:space="preserve">VA’s follow-up rating as footnoted in the rating chart; but, was not yet effective on the date of separation.  The Board does have the modest latitude granted by </w:t>
      </w:r>
      <w:r w:rsidR="001530CC" w:rsidRPr="008C7EA6">
        <w:rPr>
          <w:color w:val="000000"/>
        </w:rPr>
        <w:t>TL06-03</w:t>
      </w:r>
      <w:r w:rsidR="001530CC">
        <w:rPr>
          <w:color w:val="000000"/>
        </w:rPr>
        <w:t>, which was in effect at separation; and, this option will be considered in its recommendation.</w:t>
      </w:r>
      <w:r w:rsidR="00EF593A">
        <w:rPr>
          <w:color w:val="000000"/>
        </w:rPr>
        <w:t xml:space="preserve">  </w:t>
      </w:r>
    </w:p>
    <w:p w:rsidR="009563EC" w:rsidRPr="00726F84" w:rsidRDefault="009563EC" w:rsidP="00726F84">
      <w:pPr>
        <w:jc w:val="both"/>
        <w:rPr>
          <w:color w:val="000000"/>
        </w:rPr>
      </w:pPr>
    </w:p>
    <w:p w:rsidR="00827731" w:rsidRDefault="00E65C35" w:rsidP="004C454A">
      <w:pPr>
        <w:spacing w:after="120"/>
        <w:jc w:val="both"/>
        <w:rPr>
          <w:color w:val="000000"/>
        </w:rPr>
      </w:pPr>
      <w:r>
        <w:rPr>
          <w:color w:val="000000"/>
          <w:u w:val="single"/>
        </w:rPr>
        <w:t>Cognitive Disorder</w:t>
      </w:r>
      <w:r w:rsidR="000A2AB9">
        <w:rPr>
          <w:color w:val="000000"/>
          <w:u w:val="single"/>
        </w:rPr>
        <w:t>, Residual</w:t>
      </w:r>
      <w:r>
        <w:rPr>
          <w:color w:val="000000"/>
          <w:u w:val="single"/>
        </w:rPr>
        <w:t xml:space="preserve"> </w:t>
      </w:r>
      <w:r w:rsidR="000A2AB9">
        <w:rPr>
          <w:color w:val="000000"/>
          <w:u w:val="single"/>
        </w:rPr>
        <w:t>of TBI</w:t>
      </w:r>
      <w:r w:rsidR="00AD2379" w:rsidRPr="009A7578">
        <w:rPr>
          <w:color w:val="000000"/>
        </w:rPr>
        <w:t xml:space="preserve">. </w:t>
      </w:r>
      <w:r w:rsidR="00385708">
        <w:rPr>
          <w:color w:val="000000"/>
        </w:rPr>
        <w:t xml:space="preserve"> </w:t>
      </w:r>
      <w:r w:rsidR="009A01BD">
        <w:rPr>
          <w:color w:val="000000"/>
        </w:rPr>
        <w:t xml:space="preserve">The CI’s blast injury </w:t>
      </w:r>
      <w:r w:rsidR="00C6071F">
        <w:rPr>
          <w:color w:val="000000"/>
        </w:rPr>
        <w:t xml:space="preserve">in </w:t>
      </w:r>
      <w:r w:rsidR="009A01BD">
        <w:rPr>
          <w:color w:val="000000"/>
        </w:rPr>
        <w:t xml:space="preserve">August 2004 resulted in </w:t>
      </w:r>
      <w:r w:rsidR="00BF16B2">
        <w:rPr>
          <w:color w:val="000000"/>
        </w:rPr>
        <w:t>multiple</w:t>
      </w:r>
      <w:r w:rsidR="009A01BD">
        <w:rPr>
          <w:color w:val="000000"/>
        </w:rPr>
        <w:t xml:space="preserve"> penetrating fragments to the left temporal region of the brain.  This required prompt neurosurgical intervention for stabilization in theater</w:t>
      </w:r>
      <w:r w:rsidR="00BF16B2">
        <w:rPr>
          <w:color w:val="000000"/>
        </w:rPr>
        <w:t xml:space="preserve"> (leaving an 8 X 7 cm skull defect)</w:t>
      </w:r>
      <w:r w:rsidR="009A01BD">
        <w:rPr>
          <w:color w:val="000000"/>
        </w:rPr>
        <w:t xml:space="preserve">, and medical evacuation to Landstuhl Regional Medical Center (LRMC) in Germany.  </w:t>
      </w:r>
      <w:r w:rsidR="00DF6F31">
        <w:rPr>
          <w:color w:val="000000"/>
        </w:rPr>
        <w:t>Intracranial bleeding requiring emergency operative intervention</w:t>
      </w:r>
      <w:r w:rsidR="009A01BD">
        <w:rPr>
          <w:color w:val="000000"/>
        </w:rPr>
        <w:t xml:space="preserve"> </w:t>
      </w:r>
      <w:r w:rsidR="00DF6F31">
        <w:rPr>
          <w:color w:val="000000"/>
        </w:rPr>
        <w:t>occurred soon after arrival</w:t>
      </w:r>
      <w:r w:rsidR="009A01BD">
        <w:rPr>
          <w:color w:val="000000"/>
        </w:rPr>
        <w:t xml:space="preserve"> </w:t>
      </w:r>
      <w:r w:rsidR="00DF6F31">
        <w:rPr>
          <w:color w:val="000000"/>
        </w:rPr>
        <w:t>to</w:t>
      </w:r>
      <w:r w:rsidR="009A01BD">
        <w:rPr>
          <w:color w:val="000000"/>
        </w:rPr>
        <w:t xml:space="preserve"> LRMC, and he was extubated (removed from ventilator) 5 days after the injury.   </w:t>
      </w:r>
      <w:r w:rsidR="00DF6F31">
        <w:rPr>
          <w:color w:val="000000"/>
        </w:rPr>
        <w:t>Significant neurologic and cognitive deficits, including aphasia (inability to form speech), were present when he was transferred stateside; and, he underwent an extensive course of rehabilitation</w:t>
      </w:r>
      <w:r w:rsidR="00732243">
        <w:rPr>
          <w:color w:val="000000"/>
        </w:rPr>
        <w:t>, which included a specialized inpatient program for TBI</w:t>
      </w:r>
      <w:r w:rsidR="00DF6F31">
        <w:rPr>
          <w:color w:val="000000"/>
        </w:rPr>
        <w:t xml:space="preserve">.  </w:t>
      </w:r>
      <w:r w:rsidR="00827731">
        <w:rPr>
          <w:color w:val="000000"/>
        </w:rPr>
        <w:t xml:space="preserve">Serial neuropsychological testing over the course of treatment documents impressive progress, emerging from a markedly impaired starting point.  The </w:t>
      </w:r>
      <w:r w:rsidR="004C454A">
        <w:rPr>
          <w:color w:val="000000"/>
        </w:rPr>
        <w:t xml:space="preserve">summary from the neuropsychological </w:t>
      </w:r>
      <w:r w:rsidR="00827731">
        <w:rPr>
          <w:color w:val="000000"/>
        </w:rPr>
        <w:t>testing most proximate to separation (12 months), and that cited in the FPEB’s DA Form 199, is excerpted below.</w:t>
      </w:r>
      <w:r w:rsidR="002C0B25">
        <w:rPr>
          <w:color w:val="000000"/>
        </w:rPr>
        <w:t xml:space="preserve"> </w:t>
      </w:r>
    </w:p>
    <w:p w:rsidR="00827731" w:rsidRPr="004C454A" w:rsidRDefault="00827731" w:rsidP="004C454A">
      <w:pPr>
        <w:spacing w:line="200" w:lineRule="exact"/>
        <w:ind w:left="720" w:right="720"/>
        <w:jc w:val="both"/>
        <w:rPr>
          <w:color w:val="000000"/>
          <w:sz w:val="20"/>
        </w:rPr>
      </w:pPr>
      <w:r w:rsidRPr="004C454A">
        <w:rPr>
          <w:color w:val="000000"/>
          <w:sz w:val="20"/>
        </w:rPr>
        <w:t>The current test profile shows improvement in multiple domains.  Measures of attention are generally intact with the exception of some mild distract</w:t>
      </w:r>
      <w:r w:rsidR="004C454A" w:rsidRPr="004C454A">
        <w:rPr>
          <w:color w:val="000000"/>
          <w:sz w:val="20"/>
        </w:rPr>
        <w:t>ibi</w:t>
      </w:r>
      <w:r w:rsidRPr="004C454A">
        <w:rPr>
          <w:color w:val="000000"/>
          <w:sz w:val="20"/>
        </w:rPr>
        <w:t>I</w:t>
      </w:r>
      <w:r w:rsidR="004C454A" w:rsidRPr="004C454A">
        <w:rPr>
          <w:color w:val="000000"/>
          <w:sz w:val="20"/>
        </w:rPr>
        <w:t>ity and difficulty resisting in</w:t>
      </w:r>
      <w:r w:rsidRPr="004C454A">
        <w:rPr>
          <w:color w:val="000000"/>
          <w:sz w:val="20"/>
        </w:rPr>
        <w:t>terference on</w:t>
      </w:r>
      <w:r w:rsidR="004C454A" w:rsidRPr="004C454A">
        <w:rPr>
          <w:color w:val="000000"/>
          <w:sz w:val="20"/>
        </w:rPr>
        <w:t xml:space="preserve"> </w:t>
      </w:r>
      <w:r w:rsidRPr="004C454A">
        <w:rPr>
          <w:color w:val="000000"/>
          <w:sz w:val="20"/>
        </w:rPr>
        <w:t>one measure</w:t>
      </w:r>
      <w:r w:rsidR="004C454A" w:rsidRPr="004C454A">
        <w:rPr>
          <w:color w:val="000000"/>
          <w:sz w:val="20"/>
        </w:rPr>
        <w:t>.  Speed of processing was in</w:t>
      </w:r>
      <w:r w:rsidRPr="004C454A">
        <w:rPr>
          <w:color w:val="000000"/>
          <w:sz w:val="20"/>
        </w:rPr>
        <w:t>tact</w:t>
      </w:r>
      <w:r w:rsidR="004C454A" w:rsidRPr="004C454A">
        <w:rPr>
          <w:color w:val="000000"/>
          <w:sz w:val="20"/>
        </w:rPr>
        <w:t xml:space="preserve">. </w:t>
      </w:r>
      <w:r w:rsidRPr="004C454A">
        <w:rPr>
          <w:color w:val="000000"/>
          <w:sz w:val="20"/>
        </w:rPr>
        <w:t xml:space="preserve"> Measures of</w:t>
      </w:r>
      <w:r w:rsidR="004C454A" w:rsidRPr="004C454A">
        <w:rPr>
          <w:color w:val="000000"/>
          <w:sz w:val="20"/>
        </w:rPr>
        <w:t xml:space="preserve"> memory both verbal and vi</w:t>
      </w:r>
      <w:r w:rsidRPr="004C454A">
        <w:rPr>
          <w:color w:val="000000"/>
          <w:sz w:val="20"/>
        </w:rPr>
        <w:t>sual were fully</w:t>
      </w:r>
      <w:r w:rsidR="004C454A" w:rsidRPr="004C454A">
        <w:rPr>
          <w:color w:val="000000"/>
          <w:sz w:val="20"/>
        </w:rPr>
        <w:t xml:space="preserve"> in</w:t>
      </w:r>
      <w:r w:rsidRPr="004C454A">
        <w:rPr>
          <w:color w:val="000000"/>
          <w:sz w:val="20"/>
        </w:rPr>
        <w:t>tact</w:t>
      </w:r>
      <w:r w:rsidR="004C454A" w:rsidRPr="004C454A">
        <w:rPr>
          <w:color w:val="000000"/>
          <w:sz w:val="20"/>
        </w:rPr>
        <w:t>.</w:t>
      </w:r>
      <w:r w:rsidRPr="004C454A">
        <w:rPr>
          <w:color w:val="000000"/>
          <w:sz w:val="20"/>
        </w:rPr>
        <w:t xml:space="preserve"> </w:t>
      </w:r>
      <w:r w:rsidR="004C454A" w:rsidRPr="004C454A">
        <w:rPr>
          <w:color w:val="000000"/>
          <w:sz w:val="20"/>
        </w:rPr>
        <w:t xml:space="preserve"> </w:t>
      </w:r>
      <w:r w:rsidRPr="004C454A">
        <w:rPr>
          <w:color w:val="000000"/>
          <w:sz w:val="20"/>
        </w:rPr>
        <w:t>Measures of</w:t>
      </w:r>
      <w:r w:rsidR="004C454A" w:rsidRPr="004C454A">
        <w:rPr>
          <w:color w:val="000000"/>
          <w:sz w:val="20"/>
        </w:rPr>
        <w:t xml:space="preserve"> language were generally in</w:t>
      </w:r>
      <w:r w:rsidRPr="004C454A">
        <w:rPr>
          <w:color w:val="000000"/>
          <w:sz w:val="20"/>
        </w:rPr>
        <w:t>tact</w:t>
      </w:r>
      <w:r w:rsidR="004C454A" w:rsidRPr="004C454A">
        <w:rPr>
          <w:color w:val="000000"/>
          <w:sz w:val="20"/>
        </w:rPr>
        <w:t>.  Visual spatial functioning was wi</w:t>
      </w:r>
      <w:r w:rsidRPr="004C454A">
        <w:rPr>
          <w:color w:val="000000"/>
          <w:sz w:val="20"/>
        </w:rPr>
        <w:t xml:space="preserve">thout </w:t>
      </w:r>
      <w:r w:rsidR="004C454A" w:rsidRPr="004C454A">
        <w:rPr>
          <w:color w:val="000000"/>
          <w:sz w:val="20"/>
        </w:rPr>
        <w:t xml:space="preserve">difficulty.  </w:t>
      </w:r>
      <w:r w:rsidRPr="004C454A">
        <w:rPr>
          <w:color w:val="000000"/>
          <w:sz w:val="20"/>
        </w:rPr>
        <w:t xml:space="preserve">The only areas </w:t>
      </w:r>
      <w:r w:rsidR="004C454A" w:rsidRPr="004C454A">
        <w:rPr>
          <w:color w:val="000000"/>
          <w:sz w:val="20"/>
        </w:rPr>
        <w:t>of impairment noted on the examinatio</w:t>
      </w:r>
      <w:r w:rsidR="004C454A">
        <w:rPr>
          <w:color w:val="000000"/>
          <w:sz w:val="20"/>
        </w:rPr>
        <w:t>n were</w:t>
      </w:r>
      <w:r w:rsidRPr="004C454A">
        <w:rPr>
          <w:color w:val="000000"/>
          <w:sz w:val="20"/>
        </w:rPr>
        <w:t xml:space="preserve"> </w:t>
      </w:r>
      <w:r w:rsidR="004C454A" w:rsidRPr="004C454A">
        <w:rPr>
          <w:color w:val="000000"/>
          <w:sz w:val="20"/>
        </w:rPr>
        <w:t>difficulty on one measure of cogniti</w:t>
      </w:r>
      <w:r w:rsidRPr="004C454A">
        <w:rPr>
          <w:color w:val="000000"/>
          <w:sz w:val="20"/>
        </w:rPr>
        <w:t>ve</w:t>
      </w:r>
      <w:r w:rsidR="004C454A" w:rsidRPr="004C454A">
        <w:rPr>
          <w:color w:val="000000"/>
          <w:sz w:val="20"/>
        </w:rPr>
        <w:t xml:space="preserve"> flexibility and the ability to shift attentio</w:t>
      </w:r>
      <w:r w:rsidRPr="004C454A">
        <w:rPr>
          <w:color w:val="000000"/>
          <w:sz w:val="20"/>
        </w:rPr>
        <w:t xml:space="preserve">nal resources </w:t>
      </w:r>
      <w:r w:rsidR="004C454A" w:rsidRPr="004C454A">
        <w:rPr>
          <w:color w:val="000000"/>
          <w:sz w:val="20"/>
        </w:rPr>
        <w:t>in a flexi</w:t>
      </w:r>
      <w:r w:rsidRPr="004C454A">
        <w:rPr>
          <w:color w:val="000000"/>
          <w:sz w:val="20"/>
        </w:rPr>
        <w:t>ble way</w:t>
      </w:r>
      <w:r w:rsidR="004C454A" w:rsidRPr="004C454A">
        <w:rPr>
          <w:color w:val="000000"/>
          <w:sz w:val="20"/>
        </w:rPr>
        <w:t>.</w:t>
      </w:r>
    </w:p>
    <w:p w:rsidR="00AD2379" w:rsidRDefault="00385708" w:rsidP="00B22D42">
      <w:pPr>
        <w:jc w:val="both"/>
        <w:rPr>
          <w:color w:val="000000"/>
        </w:rPr>
      </w:pPr>
      <w:r>
        <w:rPr>
          <w:color w:val="000000"/>
        </w:rPr>
        <w:lastRenderedPageBreak/>
        <w:t xml:space="preserve">The narrative summary (NARSUM) </w:t>
      </w:r>
      <w:r w:rsidR="00B8403E">
        <w:rPr>
          <w:color w:val="000000"/>
        </w:rPr>
        <w:t xml:space="preserve">stated, “[CI] sustained a severe traumatic brain injury.  He is now functioning at a level where he is independent with all of his activities of daily living, and is ambulating unlimited distances without </w:t>
      </w:r>
      <w:r w:rsidR="00C6071F">
        <w:rPr>
          <w:color w:val="000000"/>
        </w:rPr>
        <w:t>deficits;</w:t>
      </w:r>
      <w:r w:rsidR="00B8403E">
        <w:rPr>
          <w:color w:val="000000"/>
        </w:rPr>
        <w:t xml:space="preserve"> however</w:t>
      </w:r>
      <w:r w:rsidR="00C6071F">
        <w:rPr>
          <w:color w:val="000000"/>
        </w:rPr>
        <w:t>,</w:t>
      </w:r>
      <w:r w:rsidR="00B8403E">
        <w:rPr>
          <w:color w:val="000000"/>
        </w:rPr>
        <w:t xml:space="preserve"> he has significant cognitive deficits as indicated by his </w:t>
      </w:r>
      <w:proofErr w:type="spellStart"/>
      <w:r w:rsidR="00B8403E">
        <w:rPr>
          <w:color w:val="000000"/>
        </w:rPr>
        <w:t>neuropsych</w:t>
      </w:r>
      <w:proofErr w:type="spellEnd"/>
      <w:r w:rsidR="00B8403E">
        <w:rPr>
          <w:color w:val="000000"/>
        </w:rPr>
        <w:t xml:space="preserve"> testing.”</w:t>
      </w:r>
      <w:r w:rsidR="00703100">
        <w:rPr>
          <w:color w:val="000000"/>
        </w:rPr>
        <w:t xml:space="preserve"> </w:t>
      </w:r>
      <w:r w:rsidR="00B8403E">
        <w:rPr>
          <w:color w:val="000000"/>
        </w:rPr>
        <w:t xml:space="preserve"> The psychiatric addendum to the NARSUM stated, “It is anticipated that his mild to moderate cognitive deficits </w:t>
      </w:r>
      <w:r w:rsidR="00C07141">
        <w:rPr>
          <w:color w:val="000000"/>
        </w:rPr>
        <w:t>will definitely interfere with his ability to function effectively in the military or to sustain employment.</w:t>
      </w:r>
      <w:r w:rsidR="00B8403E">
        <w:rPr>
          <w:color w:val="000000"/>
        </w:rPr>
        <w:t>”</w:t>
      </w:r>
      <w:r w:rsidR="00703100">
        <w:rPr>
          <w:color w:val="000000"/>
        </w:rPr>
        <w:t xml:space="preserve"> </w:t>
      </w:r>
      <w:r w:rsidR="00B8403E">
        <w:rPr>
          <w:color w:val="000000"/>
        </w:rPr>
        <w:t xml:space="preserve"> </w:t>
      </w:r>
      <w:r w:rsidR="00C07141">
        <w:rPr>
          <w:color w:val="000000"/>
        </w:rPr>
        <w:t xml:space="preserve">The VA also provided comprehensive neurologic testing 3 months </w:t>
      </w:r>
      <w:r w:rsidR="00C6071F">
        <w:rPr>
          <w:color w:val="000000"/>
        </w:rPr>
        <w:t xml:space="preserve">after </w:t>
      </w:r>
      <w:r w:rsidR="00C07141">
        <w:rPr>
          <w:color w:val="000000"/>
        </w:rPr>
        <w:t>separation (</w:t>
      </w:r>
      <w:proofErr w:type="spellStart"/>
      <w:r w:rsidR="005D79FC">
        <w:rPr>
          <w:color w:val="000000"/>
        </w:rPr>
        <w:t>probatively</w:t>
      </w:r>
      <w:proofErr w:type="spellEnd"/>
      <w:r w:rsidR="00C6071F">
        <w:rPr>
          <w:color w:val="000000"/>
        </w:rPr>
        <w:t xml:space="preserve"> closer to separation than the s</w:t>
      </w:r>
      <w:r w:rsidR="005D79FC">
        <w:rPr>
          <w:color w:val="000000"/>
        </w:rPr>
        <w:t>ervice evaluation</w:t>
      </w:r>
      <w:r w:rsidR="00C07141">
        <w:rPr>
          <w:color w:val="000000"/>
        </w:rPr>
        <w:t xml:space="preserve">); and, this documented “persistent deficits with vigilance and complex attention or working memory as well as reduced processing efficiency.” </w:t>
      </w:r>
      <w:r w:rsidR="00703100">
        <w:rPr>
          <w:color w:val="000000"/>
        </w:rPr>
        <w:t xml:space="preserve"> </w:t>
      </w:r>
      <w:r w:rsidR="00E31AF8">
        <w:rPr>
          <w:color w:val="000000"/>
        </w:rPr>
        <w:t>It further identified a higher intellectual functioning on the non-verbal level above that of verbal performance; and, went on to state, “</w:t>
      </w:r>
      <w:r w:rsidR="00C6071F">
        <w:rPr>
          <w:color w:val="000000"/>
        </w:rPr>
        <w:t>r</w:t>
      </w:r>
      <w:r w:rsidR="00E31AF8" w:rsidRPr="00E31AF8">
        <w:rPr>
          <w:color w:val="000000"/>
        </w:rPr>
        <w:t>emainder of the exam was normal including general intellectual</w:t>
      </w:r>
      <w:r w:rsidR="00E31AF8">
        <w:rPr>
          <w:color w:val="000000"/>
        </w:rPr>
        <w:t xml:space="preserve"> </w:t>
      </w:r>
      <w:r w:rsidR="00E31AF8" w:rsidRPr="00E31AF8">
        <w:rPr>
          <w:color w:val="000000"/>
        </w:rPr>
        <w:t>functions,</w:t>
      </w:r>
      <w:r w:rsidR="00E31AF8">
        <w:rPr>
          <w:color w:val="000000"/>
        </w:rPr>
        <w:t xml:space="preserve"> </w:t>
      </w:r>
      <w:r w:rsidR="00E31AF8" w:rsidRPr="00E31AF8">
        <w:rPr>
          <w:color w:val="000000"/>
        </w:rPr>
        <w:t xml:space="preserve">simple attention, language, </w:t>
      </w:r>
      <w:proofErr w:type="spellStart"/>
      <w:r w:rsidR="00E31AF8" w:rsidRPr="00E31AF8">
        <w:rPr>
          <w:color w:val="000000"/>
        </w:rPr>
        <w:t>visuoconstructional</w:t>
      </w:r>
      <w:proofErr w:type="spellEnd"/>
      <w:r w:rsidR="00E31AF8" w:rsidRPr="00E31AF8">
        <w:rPr>
          <w:color w:val="000000"/>
        </w:rPr>
        <w:t xml:space="preserve"> ability,</w:t>
      </w:r>
      <w:r w:rsidR="00E31AF8">
        <w:rPr>
          <w:color w:val="000000"/>
        </w:rPr>
        <w:t xml:space="preserve"> </w:t>
      </w:r>
      <w:r w:rsidR="00E31AF8" w:rsidRPr="00E31AF8">
        <w:rPr>
          <w:color w:val="000000"/>
        </w:rPr>
        <w:t>and n</w:t>
      </w:r>
      <w:r w:rsidR="00C6071F">
        <w:rPr>
          <w:color w:val="000000"/>
        </w:rPr>
        <w:t>onverbal learning and memory, “</w:t>
      </w:r>
      <w:r w:rsidR="00E31AF8">
        <w:rPr>
          <w:color w:val="000000"/>
        </w:rPr>
        <w:t>e</w:t>
      </w:r>
      <w:r w:rsidR="00E31AF8" w:rsidRPr="00E31AF8">
        <w:rPr>
          <w:color w:val="000000"/>
        </w:rPr>
        <w:t>xecutive</w:t>
      </w:r>
      <w:r w:rsidR="00C6071F">
        <w:rPr>
          <w:color w:val="000000"/>
        </w:rPr>
        <w:t>”</w:t>
      </w:r>
      <w:r w:rsidR="00E31AF8" w:rsidRPr="00E31AF8">
        <w:rPr>
          <w:color w:val="000000"/>
        </w:rPr>
        <w:t xml:space="preserve"> functions and</w:t>
      </w:r>
      <w:r w:rsidR="00E31AF8">
        <w:rPr>
          <w:color w:val="000000"/>
        </w:rPr>
        <w:t xml:space="preserve"> fine motor speed.”</w:t>
      </w:r>
    </w:p>
    <w:p w:rsidR="00542022" w:rsidRDefault="00542022" w:rsidP="00B22D42">
      <w:pPr>
        <w:jc w:val="both"/>
        <w:rPr>
          <w:color w:val="000000"/>
        </w:rPr>
      </w:pPr>
    </w:p>
    <w:p w:rsidR="00554793" w:rsidRDefault="00E31AF8" w:rsidP="00554793">
      <w:pPr>
        <w:tabs>
          <w:tab w:val="left" w:pos="288"/>
          <w:tab w:val="left" w:pos="4752"/>
        </w:tabs>
        <w:spacing w:after="120"/>
        <w:jc w:val="both"/>
        <w:rPr>
          <w:rFonts w:cs="Times New Roman"/>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554793">
        <w:rPr>
          <w:rFonts w:cs="Times New Roman"/>
          <w:color w:val="auto"/>
        </w:rPr>
        <w:t xml:space="preserve">Since, as elaborated above, </w:t>
      </w:r>
      <w:r w:rsidR="00392474">
        <w:rPr>
          <w:rFonts w:cs="Times New Roman"/>
          <w:color w:val="auto"/>
        </w:rPr>
        <w:t>the</w:t>
      </w:r>
      <w:r w:rsidR="00554793">
        <w:rPr>
          <w:rFonts w:cs="Times New Roman"/>
          <w:color w:val="auto"/>
        </w:rPr>
        <w:t xml:space="preserve"> interpretation </w:t>
      </w:r>
      <w:r w:rsidR="00392474">
        <w:rPr>
          <w:rFonts w:cs="Times New Roman"/>
          <w:color w:val="auto"/>
        </w:rPr>
        <w:t xml:space="preserve">of the 8045 </w:t>
      </w:r>
      <w:r w:rsidR="00C6071F">
        <w:rPr>
          <w:rFonts w:cs="Times New Roman"/>
          <w:color w:val="auto"/>
        </w:rPr>
        <w:t xml:space="preserve">code </w:t>
      </w:r>
      <w:r w:rsidR="00392474">
        <w:rPr>
          <w:rFonts w:cs="Times New Roman"/>
          <w:color w:val="auto"/>
        </w:rPr>
        <w:t xml:space="preserve">rating language in effect </w:t>
      </w:r>
      <w:r w:rsidR="00554793">
        <w:rPr>
          <w:rFonts w:cs="Times New Roman"/>
          <w:color w:val="auto"/>
        </w:rPr>
        <w:t>is a fundamental consideration in this case; it is excerpted below.</w:t>
      </w:r>
    </w:p>
    <w:p w:rsidR="00554793" w:rsidRPr="00FB7739" w:rsidRDefault="00554793" w:rsidP="00554793">
      <w:pPr>
        <w:tabs>
          <w:tab w:val="left" w:pos="288"/>
          <w:tab w:val="left" w:pos="4752"/>
        </w:tabs>
        <w:spacing w:line="200" w:lineRule="exact"/>
        <w:ind w:left="720" w:right="720"/>
        <w:jc w:val="both"/>
        <w:rPr>
          <w:rFonts w:cs="Times New Roman"/>
          <w:color w:val="auto"/>
          <w:sz w:val="20"/>
        </w:rPr>
      </w:pPr>
      <w:r w:rsidRPr="00FB7739">
        <w:rPr>
          <w:rFonts w:cs="Times New Roman"/>
          <w:color w:val="auto"/>
          <w:sz w:val="20"/>
        </w:rPr>
        <w:t xml:space="preserve">Purely neurological disabilities, such as </w:t>
      </w:r>
      <w:proofErr w:type="spellStart"/>
      <w:r w:rsidRPr="00FB7739">
        <w:rPr>
          <w:rFonts w:cs="Times New Roman"/>
          <w:color w:val="auto"/>
          <w:sz w:val="20"/>
        </w:rPr>
        <w:t>hemiplegia</w:t>
      </w:r>
      <w:proofErr w:type="spellEnd"/>
      <w:r w:rsidRPr="00FB7739">
        <w:rPr>
          <w:rFonts w:cs="Times New Roman"/>
          <w:color w:val="auto"/>
          <w:sz w:val="20"/>
        </w:rPr>
        <w:t xml:space="preserve">, </w:t>
      </w:r>
      <w:proofErr w:type="spellStart"/>
      <w:r w:rsidRPr="00FB7739">
        <w:rPr>
          <w:rFonts w:cs="Times New Roman"/>
          <w:color w:val="auto"/>
          <w:sz w:val="20"/>
        </w:rPr>
        <w:t>epileptiform</w:t>
      </w:r>
      <w:proofErr w:type="spellEnd"/>
      <w:r w:rsidRPr="00FB7739">
        <w:rPr>
          <w:rFonts w:cs="Times New Roman"/>
          <w:color w:val="auto"/>
          <w:sz w:val="20"/>
        </w:rPr>
        <w:t xml:space="preserve"> seizures, facial nerve paralysis, etc., following trauma to the brain, will be rated under the diagnostic codes specifically dealing with such disabilities, with citation of a hyphenated diagnostic code (e.g., 8045–8207).</w:t>
      </w:r>
    </w:p>
    <w:p w:rsidR="00554793" w:rsidRPr="00FB7739" w:rsidRDefault="00554793" w:rsidP="00554793">
      <w:pPr>
        <w:tabs>
          <w:tab w:val="left" w:pos="288"/>
          <w:tab w:val="left" w:pos="4752"/>
        </w:tabs>
        <w:spacing w:line="200" w:lineRule="exact"/>
        <w:ind w:left="720" w:right="720"/>
        <w:jc w:val="both"/>
        <w:rPr>
          <w:rFonts w:cs="Times New Roman"/>
          <w:color w:val="auto"/>
          <w:sz w:val="20"/>
        </w:rPr>
      </w:pPr>
    </w:p>
    <w:p w:rsidR="00554793" w:rsidRPr="00FB7739" w:rsidRDefault="00554793" w:rsidP="00554793">
      <w:pPr>
        <w:tabs>
          <w:tab w:val="left" w:pos="288"/>
          <w:tab w:val="left" w:pos="4752"/>
        </w:tabs>
        <w:spacing w:after="120" w:line="200" w:lineRule="exact"/>
        <w:ind w:left="720" w:right="720"/>
        <w:jc w:val="both"/>
        <w:rPr>
          <w:rFonts w:cs="Times New Roman"/>
          <w:color w:val="auto"/>
          <w:sz w:val="20"/>
        </w:rPr>
      </w:pPr>
      <w:r w:rsidRPr="00FB7739">
        <w:rPr>
          <w:rFonts w:cs="Times New Roman"/>
          <w:color w:val="auto"/>
          <w:sz w:val="20"/>
        </w:rPr>
        <w:t>Purely subjective complaints such as headache, dizziness, insomnia, etc., recognized as symptomatic of brain trauma, will be rated 10 percent and no more under diagnostic code 9304.  This 10 percent rating will not be combined with any other rating for a disability due to brain trauma.</w:t>
      </w:r>
      <w:r w:rsidR="00D9424A">
        <w:rPr>
          <w:rFonts w:cs="Times New Roman"/>
          <w:color w:val="auto"/>
          <w:sz w:val="20"/>
        </w:rPr>
        <w:t xml:space="preserve"> </w:t>
      </w:r>
      <w:r w:rsidRPr="00FB7739">
        <w:rPr>
          <w:rFonts w:cs="Times New Roman"/>
          <w:color w:val="auto"/>
          <w:sz w:val="20"/>
        </w:rPr>
        <w:t xml:space="preserve"> Ratings in excess of 10 percent for brain disease due to trauma under diagnostic code 9304 are not assignable in the absence of a diagnosis of multi-infarct dementia associated with brain trauma.</w:t>
      </w:r>
    </w:p>
    <w:p w:rsidR="00E31AF8" w:rsidRDefault="00554793" w:rsidP="00554793">
      <w:pPr>
        <w:tabs>
          <w:tab w:val="left" w:pos="288"/>
          <w:tab w:val="left" w:pos="4752"/>
        </w:tabs>
        <w:jc w:val="both"/>
        <w:rPr>
          <w:rFonts w:eastAsia="Calibri" w:cs="Times New Roman"/>
          <w:color w:val="auto"/>
          <w:szCs w:val="24"/>
        </w:rPr>
      </w:pPr>
      <w:r>
        <w:rPr>
          <w:rFonts w:cs="Times New Roman"/>
          <w:color w:val="auto"/>
        </w:rPr>
        <w:t xml:space="preserve">Although there is indisputable evidence that the CI suffered significant residual cognitive impairment from TBI at separation, the trauma </w:t>
      </w:r>
      <w:r w:rsidR="00BF16B2">
        <w:rPr>
          <w:rFonts w:cs="Times New Roman"/>
          <w:color w:val="auto"/>
        </w:rPr>
        <w:t>was not associated with</w:t>
      </w:r>
      <w:r>
        <w:rPr>
          <w:rFonts w:cs="Times New Roman"/>
          <w:color w:val="auto"/>
        </w:rPr>
        <w:t xml:space="preserve"> multi-infarct dementia.  </w:t>
      </w:r>
      <w:r w:rsidR="00BF16B2">
        <w:rPr>
          <w:rFonts w:cs="Times New Roman"/>
          <w:color w:val="auto"/>
        </w:rPr>
        <w:t xml:space="preserve">Other than seizure disorder (to be addressed), there were no other prominent residual sequeale </w:t>
      </w:r>
      <w:r w:rsidR="008A17EE">
        <w:rPr>
          <w:rFonts w:cs="Times New Roman"/>
          <w:color w:val="auto"/>
        </w:rPr>
        <w:t>of TBI which are within the Board’s scope and unaddressed by the preceding ABMCR proceedings.  Although TL</w:t>
      </w:r>
      <w:r w:rsidR="008A17EE" w:rsidRPr="008A17EE">
        <w:rPr>
          <w:rFonts w:cs="Times New Roman"/>
          <w:color w:val="auto"/>
        </w:rPr>
        <w:t xml:space="preserve">06-03 </w:t>
      </w:r>
      <w:r w:rsidR="008A17EE">
        <w:rPr>
          <w:rFonts w:cs="Times New Roman"/>
          <w:color w:val="auto"/>
        </w:rPr>
        <w:t xml:space="preserve">(introduction) </w:t>
      </w:r>
      <w:r w:rsidR="008A17EE" w:rsidRPr="008A17EE">
        <w:rPr>
          <w:rFonts w:cs="Times New Roman"/>
          <w:color w:val="auto"/>
        </w:rPr>
        <w:t>has provided sanction for higher ratings with prostrating headache as the prominent feature of TBI, it offers no provisions applicable to this case for relief from the restrictions</w:t>
      </w:r>
      <w:r w:rsidR="008A17EE">
        <w:rPr>
          <w:rFonts w:cs="Times New Roman"/>
          <w:color w:val="auto"/>
        </w:rPr>
        <w:t xml:space="preserve"> imposed by the explicit rating language of </w:t>
      </w:r>
      <w:r w:rsidR="009837FE">
        <w:rPr>
          <w:rFonts w:cs="Times New Roman"/>
          <w:color w:val="auto"/>
        </w:rPr>
        <w:t xml:space="preserve">code </w:t>
      </w:r>
      <w:r w:rsidR="008A17EE">
        <w:rPr>
          <w:rFonts w:cs="Times New Roman"/>
          <w:color w:val="auto"/>
        </w:rPr>
        <w:t xml:space="preserve">8045 in effect at separation.  Members deliberated if TL06-03 </w:t>
      </w:r>
      <w:r w:rsidR="009418D6">
        <w:rPr>
          <w:rFonts w:cs="Times New Roman"/>
          <w:color w:val="auto"/>
        </w:rPr>
        <w:t xml:space="preserve">would provide grounds for coding the cognitive disorder as a strictly psychiatric impairment, allowing the more liberal criteria of the §4.130 general rating formula to attach; but, it was agreed that this constituted an unacceptable </w:t>
      </w:r>
      <w:r w:rsidR="000C6260">
        <w:rPr>
          <w:rFonts w:cs="Times New Roman"/>
          <w:color w:val="auto"/>
        </w:rPr>
        <w:t xml:space="preserve">breach of the </w:t>
      </w:r>
      <w:r w:rsidR="009837FE">
        <w:rPr>
          <w:rFonts w:cs="Times New Roman"/>
          <w:color w:val="auto"/>
        </w:rPr>
        <w:t xml:space="preserve">code </w:t>
      </w:r>
      <w:r w:rsidR="000C6260">
        <w:rPr>
          <w:rFonts w:cs="Times New Roman"/>
          <w:color w:val="auto"/>
        </w:rPr>
        <w:t>8045 language</w:t>
      </w:r>
      <w:r w:rsidR="009418D6">
        <w:rPr>
          <w:rFonts w:cs="Times New Roman"/>
          <w:color w:val="auto"/>
        </w:rPr>
        <w:t xml:space="preserve">, since §4.130 provides no code specific to cognitive impairment other than </w:t>
      </w:r>
      <w:r w:rsidR="000C6260">
        <w:rPr>
          <w:rFonts w:cs="Times New Roman"/>
          <w:color w:val="auto"/>
        </w:rPr>
        <w:t xml:space="preserve">the precluded dementia.  Furthermore, even </w:t>
      </w:r>
      <w:r w:rsidR="000C6260">
        <w:rPr>
          <w:color w:val="000000"/>
        </w:rPr>
        <w:t xml:space="preserve">TL07-05 opened this door no further than </w:t>
      </w:r>
      <w:r w:rsidR="00B65F99">
        <w:rPr>
          <w:color w:val="000000"/>
        </w:rPr>
        <w:t>“</w:t>
      </w:r>
      <w:r w:rsidR="000C6260">
        <w:rPr>
          <w:color w:val="000000"/>
        </w:rPr>
        <w:t>b</w:t>
      </w:r>
      <w:r w:rsidR="000C6260" w:rsidRPr="000C6260">
        <w:rPr>
          <w:color w:val="000000"/>
        </w:rPr>
        <w:t>ehavioral/emotional</w:t>
      </w:r>
      <w:r w:rsidR="000C6260">
        <w:rPr>
          <w:color w:val="000000"/>
        </w:rPr>
        <w:t xml:space="preserve"> symptoms </w:t>
      </w:r>
      <w:r w:rsidR="000C6260" w:rsidRPr="000C6260">
        <w:rPr>
          <w:color w:val="000000"/>
        </w:rPr>
        <w:t>due to cognitive problems</w:t>
      </w:r>
      <w:r w:rsidR="00C6071F">
        <w:rPr>
          <w:color w:val="000000"/>
        </w:rPr>
        <w:t>.</w:t>
      </w:r>
      <w:r w:rsidR="00703100">
        <w:rPr>
          <w:color w:val="000000"/>
        </w:rPr>
        <w:t>”</w:t>
      </w:r>
      <w:r w:rsidR="00B65F99">
        <w:rPr>
          <w:color w:val="000000"/>
        </w:rPr>
        <w:t xml:space="preserve"> </w:t>
      </w:r>
      <w:r w:rsidR="000C6260">
        <w:rPr>
          <w:rFonts w:cs="Times New Roman"/>
          <w:color w:val="auto"/>
        </w:rPr>
        <w:t xml:space="preserve"> </w:t>
      </w:r>
      <w:r w:rsidR="009563EC">
        <w:rPr>
          <w:rFonts w:cs="Times New Roman"/>
          <w:color w:val="auto"/>
        </w:rPr>
        <w:t xml:space="preserve">Although agreeing that a 10% rating is </w:t>
      </w:r>
      <w:r w:rsidR="00153C2B">
        <w:rPr>
          <w:rFonts w:cs="Times New Roman"/>
          <w:color w:val="auto"/>
        </w:rPr>
        <w:t>incongruent with</w:t>
      </w:r>
      <w:r w:rsidR="009563EC">
        <w:rPr>
          <w:rFonts w:cs="Times New Roman"/>
          <w:color w:val="auto"/>
        </w:rPr>
        <w:t xml:space="preserve"> the degree of cognitive impairment in evidence, the members concluded that there was no DoDI 6040.44 and VASRD compliant pathway to a rating recommendation higher than the 10% offered by 8045-9304 </w:t>
      </w:r>
      <w:r w:rsidR="00D0666C">
        <w:rPr>
          <w:rFonts w:cs="Times New Roman"/>
          <w:color w:val="auto"/>
        </w:rPr>
        <w:t xml:space="preserve">as defined above.  </w:t>
      </w:r>
      <w:r w:rsidR="00D0666C"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w:t>
      </w:r>
      <w:r w:rsidR="00D0666C">
        <w:rPr>
          <w:rFonts w:eastAsia="Calibri" w:cs="Times New Roman"/>
          <w:color w:val="auto"/>
          <w:szCs w:val="24"/>
        </w:rPr>
        <w:t>of cognitive disorder due to traumatic brain injury.</w:t>
      </w:r>
    </w:p>
    <w:p w:rsidR="00D0666C" w:rsidRDefault="00D0666C" w:rsidP="00554793">
      <w:pPr>
        <w:tabs>
          <w:tab w:val="left" w:pos="288"/>
          <w:tab w:val="left" w:pos="4752"/>
        </w:tabs>
        <w:jc w:val="both"/>
        <w:rPr>
          <w:rFonts w:eastAsia="Calibri" w:cs="Times New Roman"/>
          <w:color w:val="auto"/>
          <w:szCs w:val="24"/>
        </w:rPr>
      </w:pPr>
    </w:p>
    <w:p w:rsidR="00D0666C" w:rsidRDefault="00C6071F" w:rsidP="00554793">
      <w:pPr>
        <w:tabs>
          <w:tab w:val="left" w:pos="288"/>
          <w:tab w:val="left" w:pos="4752"/>
        </w:tabs>
        <w:jc w:val="both"/>
        <w:rPr>
          <w:rFonts w:cs="Times New Roman"/>
          <w:color w:val="auto"/>
        </w:rPr>
      </w:pPr>
      <w:proofErr w:type="gramStart"/>
      <w:r>
        <w:rPr>
          <w:color w:val="000000"/>
          <w:u w:val="single"/>
        </w:rPr>
        <w:t>Contended Postt</w:t>
      </w:r>
      <w:r w:rsidR="00C2458E">
        <w:rPr>
          <w:color w:val="000000"/>
          <w:u w:val="single"/>
        </w:rPr>
        <w:t xml:space="preserve">raumatic </w:t>
      </w:r>
      <w:r w:rsidR="00D0666C">
        <w:rPr>
          <w:color w:val="000000"/>
          <w:u w:val="single"/>
        </w:rPr>
        <w:t>Seizure Disorder</w:t>
      </w:r>
      <w:r w:rsidR="00D0666C" w:rsidRPr="009A7578">
        <w:rPr>
          <w:color w:val="000000"/>
        </w:rPr>
        <w:t>.</w:t>
      </w:r>
      <w:proofErr w:type="gramEnd"/>
      <w:r w:rsidR="00D0666C" w:rsidRPr="009A7578">
        <w:rPr>
          <w:color w:val="000000"/>
        </w:rPr>
        <w:t xml:space="preserve"> </w:t>
      </w:r>
      <w:r w:rsidR="00D0666C">
        <w:rPr>
          <w:color w:val="000000"/>
        </w:rPr>
        <w:t xml:space="preserve"> </w:t>
      </w:r>
      <w:r w:rsidR="00FE71F0">
        <w:rPr>
          <w:color w:val="000000"/>
        </w:rPr>
        <w:t>In July 2005</w:t>
      </w:r>
      <w:r>
        <w:rPr>
          <w:color w:val="000000"/>
        </w:rPr>
        <w:t xml:space="preserve">, </w:t>
      </w:r>
      <w:r w:rsidR="00FE71F0">
        <w:rPr>
          <w:color w:val="000000"/>
        </w:rPr>
        <w:t>13 months pr</w:t>
      </w:r>
      <w:r>
        <w:rPr>
          <w:color w:val="000000"/>
        </w:rPr>
        <w:t xml:space="preserve">ior to </w:t>
      </w:r>
      <w:r w:rsidR="00FE71F0">
        <w:rPr>
          <w:color w:val="000000"/>
        </w:rPr>
        <w:t>separation</w:t>
      </w:r>
      <w:r>
        <w:rPr>
          <w:color w:val="000000"/>
        </w:rPr>
        <w:t>,</w:t>
      </w:r>
      <w:r w:rsidR="00FE71F0">
        <w:rPr>
          <w:color w:val="000000"/>
        </w:rPr>
        <w:t xml:space="preserve"> t</w:t>
      </w:r>
      <w:r w:rsidR="00D0666C">
        <w:rPr>
          <w:color w:val="000000"/>
        </w:rPr>
        <w:t xml:space="preserve">he CI </w:t>
      </w:r>
      <w:r w:rsidR="00C82786">
        <w:rPr>
          <w:color w:val="000000"/>
        </w:rPr>
        <w:t xml:space="preserve">suffered a witnessed </w:t>
      </w:r>
      <w:r w:rsidR="00FE71F0">
        <w:rPr>
          <w:color w:val="000000"/>
        </w:rPr>
        <w:t>tonic/clonic seizure</w:t>
      </w:r>
      <w:r w:rsidR="00C82786">
        <w:rPr>
          <w:color w:val="000000"/>
        </w:rPr>
        <w:t xml:space="preserve"> lasting several minutes</w:t>
      </w:r>
      <w:r w:rsidR="00FE71F0">
        <w:rPr>
          <w:color w:val="000000"/>
        </w:rPr>
        <w:t>, and was placed on the</w:t>
      </w:r>
      <w:r w:rsidR="00C2458E">
        <w:rPr>
          <w:color w:val="000000"/>
        </w:rPr>
        <w:t xml:space="preserve"> anti</w:t>
      </w:r>
      <w:r w:rsidR="00FE71F0">
        <w:rPr>
          <w:color w:val="000000"/>
        </w:rPr>
        <w:t xml:space="preserve">convulsant </w:t>
      </w:r>
      <w:proofErr w:type="spellStart"/>
      <w:r w:rsidR="00FE71F0">
        <w:rPr>
          <w:color w:val="000000"/>
        </w:rPr>
        <w:t>Keppra</w:t>
      </w:r>
      <w:proofErr w:type="spellEnd"/>
      <w:r w:rsidR="00FE71F0">
        <w:rPr>
          <w:color w:val="000000"/>
        </w:rPr>
        <w:t xml:space="preserve">.  He suffered no recurrent seizures on active duty, but remained on the </w:t>
      </w:r>
      <w:r w:rsidR="00C2458E">
        <w:rPr>
          <w:color w:val="000000"/>
        </w:rPr>
        <w:t>anti</w:t>
      </w:r>
      <w:r w:rsidR="00FE71F0">
        <w:rPr>
          <w:color w:val="000000"/>
        </w:rPr>
        <w:t>convulsant at separation</w:t>
      </w:r>
      <w:r w:rsidR="00C82786">
        <w:rPr>
          <w:color w:val="000000"/>
        </w:rPr>
        <w:t xml:space="preserve"> without documented plans to discontinue seizure prophylaxis.  </w:t>
      </w:r>
      <w:r w:rsidR="00861492">
        <w:rPr>
          <w:color w:val="000000"/>
        </w:rPr>
        <w:t xml:space="preserve">The record confirmed that no side effects were reported for </w:t>
      </w:r>
      <w:proofErr w:type="spellStart"/>
      <w:r w:rsidR="00861492">
        <w:rPr>
          <w:color w:val="000000"/>
        </w:rPr>
        <w:t>Keppra</w:t>
      </w:r>
      <w:proofErr w:type="spellEnd"/>
      <w:r w:rsidR="00861492">
        <w:rPr>
          <w:color w:val="000000"/>
        </w:rPr>
        <w:t xml:space="preserve">. </w:t>
      </w:r>
      <w:r w:rsidR="00703100">
        <w:rPr>
          <w:color w:val="000000"/>
        </w:rPr>
        <w:t xml:space="preserve"> </w:t>
      </w:r>
      <w:r w:rsidR="00C82786">
        <w:rPr>
          <w:color w:val="000000"/>
        </w:rPr>
        <w:t xml:space="preserve">The seizure disorder was added to the permanent profile which was in effect at separation.  </w:t>
      </w:r>
      <w:r w:rsidR="00FE71F0">
        <w:rPr>
          <w:color w:val="000000"/>
        </w:rPr>
        <w:t xml:space="preserve"> </w:t>
      </w:r>
      <w:r w:rsidR="00C82786">
        <w:rPr>
          <w:color w:val="000000"/>
        </w:rPr>
        <w:t xml:space="preserve">The neurologist completing the NARSUM judged that the condition failed retention standards.  The commander’s </w:t>
      </w:r>
      <w:r w:rsidR="00C82786">
        <w:rPr>
          <w:color w:val="000000"/>
        </w:rPr>
        <w:lastRenderedPageBreak/>
        <w:t>statement (</w:t>
      </w:r>
      <w:r w:rsidR="00C2458E">
        <w:rPr>
          <w:color w:val="000000"/>
        </w:rPr>
        <w:t xml:space="preserve">which recommended retention in a different MOS) did not detail the CI’s diagnoses or his specific impairments.  Neither the FPEB’s DA Form 199 nor the USAPDA advisory opinion offered a rationale for the determination that the seizure condition was not independently unfitting.  Of note, during an attempt to taper the </w:t>
      </w:r>
      <w:proofErr w:type="spellStart"/>
      <w:r w:rsidR="00C2458E">
        <w:rPr>
          <w:color w:val="000000"/>
        </w:rPr>
        <w:t>Keppra</w:t>
      </w:r>
      <w:proofErr w:type="spellEnd"/>
      <w:r w:rsidR="00C2458E">
        <w:rPr>
          <w:color w:val="000000"/>
        </w:rPr>
        <w:t>, the CI suffered a recurrent seizure 2 months after separation and was committed to indefinite treatment with anticonvulsant.</w:t>
      </w:r>
      <w:r w:rsidR="00C2458E" w:rsidRPr="00C2458E">
        <w:rPr>
          <w:rFonts w:eastAsia="Calibri" w:cs="Times New Roman"/>
          <w:color w:val="auto"/>
          <w:szCs w:val="24"/>
        </w:rPr>
        <w:t xml:space="preserve"> </w:t>
      </w:r>
      <w:r w:rsidR="00B77C93">
        <w:rPr>
          <w:rFonts w:eastAsia="Calibri" w:cs="Times New Roman"/>
          <w:color w:val="auto"/>
          <w:szCs w:val="24"/>
        </w:rPr>
        <w:t xml:space="preserve"> </w:t>
      </w:r>
    </w:p>
    <w:p w:rsidR="00E31AF8" w:rsidRDefault="00E31AF8" w:rsidP="00B22D42">
      <w:pPr>
        <w:jc w:val="both"/>
        <w:rPr>
          <w:color w:val="000000"/>
        </w:rPr>
      </w:pPr>
    </w:p>
    <w:p w:rsidR="00D364F7" w:rsidRDefault="00C2458E" w:rsidP="00D364F7">
      <w:pPr>
        <w:jc w:val="both"/>
        <w:rPr>
          <w:rFonts w:eastAsia="Calibri" w:cs="Times New Roman"/>
          <w:color w:val="auto"/>
          <w:szCs w:val="24"/>
        </w:rPr>
      </w:pPr>
      <w:r w:rsidRPr="00F74399">
        <w:rPr>
          <w:rFonts w:eastAsia="Calibri" w:cs="Times New Roman"/>
          <w:color w:val="auto"/>
          <w:szCs w:val="24"/>
        </w:rPr>
        <w:t xml:space="preserve">The Board’s main charge with respect to the contended </w:t>
      </w:r>
      <w:r>
        <w:rPr>
          <w:rFonts w:eastAsia="Calibri" w:cs="Times New Roman"/>
          <w:color w:val="auto"/>
          <w:szCs w:val="24"/>
        </w:rPr>
        <w:t>seizure condition</w:t>
      </w:r>
      <w:r w:rsidRPr="00F74399">
        <w:rPr>
          <w:rFonts w:eastAsia="Calibri" w:cs="Times New Roman"/>
          <w:color w:val="auto"/>
          <w:szCs w:val="24"/>
        </w:rPr>
        <w:t xml:space="preserve"> is an assessment of the fairness of the </w:t>
      </w:r>
      <w:r>
        <w:rPr>
          <w:rFonts w:eastAsia="Calibri" w:cs="Times New Roman"/>
          <w:color w:val="auto"/>
          <w:szCs w:val="24"/>
        </w:rPr>
        <w:t xml:space="preserve">PEB’s </w:t>
      </w:r>
      <w:r w:rsidRPr="00F74399">
        <w:rPr>
          <w:rFonts w:eastAsia="Calibri" w:cs="Times New Roman"/>
          <w:color w:val="auto"/>
          <w:szCs w:val="24"/>
        </w:rPr>
        <w:t xml:space="preserve">determination that </w:t>
      </w:r>
      <w:r>
        <w:rPr>
          <w:rFonts w:eastAsia="Calibri" w:cs="Times New Roman"/>
          <w:color w:val="auto"/>
          <w:szCs w:val="24"/>
        </w:rPr>
        <w:t>it was</w:t>
      </w:r>
      <w:r w:rsidRPr="00F74399">
        <w:rPr>
          <w:rFonts w:eastAsia="Calibri" w:cs="Times New Roman"/>
          <w:color w:val="auto"/>
          <w:szCs w:val="24"/>
        </w:rPr>
        <w:t xml:space="preserve"> not unfitting.  </w:t>
      </w:r>
      <w:r w:rsidR="00B77C93" w:rsidRPr="00F74399">
        <w:rPr>
          <w:rFonts w:eastAsia="Calibri" w:cs="Times New Roman"/>
          <w:color w:val="auto"/>
          <w:szCs w:val="24"/>
        </w:rPr>
        <w:t xml:space="preserve">The Board’s threshold for countering fitness determinations is higher than the VASRD §4.3 (reasonable doubt) standard used for its rating recommendations, but remains adherent to the DoDI 6040.44 “fair and equitable” standard.  </w:t>
      </w:r>
      <w:r w:rsidR="00861492">
        <w:rPr>
          <w:rFonts w:eastAsia="Calibri" w:cs="Times New Roman"/>
          <w:color w:val="auto"/>
          <w:szCs w:val="24"/>
        </w:rPr>
        <w:t xml:space="preserve">Although no performance based evidence of impaired fitness from the seizure disorder or its treatment is on record, the CI was assigned to administrative duties outside his MOS for the duration of the diagnosis.  One can make an </w:t>
      </w:r>
      <w:r w:rsidR="00861492" w:rsidRPr="00D9424A">
        <w:rPr>
          <w:rFonts w:eastAsia="Calibri" w:cs="Times New Roman"/>
          <w:color w:val="auto"/>
          <w:szCs w:val="24"/>
        </w:rPr>
        <w:t xml:space="preserve">almost prima facie argument that an unpredictable seizure disorder is not compatible with a combatant MOS.  It is true that a longer trial of treatment and successful withdrawal of the anti-convulsant </w:t>
      </w:r>
      <w:r w:rsidR="001C3426" w:rsidRPr="00D9424A">
        <w:rPr>
          <w:rFonts w:eastAsia="Calibri" w:cs="Times New Roman"/>
          <w:color w:val="auto"/>
          <w:szCs w:val="24"/>
        </w:rPr>
        <w:t>(a trial doomed to failure, judging by events</w:t>
      </w:r>
      <w:r w:rsidR="00C6071F" w:rsidRPr="00D9424A">
        <w:rPr>
          <w:rFonts w:eastAsia="Calibri" w:cs="Times New Roman"/>
          <w:color w:val="auto"/>
          <w:szCs w:val="24"/>
        </w:rPr>
        <w:t xml:space="preserve"> after separation</w:t>
      </w:r>
      <w:r w:rsidR="001C3426" w:rsidRPr="00D9424A">
        <w:rPr>
          <w:rFonts w:eastAsia="Calibri" w:cs="Times New Roman"/>
          <w:color w:val="auto"/>
          <w:szCs w:val="24"/>
        </w:rPr>
        <w:t>), or continued service in an alternate MOS (as proposed by the commander), would overcome the intrinsic fitness implications; but,</w:t>
      </w:r>
      <w:r w:rsidR="001C3426">
        <w:rPr>
          <w:rFonts w:eastAsia="Calibri" w:cs="Times New Roman"/>
          <w:color w:val="auto"/>
          <w:szCs w:val="24"/>
        </w:rPr>
        <w:t xml:space="preserve"> neither of these options was pursued.  The Board must therefore judge the PEB’s determination on its face; i.e., that a fairly recently diagnosed seizure disorder, with an etiology conducive to further seizures and requiring anticonvulsant management, was not an unfitting impairment for an infantryman.  </w:t>
      </w:r>
      <w:r w:rsidR="00B77C93">
        <w:rPr>
          <w:rFonts w:eastAsia="Calibri" w:cs="Times New Roman"/>
          <w:color w:val="auto"/>
          <w:szCs w:val="24"/>
        </w:rPr>
        <w:t xml:space="preserve">Notwithstanding the separate issue of rating linked to fitness, it must </w:t>
      </w:r>
      <w:r w:rsidR="00ED1FEA">
        <w:rPr>
          <w:rFonts w:eastAsia="Calibri" w:cs="Times New Roman"/>
          <w:color w:val="auto"/>
          <w:szCs w:val="24"/>
        </w:rPr>
        <w:t xml:space="preserve">also </w:t>
      </w:r>
      <w:r w:rsidR="00B77C93">
        <w:rPr>
          <w:rFonts w:eastAsia="Calibri" w:cs="Times New Roman"/>
          <w:color w:val="auto"/>
          <w:szCs w:val="24"/>
        </w:rPr>
        <w:t xml:space="preserve">be acknowledged that an argument exists for interpreting the rating language for 8045 </w:t>
      </w:r>
      <w:r w:rsidR="00D9424A">
        <w:rPr>
          <w:rFonts w:eastAsia="Calibri" w:cs="Times New Roman"/>
          <w:color w:val="auto"/>
          <w:szCs w:val="24"/>
        </w:rPr>
        <w:t xml:space="preserve">code </w:t>
      </w:r>
      <w:r w:rsidR="00B77C93">
        <w:rPr>
          <w:rFonts w:eastAsia="Calibri" w:cs="Times New Roman"/>
          <w:color w:val="auto"/>
          <w:szCs w:val="24"/>
        </w:rPr>
        <w:t xml:space="preserve">(quoted in the preceding section) to require additional rating for seizures as part and parcel of the rating for the unfitting TBI condition.  </w:t>
      </w:r>
      <w:r w:rsidR="001C3426">
        <w:rPr>
          <w:rFonts w:eastAsia="Calibri" w:cs="Times New Roman"/>
          <w:color w:val="auto"/>
          <w:szCs w:val="24"/>
        </w:rPr>
        <w:t xml:space="preserve">Although members did not accept </w:t>
      </w:r>
      <w:r w:rsidR="00ED1FEA">
        <w:rPr>
          <w:rFonts w:eastAsia="Calibri" w:cs="Times New Roman"/>
          <w:color w:val="auto"/>
          <w:szCs w:val="24"/>
        </w:rPr>
        <w:t xml:space="preserve">this latter premise as compelling enough to underpin a recommendation, it adds additional weight favoring a rating for the seizure disorder.  </w:t>
      </w:r>
      <w:r w:rsidR="00D364F7">
        <w:rPr>
          <w:rFonts w:eastAsia="Calibri" w:cs="Times New Roman"/>
          <w:color w:val="auto"/>
          <w:szCs w:val="24"/>
        </w:rPr>
        <w:t>Considering the preponderance of the evidence</w:t>
      </w:r>
      <w:r w:rsidR="00ED1FEA" w:rsidRPr="00ED1FEA">
        <w:rPr>
          <w:rFonts w:eastAsia="Calibri" w:cs="Times New Roman"/>
          <w:color w:val="auto"/>
          <w:szCs w:val="24"/>
        </w:rPr>
        <w:t xml:space="preserve">, the Board agreed that the </w:t>
      </w:r>
      <w:r w:rsidR="00ED1FEA">
        <w:rPr>
          <w:rFonts w:eastAsia="Calibri" w:cs="Times New Roman"/>
          <w:color w:val="auto"/>
          <w:szCs w:val="24"/>
        </w:rPr>
        <w:t xml:space="preserve">logical fitness consequences of the seizure condition relative to the MOS, </w:t>
      </w:r>
      <w:r w:rsidR="00027436">
        <w:rPr>
          <w:rFonts w:eastAsia="Calibri" w:cs="Times New Roman"/>
          <w:color w:val="auto"/>
          <w:szCs w:val="24"/>
        </w:rPr>
        <w:t>sustained</w:t>
      </w:r>
      <w:r w:rsidR="00ED1FEA">
        <w:rPr>
          <w:rFonts w:eastAsia="Calibri" w:cs="Times New Roman"/>
          <w:color w:val="auto"/>
          <w:szCs w:val="24"/>
        </w:rPr>
        <w:t xml:space="preserve"> by the profile </w:t>
      </w:r>
      <w:r w:rsidR="00027436">
        <w:rPr>
          <w:rFonts w:eastAsia="Calibri" w:cs="Times New Roman"/>
          <w:color w:val="auto"/>
          <w:szCs w:val="24"/>
        </w:rPr>
        <w:t xml:space="preserve">limitations </w:t>
      </w:r>
      <w:r w:rsidR="00ED1FEA">
        <w:rPr>
          <w:rFonts w:eastAsia="Calibri" w:cs="Times New Roman"/>
          <w:color w:val="auto"/>
          <w:szCs w:val="24"/>
        </w:rPr>
        <w:t xml:space="preserve">and </w:t>
      </w:r>
      <w:r w:rsidR="00027436">
        <w:rPr>
          <w:rFonts w:eastAsia="Calibri" w:cs="Times New Roman"/>
          <w:color w:val="auto"/>
          <w:szCs w:val="24"/>
        </w:rPr>
        <w:t xml:space="preserve">specialty opinion that it failed retention standards, provide ample support for its </w:t>
      </w:r>
      <w:r w:rsidR="00ED1FEA" w:rsidRPr="00ED1FEA">
        <w:rPr>
          <w:rFonts w:eastAsia="Calibri" w:cs="Times New Roman"/>
          <w:color w:val="auto"/>
          <w:szCs w:val="24"/>
        </w:rPr>
        <w:t xml:space="preserve">recommendation as an unfitting condition </w:t>
      </w:r>
      <w:r w:rsidR="00027436">
        <w:rPr>
          <w:rFonts w:eastAsia="Calibri" w:cs="Times New Roman"/>
          <w:color w:val="auto"/>
          <w:szCs w:val="24"/>
        </w:rPr>
        <w:t xml:space="preserve">eligible </w:t>
      </w:r>
      <w:r w:rsidR="00ED1FEA" w:rsidRPr="00ED1FEA">
        <w:rPr>
          <w:rFonts w:eastAsia="Calibri" w:cs="Times New Roman"/>
          <w:color w:val="auto"/>
          <w:szCs w:val="24"/>
        </w:rPr>
        <w:t xml:space="preserve">for disability rating.  </w:t>
      </w:r>
      <w:r w:rsidR="00894587">
        <w:rPr>
          <w:rFonts w:eastAsia="Calibri" w:cs="Times New Roman"/>
          <w:color w:val="auto"/>
          <w:szCs w:val="24"/>
        </w:rPr>
        <w:t xml:space="preserve">The appropriate VASRD code for the condition </w:t>
      </w:r>
      <w:r w:rsidR="00C64064">
        <w:rPr>
          <w:rFonts w:eastAsia="Calibri" w:cs="Times New Roman"/>
          <w:color w:val="auto"/>
          <w:szCs w:val="24"/>
        </w:rPr>
        <w:t>is</w:t>
      </w:r>
      <w:r w:rsidR="00894587">
        <w:rPr>
          <w:rFonts w:eastAsia="Calibri" w:cs="Times New Roman"/>
          <w:color w:val="auto"/>
          <w:szCs w:val="24"/>
        </w:rPr>
        <w:t xml:space="preserve"> derived </w:t>
      </w:r>
      <w:r w:rsidR="00C64064">
        <w:rPr>
          <w:rFonts w:eastAsia="Calibri" w:cs="Times New Roman"/>
          <w:color w:val="auto"/>
          <w:szCs w:val="24"/>
        </w:rPr>
        <w:t>IAW</w:t>
      </w:r>
      <w:r w:rsidR="00894587">
        <w:rPr>
          <w:rFonts w:eastAsia="Calibri" w:cs="Times New Roman"/>
          <w:color w:val="auto"/>
          <w:szCs w:val="24"/>
        </w:rPr>
        <w:t xml:space="preserve"> the </w:t>
      </w:r>
      <w:bookmarkStart w:id="0" w:name="_GoBack"/>
      <w:bookmarkEnd w:id="0"/>
      <w:r w:rsidR="00894587">
        <w:rPr>
          <w:rFonts w:eastAsia="Calibri" w:cs="Times New Roman"/>
          <w:color w:val="auto"/>
          <w:szCs w:val="24"/>
        </w:rPr>
        <w:t>8045 rating language</w:t>
      </w:r>
      <w:r w:rsidR="00C64064">
        <w:rPr>
          <w:rFonts w:eastAsia="Calibri" w:cs="Times New Roman"/>
          <w:color w:val="auto"/>
          <w:szCs w:val="24"/>
        </w:rPr>
        <w:t xml:space="preserve"> quoted above</w:t>
      </w:r>
      <w:r w:rsidR="00894587">
        <w:rPr>
          <w:rFonts w:eastAsia="Calibri" w:cs="Times New Roman"/>
          <w:color w:val="auto"/>
          <w:szCs w:val="24"/>
        </w:rPr>
        <w:t xml:space="preserve">; i.e., </w:t>
      </w:r>
      <w:r w:rsidR="00C64064">
        <w:rPr>
          <w:rFonts w:eastAsia="Calibri" w:cs="Times New Roman"/>
          <w:color w:val="auto"/>
          <w:szCs w:val="24"/>
        </w:rPr>
        <w:t>8045-</w:t>
      </w:r>
      <w:r w:rsidR="00C64064" w:rsidRPr="00894587">
        <w:rPr>
          <w:rFonts w:eastAsia="Calibri" w:cs="Times New Roman"/>
          <w:color w:val="auto"/>
          <w:szCs w:val="24"/>
        </w:rPr>
        <w:t>8910</w:t>
      </w:r>
      <w:r w:rsidR="00C64064">
        <w:rPr>
          <w:rFonts w:eastAsia="Calibri" w:cs="Times New Roman"/>
          <w:color w:val="auto"/>
          <w:szCs w:val="24"/>
        </w:rPr>
        <w:t xml:space="preserve"> (epilepsy, grand mal).  Under the VASRD §4.124a </w:t>
      </w:r>
      <w:r w:rsidR="00D9424A">
        <w:rPr>
          <w:rFonts w:eastAsia="Calibri" w:cs="Times New Roman"/>
          <w:color w:val="auto"/>
          <w:szCs w:val="24"/>
        </w:rPr>
        <w:t>g</w:t>
      </w:r>
      <w:r w:rsidR="00C64064">
        <w:rPr>
          <w:rFonts w:eastAsia="Calibri" w:cs="Times New Roman"/>
          <w:color w:val="auto"/>
          <w:szCs w:val="24"/>
        </w:rPr>
        <w:t xml:space="preserve">eneral </w:t>
      </w:r>
      <w:r w:rsidR="00D9424A">
        <w:rPr>
          <w:rFonts w:eastAsia="Calibri" w:cs="Times New Roman"/>
          <w:color w:val="auto"/>
          <w:szCs w:val="24"/>
        </w:rPr>
        <w:t>r</w:t>
      </w:r>
      <w:r w:rsidR="00C64064">
        <w:rPr>
          <w:rFonts w:eastAsia="Calibri" w:cs="Times New Roman"/>
          <w:color w:val="auto"/>
          <w:szCs w:val="24"/>
        </w:rPr>
        <w:t xml:space="preserve">ating </w:t>
      </w:r>
      <w:r w:rsidR="00D9424A">
        <w:rPr>
          <w:rFonts w:eastAsia="Calibri" w:cs="Times New Roman"/>
          <w:color w:val="auto"/>
          <w:szCs w:val="24"/>
        </w:rPr>
        <w:t>f</w:t>
      </w:r>
      <w:r w:rsidR="00C64064">
        <w:rPr>
          <w:rFonts w:eastAsia="Calibri" w:cs="Times New Roman"/>
          <w:color w:val="auto"/>
          <w:szCs w:val="24"/>
        </w:rPr>
        <w:t xml:space="preserve">ormula for </w:t>
      </w:r>
      <w:r w:rsidR="00D9424A">
        <w:rPr>
          <w:rFonts w:eastAsia="Calibri" w:cs="Times New Roman"/>
          <w:color w:val="auto"/>
          <w:szCs w:val="24"/>
        </w:rPr>
        <w:t>m</w:t>
      </w:r>
      <w:r w:rsidR="00C64064">
        <w:rPr>
          <w:rFonts w:eastAsia="Calibri" w:cs="Times New Roman"/>
          <w:color w:val="auto"/>
          <w:szCs w:val="24"/>
        </w:rPr>
        <w:t xml:space="preserve">ajor and </w:t>
      </w:r>
      <w:r w:rsidR="00D9424A">
        <w:rPr>
          <w:rFonts w:eastAsia="Calibri" w:cs="Times New Roman"/>
          <w:color w:val="auto"/>
          <w:szCs w:val="24"/>
        </w:rPr>
        <w:t>m</w:t>
      </w:r>
      <w:r w:rsidR="00C64064">
        <w:rPr>
          <w:rFonts w:eastAsia="Calibri" w:cs="Times New Roman"/>
          <w:color w:val="auto"/>
          <w:szCs w:val="24"/>
        </w:rPr>
        <w:t xml:space="preserve">inor </w:t>
      </w:r>
      <w:r w:rsidR="00D9424A">
        <w:rPr>
          <w:rFonts w:eastAsia="Calibri" w:cs="Times New Roman"/>
          <w:color w:val="auto"/>
          <w:szCs w:val="24"/>
        </w:rPr>
        <w:t>e</w:t>
      </w:r>
      <w:r w:rsidR="00C64064">
        <w:rPr>
          <w:rFonts w:eastAsia="Calibri" w:cs="Times New Roman"/>
          <w:color w:val="auto"/>
          <w:szCs w:val="24"/>
        </w:rPr>
        <w:t xml:space="preserve">pileptic </w:t>
      </w:r>
      <w:r w:rsidR="00D9424A">
        <w:rPr>
          <w:rFonts w:eastAsia="Calibri" w:cs="Times New Roman"/>
          <w:color w:val="auto"/>
          <w:szCs w:val="24"/>
        </w:rPr>
        <w:t>s</w:t>
      </w:r>
      <w:r w:rsidR="00C64064">
        <w:rPr>
          <w:rFonts w:eastAsia="Calibri" w:cs="Times New Roman"/>
          <w:color w:val="auto"/>
          <w:szCs w:val="24"/>
        </w:rPr>
        <w:t>eizures, the evidence supports the 20% criterion of “a</w:t>
      </w:r>
      <w:r w:rsidR="00C64064" w:rsidRPr="00894587">
        <w:rPr>
          <w:rFonts w:eastAsia="Calibri" w:cs="Times New Roman"/>
          <w:color w:val="auto"/>
          <w:szCs w:val="24"/>
        </w:rPr>
        <w:t xml:space="preserve">t least </w:t>
      </w:r>
      <w:r w:rsidR="00D9424A">
        <w:rPr>
          <w:rFonts w:eastAsia="Calibri" w:cs="Times New Roman"/>
          <w:color w:val="auto"/>
          <w:szCs w:val="24"/>
        </w:rPr>
        <w:t>one</w:t>
      </w:r>
      <w:r w:rsidR="00C64064" w:rsidRPr="00894587">
        <w:rPr>
          <w:rFonts w:eastAsia="Calibri" w:cs="Times New Roman"/>
          <w:color w:val="auto"/>
          <w:szCs w:val="24"/>
        </w:rPr>
        <w:t xml:space="preserve"> major seizure in the last 2 years</w:t>
      </w:r>
      <w:r w:rsidR="00D9424A">
        <w:rPr>
          <w:rFonts w:eastAsia="Calibri" w:cs="Times New Roman"/>
          <w:color w:val="auto"/>
          <w:szCs w:val="24"/>
        </w:rPr>
        <w:t>.</w:t>
      </w:r>
      <w:r w:rsidR="00C64064">
        <w:rPr>
          <w:rFonts w:eastAsia="Calibri" w:cs="Times New Roman"/>
          <w:color w:val="auto"/>
          <w:szCs w:val="24"/>
        </w:rPr>
        <w:t xml:space="preserve">”  </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6C3C98" w:rsidRPr="00560F12" w:rsidRDefault="00AD2379" w:rsidP="006C3C98">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D45B34" w:rsidRPr="00241B01">
        <w:rPr>
          <w:rFonts w:eastAsia="Calibri" w:cs="Times New Roman"/>
          <w:color w:val="auto"/>
          <w:szCs w:val="24"/>
        </w:rPr>
        <w:t xml:space="preserve">As discussed above, PEB </w:t>
      </w:r>
      <w:r w:rsidR="00D45B34">
        <w:rPr>
          <w:rFonts w:eastAsia="Calibri" w:cs="Times New Roman"/>
          <w:color w:val="auto"/>
          <w:szCs w:val="24"/>
        </w:rPr>
        <w:t>application of</w:t>
      </w:r>
      <w:r w:rsidR="00D45B34" w:rsidRPr="00241B01">
        <w:rPr>
          <w:rFonts w:eastAsia="Calibri" w:cs="Times New Roman"/>
          <w:color w:val="auto"/>
          <w:szCs w:val="24"/>
        </w:rPr>
        <w:t xml:space="preserve"> </w:t>
      </w:r>
      <w:r w:rsidR="00D45B34">
        <w:rPr>
          <w:color w:val="000000"/>
        </w:rPr>
        <w:t>DoDI</w:t>
      </w:r>
      <w:r w:rsidR="00D45B34" w:rsidRPr="0077083B">
        <w:rPr>
          <w:color w:val="000000"/>
        </w:rPr>
        <w:t xml:space="preserve"> 1332.39</w:t>
      </w:r>
      <w:r w:rsidR="00D45B34">
        <w:rPr>
          <w:color w:val="000000"/>
        </w:rPr>
        <w:t xml:space="preserve"> </w:t>
      </w:r>
      <w:r w:rsidR="00D45B34">
        <w:rPr>
          <w:rFonts w:eastAsia="Calibri" w:cs="Times New Roman"/>
          <w:color w:val="auto"/>
          <w:szCs w:val="24"/>
        </w:rPr>
        <w:t>to its</w:t>
      </w:r>
      <w:r w:rsidR="00D45B34" w:rsidRPr="00241B01">
        <w:rPr>
          <w:rFonts w:eastAsia="Calibri" w:cs="Times New Roman"/>
          <w:color w:val="auto"/>
          <w:szCs w:val="24"/>
        </w:rPr>
        <w:t xml:space="preserve"> rating </w:t>
      </w:r>
      <w:r w:rsidR="00D45B34">
        <w:rPr>
          <w:rFonts w:eastAsia="Calibri" w:cs="Times New Roman"/>
          <w:color w:val="auto"/>
          <w:szCs w:val="24"/>
        </w:rPr>
        <w:t>for cognitive disorder</w:t>
      </w:r>
      <w:r w:rsidR="00D45B34" w:rsidRPr="00241B01">
        <w:rPr>
          <w:rFonts w:eastAsia="Calibri" w:cs="Times New Roman"/>
          <w:color w:val="auto"/>
          <w:szCs w:val="24"/>
        </w:rPr>
        <w:t xml:space="preserve"> was operant in this case</w:t>
      </w:r>
      <w:r w:rsidR="00D45B34">
        <w:rPr>
          <w:rFonts w:eastAsia="Calibri" w:cs="Times New Roman"/>
          <w:color w:val="auto"/>
          <w:szCs w:val="24"/>
        </w:rPr>
        <w:t>,</w:t>
      </w:r>
      <w:r w:rsidR="00D45B34" w:rsidRPr="00241B01">
        <w:rPr>
          <w:rFonts w:eastAsia="Calibri" w:cs="Times New Roman"/>
          <w:color w:val="auto"/>
          <w:szCs w:val="24"/>
        </w:rPr>
        <w:t xml:space="preserve"> and </w:t>
      </w:r>
      <w:r w:rsidR="00D45B34">
        <w:rPr>
          <w:rFonts w:eastAsia="Calibri" w:cs="Times New Roman"/>
          <w:color w:val="auto"/>
          <w:szCs w:val="24"/>
        </w:rPr>
        <w:t>it</w:t>
      </w:r>
      <w:r w:rsidR="00D45B34" w:rsidRPr="00241B01">
        <w:rPr>
          <w:rFonts w:eastAsia="Calibri" w:cs="Times New Roman"/>
          <w:color w:val="auto"/>
          <w:szCs w:val="24"/>
        </w:rPr>
        <w:t xml:space="preserve"> was adjudicated independently of that </w:t>
      </w:r>
      <w:r w:rsidR="00D45B34">
        <w:rPr>
          <w:rFonts w:eastAsia="Calibri" w:cs="Times New Roman"/>
          <w:color w:val="auto"/>
          <w:szCs w:val="24"/>
        </w:rPr>
        <w:t>Instruction</w:t>
      </w:r>
      <w:r w:rsidR="00D45B34" w:rsidRPr="00241B01">
        <w:rPr>
          <w:rFonts w:eastAsia="Calibri" w:cs="Times New Roman"/>
          <w:color w:val="auto"/>
          <w:szCs w:val="24"/>
        </w:rPr>
        <w:t xml:space="preserve"> by the Board. </w:t>
      </w:r>
      <w:r w:rsidR="00D45B34">
        <w:rPr>
          <w:rFonts w:eastAsia="Calibri" w:cs="Times New Roman"/>
          <w:color w:val="auto"/>
          <w:szCs w:val="24"/>
        </w:rPr>
        <w:t xml:space="preserve"> </w:t>
      </w:r>
      <w:r w:rsidR="00D45B34" w:rsidRPr="00560F12">
        <w:rPr>
          <w:rFonts w:eastAsia="Calibri" w:cs="Times New Roman"/>
          <w:color w:val="auto"/>
          <w:szCs w:val="24"/>
        </w:rPr>
        <w:t xml:space="preserve">In the matter of the </w:t>
      </w:r>
      <w:r w:rsidR="00D45B34">
        <w:rPr>
          <w:rFonts w:eastAsia="Calibri" w:cs="Times New Roman"/>
          <w:color w:val="auto"/>
          <w:szCs w:val="24"/>
        </w:rPr>
        <w:t xml:space="preserve">cognitive disorder due to </w:t>
      </w:r>
      <w:r w:rsidR="00D9424A">
        <w:rPr>
          <w:rFonts w:eastAsia="Calibri" w:cs="Times New Roman"/>
          <w:color w:val="auto"/>
          <w:szCs w:val="24"/>
        </w:rPr>
        <w:t>TBI</w:t>
      </w:r>
      <w:r w:rsidR="00D45B34">
        <w:rPr>
          <w:rFonts w:eastAsia="Calibri" w:cs="Times New Roman"/>
          <w:color w:val="auto"/>
          <w:szCs w:val="24"/>
        </w:rPr>
        <w:t>,</w:t>
      </w:r>
      <w:r w:rsidR="00D45B34" w:rsidRPr="00560F12">
        <w:rPr>
          <w:rFonts w:eastAsia="Calibri" w:cs="Times New Roman"/>
          <w:color w:val="auto"/>
          <w:szCs w:val="24"/>
        </w:rPr>
        <w:t xml:space="preserve"> and </w:t>
      </w:r>
      <w:r w:rsidR="00D45B34" w:rsidRPr="00D45B34">
        <w:rPr>
          <w:rFonts w:eastAsia="Calibri" w:cs="Times New Roman"/>
          <w:color w:val="auto"/>
          <w:szCs w:val="24"/>
        </w:rPr>
        <w:t xml:space="preserve">IAW </w:t>
      </w:r>
      <w:r w:rsidR="00D45B34" w:rsidRPr="00667364">
        <w:rPr>
          <w:rFonts w:eastAsia="Calibri" w:cs="Times New Roman"/>
          <w:color w:val="auto"/>
          <w:szCs w:val="24"/>
        </w:rPr>
        <w:t xml:space="preserve">VASRD §4.124a, the Board unanimously recommends no change in the PEB adjudication.  In the matter of the seizure disorder due to </w:t>
      </w:r>
      <w:r w:rsidR="00D9424A">
        <w:rPr>
          <w:rFonts w:eastAsia="Calibri" w:cs="Times New Roman"/>
          <w:color w:val="auto"/>
          <w:szCs w:val="24"/>
        </w:rPr>
        <w:t>TBI</w:t>
      </w:r>
      <w:r w:rsidR="00D45B34" w:rsidRPr="00667364">
        <w:rPr>
          <w:rFonts w:eastAsia="Calibri" w:cs="Times New Roman"/>
          <w:color w:val="auto"/>
          <w:szCs w:val="24"/>
        </w:rPr>
        <w:t>, the Board unanimously recommends that it be added as an additionally unfitting condition for disability rating, coded 8045</w:t>
      </w:r>
      <w:r w:rsidR="00D45B34">
        <w:rPr>
          <w:rFonts w:eastAsia="Calibri" w:cs="Times New Roman"/>
          <w:color w:val="auto"/>
          <w:szCs w:val="24"/>
        </w:rPr>
        <w:t>-</w:t>
      </w:r>
      <w:r w:rsidR="00D45B34" w:rsidRPr="00894587">
        <w:rPr>
          <w:rFonts w:eastAsia="Calibri" w:cs="Times New Roman"/>
          <w:color w:val="auto"/>
          <w:szCs w:val="24"/>
        </w:rPr>
        <w:t>8910</w:t>
      </w:r>
      <w:r w:rsidR="00D45B34">
        <w:rPr>
          <w:rFonts w:eastAsia="Calibri" w:cs="Times New Roman"/>
          <w:color w:val="auto"/>
          <w:szCs w:val="24"/>
        </w:rPr>
        <w:t xml:space="preserve"> </w:t>
      </w:r>
      <w:r w:rsidR="00D45B34" w:rsidRPr="00D364F7">
        <w:rPr>
          <w:rFonts w:eastAsia="Calibri" w:cs="Times New Roman"/>
          <w:color w:val="auto"/>
          <w:szCs w:val="24"/>
        </w:rPr>
        <w:t xml:space="preserve">and rated </w:t>
      </w:r>
      <w:r w:rsidR="00D45B34">
        <w:rPr>
          <w:rFonts w:eastAsia="Calibri" w:cs="Times New Roman"/>
          <w:color w:val="auto"/>
          <w:szCs w:val="24"/>
        </w:rPr>
        <w:t>2</w:t>
      </w:r>
      <w:r w:rsidR="00D45B34" w:rsidRPr="00D364F7">
        <w:rPr>
          <w:rFonts w:eastAsia="Calibri" w:cs="Times New Roman"/>
          <w:color w:val="auto"/>
          <w:szCs w:val="24"/>
        </w:rPr>
        <w:t xml:space="preserve">0% IAW VASRD </w:t>
      </w:r>
      <w:r w:rsidR="00D45B34" w:rsidRPr="00D45B34">
        <w:rPr>
          <w:rFonts w:eastAsia="Calibri" w:cs="Times New Roman"/>
          <w:color w:val="auto"/>
          <w:szCs w:val="24"/>
        </w:rPr>
        <w:t>§4.124a</w:t>
      </w:r>
      <w:r w:rsidR="00D45B34" w:rsidRPr="00D364F7">
        <w:rPr>
          <w:rFonts w:eastAsia="Calibri" w:cs="Times New Roman"/>
          <w:color w:val="auto"/>
          <w:szCs w:val="24"/>
        </w:rPr>
        <w:t>.</w:t>
      </w:r>
      <w:r w:rsidR="00D45B34">
        <w:rPr>
          <w:rFonts w:eastAsia="Calibri" w:cs="Times New Roman"/>
          <w:color w:val="auto"/>
          <w:szCs w:val="24"/>
        </w:rPr>
        <w:t xml:space="preserve">  </w:t>
      </w:r>
      <w:r w:rsidR="00667364">
        <w:rPr>
          <w:rFonts w:eastAsia="Calibri" w:cs="Times New Roman"/>
          <w:color w:val="auto"/>
          <w:szCs w:val="24"/>
        </w:rPr>
        <w:t xml:space="preserve"> </w:t>
      </w:r>
      <w:r w:rsidR="00D45B34" w:rsidRPr="003471C5">
        <w:rPr>
          <w:rFonts w:eastAsia="Calibri" w:cs="Times New Roman"/>
          <w:color w:val="auto"/>
          <w:szCs w:val="24"/>
        </w:rPr>
        <w:t>There were no other conditions within the Board’s scope of review for consideration.</w:t>
      </w:r>
      <w:r w:rsidR="006C3C98">
        <w:rPr>
          <w:rFonts w:eastAsia="Calibri" w:cs="Times New Roman"/>
          <w:color w:val="auto"/>
          <w:szCs w:val="24"/>
        </w:rPr>
        <w:tab/>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667364" w:rsidRDefault="00667364">
      <w:pPr>
        <w:spacing w:line="240" w:lineRule="auto"/>
        <w:jc w:val="left"/>
        <w:rPr>
          <w:color w:val="000000"/>
          <w:u w:val="single"/>
        </w:rPr>
      </w:pPr>
      <w:r>
        <w:rPr>
          <w:color w:val="000000"/>
          <w:u w:val="single"/>
        </w:rPr>
        <w:br w:type="page"/>
      </w:r>
    </w:p>
    <w:p w:rsidR="00667364" w:rsidRDefault="00AD2379" w:rsidP="00D45B34">
      <w:pPr>
        <w:jc w:val="both"/>
        <w:rPr>
          <w:rFonts w:eastAsia="Calibri" w:cs="Times New Roman"/>
          <w:color w:val="auto"/>
          <w:szCs w:val="24"/>
        </w:rPr>
      </w:pPr>
      <w:r w:rsidRPr="009A7578">
        <w:rPr>
          <w:color w:val="000000"/>
          <w:u w:val="single"/>
        </w:rPr>
        <w:lastRenderedPageBreak/>
        <w:t>RECOMMENDATION</w:t>
      </w:r>
      <w:r w:rsidRPr="009A7578">
        <w:rPr>
          <w:color w:val="000000"/>
        </w:rPr>
        <w:t xml:space="preserve">: </w:t>
      </w:r>
      <w:r w:rsidR="00D45B34">
        <w:rPr>
          <w:color w:val="000000"/>
        </w:rPr>
        <w:t xml:space="preserve"> </w:t>
      </w:r>
      <w:r w:rsidR="00565636" w:rsidRPr="00565636">
        <w:rPr>
          <w:rFonts w:eastAsia="Calibri" w:cs="Times New Roman"/>
          <w:color w:val="auto"/>
          <w:szCs w:val="24"/>
        </w:rPr>
        <w:t xml:space="preserve">The Board recommends that the CI’s prior determination be modified as </w:t>
      </w:r>
      <w:r w:rsidR="00565636" w:rsidRPr="003E4FD7">
        <w:rPr>
          <w:rFonts w:eastAsia="Calibri" w:cs="Times New Roman"/>
          <w:color w:val="auto"/>
          <w:szCs w:val="24"/>
        </w:rPr>
        <w:t>follows and that</w:t>
      </w:r>
      <w:r w:rsidR="00565636" w:rsidRPr="00565636">
        <w:rPr>
          <w:rFonts w:eastAsia="Calibri" w:cs="Times New Roman"/>
          <w:color w:val="auto"/>
          <w:szCs w:val="24"/>
        </w:rPr>
        <w:t xml:space="preserve"> the discharge with severance pay be recharacterized to reflect permanent disability retirement, effective as of the date of his prior medical separation.</w:t>
      </w:r>
    </w:p>
    <w:p w:rsidR="00AD2379" w:rsidRPr="00667364" w:rsidRDefault="00AD2379" w:rsidP="00667364">
      <w:pPr>
        <w:spacing w:line="240" w:lineRule="auto"/>
        <w:jc w:val="left"/>
        <w:rPr>
          <w:rFonts w:eastAsia="Calibri" w:cs="Times New Roman"/>
          <w:color w:val="auto"/>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D45B34" w:rsidP="00BF0E94">
            <w:pPr>
              <w:tabs>
                <w:tab w:val="left" w:pos="288"/>
                <w:tab w:val="left" w:pos="4752"/>
              </w:tabs>
              <w:jc w:val="left"/>
              <w:rPr>
                <w:color w:val="000000"/>
              </w:rPr>
            </w:pPr>
            <w:r>
              <w:rPr>
                <w:color w:val="000000"/>
              </w:rPr>
              <w:t>Cognitive Disorder Secondary to Traumatic Brain Injury</w:t>
            </w:r>
          </w:p>
        </w:tc>
        <w:tc>
          <w:tcPr>
            <w:tcW w:w="1530" w:type="dxa"/>
            <w:vAlign w:val="center"/>
          </w:tcPr>
          <w:p w:rsidR="00AD2379" w:rsidRPr="000D5DBE" w:rsidRDefault="00D45B34" w:rsidP="00BF0E94">
            <w:pPr>
              <w:tabs>
                <w:tab w:val="left" w:pos="288"/>
                <w:tab w:val="left" w:pos="4752"/>
              </w:tabs>
              <w:rPr>
                <w:color w:val="000000"/>
              </w:rPr>
            </w:pPr>
            <w:r>
              <w:rPr>
                <w:color w:val="000000"/>
              </w:rPr>
              <w:t>8045-9304</w:t>
            </w:r>
          </w:p>
        </w:tc>
        <w:tc>
          <w:tcPr>
            <w:tcW w:w="1026" w:type="dxa"/>
            <w:vAlign w:val="center"/>
          </w:tcPr>
          <w:p w:rsidR="00AD2379" w:rsidRPr="000D5DBE" w:rsidRDefault="00D45B34" w:rsidP="00BF0E94">
            <w:pPr>
              <w:tabs>
                <w:tab w:val="left" w:pos="288"/>
                <w:tab w:val="left" w:pos="4752"/>
              </w:tabs>
              <w:rPr>
                <w:color w:val="000000"/>
              </w:rPr>
            </w:pPr>
            <w:r>
              <w:rPr>
                <w:color w:val="000000"/>
              </w:rPr>
              <w:t>1</w:t>
            </w:r>
            <w:r w:rsidR="00AD2379" w:rsidRPr="000D5DBE">
              <w:rPr>
                <w:color w:val="000000"/>
              </w:rPr>
              <w:t>0%</w:t>
            </w:r>
          </w:p>
        </w:tc>
      </w:tr>
      <w:tr w:rsidR="00D45B34" w:rsidRPr="000D5DBE" w:rsidTr="00667364">
        <w:trPr>
          <w:jc w:val="center"/>
        </w:trPr>
        <w:tc>
          <w:tcPr>
            <w:tcW w:w="6768" w:type="dxa"/>
            <w:shd w:val="clear" w:color="auto" w:fill="FFFFFF" w:themeFill="background1"/>
            <w:vAlign w:val="center"/>
          </w:tcPr>
          <w:p w:rsidR="00D45B34" w:rsidRPr="000D5DBE" w:rsidRDefault="00D45B34" w:rsidP="00D45B34">
            <w:pPr>
              <w:tabs>
                <w:tab w:val="left" w:pos="288"/>
                <w:tab w:val="left" w:pos="4752"/>
              </w:tabs>
              <w:jc w:val="left"/>
              <w:rPr>
                <w:color w:val="000000"/>
              </w:rPr>
            </w:pPr>
            <w:r>
              <w:rPr>
                <w:color w:val="000000"/>
              </w:rPr>
              <w:t>Seizure Disorder Secondary to Traumatic Brain Injury</w:t>
            </w:r>
          </w:p>
        </w:tc>
        <w:tc>
          <w:tcPr>
            <w:tcW w:w="1530" w:type="dxa"/>
            <w:shd w:val="clear" w:color="auto" w:fill="FFFFFF" w:themeFill="background1"/>
            <w:vAlign w:val="center"/>
          </w:tcPr>
          <w:p w:rsidR="00D45B34" w:rsidRPr="000D5DBE" w:rsidRDefault="00D45B34" w:rsidP="00D45B34">
            <w:pPr>
              <w:tabs>
                <w:tab w:val="left" w:pos="288"/>
                <w:tab w:val="left" w:pos="4752"/>
              </w:tabs>
              <w:rPr>
                <w:color w:val="000000"/>
              </w:rPr>
            </w:pPr>
            <w:r>
              <w:rPr>
                <w:color w:val="000000"/>
              </w:rPr>
              <w:t>8045-</w:t>
            </w:r>
            <w:r w:rsidR="001633FF">
              <w:rPr>
                <w:color w:val="000000"/>
              </w:rPr>
              <w:t>8910</w:t>
            </w:r>
          </w:p>
        </w:tc>
        <w:tc>
          <w:tcPr>
            <w:tcW w:w="1026" w:type="dxa"/>
            <w:shd w:val="clear" w:color="auto" w:fill="FFFFFF" w:themeFill="background1"/>
            <w:vAlign w:val="center"/>
          </w:tcPr>
          <w:p w:rsidR="00D45B34" w:rsidRPr="000D5DBE" w:rsidRDefault="001633FF" w:rsidP="00D45B34">
            <w:pPr>
              <w:tabs>
                <w:tab w:val="left" w:pos="288"/>
                <w:tab w:val="left" w:pos="4752"/>
              </w:tabs>
              <w:rPr>
                <w:color w:val="000000"/>
              </w:rPr>
            </w:pPr>
            <w:r>
              <w:rPr>
                <w:color w:val="000000"/>
              </w:rPr>
              <w:t>2</w:t>
            </w:r>
            <w:r w:rsidR="00D45B34" w:rsidRPr="000D5DBE">
              <w:rPr>
                <w:color w:val="000000"/>
              </w:rPr>
              <w:t>0%</w:t>
            </w:r>
          </w:p>
        </w:tc>
      </w:tr>
      <w:tr w:rsidR="00AD2379" w:rsidRPr="000D5DBE" w:rsidTr="001633F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themeFill="background1" w:themeFillShade="D9"/>
            <w:vAlign w:val="center"/>
          </w:tcPr>
          <w:p w:rsidR="00AD2379" w:rsidRPr="000D5DBE" w:rsidRDefault="001633FF" w:rsidP="00BF0E94">
            <w:pPr>
              <w:tabs>
                <w:tab w:val="left" w:pos="288"/>
                <w:tab w:val="left" w:pos="4752"/>
              </w:tabs>
              <w:rPr>
                <w:b/>
                <w:color w:val="000000"/>
              </w:rPr>
            </w:pPr>
            <w:r w:rsidRPr="00667364">
              <w:rPr>
                <w:b/>
                <w:color w:val="000000"/>
              </w:rPr>
              <w:t>3</w:t>
            </w:r>
            <w:r w:rsidR="00AD2379" w:rsidRPr="00667364">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316E8E" w:rsidRPr="001F29F9">
        <w:rPr>
          <w:color w:val="000000" w:themeColor="text1"/>
          <w:szCs w:val="24"/>
        </w:rPr>
        <w:t>201</w:t>
      </w:r>
      <w:r w:rsidR="00316E8E">
        <w:rPr>
          <w:color w:val="000000" w:themeColor="text1"/>
          <w:szCs w:val="24"/>
        </w:rPr>
        <w:t>10919</w:t>
      </w:r>
      <w:r w:rsidR="00D9424A">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D9424A">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w:t>
      </w:r>
      <w:r w:rsidR="00D9424A">
        <w:rPr>
          <w:color w:val="000000"/>
        </w:rPr>
        <w:t>’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B90AFC">
        <w:rPr>
          <w:color w:val="000000"/>
        </w:rPr>
        <w:t>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894587" w:rsidRPr="00CC61B3" w:rsidRDefault="00AD2379" w:rsidP="00667364">
      <w:pPr>
        <w:tabs>
          <w:tab w:val="left" w:pos="0"/>
          <w:tab w:val="left" w:pos="4320"/>
        </w:tabs>
        <w:jc w:val="both"/>
        <w:rPr>
          <w:rFonts w:ascii="Times New Roman" w:hAnsi="Times New Roman"/>
          <w:color w:val="auto"/>
          <w:sz w:val="12"/>
          <w:szCs w:val="12"/>
        </w:rPr>
      </w:pPr>
      <w:r w:rsidRPr="001F29F9">
        <w:rPr>
          <w:color w:val="000000"/>
        </w:rPr>
        <w:tab/>
        <w:t xml:space="preserve">           Physical Disability Board of Review</w:t>
      </w:r>
    </w:p>
    <w:p w:rsidR="00B90AFC" w:rsidRDefault="00B90AFC">
      <w:pPr>
        <w:spacing w:line="240" w:lineRule="auto"/>
        <w:jc w:val="left"/>
        <w:rPr>
          <w:rFonts w:eastAsia="Calibri" w:cs="Times New Roman"/>
          <w:color w:val="auto"/>
          <w:szCs w:val="24"/>
        </w:rPr>
      </w:pPr>
      <w:r>
        <w:rPr>
          <w:rFonts w:eastAsia="Calibri" w:cs="Times New Roman"/>
          <w:color w:val="auto"/>
          <w:szCs w:val="24"/>
        </w:rPr>
        <w:br w:type="page"/>
      </w:r>
    </w:p>
    <w:p w:rsidR="00B90AFC" w:rsidRDefault="00B90AFC" w:rsidP="00B90AFC">
      <w:pPr>
        <w:pStyle w:val="Header"/>
        <w:tabs>
          <w:tab w:val="left" w:pos="720"/>
        </w:tabs>
        <w:jc w:val="left"/>
      </w:pPr>
      <w:r>
        <w:lastRenderedPageBreak/>
        <w:t>SFMR-RB</w:t>
      </w:r>
      <w:r>
        <w:tab/>
      </w:r>
      <w:r>
        <w:tab/>
      </w:r>
      <w:r>
        <w:tab/>
      </w:r>
      <w:r>
        <w:tab/>
      </w:r>
      <w:r>
        <w:tab/>
      </w:r>
      <w:r>
        <w:tab/>
      </w:r>
      <w:r>
        <w:tab/>
      </w:r>
      <w:r>
        <w:tab/>
      </w:r>
      <w:r>
        <w:tab/>
      </w:r>
    </w:p>
    <w:p w:rsidR="00B90AFC" w:rsidRDefault="00B90AFC" w:rsidP="00B90AFC">
      <w:pPr>
        <w:pStyle w:val="Header"/>
        <w:tabs>
          <w:tab w:val="left" w:pos="720"/>
        </w:tabs>
        <w:jc w:val="left"/>
      </w:pPr>
    </w:p>
    <w:p w:rsidR="00B90AFC" w:rsidRDefault="00B90AFC" w:rsidP="00B90AFC">
      <w:pPr>
        <w:jc w:val="left"/>
      </w:pPr>
    </w:p>
    <w:p w:rsidR="00B90AFC" w:rsidRDefault="00B90AFC" w:rsidP="00B90AFC">
      <w:pPr>
        <w:jc w:val="left"/>
      </w:pPr>
      <w:r>
        <w:t xml:space="preserve">MEMORANDUM FOR Commander, US Army Physical Disability Agency </w:t>
      </w:r>
    </w:p>
    <w:p w:rsidR="00B90AFC" w:rsidRDefault="00B90AFC" w:rsidP="00B90AFC">
      <w:pPr>
        <w:jc w:val="left"/>
      </w:pPr>
      <w:r>
        <w:t xml:space="preserve">(TAPD-ZB </w:t>
      </w:r>
      <w:proofErr w:type="gramStart"/>
      <w:r>
        <w:t>/  )</w:t>
      </w:r>
      <w:proofErr w:type="gramEnd"/>
      <w:r>
        <w:t>, 2900 Crystal Drive, Suite 300, Arlington, VA  22202</w:t>
      </w:r>
    </w:p>
    <w:p w:rsidR="00B90AFC" w:rsidRDefault="00B90AFC" w:rsidP="00B90AFC">
      <w:pPr>
        <w:jc w:val="left"/>
      </w:pPr>
    </w:p>
    <w:p w:rsidR="00B90AFC" w:rsidRDefault="00B90AFC" w:rsidP="00B90AFC">
      <w:pPr>
        <w:ind w:right="-180"/>
        <w:jc w:val="left"/>
      </w:pPr>
      <w:r>
        <w:t xml:space="preserve">SUBJECT:  Department of Defense Physical Disability Board of Review Recommendation </w:t>
      </w:r>
    </w:p>
    <w:p w:rsidR="00B90AFC" w:rsidRDefault="00B90AFC" w:rsidP="00B90AFC">
      <w:pPr>
        <w:pStyle w:val="Header"/>
        <w:tabs>
          <w:tab w:val="left" w:pos="720"/>
        </w:tabs>
        <w:jc w:val="left"/>
      </w:pPr>
      <w:proofErr w:type="gramStart"/>
      <w:r>
        <w:t>for</w:t>
      </w:r>
      <w:proofErr w:type="gramEnd"/>
      <w:r>
        <w:t xml:space="preserve"> XXXXXXXXXXXXXXXXXXXXXX, AR20120016140 (PD201100950)</w:t>
      </w:r>
    </w:p>
    <w:p w:rsidR="00B90AFC" w:rsidRDefault="00B90AFC" w:rsidP="00B90AFC">
      <w:pPr>
        <w:pStyle w:val="Header"/>
        <w:tabs>
          <w:tab w:val="left" w:pos="720"/>
        </w:tabs>
        <w:jc w:val="left"/>
      </w:pPr>
    </w:p>
    <w:p w:rsidR="00B90AFC" w:rsidRDefault="00B90AFC" w:rsidP="00B90AFC">
      <w:pPr>
        <w:jc w:val="left"/>
      </w:pPr>
    </w:p>
    <w:p w:rsidR="00B90AFC" w:rsidRDefault="00B90AFC" w:rsidP="00B90AFC">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B90AFC" w:rsidRDefault="00B90AFC" w:rsidP="00B90AFC">
      <w:pPr>
        <w:jc w:val="left"/>
      </w:pPr>
    </w:p>
    <w:p w:rsidR="00B90AFC" w:rsidRDefault="00B90AFC" w:rsidP="00B90AFC">
      <w:pPr>
        <w:jc w:val="left"/>
      </w:pPr>
      <w:r>
        <w:t>2.  I direct that all the Department of the Army records of the individual concerned be corrected accordingly no later than 120 days from the date of this memorandum:</w:t>
      </w:r>
    </w:p>
    <w:p w:rsidR="00B90AFC" w:rsidRDefault="00B90AFC" w:rsidP="00B90AFC">
      <w:pPr>
        <w:jc w:val="left"/>
      </w:pPr>
    </w:p>
    <w:p w:rsidR="00B90AFC" w:rsidRDefault="00B90AFC" w:rsidP="00B90AFC">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B90AFC" w:rsidRDefault="00B90AFC" w:rsidP="00B90AFC">
      <w:pPr>
        <w:jc w:val="left"/>
      </w:pPr>
    </w:p>
    <w:p w:rsidR="00B90AFC" w:rsidRDefault="00B90AFC" w:rsidP="00B90AFC">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B90AFC" w:rsidRDefault="00B90AFC" w:rsidP="00B90AFC">
      <w:pPr>
        <w:jc w:val="left"/>
      </w:pPr>
    </w:p>
    <w:p w:rsidR="00B90AFC" w:rsidRDefault="00B90AFC" w:rsidP="00B90AFC">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B90AFC" w:rsidRDefault="00B90AFC" w:rsidP="00B90AFC">
      <w:pPr>
        <w:jc w:val="left"/>
      </w:pPr>
    </w:p>
    <w:p w:rsidR="00B90AFC" w:rsidRDefault="00B90AFC" w:rsidP="00B90AFC">
      <w:pPr>
        <w:jc w:val="left"/>
      </w:pPr>
      <w:r>
        <w:tab/>
      </w:r>
      <w:proofErr w:type="gramStart"/>
      <w:r>
        <w:t>d.  Affording</w:t>
      </w:r>
      <w:proofErr w:type="gramEnd"/>
      <w:r>
        <w:t xml:space="preserve"> the individual the opportunity to elect Survivor Benefit Plan (SBP) and medical TRICARE retiree options.</w:t>
      </w:r>
    </w:p>
    <w:p w:rsidR="00B90AFC" w:rsidRDefault="00B90AFC" w:rsidP="00B90AFC">
      <w:pPr>
        <w:jc w:val="left"/>
      </w:pPr>
    </w:p>
    <w:p w:rsidR="00B90AFC" w:rsidRDefault="00B90AFC" w:rsidP="00B90AFC">
      <w:pPr>
        <w:jc w:val="left"/>
      </w:pPr>
    </w:p>
    <w:p w:rsidR="00B90AFC" w:rsidRDefault="00B90AFC" w:rsidP="00B90AFC">
      <w:pPr>
        <w:jc w:val="left"/>
      </w:pPr>
    </w:p>
    <w:p w:rsidR="00B90AFC" w:rsidRDefault="00B90AFC" w:rsidP="00B90AFC">
      <w:pPr>
        <w:jc w:val="left"/>
      </w:pPr>
    </w:p>
    <w:p w:rsidR="00B90AFC" w:rsidRDefault="00B90AFC" w:rsidP="00B90AFC">
      <w:pPr>
        <w:jc w:val="left"/>
      </w:pPr>
    </w:p>
    <w:p w:rsidR="00B90AFC" w:rsidRDefault="00B90AFC" w:rsidP="00B90AFC">
      <w:pPr>
        <w:jc w:val="left"/>
      </w:pPr>
    </w:p>
    <w:p w:rsidR="00B90AFC" w:rsidRDefault="00B90AFC" w:rsidP="00B90AFC">
      <w:pPr>
        <w:jc w:val="left"/>
      </w:pPr>
    </w:p>
    <w:p w:rsidR="00B90AFC" w:rsidRDefault="00B90AFC" w:rsidP="00B90AFC">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B90AFC" w:rsidRDefault="00B90AFC" w:rsidP="00B90AFC">
      <w:pPr>
        <w:jc w:val="left"/>
      </w:pPr>
    </w:p>
    <w:p w:rsidR="00B90AFC" w:rsidRDefault="00B90AFC" w:rsidP="00B90AFC">
      <w:pPr>
        <w:jc w:val="left"/>
      </w:pPr>
      <w:r>
        <w:t>BY ORDER OF THE SECRETARY OF THE ARMY:</w:t>
      </w:r>
    </w:p>
    <w:p w:rsidR="00B90AFC" w:rsidRDefault="00B90AFC" w:rsidP="00B90AFC">
      <w:pPr>
        <w:jc w:val="left"/>
      </w:pPr>
    </w:p>
    <w:p w:rsidR="00B90AFC" w:rsidRDefault="00B90AFC" w:rsidP="00B90AFC">
      <w:pPr>
        <w:jc w:val="left"/>
      </w:pPr>
    </w:p>
    <w:p w:rsidR="00B90AFC" w:rsidRDefault="00B90AFC" w:rsidP="00B90AFC">
      <w:pPr>
        <w:pStyle w:val="Header"/>
        <w:tabs>
          <w:tab w:val="left" w:pos="720"/>
        </w:tabs>
        <w:jc w:val="left"/>
      </w:pPr>
    </w:p>
    <w:p w:rsidR="00B90AFC" w:rsidRDefault="00B90AFC" w:rsidP="00B90AFC">
      <w:pPr>
        <w:jc w:val="left"/>
      </w:pPr>
    </w:p>
    <w:p w:rsidR="00B90AFC" w:rsidRDefault="00B90AFC" w:rsidP="00B90AFC">
      <w:pPr>
        <w:jc w:val="left"/>
      </w:pPr>
      <w:bookmarkStart w:id="1" w:name="OLE_LINK4"/>
      <w:bookmarkStart w:id="2" w:name="OLE_LINK3"/>
      <w:r>
        <w:t>Encl</w:t>
      </w:r>
      <w:r>
        <w:tab/>
      </w:r>
      <w:r>
        <w:tab/>
      </w:r>
      <w:r>
        <w:tab/>
      </w:r>
      <w:r>
        <w:tab/>
      </w:r>
      <w:r>
        <w:tab/>
      </w:r>
      <w:r>
        <w:tab/>
        <w:t xml:space="preserve">     XXXXXXXXXXXXXXXXXXXXXXXXXX</w:t>
      </w:r>
    </w:p>
    <w:p w:rsidR="00B90AFC" w:rsidRDefault="00B90AFC" w:rsidP="00B90AFC">
      <w:pPr>
        <w:jc w:val="left"/>
      </w:pPr>
      <w:r>
        <w:tab/>
      </w:r>
      <w:r>
        <w:tab/>
      </w:r>
      <w:r>
        <w:tab/>
      </w:r>
      <w:r>
        <w:tab/>
      </w:r>
      <w:r>
        <w:tab/>
      </w:r>
      <w:r>
        <w:tab/>
        <w:t xml:space="preserve">     Deputy Assistant Secretary</w:t>
      </w:r>
    </w:p>
    <w:p w:rsidR="00B90AFC" w:rsidRDefault="00B90AFC" w:rsidP="00B90AFC">
      <w:pPr>
        <w:jc w:val="left"/>
      </w:pPr>
      <w:r>
        <w:tab/>
      </w:r>
      <w:r>
        <w:tab/>
      </w:r>
      <w:r>
        <w:tab/>
      </w:r>
      <w:r>
        <w:tab/>
      </w:r>
      <w:r>
        <w:tab/>
      </w:r>
      <w:r>
        <w:tab/>
        <w:t xml:space="preserve">         (Army Review Boards)</w:t>
      </w:r>
      <w:bookmarkEnd w:id="1"/>
      <w:bookmarkEnd w:id="2"/>
    </w:p>
    <w:p w:rsidR="00B90AFC" w:rsidRDefault="00B90AFC" w:rsidP="00B90AFC">
      <w:pPr>
        <w:jc w:val="left"/>
      </w:pPr>
    </w:p>
    <w:p w:rsidR="00B90AFC" w:rsidRDefault="00B90AFC" w:rsidP="00B90AFC">
      <w:pPr>
        <w:jc w:val="left"/>
      </w:pPr>
      <w:r>
        <w:t xml:space="preserve">CF: </w:t>
      </w:r>
    </w:p>
    <w:p w:rsidR="00B90AFC" w:rsidRDefault="00B90AFC" w:rsidP="00B90AFC">
      <w:pPr>
        <w:jc w:val="left"/>
      </w:pPr>
      <w:r>
        <w:t xml:space="preserve">(  ) </w:t>
      </w:r>
      <w:proofErr w:type="spellStart"/>
      <w:proofErr w:type="gramStart"/>
      <w:r>
        <w:t>DoD</w:t>
      </w:r>
      <w:proofErr w:type="spellEnd"/>
      <w:proofErr w:type="gramEnd"/>
      <w:r>
        <w:t xml:space="preserve"> PDBR</w:t>
      </w:r>
    </w:p>
    <w:p w:rsidR="00B90AFC" w:rsidRDefault="00B90AFC" w:rsidP="00B90AFC">
      <w:pPr>
        <w:jc w:val="left"/>
      </w:pPr>
      <w:r>
        <w:t>(  ) DVA</w:t>
      </w:r>
    </w:p>
    <w:p w:rsidR="00FE7EB9" w:rsidRPr="006235F5" w:rsidRDefault="00FE7EB9" w:rsidP="00B90AFC">
      <w:pPr>
        <w:tabs>
          <w:tab w:val="left" w:pos="288"/>
          <w:tab w:val="left" w:pos="4752"/>
        </w:tabs>
        <w:jc w:val="left"/>
        <w:rPr>
          <w:rFonts w:eastAsia="Calibri" w:cs="Times New Roman"/>
          <w:color w:val="auto"/>
          <w:szCs w:val="24"/>
        </w:rPr>
      </w:pPr>
    </w:p>
    <w:sectPr w:rsidR="00FE7EB9"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0B7" w:rsidRDefault="00E050B7">
      <w:r>
        <w:separator/>
      </w:r>
    </w:p>
  </w:endnote>
  <w:endnote w:type="continuationSeparator" w:id="0">
    <w:p w:rsidR="00E050B7" w:rsidRDefault="00E050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3A" w:rsidRPr="00374247" w:rsidRDefault="00EF593A" w:rsidP="00726F84">
    <w:pPr>
      <w:pStyle w:val="Footer"/>
      <w:ind w:firstLine="4320"/>
      <w:rPr>
        <w:color w:val="auto"/>
      </w:rPr>
    </w:pPr>
    <w:r w:rsidRPr="00374247">
      <w:rPr>
        <w:color w:val="auto"/>
      </w:rPr>
      <w:t xml:space="preserve">   </w:t>
    </w:r>
    <w:r w:rsidR="00260639" w:rsidRPr="00260639">
      <w:fldChar w:fldCharType="begin"/>
    </w:r>
    <w:r w:rsidR="00E050B7">
      <w:instrText xml:space="preserve"> PAGE   \* MERGEFORMAT </w:instrText>
    </w:r>
    <w:r w:rsidR="00260639" w:rsidRPr="00260639">
      <w:fldChar w:fldCharType="separate"/>
    </w:r>
    <w:r w:rsidR="00B90AFC" w:rsidRPr="00B90AFC">
      <w:rPr>
        <w:noProof/>
        <w:color w:val="auto"/>
      </w:rPr>
      <w:t>2</w:t>
    </w:r>
    <w:r w:rsidR="00260639">
      <w:rPr>
        <w:noProof/>
        <w:color w:val="auto"/>
      </w:rPr>
      <w:fldChar w:fldCharType="end"/>
    </w:r>
    <w:r w:rsidRPr="00374247">
      <w:rPr>
        <w:color w:val="auto"/>
      </w:rPr>
      <w:t xml:space="preserve">                                                           </w:t>
    </w:r>
    <w:r w:rsidRPr="001D64F3">
      <w:rPr>
        <w:color w:val="auto"/>
      </w:rPr>
      <w:t>PD1</w:t>
    </w:r>
    <w:r w:rsidRPr="009369A6">
      <w:rPr>
        <w:color w:val="auto"/>
      </w:rPr>
      <w:t>100</w:t>
    </w:r>
    <w:r w:rsidR="003579BA">
      <w:rPr>
        <w:color w:val="auto"/>
      </w:rPr>
      <w:t>950</w:t>
    </w:r>
  </w:p>
  <w:p w:rsidR="00EF593A" w:rsidRPr="00684CE6" w:rsidRDefault="00EF593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0B7" w:rsidRDefault="00E050B7">
      <w:r>
        <w:separator/>
      </w:r>
    </w:p>
  </w:footnote>
  <w:footnote w:type="continuationSeparator" w:id="0">
    <w:p w:rsidR="00E050B7" w:rsidRDefault="00E05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27436"/>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AB9"/>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6260"/>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6B52"/>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0CC"/>
    <w:rsid w:val="00153740"/>
    <w:rsid w:val="001537D8"/>
    <w:rsid w:val="00153C2B"/>
    <w:rsid w:val="00153D88"/>
    <w:rsid w:val="001541C5"/>
    <w:rsid w:val="001554E4"/>
    <w:rsid w:val="0015623F"/>
    <w:rsid w:val="00156585"/>
    <w:rsid w:val="00156BA9"/>
    <w:rsid w:val="00161642"/>
    <w:rsid w:val="00161761"/>
    <w:rsid w:val="001633FF"/>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26"/>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639"/>
    <w:rsid w:val="00260B9A"/>
    <w:rsid w:val="00261B7E"/>
    <w:rsid w:val="00262EA5"/>
    <w:rsid w:val="0026318D"/>
    <w:rsid w:val="00264148"/>
    <w:rsid w:val="002660AF"/>
    <w:rsid w:val="00270864"/>
    <w:rsid w:val="002712F7"/>
    <w:rsid w:val="0027159C"/>
    <w:rsid w:val="00271871"/>
    <w:rsid w:val="002722F2"/>
    <w:rsid w:val="00273C93"/>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6CF3"/>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B25"/>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5E93"/>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49C"/>
    <w:rsid w:val="0030678B"/>
    <w:rsid w:val="00306D16"/>
    <w:rsid w:val="0030700A"/>
    <w:rsid w:val="00307595"/>
    <w:rsid w:val="00307DA6"/>
    <w:rsid w:val="00310CD7"/>
    <w:rsid w:val="00313C3A"/>
    <w:rsid w:val="00313D7A"/>
    <w:rsid w:val="00314517"/>
    <w:rsid w:val="003155FB"/>
    <w:rsid w:val="00316E8E"/>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579BA"/>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2474"/>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7AEC"/>
    <w:rsid w:val="003D2BA3"/>
    <w:rsid w:val="003D2CDA"/>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505C"/>
    <w:rsid w:val="003F58B0"/>
    <w:rsid w:val="003F68A3"/>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54A"/>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4FC"/>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0E05"/>
    <w:rsid w:val="0055288D"/>
    <w:rsid w:val="00554793"/>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718"/>
    <w:rsid w:val="0058039C"/>
    <w:rsid w:val="00580A63"/>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577"/>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D6E56"/>
    <w:rsid w:val="005D79FC"/>
    <w:rsid w:val="005E1416"/>
    <w:rsid w:val="005E1D67"/>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193A"/>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6772"/>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7364"/>
    <w:rsid w:val="006708E3"/>
    <w:rsid w:val="00670DDC"/>
    <w:rsid w:val="00671389"/>
    <w:rsid w:val="00671EB4"/>
    <w:rsid w:val="0067250F"/>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091E"/>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100"/>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834"/>
    <w:rsid w:val="00711961"/>
    <w:rsid w:val="00711CA6"/>
    <w:rsid w:val="007165CE"/>
    <w:rsid w:val="00716D85"/>
    <w:rsid w:val="00716D96"/>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243"/>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083B"/>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6BDB"/>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4C6"/>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2889"/>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340B"/>
    <w:rsid w:val="00823D6A"/>
    <w:rsid w:val="00827731"/>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6F4F"/>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492"/>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4587"/>
    <w:rsid w:val="00896535"/>
    <w:rsid w:val="00896683"/>
    <w:rsid w:val="00896E71"/>
    <w:rsid w:val="0089750B"/>
    <w:rsid w:val="00897589"/>
    <w:rsid w:val="008A0C99"/>
    <w:rsid w:val="008A0D4F"/>
    <w:rsid w:val="008A17EE"/>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11BF"/>
    <w:rsid w:val="008C22F3"/>
    <w:rsid w:val="008C3223"/>
    <w:rsid w:val="008C3FD0"/>
    <w:rsid w:val="008C4F01"/>
    <w:rsid w:val="008C5152"/>
    <w:rsid w:val="008C710E"/>
    <w:rsid w:val="008C7EA6"/>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B0D"/>
    <w:rsid w:val="00926C0A"/>
    <w:rsid w:val="00926FCB"/>
    <w:rsid w:val="009303BB"/>
    <w:rsid w:val="0093108A"/>
    <w:rsid w:val="009319EF"/>
    <w:rsid w:val="00931B6D"/>
    <w:rsid w:val="0093311A"/>
    <w:rsid w:val="009346D0"/>
    <w:rsid w:val="009369A6"/>
    <w:rsid w:val="00936E38"/>
    <w:rsid w:val="00937F57"/>
    <w:rsid w:val="0094031E"/>
    <w:rsid w:val="00940EB3"/>
    <w:rsid w:val="009418D6"/>
    <w:rsid w:val="009419B4"/>
    <w:rsid w:val="00941A4C"/>
    <w:rsid w:val="00942645"/>
    <w:rsid w:val="00944398"/>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3EC"/>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37FE"/>
    <w:rsid w:val="009842F3"/>
    <w:rsid w:val="00984EBF"/>
    <w:rsid w:val="00985099"/>
    <w:rsid w:val="00985D32"/>
    <w:rsid w:val="00986514"/>
    <w:rsid w:val="00986FCC"/>
    <w:rsid w:val="0098733B"/>
    <w:rsid w:val="00990FD6"/>
    <w:rsid w:val="009935C3"/>
    <w:rsid w:val="0099421F"/>
    <w:rsid w:val="00994D33"/>
    <w:rsid w:val="00994FC8"/>
    <w:rsid w:val="009A01BD"/>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3EA"/>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2"/>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0D62"/>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5F99"/>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C93"/>
    <w:rsid w:val="00B77EE7"/>
    <w:rsid w:val="00B80EDD"/>
    <w:rsid w:val="00B812BD"/>
    <w:rsid w:val="00B81964"/>
    <w:rsid w:val="00B82277"/>
    <w:rsid w:val="00B83F87"/>
    <w:rsid w:val="00B8403E"/>
    <w:rsid w:val="00B843DD"/>
    <w:rsid w:val="00B8478F"/>
    <w:rsid w:val="00B84F93"/>
    <w:rsid w:val="00B90AFC"/>
    <w:rsid w:val="00B9167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16B2"/>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141"/>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58E"/>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9F3"/>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71F"/>
    <w:rsid w:val="00C60F23"/>
    <w:rsid w:val="00C6170B"/>
    <w:rsid w:val="00C62EB2"/>
    <w:rsid w:val="00C63431"/>
    <w:rsid w:val="00C64064"/>
    <w:rsid w:val="00C64C87"/>
    <w:rsid w:val="00C65414"/>
    <w:rsid w:val="00C665FE"/>
    <w:rsid w:val="00C71BEC"/>
    <w:rsid w:val="00C73942"/>
    <w:rsid w:val="00C73A83"/>
    <w:rsid w:val="00C74D3A"/>
    <w:rsid w:val="00C75F3D"/>
    <w:rsid w:val="00C80511"/>
    <w:rsid w:val="00C80655"/>
    <w:rsid w:val="00C8066D"/>
    <w:rsid w:val="00C81937"/>
    <w:rsid w:val="00C826F5"/>
    <w:rsid w:val="00C82786"/>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89D"/>
    <w:rsid w:val="00CB7A3E"/>
    <w:rsid w:val="00CB7FF7"/>
    <w:rsid w:val="00CC0D0E"/>
    <w:rsid w:val="00CC1253"/>
    <w:rsid w:val="00CC19B3"/>
    <w:rsid w:val="00CC2044"/>
    <w:rsid w:val="00CC39D2"/>
    <w:rsid w:val="00CC4474"/>
    <w:rsid w:val="00CC456F"/>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66C"/>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64F7"/>
    <w:rsid w:val="00D3654A"/>
    <w:rsid w:val="00D3662E"/>
    <w:rsid w:val="00D366FF"/>
    <w:rsid w:val="00D373F1"/>
    <w:rsid w:val="00D37567"/>
    <w:rsid w:val="00D37D36"/>
    <w:rsid w:val="00D40B1F"/>
    <w:rsid w:val="00D40D75"/>
    <w:rsid w:val="00D43978"/>
    <w:rsid w:val="00D439AA"/>
    <w:rsid w:val="00D43CBD"/>
    <w:rsid w:val="00D441F1"/>
    <w:rsid w:val="00D449F0"/>
    <w:rsid w:val="00D45319"/>
    <w:rsid w:val="00D45B34"/>
    <w:rsid w:val="00D462D7"/>
    <w:rsid w:val="00D46A33"/>
    <w:rsid w:val="00D46D9B"/>
    <w:rsid w:val="00D5062C"/>
    <w:rsid w:val="00D50C8C"/>
    <w:rsid w:val="00D52097"/>
    <w:rsid w:val="00D52393"/>
    <w:rsid w:val="00D52397"/>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24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DF6F31"/>
    <w:rsid w:val="00E00A69"/>
    <w:rsid w:val="00E017BC"/>
    <w:rsid w:val="00E017F0"/>
    <w:rsid w:val="00E01A0E"/>
    <w:rsid w:val="00E025FE"/>
    <w:rsid w:val="00E0346A"/>
    <w:rsid w:val="00E041E4"/>
    <w:rsid w:val="00E04AEE"/>
    <w:rsid w:val="00E050B7"/>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1AF8"/>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1A3A"/>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C3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6DB"/>
    <w:rsid w:val="00E957D7"/>
    <w:rsid w:val="00E963D6"/>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1FEA"/>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593A"/>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6A0"/>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1F0"/>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61933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A4D2-B718-4F14-8C4F-51852AC1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2012-09-04T15:36:00Z</cp:lastPrinted>
  <dcterms:created xsi:type="dcterms:W3CDTF">2012-09-28T17:35:00Z</dcterms:created>
  <dcterms:modified xsi:type="dcterms:W3CDTF">2012-09-28T17:35:00Z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