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084E4B" w:rsidRPr="00084E4B" w:rsidRDefault="00084E4B" w:rsidP="00084E4B">
      <w:pPr>
        <w:jc w:val="both"/>
        <w:rPr>
          <w:rFonts w:eastAsia="Calibri" w:cs="Times New Roman"/>
          <w:b/>
          <w:color w:val="FF0000"/>
          <w:szCs w:val="24"/>
        </w:rPr>
      </w:pPr>
    </w:p>
    <w:p w:rsidR="00084E4B" w:rsidRPr="00084E4B" w:rsidRDefault="00084E4B" w:rsidP="00084E4B">
      <w:pPr>
        <w:tabs>
          <w:tab w:val="left" w:pos="288"/>
          <w:tab w:val="left" w:pos="4680"/>
          <w:tab w:val="left" w:pos="5130"/>
          <w:tab w:val="left" w:pos="6300"/>
          <w:tab w:val="left" w:pos="9270"/>
        </w:tabs>
        <w:jc w:val="left"/>
        <w:rPr>
          <w:rFonts w:cs="Times New Roman"/>
          <w:caps/>
          <w:color w:val="auto"/>
        </w:rPr>
      </w:pPr>
      <w:r w:rsidRPr="00084E4B">
        <w:rPr>
          <w:rFonts w:cs="Times New Roman"/>
          <w:caps/>
          <w:color w:val="auto"/>
        </w:rPr>
        <w:t xml:space="preserve">NAME:  </w:t>
      </w:r>
      <w:r w:rsidR="00911256">
        <w:rPr>
          <w:caps/>
          <w:color w:val="000000" w:themeColor="text1"/>
        </w:rPr>
        <w:t>xxxxxxxxxxxx</w:t>
      </w:r>
      <w:r w:rsidRPr="00084E4B">
        <w:rPr>
          <w:rFonts w:cs="Times New Roman"/>
          <w:caps/>
          <w:color w:val="auto"/>
        </w:rPr>
        <w:t xml:space="preserve">               </w:t>
      </w:r>
      <w:r w:rsidRPr="00084E4B">
        <w:rPr>
          <w:rFonts w:cs="Times New Roman"/>
          <w:caps/>
          <w:color w:val="auto"/>
        </w:rPr>
        <w:tab/>
        <w:t xml:space="preserve"> BRANCH OF SERVICE:  Army </w:t>
      </w:r>
    </w:p>
    <w:p w:rsidR="00084E4B" w:rsidRPr="00084E4B" w:rsidRDefault="00084E4B" w:rsidP="00084E4B">
      <w:pPr>
        <w:tabs>
          <w:tab w:val="left" w:pos="288"/>
          <w:tab w:val="left" w:pos="4680"/>
          <w:tab w:val="left" w:pos="5130"/>
          <w:tab w:val="left" w:pos="6300"/>
          <w:tab w:val="left" w:pos="9270"/>
        </w:tabs>
        <w:jc w:val="left"/>
        <w:rPr>
          <w:rFonts w:cs="Times New Roman"/>
          <w:caps/>
          <w:color w:val="auto"/>
        </w:rPr>
      </w:pPr>
      <w:r w:rsidRPr="00084E4B">
        <w:rPr>
          <w:rFonts w:cs="Times New Roman"/>
          <w:caps/>
          <w:color w:val="auto"/>
        </w:rPr>
        <w:t xml:space="preserve">CASE NUMBER:  </w:t>
      </w:r>
      <w:r w:rsidR="00D86E42" w:rsidRPr="00A82E63">
        <w:rPr>
          <w:caps/>
          <w:color w:val="000000" w:themeColor="text1"/>
        </w:rPr>
        <w:t>PD1100943</w:t>
      </w:r>
      <w:r w:rsidRPr="00084E4B">
        <w:rPr>
          <w:rFonts w:cs="Times New Roman"/>
          <w:caps/>
          <w:color w:val="auto"/>
        </w:rPr>
        <w:tab/>
        <w:t xml:space="preserve"> </w:t>
      </w:r>
      <w:r w:rsidRPr="00084E4B">
        <w:rPr>
          <w:rFonts w:cs="Times New Roman"/>
          <w:color w:val="auto"/>
        </w:rPr>
        <w:t xml:space="preserve">DATE OF TEMPORARY RETIREMENT:  </w:t>
      </w:r>
      <w:r w:rsidR="00D86E42" w:rsidRPr="001F29F9">
        <w:rPr>
          <w:color w:val="000000" w:themeColor="text1"/>
        </w:rPr>
        <w:t>200</w:t>
      </w:r>
      <w:r w:rsidR="00D86E42">
        <w:rPr>
          <w:color w:val="000000" w:themeColor="text1"/>
        </w:rPr>
        <w:t>40107</w:t>
      </w:r>
      <w:r w:rsidRPr="00084E4B">
        <w:rPr>
          <w:rFonts w:cs="Times New Roman"/>
          <w:color w:val="auto"/>
        </w:rPr>
        <w:tab/>
      </w:r>
    </w:p>
    <w:p w:rsidR="00084E4B" w:rsidRPr="00084E4B" w:rsidRDefault="00084E4B" w:rsidP="00084E4B">
      <w:pPr>
        <w:tabs>
          <w:tab w:val="left" w:pos="288"/>
          <w:tab w:val="left" w:pos="4680"/>
          <w:tab w:val="left" w:pos="5130"/>
        </w:tabs>
        <w:jc w:val="left"/>
        <w:rPr>
          <w:rFonts w:cs="Times New Roman"/>
          <w:color w:val="auto"/>
        </w:rPr>
      </w:pPr>
      <w:r w:rsidRPr="00084E4B">
        <w:rPr>
          <w:rFonts w:cs="Times New Roman"/>
          <w:caps/>
          <w:color w:val="auto"/>
        </w:rPr>
        <w:t xml:space="preserve">BOARD DATE:  </w:t>
      </w:r>
      <w:r w:rsidR="00852CC7">
        <w:rPr>
          <w:caps/>
          <w:color w:val="000000"/>
        </w:rPr>
        <w:t>20120822</w:t>
      </w:r>
      <w:r w:rsidR="00852CC7" w:rsidRPr="001F29F9">
        <w:rPr>
          <w:caps/>
          <w:color w:val="000000"/>
        </w:rPr>
        <w:t xml:space="preserve">  </w:t>
      </w:r>
      <w:r w:rsidRPr="00084E4B">
        <w:rPr>
          <w:rFonts w:cs="Times New Roman"/>
          <w:caps/>
          <w:color w:val="auto"/>
        </w:rPr>
        <w:tab/>
        <w:t xml:space="preserve"> Date of Permanent </w:t>
      </w:r>
      <w:r w:rsidRPr="00084E4B">
        <w:rPr>
          <w:rFonts w:cs="Times New Roman"/>
          <w:color w:val="auto"/>
        </w:rPr>
        <w:t xml:space="preserve">SEPARATION:  </w:t>
      </w:r>
      <w:r w:rsidR="00D86E42" w:rsidRPr="001F29F9">
        <w:rPr>
          <w:color w:val="000000" w:themeColor="text1"/>
        </w:rPr>
        <w:t>200</w:t>
      </w:r>
      <w:r w:rsidR="00D86E42">
        <w:rPr>
          <w:color w:val="000000" w:themeColor="text1"/>
        </w:rPr>
        <w:t>60728</w:t>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B81364" w:rsidRDefault="00AD2379" w:rsidP="00B81364">
      <w:pPr>
        <w:tabs>
          <w:tab w:val="left" w:pos="288"/>
          <w:tab w:val="left" w:pos="4752"/>
          <w:tab w:val="left" w:pos="6240"/>
        </w:tabs>
        <w:jc w:val="both"/>
        <w:rPr>
          <w:color w:val="auto"/>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 xml:space="preserve">an active duty </w:t>
      </w:r>
      <w:r w:rsidR="00E26029">
        <w:rPr>
          <w:color w:val="000000" w:themeColor="text1"/>
          <w:szCs w:val="24"/>
        </w:rPr>
        <w:t>SPC/E4</w:t>
      </w:r>
      <w:r w:rsidR="00E26029" w:rsidRPr="001F29F9">
        <w:rPr>
          <w:color w:val="000000"/>
        </w:rPr>
        <w:t xml:space="preserve"> </w:t>
      </w:r>
      <w:r w:rsidRPr="001F29F9">
        <w:rPr>
          <w:color w:val="000000"/>
        </w:rPr>
        <w:t>(</w:t>
      </w:r>
      <w:r w:rsidR="00E26029">
        <w:rPr>
          <w:color w:val="000000" w:themeColor="text1"/>
          <w:szCs w:val="24"/>
        </w:rPr>
        <w:t>92F, Petroleum Supply</w:t>
      </w:r>
      <w:r w:rsidR="00A70270">
        <w:rPr>
          <w:color w:val="000000"/>
        </w:rPr>
        <w:t xml:space="preserve">) </w:t>
      </w:r>
      <w:r w:rsidRPr="001F29F9">
        <w:rPr>
          <w:color w:val="000000"/>
        </w:rPr>
        <w:t xml:space="preserve">medically separated for </w:t>
      </w:r>
      <w:r w:rsidR="00E26029">
        <w:rPr>
          <w:color w:val="000000"/>
        </w:rPr>
        <w:t>asthma</w:t>
      </w:r>
      <w:r w:rsidRPr="001F29F9">
        <w:rPr>
          <w:color w:val="000000"/>
        </w:rPr>
        <w:t xml:space="preserve">. </w:t>
      </w:r>
      <w:r w:rsidR="00261B7E">
        <w:rPr>
          <w:color w:val="000000"/>
        </w:rPr>
        <w:t xml:space="preserve"> </w:t>
      </w:r>
      <w:r w:rsidR="000C7468">
        <w:rPr>
          <w:color w:val="000000"/>
        </w:rPr>
        <w:t xml:space="preserve">He was diagnosed with asthma in 2003 and stabilized on medication; but, could not be adequately controlled </w:t>
      </w:r>
      <w:r w:rsidR="00F566B7" w:rsidRPr="00F566B7">
        <w:rPr>
          <w:color w:val="000000"/>
        </w:rPr>
        <w:t xml:space="preserve">to meet the requirements of his Military Occupational </w:t>
      </w:r>
      <w:r w:rsidR="00F566B7" w:rsidRPr="008A1AEA">
        <w:rPr>
          <w:color w:val="000000"/>
        </w:rPr>
        <w:t>Specialty (MOS) or satis</w:t>
      </w:r>
      <w:r w:rsidR="009C12A1" w:rsidRPr="008A1AEA">
        <w:rPr>
          <w:color w:val="000000"/>
        </w:rPr>
        <w:t>fy physical fitness standards.</w:t>
      </w:r>
      <w:r w:rsidR="00F566B7" w:rsidRPr="008A1AEA">
        <w:rPr>
          <w:color w:val="000000"/>
        </w:rPr>
        <w:t xml:space="preserve"> </w:t>
      </w:r>
      <w:r w:rsidR="009C12A1" w:rsidRPr="008A1AEA">
        <w:rPr>
          <w:color w:val="000000"/>
        </w:rPr>
        <w:t xml:space="preserve"> He </w:t>
      </w:r>
      <w:r w:rsidR="00F566B7" w:rsidRPr="008A1AEA">
        <w:rPr>
          <w:color w:val="000000"/>
        </w:rPr>
        <w:t xml:space="preserve">was </w:t>
      </w:r>
      <w:r w:rsidR="00271871" w:rsidRPr="008A1AEA">
        <w:rPr>
          <w:color w:val="000000"/>
        </w:rPr>
        <w:t>consequently</w:t>
      </w:r>
      <w:r w:rsidR="009C12A1" w:rsidRPr="008A1AEA">
        <w:rPr>
          <w:color w:val="000000"/>
        </w:rPr>
        <w:t xml:space="preserve"> </w:t>
      </w:r>
      <w:r w:rsidR="00F566B7" w:rsidRPr="008A1AEA">
        <w:rPr>
          <w:color w:val="000000"/>
        </w:rPr>
        <w:t xml:space="preserve">issued a permanent </w:t>
      </w:r>
      <w:r w:rsidR="00E26029" w:rsidRPr="008A1AEA">
        <w:rPr>
          <w:color w:val="000000"/>
        </w:rPr>
        <w:t>P</w:t>
      </w:r>
      <w:r w:rsidR="00F566B7" w:rsidRPr="008A1AEA">
        <w:rPr>
          <w:color w:val="000000"/>
        </w:rPr>
        <w:t>3 profile and</w:t>
      </w:r>
      <w:r w:rsidR="009C12A1" w:rsidRPr="008A1AEA">
        <w:rPr>
          <w:color w:val="000000"/>
        </w:rPr>
        <w:t xml:space="preserve"> </w:t>
      </w:r>
      <w:r w:rsidR="00F566B7" w:rsidRPr="008A1AEA">
        <w:rPr>
          <w:color w:val="000000"/>
        </w:rPr>
        <w:t xml:space="preserve">referred for a Medical Evaluation Board (MEB).  The </w:t>
      </w:r>
      <w:r w:rsidR="00B81364" w:rsidRPr="008A1AEA">
        <w:rPr>
          <w:color w:val="000000"/>
        </w:rPr>
        <w:t>asthma</w:t>
      </w:r>
      <w:r w:rsidR="00F566B7" w:rsidRPr="008A1AEA">
        <w:rPr>
          <w:color w:val="000000"/>
        </w:rPr>
        <w:t xml:space="preserve"> condition</w:t>
      </w:r>
      <w:r w:rsidR="00B81364" w:rsidRPr="008A1AEA">
        <w:rPr>
          <w:color w:val="000000"/>
        </w:rPr>
        <w:t xml:space="preserve"> </w:t>
      </w:r>
      <w:r w:rsidR="00F566B7" w:rsidRPr="008A1AEA">
        <w:rPr>
          <w:color w:val="000000"/>
        </w:rPr>
        <w:t>was forwarded to the Physical Evaluation Board (PEB) as medically unacceptable IAW AR 40-501.  No other condi</w:t>
      </w:r>
      <w:r w:rsidR="00B63EAE" w:rsidRPr="008A1AEA">
        <w:rPr>
          <w:color w:val="000000"/>
        </w:rPr>
        <w:t>tions were submitted by the MEB</w:t>
      </w:r>
      <w:r w:rsidR="00F566B7" w:rsidRPr="008A1AEA">
        <w:rPr>
          <w:color w:val="000000"/>
        </w:rPr>
        <w:t xml:space="preserve">.  </w:t>
      </w:r>
      <w:r w:rsidR="00852050">
        <w:rPr>
          <w:color w:val="auto"/>
        </w:rPr>
        <w:t>The</w:t>
      </w:r>
      <w:r w:rsidR="00B81364" w:rsidRPr="008A1AEA">
        <w:rPr>
          <w:color w:val="auto"/>
        </w:rPr>
        <w:t xml:space="preserve"> PEB adjudicated the asthma as unfitting, rated 30%</w:t>
      </w:r>
      <w:r w:rsidR="008A1AEA" w:rsidRPr="008A1AEA">
        <w:rPr>
          <w:color w:val="auto"/>
        </w:rPr>
        <w:t>,</w:t>
      </w:r>
      <w:r w:rsidR="00B81364" w:rsidRPr="008A1AEA">
        <w:rPr>
          <w:color w:val="auto"/>
        </w:rPr>
        <w:t xml:space="preserve"> </w:t>
      </w:r>
      <w:r w:rsidR="00B81364" w:rsidRPr="008A1AEA">
        <w:rPr>
          <w:color w:val="000000"/>
        </w:rPr>
        <w:t>citing criteria of</w:t>
      </w:r>
      <w:r w:rsidR="00B81364" w:rsidRPr="008A1AEA">
        <w:rPr>
          <w:color w:val="auto"/>
        </w:rPr>
        <w:t xml:space="preserve"> the </w:t>
      </w:r>
      <w:r w:rsidR="00B81364" w:rsidRPr="008A1AEA">
        <w:rPr>
          <w:color w:val="000000"/>
        </w:rPr>
        <w:t>Veterans Administration Schedule for Rating Disabilities (VASRD)</w:t>
      </w:r>
      <w:r w:rsidR="00B81364" w:rsidRPr="008A1AEA">
        <w:rPr>
          <w:color w:val="auto"/>
        </w:rPr>
        <w:t xml:space="preserve">; and, placed the CI on the Temporary Disability Retired List (TDRL).  After 31 months on </w:t>
      </w:r>
      <w:r w:rsidR="00603834">
        <w:rPr>
          <w:color w:val="auto"/>
        </w:rPr>
        <w:t xml:space="preserve">the </w:t>
      </w:r>
      <w:r w:rsidR="00B81364" w:rsidRPr="008A1AEA">
        <w:rPr>
          <w:color w:val="auto"/>
        </w:rPr>
        <w:t xml:space="preserve">TDRL, the asthma condition was considered to be stable but still unfitting.  The </w:t>
      </w:r>
      <w:r w:rsidR="008A1AEA" w:rsidRPr="008A1AEA">
        <w:rPr>
          <w:color w:val="auto"/>
        </w:rPr>
        <w:t xml:space="preserve">PEB’s rating of 10% at that time was </w:t>
      </w:r>
      <w:r w:rsidR="00B86CC2">
        <w:rPr>
          <w:color w:val="auto"/>
        </w:rPr>
        <w:t xml:space="preserve">appealed to a Formal PEB (FPEB), which arrived at the same rating.  This decision was </w:t>
      </w:r>
      <w:r w:rsidR="008A1AEA" w:rsidRPr="008A1AEA">
        <w:rPr>
          <w:color w:val="auto"/>
        </w:rPr>
        <w:t xml:space="preserve">affirmed on </w:t>
      </w:r>
      <w:r w:rsidR="008A1AEA" w:rsidRPr="008A1AEA">
        <w:rPr>
          <w:color w:val="000000" w:themeColor="text1"/>
          <w:szCs w:val="24"/>
        </w:rPr>
        <w:t xml:space="preserve">review by the US Army Physical Disability Agency (USAPDA); and, the CI </w:t>
      </w:r>
      <w:r w:rsidR="00B81364" w:rsidRPr="008A1AEA">
        <w:rPr>
          <w:color w:val="auto"/>
        </w:rPr>
        <w:t>was removed from TDRL in 200</w:t>
      </w:r>
      <w:r w:rsidR="008A1AEA" w:rsidRPr="008A1AEA">
        <w:rPr>
          <w:color w:val="auto"/>
        </w:rPr>
        <w:t xml:space="preserve">6 and permanently separated </w:t>
      </w:r>
      <w:r w:rsidR="00B81364" w:rsidRPr="008A1AEA">
        <w:rPr>
          <w:color w:val="auto"/>
        </w:rPr>
        <w:t xml:space="preserve">with </w:t>
      </w:r>
      <w:r w:rsidR="00B86CC2">
        <w:rPr>
          <w:color w:val="auto"/>
        </w:rPr>
        <w:t>a 10%</w:t>
      </w:r>
      <w:r w:rsidR="00B81364" w:rsidRPr="008A1AEA">
        <w:rPr>
          <w:color w:val="auto"/>
        </w:rPr>
        <w:t xml:space="preserve"> disability rating.</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1C13EE"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773C45">
        <w:rPr>
          <w:color w:val="000000"/>
        </w:rPr>
        <w:t>“</w:t>
      </w:r>
      <w:r w:rsidR="001C13EE">
        <w:rPr>
          <w:color w:val="000000" w:themeColor="text1"/>
        </w:rPr>
        <w:t xml:space="preserve">I, [Name], am still suffering with breathing problems caused by my service connected disability.  I served my country faithfully never complaining and without hesitation.  It’s to the point where I can’t get involved with physical activities.  … [He elaborates the current </w:t>
      </w:r>
      <w:r w:rsidR="000C7468">
        <w:rPr>
          <w:color w:val="000000" w:themeColor="text1"/>
        </w:rPr>
        <w:t xml:space="preserve">details </w:t>
      </w:r>
      <w:r w:rsidR="001C13EE">
        <w:rPr>
          <w:color w:val="000000" w:themeColor="text1"/>
        </w:rPr>
        <w:t>of his asthma</w:t>
      </w:r>
      <w:r w:rsidR="000C7468">
        <w:rPr>
          <w:color w:val="000000" w:themeColor="text1"/>
        </w:rPr>
        <w:t xml:space="preserve"> disability</w:t>
      </w:r>
      <w:r w:rsidR="001C13EE">
        <w:rPr>
          <w:color w:val="000000" w:themeColor="text1"/>
        </w:rPr>
        <w:t xml:space="preserve">.] … I just want to be taken care of as I have taken care of my country.  </w:t>
      </w:r>
      <w:r w:rsidR="000C7468">
        <w:rPr>
          <w:color w:val="000000" w:themeColor="text1"/>
        </w:rPr>
        <w:t>…</w:t>
      </w:r>
      <w:r w:rsidR="001C13EE">
        <w:rPr>
          <w:color w:val="000000" w:themeColor="text1"/>
        </w:rPr>
        <w:t xml:space="preserve">  Thanking you in advance, [Name],</w:t>
      </w:r>
      <w:r w:rsidR="001C13EE" w:rsidRPr="001C13EE">
        <w:rPr>
          <w:color w:val="000000" w:themeColor="text1"/>
        </w:rPr>
        <w:t xml:space="preserve"> </w:t>
      </w:r>
      <w:r w:rsidR="001C13EE">
        <w:rPr>
          <w:color w:val="000000" w:themeColor="text1"/>
        </w:rPr>
        <w:t xml:space="preserve">SPC U.S. Army.”  </w:t>
      </w:r>
      <w:r w:rsidR="004A2728" w:rsidRPr="00F72DEB">
        <w:rPr>
          <w:rFonts w:eastAsiaTheme="minorHAnsi"/>
          <w:color w:val="000000" w:themeColor="text1"/>
          <w:szCs w:val="24"/>
        </w:rPr>
        <w:t xml:space="preserve">He does not </w:t>
      </w:r>
      <w:r w:rsidR="00A358BA" w:rsidRPr="00F72DEB">
        <w:rPr>
          <w:rFonts w:eastAsiaTheme="minorHAnsi"/>
          <w:color w:val="000000" w:themeColor="text1"/>
          <w:szCs w:val="24"/>
        </w:rPr>
        <w:t>specify a request for Board consideration of any additional</w:t>
      </w:r>
      <w:r w:rsidR="004A2728" w:rsidRPr="00F72DEB">
        <w:rPr>
          <w:rFonts w:eastAsiaTheme="minorHAnsi"/>
          <w:color w:val="000000" w:themeColor="text1"/>
          <w:szCs w:val="24"/>
        </w:rPr>
        <w:t xml:space="preserve"> conditions.</w:t>
      </w:r>
      <w:r w:rsidR="004A2728">
        <w:rPr>
          <w:color w:val="000000" w:themeColor="text1"/>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C566C9" w:rsidRDefault="00F14638" w:rsidP="00F14638">
      <w:pPr>
        <w:jc w:val="both"/>
        <w:rPr>
          <w:color w:val="auto"/>
        </w:rPr>
      </w:pPr>
      <w:r w:rsidRPr="006A714F">
        <w:rPr>
          <w:color w:val="auto"/>
          <w:u w:val="single"/>
        </w:rPr>
        <w:t>SCOPE OF REVIEW</w:t>
      </w:r>
      <w:r>
        <w:rPr>
          <w:color w:val="auto"/>
        </w:rPr>
        <w:t xml:space="preserve">:  </w:t>
      </w:r>
      <w:r w:rsidR="00C44A81" w:rsidRPr="00C44A81">
        <w:rPr>
          <w:color w:val="auto"/>
        </w:rPr>
        <w:t>The Board wishes to clarify that the scope of its review as defined in Department of Defense Instruction (DoDI)</w:t>
      </w:r>
      <w:r w:rsidR="00C44A81">
        <w:rPr>
          <w:color w:val="auto"/>
        </w:rPr>
        <w:t xml:space="preserve"> </w:t>
      </w:r>
      <w:r w:rsidR="00C44A81" w:rsidRPr="00C44A81">
        <w:rPr>
          <w:color w:val="auto"/>
        </w:rPr>
        <w:t>6040.44 (Enclosure 3, paragraph 5.e.2) is limited to those conditions which were determined by the PEB to be specifically unfitting for continued military service; or, when requested by the CI, those condition(s) “identified but not determined to be unfitting by the PEB</w:t>
      </w:r>
      <w:r w:rsidR="00852050">
        <w:rPr>
          <w:color w:val="auto"/>
        </w:rPr>
        <w:t>.</w:t>
      </w:r>
      <w:r w:rsidR="00C44A81" w:rsidRPr="00C44A81">
        <w:rPr>
          <w:color w:val="auto"/>
        </w:rPr>
        <w:t xml:space="preserve">”  The rating for the unfitting </w:t>
      </w:r>
      <w:r w:rsidR="00C44A81">
        <w:rPr>
          <w:color w:val="auto"/>
        </w:rPr>
        <w:t>asthma</w:t>
      </w:r>
      <w:r w:rsidR="00C44A81" w:rsidRPr="00C44A81">
        <w:rPr>
          <w:color w:val="auto"/>
        </w:rPr>
        <w:t xml:space="preserve"> condition is addressed below; and, no additional conditions are within the DoDI 6040.44 defined purview of the Board.  Any conditions or contention not requested in this application, or otherwise outside the Board’s defined scope of review, remain eligible for future consideration by the Army Board for the Correction of Military Records (ABCMR).  </w:t>
      </w:r>
      <w:r>
        <w:rPr>
          <w:color w:val="auto"/>
        </w:rPr>
        <w:t xml:space="preserve"> </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AD2379" w:rsidRPr="008B1121" w:rsidRDefault="00AD2379" w:rsidP="008B1121">
      <w:pPr>
        <w:spacing w:line="240" w:lineRule="auto"/>
        <w:jc w:val="left"/>
        <w:rPr>
          <w:color w:val="000000"/>
          <w:u w:val="single"/>
        </w:rPr>
      </w:pPr>
      <w:r w:rsidRPr="001F29F9">
        <w:rPr>
          <w:color w:val="000000"/>
          <w:u w:val="single"/>
        </w:rPr>
        <w:t>RATING COMPARISON</w:t>
      </w:r>
      <w:r w:rsidRPr="001F29F9">
        <w:rPr>
          <w:color w:val="000000"/>
        </w:rPr>
        <w:t>:</w:t>
      </w:r>
      <w:r w:rsidRPr="00726F84">
        <w:rPr>
          <w:color w:val="000000"/>
        </w:rPr>
        <w:t xml:space="preserve"> </w:t>
      </w:r>
    </w:p>
    <w:p w:rsidR="00225B2D" w:rsidRDefault="00225B2D" w:rsidP="00BF0E94">
      <w:pPr>
        <w:jc w:val="left"/>
        <w:rPr>
          <w:color w:val="000000"/>
        </w:rPr>
      </w:pPr>
    </w:p>
    <w:tbl>
      <w:tblPr>
        <w:tblStyle w:val="TableGrid1"/>
        <w:tblW w:w="9360" w:type="dxa"/>
        <w:tblInd w:w="108" w:type="dxa"/>
        <w:tblLayout w:type="fixed"/>
        <w:tblLook w:val="04A0"/>
      </w:tblPr>
      <w:tblGrid>
        <w:gridCol w:w="2250"/>
        <w:gridCol w:w="613"/>
        <w:gridCol w:w="630"/>
        <w:gridCol w:w="630"/>
        <w:gridCol w:w="2447"/>
        <w:gridCol w:w="1080"/>
        <w:gridCol w:w="720"/>
        <w:gridCol w:w="990"/>
      </w:tblGrid>
      <w:tr w:rsidR="00225B2D" w:rsidRPr="00225B2D" w:rsidTr="003A3A2F">
        <w:trPr>
          <w:trHeight w:val="107"/>
        </w:trPr>
        <w:tc>
          <w:tcPr>
            <w:tcW w:w="4123" w:type="dxa"/>
            <w:gridSpan w:val="4"/>
            <w:tcBorders>
              <w:right w:val="thinThickThinSmallGap" w:sz="24" w:space="0" w:color="auto"/>
            </w:tcBorders>
            <w:shd w:val="clear" w:color="auto" w:fill="D9D9D9"/>
            <w:vAlign w:val="center"/>
          </w:tcPr>
          <w:p w:rsidR="00225B2D" w:rsidRPr="00225B2D" w:rsidRDefault="00225B2D" w:rsidP="000C7468">
            <w:pPr>
              <w:spacing w:line="220" w:lineRule="exact"/>
              <w:contextualSpacing/>
              <w:rPr>
                <w:b/>
                <w:color w:val="auto"/>
                <w:sz w:val="18"/>
                <w:szCs w:val="18"/>
              </w:rPr>
            </w:pPr>
            <w:r w:rsidRPr="00225B2D">
              <w:rPr>
                <w:b/>
                <w:color w:val="auto"/>
                <w:sz w:val="18"/>
                <w:szCs w:val="18"/>
              </w:rPr>
              <w:t xml:space="preserve">Final Service </w:t>
            </w:r>
            <w:r w:rsidR="00B86CC2">
              <w:rPr>
                <w:b/>
                <w:color w:val="auto"/>
                <w:sz w:val="18"/>
                <w:szCs w:val="18"/>
              </w:rPr>
              <w:t>F</w:t>
            </w:r>
            <w:r w:rsidRPr="00225B2D">
              <w:rPr>
                <w:b/>
                <w:color w:val="auto"/>
                <w:sz w:val="18"/>
                <w:szCs w:val="18"/>
              </w:rPr>
              <w:t xml:space="preserve">PEB - </w:t>
            </w:r>
            <w:r w:rsidRPr="001F29F9">
              <w:rPr>
                <w:b/>
                <w:color w:val="000000" w:themeColor="text1"/>
                <w:sz w:val="18"/>
                <w:szCs w:val="18"/>
              </w:rPr>
              <w:t>200</w:t>
            </w:r>
            <w:r>
              <w:rPr>
                <w:b/>
                <w:color w:val="000000" w:themeColor="text1"/>
                <w:sz w:val="18"/>
                <w:szCs w:val="18"/>
              </w:rPr>
              <w:t>60619</w:t>
            </w:r>
          </w:p>
        </w:tc>
        <w:tc>
          <w:tcPr>
            <w:tcW w:w="5237" w:type="dxa"/>
            <w:gridSpan w:val="4"/>
            <w:tcBorders>
              <w:left w:val="thinThickThinSmallGap" w:sz="24" w:space="0" w:color="auto"/>
            </w:tcBorders>
            <w:shd w:val="clear" w:color="auto" w:fill="D9D9D9"/>
            <w:vAlign w:val="center"/>
          </w:tcPr>
          <w:p w:rsidR="00225B2D" w:rsidRPr="00225B2D" w:rsidRDefault="00225B2D" w:rsidP="000C7468">
            <w:pPr>
              <w:spacing w:line="220" w:lineRule="exact"/>
              <w:contextualSpacing/>
              <w:rPr>
                <w:b/>
                <w:color w:val="auto"/>
                <w:sz w:val="18"/>
                <w:szCs w:val="18"/>
              </w:rPr>
            </w:pPr>
            <w:r w:rsidRPr="00225B2D">
              <w:rPr>
                <w:b/>
                <w:color w:val="auto"/>
                <w:sz w:val="18"/>
                <w:szCs w:val="18"/>
              </w:rPr>
              <w:t>VA (</w:t>
            </w:r>
            <w:r>
              <w:rPr>
                <w:b/>
                <w:color w:val="auto"/>
                <w:sz w:val="18"/>
                <w:szCs w:val="18"/>
              </w:rPr>
              <w:t>14</w:t>
            </w:r>
            <w:r w:rsidRPr="00225B2D">
              <w:rPr>
                <w:b/>
                <w:color w:val="auto"/>
                <w:sz w:val="18"/>
                <w:szCs w:val="18"/>
              </w:rPr>
              <w:t xml:space="preserve"> Mo. Prior to </w:t>
            </w:r>
            <w:r w:rsidRPr="00225B2D">
              <w:rPr>
                <w:b/>
                <w:color w:val="000000"/>
                <w:sz w:val="18"/>
                <w:szCs w:val="18"/>
              </w:rPr>
              <w:t>Adjudication Date</w:t>
            </w:r>
            <w:r w:rsidRPr="00225B2D">
              <w:rPr>
                <w:b/>
                <w:color w:val="auto"/>
                <w:sz w:val="18"/>
                <w:szCs w:val="18"/>
              </w:rPr>
              <w:t xml:space="preserve">) – All Effective </w:t>
            </w:r>
            <w:r w:rsidRPr="001F29F9">
              <w:rPr>
                <w:b/>
                <w:color w:val="000000" w:themeColor="text1"/>
                <w:sz w:val="18"/>
                <w:szCs w:val="18"/>
              </w:rPr>
              <w:t>200</w:t>
            </w:r>
            <w:r>
              <w:rPr>
                <w:b/>
                <w:color w:val="000000" w:themeColor="text1"/>
                <w:sz w:val="18"/>
                <w:szCs w:val="18"/>
              </w:rPr>
              <w:t>50216</w:t>
            </w:r>
          </w:p>
        </w:tc>
      </w:tr>
      <w:tr w:rsidR="00225B2D" w:rsidRPr="00225B2D" w:rsidTr="000C7468">
        <w:trPr>
          <w:trHeight w:val="65"/>
        </w:trPr>
        <w:tc>
          <w:tcPr>
            <w:tcW w:w="2250" w:type="dxa"/>
            <w:tcBorders>
              <w:bottom w:val="single" w:sz="4" w:space="0" w:color="000000"/>
            </w:tcBorders>
            <w:shd w:val="clear" w:color="auto" w:fill="D9D9D9"/>
            <w:vAlign w:val="center"/>
          </w:tcPr>
          <w:p w:rsidR="00225B2D" w:rsidRPr="00225B2D" w:rsidRDefault="00225B2D" w:rsidP="000C7468">
            <w:pPr>
              <w:spacing w:line="200" w:lineRule="exact"/>
              <w:contextualSpacing/>
              <w:rPr>
                <w:b/>
                <w:color w:val="auto"/>
                <w:sz w:val="18"/>
                <w:szCs w:val="18"/>
              </w:rPr>
            </w:pPr>
            <w:r w:rsidRPr="00225B2D">
              <w:rPr>
                <w:b/>
                <w:color w:val="auto"/>
                <w:sz w:val="18"/>
                <w:szCs w:val="18"/>
              </w:rPr>
              <w:t xml:space="preserve">On TDRL - </w:t>
            </w:r>
            <w:r w:rsidRPr="001F29F9">
              <w:rPr>
                <w:b/>
                <w:color w:val="000000" w:themeColor="text1"/>
                <w:sz w:val="18"/>
                <w:szCs w:val="18"/>
              </w:rPr>
              <w:t>200</w:t>
            </w:r>
            <w:r>
              <w:rPr>
                <w:b/>
                <w:color w:val="000000" w:themeColor="text1"/>
                <w:sz w:val="18"/>
                <w:szCs w:val="18"/>
              </w:rPr>
              <w:t>40107</w:t>
            </w:r>
          </w:p>
        </w:tc>
        <w:tc>
          <w:tcPr>
            <w:tcW w:w="613" w:type="dxa"/>
            <w:vMerge w:val="restart"/>
            <w:tcBorders>
              <w:bottom w:val="single" w:sz="4" w:space="0" w:color="000000"/>
            </w:tcBorders>
            <w:shd w:val="clear" w:color="auto" w:fill="D9D9D9"/>
            <w:vAlign w:val="center"/>
          </w:tcPr>
          <w:p w:rsidR="00225B2D" w:rsidRPr="00225B2D" w:rsidRDefault="00225B2D" w:rsidP="000C7468">
            <w:pPr>
              <w:spacing w:line="200" w:lineRule="exact"/>
              <w:contextualSpacing/>
              <w:rPr>
                <w:b/>
                <w:color w:val="auto"/>
                <w:sz w:val="18"/>
                <w:szCs w:val="18"/>
              </w:rPr>
            </w:pPr>
            <w:r w:rsidRPr="00225B2D">
              <w:rPr>
                <w:b/>
                <w:color w:val="auto"/>
                <w:sz w:val="18"/>
                <w:szCs w:val="18"/>
              </w:rPr>
              <w:t>Code</w:t>
            </w:r>
          </w:p>
        </w:tc>
        <w:tc>
          <w:tcPr>
            <w:tcW w:w="1260" w:type="dxa"/>
            <w:gridSpan w:val="2"/>
            <w:tcBorders>
              <w:bottom w:val="single" w:sz="4" w:space="0" w:color="000000"/>
              <w:right w:val="thinThickThinSmallGap" w:sz="24" w:space="0" w:color="auto"/>
            </w:tcBorders>
            <w:shd w:val="clear" w:color="auto" w:fill="D9D9D9"/>
            <w:vAlign w:val="center"/>
          </w:tcPr>
          <w:p w:rsidR="00225B2D" w:rsidRPr="00225B2D" w:rsidRDefault="00225B2D" w:rsidP="000C7468">
            <w:pPr>
              <w:spacing w:line="200" w:lineRule="exact"/>
              <w:contextualSpacing/>
              <w:rPr>
                <w:b/>
                <w:color w:val="auto"/>
                <w:sz w:val="18"/>
                <w:szCs w:val="18"/>
              </w:rPr>
            </w:pPr>
            <w:r w:rsidRPr="00225B2D">
              <w:rPr>
                <w:b/>
                <w:color w:val="auto"/>
                <w:sz w:val="18"/>
                <w:szCs w:val="18"/>
              </w:rPr>
              <w:t>Rating</w:t>
            </w:r>
          </w:p>
        </w:tc>
        <w:tc>
          <w:tcPr>
            <w:tcW w:w="2447" w:type="dxa"/>
            <w:vMerge w:val="restart"/>
            <w:tcBorders>
              <w:left w:val="thinThickThinSmallGap" w:sz="24" w:space="0" w:color="auto"/>
            </w:tcBorders>
            <w:shd w:val="clear" w:color="auto" w:fill="D9D9D9"/>
            <w:vAlign w:val="center"/>
          </w:tcPr>
          <w:p w:rsidR="00225B2D" w:rsidRPr="00225B2D" w:rsidRDefault="00225B2D" w:rsidP="000C7468">
            <w:pPr>
              <w:spacing w:line="200" w:lineRule="exact"/>
              <w:contextualSpacing/>
              <w:rPr>
                <w:b/>
                <w:color w:val="auto"/>
                <w:sz w:val="18"/>
                <w:szCs w:val="18"/>
              </w:rPr>
            </w:pPr>
            <w:r w:rsidRPr="00225B2D">
              <w:rPr>
                <w:b/>
                <w:color w:val="auto"/>
                <w:sz w:val="18"/>
                <w:szCs w:val="18"/>
              </w:rPr>
              <w:t>Condition</w:t>
            </w:r>
          </w:p>
        </w:tc>
        <w:tc>
          <w:tcPr>
            <w:tcW w:w="1080" w:type="dxa"/>
            <w:vMerge w:val="restart"/>
            <w:shd w:val="clear" w:color="auto" w:fill="D9D9D9"/>
            <w:vAlign w:val="center"/>
          </w:tcPr>
          <w:p w:rsidR="00225B2D" w:rsidRPr="00225B2D" w:rsidRDefault="00225B2D" w:rsidP="000C7468">
            <w:pPr>
              <w:spacing w:line="200" w:lineRule="exact"/>
              <w:contextualSpacing/>
              <w:rPr>
                <w:b/>
                <w:color w:val="auto"/>
                <w:sz w:val="18"/>
                <w:szCs w:val="18"/>
              </w:rPr>
            </w:pPr>
            <w:r w:rsidRPr="00225B2D">
              <w:rPr>
                <w:b/>
                <w:color w:val="auto"/>
                <w:sz w:val="18"/>
                <w:szCs w:val="18"/>
              </w:rPr>
              <w:t>Code</w:t>
            </w:r>
          </w:p>
        </w:tc>
        <w:tc>
          <w:tcPr>
            <w:tcW w:w="720" w:type="dxa"/>
            <w:vMerge w:val="restart"/>
            <w:shd w:val="clear" w:color="auto" w:fill="D9D9D9"/>
            <w:vAlign w:val="center"/>
          </w:tcPr>
          <w:p w:rsidR="00225B2D" w:rsidRPr="00225B2D" w:rsidRDefault="00225B2D" w:rsidP="000C7468">
            <w:pPr>
              <w:spacing w:line="200" w:lineRule="exact"/>
              <w:contextualSpacing/>
              <w:rPr>
                <w:b/>
                <w:color w:val="auto"/>
                <w:sz w:val="18"/>
                <w:szCs w:val="18"/>
              </w:rPr>
            </w:pPr>
            <w:r w:rsidRPr="00225B2D">
              <w:rPr>
                <w:b/>
                <w:color w:val="auto"/>
                <w:sz w:val="18"/>
                <w:szCs w:val="18"/>
              </w:rPr>
              <w:t>Rating</w:t>
            </w:r>
          </w:p>
        </w:tc>
        <w:tc>
          <w:tcPr>
            <w:tcW w:w="990" w:type="dxa"/>
            <w:vMerge w:val="restart"/>
            <w:shd w:val="clear" w:color="auto" w:fill="D9D9D9"/>
            <w:vAlign w:val="center"/>
          </w:tcPr>
          <w:p w:rsidR="00225B2D" w:rsidRPr="00225B2D" w:rsidRDefault="00225B2D" w:rsidP="000C7468">
            <w:pPr>
              <w:spacing w:line="200" w:lineRule="exact"/>
              <w:contextualSpacing/>
              <w:rPr>
                <w:b/>
                <w:color w:val="auto"/>
                <w:sz w:val="18"/>
                <w:szCs w:val="18"/>
              </w:rPr>
            </w:pPr>
            <w:r w:rsidRPr="00225B2D">
              <w:rPr>
                <w:b/>
                <w:color w:val="auto"/>
                <w:sz w:val="18"/>
                <w:szCs w:val="18"/>
              </w:rPr>
              <w:t>Exam</w:t>
            </w:r>
          </w:p>
        </w:tc>
      </w:tr>
      <w:tr w:rsidR="00225B2D" w:rsidRPr="00225B2D" w:rsidTr="000C7468">
        <w:trPr>
          <w:trHeight w:val="152"/>
        </w:trPr>
        <w:tc>
          <w:tcPr>
            <w:tcW w:w="2250" w:type="dxa"/>
            <w:shd w:val="clear" w:color="auto" w:fill="D9D9D9"/>
            <w:vAlign w:val="center"/>
          </w:tcPr>
          <w:p w:rsidR="00225B2D" w:rsidRPr="00225B2D" w:rsidRDefault="00225B2D" w:rsidP="000C7468">
            <w:pPr>
              <w:spacing w:line="200" w:lineRule="exact"/>
              <w:contextualSpacing/>
              <w:rPr>
                <w:b/>
                <w:color w:val="auto"/>
                <w:sz w:val="18"/>
                <w:szCs w:val="18"/>
              </w:rPr>
            </w:pPr>
            <w:r w:rsidRPr="00225B2D">
              <w:rPr>
                <w:b/>
                <w:color w:val="auto"/>
                <w:sz w:val="18"/>
                <w:szCs w:val="18"/>
              </w:rPr>
              <w:t>Condition</w:t>
            </w:r>
          </w:p>
        </w:tc>
        <w:tc>
          <w:tcPr>
            <w:tcW w:w="613" w:type="dxa"/>
            <w:vMerge/>
            <w:shd w:val="clear" w:color="auto" w:fill="D9D9D9"/>
            <w:vAlign w:val="center"/>
          </w:tcPr>
          <w:p w:rsidR="00225B2D" w:rsidRPr="00225B2D" w:rsidRDefault="00225B2D" w:rsidP="000C7468">
            <w:pPr>
              <w:spacing w:line="200" w:lineRule="exact"/>
              <w:contextualSpacing/>
              <w:rPr>
                <w:color w:val="auto"/>
                <w:sz w:val="18"/>
                <w:szCs w:val="18"/>
              </w:rPr>
            </w:pPr>
          </w:p>
        </w:tc>
        <w:tc>
          <w:tcPr>
            <w:tcW w:w="630" w:type="dxa"/>
            <w:tcBorders>
              <w:right w:val="single" w:sz="4" w:space="0" w:color="auto"/>
            </w:tcBorders>
            <w:shd w:val="clear" w:color="auto" w:fill="D9D9D9"/>
            <w:vAlign w:val="center"/>
          </w:tcPr>
          <w:p w:rsidR="00225B2D" w:rsidRPr="00225B2D" w:rsidRDefault="00225B2D" w:rsidP="000C7468">
            <w:pPr>
              <w:spacing w:line="200" w:lineRule="exact"/>
              <w:contextualSpacing/>
              <w:rPr>
                <w:b/>
                <w:color w:val="auto"/>
                <w:sz w:val="18"/>
                <w:szCs w:val="18"/>
              </w:rPr>
            </w:pPr>
            <w:r w:rsidRPr="00225B2D">
              <w:rPr>
                <w:b/>
                <w:color w:val="auto"/>
                <w:sz w:val="18"/>
                <w:szCs w:val="18"/>
              </w:rPr>
              <w:t>TDRL</w:t>
            </w:r>
          </w:p>
        </w:tc>
        <w:tc>
          <w:tcPr>
            <w:tcW w:w="630" w:type="dxa"/>
            <w:tcBorders>
              <w:left w:val="single" w:sz="4" w:space="0" w:color="auto"/>
              <w:right w:val="thinThickThinSmallGap" w:sz="24" w:space="0" w:color="auto"/>
            </w:tcBorders>
            <w:shd w:val="clear" w:color="auto" w:fill="D9D9D9"/>
            <w:vAlign w:val="center"/>
          </w:tcPr>
          <w:p w:rsidR="00225B2D" w:rsidRPr="00225B2D" w:rsidRDefault="00225B2D" w:rsidP="000C7468">
            <w:pPr>
              <w:spacing w:line="200" w:lineRule="exact"/>
              <w:contextualSpacing/>
              <w:rPr>
                <w:b/>
                <w:color w:val="auto"/>
                <w:sz w:val="18"/>
                <w:szCs w:val="18"/>
              </w:rPr>
            </w:pPr>
            <w:r w:rsidRPr="00225B2D">
              <w:rPr>
                <w:b/>
                <w:color w:val="auto"/>
                <w:sz w:val="18"/>
                <w:szCs w:val="18"/>
              </w:rPr>
              <w:t>Sep.</w:t>
            </w:r>
          </w:p>
        </w:tc>
        <w:tc>
          <w:tcPr>
            <w:tcW w:w="2447" w:type="dxa"/>
            <w:vMerge/>
            <w:tcBorders>
              <w:left w:val="thinThickThinSmallGap" w:sz="24" w:space="0" w:color="auto"/>
            </w:tcBorders>
            <w:shd w:val="clear" w:color="auto" w:fill="D9D9D9"/>
            <w:vAlign w:val="center"/>
          </w:tcPr>
          <w:p w:rsidR="00225B2D" w:rsidRPr="00225B2D" w:rsidRDefault="00225B2D" w:rsidP="000C7468">
            <w:pPr>
              <w:spacing w:line="200" w:lineRule="exact"/>
              <w:contextualSpacing/>
              <w:rPr>
                <w:b/>
                <w:color w:val="auto"/>
                <w:sz w:val="18"/>
                <w:szCs w:val="18"/>
              </w:rPr>
            </w:pPr>
          </w:p>
        </w:tc>
        <w:tc>
          <w:tcPr>
            <w:tcW w:w="1080" w:type="dxa"/>
            <w:vMerge/>
            <w:shd w:val="clear" w:color="auto" w:fill="C6D9F1"/>
            <w:vAlign w:val="center"/>
          </w:tcPr>
          <w:p w:rsidR="00225B2D" w:rsidRPr="00225B2D" w:rsidRDefault="00225B2D" w:rsidP="000C7468">
            <w:pPr>
              <w:spacing w:line="200" w:lineRule="exact"/>
              <w:contextualSpacing/>
              <w:rPr>
                <w:color w:val="auto"/>
                <w:sz w:val="18"/>
                <w:szCs w:val="18"/>
              </w:rPr>
            </w:pPr>
          </w:p>
        </w:tc>
        <w:tc>
          <w:tcPr>
            <w:tcW w:w="720" w:type="dxa"/>
            <w:vMerge/>
            <w:shd w:val="clear" w:color="auto" w:fill="C6D9F1"/>
            <w:vAlign w:val="center"/>
          </w:tcPr>
          <w:p w:rsidR="00225B2D" w:rsidRPr="00225B2D" w:rsidRDefault="00225B2D" w:rsidP="000C7468">
            <w:pPr>
              <w:spacing w:line="200" w:lineRule="exact"/>
              <w:contextualSpacing/>
              <w:rPr>
                <w:color w:val="auto"/>
                <w:sz w:val="18"/>
                <w:szCs w:val="18"/>
              </w:rPr>
            </w:pPr>
          </w:p>
        </w:tc>
        <w:tc>
          <w:tcPr>
            <w:tcW w:w="990" w:type="dxa"/>
            <w:vMerge/>
            <w:shd w:val="clear" w:color="auto" w:fill="C6D9F1"/>
            <w:vAlign w:val="center"/>
          </w:tcPr>
          <w:p w:rsidR="00225B2D" w:rsidRPr="00225B2D" w:rsidRDefault="00225B2D" w:rsidP="000C7468">
            <w:pPr>
              <w:spacing w:line="200" w:lineRule="exact"/>
              <w:contextualSpacing/>
              <w:rPr>
                <w:color w:val="auto"/>
                <w:sz w:val="18"/>
                <w:szCs w:val="18"/>
              </w:rPr>
            </w:pPr>
          </w:p>
        </w:tc>
      </w:tr>
      <w:tr w:rsidR="00225B2D" w:rsidRPr="00225B2D" w:rsidTr="000C7468">
        <w:trPr>
          <w:trHeight w:val="143"/>
        </w:trPr>
        <w:tc>
          <w:tcPr>
            <w:tcW w:w="2250" w:type="dxa"/>
            <w:tcBorders>
              <w:right w:val="single" w:sz="4" w:space="0" w:color="auto"/>
            </w:tcBorders>
            <w:shd w:val="clear" w:color="auto" w:fill="FFFFFF"/>
            <w:vAlign w:val="center"/>
          </w:tcPr>
          <w:p w:rsidR="00225B2D" w:rsidRPr="00225B2D" w:rsidRDefault="00225B2D" w:rsidP="000C7468">
            <w:pPr>
              <w:spacing w:line="200" w:lineRule="exact"/>
              <w:contextualSpacing/>
              <w:rPr>
                <w:color w:val="auto"/>
                <w:sz w:val="18"/>
                <w:szCs w:val="18"/>
              </w:rPr>
            </w:pPr>
            <w:r w:rsidRPr="00225B2D">
              <w:rPr>
                <w:color w:val="auto"/>
                <w:sz w:val="18"/>
                <w:szCs w:val="18"/>
              </w:rPr>
              <w:t>Asthma</w:t>
            </w:r>
          </w:p>
        </w:tc>
        <w:tc>
          <w:tcPr>
            <w:tcW w:w="613" w:type="dxa"/>
            <w:tcBorders>
              <w:left w:val="single" w:sz="4" w:space="0" w:color="auto"/>
            </w:tcBorders>
            <w:shd w:val="clear" w:color="auto" w:fill="FFFFFF"/>
            <w:vAlign w:val="center"/>
          </w:tcPr>
          <w:p w:rsidR="00225B2D" w:rsidRPr="00225B2D" w:rsidRDefault="00225B2D" w:rsidP="000C7468">
            <w:pPr>
              <w:spacing w:line="200" w:lineRule="exact"/>
              <w:contextualSpacing/>
              <w:rPr>
                <w:color w:val="auto"/>
                <w:sz w:val="18"/>
                <w:szCs w:val="18"/>
              </w:rPr>
            </w:pPr>
            <w:r w:rsidRPr="00225B2D">
              <w:rPr>
                <w:color w:val="auto"/>
                <w:sz w:val="18"/>
                <w:szCs w:val="18"/>
              </w:rPr>
              <w:t>6602</w:t>
            </w:r>
          </w:p>
        </w:tc>
        <w:tc>
          <w:tcPr>
            <w:tcW w:w="630" w:type="dxa"/>
            <w:tcBorders>
              <w:right w:val="single" w:sz="4" w:space="0" w:color="auto"/>
            </w:tcBorders>
            <w:shd w:val="clear" w:color="auto" w:fill="FFFFFF"/>
            <w:vAlign w:val="center"/>
          </w:tcPr>
          <w:p w:rsidR="00225B2D" w:rsidRPr="00225B2D" w:rsidRDefault="00225B2D" w:rsidP="000C7468">
            <w:pPr>
              <w:spacing w:line="200" w:lineRule="exact"/>
              <w:contextualSpacing/>
              <w:rPr>
                <w:color w:val="auto"/>
                <w:sz w:val="18"/>
                <w:szCs w:val="18"/>
              </w:rPr>
            </w:pPr>
            <w:r w:rsidRPr="00225B2D">
              <w:rPr>
                <w:color w:val="auto"/>
                <w:sz w:val="18"/>
                <w:szCs w:val="18"/>
              </w:rPr>
              <w:t>30%</w:t>
            </w:r>
          </w:p>
        </w:tc>
        <w:tc>
          <w:tcPr>
            <w:tcW w:w="630" w:type="dxa"/>
            <w:tcBorders>
              <w:left w:val="single" w:sz="4" w:space="0" w:color="auto"/>
              <w:right w:val="thinThickThinSmallGap" w:sz="24" w:space="0" w:color="auto"/>
            </w:tcBorders>
            <w:shd w:val="clear" w:color="auto" w:fill="FFFFFF"/>
            <w:vAlign w:val="center"/>
          </w:tcPr>
          <w:p w:rsidR="00225B2D" w:rsidRPr="00225B2D" w:rsidRDefault="00225B2D" w:rsidP="000C7468">
            <w:pPr>
              <w:spacing w:line="200" w:lineRule="exact"/>
              <w:contextualSpacing/>
              <w:rPr>
                <w:color w:val="auto"/>
                <w:sz w:val="18"/>
                <w:szCs w:val="18"/>
              </w:rPr>
            </w:pPr>
            <w:r w:rsidRPr="00225B2D">
              <w:rPr>
                <w:color w:val="auto"/>
                <w:sz w:val="18"/>
                <w:szCs w:val="18"/>
              </w:rPr>
              <w:t>10%</w:t>
            </w:r>
          </w:p>
        </w:tc>
        <w:tc>
          <w:tcPr>
            <w:tcW w:w="2447" w:type="dxa"/>
            <w:tcBorders>
              <w:left w:val="thinThickThinSmallGap" w:sz="24" w:space="0" w:color="auto"/>
            </w:tcBorders>
            <w:shd w:val="clear" w:color="auto" w:fill="FFFFFF"/>
            <w:vAlign w:val="center"/>
          </w:tcPr>
          <w:p w:rsidR="00225B2D" w:rsidRPr="00225B2D" w:rsidRDefault="00225B2D" w:rsidP="000C7468">
            <w:pPr>
              <w:spacing w:line="200" w:lineRule="exact"/>
              <w:contextualSpacing/>
              <w:jc w:val="left"/>
              <w:rPr>
                <w:color w:val="auto"/>
                <w:sz w:val="18"/>
                <w:szCs w:val="18"/>
              </w:rPr>
            </w:pPr>
            <w:r w:rsidRPr="00225B2D">
              <w:rPr>
                <w:color w:val="auto"/>
                <w:sz w:val="18"/>
                <w:szCs w:val="18"/>
              </w:rPr>
              <w:t>Asthma</w:t>
            </w:r>
          </w:p>
        </w:tc>
        <w:tc>
          <w:tcPr>
            <w:tcW w:w="1080" w:type="dxa"/>
            <w:shd w:val="clear" w:color="auto" w:fill="FFFFFF"/>
            <w:vAlign w:val="center"/>
          </w:tcPr>
          <w:p w:rsidR="00225B2D" w:rsidRPr="00225B2D" w:rsidRDefault="00225B2D" w:rsidP="000C7468">
            <w:pPr>
              <w:spacing w:line="200" w:lineRule="exact"/>
              <w:contextualSpacing/>
              <w:rPr>
                <w:color w:val="auto"/>
                <w:sz w:val="18"/>
                <w:szCs w:val="18"/>
              </w:rPr>
            </w:pPr>
            <w:r w:rsidRPr="00225B2D">
              <w:rPr>
                <w:color w:val="auto"/>
                <w:sz w:val="18"/>
                <w:szCs w:val="18"/>
              </w:rPr>
              <w:t>6602</w:t>
            </w:r>
          </w:p>
        </w:tc>
        <w:tc>
          <w:tcPr>
            <w:tcW w:w="720" w:type="dxa"/>
            <w:shd w:val="clear" w:color="auto" w:fill="FFFFFF"/>
            <w:vAlign w:val="center"/>
          </w:tcPr>
          <w:p w:rsidR="00225B2D" w:rsidRPr="00225B2D" w:rsidRDefault="00225B2D" w:rsidP="000C7468">
            <w:pPr>
              <w:spacing w:line="200" w:lineRule="exact"/>
              <w:contextualSpacing/>
              <w:rPr>
                <w:color w:val="auto"/>
                <w:sz w:val="18"/>
                <w:szCs w:val="18"/>
              </w:rPr>
            </w:pPr>
            <w:r w:rsidRPr="00225B2D">
              <w:rPr>
                <w:color w:val="auto"/>
                <w:sz w:val="18"/>
                <w:szCs w:val="18"/>
              </w:rPr>
              <w:t>30%</w:t>
            </w:r>
          </w:p>
        </w:tc>
        <w:tc>
          <w:tcPr>
            <w:tcW w:w="990" w:type="dxa"/>
            <w:shd w:val="clear" w:color="auto" w:fill="FFFFFF"/>
            <w:vAlign w:val="center"/>
          </w:tcPr>
          <w:p w:rsidR="00225B2D" w:rsidRPr="00225B2D" w:rsidRDefault="00225B2D" w:rsidP="000C7468">
            <w:pPr>
              <w:spacing w:line="200" w:lineRule="exact"/>
              <w:contextualSpacing/>
              <w:rPr>
                <w:color w:val="auto"/>
                <w:sz w:val="18"/>
                <w:szCs w:val="18"/>
              </w:rPr>
            </w:pPr>
            <w:r w:rsidRPr="001F29F9">
              <w:rPr>
                <w:rFonts w:cstheme="minorHAnsi"/>
                <w:color w:val="000000" w:themeColor="text1"/>
                <w:sz w:val="18"/>
                <w:szCs w:val="18"/>
              </w:rPr>
              <w:t>200</w:t>
            </w:r>
            <w:r>
              <w:rPr>
                <w:rFonts w:cstheme="minorHAnsi"/>
                <w:color w:val="000000" w:themeColor="text1"/>
                <w:sz w:val="18"/>
                <w:szCs w:val="18"/>
              </w:rPr>
              <w:t>50608</w:t>
            </w:r>
          </w:p>
        </w:tc>
      </w:tr>
      <w:tr w:rsidR="00225B2D" w:rsidRPr="00225B2D" w:rsidTr="000C7468">
        <w:trPr>
          <w:trHeight w:val="188"/>
        </w:trPr>
        <w:tc>
          <w:tcPr>
            <w:tcW w:w="4123" w:type="dxa"/>
            <w:gridSpan w:val="4"/>
            <w:tcBorders>
              <w:bottom w:val="single" w:sz="4" w:space="0" w:color="auto"/>
              <w:right w:val="thinThickThinSmallGap" w:sz="24" w:space="0" w:color="auto"/>
            </w:tcBorders>
            <w:shd w:val="clear" w:color="auto" w:fill="FFFFFF"/>
            <w:vAlign w:val="center"/>
          </w:tcPr>
          <w:p w:rsidR="00225B2D" w:rsidRPr="00225B2D" w:rsidRDefault="00225B2D" w:rsidP="000C7468">
            <w:pPr>
              <w:spacing w:line="200" w:lineRule="exact"/>
              <w:contextualSpacing/>
              <w:rPr>
                <w:color w:val="auto"/>
                <w:sz w:val="18"/>
                <w:szCs w:val="18"/>
              </w:rPr>
            </w:pPr>
            <w:r w:rsidRPr="00225B2D">
              <w:rPr>
                <w:color w:val="auto"/>
                <w:sz w:val="20"/>
                <w:szCs w:val="20"/>
              </w:rPr>
              <w:t>No Additional MEB Entries</w:t>
            </w:r>
          </w:p>
        </w:tc>
        <w:tc>
          <w:tcPr>
            <w:tcW w:w="2447" w:type="dxa"/>
            <w:tcBorders>
              <w:left w:val="thinThickThinSmallGap" w:sz="24" w:space="0" w:color="auto"/>
            </w:tcBorders>
            <w:shd w:val="clear" w:color="auto" w:fill="FFFFFF"/>
            <w:vAlign w:val="center"/>
          </w:tcPr>
          <w:p w:rsidR="00225B2D" w:rsidRPr="001F29F9" w:rsidRDefault="00225B2D" w:rsidP="000C7468">
            <w:pPr>
              <w:spacing w:line="200" w:lineRule="exact"/>
              <w:jc w:val="left"/>
              <w:rPr>
                <w:rFonts w:eastAsia="Times New Roman" w:cstheme="minorHAnsi"/>
                <w:color w:val="000000" w:themeColor="text1"/>
                <w:sz w:val="18"/>
                <w:szCs w:val="18"/>
              </w:rPr>
            </w:pPr>
            <w:r>
              <w:rPr>
                <w:rFonts w:cstheme="minorHAnsi"/>
                <w:color w:val="000000" w:themeColor="text1"/>
                <w:sz w:val="18"/>
                <w:szCs w:val="18"/>
              </w:rPr>
              <w:t>Right Shoulder Condition</w:t>
            </w:r>
          </w:p>
        </w:tc>
        <w:tc>
          <w:tcPr>
            <w:tcW w:w="1080" w:type="dxa"/>
            <w:shd w:val="clear" w:color="auto" w:fill="FFFFFF"/>
            <w:vAlign w:val="center"/>
          </w:tcPr>
          <w:p w:rsidR="00225B2D" w:rsidRPr="001F29F9" w:rsidRDefault="00225B2D" w:rsidP="000C7468">
            <w:pPr>
              <w:spacing w:line="200" w:lineRule="exact"/>
              <w:contextualSpacing/>
              <w:rPr>
                <w:rFonts w:eastAsia="Times New Roman" w:cstheme="minorHAnsi"/>
                <w:color w:val="000000" w:themeColor="text1"/>
                <w:sz w:val="18"/>
                <w:szCs w:val="18"/>
              </w:rPr>
            </w:pPr>
            <w:r>
              <w:rPr>
                <w:rFonts w:cstheme="minorHAnsi"/>
                <w:color w:val="000000" w:themeColor="text1"/>
                <w:sz w:val="18"/>
                <w:szCs w:val="18"/>
              </w:rPr>
              <w:t>5299-5201</w:t>
            </w:r>
          </w:p>
        </w:tc>
        <w:tc>
          <w:tcPr>
            <w:tcW w:w="720" w:type="dxa"/>
            <w:shd w:val="clear" w:color="auto" w:fill="FFFFFF"/>
            <w:vAlign w:val="center"/>
          </w:tcPr>
          <w:p w:rsidR="00225B2D" w:rsidRPr="001F29F9" w:rsidRDefault="00225B2D" w:rsidP="000C7468">
            <w:pPr>
              <w:spacing w:line="200" w:lineRule="exact"/>
              <w:contextualSpacing/>
              <w:rPr>
                <w:rFonts w:eastAsia="Times New Roman" w:cstheme="minorHAnsi"/>
                <w:color w:val="000000" w:themeColor="text1"/>
                <w:sz w:val="18"/>
                <w:szCs w:val="18"/>
              </w:rPr>
            </w:pPr>
            <w:r>
              <w:rPr>
                <w:rFonts w:cstheme="minorHAnsi"/>
                <w:color w:val="000000" w:themeColor="text1"/>
                <w:sz w:val="18"/>
                <w:szCs w:val="18"/>
              </w:rPr>
              <w:t>NSC</w:t>
            </w:r>
          </w:p>
        </w:tc>
        <w:tc>
          <w:tcPr>
            <w:tcW w:w="990" w:type="dxa"/>
            <w:shd w:val="clear" w:color="auto" w:fill="FFFFFF"/>
            <w:vAlign w:val="center"/>
          </w:tcPr>
          <w:p w:rsidR="00225B2D" w:rsidRPr="001F29F9" w:rsidRDefault="00225B2D" w:rsidP="000C7468">
            <w:pPr>
              <w:spacing w:line="200" w:lineRule="exact"/>
              <w:contextualSpacing/>
              <w:rPr>
                <w:rFonts w:eastAsia="Times New Roman" w:cstheme="minorHAnsi"/>
                <w:color w:val="000000" w:themeColor="text1"/>
                <w:sz w:val="18"/>
                <w:szCs w:val="18"/>
              </w:rPr>
            </w:pPr>
            <w:r w:rsidRPr="001F29F9">
              <w:rPr>
                <w:rFonts w:cstheme="minorHAnsi"/>
                <w:color w:val="000000" w:themeColor="text1"/>
                <w:sz w:val="18"/>
                <w:szCs w:val="18"/>
              </w:rPr>
              <w:t>200</w:t>
            </w:r>
            <w:r>
              <w:rPr>
                <w:rFonts w:cstheme="minorHAnsi"/>
                <w:color w:val="000000" w:themeColor="text1"/>
                <w:sz w:val="18"/>
                <w:szCs w:val="18"/>
              </w:rPr>
              <w:t>50608</w:t>
            </w:r>
          </w:p>
        </w:tc>
      </w:tr>
      <w:tr w:rsidR="00225B2D" w:rsidRPr="00225B2D" w:rsidTr="003A3A2F">
        <w:trPr>
          <w:trHeight w:val="242"/>
        </w:trPr>
        <w:tc>
          <w:tcPr>
            <w:tcW w:w="4123" w:type="dxa"/>
            <w:gridSpan w:val="4"/>
            <w:tcBorders>
              <w:right w:val="thinThickThinSmallGap" w:sz="24" w:space="0" w:color="auto"/>
            </w:tcBorders>
            <w:shd w:val="clear" w:color="auto" w:fill="D9D9D9"/>
          </w:tcPr>
          <w:p w:rsidR="00225B2D" w:rsidRPr="00225B2D" w:rsidRDefault="00225B2D" w:rsidP="000C7468">
            <w:pPr>
              <w:spacing w:line="220" w:lineRule="exact"/>
              <w:contextualSpacing/>
              <w:rPr>
                <w:b/>
                <w:color w:val="auto"/>
                <w:sz w:val="20"/>
                <w:szCs w:val="20"/>
              </w:rPr>
            </w:pPr>
            <w:r w:rsidRPr="00225B2D">
              <w:rPr>
                <w:b/>
                <w:color w:val="auto"/>
                <w:sz w:val="20"/>
                <w:szCs w:val="20"/>
              </w:rPr>
              <w:lastRenderedPageBreak/>
              <w:t xml:space="preserve">Combined:  </w:t>
            </w:r>
            <w:r>
              <w:rPr>
                <w:b/>
                <w:color w:val="auto"/>
                <w:sz w:val="20"/>
                <w:szCs w:val="20"/>
              </w:rPr>
              <w:t>3</w:t>
            </w:r>
            <w:r w:rsidRPr="00225B2D">
              <w:rPr>
                <w:b/>
                <w:color w:val="auto"/>
                <w:sz w:val="20"/>
                <w:szCs w:val="20"/>
              </w:rPr>
              <w:t>0% →</w:t>
            </w:r>
            <w:r>
              <w:rPr>
                <w:b/>
                <w:color w:val="auto"/>
                <w:sz w:val="20"/>
                <w:szCs w:val="20"/>
              </w:rPr>
              <w:t xml:space="preserve"> 1</w:t>
            </w:r>
            <w:r w:rsidRPr="00225B2D">
              <w:rPr>
                <w:b/>
                <w:color w:val="auto"/>
                <w:sz w:val="20"/>
                <w:szCs w:val="20"/>
              </w:rPr>
              <w:t>0%</w:t>
            </w:r>
          </w:p>
        </w:tc>
        <w:tc>
          <w:tcPr>
            <w:tcW w:w="5237" w:type="dxa"/>
            <w:gridSpan w:val="4"/>
            <w:tcBorders>
              <w:left w:val="thinThickThinSmallGap" w:sz="24" w:space="0" w:color="auto"/>
            </w:tcBorders>
            <w:shd w:val="clear" w:color="auto" w:fill="D9D9D9"/>
          </w:tcPr>
          <w:p w:rsidR="00225B2D" w:rsidRPr="00225B2D" w:rsidRDefault="00225B2D" w:rsidP="000C7468">
            <w:pPr>
              <w:spacing w:line="220" w:lineRule="exact"/>
              <w:contextualSpacing/>
              <w:rPr>
                <w:b/>
                <w:color w:val="auto"/>
                <w:sz w:val="20"/>
                <w:szCs w:val="20"/>
              </w:rPr>
            </w:pPr>
            <w:r>
              <w:rPr>
                <w:b/>
                <w:color w:val="auto"/>
                <w:sz w:val="20"/>
                <w:szCs w:val="20"/>
              </w:rPr>
              <w:t>Combined: 3</w:t>
            </w:r>
            <w:r w:rsidRPr="00225B2D">
              <w:rPr>
                <w:b/>
                <w:color w:val="auto"/>
                <w:sz w:val="20"/>
                <w:szCs w:val="2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AD2379" w:rsidRPr="00726F84" w:rsidRDefault="00AD2379" w:rsidP="00726F84">
      <w:pPr>
        <w:jc w:val="both"/>
        <w:rPr>
          <w:color w:val="000000"/>
        </w:rPr>
      </w:pPr>
      <w:r w:rsidRPr="001F29F9">
        <w:rPr>
          <w:color w:val="000000"/>
          <w:u w:val="single"/>
        </w:rPr>
        <w:t>ANALYSIS SUMMARY</w:t>
      </w:r>
      <w:r w:rsidRPr="001F29F9">
        <w:rPr>
          <w:color w:val="000000"/>
        </w:rPr>
        <w:t>:</w:t>
      </w:r>
      <w:r>
        <w:rPr>
          <w:color w:val="000000"/>
        </w:rPr>
        <w:t xml:space="preserve"> </w:t>
      </w:r>
      <w:r w:rsidR="008B1121">
        <w:rPr>
          <w:color w:val="000000"/>
        </w:rPr>
        <w:t xml:space="preserve"> </w:t>
      </w:r>
      <w:r w:rsidR="008B1121" w:rsidRPr="006313F1">
        <w:rPr>
          <w:color w:val="000000" w:themeColor="text1"/>
          <w:szCs w:val="24"/>
        </w:rPr>
        <w:t xml:space="preserve">The Board </w:t>
      </w:r>
      <w:r w:rsidR="00852CC7">
        <w:rPr>
          <w:color w:val="000000" w:themeColor="text1"/>
          <w:szCs w:val="24"/>
        </w:rPr>
        <w:t>wishes to clarify</w:t>
      </w:r>
      <w:r w:rsidR="008B1121" w:rsidRPr="006313F1">
        <w:rPr>
          <w:color w:val="000000" w:themeColor="text1"/>
          <w:szCs w:val="24"/>
        </w:rPr>
        <w:t xml:space="preserve"> that there is a significant interval </w:t>
      </w:r>
      <w:r w:rsidR="008B1121">
        <w:rPr>
          <w:color w:val="000000" w:themeColor="text1"/>
          <w:szCs w:val="24"/>
        </w:rPr>
        <w:t>(14 months</w:t>
      </w:r>
      <w:r w:rsidR="008B1121" w:rsidRPr="006313F1">
        <w:rPr>
          <w:color w:val="000000" w:themeColor="text1"/>
          <w:szCs w:val="24"/>
        </w:rPr>
        <w:t>) betwe</w:t>
      </w:r>
      <w:r w:rsidR="008B1121">
        <w:rPr>
          <w:color w:val="000000" w:themeColor="text1"/>
          <w:szCs w:val="24"/>
        </w:rPr>
        <w:t xml:space="preserve">en the </w:t>
      </w:r>
      <w:r w:rsidR="00852050">
        <w:rPr>
          <w:color w:val="000000" w:themeColor="text1"/>
          <w:szCs w:val="24"/>
        </w:rPr>
        <w:t>Department of Veterans’ Affairs (D</w:t>
      </w:r>
      <w:r w:rsidR="008B1121">
        <w:rPr>
          <w:color w:val="000000" w:themeColor="text1"/>
          <w:szCs w:val="24"/>
        </w:rPr>
        <w:t>VA</w:t>
      </w:r>
      <w:r w:rsidR="00852050">
        <w:rPr>
          <w:color w:val="000000" w:themeColor="text1"/>
          <w:szCs w:val="24"/>
        </w:rPr>
        <w:t>)</w:t>
      </w:r>
      <w:r w:rsidR="008B1121">
        <w:rPr>
          <w:color w:val="000000" w:themeColor="text1"/>
          <w:szCs w:val="24"/>
        </w:rPr>
        <w:t xml:space="preserve"> evidence and ratings proximate to placement on TDRL</w:t>
      </w:r>
      <w:r w:rsidR="008B1121" w:rsidRPr="006313F1">
        <w:rPr>
          <w:color w:val="000000" w:themeColor="text1"/>
          <w:szCs w:val="24"/>
        </w:rPr>
        <w:t xml:space="preserve"> and the date of permanent separation; and, the Board’s permanent rating recommendation is based on the disability in evidence at final separatio</w:t>
      </w:r>
      <w:r w:rsidR="00852050">
        <w:rPr>
          <w:color w:val="000000" w:themeColor="text1"/>
          <w:szCs w:val="24"/>
        </w:rPr>
        <w:t>n.  DoDI 6040.44 specifies a 12-</w:t>
      </w:r>
      <w:r w:rsidR="008B1121" w:rsidRPr="006313F1">
        <w:rPr>
          <w:color w:val="000000" w:themeColor="text1"/>
          <w:szCs w:val="24"/>
        </w:rPr>
        <w:t xml:space="preserve">month interval for special consideration to </w:t>
      </w:r>
      <w:r w:rsidR="00852050">
        <w:rPr>
          <w:color w:val="000000" w:themeColor="text1"/>
          <w:szCs w:val="24"/>
        </w:rPr>
        <w:t>D</w:t>
      </w:r>
      <w:r w:rsidR="008B1121" w:rsidRPr="006313F1">
        <w:rPr>
          <w:color w:val="000000" w:themeColor="text1"/>
          <w:szCs w:val="24"/>
        </w:rPr>
        <w:t xml:space="preserve">VA findings, and thus little probative value can be assigned to the clinical evidence rated by the </w:t>
      </w:r>
      <w:r w:rsidR="00852050">
        <w:rPr>
          <w:color w:val="000000" w:themeColor="text1"/>
          <w:szCs w:val="24"/>
        </w:rPr>
        <w:t>D</w:t>
      </w:r>
      <w:r w:rsidR="008B1121" w:rsidRPr="006313F1">
        <w:rPr>
          <w:color w:val="000000" w:themeColor="text1"/>
          <w:szCs w:val="24"/>
        </w:rPr>
        <w:t xml:space="preserve">VA with regards to the Board’s permanent recommendation.  Since there was no </w:t>
      </w:r>
      <w:r w:rsidR="00852050">
        <w:rPr>
          <w:color w:val="000000" w:themeColor="text1"/>
          <w:szCs w:val="24"/>
        </w:rPr>
        <w:t>s</w:t>
      </w:r>
      <w:r w:rsidR="008B1121" w:rsidRPr="006313F1">
        <w:rPr>
          <w:color w:val="000000" w:themeColor="text1"/>
          <w:szCs w:val="24"/>
        </w:rPr>
        <w:t xml:space="preserve">ervice or </w:t>
      </w:r>
      <w:r w:rsidR="00852050">
        <w:rPr>
          <w:color w:val="000000" w:themeColor="text1"/>
          <w:szCs w:val="24"/>
        </w:rPr>
        <w:t>D</w:t>
      </w:r>
      <w:r w:rsidR="008B1121" w:rsidRPr="006313F1">
        <w:rPr>
          <w:color w:val="000000" w:themeColor="text1"/>
          <w:szCs w:val="24"/>
        </w:rPr>
        <w:t>VA outpatient evidence reasonably proximate to the date of permanent separation, the Board must rely heavily on the TDRL revaluation o</w:t>
      </w:r>
      <w:r w:rsidR="00852050">
        <w:rPr>
          <w:color w:val="000000" w:themeColor="text1"/>
          <w:szCs w:val="24"/>
        </w:rPr>
        <w:t xml:space="preserve">n 9 March </w:t>
      </w:r>
      <w:r w:rsidR="008B1121">
        <w:rPr>
          <w:color w:val="000000" w:themeColor="text1"/>
          <w:szCs w:val="24"/>
        </w:rPr>
        <w:t>2006</w:t>
      </w:r>
      <w:r w:rsidR="00852050">
        <w:rPr>
          <w:color w:val="000000" w:themeColor="text1"/>
          <w:szCs w:val="24"/>
        </w:rPr>
        <w:t xml:space="preserve">, </w:t>
      </w:r>
      <w:r w:rsidR="00A101EB">
        <w:rPr>
          <w:color w:val="000000" w:themeColor="text1"/>
          <w:szCs w:val="24"/>
        </w:rPr>
        <w:t>4</w:t>
      </w:r>
      <w:r w:rsidR="008B1121" w:rsidRPr="006313F1">
        <w:rPr>
          <w:color w:val="000000" w:themeColor="text1"/>
          <w:szCs w:val="24"/>
        </w:rPr>
        <w:t xml:space="preserve"> months prior to final separation</w:t>
      </w:r>
      <w:r w:rsidR="00852050">
        <w:rPr>
          <w:color w:val="000000" w:themeColor="text1"/>
          <w:szCs w:val="24"/>
        </w:rPr>
        <w:t>,</w:t>
      </w:r>
      <w:r w:rsidR="008B1121" w:rsidRPr="006313F1">
        <w:rPr>
          <w:color w:val="000000" w:themeColor="text1"/>
          <w:szCs w:val="24"/>
        </w:rPr>
        <w:t xml:space="preserve"> to assess the severity of symptoms </w:t>
      </w:r>
      <w:r w:rsidR="008B1121">
        <w:rPr>
          <w:color w:val="000000" w:themeColor="text1"/>
          <w:szCs w:val="24"/>
        </w:rPr>
        <w:t>probative</w:t>
      </w:r>
      <w:r w:rsidR="008B1121" w:rsidRPr="006313F1">
        <w:rPr>
          <w:color w:val="000000" w:themeColor="text1"/>
          <w:szCs w:val="24"/>
        </w:rPr>
        <w:t xml:space="preserve"> to its permanent rating recommendation.</w:t>
      </w:r>
    </w:p>
    <w:p w:rsidR="00AD2379" w:rsidRPr="001F29F9" w:rsidRDefault="00AD2379" w:rsidP="00B22D42">
      <w:pPr>
        <w:jc w:val="both"/>
        <w:rPr>
          <w:color w:val="000000"/>
          <w:highlight w:val="yellow"/>
        </w:rPr>
      </w:pPr>
    </w:p>
    <w:p w:rsidR="000C7468" w:rsidRDefault="00A101EB" w:rsidP="00B22D42">
      <w:pPr>
        <w:jc w:val="both"/>
        <w:rPr>
          <w:color w:val="000000"/>
        </w:rPr>
      </w:pPr>
      <w:r>
        <w:rPr>
          <w:color w:val="000000"/>
          <w:u w:val="single"/>
        </w:rPr>
        <w:t>Asthma</w:t>
      </w:r>
      <w:r w:rsidR="00AD2379" w:rsidRPr="009A7578">
        <w:rPr>
          <w:color w:val="000000"/>
          <w:u w:val="single"/>
        </w:rPr>
        <w:t xml:space="preserve"> Condition</w:t>
      </w:r>
      <w:r w:rsidR="00AD2379" w:rsidRPr="009A7578">
        <w:rPr>
          <w:color w:val="000000"/>
        </w:rPr>
        <w:t xml:space="preserve">. </w:t>
      </w:r>
      <w:r w:rsidR="00385708">
        <w:rPr>
          <w:color w:val="000000"/>
        </w:rPr>
        <w:t xml:space="preserve"> </w:t>
      </w:r>
      <w:r w:rsidR="000C7468">
        <w:rPr>
          <w:color w:val="000000"/>
        </w:rPr>
        <w:t xml:space="preserve">The CI began developing exertional shortness of breath in 2002, and in 2003 began requiring rescue treatment for wheezing.  </w:t>
      </w:r>
      <w:r w:rsidR="00A93CF5">
        <w:rPr>
          <w:color w:val="000000"/>
        </w:rPr>
        <w:t xml:space="preserve">He was formally diagnosed with asthma </w:t>
      </w:r>
      <w:r w:rsidR="00852CC7">
        <w:rPr>
          <w:color w:val="000000"/>
        </w:rPr>
        <w:t xml:space="preserve">at that time, </w:t>
      </w:r>
      <w:r w:rsidR="00A93CF5">
        <w:rPr>
          <w:color w:val="000000"/>
        </w:rPr>
        <w:t xml:space="preserve">and </w:t>
      </w:r>
      <w:r w:rsidR="00852CC7">
        <w:rPr>
          <w:color w:val="000000"/>
        </w:rPr>
        <w:t xml:space="preserve">was </w:t>
      </w:r>
      <w:r w:rsidR="00A93CF5">
        <w:rPr>
          <w:color w:val="000000"/>
        </w:rPr>
        <w:t>placed on daily maintenance medications (</w:t>
      </w:r>
      <w:r w:rsidR="00852050">
        <w:rPr>
          <w:color w:val="000000"/>
        </w:rPr>
        <w:t>A</w:t>
      </w:r>
      <w:r w:rsidR="00A93CF5">
        <w:rPr>
          <w:color w:val="000000"/>
        </w:rPr>
        <w:t xml:space="preserve">lbuterol </w:t>
      </w:r>
      <w:r w:rsidR="00852050">
        <w:rPr>
          <w:color w:val="000000"/>
        </w:rPr>
        <w:t>inhaler, Flonase, and Advair</w:t>
      </w:r>
      <w:r w:rsidR="00852CC7">
        <w:rPr>
          <w:color w:val="000000"/>
        </w:rPr>
        <w:t>);</w:t>
      </w:r>
      <w:r w:rsidR="00A93CF5">
        <w:rPr>
          <w:color w:val="000000"/>
        </w:rPr>
        <w:t xml:space="preserve"> but</w:t>
      </w:r>
      <w:r w:rsidR="00852CC7">
        <w:rPr>
          <w:color w:val="000000"/>
        </w:rPr>
        <w:t>,</w:t>
      </w:r>
      <w:r w:rsidR="00A93CF5">
        <w:rPr>
          <w:color w:val="000000"/>
        </w:rPr>
        <w:t xml:space="preserve"> </w:t>
      </w:r>
      <w:r w:rsidR="00852CC7">
        <w:rPr>
          <w:color w:val="000000"/>
        </w:rPr>
        <w:t>his</w:t>
      </w:r>
      <w:r w:rsidR="00A93CF5">
        <w:rPr>
          <w:color w:val="000000"/>
        </w:rPr>
        <w:t xml:space="preserve"> pulmonologist </w:t>
      </w:r>
      <w:r w:rsidR="00852CC7">
        <w:rPr>
          <w:color w:val="000000"/>
        </w:rPr>
        <w:t xml:space="preserve">eventually </w:t>
      </w:r>
      <w:r w:rsidR="00A93CF5">
        <w:rPr>
          <w:color w:val="000000"/>
        </w:rPr>
        <w:t xml:space="preserve">recommended a MEB since he continued to suffer breakthrough attacks.  His pulmonary function test (PFT) results at that time were </w:t>
      </w:r>
      <w:r w:rsidR="00FA36A4">
        <w:rPr>
          <w:color w:val="000000"/>
        </w:rPr>
        <w:t xml:space="preserve">quite good, a </w:t>
      </w:r>
      <w:r w:rsidR="00A93CF5">
        <w:rPr>
          <w:color w:val="000000"/>
        </w:rPr>
        <w:t>post-treatment FEV1 of 115% predicted and an FEV1/FVC ratio of 113%</w:t>
      </w:r>
      <w:r w:rsidR="00FA36A4">
        <w:rPr>
          <w:color w:val="000000"/>
        </w:rPr>
        <w:t xml:space="preserve">. </w:t>
      </w:r>
      <w:r w:rsidR="008F5FEE">
        <w:rPr>
          <w:color w:val="000000"/>
        </w:rPr>
        <w:t xml:space="preserve"> </w:t>
      </w:r>
      <w:r w:rsidR="00852050">
        <w:rPr>
          <w:color w:val="000000"/>
        </w:rPr>
        <w:t xml:space="preserve">The </w:t>
      </w:r>
      <w:r w:rsidR="00FA36A4">
        <w:rPr>
          <w:color w:val="000000"/>
        </w:rPr>
        <w:t xml:space="preserve">PEB’s DA Form 199 initiating the TDRL cited “normal spirometry” and “daily inhalational therapy” in support of the 30% rating.  </w:t>
      </w:r>
      <w:r w:rsidR="004F73AD">
        <w:rPr>
          <w:color w:val="000000"/>
        </w:rPr>
        <w:t xml:space="preserve">The only treatment note for the period of TDRL was an interim </w:t>
      </w:r>
      <w:r w:rsidR="00852050">
        <w:rPr>
          <w:color w:val="000000"/>
        </w:rPr>
        <w:t>s</w:t>
      </w:r>
      <w:r w:rsidR="004F73AD">
        <w:rPr>
          <w:color w:val="000000"/>
        </w:rPr>
        <w:t xml:space="preserve">ervice evaluation in November 2004 following a repeat PFT, which documented an improving course and noted compliance (by history) with continued daily medications.  </w:t>
      </w:r>
      <w:r w:rsidR="00BF5641">
        <w:rPr>
          <w:color w:val="000000"/>
        </w:rPr>
        <w:t xml:space="preserve">At the time of the final TDRL </w:t>
      </w:r>
      <w:r w:rsidR="00DD36B7">
        <w:rPr>
          <w:color w:val="000000"/>
        </w:rPr>
        <w:t>re-</w:t>
      </w:r>
      <w:r w:rsidR="00BF5641">
        <w:rPr>
          <w:color w:val="000000"/>
        </w:rPr>
        <w:t>evaluation, the examiner noted a stable course and stated “if he does exert himself strenuously his dyspnea will occur</w:t>
      </w:r>
      <w:r w:rsidR="00852050">
        <w:rPr>
          <w:color w:val="000000"/>
        </w:rPr>
        <w:t>.</w:t>
      </w:r>
      <w:r w:rsidR="00BF5641">
        <w:rPr>
          <w:color w:val="000000"/>
        </w:rPr>
        <w:t>”</w:t>
      </w:r>
      <w:r w:rsidR="00DD36B7">
        <w:rPr>
          <w:color w:val="000000"/>
        </w:rPr>
        <w:t xml:space="preserve">  The examination contained several entries citing use of daily medications </w:t>
      </w:r>
      <w:r w:rsidR="0061474A">
        <w:rPr>
          <w:color w:val="000000"/>
        </w:rPr>
        <w:t>(</w:t>
      </w:r>
      <w:r w:rsidR="00852CC7">
        <w:rPr>
          <w:color w:val="000000"/>
        </w:rPr>
        <w:t>identical to</w:t>
      </w:r>
      <w:r w:rsidR="0061474A">
        <w:rPr>
          <w:color w:val="000000"/>
        </w:rPr>
        <w:t xml:space="preserve"> </w:t>
      </w:r>
      <w:r w:rsidR="00852CC7">
        <w:rPr>
          <w:color w:val="000000"/>
        </w:rPr>
        <w:t xml:space="preserve">the </w:t>
      </w:r>
      <w:r w:rsidR="0061474A">
        <w:rPr>
          <w:color w:val="000000"/>
        </w:rPr>
        <w:t xml:space="preserve">MEB </w:t>
      </w:r>
      <w:r w:rsidR="00852CC7">
        <w:rPr>
          <w:color w:val="000000"/>
        </w:rPr>
        <w:t>regimen</w:t>
      </w:r>
      <w:r w:rsidR="0061474A">
        <w:rPr>
          <w:color w:val="000000"/>
        </w:rPr>
        <w:t xml:space="preserve">) </w:t>
      </w:r>
      <w:r w:rsidR="00DD36B7">
        <w:rPr>
          <w:color w:val="000000"/>
        </w:rPr>
        <w:t xml:space="preserve">and compliance with same, although </w:t>
      </w:r>
      <w:r w:rsidR="00034124">
        <w:rPr>
          <w:color w:val="000000"/>
        </w:rPr>
        <w:t xml:space="preserve">there was </w:t>
      </w:r>
      <w:r w:rsidR="00DD36B7">
        <w:rPr>
          <w:color w:val="000000"/>
        </w:rPr>
        <w:t xml:space="preserve">no verification of record review.  </w:t>
      </w:r>
      <w:r w:rsidR="00034124">
        <w:rPr>
          <w:color w:val="000000"/>
        </w:rPr>
        <w:t xml:space="preserve">The PFT results at this time were an FEV1 of 97% and FEV1/FVC ratio of 110%.  </w:t>
      </w:r>
      <w:r w:rsidR="00DD36B7">
        <w:rPr>
          <w:color w:val="000000"/>
        </w:rPr>
        <w:t xml:space="preserve">Of note, the examiner recommended continuance on TDRL (without citing rationale).  </w:t>
      </w:r>
      <w:r w:rsidR="004F73AD">
        <w:rPr>
          <w:color w:val="000000"/>
        </w:rPr>
        <w:t xml:space="preserve">There was no requirement for hospital admission or </w:t>
      </w:r>
      <w:r w:rsidR="00BF5641">
        <w:rPr>
          <w:color w:val="000000"/>
        </w:rPr>
        <w:t xml:space="preserve">intermittent </w:t>
      </w:r>
      <w:r w:rsidR="004F73AD">
        <w:rPr>
          <w:color w:val="000000"/>
        </w:rPr>
        <w:t xml:space="preserve">courses of systemic steroids in evidence throughout the </w:t>
      </w:r>
      <w:r w:rsidR="0061474A">
        <w:rPr>
          <w:color w:val="000000"/>
        </w:rPr>
        <w:t xml:space="preserve">MEB and TDRL </w:t>
      </w:r>
      <w:r w:rsidR="004F73AD">
        <w:rPr>
          <w:color w:val="000000"/>
        </w:rPr>
        <w:t>course</w:t>
      </w:r>
      <w:r w:rsidR="0061474A">
        <w:rPr>
          <w:color w:val="000000"/>
        </w:rPr>
        <w:t>s</w:t>
      </w:r>
      <w:r w:rsidR="008F5FEE">
        <w:rPr>
          <w:color w:val="000000"/>
        </w:rPr>
        <w:t>.</w:t>
      </w:r>
      <w:r w:rsidR="00BF5641">
        <w:rPr>
          <w:color w:val="000000"/>
        </w:rPr>
        <w:t xml:space="preserve"> </w:t>
      </w:r>
    </w:p>
    <w:p w:rsidR="004F73AD" w:rsidRDefault="004F73AD" w:rsidP="00B22D42">
      <w:pPr>
        <w:jc w:val="both"/>
        <w:rPr>
          <w:color w:val="000000"/>
        </w:rPr>
      </w:pPr>
    </w:p>
    <w:p w:rsidR="00DD36B7" w:rsidRDefault="00DD36B7" w:rsidP="00DD36B7">
      <w:pPr>
        <w:jc w:val="both"/>
        <w:rPr>
          <w:rFonts w:eastAsia="Calibri" w:cs="Times New Roman"/>
          <w:color w:val="auto"/>
          <w:szCs w:val="24"/>
        </w:rPr>
      </w:pPr>
      <w:r>
        <w:rPr>
          <w:color w:val="000000"/>
        </w:rPr>
        <w:t xml:space="preserve">As elaborated below, the Board must make a critical judgment as to the requirement for daily medication at the time of final separation; and, </w:t>
      </w:r>
      <w:r w:rsidR="00034124">
        <w:rPr>
          <w:color w:val="000000"/>
        </w:rPr>
        <w:t xml:space="preserve">the evidence relevant to that issue </w:t>
      </w:r>
      <w:r>
        <w:rPr>
          <w:color w:val="000000"/>
        </w:rPr>
        <w:t xml:space="preserve">follows.   </w:t>
      </w:r>
      <w:r>
        <w:rPr>
          <w:rFonts w:eastAsia="Calibri" w:cs="Times New Roman"/>
          <w:color w:val="auto"/>
          <w:szCs w:val="24"/>
        </w:rPr>
        <w:t xml:space="preserve">The last dispensing on the </w:t>
      </w:r>
      <w:r w:rsidR="00852050">
        <w:rPr>
          <w:rFonts w:eastAsia="Calibri" w:cs="Times New Roman"/>
          <w:color w:val="auto"/>
          <w:szCs w:val="24"/>
        </w:rPr>
        <w:t>s</w:t>
      </w:r>
      <w:r>
        <w:rPr>
          <w:rFonts w:eastAsia="Calibri" w:cs="Times New Roman"/>
          <w:color w:val="auto"/>
          <w:szCs w:val="24"/>
        </w:rPr>
        <w:t xml:space="preserve">ervice medication profile was June 2004, and that record also documented consistent refills </w:t>
      </w:r>
      <w:r w:rsidR="008F5FEE">
        <w:rPr>
          <w:rFonts w:eastAsia="Calibri" w:cs="Times New Roman"/>
          <w:color w:val="auto"/>
          <w:szCs w:val="24"/>
        </w:rPr>
        <w:t>throughout the 2002 – 2003 time span</w:t>
      </w:r>
      <w:r>
        <w:rPr>
          <w:rFonts w:eastAsia="Calibri" w:cs="Times New Roman"/>
          <w:color w:val="auto"/>
          <w:szCs w:val="24"/>
        </w:rPr>
        <w:t xml:space="preserve">. </w:t>
      </w:r>
      <w:r w:rsidR="008F5FEE">
        <w:rPr>
          <w:rFonts w:eastAsia="Calibri" w:cs="Times New Roman"/>
          <w:color w:val="auto"/>
          <w:szCs w:val="24"/>
        </w:rPr>
        <w:t xml:space="preserve"> </w:t>
      </w:r>
      <w:r w:rsidR="00852050">
        <w:rPr>
          <w:rFonts w:eastAsia="Calibri" w:cs="Times New Roman"/>
          <w:color w:val="auto"/>
          <w:szCs w:val="24"/>
        </w:rPr>
        <w:t xml:space="preserve">The </w:t>
      </w:r>
      <w:r>
        <w:rPr>
          <w:rFonts w:eastAsia="Calibri" w:cs="Times New Roman"/>
          <w:color w:val="auto"/>
          <w:szCs w:val="24"/>
        </w:rPr>
        <w:t xml:space="preserve">PEB made a written request for the CI to supply documentation of his TDRL medication profile; which was not forthcoming, and which was the rationale cited on DA Form 199 for premising the 10% rating </w:t>
      </w:r>
      <w:r w:rsidRPr="00DD36B7">
        <w:rPr>
          <w:rFonts w:eastAsia="Calibri" w:cs="Times New Roman"/>
          <w:color w:val="auto"/>
          <w:szCs w:val="24"/>
        </w:rPr>
        <w:t>solely on PFT results</w:t>
      </w:r>
      <w:r>
        <w:rPr>
          <w:rFonts w:eastAsia="Calibri" w:cs="Times New Roman"/>
          <w:color w:val="auto"/>
          <w:szCs w:val="24"/>
        </w:rPr>
        <w:t xml:space="preserve">.  The CI rebutted this finding </w:t>
      </w:r>
      <w:r w:rsidR="00153F6C">
        <w:rPr>
          <w:rFonts w:eastAsia="Calibri" w:cs="Times New Roman"/>
          <w:color w:val="auto"/>
          <w:szCs w:val="24"/>
        </w:rPr>
        <w:t>by providing</w:t>
      </w:r>
      <w:r>
        <w:rPr>
          <w:rFonts w:eastAsia="Calibri" w:cs="Times New Roman"/>
          <w:color w:val="auto"/>
          <w:szCs w:val="24"/>
        </w:rPr>
        <w:t xml:space="preserve"> a profile from his civilian pharmacy, which documented dispensing of 30 day quantities in September 2005 and January 2006.  To this profile, the CI added a handwritten note stating, “I also have an emergency 6 month backup of meds on-hand.”  The CI additionally supplied a statement from his civilian provider that he was prescribed the relevant medications (listing 30 day quantities and number of refills), and </w:t>
      </w:r>
      <w:r w:rsidR="00852CC7">
        <w:rPr>
          <w:rFonts w:eastAsia="Calibri" w:cs="Times New Roman"/>
          <w:color w:val="auto"/>
          <w:szCs w:val="24"/>
        </w:rPr>
        <w:t xml:space="preserve">which </w:t>
      </w:r>
      <w:r>
        <w:rPr>
          <w:rFonts w:eastAsia="Calibri" w:cs="Times New Roman"/>
          <w:color w:val="auto"/>
          <w:szCs w:val="24"/>
        </w:rPr>
        <w:t xml:space="preserve">noted that they were last renewed in January 2006.  Also submitted was a separate prescription pad note from the same physician stating that he </w:t>
      </w:r>
      <w:r w:rsidR="00DA67B6">
        <w:rPr>
          <w:rFonts w:eastAsia="Calibri" w:cs="Times New Roman"/>
          <w:color w:val="auto"/>
          <w:szCs w:val="24"/>
        </w:rPr>
        <w:t xml:space="preserve">had </w:t>
      </w:r>
      <w:r>
        <w:rPr>
          <w:rFonts w:eastAsia="Calibri" w:cs="Times New Roman"/>
          <w:color w:val="auto"/>
          <w:szCs w:val="24"/>
        </w:rPr>
        <w:t>provided medication samples</w:t>
      </w:r>
      <w:r w:rsidR="00DA67B6">
        <w:rPr>
          <w:rFonts w:eastAsia="Calibri" w:cs="Times New Roman"/>
          <w:color w:val="auto"/>
          <w:szCs w:val="24"/>
        </w:rPr>
        <w:t xml:space="preserve"> (without elaboration)</w:t>
      </w:r>
      <w:r w:rsidR="00852050">
        <w:rPr>
          <w:rFonts w:eastAsia="Calibri" w:cs="Times New Roman"/>
          <w:color w:val="auto"/>
          <w:szCs w:val="24"/>
        </w:rPr>
        <w:t xml:space="preserve">.  The </w:t>
      </w:r>
      <w:r>
        <w:rPr>
          <w:rFonts w:eastAsia="Calibri" w:cs="Times New Roman"/>
          <w:color w:val="auto"/>
          <w:szCs w:val="24"/>
        </w:rPr>
        <w:t xml:space="preserve">PEB’s </w:t>
      </w:r>
      <w:r w:rsidR="00153F6C">
        <w:rPr>
          <w:rFonts w:eastAsia="Calibri" w:cs="Times New Roman"/>
          <w:color w:val="auto"/>
          <w:szCs w:val="24"/>
        </w:rPr>
        <w:t xml:space="preserve">response to the CI’s </w:t>
      </w:r>
      <w:r>
        <w:rPr>
          <w:rFonts w:eastAsia="Calibri" w:cs="Times New Roman"/>
          <w:color w:val="auto"/>
          <w:szCs w:val="24"/>
        </w:rPr>
        <w:t>rebuttal stated, “</w:t>
      </w:r>
      <w:r w:rsidR="00852050">
        <w:rPr>
          <w:rFonts w:eastAsia="Calibri" w:cs="Times New Roman"/>
          <w:color w:val="auto"/>
          <w:szCs w:val="24"/>
        </w:rPr>
        <w:t>y</w:t>
      </w:r>
      <w:r>
        <w:rPr>
          <w:rFonts w:eastAsia="Calibri" w:cs="Times New Roman"/>
          <w:color w:val="auto"/>
          <w:szCs w:val="24"/>
        </w:rPr>
        <w:t xml:space="preserve">ou have not provided sufficient evidence that you require daily medications.”  </w:t>
      </w:r>
      <w:r w:rsidR="00DA67B6">
        <w:rPr>
          <w:rFonts w:eastAsia="Calibri" w:cs="Times New Roman"/>
          <w:color w:val="auto"/>
          <w:szCs w:val="24"/>
        </w:rPr>
        <w:t>This conclusion was sustained by the FPEB and USAPDA review.</w:t>
      </w:r>
    </w:p>
    <w:p w:rsidR="00DA67B6" w:rsidRDefault="00DA67B6" w:rsidP="00DD36B7">
      <w:pPr>
        <w:jc w:val="both"/>
        <w:rPr>
          <w:rFonts w:eastAsia="Calibri" w:cs="Times New Roman"/>
          <w:color w:val="auto"/>
          <w:szCs w:val="24"/>
        </w:rPr>
      </w:pPr>
    </w:p>
    <w:p w:rsidR="0061474A" w:rsidRPr="00BC4336" w:rsidRDefault="0061474A" w:rsidP="0061474A">
      <w:pPr>
        <w:jc w:val="both"/>
        <w:rPr>
          <w:rFonts w:cs="Times New Roman"/>
          <w:color w:val="auto"/>
        </w:rPr>
      </w:pPr>
      <w:r w:rsidRPr="009A7578">
        <w:rPr>
          <w:rFonts w:cs="Times New Roman"/>
          <w:color w:val="auto"/>
        </w:rPr>
        <w:lastRenderedPageBreak/>
        <w:t>The Board directs attenti</w:t>
      </w:r>
      <w:r>
        <w:rPr>
          <w:rFonts w:cs="Times New Roman"/>
          <w:color w:val="auto"/>
        </w:rPr>
        <w:t>on to its rating recommendations</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The TDRL rating was compliant with the VASRD §4.100 30% criteria under 6602 (bronchial asthma) of “</w:t>
      </w:r>
      <w:r w:rsidRPr="00823BA3">
        <w:rPr>
          <w:rFonts w:cs="Times New Roman"/>
          <w:color w:val="auto"/>
        </w:rPr>
        <w:t>daily inhalational or oral bronchodilator therapy, or; inhalational anti-inflammatory medication</w:t>
      </w:r>
      <w:r w:rsidR="00852050">
        <w:rPr>
          <w:rFonts w:cs="Times New Roman"/>
          <w:color w:val="auto"/>
        </w:rPr>
        <w:t>.</w:t>
      </w:r>
      <w:r>
        <w:rPr>
          <w:rFonts w:cs="Times New Roman"/>
          <w:color w:val="auto"/>
        </w:rPr>
        <w:t>”  The PFT results, both at TDRL entry and at permanent separation, meet only 10% criteria; i.e., “</w:t>
      </w:r>
      <w:r w:rsidRPr="0061474A">
        <w:rPr>
          <w:rFonts w:eastAsia="Calibri" w:cs="Times New Roman"/>
          <w:color w:val="auto"/>
          <w:szCs w:val="24"/>
        </w:rPr>
        <w:t>FEV-1 of 71- to 80-percent predicted, or; FEV-1/FVC of 71 to 80 percent, or; intermittent inhalational or oral bronchodilator therapy</w:t>
      </w:r>
      <w:r w:rsidR="00852050">
        <w:rPr>
          <w:rFonts w:eastAsia="Calibri" w:cs="Times New Roman"/>
          <w:color w:val="auto"/>
          <w:szCs w:val="24"/>
        </w:rPr>
        <w:t>.</w:t>
      </w:r>
      <w:r>
        <w:rPr>
          <w:rFonts w:cs="Times New Roman"/>
          <w:color w:val="auto"/>
        </w:rPr>
        <w:t xml:space="preserve">”  Members deliberated whether to concede the daily medication criteria at separation in support of a permanent 30% rating recommendation.  It was noted, however, that significant intervals of treatment were unaccounted for </w:t>
      </w:r>
      <w:r w:rsidR="000004B1">
        <w:rPr>
          <w:rFonts w:cs="Times New Roman"/>
          <w:color w:val="auto"/>
        </w:rPr>
        <w:t xml:space="preserve">by hard evidence: </w:t>
      </w:r>
      <w:r w:rsidR="00BC4336">
        <w:rPr>
          <w:rFonts w:cs="Times New Roman"/>
          <w:color w:val="auto"/>
        </w:rPr>
        <w:t xml:space="preserve">The 12 months from </w:t>
      </w:r>
      <w:r w:rsidR="000004B1">
        <w:rPr>
          <w:rFonts w:cs="Times New Roman"/>
          <w:color w:val="auto"/>
        </w:rPr>
        <w:t>September 2004 (</w:t>
      </w:r>
      <w:r w:rsidR="00BC4336">
        <w:rPr>
          <w:rFonts w:cs="Times New Roman"/>
          <w:color w:val="auto"/>
        </w:rPr>
        <w:t>exhaustion of last 90 day</w:t>
      </w:r>
      <w:r w:rsidR="000004B1">
        <w:rPr>
          <w:rFonts w:cs="Times New Roman"/>
          <w:color w:val="auto"/>
        </w:rPr>
        <w:t xml:space="preserve"> </w:t>
      </w:r>
      <w:r w:rsidR="00852050">
        <w:rPr>
          <w:rFonts w:cs="Times New Roman"/>
          <w:color w:val="auto"/>
        </w:rPr>
        <w:t>dispensing by the s</w:t>
      </w:r>
      <w:r w:rsidR="00BC4336">
        <w:rPr>
          <w:rFonts w:cs="Times New Roman"/>
          <w:color w:val="auto"/>
        </w:rPr>
        <w:t>ervice</w:t>
      </w:r>
      <w:r w:rsidR="000004B1">
        <w:rPr>
          <w:rFonts w:cs="Times New Roman"/>
          <w:color w:val="auto"/>
        </w:rPr>
        <w:t xml:space="preserve">) to September 2005 (first civilian refill); </w:t>
      </w:r>
      <w:r w:rsidR="00BC4336">
        <w:rPr>
          <w:rFonts w:cs="Times New Roman"/>
          <w:color w:val="auto"/>
        </w:rPr>
        <w:t xml:space="preserve">the 3 months from </w:t>
      </w:r>
      <w:r w:rsidR="000004B1">
        <w:rPr>
          <w:rFonts w:cs="Times New Roman"/>
          <w:color w:val="auto"/>
        </w:rPr>
        <w:t>October 2005 (</w:t>
      </w:r>
      <w:r w:rsidR="00BC4336">
        <w:rPr>
          <w:rFonts w:cs="Times New Roman"/>
          <w:color w:val="auto"/>
        </w:rPr>
        <w:t>exhaustion of September quantity</w:t>
      </w:r>
      <w:r w:rsidR="000004B1">
        <w:rPr>
          <w:rFonts w:cs="Times New Roman"/>
          <w:color w:val="auto"/>
        </w:rPr>
        <w:t xml:space="preserve">) to January 2006 (last </w:t>
      </w:r>
      <w:r w:rsidR="00BC4336">
        <w:rPr>
          <w:rFonts w:cs="Times New Roman"/>
          <w:color w:val="auto"/>
        </w:rPr>
        <w:t xml:space="preserve">civilian </w:t>
      </w:r>
      <w:r w:rsidR="000004B1">
        <w:rPr>
          <w:rFonts w:cs="Times New Roman"/>
          <w:color w:val="auto"/>
        </w:rPr>
        <w:t>refill); and</w:t>
      </w:r>
      <w:r w:rsidR="00BC4336">
        <w:rPr>
          <w:rFonts w:cs="Times New Roman"/>
          <w:color w:val="auto"/>
        </w:rPr>
        <w:t>, the significantly probative 5 months from</w:t>
      </w:r>
      <w:r w:rsidR="000004B1">
        <w:rPr>
          <w:rFonts w:cs="Times New Roman"/>
          <w:color w:val="auto"/>
        </w:rPr>
        <w:t xml:space="preserve"> February 2006 (</w:t>
      </w:r>
      <w:r w:rsidR="00BC4336">
        <w:rPr>
          <w:rFonts w:cs="Times New Roman"/>
          <w:color w:val="auto"/>
        </w:rPr>
        <w:t>exhaustion of January quantity</w:t>
      </w:r>
      <w:r w:rsidR="000004B1">
        <w:rPr>
          <w:rFonts w:cs="Times New Roman"/>
          <w:color w:val="auto"/>
        </w:rPr>
        <w:t xml:space="preserve">) to end-July 2006 (separation).  </w:t>
      </w:r>
      <w:r w:rsidR="00B63C9F">
        <w:rPr>
          <w:rFonts w:cs="Times New Roman"/>
          <w:color w:val="auto"/>
        </w:rPr>
        <w:t>A</w:t>
      </w:r>
      <w:r>
        <w:rPr>
          <w:rFonts w:cs="Times New Roman"/>
          <w:color w:val="auto"/>
        </w:rPr>
        <w:t xml:space="preserve">n assumption that the CI sustained daily treatment of his asthma </w:t>
      </w:r>
      <w:r w:rsidR="00B63C9F">
        <w:rPr>
          <w:rFonts w:cs="Times New Roman"/>
          <w:color w:val="auto"/>
        </w:rPr>
        <w:t>throughout those intervals</w:t>
      </w:r>
      <w:r w:rsidR="00BC4336">
        <w:rPr>
          <w:rFonts w:cs="Times New Roman"/>
          <w:color w:val="auto"/>
        </w:rPr>
        <w:t xml:space="preserve"> (a cumulative 20 months</w:t>
      </w:r>
      <w:r w:rsidR="00B63C9F">
        <w:rPr>
          <w:rFonts w:cs="Times New Roman"/>
          <w:color w:val="auto"/>
        </w:rPr>
        <w:t xml:space="preserve">) </w:t>
      </w:r>
      <w:r>
        <w:rPr>
          <w:rFonts w:cs="Times New Roman"/>
          <w:color w:val="auto"/>
        </w:rPr>
        <w:t xml:space="preserve">with </w:t>
      </w:r>
      <w:r w:rsidR="00B63C9F">
        <w:rPr>
          <w:rFonts w:cs="Times New Roman"/>
          <w:color w:val="auto"/>
        </w:rPr>
        <w:t>stockpiled</w:t>
      </w:r>
      <w:r>
        <w:rPr>
          <w:rFonts w:cs="Times New Roman"/>
          <w:color w:val="auto"/>
        </w:rPr>
        <w:t xml:space="preserve"> medications and physician office samples was not sufficiently tenable.  </w:t>
      </w:r>
      <w:r w:rsidRPr="00626902">
        <w:rPr>
          <w:rFonts w:eastAsia="Calibri" w:cs="Times New Roman"/>
          <w:color w:val="auto"/>
          <w:szCs w:val="24"/>
        </w:rPr>
        <w:t xml:space="preserve">After due deliberation, considering all of the evidence and mindful of VASRD §4.3 (reasonable doubt), the Board concluded that there was insufficient cause to recommend a </w:t>
      </w:r>
      <w:r w:rsidRPr="00674658">
        <w:rPr>
          <w:rFonts w:eastAsia="Calibri" w:cs="Times New Roman"/>
          <w:color w:val="auto"/>
          <w:szCs w:val="24"/>
        </w:rPr>
        <w:t>change in the PEB’s TDRL or permanent adjudications of the asthma condition.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F37CB4" w:rsidRPr="00BC4336" w:rsidRDefault="00AD2379" w:rsidP="00F37CB4">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 xml:space="preserve">IAW DoDI 6040.44, provisions of DoD or Military Department regulations or guidelines relied upon by the PEB will not be considered by the Board to the extent they were inconsistent with the VASRD in </w:t>
      </w:r>
      <w:r w:rsidRPr="00BC4336">
        <w:rPr>
          <w:color w:val="000000"/>
        </w:rPr>
        <w:t>effect at the time of the adjudication</w:t>
      </w:r>
      <w:r w:rsidRPr="00BC4336">
        <w:rPr>
          <w:rFonts w:cs="Times New Roman"/>
          <w:color w:val="auto"/>
        </w:rPr>
        <w:t xml:space="preserve">. </w:t>
      </w:r>
      <w:r w:rsidR="008734E7" w:rsidRPr="00BC4336">
        <w:rPr>
          <w:rFonts w:cs="Times New Roman"/>
          <w:color w:val="auto"/>
        </w:rPr>
        <w:t xml:space="preserve"> </w:t>
      </w:r>
      <w:r w:rsidRPr="00BC4336">
        <w:rPr>
          <w:rFonts w:cs="Times New Roman"/>
          <w:color w:val="auto"/>
        </w:rPr>
        <w:t>The Board did not surmise from the record or PEB ruling in this case that any prerogatives outside the VASRD were exercised.</w:t>
      </w:r>
      <w:r w:rsidR="008734E7" w:rsidRPr="00BC4336">
        <w:rPr>
          <w:rFonts w:cs="Times New Roman"/>
          <w:color w:val="auto"/>
        </w:rPr>
        <w:t xml:space="preserve"> </w:t>
      </w:r>
      <w:r w:rsidRPr="00BC4336">
        <w:rPr>
          <w:rFonts w:cs="Times New Roman"/>
          <w:color w:val="auto"/>
        </w:rPr>
        <w:t xml:space="preserve"> </w:t>
      </w:r>
      <w:r w:rsidR="00F37CB4" w:rsidRPr="00BC4336">
        <w:rPr>
          <w:rFonts w:cs="Times New Roman"/>
          <w:color w:val="auto"/>
        </w:rPr>
        <w:t>In the matter of the asthma condition and IAW VASRD §4.100, the Board unanimously recommends no change in the PEB adjudications for the period of temporary retirement or permanently.</w:t>
      </w:r>
      <w:r w:rsidR="00BC4336" w:rsidRPr="00BC4336">
        <w:rPr>
          <w:rFonts w:cs="Times New Roman"/>
          <w:color w:val="auto"/>
        </w:rPr>
        <w:t xml:space="preserve"> </w:t>
      </w:r>
      <w:r w:rsidR="00F37CB4" w:rsidRPr="00BC4336">
        <w:rPr>
          <w:rFonts w:cs="Times New Roman"/>
          <w:color w:val="auto"/>
        </w:rPr>
        <w:t xml:space="preserve"> </w:t>
      </w:r>
      <w:r w:rsidR="00F37CB4" w:rsidRPr="00BC4336">
        <w:rPr>
          <w:rFonts w:eastAsia="Calibri" w:cs="Times New Roman"/>
          <w:color w:val="auto"/>
          <w:szCs w:val="24"/>
        </w:rPr>
        <w:t>There were no other conditions within the Board’s scope of review for consideration.</w:t>
      </w:r>
    </w:p>
    <w:p w:rsidR="00AD2379" w:rsidRPr="00BC4336" w:rsidRDefault="00AD2379" w:rsidP="00BF0E94">
      <w:pPr>
        <w:pBdr>
          <w:bottom w:val="single" w:sz="12" w:space="1" w:color="auto"/>
        </w:pBdr>
        <w:tabs>
          <w:tab w:val="left" w:pos="288"/>
          <w:tab w:val="left" w:pos="4752"/>
        </w:tabs>
        <w:jc w:val="both"/>
        <w:rPr>
          <w:color w:val="000000"/>
        </w:rPr>
      </w:pPr>
    </w:p>
    <w:p w:rsidR="00AD2379" w:rsidRPr="00BC4336" w:rsidRDefault="00AD2379" w:rsidP="006364ED">
      <w:pPr>
        <w:jc w:val="left"/>
        <w:rPr>
          <w:color w:val="000000"/>
        </w:rPr>
      </w:pPr>
    </w:p>
    <w:p w:rsidR="00AD2379" w:rsidRPr="00BC4336" w:rsidRDefault="00AD2379" w:rsidP="00B22D42">
      <w:pPr>
        <w:jc w:val="left"/>
        <w:rPr>
          <w:color w:val="000000"/>
        </w:rPr>
      </w:pPr>
      <w:r w:rsidRPr="00BC4336">
        <w:rPr>
          <w:color w:val="000000"/>
          <w:u w:val="single"/>
        </w:rPr>
        <w:t>RECOMMENDATION</w:t>
      </w:r>
      <w:r w:rsidRPr="00BC4336">
        <w:rPr>
          <w:color w:val="000000"/>
        </w:rPr>
        <w:t>: The Board, therefore, recommends that there be no recharacterization of the CI’s disability and separation determination, as follows:</w:t>
      </w:r>
    </w:p>
    <w:p w:rsidR="00071071" w:rsidRPr="00BC4336" w:rsidRDefault="00071071" w:rsidP="00BF0E94">
      <w:pPr>
        <w:jc w:val="both"/>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0"/>
        <w:gridCol w:w="1530"/>
        <w:gridCol w:w="810"/>
        <w:gridCol w:w="1530"/>
      </w:tblGrid>
      <w:tr w:rsidR="00071071" w:rsidRPr="00BC4336" w:rsidTr="00D71317">
        <w:trPr>
          <w:trHeight w:val="206"/>
          <w:jc w:val="center"/>
        </w:trPr>
        <w:tc>
          <w:tcPr>
            <w:tcW w:w="5490" w:type="dxa"/>
            <w:vMerge w:val="restart"/>
            <w:shd w:val="clear" w:color="auto" w:fill="D9D9D9"/>
            <w:vAlign w:val="center"/>
          </w:tcPr>
          <w:p w:rsidR="00071071" w:rsidRPr="00BC4336" w:rsidRDefault="00071071" w:rsidP="00071071">
            <w:pPr>
              <w:tabs>
                <w:tab w:val="left" w:pos="288"/>
                <w:tab w:val="left" w:pos="4752"/>
              </w:tabs>
              <w:rPr>
                <w:rFonts w:eastAsia="Calibri" w:cs="Times New Roman"/>
                <w:b/>
                <w:color w:val="auto"/>
                <w:szCs w:val="24"/>
              </w:rPr>
            </w:pPr>
            <w:r w:rsidRPr="00BC4336">
              <w:rPr>
                <w:rFonts w:eastAsia="Calibri" w:cs="Times New Roman"/>
                <w:b/>
                <w:color w:val="auto"/>
                <w:szCs w:val="24"/>
              </w:rPr>
              <w:t>UNFITTING CONDITION</w:t>
            </w:r>
          </w:p>
        </w:tc>
        <w:tc>
          <w:tcPr>
            <w:tcW w:w="1530" w:type="dxa"/>
            <w:vMerge w:val="restart"/>
            <w:shd w:val="clear" w:color="auto" w:fill="D9D9D9"/>
            <w:vAlign w:val="center"/>
          </w:tcPr>
          <w:p w:rsidR="00071071" w:rsidRPr="00BC4336" w:rsidRDefault="00071071" w:rsidP="00071071">
            <w:pPr>
              <w:tabs>
                <w:tab w:val="left" w:pos="288"/>
                <w:tab w:val="left" w:pos="4752"/>
              </w:tabs>
              <w:rPr>
                <w:rFonts w:eastAsia="Calibri" w:cs="Times New Roman"/>
                <w:b/>
                <w:color w:val="auto"/>
                <w:szCs w:val="24"/>
              </w:rPr>
            </w:pPr>
            <w:r w:rsidRPr="00BC4336">
              <w:rPr>
                <w:rFonts w:eastAsia="Calibri" w:cs="Times New Roman"/>
                <w:b/>
                <w:color w:val="auto"/>
                <w:szCs w:val="24"/>
              </w:rPr>
              <w:t>VASRD CODE</w:t>
            </w:r>
          </w:p>
        </w:tc>
        <w:tc>
          <w:tcPr>
            <w:tcW w:w="2340" w:type="dxa"/>
            <w:gridSpan w:val="2"/>
            <w:tcBorders>
              <w:bottom w:val="single" w:sz="4" w:space="0" w:color="auto"/>
            </w:tcBorders>
            <w:shd w:val="clear" w:color="auto" w:fill="D9D9D9"/>
            <w:vAlign w:val="center"/>
          </w:tcPr>
          <w:p w:rsidR="00071071" w:rsidRPr="00BC4336" w:rsidRDefault="00071071" w:rsidP="00071071">
            <w:pPr>
              <w:rPr>
                <w:color w:val="000000"/>
              </w:rPr>
            </w:pPr>
            <w:r w:rsidRPr="00BC4336">
              <w:rPr>
                <w:rFonts w:eastAsia="Calibri" w:cs="Times New Roman"/>
                <w:b/>
                <w:color w:val="auto"/>
                <w:szCs w:val="24"/>
              </w:rPr>
              <w:t>RATING</w:t>
            </w:r>
          </w:p>
        </w:tc>
      </w:tr>
      <w:tr w:rsidR="00071071" w:rsidRPr="00BC4336" w:rsidTr="00D71317">
        <w:trPr>
          <w:trHeight w:val="194"/>
          <w:jc w:val="center"/>
        </w:trPr>
        <w:tc>
          <w:tcPr>
            <w:tcW w:w="5490" w:type="dxa"/>
            <w:vMerge/>
            <w:shd w:val="clear" w:color="auto" w:fill="D9D9D9"/>
            <w:vAlign w:val="center"/>
          </w:tcPr>
          <w:p w:rsidR="00071071" w:rsidRPr="00BC4336" w:rsidRDefault="00071071" w:rsidP="00071071">
            <w:pPr>
              <w:tabs>
                <w:tab w:val="left" w:pos="288"/>
                <w:tab w:val="left" w:pos="4752"/>
              </w:tabs>
              <w:rPr>
                <w:rFonts w:eastAsia="Calibri" w:cs="Times New Roman"/>
                <w:b/>
                <w:color w:val="auto"/>
                <w:szCs w:val="24"/>
              </w:rPr>
            </w:pPr>
          </w:p>
        </w:tc>
        <w:tc>
          <w:tcPr>
            <w:tcW w:w="1530" w:type="dxa"/>
            <w:vMerge/>
            <w:shd w:val="clear" w:color="auto" w:fill="D9D9D9"/>
            <w:vAlign w:val="center"/>
          </w:tcPr>
          <w:p w:rsidR="00071071" w:rsidRPr="00BC4336" w:rsidRDefault="00071071" w:rsidP="00071071">
            <w:pPr>
              <w:tabs>
                <w:tab w:val="left" w:pos="288"/>
                <w:tab w:val="left" w:pos="4752"/>
              </w:tabs>
              <w:rPr>
                <w:rFonts w:eastAsia="Calibri" w:cs="Times New Roman"/>
                <w:b/>
                <w:color w:val="auto"/>
                <w:szCs w:val="24"/>
              </w:rPr>
            </w:pPr>
          </w:p>
        </w:tc>
        <w:tc>
          <w:tcPr>
            <w:tcW w:w="810" w:type="dxa"/>
            <w:tcBorders>
              <w:top w:val="single" w:sz="4" w:space="0" w:color="auto"/>
            </w:tcBorders>
            <w:shd w:val="clear" w:color="auto" w:fill="D9D9D9"/>
            <w:vAlign w:val="center"/>
          </w:tcPr>
          <w:p w:rsidR="00071071" w:rsidRPr="00BC4336" w:rsidRDefault="00071071" w:rsidP="00071071">
            <w:pPr>
              <w:rPr>
                <w:color w:val="000000"/>
              </w:rPr>
            </w:pPr>
            <w:r w:rsidRPr="00BC4336">
              <w:rPr>
                <w:rFonts w:eastAsia="Calibri" w:cs="Times New Roman"/>
                <w:b/>
                <w:color w:val="auto"/>
                <w:szCs w:val="24"/>
              </w:rPr>
              <w:t>TDRL</w:t>
            </w:r>
          </w:p>
        </w:tc>
        <w:tc>
          <w:tcPr>
            <w:tcW w:w="1530" w:type="dxa"/>
            <w:tcBorders>
              <w:top w:val="single" w:sz="4" w:space="0" w:color="auto"/>
            </w:tcBorders>
            <w:shd w:val="pct15" w:color="auto" w:fill="auto"/>
            <w:vAlign w:val="center"/>
          </w:tcPr>
          <w:p w:rsidR="00071071" w:rsidRPr="00BC4336" w:rsidRDefault="00071071" w:rsidP="00071071">
            <w:pPr>
              <w:tabs>
                <w:tab w:val="left" w:pos="288"/>
                <w:tab w:val="left" w:pos="4752"/>
              </w:tabs>
              <w:rPr>
                <w:rFonts w:eastAsia="Calibri" w:cs="Times New Roman"/>
                <w:b/>
                <w:color w:val="auto"/>
                <w:szCs w:val="24"/>
              </w:rPr>
            </w:pPr>
            <w:r w:rsidRPr="00BC4336">
              <w:rPr>
                <w:rFonts w:eastAsia="Calibri" w:cs="Times New Roman"/>
                <w:b/>
                <w:color w:val="auto"/>
                <w:szCs w:val="24"/>
              </w:rPr>
              <w:t>PERMANENT</w:t>
            </w:r>
          </w:p>
        </w:tc>
      </w:tr>
      <w:tr w:rsidR="00071071" w:rsidRPr="00BC4336" w:rsidTr="00D71317">
        <w:trPr>
          <w:trHeight w:val="197"/>
          <w:jc w:val="center"/>
        </w:trPr>
        <w:tc>
          <w:tcPr>
            <w:tcW w:w="5490" w:type="dxa"/>
            <w:vAlign w:val="center"/>
          </w:tcPr>
          <w:p w:rsidR="00071071" w:rsidRPr="00BC4336" w:rsidRDefault="00904CC8" w:rsidP="00071071">
            <w:pPr>
              <w:tabs>
                <w:tab w:val="left" w:pos="288"/>
                <w:tab w:val="left" w:pos="4752"/>
              </w:tabs>
              <w:jc w:val="left"/>
              <w:rPr>
                <w:rFonts w:eastAsia="Calibri" w:cs="Times New Roman"/>
                <w:color w:val="auto"/>
                <w:szCs w:val="24"/>
              </w:rPr>
            </w:pPr>
            <w:r w:rsidRPr="00BC4336">
              <w:rPr>
                <w:color w:val="000000"/>
              </w:rPr>
              <w:t>Asthma</w:t>
            </w:r>
          </w:p>
        </w:tc>
        <w:tc>
          <w:tcPr>
            <w:tcW w:w="1530" w:type="dxa"/>
            <w:tcBorders>
              <w:bottom w:val="single" w:sz="4" w:space="0" w:color="000000"/>
            </w:tcBorders>
            <w:vAlign w:val="center"/>
          </w:tcPr>
          <w:p w:rsidR="00071071" w:rsidRPr="00BC4336" w:rsidRDefault="00904CC8" w:rsidP="00071071">
            <w:pPr>
              <w:tabs>
                <w:tab w:val="left" w:pos="288"/>
                <w:tab w:val="left" w:pos="4752"/>
              </w:tabs>
              <w:rPr>
                <w:color w:val="000000"/>
              </w:rPr>
            </w:pPr>
            <w:r w:rsidRPr="00BC4336">
              <w:rPr>
                <w:color w:val="000000"/>
              </w:rPr>
              <w:t>6602</w:t>
            </w:r>
          </w:p>
        </w:tc>
        <w:tc>
          <w:tcPr>
            <w:tcW w:w="810" w:type="dxa"/>
            <w:tcBorders>
              <w:bottom w:val="single" w:sz="4" w:space="0" w:color="000000"/>
            </w:tcBorders>
            <w:vAlign w:val="center"/>
          </w:tcPr>
          <w:p w:rsidR="00071071" w:rsidRPr="00BC4336" w:rsidRDefault="00904CC8" w:rsidP="00071071">
            <w:pPr>
              <w:tabs>
                <w:tab w:val="left" w:pos="288"/>
                <w:tab w:val="left" w:pos="4752"/>
              </w:tabs>
              <w:rPr>
                <w:color w:val="000000"/>
              </w:rPr>
            </w:pPr>
            <w:r w:rsidRPr="00BC4336">
              <w:rPr>
                <w:color w:val="000000"/>
              </w:rPr>
              <w:t>3</w:t>
            </w:r>
            <w:r w:rsidR="00071071" w:rsidRPr="00BC4336">
              <w:rPr>
                <w:color w:val="000000"/>
              </w:rPr>
              <w:t>0%</w:t>
            </w:r>
          </w:p>
        </w:tc>
        <w:tc>
          <w:tcPr>
            <w:tcW w:w="1530" w:type="dxa"/>
            <w:tcBorders>
              <w:bottom w:val="single" w:sz="4" w:space="0" w:color="000000"/>
            </w:tcBorders>
            <w:vAlign w:val="center"/>
          </w:tcPr>
          <w:p w:rsidR="00071071" w:rsidRPr="00BC4336" w:rsidRDefault="00BC4336" w:rsidP="00071071">
            <w:pPr>
              <w:tabs>
                <w:tab w:val="left" w:pos="288"/>
                <w:tab w:val="left" w:pos="4752"/>
              </w:tabs>
              <w:rPr>
                <w:rFonts w:eastAsia="Calibri" w:cs="Times New Roman"/>
                <w:color w:val="auto"/>
                <w:szCs w:val="24"/>
              </w:rPr>
            </w:pPr>
            <w:r w:rsidRPr="00BC4336">
              <w:rPr>
                <w:rFonts w:eastAsia="Calibri" w:cs="Times New Roman"/>
                <w:color w:val="auto"/>
                <w:szCs w:val="24"/>
              </w:rPr>
              <w:t>1</w:t>
            </w:r>
            <w:r w:rsidR="00904CC8" w:rsidRPr="00BC4336">
              <w:rPr>
                <w:rFonts w:eastAsia="Calibri" w:cs="Times New Roman"/>
                <w:color w:val="auto"/>
                <w:szCs w:val="24"/>
              </w:rPr>
              <w:t>0%</w:t>
            </w:r>
          </w:p>
        </w:tc>
      </w:tr>
      <w:tr w:rsidR="00071071" w:rsidRPr="00071071" w:rsidTr="00D71317">
        <w:tblPrEx>
          <w:tblLook w:val="0000"/>
        </w:tblPrEx>
        <w:trPr>
          <w:gridBefore w:val="1"/>
          <w:wBefore w:w="5490" w:type="dxa"/>
          <w:trHeight w:val="161"/>
          <w:jc w:val="center"/>
        </w:trPr>
        <w:tc>
          <w:tcPr>
            <w:tcW w:w="1530" w:type="dxa"/>
            <w:tcBorders>
              <w:left w:val="single" w:sz="4" w:space="0" w:color="auto"/>
            </w:tcBorders>
            <w:shd w:val="pct15" w:color="auto" w:fill="auto"/>
            <w:vAlign w:val="center"/>
          </w:tcPr>
          <w:p w:rsidR="00071071" w:rsidRPr="00BC4336" w:rsidRDefault="00071071" w:rsidP="00071071">
            <w:pPr>
              <w:tabs>
                <w:tab w:val="left" w:pos="288"/>
                <w:tab w:val="left" w:pos="4752"/>
              </w:tabs>
              <w:rPr>
                <w:rFonts w:eastAsia="Calibri" w:cs="Times New Roman"/>
                <w:b/>
                <w:color w:val="auto"/>
                <w:szCs w:val="24"/>
              </w:rPr>
            </w:pPr>
            <w:r w:rsidRPr="00BC4336">
              <w:rPr>
                <w:rFonts w:eastAsia="Calibri" w:cs="Times New Roman"/>
                <w:b/>
                <w:color w:val="auto"/>
                <w:szCs w:val="24"/>
              </w:rPr>
              <w:t>COMBINED</w:t>
            </w:r>
          </w:p>
        </w:tc>
        <w:tc>
          <w:tcPr>
            <w:tcW w:w="810" w:type="dxa"/>
            <w:tcBorders>
              <w:left w:val="single" w:sz="4" w:space="0" w:color="auto"/>
            </w:tcBorders>
            <w:shd w:val="pct15" w:color="auto" w:fill="auto"/>
            <w:vAlign w:val="center"/>
          </w:tcPr>
          <w:p w:rsidR="00071071" w:rsidRPr="00BC4336" w:rsidRDefault="00904CC8" w:rsidP="00071071">
            <w:pPr>
              <w:tabs>
                <w:tab w:val="left" w:pos="288"/>
                <w:tab w:val="left" w:pos="4752"/>
              </w:tabs>
              <w:rPr>
                <w:rFonts w:eastAsia="Calibri" w:cs="Times New Roman"/>
                <w:b/>
                <w:color w:val="auto"/>
                <w:szCs w:val="24"/>
              </w:rPr>
            </w:pPr>
            <w:r w:rsidRPr="00BC4336">
              <w:rPr>
                <w:rFonts w:eastAsia="Calibri" w:cs="Times New Roman"/>
                <w:b/>
                <w:color w:val="auto"/>
                <w:szCs w:val="24"/>
              </w:rPr>
              <w:t>3</w:t>
            </w:r>
            <w:r w:rsidR="00071071" w:rsidRPr="00BC4336">
              <w:rPr>
                <w:rFonts w:eastAsia="Calibri" w:cs="Times New Roman"/>
                <w:b/>
                <w:color w:val="auto"/>
                <w:szCs w:val="24"/>
              </w:rPr>
              <w:t>0%</w:t>
            </w:r>
          </w:p>
        </w:tc>
        <w:tc>
          <w:tcPr>
            <w:tcW w:w="1530" w:type="dxa"/>
            <w:shd w:val="pct15" w:color="auto" w:fill="auto"/>
            <w:vAlign w:val="center"/>
          </w:tcPr>
          <w:p w:rsidR="00071071" w:rsidRPr="00BC4336" w:rsidRDefault="00904CC8" w:rsidP="00BC4336">
            <w:pPr>
              <w:tabs>
                <w:tab w:val="left" w:pos="288"/>
                <w:tab w:val="left" w:pos="4752"/>
              </w:tabs>
              <w:rPr>
                <w:rFonts w:eastAsia="Calibri" w:cs="Times New Roman"/>
                <w:b/>
                <w:color w:val="auto"/>
                <w:szCs w:val="24"/>
              </w:rPr>
            </w:pPr>
            <w:r w:rsidRPr="00BC4336">
              <w:rPr>
                <w:rFonts w:eastAsia="Calibri" w:cs="Times New Roman"/>
                <w:b/>
                <w:color w:val="auto"/>
                <w:szCs w:val="24"/>
              </w:rPr>
              <w:t>1</w:t>
            </w:r>
            <w:r w:rsidR="00071071" w:rsidRPr="00BC4336">
              <w:rPr>
                <w:rFonts w:eastAsia="Calibri" w:cs="Times New Roman"/>
                <w:b/>
                <w:color w:val="auto"/>
                <w:szCs w:val="24"/>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084E4B" w:rsidRPr="001F29F9">
        <w:rPr>
          <w:color w:val="000000" w:themeColor="text1"/>
          <w:szCs w:val="24"/>
        </w:rPr>
        <w:t>201</w:t>
      </w:r>
      <w:r w:rsidR="00084E4B">
        <w:rPr>
          <w:color w:val="000000" w:themeColor="text1"/>
          <w:szCs w:val="24"/>
        </w:rPr>
        <w:t>10930</w:t>
      </w:r>
      <w:r w:rsidRPr="001F29F9">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911256">
        <w:rPr>
          <w:color w:val="000000"/>
        </w:rPr>
        <w:t>XXXXXXXXXXXXXXXXXXXXXX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911256" w:rsidRDefault="00AD2379" w:rsidP="008F5FEE">
      <w:pPr>
        <w:tabs>
          <w:tab w:val="left" w:pos="0"/>
          <w:tab w:val="left" w:pos="4320"/>
        </w:tabs>
        <w:jc w:val="both"/>
        <w:rPr>
          <w:color w:val="000000"/>
        </w:rPr>
      </w:pPr>
      <w:r w:rsidRPr="001F29F9">
        <w:rPr>
          <w:color w:val="000000"/>
        </w:rPr>
        <w:lastRenderedPageBreak/>
        <w:tab/>
        <w:t xml:space="preserve">           Physical Disability Board of Review</w:t>
      </w:r>
    </w:p>
    <w:p w:rsidR="00911256" w:rsidRDefault="00911256">
      <w:pPr>
        <w:spacing w:line="240" w:lineRule="auto"/>
        <w:jc w:val="left"/>
        <w:rPr>
          <w:color w:val="000000"/>
        </w:rPr>
      </w:pPr>
      <w:r>
        <w:rPr>
          <w:color w:val="000000"/>
        </w:rPr>
        <w:br w:type="page"/>
      </w:r>
    </w:p>
    <w:p w:rsidR="00911256" w:rsidRDefault="00911256" w:rsidP="00911256">
      <w:pPr>
        <w:sectPr w:rsidR="00911256">
          <w:pgSz w:w="12240" w:h="15840"/>
          <w:pgMar w:top="2160" w:right="1440" w:bottom="1440" w:left="1440" w:header="720" w:footer="720" w:gutter="0"/>
          <w:cols w:space="720"/>
        </w:sectPr>
      </w:pPr>
    </w:p>
    <w:p w:rsidR="00911256" w:rsidRDefault="00911256" w:rsidP="00911256">
      <w:pPr>
        <w:pStyle w:val="Header"/>
        <w:tabs>
          <w:tab w:val="left" w:pos="720"/>
        </w:tabs>
        <w:jc w:val="left"/>
      </w:pPr>
      <w:r>
        <w:lastRenderedPageBreak/>
        <w:t>SFMR-RB</w:t>
      </w:r>
      <w:r>
        <w:tab/>
      </w:r>
      <w:r>
        <w:tab/>
      </w:r>
      <w:r>
        <w:tab/>
      </w:r>
      <w:r>
        <w:tab/>
      </w:r>
      <w:r>
        <w:tab/>
      </w:r>
      <w:r>
        <w:tab/>
      </w:r>
      <w:r>
        <w:tab/>
      </w:r>
      <w:r>
        <w:tab/>
      </w:r>
      <w:r>
        <w:tab/>
      </w:r>
    </w:p>
    <w:p w:rsidR="00911256" w:rsidRDefault="00911256" w:rsidP="00911256">
      <w:pPr>
        <w:pStyle w:val="Header"/>
        <w:tabs>
          <w:tab w:val="left" w:pos="720"/>
        </w:tabs>
        <w:jc w:val="left"/>
      </w:pPr>
    </w:p>
    <w:p w:rsidR="00911256" w:rsidRDefault="00911256" w:rsidP="00911256">
      <w:pPr>
        <w:jc w:val="left"/>
      </w:pPr>
    </w:p>
    <w:p w:rsidR="00911256" w:rsidRDefault="00911256" w:rsidP="00911256">
      <w:pPr>
        <w:jc w:val="left"/>
      </w:pPr>
      <w:r>
        <w:t xml:space="preserve">MEMORANDUM FOR Commander, US Army Physical Disability Agency </w:t>
      </w:r>
    </w:p>
    <w:p w:rsidR="00911256" w:rsidRDefault="00911256" w:rsidP="00911256">
      <w:pPr>
        <w:jc w:val="left"/>
      </w:pPr>
      <w:r>
        <w:t xml:space="preserve">(TAPD-ZB </w:t>
      </w:r>
      <w:proofErr w:type="gramStart"/>
      <w:r>
        <w:t>/  )</w:t>
      </w:r>
      <w:proofErr w:type="gramEnd"/>
      <w:r>
        <w:t>, 2900 Crystal Drive, Suite 300, Arlington, VA 22202.</w:t>
      </w:r>
    </w:p>
    <w:p w:rsidR="00911256" w:rsidRDefault="00911256" w:rsidP="00911256">
      <w:pPr>
        <w:jc w:val="left"/>
      </w:pPr>
    </w:p>
    <w:p w:rsidR="00911256" w:rsidRDefault="00911256" w:rsidP="00911256">
      <w:pPr>
        <w:ind w:right="-180"/>
        <w:jc w:val="left"/>
      </w:pPr>
      <w:r>
        <w:t>SUBJECT:  Department of Defense Physical Disability Board of Review Recommendation for XXXXXXXXXXXXXXXXXXXXXXXXXXXXXXXXXX, AR20120015659 (PD201100943)</w:t>
      </w:r>
    </w:p>
    <w:p w:rsidR="00911256" w:rsidRDefault="00911256" w:rsidP="00911256">
      <w:pPr>
        <w:pStyle w:val="Header"/>
        <w:tabs>
          <w:tab w:val="left" w:pos="720"/>
        </w:tabs>
        <w:jc w:val="left"/>
      </w:pPr>
    </w:p>
    <w:p w:rsidR="00911256" w:rsidRDefault="00911256" w:rsidP="00911256">
      <w:pPr>
        <w:jc w:val="left"/>
      </w:pPr>
    </w:p>
    <w:p w:rsidR="00911256" w:rsidRDefault="00911256" w:rsidP="00911256">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911256" w:rsidRDefault="00911256" w:rsidP="00911256">
      <w:pPr>
        <w:jc w:val="left"/>
      </w:pPr>
      <w:r>
        <w:t>This decision is final.  The individual concerned, counsel (if any), and any Members of Congress who have shown interest in this application have been notified of this decision by mail.</w:t>
      </w:r>
    </w:p>
    <w:p w:rsidR="00911256" w:rsidRDefault="00911256" w:rsidP="00911256">
      <w:pPr>
        <w:jc w:val="left"/>
      </w:pPr>
    </w:p>
    <w:p w:rsidR="00911256" w:rsidRDefault="00911256" w:rsidP="00911256">
      <w:pPr>
        <w:jc w:val="left"/>
      </w:pPr>
      <w:r>
        <w:t>BY ORDER OF THE SECRETARY OF THE ARMY:</w:t>
      </w:r>
    </w:p>
    <w:p w:rsidR="00911256" w:rsidRDefault="00911256" w:rsidP="00911256">
      <w:pPr>
        <w:jc w:val="left"/>
      </w:pPr>
    </w:p>
    <w:p w:rsidR="00911256" w:rsidRDefault="00911256" w:rsidP="00911256">
      <w:pPr>
        <w:jc w:val="left"/>
      </w:pPr>
    </w:p>
    <w:p w:rsidR="00911256" w:rsidRDefault="00911256" w:rsidP="00911256">
      <w:pPr>
        <w:pStyle w:val="Header"/>
        <w:tabs>
          <w:tab w:val="left" w:pos="720"/>
        </w:tabs>
        <w:jc w:val="left"/>
      </w:pPr>
    </w:p>
    <w:p w:rsidR="00911256" w:rsidRDefault="00911256" w:rsidP="00911256">
      <w:pPr>
        <w:jc w:val="left"/>
      </w:pPr>
    </w:p>
    <w:p w:rsidR="00911256" w:rsidRDefault="00911256" w:rsidP="00911256">
      <w:pPr>
        <w:jc w:val="left"/>
      </w:pPr>
      <w:bookmarkStart w:id="0" w:name="OLE_LINK4"/>
      <w:bookmarkStart w:id="1" w:name="OLE_LINK3"/>
      <w:r>
        <w:t>Encl</w:t>
      </w:r>
      <w:r>
        <w:tab/>
      </w:r>
      <w:r>
        <w:tab/>
      </w:r>
      <w:r>
        <w:tab/>
      </w:r>
      <w:r>
        <w:tab/>
      </w:r>
      <w:r>
        <w:tab/>
      </w:r>
      <w:r>
        <w:tab/>
        <w:t xml:space="preserve">     XXXXXXXXXXXXXXXXXXXXXXX</w:t>
      </w:r>
    </w:p>
    <w:p w:rsidR="00911256" w:rsidRDefault="00911256" w:rsidP="00911256">
      <w:pPr>
        <w:jc w:val="left"/>
      </w:pPr>
      <w:r>
        <w:tab/>
      </w:r>
      <w:r>
        <w:tab/>
      </w:r>
      <w:r>
        <w:tab/>
      </w:r>
      <w:r>
        <w:tab/>
      </w:r>
      <w:r>
        <w:tab/>
      </w:r>
      <w:r>
        <w:tab/>
        <w:t xml:space="preserve">     Deputy Assistant Secretary</w:t>
      </w:r>
    </w:p>
    <w:p w:rsidR="00911256" w:rsidRDefault="00911256" w:rsidP="00911256">
      <w:pPr>
        <w:jc w:val="left"/>
      </w:pPr>
      <w:r>
        <w:tab/>
      </w:r>
      <w:r>
        <w:tab/>
      </w:r>
      <w:r>
        <w:tab/>
      </w:r>
      <w:r>
        <w:tab/>
      </w:r>
      <w:r>
        <w:tab/>
      </w:r>
      <w:r>
        <w:tab/>
        <w:t xml:space="preserve">         (Army Review Boards)</w:t>
      </w:r>
      <w:bookmarkEnd w:id="0"/>
      <w:bookmarkEnd w:id="1"/>
    </w:p>
    <w:p w:rsidR="00911256" w:rsidRDefault="00911256" w:rsidP="00911256">
      <w:pPr>
        <w:jc w:val="left"/>
      </w:pPr>
    </w:p>
    <w:p w:rsidR="00911256" w:rsidRDefault="00911256" w:rsidP="00911256">
      <w:pPr>
        <w:jc w:val="left"/>
      </w:pPr>
      <w:r>
        <w:t xml:space="preserve">CF: </w:t>
      </w:r>
    </w:p>
    <w:p w:rsidR="00911256" w:rsidRDefault="00911256" w:rsidP="00911256">
      <w:pPr>
        <w:jc w:val="left"/>
      </w:pPr>
      <w:r>
        <w:t xml:space="preserve">(  ) </w:t>
      </w:r>
      <w:proofErr w:type="spellStart"/>
      <w:proofErr w:type="gramStart"/>
      <w:r>
        <w:t>DoD</w:t>
      </w:r>
      <w:proofErr w:type="spellEnd"/>
      <w:proofErr w:type="gramEnd"/>
      <w:r>
        <w:t xml:space="preserve"> PDBR</w:t>
      </w:r>
    </w:p>
    <w:p w:rsidR="00911256" w:rsidRDefault="00911256" w:rsidP="00911256">
      <w:pPr>
        <w:jc w:val="left"/>
      </w:pPr>
      <w:r>
        <w:t>(  ) DVA</w:t>
      </w:r>
    </w:p>
    <w:p w:rsidR="00911256" w:rsidRDefault="00911256" w:rsidP="00911256">
      <w:pPr>
        <w:jc w:val="left"/>
      </w:pPr>
    </w:p>
    <w:p w:rsidR="004F73AD" w:rsidRPr="004F73AD" w:rsidRDefault="004F73AD" w:rsidP="00911256">
      <w:pPr>
        <w:tabs>
          <w:tab w:val="left" w:pos="0"/>
          <w:tab w:val="left" w:pos="4320"/>
        </w:tabs>
        <w:jc w:val="left"/>
        <w:rPr>
          <w:rFonts w:ascii="Times New Roman" w:hAnsi="Times New Roman" w:cs="Times New Roman"/>
          <w:color w:val="auto"/>
          <w:szCs w:val="24"/>
        </w:rPr>
      </w:pPr>
    </w:p>
    <w:p w:rsidR="00FE7EB9" w:rsidRPr="006235F5" w:rsidRDefault="00FE7EB9" w:rsidP="006235F5">
      <w:pPr>
        <w:tabs>
          <w:tab w:val="left" w:pos="288"/>
          <w:tab w:val="left" w:pos="4752"/>
        </w:tabs>
        <w:jc w:val="both"/>
        <w:rPr>
          <w:rFonts w:eastAsia="Calibri" w:cs="Times New Roman"/>
          <w:color w:val="auto"/>
          <w:szCs w:val="24"/>
        </w:rPr>
      </w:pPr>
    </w:p>
    <w:sectPr w:rsidR="00FE7EB9" w:rsidRPr="006235F5"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832" w:rsidRDefault="00A35832">
      <w:r>
        <w:separator/>
      </w:r>
    </w:p>
  </w:endnote>
  <w:endnote w:type="continuationSeparator" w:id="0">
    <w:p w:rsidR="00A35832" w:rsidRDefault="00A358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fldSimple w:instr=" PAGE   \* MERGEFORMAT ">
      <w:r w:rsidR="00911256" w:rsidRPr="00911256">
        <w:rPr>
          <w:noProof/>
          <w:color w:val="auto"/>
        </w:rPr>
        <w:t>4</w:t>
      </w:r>
    </w:fldSimple>
    <w:r w:rsidRPr="00374247">
      <w:rPr>
        <w:color w:val="auto"/>
      </w:rPr>
      <w:t xml:space="preserve">                                                           </w:t>
    </w:r>
    <w:r w:rsidRPr="001D64F3">
      <w:rPr>
        <w:color w:val="auto"/>
      </w:rPr>
      <w:t>PD1</w:t>
    </w:r>
    <w:r w:rsidR="008B1121">
      <w:rPr>
        <w:color w:val="auto"/>
      </w:rPr>
      <w:t>100943</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832" w:rsidRDefault="00A35832">
      <w:r>
        <w:separator/>
      </w:r>
    </w:p>
  </w:footnote>
  <w:footnote w:type="continuationSeparator" w:id="0">
    <w:p w:rsidR="00A35832" w:rsidRDefault="00A358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04B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124"/>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4E4B"/>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468"/>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39D6"/>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3F6C"/>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3A20"/>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3EE"/>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F0297"/>
    <w:rsid w:val="001F29F9"/>
    <w:rsid w:val="001F6E0B"/>
    <w:rsid w:val="00200AA0"/>
    <w:rsid w:val="00202325"/>
    <w:rsid w:val="00202459"/>
    <w:rsid w:val="00202736"/>
    <w:rsid w:val="00202D1C"/>
    <w:rsid w:val="00203652"/>
    <w:rsid w:val="00204562"/>
    <w:rsid w:val="00205B4F"/>
    <w:rsid w:val="002060B6"/>
    <w:rsid w:val="002066B5"/>
    <w:rsid w:val="00207423"/>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B2D"/>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3A14"/>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0AF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993"/>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29D3"/>
    <w:rsid w:val="00363087"/>
    <w:rsid w:val="00363112"/>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07BF"/>
    <w:rsid w:val="003C247E"/>
    <w:rsid w:val="003C294B"/>
    <w:rsid w:val="003C34DF"/>
    <w:rsid w:val="003C5046"/>
    <w:rsid w:val="003C53E8"/>
    <w:rsid w:val="003C5B54"/>
    <w:rsid w:val="003C6068"/>
    <w:rsid w:val="003C7AEC"/>
    <w:rsid w:val="003D007D"/>
    <w:rsid w:val="003D2BA3"/>
    <w:rsid w:val="003D316B"/>
    <w:rsid w:val="003D371E"/>
    <w:rsid w:val="003D3C22"/>
    <w:rsid w:val="003D56A0"/>
    <w:rsid w:val="003D5976"/>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819"/>
    <w:rsid w:val="0041792D"/>
    <w:rsid w:val="00417999"/>
    <w:rsid w:val="00420A1D"/>
    <w:rsid w:val="00420B1E"/>
    <w:rsid w:val="004211FD"/>
    <w:rsid w:val="00421485"/>
    <w:rsid w:val="004216DA"/>
    <w:rsid w:val="00421DEA"/>
    <w:rsid w:val="00422B75"/>
    <w:rsid w:val="00424612"/>
    <w:rsid w:val="0042528C"/>
    <w:rsid w:val="00425672"/>
    <w:rsid w:val="00425A6A"/>
    <w:rsid w:val="0042607F"/>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466"/>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3656"/>
    <w:rsid w:val="004E6866"/>
    <w:rsid w:val="004F0C58"/>
    <w:rsid w:val="004F10EB"/>
    <w:rsid w:val="004F3222"/>
    <w:rsid w:val="004F3639"/>
    <w:rsid w:val="004F3BFA"/>
    <w:rsid w:val="004F4E3C"/>
    <w:rsid w:val="004F5A1A"/>
    <w:rsid w:val="004F61A0"/>
    <w:rsid w:val="004F675A"/>
    <w:rsid w:val="004F73AD"/>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F2"/>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0B1"/>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1D67"/>
    <w:rsid w:val="005E224F"/>
    <w:rsid w:val="005E3064"/>
    <w:rsid w:val="005E54DC"/>
    <w:rsid w:val="005E65DC"/>
    <w:rsid w:val="005E6AEE"/>
    <w:rsid w:val="005E7200"/>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3834"/>
    <w:rsid w:val="00605AAB"/>
    <w:rsid w:val="00606BEB"/>
    <w:rsid w:val="00607AC8"/>
    <w:rsid w:val="0061010C"/>
    <w:rsid w:val="0061014A"/>
    <w:rsid w:val="0061054B"/>
    <w:rsid w:val="006110FB"/>
    <w:rsid w:val="006114BB"/>
    <w:rsid w:val="00612FB0"/>
    <w:rsid w:val="0061356D"/>
    <w:rsid w:val="00613E26"/>
    <w:rsid w:val="0061474A"/>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D85"/>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812"/>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2D0"/>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170"/>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50"/>
    <w:rsid w:val="0085206E"/>
    <w:rsid w:val="00852273"/>
    <w:rsid w:val="0085293D"/>
    <w:rsid w:val="00852AD4"/>
    <w:rsid w:val="00852BA8"/>
    <w:rsid w:val="00852BF0"/>
    <w:rsid w:val="00852CC7"/>
    <w:rsid w:val="008530E3"/>
    <w:rsid w:val="00853718"/>
    <w:rsid w:val="008541EF"/>
    <w:rsid w:val="0085485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67CC2"/>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AEA"/>
    <w:rsid w:val="008A1CC3"/>
    <w:rsid w:val="008A39D7"/>
    <w:rsid w:val="008A55DE"/>
    <w:rsid w:val="008A5705"/>
    <w:rsid w:val="008A5C34"/>
    <w:rsid w:val="008A63A9"/>
    <w:rsid w:val="008A7073"/>
    <w:rsid w:val="008A79F0"/>
    <w:rsid w:val="008A7F7E"/>
    <w:rsid w:val="008B04DB"/>
    <w:rsid w:val="008B09B4"/>
    <w:rsid w:val="008B1121"/>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2FBA"/>
    <w:rsid w:val="008D5104"/>
    <w:rsid w:val="008D75F4"/>
    <w:rsid w:val="008D795D"/>
    <w:rsid w:val="008D7B07"/>
    <w:rsid w:val="008E0D8F"/>
    <w:rsid w:val="008E0F4E"/>
    <w:rsid w:val="008E1CAF"/>
    <w:rsid w:val="008E1E94"/>
    <w:rsid w:val="008E2D99"/>
    <w:rsid w:val="008E30D4"/>
    <w:rsid w:val="008E38B0"/>
    <w:rsid w:val="008E3C90"/>
    <w:rsid w:val="008E4A60"/>
    <w:rsid w:val="008E62E5"/>
    <w:rsid w:val="008E744D"/>
    <w:rsid w:val="008F1E08"/>
    <w:rsid w:val="008F2E41"/>
    <w:rsid w:val="008F30F4"/>
    <w:rsid w:val="008F58E1"/>
    <w:rsid w:val="008F5FEE"/>
    <w:rsid w:val="008F6E05"/>
    <w:rsid w:val="008F6FC8"/>
    <w:rsid w:val="009001FA"/>
    <w:rsid w:val="0090045D"/>
    <w:rsid w:val="00900906"/>
    <w:rsid w:val="00900D8F"/>
    <w:rsid w:val="00901229"/>
    <w:rsid w:val="009014E3"/>
    <w:rsid w:val="009020ED"/>
    <w:rsid w:val="009026E8"/>
    <w:rsid w:val="00902FDD"/>
    <w:rsid w:val="00904CC8"/>
    <w:rsid w:val="0090583D"/>
    <w:rsid w:val="00905EEF"/>
    <w:rsid w:val="00906EB7"/>
    <w:rsid w:val="0090720E"/>
    <w:rsid w:val="00907FE6"/>
    <w:rsid w:val="009102BF"/>
    <w:rsid w:val="00911256"/>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2E5"/>
    <w:rsid w:val="00955316"/>
    <w:rsid w:val="00955E0F"/>
    <w:rsid w:val="00955E45"/>
    <w:rsid w:val="009569B1"/>
    <w:rsid w:val="009576BC"/>
    <w:rsid w:val="00957899"/>
    <w:rsid w:val="00957927"/>
    <w:rsid w:val="00960357"/>
    <w:rsid w:val="0096091B"/>
    <w:rsid w:val="009609A6"/>
    <w:rsid w:val="00960ED5"/>
    <w:rsid w:val="0096168C"/>
    <w:rsid w:val="00961840"/>
    <w:rsid w:val="009625E3"/>
    <w:rsid w:val="00962F2D"/>
    <w:rsid w:val="00963A7A"/>
    <w:rsid w:val="009672CD"/>
    <w:rsid w:val="00967813"/>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0327"/>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01EB"/>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832"/>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3CF5"/>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3398"/>
    <w:rsid w:val="00AB3E9E"/>
    <w:rsid w:val="00AB4BA4"/>
    <w:rsid w:val="00AB592E"/>
    <w:rsid w:val="00AC0C1C"/>
    <w:rsid w:val="00AC1305"/>
    <w:rsid w:val="00AC25DD"/>
    <w:rsid w:val="00AC37BE"/>
    <w:rsid w:val="00AC3870"/>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C9F"/>
    <w:rsid w:val="00B63EAE"/>
    <w:rsid w:val="00B643A6"/>
    <w:rsid w:val="00B64DD6"/>
    <w:rsid w:val="00B66505"/>
    <w:rsid w:val="00B6710C"/>
    <w:rsid w:val="00B67D22"/>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364"/>
    <w:rsid w:val="00B81964"/>
    <w:rsid w:val="00B82277"/>
    <w:rsid w:val="00B83F87"/>
    <w:rsid w:val="00B843DD"/>
    <w:rsid w:val="00B8478F"/>
    <w:rsid w:val="00B84F93"/>
    <w:rsid w:val="00B86CC2"/>
    <w:rsid w:val="00B91676"/>
    <w:rsid w:val="00B9322B"/>
    <w:rsid w:val="00B93640"/>
    <w:rsid w:val="00B94023"/>
    <w:rsid w:val="00B955D5"/>
    <w:rsid w:val="00B95833"/>
    <w:rsid w:val="00B96610"/>
    <w:rsid w:val="00BA1824"/>
    <w:rsid w:val="00BA2D98"/>
    <w:rsid w:val="00BA2F0C"/>
    <w:rsid w:val="00BA30D1"/>
    <w:rsid w:val="00BA30E1"/>
    <w:rsid w:val="00BA33DB"/>
    <w:rsid w:val="00BA4609"/>
    <w:rsid w:val="00BA5BE2"/>
    <w:rsid w:val="00BA60FC"/>
    <w:rsid w:val="00BA6A9C"/>
    <w:rsid w:val="00BA7F46"/>
    <w:rsid w:val="00BB0388"/>
    <w:rsid w:val="00BB0A0A"/>
    <w:rsid w:val="00BB133C"/>
    <w:rsid w:val="00BB1F04"/>
    <w:rsid w:val="00BB41E5"/>
    <w:rsid w:val="00BB45B5"/>
    <w:rsid w:val="00BB4C6A"/>
    <w:rsid w:val="00BB4DDE"/>
    <w:rsid w:val="00BB5F68"/>
    <w:rsid w:val="00BB6064"/>
    <w:rsid w:val="00BB65CE"/>
    <w:rsid w:val="00BB7012"/>
    <w:rsid w:val="00BC09D1"/>
    <w:rsid w:val="00BC10C6"/>
    <w:rsid w:val="00BC1CF3"/>
    <w:rsid w:val="00BC2BE0"/>
    <w:rsid w:val="00BC3573"/>
    <w:rsid w:val="00BC3797"/>
    <w:rsid w:val="00BC4336"/>
    <w:rsid w:val="00BC5860"/>
    <w:rsid w:val="00BC7F82"/>
    <w:rsid w:val="00BD1844"/>
    <w:rsid w:val="00BD2A49"/>
    <w:rsid w:val="00BD3683"/>
    <w:rsid w:val="00BD36F1"/>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7D4"/>
    <w:rsid w:val="00BE6365"/>
    <w:rsid w:val="00BF01B7"/>
    <w:rsid w:val="00BF0B7F"/>
    <w:rsid w:val="00BF0E94"/>
    <w:rsid w:val="00BF2988"/>
    <w:rsid w:val="00BF3FB9"/>
    <w:rsid w:val="00BF4012"/>
    <w:rsid w:val="00BF4225"/>
    <w:rsid w:val="00BF4720"/>
    <w:rsid w:val="00BF4F49"/>
    <w:rsid w:val="00BF5641"/>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4A81"/>
    <w:rsid w:val="00C45B27"/>
    <w:rsid w:val="00C4652E"/>
    <w:rsid w:val="00C472C7"/>
    <w:rsid w:val="00C5019E"/>
    <w:rsid w:val="00C50C8C"/>
    <w:rsid w:val="00C50CD6"/>
    <w:rsid w:val="00C51962"/>
    <w:rsid w:val="00C5377C"/>
    <w:rsid w:val="00C53E8A"/>
    <w:rsid w:val="00C54DF3"/>
    <w:rsid w:val="00C560A7"/>
    <w:rsid w:val="00C56FC8"/>
    <w:rsid w:val="00C60F23"/>
    <w:rsid w:val="00C6170B"/>
    <w:rsid w:val="00C61E03"/>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8D0"/>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2A3"/>
    <w:rsid w:val="00CF7B72"/>
    <w:rsid w:val="00CF7FC0"/>
    <w:rsid w:val="00D000A9"/>
    <w:rsid w:val="00D00384"/>
    <w:rsid w:val="00D005DB"/>
    <w:rsid w:val="00D0064E"/>
    <w:rsid w:val="00D00981"/>
    <w:rsid w:val="00D02596"/>
    <w:rsid w:val="00D027B8"/>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42"/>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7B6"/>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36B7"/>
    <w:rsid w:val="00DD44EA"/>
    <w:rsid w:val="00DD462A"/>
    <w:rsid w:val="00DD64E0"/>
    <w:rsid w:val="00DD775C"/>
    <w:rsid w:val="00DD7BE0"/>
    <w:rsid w:val="00DE0C67"/>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029"/>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199"/>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1E62"/>
    <w:rsid w:val="00E82359"/>
    <w:rsid w:val="00E82B6D"/>
    <w:rsid w:val="00E83187"/>
    <w:rsid w:val="00E831E9"/>
    <w:rsid w:val="00E84DDA"/>
    <w:rsid w:val="00E85F46"/>
    <w:rsid w:val="00E8608F"/>
    <w:rsid w:val="00E86C1D"/>
    <w:rsid w:val="00E90703"/>
    <w:rsid w:val="00E90A62"/>
    <w:rsid w:val="00E91CB8"/>
    <w:rsid w:val="00E9265E"/>
    <w:rsid w:val="00E956DB"/>
    <w:rsid w:val="00E957D7"/>
    <w:rsid w:val="00E9763D"/>
    <w:rsid w:val="00E97E4C"/>
    <w:rsid w:val="00EA00A4"/>
    <w:rsid w:val="00EA1177"/>
    <w:rsid w:val="00EA118B"/>
    <w:rsid w:val="00EA11B6"/>
    <w:rsid w:val="00EA2181"/>
    <w:rsid w:val="00EA2DD8"/>
    <w:rsid w:val="00EA30FC"/>
    <w:rsid w:val="00EA4475"/>
    <w:rsid w:val="00EA52FE"/>
    <w:rsid w:val="00EA681F"/>
    <w:rsid w:val="00EB04C6"/>
    <w:rsid w:val="00EB06A6"/>
    <w:rsid w:val="00EB088B"/>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2C8"/>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37CB4"/>
    <w:rsid w:val="00F41399"/>
    <w:rsid w:val="00F41D91"/>
    <w:rsid w:val="00F41F52"/>
    <w:rsid w:val="00F41FA1"/>
    <w:rsid w:val="00F42363"/>
    <w:rsid w:val="00F427C4"/>
    <w:rsid w:val="00F43D6C"/>
    <w:rsid w:val="00F45E5B"/>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4399"/>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4F2"/>
    <w:rsid w:val="00FA2B96"/>
    <w:rsid w:val="00FA2DEF"/>
    <w:rsid w:val="00FA2F7B"/>
    <w:rsid w:val="00FA36A4"/>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2FC"/>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table" w:customStyle="1" w:styleId="TableGrid1">
    <w:name w:val="Table Grid1"/>
    <w:basedOn w:val="TableNormal"/>
    <w:uiPriority w:val="59"/>
    <w:rsid w:val="00225B2D"/>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2079475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0490-B8D7-49D9-8F02-A9A8BDEF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dcterms:created xsi:type="dcterms:W3CDTF">2012-09-11T15:22:00Z</dcterms:created>
  <dcterms:modified xsi:type="dcterms:W3CDTF">2012-09-11T15:22:00Z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