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9703EC" w:rsidRDefault="00AD2379" w:rsidP="000D4AF7">
      <w:pPr>
        <w:tabs>
          <w:tab w:val="left" w:pos="288"/>
          <w:tab w:val="left" w:pos="4770"/>
        </w:tabs>
        <w:rPr>
          <w:color w:val="auto"/>
        </w:rPr>
      </w:pPr>
      <w:r w:rsidRPr="009703EC">
        <w:rPr>
          <w:color w:val="auto"/>
        </w:rPr>
        <w:t>RECORD OF PROCEEDINGS</w:t>
      </w:r>
    </w:p>
    <w:p w:rsidR="00AD2379" w:rsidRPr="009703EC" w:rsidRDefault="00AD2379" w:rsidP="00BF0E94">
      <w:pPr>
        <w:tabs>
          <w:tab w:val="left" w:pos="288"/>
          <w:tab w:val="left" w:pos="4752"/>
        </w:tabs>
        <w:rPr>
          <w:color w:val="auto"/>
        </w:rPr>
      </w:pPr>
      <w:r w:rsidRPr="009703EC">
        <w:rPr>
          <w:color w:val="auto"/>
        </w:rPr>
        <w:t>PHYSICAL DISABILITY BOARD OF REVIEW</w:t>
      </w:r>
    </w:p>
    <w:p w:rsidR="00AD2379" w:rsidRPr="009703EC" w:rsidRDefault="00AD2379" w:rsidP="00BF0E94">
      <w:pPr>
        <w:tabs>
          <w:tab w:val="left" w:pos="288"/>
          <w:tab w:val="left" w:pos="4752"/>
        </w:tabs>
        <w:jc w:val="both"/>
        <w:rPr>
          <w:caps/>
          <w:color w:val="auto"/>
        </w:rPr>
      </w:pPr>
    </w:p>
    <w:p w:rsidR="0095270D" w:rsidRPr="009703EC" w:rsidRDefault="0095270D" w:rsidP="00DD5558">
      <w:pPr>
        <w:tabs>
          <w:tab w:val="right" w:pos="9360"/>
        </w:tabs>
        <w:jc w:val="both"/>
        <w:rPr>
          <w:caps/>
          <w:color w:val="auto"/>
        </w:rPr>
      </w:pPr>
      <w:r w:rsidRPr="009703EC">
        <w:rPr>
          <w:caps/>
          <w:color w:val="auto"/>
        </w:rPr>
        <w:t xml:space="preserve">NAME: </w:t>
      </w:r>
      <w:r w:rsidR="00F302A3" w:rsidRPr="009703EC">
        <w:rPr>
          <w:caps/>
          <w:color w:val="auto"/>
        </w:rPr>
        <w:t xml:space="preserve"> </w:t>
      </w:r>
      <w:r w:rsidR="00A42E91">
        <w:rPr>
          <w:caps/>
          <w:color w:val="auto"/>
        </w:rPr>
        <w:t>XXXXXXXXXX</w:t>
      </w:r>
      <w:r w:rsidR="004D1E0A">
        <w:rPr>
          <w:caps/>
          <w:color w:val="auto"/>
        </w:rPr>
        <w:t xml:space="preserve"> </w:t>
      </w:r>
      <w:r w:rsidR="00DD5558" w:rsidRPr="009703EC">
        <w:rPr>
          <w:caps/>
          <w:color w:val="auto"/>
        </w:rPr>
        <w:tab/>
      </w:r>
      <w:r w:rsidRPr="009703EC">
        <w:rPr>
          <w:caps/>
          <w:color w:val="auto"/>
        </w:rPr>
        <w:t>BRANCH OF SERVICE:</w:t>
      </w:r>
      <w:r w:rsidR="0018208F" w:rsidRPr="009703EC">
        <w:rPr>
          <w:caps/>
          <w:color w:val="auto"/>
        </w:rPr>
        <w:t xml:space="preserve"> </w:t>
      </w:r>
      <w:r w:rsidR="00F302A3" w:rsidRPr="009703EC">
        <w:rPr>
          <w:caps/>
          <w:color w:val="auto"/>
        </w:rPr>
        <w:t xml:space="preserve"> </w:t>
      </w:r>
      <w:r w:rsidR="00DF70F4" w:rsidRPr="009703EC">
        <w:rPr>
          <w:caps/>
          <w:color w:val="auto"/>
        </w:rPr>
        <w:t>Army</w:t>
      </w:r>
    </w:p>
    <w:p w:rsidR="0095270D" w:rsidRPr="009703EC" w:rsidRDefault="0095270D" w:rsidP="00DD5558">
      <w:pPr>
        <w:tabs>
          <w:tab w:val="right" w:pos="9360"/>
        </w:tabs>
        <w:jc w:val="both"/>
        <w:rPr>
          <w:color w:val="auto"/>
        </w:rPr>
      </w:pPr>
      <w:r w:rsidRPr="009703EC">
        <w:rPr>
          <w:caps/>
          <w:color w:val="auto"/>
        </w:rPr>
        <w:t>CASE NUMBER:  PD1100</w:t>
      </w:r>
      <w:r w:rsidR="00510EBE" w:rsidRPr="009703EC">
        <w:rPr>
          <w:caps/>
          <w:color w:val="auto"/>
        </w:rPr>
        <w:t>941</w:t>
      </w:r>
      <w:r w:rsidR="00DD5558" w:rsidRPr="009703EC">
        <w:rPr>
          <w:color w:val="auto"/>
        </w:rPr>
        <w:tab/>
      </w:r>
      <w:r w:rsidR="00B01038" w:rsidRPr="009703EC">
        <w:rPr>
          <w:rFonts w:cs="Times New Roman"/>
          <w:color w:val="auto"/>
          <w:szCs w:val="24"/>
        </w:rPr>
        <w:t xml:space="preserve">DATE OF PLACEMENT ON TDRL:  </w:t>
      </w:r>
      <w:r w:rsidR="00B01038" w:rsidRPr="009703EC">
        <w:rPr>
          <w:color w:val="auto"/>
        </w:rPr>
        <w:t>200</w:t>
      </w:r>
      <w:r w:rsidR="00510EBE" w:rsidRPr="009703EC">
        <w:rPr>
          <w:color w:val="auto"/>
        </w:rPr>
        <w:t>50826</w:t>
      </w:r>
    </w:p>
    <w:p w:rsidR="00AD2379" w:rsidRPr="009703EC" w:rsidRDefault="0095270D" w:rsidP="0095270D">
      <w:pPr>
        <w:pBdr>
          <w:bottom w:val="single" w:sz="12" w:space="1" w:color="auto"/>
        </w:pBdr>
        <w:tabs>
          <w:tab w:val="left" w:pos="288"/>
          <w:tab w:val="left" w:pos="4752"/>
        </w:tabs>
        <w:jc w:val="both"/>
        <w:rPr>
          <w:color w:val="auto"/>
        </w:rPr>
      </w:pPr>
      <w:r w:rsidRPr="009703EC">
        <w:rPr>
          <w:caps/>
          <w:color w:val="auto"/>
        </w:rPr>
        <w:t>BOARD DATE:</w:t>
      </w:r>
      <w:r w:rsidR="00B01038" w:rsidRPr="009703EC">
        <w:rPr>
          <w:caps/>
          <w:color w:val="auto"/>
        </w:rPr>
        <w:t xml:space="preserve"> </w:t>
      </w:r>
      <w:r w:rsidR="00F302A3" w:rsidRPr="009703EC">
        <w:rPr>
          <w:caps/>
          <w:color w:val="auto"/>
        </w:rPr>
        <w:t xml:space="preserve"> </w:t>
      </w:r>
      <w:r w:rsidRPr="009703EC">
        <w:rPr>
          <w:caps/>
          <w:color w:val="auto"/>
        </w:rPr>
        <w:t>2012</w:t>
      </w:r>
      <w:r w:rsidR="00EE2228" w:rsidRPr="009703EC">
        <w:rPr>
          <w:caps/>
          <w:color w:val="auto"/>
        </w:rPr>
        <w:t>0622</w:t>
      </w:r>
      <w:r w:rsidR="00B01038" w:rsidRPr="009703EC">
        <w:rPr>
          <w:caps/>
          <w:color w:val="auto"/>
          <w:szCs w:val="24"/>
        </w:rPr>
        <w:t xml:space="preserve">                                </w:t>
      </w:r>
      <w:r w:rsidR="00510EBE" w:rsidRPr="009703EC">
        <w:rPr>
          <w:caps/>
          <w:color w:val="auto"/>
          <w:szCs w:val="24"/>
        </w:rPr>
        <w:t xml:space="preserve">   </w:t>
      </w:r>
      <w:r w:rsidR="00B01038" w:rsidRPr="009703EC">
        <w:rPr>
          <w:caps/>
          <w:color w:val="auto"/>
          <w:szCs w:val="24"/>
        </w:rPr>
        <w:t xml:space="preserve">   </w:t>
      </w:r>
      <w:r w:rsidR="007166A6" w:rsidRPr="009703EC">
        <w:rPr>
          <w:caps/>
          <w:color w:val="auto"/>
          <w:szCs w:val="24"/>
        </w:rPr>
        <w:t xml:space="preserve">    </w:t>
      </w:r>
      <w:r w:rsidR="00B01038" w:rsidRPr="009703EC">
        <w:rPr>
          <w:rFonts w:cs="Times New Roman"/>
          <w:caps/>
          <w:color w:val="auto"/>
          <w:szCs w:val="24"/>
        </w:rPr>
        <w:t xml:space="preserve">Date of Permanent </w:t>
      </w:r>
      <w:r w:rsidR="00B01038" w:rsidRPr="009703EC">
        <w:rPr>
          <w:rFonts w:cs="Times New Roman"/>
          <w:color w:val="auto"/>
          <w:szCs w:val="24"/>
        </w:rPr>
        <w:t xml:space="preserve">SEPARATION:  </w:t>
      </w:r>
      <w:r w:rsidR="00B01038" w:rsidRPr="009703EC">
        <w:rPr>
          <w:color w:val="auto"/>
        </w:rPr>
        <w:t>200</w:t>
      </w:r>
      <w:r w:rsidR="00510EBE" w:rsidRPr="009703EC">
        <w:rPr>
          <w:color w:val="auto"/>
        </w:rPr>
        <w:t>60721</w:t>
      </w:r>
    </w:p>
    <w:p w:rsidR="0095270D" w:rsidRPr="009703EC" w:rsidRDefault="0095270D" w:rsidP="0095270D">
      <w:pPr>
        <w:pBdr>
          <w:bottom w:val="single" w:sz="12" w:space="1" w:color="auto"/>
        </w:pBdr>
        <w:tabs>
          <w:tab w:val="left" w:pos="288"/>
          <w:tab w:val="left" w:pos="4752"/>
        </w:tabs>
        <w:jc w:val="both"/>
        <w:rPr>
          <w:color w:val="auto"/>
        </w:rPr>
      </w:pPr>
    </w:p>
    <w:p w:rsidR="00AD2379" w:rsidRPr="009703EC" w:rsidRDefault="00AD2379" w:rsidP="00BF0E94">
      <w:pPr>
        <w:tabs>
          <w:tab w:val="left" w:pos="288"/>
          <w:tab w:val="left" w:pos="4752"/>
        </w:tabs>
        <w:jc w:val="both"/>
        <w:rPr>
          <w:color w:val="auto"/>
        </w:rPr>
      </w:pPr>
    </w:p>
    <w:p w:rsidR="000B1C9E" w:rsidRPr="009703EC" w:rsidRDefault="00AD2379" w:rsidP="00BF0E94">
      <w:pPr>
        <w:tabs>
          <w:tab w:val="left" w:pos="288"/>
          <w:tab w:val="left" w:pos="4752"/>
        </w:tabs>
        <w:jc w:val="both"/>
        <w:rPr>
          <w:color w:val="auto"/>
          <w:szCs w:val="24"/>
        </w:rPr>
      </w:pPr>
      <w:r w:rsidRPr="009703EC">
        <w:rPr>
          <w:color w:val="auto"/>
          <w:u w:val="single"/>
        </w:rPr>
        <w:t>SUMMARY OF CASE</w:t>
      </w:r>
      <w:r w:rsidRPr="009703EC">
        <w:rPr>
          <w:color w:val="auto"/>
        </w:rPr>
        <w:t>:</w:t>
      </w:r>
      <w:r w:rsidR="00532B33" w:rsidRPr="009703EC">
        <w:rPr>
          <w:color w:val="auto"/>
        </w:rPr>
        <w:t xml:space="preserve"> </w:t>
      </w:r>
      <w:r w:rsidRPr="009703EC">
        <w:rPr>
          <w:color w:val="auto"/>
        </w:rPr>
        <w:t xml:space="preserve"> Data extracted from the available evidence of record reflects that this covered individual (CI) was </w:t>
      </w:r>
      <w:r w:rsidR="00A70270" w:rsidRPr="009703EC">
        <w:rPr>
          <w:color w:val="auto"/>
        </w:rPr>
        <w:t>an</w:t>
      </w:r>
      <w:r w:rsidR="007F3AEC" w:rsidRPr="009703EC">
        <w:rPr>
          <w:color w:val="auto"/>
        </w:rPr>
        <w:t xml:space="preserve"> </w:t>
      </w:r>
      <w:r w:rsidR="00A70270" w:rsidRPr="009703EC">
        <w:rPr>
          <w:color w:val="auto"/>
        </w:rPr>
        <w:t>active duty</w:t>
      </w:r>
      <w:r w:rsidR="007F3AEC" w:rsidRPr="009703EC">
        <w:rPr>
          <w:color w:val="auto"/>
        </w:rPr>
        <w:t xml:space="preserve"> Soldier,</w:t>
      </w:r>
      <w:r w:rsidRPr="009703EC">
        <w:rPr>
          <w:color w:val="auto"/>
        </w:rPr>
        <w:t xml:space="preserve"> </w:t>
      </w:r>
      <w:r w:rsidR="0017172C" w:rsidRPr="009703EC">
        <w:rPr>
          <w:color w:val="auto"/>
        </w:rPr>
        <w:t>S</w:t>
      </w:r>
      <w:r w:rsidR="007F3AEC" w:rsidRPr="009703EC">
        <w:rPr>
          <w:color w:val="auto"/>
        </w:rPr>
        <w:t>PC</w:t>
      </w:r>
      <w:r w:rsidR="0017172C" w:rsidRPr="009703EC">
        <w:rPr>
          <w:color w:val="auto"/>
        </w:rPr>
        <w:t>/E-</w:t>
      </w:r>
      <w:r w:rsidR="007F3AEC" w:rsidRPr="009703EC">
        <w:rPr>
          <w:color w:val="auto"/>
        </w:rPr>
        <w:t>4</w:t>
      </w:r>
      <w:r w:rsidRPr="009703EC">
        <w:rPr>
          <w:color w:val="auto"/>
        </w:rPr>
        <w:t>(</w:t>
      </w:r>
      <w:r w:rsidR="007F3AEC" w:rsidRPr="009703EC">
        <w:rPr>
          <w:color w:val="auto"/>
        </w:rPr>
        <w:t>21W,</w:t>
      </w:r>
      <w:r w:rsidR="00112F44" w:rsidRPr="009703EC">
        <w:rPr>
          <w:color w:val="auto"/>
        </w:rPr>
        <w:t xml:space="preserve"> </w:t>
      </w:r>
      <w:r w:rsidR="007F3AEC" w:rsidRPr="009703EC">
        <w:rPr>
          <w:color w:val="auto"/>
        </w:rPr>
        <w:t>Carpentry/</w:t>
      </w:r>
      <w:r w:rsidR="0056425B" w:rsidRPr="009703EC">
        <w:rPr>
          <w:color w:val="auto"/>
        </w:rPr>
        <w:t>Masonry</w:t>
      </w:r>
      <w:r w:rsidR="00A70270" w:rsidRPr="009703EC">
        <w:rPr>
          <w:color w:val="auto"/>
        </w:rPr>
        <w:t>)</w:t>
      </w:r>
      <w:r w:rsidR="00565636" w:rsidRPr="009703EC">
        <w:rPr>
          <w:color w:val="auto"/>
        </w:rPr>
        <w:t>,</w:t>
      </w:r>
      <w:r w:rsidR="00A70270" w:rsidRPr="009703EC">
        <w:rPr>
          <w:color w:val="auto"/>
        </w:rPr>
        <w:t xml:space="preserve"> </w:t>
      </w:r>
      <w:r w:rsidRPr="009703EC">
        <w:rPr>
          <w:color w:val="auto"/>
        </w:rPr>
        <w:t>medically separated for</w:t>
      </w:r>
      <w:r w:rsidR="007F3AEC" w:rsidRPr="009703EC">
        <w:rPr>
          <w:color w:val="auto"/>
        </w:rPr>
        <w:t xml:space="preserve"> </w:t>
      </w:r>
      <w:r w:rsidR="00B65756" w:rsidRPr="009703EC">
        <w:rPr>
          <w:color w:val="auto"/>
        </w:rPr>
        <w:t xml:space="preserve">dyspnea on exertion primarily due to </w:t>
      </w:r>
      <w:r w:rsidR="007F3AEC" w:rsidRPr="009703EC">
        <w:rPr>
          <w:color w:val="auto"/>
        </w:rPr>
        <w:t>vocal cord dysfunction</w:t>
      </w:r>
      <w:r w:rsidR="0021565F" w:rsidRPr="009703EC">
        <w:rPr>
          <w:color w:val="auto"/>
          <w:szCs w:val="24"/>
        </w:rPr>
        <w:t>.</w:t>
      </w:r>
      <w:r w:rsidR="006D5E1E" w:rsidRPr="009703EC">
        <w:rPr>
          <w:color w:val="auto"/>
          <w:szCs w:val="24"/>
        </w:rPr>
        <w:t xml:space="preserve">  </w:t>
      </w:r>
      <w:r w:rsidR="0056425B" w:rsidRPr="009703EC">
        <w:rPr>
          <w:color w:val="auto"/>
          <w:szCs w:val="24"/>
        </w:rPr>
        <w:t xml:space="preserve">The CI had onset of breathing problems in basic training that worsened throughout her military service.  </w:t>
      </w:r>
      <w:r w:rsidR="00FC6DD7" w:rsidRPr="009703EC">
        <w:rPr>
          <w:color w:val="auto"/>
          <w:szCs w:val="24"/>
        </w:rPr>
        <w:t>Her initial diagnosis was a</w:t>
      </w:r>
      <w:r w:rsidR="00607F68" w:rsidRPr="009703EC">
        <w:rPr>
          <w:color w:val="auto"/>
        </w:rPr>
        <w:t>sthma compounded by vocal cord dysfunction</w:t>
      </w:r>
      <w:r w:rsidR="00FC6DD7" w:rsidRPr="009703EC">
        <w:rPr>
          <w:color w:val="auto"/>
        </w:rPr>
        <w:t xml:space="preserve">.  She was undergoing treatment and could not </w:t>
      </w:r>
      <w:r w:rsidR="00F566B7" w:rsidRPr="009703EC">
        <w:rPr>
          <w:color w:val="auto"/>
        </w:rPr>
        <w:t xml:space="preserve">meet the physical requirements of </w:t>
      </w:r>
      <w:r w:rsidR="00607F68" w:rsidRPr="009703EC">
        <w:rPr>
          <w:color w:val="auto"/>
        </w:rPr>
        <w:t>h</w:t>
      </w:r>
      <w:r w:rsidR="0021565F" w:rsidRPr="009703EC">
        <w:rPr>
          <w:color w:val="auto"/>
        </w:rPr>
        <w:t>er</w:t>
      </w:r>
      <w:r w:rsidR="00F566B7" w:rsidRPr="009703EC">
        <w:rPr>
          <w:color w:val="auto"/>
        </w:rPr>
        <w:t xml:space="preserve"> Military Occupational Specialty (MOS</w:t>
      </w:r>
      <w:r w:rsidR="00FC6DD7" w:rsidRPr="009703EC">
        <w:rPr>
          <w:color w:val="auto"/>
        </w:rPr>
        <w:t xml:space="preserve">).  </w:t>
      </w:r>
      <w:r w:rsidR="006A0909" w:rsidRPr="009703EC">
        <w:rPr>
          <w:color w:val="auto"/>
        </w:rPr>
        <w:t>She</w:t>
      </w:r>
      <w:r w:rsidR="009C12A1" w:rsidRPr="009703EC">
        <w:rPr>
          <w:color w:val="auto"/>
        </w:rPr>
        <w:t xml:space="preserve"> </w:t>
      </w:r>
      <w:r w:rsidR="00F566B7" w:rsidRPr="009703EC">
        <w:rPr>
          <w:color w:val="auto"/>
        </w:rPr>
        <w:t xml:space="preserve">was issued a permanent </w:t>
      </w:r>
      <w:r w:rsidR="00607F68" w:rsidRPr="009703EC">
        <w:rPr>
          <w:color w:val="auto"/>
        </w:rPr>
        <w:t>P</w:t>
      </w:r>
      <w:r w:rsidR="00F566B7" w:rsidRPr="009703EC">
        <w:rPr>
          <w:color w:val="auto"/>
        </w:rPr>
        <w:t>3 profile</w:t>
      </w:r>
      <w:r w:rsidR="00252A84" w:rsidRPr="009703EC">
        <w:rPr>
          <w:color w:val="auto"/>
        </w:rPr>
        <w:t xml:space="preserve"> </w:t>
      </w:r>
      <w:r w:rsidR="00F566B7" w:rsidRPr="009703EC">
        <w:rPr>
          <w:color w:val="auto"/>
        </w:rPr>
        <w:t>and</w:t>
      </w:r>
      <w:r w:rsidR="009C12A1" w:rsidRPr="009703EC">
        <w:rPr>
          <w:color w:val="auto"/>
        </w:rPr>
        <w:t xml:space="preserve"> </w:t>
      </w:r>
      <w:r w:rsidR="00F566B7" w:rsidRPr="009703EC">
        <w:rPr>
          <w:color w:val="auto"/>
        </w:rPr>
        <w:t>referred for a Medical Evaluation Board (MEB).</w:t>
      </w:r>
      <w:r w:rsidR="006D5E1E" w:rsidRPr="009703EC">
        <w:rPr>
          <w:color w:val="auto"/>
        </w:rPr>
        <w:t xml:space="preserve"> </w:t>
      </w:r>
      <w:r w:rsidR="00F302A3" w:rsidRPr="009703EC">
        <w:rPr>
          <w:color w:val="auto"/>
        </w:rPr>
        <w:t xml:space="preserve"> </w:t>
      </w:r>
      <w:r w:rsidR="004B35D9" w:rsidRPr="009703EC">
        <w:rPr>
          <w:color w:val="auto"/>
          <w:szCs w:val="24"/>
        </w:rPr>
        <w:t>Vocal cord dyskinesia and asthma, moderate persistent were forwarded to the Physical Evaluation Board (PEB) as medically unacceptable IAW AR 40-501.</w:t>
      </w:r>
      <w:r w:rsidR="006D5E1E" w:rsidRPr="009703EC">
        <w:rPr>
          <w:color w:val="auto"/>
        </w:rPr>
        <w:t xml:space="preserve"> </w:t>
      </w:r>
      <w:r w:rsidR="00F302A3" w:rsidRPr="009703EC">
        <w:rPr>
          <w:color w:val="auto"/>
        </w:rPr>
        <w:t xml:space="preserve"> </w:t>
      </w:r>
      <w:r w:rsidR="004B35D9" w:rsidRPr="009703EC">
        <w:rPr>
          <w:color w:val="auto"/>
        </w:rPr>
        <w:t>Aller</w:t>
      </w:r>
      <w:r w:rsidR="00F302A3" w:rsidRPr="009703EC">
        <w:rPr>
          <w:color w:val="auto"/>
        </w:rPr>
        <w:t>g</w:t>
      </w:r>
      <w:r w:rsidR="004B35D9" w:rsidRPr="009703EC">
        <w:rPr>
          <w:color w:val="auto"/>
        </w:rPr>
        <w:t>ic rhinitis</w:t>
      </w:r>
      <w:r w:rsidR="00FC6DD7" w:rsidRPr="009703EC">
        <w:rPr>
          <w:color w:val="auto"/>
        </w:rPr>
        <w:t xml:space="preserve"> and </w:t>
      </w:r>
      <w:r w:rsidR="00756A51">
        <w:rPr>
          <w:color w:val="auto"/>
        </w:rPr>
        <w:t>a</w:t>
      </w:r>
      <w:r w:rsidR="004B35D9" w:rsidRPr="009703EC">
        <w:rPr>
          <w:color w:val="auto"/>
        </w:rPr>
        <w:t>xis I:</w:t>
      </w:r>
      <w:r w:rsidR="00FC6DD7" w:rsidRPr="009703EC">
        <w:rPr>
          <w:color w:val="auto"/>
        </w:rPr>
        <w:t xml:space="preserve"> </w:t>
      </w:r>
      <w:r w:rsidR="004D1E0A">
        <w:rPr>
          <w:color w:val="auto"/>
        </w:rPr>
        <w:t>o</w:t>
      </w:r>
      <w:r w:rsidR="004B35D9" w:rsidRPr="009703EC">
        <w:rPr>
          <w:color w:val="auto"/>
        </w:rPr>
        <w:t>ccupational problem</w:t>
      </w:r>
      <w:r w:rsidR="00FC6DD7" w:rsidRPr="009703EC">
        <w:rPr>
          <w:color w:val="auto"/>
        </w:rPr>
        <w:t xml:space="preserve"> with </w:t>
      </w:r>
      <w:r w:rsidR="00756A51">
        <w:rPr>
          <w:color w:val="auto"/>
        </w:rPr>
        <w:t>a</w:t>
      </w:r>
      <w:r w:rsidR="004B35D9" w:rsidRPr="009703EC">
        <w:rPr>
          <w:color w:val="auto"/>
        </w:rPr>
        <w:t xml:space="preserve">xis II: </w:t>
      </w:r>
      <w:r w:rsidR="00FC6DD7" w:rsidRPr="009703EC">
        <w:rPr>
          <w:color w:val="auto"/>
        </w:rPr>
        <w:t xml:space="preserve"> </w:t>
      </w:r>
      <w:r w:rsidR="004B35D9" w:rsidRPr="009703EC">
        <w:rPr>
          <w:color w:val="auto"/>
        </w:rPr>
        <w:t>avoidance traits</w:t>
      </w:r>
      <w:r w:rsidR="00B65756" w:rsidRPr="009703EC">
        <w:rPr>
          <w:color w:val="auto"/>
        </w:rPr>
        <w:t>,</w:t>
      </w:r>
      <w:r w:rsidR="00FC6DD7" w:rsidRPr="009703EC">
        <w:rPr>
          <w:color w:val="auto"/>
        </w:rPr>
        <w:t xml:space="preserve"> as </w:t>
      </w:r>
      <w:r w:rsidR="00071F0D" w:rsidRPr="009703EC">
        <w:rPr>
          <w:color w:val="auto"/>
        </w:rPr>
        <w:t xml:space="preserve">identified in the rating chart </w:t>
      </w:r>
      <w:r w:rsidR="00B65756" w:rsidRPr="009703EC">
        <w:rPr>
          <w:color w:val="auto"/>
        </w:rPr>
        <w:t>below</w:t>
      </w:r>
      <w:r w:rsidR="00071F0D" w:rsidRPr="009703EC">
        <w:rPr>
          <w:color w:val="auto"/>
        </w:rPr>
        <w:t xml:space="preserve"> were also identified and forwarded by the MEB</w:t>
      </w:r>
      <w:r w:rsidR="00F302A3" w:rsidRPr="009703EC">
        <w:rPr>
          <w:color w:val="auto"/>
        </w:rPr>
        <w:t xml:space="preserve"> as meeting retention standards</w:t>
      </w:r>
      <w:r w:rsidR="00F566B7" w:rsidRPr="009703EC">
        <w:rPr>
          <w:color w:val="auto"/>
        </w:rPr>
        <w:t xml:space="preserve">. </w:t>
      </w:r>
      <w:r w:rsidR="00F302A3" w:rsidRPr="009703EC">
        <w:rPr>
          <w:color w:val="auto"/>
        </w:rPr>
        <w:t xml:space="preserve"> </w:t>
      </w:r>
      <w:r w:rsidRPr="009703EC">
        <w:rPr>
          <w:color w:val="auto"/>
        </w:rPr>
        <w:t xml:space="preserve">The PEB adjudicated </w:t>
      </w:r>
      <w:r w:rsidR="003A6DE5" w:rsidRPr="009703EC">
        <w:rPr>
          <w:color w:val="auto"/>
        </w:rPr>
        <w:t xml:space="preserve">asthma, compounded by vocal cord </w:t>
      </w:r>
      <w:r w:rsidR="00FC6DD7" w:rsidRPr="009703EC">
        <w:rPr>
          <w:color w:val="auto"/>
        </w:rPr>
        <w:t>dysfunction</w:t>
      </w:r>
      <w:r w:rsidR="008530E3" w:rsidRPr="009703EC">
        <w:rPr>
          <w:color w:val="auto"/>
        </w:rPr>
        <w:t xml:space="preserve"> as unfitting, rat</w:t>
      </w:r>
      <w:r w:rsidR="003A6DE5" w:rsidRPr="009703EC">
        <w:rPr>
          <w:color w:val="auto"/>
        </w:rPr>
        <w:t>ing</w:t>
      </w:r>
      <w:r w:rsidR="008530E3" w:rsidRPr="009703EC">
        <w:rPr>
          <w:color w:val="auto"/>
        </w:rPr>
        <w:t xml:space="preserve"> </w:t>
      </w:r>
      <w:r w:rsidR="003A6DE5" w:rsidRPr="009703EC">
        <w:rPr>
          <w:color w:val="auto"/>
        </w:rPr>
        <w:t xml:space="preserve">it </w:t>
      </w:r>
      <w:r w:rsidR="00FC6DD7" w:rsidRPr="009703EC">
        <w:rPr>
          <w:color w:val="auto"/>
        </w:rPr>
        <w:t xml:space="preserve">at </w:t>
      </w:r>
      <w:r w:rsidR="003A6DE5" w:rsidRPr="009703EC">
        <w:rPr>
          <w:color w:val="auto"/>
        </w:rPr>
        <w:t>30%</w:t>
      </w:r>
      <w:r w:rsidR="00286A0D" w:rsidRPr="009703EC">
        <w:rPr>
          <w:color w:val="auto"/>
        </w:rPr>
        <w:t xml:space="preserve"> (6599, 6520, 6602)</w:t>
      </w:r>
      <w:r w:rsidR="003A6DE5" w:rsidRPr="009703EC">
        <w:rPr>
          <w:color w:val="auto"/>
        </w:rPr>
        <w:t>,</w:t>
      </w:r>
      <w:r w:rsidRPr="009703EC">
        <w:rPr>
          <w:color w:val="auto"/>
        </w:rPr>
        <w:t xml:space="preserve"> </w:t>
      </w:r>
      <w:r w:rsidR="00E46D90" w:rsidRPr="009703EC">
        <w:rPr>
          <w:color w:val="auto"/>
        </w:rPr>
        <w:t xml:space="preserve">with application of the </w:t>
      </w:r>
      <w:r w:rsidRPr="009703EC">
        <w:rPr>
          <w:color w:val="auto"/>
        </w:rPr>
        <w:t>Veteran</w:t>
      </w:r>
      <w:r w:rsidR="00BF72CA" w:rsidRPr="009703EC">
        <w:rPr>
          <w:color w:val="auto"/>
        </w:rPr>
        <w:t>’</w:t>
      </w:r>
      <w:r w:rsidRPr="009703EC">
        <w:rPr>
          <w:color w:val="auto"/>
        </w:rPr>
        <w:t>s A</w:t>
      </w:r>
      <w:r w:rsidR="00BF72CA" w:rsidRPr="009703EC">
        <w:rPr>
          <w:color w:val="auto"/>
        </w:rPr>
        <w:t>ffairs</w:t>
      </w:r>
      <w:r w:rsidRPr="009703EC">
        <w:rPr>
          <w:color w:val="auto"/>
        </w:rPr>
        <w:t xml:space="preserve"> Schedule for Rating Disabilities (VASRD)</w:t>
      </w:r>
      <w:r w:rsidR="00BF72CA" w:rsidRPr="009703EC">
        <w:rPr>
          <w:color w:val="auto"/>
        </w:rPr>
        <w:t>.</w:t>
      </w:r>
      <w:r w:rsidR="003A6DE5" w:rsidRPr="009703EC">
        <w:rPr>
          <w:color w:val="auto"/>
        </w:rPr>
        <w:t xml:space="preserve"> </w:t>
      </w:r>
      <w:r w:rsidR="00F302A3" w:rsidRPr="009703EC">
        <w:rPr>
          <w:color w:val="auto"/>
        </w:rPr>
        <w:t xml:space="preserve"> </w:t>
      </w:r>
      <w:r w:rsidR="003A6DE5" w:rsidRPr="009703EC">
        <w:rPr>
          <w:color w:val="auto"/>
        </w:rPr>
        <w:t>The PEB</w:t>
      </w:r>
      <w:r w:rsidR="00FC6DD7" w:rsidRPr="009703EC">
        <w:rPr>
          <w:color w:val="auto"/>
        </w:rPr>
        <w:t xml:space="preserve"> indicated the CI’s condition was not considered stable for permanent rating, </w:t>
      </w:r>
      <w:r w:rsidR="003A6DE5" w:rsidRPr="009703EC">
        <w:rPr>
          <w:color w:val="auto"/>
        </w:rPr>
        <w:t xml:space="preserve">adjudicated the </w:t>
      </w:r>
      <w:r w:rsidR="00FC6DD7" w:rsidRPr="009703EC">
        <w:rPr>
          <w:color w:val="auto"/>
        </w:rPr>
        <w:t>remaining conditions</w:t>
      </w:r>
      <w:r w:rsidR="003A6DE5" w:rsidRPr="009703EC">
        <w:rPr>
          <w:color w:val="auto"/>
        </w:rPr>
        <w:t xml:space="preserve"> as not unfitting and </w:t>
      </w:r>
      <w:r w:rsidR="00B01038" w:rsidRPr="009703EC">
        <w:rPr>
          <w:color w:val="auto"/>
          <w:szCs w:val="24"/>
        </w:rPr>
        <w:t xml:space="preserve">placed </w:t>
      </w:r>
      <w:r w:rsidR="003A6DE5" w:rsidRPr="009703EC">
        <w:rPr>
          <w:color w:val="auto"/>
          <w:szCs w:val="24"/>
        </w:rPr>
        <w:t xml:space="preserve">the CI </w:t>
      </w:r>
      <w:r w:rsidR="00B01038" w:rsidRPr="009703EC">
        <w:rPr>
          <w:color w:val="auto"/>
          <w:szCs w:val="24"/>
        </w:rPr>
        <w:t xml:space="preserve">on </w:t>
      </w:r>
      <w:r w:rsidR="003A6DE5" w:rsidRPr="009703EC">
        <w:rPr>
          <w:color w:val="auto"/>
          <w:szCs w:val="24"/>
        </w:rPr>
        <w:t xml:space="preserve">the </w:t>
      </w:r>
      <w:r w:rsidR="00B01038" w:rsidRPr="009703EC">
        <w:rPr>
          <w:color w:val="auto"/>
          <w:szCs w:val="24"/>
        </w:rPr>
        <w:t>Temporary Disability Retired List (TDRL) with ratings as reflected in the chart below.</w:t>
      </w:r>
      <w:r w:rsidR="003A6DE5" w:rsidRPr="009703EC">
        <w:rPr>
          <w:color w:val="auto"/>
          <w:szCs w:val="24"/>
        </w:rPr>
        <w:t xml:space="preserve"> </w:t>
      </w:r>
      <w:r w:rsidR="00F302A3" w:rsidRPr="009703EC">
        <w:rPr>
          <w:color w:val="auto"/>
          <w:szCs w:val="24"/>
        </w:rPr>
        <w:t xml:space="preserve"> </w:t>
      </w:r>
      <w:r w:rsidR="0036733E" w:rsidRPr="009703EC">
        <w:rPr>
          <w:color w:val="auto"/>
          <w:szCs w:val="24"/>
        </w:rPr>
        <w:t xml:space="preserve">At the </w:t>
      </w:r>
      <w:r w:rsidR="00F302A3" w:rsidRPr="009703EC">
        <w:rPr>
          <w:color w:val="auto"/>
          <w:szCs w:val="24"/>
        </w:rPr>
        <w:t>TD</w:t>
      </w:r>
      <w:r w:rsidR="00FC6DD7" w:rsidRPr="009703EC">
        <w:rPr>
          <w:color w:val="auto"/>
          <w:szCs w:val="24"/>
        </w:rPr>
        <w:t>RL</w:t>
      </w:r>
      <w:r w:rsidR="0036733E" w:rsidRPr="009703EC">
        <w:rPr>
          <w:color w:val="auto"/>
          <w:szCs w:val="24"/>
        </w:rPr>
        <w:t xml:space="preserve"> re-evaluation the CI’s breathing problems and limitations continued.  T</w:t>
      </w:r>
      <w:r w:rsidR="00F302A3" w:rsidRPr="009703EC">
        <w:rPr>
          <w:color w:val="auto"/>
          <w:szCs w:val="24"/>
        </w:rPr>
        <w:t xml:space="preserve">he PEB </w:t>
      </w:r>
      <w:r w:rsidR="0036733E" w:rsidRPr="009703EC">
        <w:rPr>
          <w:color w:val="auto"/>
          <w:szCs w:val="24"/>
        </w:rPr>
        <w:t xml:space="preserve">found the CI unfit at 10% </w:t>
      </w:r>
      <w:r w:rsidR="00286A0D" w:rsidRPr="009703EC">
        <w:rPr>
          <w:color w:val="auto"/>
          <w:szCs w:val="24"/>
        </w:rPr>
        <w:t xml:space="preserve">(6602, 6599, 6520) </w:t>
      </w:r>
      <w:r w:rsidR="0036733E" w:rsidRPr="009703EC">
        <w:rPr>
          <w:color w:val="auto"/>
          <w:szCs w:val="24"/>
        </w:rPr>
        <w:t xml:space="preserve">stating “Change in rating code secondary to change in diagnosis.  </w:t>
      </w:r>
      <w:proofErr w:type="gramStart"/>
      <w:r w:rsidR="0036733E" w:rsidRPr="009703EC">
        <w:rPr>
          <w:color w:val="auto"/>
          <w:szCs w:val="24"/>
        </w:rPr>
        <w:t>Rated as analogous to laryngeal stenosis with FEV1 of 78%.</w:t>
      </w:r>
      <w:proofErr w:type="gramEnd"/>
      <w:r w:rsidR="0036733E" w:rsidRPr="009703EC">
        <w:rPr>
          <w:color w:val="auto"/>
          <w:szCs w:val="24"/>
        </w:rPr>
        <w:t xml:space="preserve">  </w:t>
      </w:r>
      <w:proofErr w:type="gramStart"/>
      <w:r w:rsidR="0036733E" w:rsidRPr="009703EC">
        <w:rPr>
          <w:color w:val="auto"/>
          <w:szCs w:val="24"/>
        </w:rPr>
        <w:t>Stable for rating purposes.”</w:t>
      </w:r>
      <w:proofErr w:type="gramEnd"/>
      <w:r w:rsidR="0036733E" w:rsidRPr="009703EC">
        <w:rPr>
          <w:color w:val="auto"/>
          <w:szCs w:val="24"/>
        </w:rPr>
        <w:t xml:space="preserve">  The PEB disability description section indicated that </w:t>
      </w:r>
      <w:r w:rsidR="00286A0D" w:rsidRPr="009703EC">
        <w:rPr>
          <w:color w:val="auto"/>
          <w:szCs w:val="24"/>
        </w:rPr>
        <w:t>“the medical evidence in your recent evaluation now indicates that your disease, asthma, is no longer unfitting and thus was not rated by the Board.”</w:t>
      </w:r>
      <w:r w:rsidR="00286A0D" w:rsidRPr="009703EC">
        <w:rPr>
          <w:rFonts w:ascii="Times New Roman" w:hAnsi="Times New Roman" w:cs="Times New Roman"/>
          <w:color w:val="auto"/>
          <w:sz w:val="18"/>
          <w:szCs w:val="18"/>
        </w:rPr>
        <w:t xml:space="preserve">  </w:t>
      </w:r>
      <w:r w:rsidR="003A6DE5" w:rsidRPr="009703EC">
        <w:rPr>
          <w:color w:val="auto"/>
          <w:szCs w:val="24"/>
        </w:rPr>
        <w:t>T</w:t>
      </w:r>
      <w:r w:rsidRPr="009703EC">
        <w:rPr>
          <w:color w:val="auto"/>
        </w:rPr>
        <w:t xml:space="preserve">he CI made no appeals, and was medically separated with </w:t>
      </w:r>
      <w:r w:rsidR="0066684A" w:rsidRPr="009703EC">
        <w:rPr>
          <w:color w:val="auto"/>
        </w:rPr>
        <w:t xml:space="preserve">a </w:t>
      </w:r>
      <w:r w:rsidR="003A6DE5" w:rsidRPr="009703EC">
        <w:rPr>
          <w:color w:val="auto"/>
        </w:rPr>
        <w:t>10</w:t>
      </w:r>
      <w:r w:rsidR="0066684A" w:rsidRPr="009703EC">
        <w:rPr>
          <w:color w:val="auto"/>
        </w:rPr>
        <w:t xml:space="preserve">% </w:t>
      </w:r>
      <w:r w:rsidRPr="009703EC">
        <w:rPr>
          <w:color w:val="auto"/>
        </w:rPr>
        <w:t>disability rating.</w:t>
      </w:r>
      <w:r w:rsidR="00165C7B" w:rsidRPr="009703EC">
        <w:rPr>
          <w:color w:val="auto"/>
        </w:rPr>
        <w:t xml:space="preserve">  </w:t>
      </w:r>
    </w:p>
    <w:p w:rsidR="00042978" w:rsidRPr="009703EC" w:rsidRDefault="00042978" w:rsidP="00042978">
      <w:pPr>
        <w:pBdr>
          <w:bottom w:val="single" w:sz="12" w:space="1" w:color="auto"/>
        </w:pBdr>
        <w:tabs>
          <w:tab w:val="left" w:pos="288"/>
          <w:tab w:val="left" w:pos="4752"/>
        </w:tabs>
        <w:jc w:val="both"/>
        <w:rPr>
          <w:color w:val="auto"/>
        </w:rPr>
      </w:pPr>
    </w:p>
    <w:p w:rsidR="00042978" w:rsidRPr="009703EC" w:rsidRDefault="00042978" w:rsidP="00042978">
      <w:pPr>
        <w:jc w:val="left"/>
        <w:rPr>
          <w:color w:val="auto"/>
          <w:u w:val="single"/>
        </w:rPr>
      </w:pPr>
    </w:p>
    <w:p w:rsidR="00E212DF" w:rsidRPr="009703EC" w:rsidRDefault="00AD2379" w:rsidP="00CE0022">
      <w:pPr>
        <w:tabs>
          <w:tab w:val="left" w:pos="288"/>
          <w:tab w:val="left" w:pos="4752"/>
        </w:tabs>
        <w:jc w:val="both"/>
        <w:rPr>
          <w:rFonts w:eastAsia="Cambria"/>
          <w:color w:val="auto"/>
          <w:szCs w:val="24"/>
        </w:rPr>
      </w:pPr>
      <w:r w:rsidRPr="009703EC">
        <w:rPr>
          <w:color w:val="auto"/>
          <w:u w:val="single"/>
        </w:rPr>
        <w:t>CI CONTENTION</w:t>
      </w:r>
      <w:r w:rsidRPr="009703EC">
        <w:rPr>
          <w:color w:val="auto"/>
        </w:rPr>
        <w:t>:</w:t>
      </w:r>
      <w:r w:rsidR="00CE0022" w:rsidRPr="009703EC">
        <w:rPr>
          <w:color w:val="auto"/>
        </w:rPr>
        <w:t xml:space="preserve"> </w:t>
      </w:r>
      <w:r w:rsidR="00F302A3" w:rsidRPr="009703EC">
        <w:rPr>
          <w:color w:val="auto"/>
        </w:rPr>
        <w:t xml:space="preserve"> </w:t>
      </w:r>
      <w:r w:rsidR="00CE0022" w:rsidRPr="009703EC">
        <w:rPr>
          <w:color w:val="auto"/>
        </w:rPr>
        <w:t xml:space="preserve">“I feel my rating should be changed, because I wasn’t given a fair appointment at my first yearly TDRL physical at all which had me put off.  At the time of my first (yearly) annual TDRL appointment I was pregnant with my first son.  I was induced at 39 weeks </w:t>
      </w:r>
      <w:r w:rsidR="007E0CBD">
        <w:rPr>
          <w:color w:val="auto"/>
        </w:rPr>
        <w:t>with him due to my asthma, pre-</w:t>
      </w:r>
      <w:r w:rsidR="00CE0022" w:rsidRPr="009703EC">
        <w:rPr>
          <w:color w:val="auto"/>
        </w:rPr>
        <w:t xml:space="preserve">clampsia and leaking high amounts of proteins in my urine.  I was also in the hospital for almost a week given breathing treatments every 2 hours. </w:t>
      </w:r>
      <w:r w:rsidR="007E0CBD">
        <w:rPr>
          <w:color w:val="auto"/>
        </w:rPr>
        <w:t xml:space="preserve"> </w:t>
      </w:r>
      <w:r w:rsidR="00CE0022" w:rsidRPr="009703EC">
        <w:rPr>
          <w:color w:val="auto"/>
        </w:rPr>
        <w:t>I still suffer to date with these/this asthma/chronic asthma.</w:t>
      </w:r>
      <w:r w:rsidR="006421FA" w:rsidRPr="009703EC">
        <w:rPr>
          <w:color w:val="auto"/>
        </w:rPr>
        <w:t xml:space="preserve"> </w:t>
      </w:r>
      <w:r w:rsidR="00F302A3" w:rsidRPr="009703EC">
        <w:rPr>
          <w:color w:val="auto"/>
        </w:rPr>
        <w:t xml:space="preserve"> </w:t>
      </w:r>
      <w:r w:rsidR="006421FA" w:rsidRPr="009703EC">
        <w:rPr>
          <w:color w:val="auto"/>
        </w:rPr>
        <w:t xml:space="preserve">I currently receive TDIU from the VA, because I am unemployable for Asthma alone.  Then, I was granted the 50% for migraines, which was on my MEB file, they never put PTSD on there but overseas I was a victim of sexual assault.  The MEB tried to make it as if I was making up illnesses but in my civilian life I am suffering worse that in the military.  You all can put in my social security number and name.  I should have medical records (military) from October 2001 – July 2010.  I was married to an Army Sergeant from August 2006 to July 2010. </w:t>
      </w:r>
      <w:r w:rsidR="00F302A3" w:rsidRPr="009703EC">
        <w:rPr>
          <w:color w:val="auto"/>
        </w:rPr>
        <w:t xml:space="preserve"> </w:t>
      </w:r>
      <w:r w:rsidR="006421FA" w:rsidRPr="009703EC">
        <w:rPr>
          <w:color w:val="auto"/>
        </w:rPr>
        <w:t>For VA purposes, they still list me as Astin Shanell Martin-Bell, although they have my divorce decree and all.</w:t>
      </w:r>
      <w:r w:rsidR="00CE0022" w:rsidRPr="009703EC">
        <w:rPr>
          <w:color w:val="auto"/>
        </w:rPr>
        <w:t>” [</w:t>
      </w:r>
      <w:proofErr w:type="gramStart"/>
      <w:r w:rsidR="00CE0022" w:rsidRPr="009703EC">
        <w:rPr>
          <w:i/>
          <w:color w:val="auto"/>
        </w:rPr>
        <w:t>sic</w:t>
      </w:r>
      <w:proofErr w:type="gramEnd"/>
      <w:r w:rsidR="00CE0022" w:rsidRPr="009703EC">
        <w:rPr>
          <w:color w:val="auto"/>
        </w:rPr>
        <w:t>]</w:t>
      </w:r>
      <w:r w:rsidR="006B690F" w:rsidRPr="009703EC">
        <w:rPr>
          <w:rFonts w:eastAsia="Cambria"/>
          <w:color w:val="auto"/>
          <w:szCs w:val="24"/>
        </w:rPr>
        <w:t xml:space="preserve">  </w:t>
      </w:r>
    </w:p>
    <w:p w:rsidR="004306E0" w:rsidRPr="009703EC" w:rsidRDefault="004306E0" w:rsidP="00BF0E94">
      <w:pPr>
        <w:pBdr>
          <w:bottom w:val="single" w:sz="12" w:space="1" w:color="auto"/>
        </w:pBdr>
        <w:tabs>
          <w:tab w:val="left" w:pos="288"/>
          <w:tab w:val="left" w:pos="4752"/>
        </w:tabs>
        <w:jc w:val="both"/>
        <w:rPr>
          <w:color w:val="auto"/>
        </w:rPr>
      </w:pPr>
    </w:p>
    <w:p w:rsidR="007635A8" w:rsidRPr="009703EC" w:rsidRDefault="007635A8" w:rsidP="007635A8">
      <w:pPr>
        <w:jc w:val="both"/>
        <w:rPr>
          <w:color w:val="auto"/>
          <w:u w:val="single"/>
        </w:rPr>
      </w:pPr>
    </w:p>
    <w:p w:rsidR="009239C0" w:rsidRPr="009703EC" w:rsidRDefault="009239C0" w:rsidP="009239C0">
      <w:pPr>
        <w:jc w:val="both"/>
        <w:rPr>
          <w:color w:val="auto"/>
        </w:rPr>
      </w:pPr>
      <w:r w:rsidRPr="009703EC">
        <w:rPr>
          <w:color w:val="auto"/>
          <w:u w:val="single"/>
        </w:rPr>
        <w:t>SCOPE OF REVIEW</w:t>
      </w:r>
      <w:r w:rsidRPr="009703EC">
        <w:rPr>
          <w:color w:val="auto"/>
        </w:rPr>
        <w:t>:  The Board wishes to clarify that the scope of its re</w:t>
      </w:r>
      <w:r w:rsidR="00AE2B85" w:rsidRPr="009703EC">
        <w:rPr>
          <w:color w:val="auto"/>
        </w:rPr>
        <w:t>view as defined in DoDI 6040.44, Enclosure 3, paragraph 5.e</w:t>
      </w:r>
      <w:proofErr w:type="gramStart"/>
      <w:r w:rsidR="00AE2B85" w:rsidRPr="009703EC">
        <w:rPr>
          <w:color w:val="auto"/>
        </w:rPr>
        <w:t>.(</w:t>
      </w:r>
      <w:proofErr w:type="gramEnd"/>
      <w:r w:rsidR="00AE2B85" w:rsidRPr="009703EC">
        <w:rPr>
          <w:color w:val="auto"/>
        </w:rPr>
        <w:t>2)</w:t>
      </w:r>
      <w:r w:rsidRPr="009703EC">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756A51">
        <w:rPr>
          <w:color w:val="auto"/>
        </w:rPr>
        <w:t>.</w:t>
      </w:r>
      <w:r w:rsidRPr="009703EC">
        <w:rPr>
          <w:color w:val="auto"/>
        </w:rPr>
        <w:t xml:space="preserve">”  The ratings for unfitting conditions will be reviewed in all cases. </w:t>
      </w:r>
      <w:r w:rsidR="00553E34" w:rsidRPr="009703EC">
        <w:rPr>
          <w:color w:val="auto"/>
        </w:rPr>
        <w:t xml:space="preserve"> </w:t>
      </w:r>
      <w:r w:rsidR="00AD7079" w:rsidRPr="009703EC">
        <w:rPr>
          <w:color w:val="auto"/>
        </w:rPr>
        <w:t xml:space="preserve">The asthma condition requested for </w:t>
      </w:r>
      <w:r w:rsidR="00AB396D" w:rsidRPr="009703EC">
        <w:rPr>
          <w:color w:val="auto"/>
        </w:rPr>
        <w:t>consideration</w:t>
      </w:r>
      <w:r w:rsidR="00AD7079" w:rsidRPr="009703EC">
        <w:rPr>
          <w:color w:val="auto"/>
        </w:rPr>
        <w:t xml:space="preserve"> and the unfitting vocal cord dysfunction </w:t>
      </w:r>
      <w:r w:rsidR="005323DA" w:rsidRPr="009703EC">
        <w:rPr>
          <w:color w:val="auto"/>
        </w:rPr>
        <w:t xml:space="preserve">(VCD) </w:t>
      </w:r>
      <w:r w:rsidR="00AD7079" w:rsidRPr="009703EC">
        <w:rPr>
          <w:color w:val="auto"/>
        </w:rPr>
        <w:t xml:space="preserve">conditions meet the criteria </w:t>
      </w:r>
      <w:r w:rsidR="00AD7079" w:rsidRPr="009703EC">
        <w:rPr>
          <w:color w:val="auto"/>
        </w:rPr>
        <w:lastRenderedPageBreak/>
        <w:t xml:space="preserve">prescribed in DoDI 6040.44 for Board purview, and are accordingly addressed below.  </w:t>
      </w:r>
      <w:r w:rsidRPr="009703EC">
        <w:rPr>
          <w:color w:val="auto"/>
        </w:rPr>
        <w:t>The other requested conditions</w:t>
      </w:r>
      <w:r w:rsidR="00E21B9F" w:rsidRPr="009703EC">
        <w:rPr>
          <w:color w:val="auto"/>
        </w:rPr>
        <w:t xml:space="preserve">, migraines </w:t>
      </w:r>
      <w:r w:rsidR="00AD7079" w:rsidRPr="009703EC">
        <w:rPr>
          <w:color w:val="auto"/>
        </w:rPr>
        <w:t xml:space="preserve">(not an MEB diagnosis on DA Form 3947) </w:t>
      </w:r>
      <w:r w:rsidR="00E21B9F" w:rsidRPr="009703EC">
        <w:rPr>
          <w:color w:val="auto"/>
        </w:rPr>
        <w:t xml:space="preserve">and </w:t>
      </w:r>
      <w:r w:rsidR="00756A51">
        <w:rPr>
          <w:color w:val="auto"/>
        </w:rPr>
        <w:t>posttraumatic stress disorder (</w:t>
      </w:r>
      <w:r w:rsidR="00E21B9F" w:rsidRPr="009703EC">
        <w:rPr>
          <w:color w:val="auto"/>
        </w:rPr>
        <w:t>PTSD</w:t>
      </w:r>
      <w:r w:rsidR="00756A51">
        <w:rPr>
          <w:color w:val="auto"/>
        </w:rPr>
        <w:t>)</w:t>
      </w:r>
      <w:r w:rsidR="00E21B9F" w:rsidRPr="009703EC">
        <w:rPr>
          <w:color w:val="auto"/>
        </w:rPr>
        <w:t>,</w:t>
      </w:r>
      <w:r w:rsidRPr="009703EC">
        <w:rPr>
          <w:color w:val="auto"/>
        </w:rPr>
        <w:t xml:space="preserve"> are not within the Board’s purview.  Any conditions or contention not requested in this application, or otherwise outside the Board’s defined scope of review, remain eligible for future consideration by the Army Board for the Correction of Military Records (BCMR)</w:t>
      </w:r>
      <w:r w:rsidR="00E21B9F" w:rsidRPr="009703EC">
        <w:rPr>
          <w:color w:val="auto"/>
        </w:rPr>
        <w:t>.</w:t>
      </w:r>
    </w:p>
    <w:p w:rsidR="000B63CF" w:rsidRPr="009703EC" w:rsidRDefault="000B63CF" w:rsidP="000B63CF">
      <w:pPr>
        <w:pBdr>
          <w:bottom w:val="single" w:sz="12" w:space="1" w:color="auto"/>
        </w:pBdr>
        <w:tabs>
          <w:tab w:val="left" w:pos="288"/>
          <w:tab w:val="left" w:pos="4752"/>
        </w:tabs>
        <w:jc w:val="both"/>
        <w:rPr>
          <w:color w:val="auto"/>
        </w:rPr>
      </w:pPr>
    </w:p>
    <w:p w:rsidR="00921F7F" w:rsidRPr="009703EC" w:rsidRDefault="00921F7F" w:rsidP="00BF0E94">
      <w:pPr>
        <w:tabs>
          <w:tab w:val="left" w:pos="288"/>
          <w:tab w:val="left" w:pos="4752"/>
        </w:tabs>
        <w:jc w:val="both"/>
        <w:rPr>
          <w:color w:val="auto"/>
        </w:rPr>
      </w:pPr>
    </w:p>
    <w:p w:rsidR="00286A0D" w:rsidRPr="009703EC" w:rsidRDefault="00B01038" w:rsidP="00286A0D">
      <w:pPr>
        <w:jc w:val="both"/>
        <w:rPr>
          <w:color w:val="auto"/>
          <w:sz w:val="20"/>
        </w:rPr>
      </w:pPr>
      <w:r w:rsidRPr="009703EC">
        <w:rPr>
          <w:color w:val="auto"/>
          <w:szCs w:val="24"/>
          <w:u w:val="single"/>
        </w:rPr>
        <w:t>TDRL R</w:t>
      </w:r>
      <w:r w:rsidR="009D1046" w:rsidRPr="009703EC">
        <w:rPr>
          <w:color w:val="auto"/>
          <w:szCs w:val="24"/>
          <w:u w:val="single"/>
        </w:rPr>
        <w:t>ATING COMPARISON</w:t>
      </w:r>
      <w:r w:rsidR="009D1046" w:rsidRPr="009703EC">
        <w:rPr>
          <w:color w:val="auto"/>
          <w:szCs w:val="24"/>
        </w:rPr>
        <w:t>:</w:t>
      </w:r>
      <w:r w:rsidR="00286A0D" w:rsidRPr="009703EC">
        <w:rPr>
          <w:color w:val="auto"/>
          <w:szCs w:val="24"/>
        </w:rPr>
        <w:t xml:space="preserve"> </w:t>
      </w:r>
    </w:p>
    <w:p w:rsidR="00B01038" w:rsidRPr="009703EC" w:rsidRDefault="00B01038" w:rsidP="00B01038">
      <w:pPr>
        <w:tabs>
          <w:tab w:val="left" w:pos="288"/>
          <w:tab w:val="left" w:pos="4752"/>
        </w:tabs>
        <w:jc w:val="both"/>
        <w:rPr>
          <w:b/>
          <w:color w:val="auto"/>
          <w:szCs w:val="18"/>
          <w:u w:val="single"/>
        </w:rPr>
      </w:pPr>
    </w:p>
    <w:tbl>
      <w:tblPr>
        <w:tblStyle w:val="TableGrid"/>
        <w:tblpPr w:leftFromText="187" w:rightFromText="187" w:vertAnchor="text" w:tblpXSpec="center" w:tblpY="1"/>
        <w:tblOverlap w:val="never"/>
        <w:tblW w:w="9450" w:type="dxa"/>
        <w:tblLayout w:type="fixed"/>
        <w:tblLook w:val="04A0"/>
      </w:tblPr>
      <w:tblGrid>
        <w:gridCol w:w="270"/>
        <w:gridCol w:w="1260"/>
        <w:gridCol w:w="990"/>
        <w:gridCol w:w="630"/>
        <w:gridCol w:w="1080"/>
        <w:gridCol w:w="1710"/>
        <w:gridCol w:w="810"/>
        <w:gridCol w:w="720"/>
        <w:gridCol w:w="990"/>
        <w:gridCol w:w="990"/>
      </w:tblGrid>
      <w:tr w:rsidR="00F55155" w:rsidRPr="009703EC" w:rsidTr="00AB396D">
        <w:trPr>
          <w:trHeight w:val="233"/>
        </w:trPr>
        <w:tc>
          <w:tcPr>
            <w:tcW w:w="4230" w:type="dxa"/>
            <w:gridSpan w:val="5"/>
            <w:tcBorders>
              <w:right w:val="thinThickThinSmallGap" w:sz="24" w:space="0" w:color="auto"/>
            </w:tcBorders>
            <w:shd w:val="clear" w:color="auto" w:fill="D9D9D9" w:themeFill="background1" w:themeFillShade="D9"/>
            <w:vAlign w:val="center"/>
          </w:tcPr>
          <w:p w:rsidR="00F55155" w:rsidRPr="009703EC" w:rsidRDefault="00F55155" w:rsidP="00483848">
            <w:pPr>
              <w:spacing w:line="180" w:lineRule="exact"/>
              <w:contextualSpacing/>
              <w:rPr>
                <w:rFonts w:cstheme="minorHAnsi"/>
                <w:b/>
                <w:color w:val="auto"/>
                <w:sz w:val="18"/>
                <w:szCs w:val="18"/>
              </w:rPr>
            </w:pPr>
            <w:r w:rsidRPr="009703EC">
              <w:rPr>
                <w:b/>
                <w:color w:val="auto"/>
                <w:sz w:val="18"/>
              </w:rPr>
              <w:t>Service PEB – Dated 20060615</w:t>
            </w:r>
          </w:p>
        </w:tc>
        <w:tc>
          <w:tcPr>
            <w:tcW w:w="5220" w:type="dxa"/>
            <w:gridSpan w:val="5"/>
            <w:tcBorders>
              <w:left w:val="thinThickThinSmallGap" w:sz="24" w:space="0" w:color="auto"/>
              <w:right w:val="single" w:sz="4" w:space="0" w:color="auto"/>
            </w:tcBorders>
            <w:shd w:val="clear" w:color="auto" w:fill="D9D9D9" w:themeFill="background1" w:themeFillShade="D9"/>
            <w:vAlign w:val="center"/>
          </w:tcPr>
          <w:p w:rsidR="00F55155" w:rsidRPr="009703EC" w:rsidRDefault="00F55155" w:rsidP="00F55155">
            <w:pPr>
              <w:spacing w:line="180" w:lineRule="exact"/>
              <w:contextualSpacing/>
              <w:rPr>
                <w:b/>
                <w:color w:val="auto"/>
                <w:sz w:val="18"/>
                <w:szCs w:val="18"/>
              </w:rPr>
            </w:pPr>
            <w:r w:rsidRPr="009703EC">
              <w:rPr>
                <w:b/>
                <w:color w:val="auto"/>
                <w:sz w:val="18"/>
                <w:szCs w:val="18"/>
              </w:rPr>
              <w:t>VA</w:t>
            </w:r>
          </w:p>
        </w:tc>
      </w:tr>
      <w:tr w:rsidR="00F55155" w:rsidRPr="009703EC" w:rsidTr="00AB396D">
        <w:trPr>
          <w:trHeight w:val="233"/>
        </w:trPr>
        <w:tc>
          <w:tcPr>
            <w:tcW w:w="1530" w:type="dxa"/>
            <w:gridSpan w:val="2"/>
            <w:tcBorders>
              <w:bottom w:val="single" w:sz="4" w:space="0" w:color="000000" w:themeColor="text1"/>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Condition</w:t>
            </w:r>
          </w:p>
        </w:tc>
        <w:tc>
          <w:tcPr>
            <w:tcW w:w="990" w:type="dxa"/>
            <w:tcBorders>
              <w:bottom w:val="single" w:sz="4" w:space="0" w:color="000000" w:themeColor="text1"/>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Code</w:t>
            </w:r>
          </w:p>
        </w:tc>
        <w:tc>
          <w:tcPr>
            <w:tcW w:w="1710"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Rating</w:t>
            </w:r>
          </w:p>
        </w:tc>
        <w:tc>
          <w:tcPr>
            <w:tcW w:w="1710" w:type="dxa"/>
            <w:vMerge w:val="restart"/>
            <w:tcBorders>
              <w:left w:val="thinThickThinSmallGap" w:sz="24" w:space="0" w:color="auto"/>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Condition</w:t>
            </w:r>
          </w:p>
        </w:tc>
        <w:tc>
          <w:tcPr>
            <w:tcW w:w="810" w:type="dxa"/>
            <w:vMerge w:val="restart"/>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Code</w:t>
            </w:r>
          </w:p>
        </w:tc>
        <w:tc>
          <w:tcPr>
            <w:tcW w:w="720" w:type="dxa"/>
            <w:vMerge w:val="restart"/>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Rating</w:t>
            </w:r>
          </w:p>
        </w:tc>
        <w:tc>
          <w:tcPr>
            <w:tcW w:w="990" w:type="dxa"/>
            <w:vMerge w:val="restart"/>
            <w:tcBorders>
              <w:right w:val="single" w:sz="4" w:space="0" w:color="auto"/>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Exam</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1085" w:rsidRPr="009703EC" w:rsidRDefault="00061085" w:rsidP="00061085">
            <w:pPr>
              <w:spacing w:line="180" w:lineRule="exact"/>
              <w:contextualSpacing/>
              <w:rPr>
                <w:b/>
                <w:color w:val="auto"/>
                <w:sz w:val="18"/>
                <w:szCs w:val="18"/>
              </w:rPr>
            </w:pPr>
            <w:r w:rsidRPr="009703EC">
              <w:rPr>
                <w:b/>
                <w:color w:val="auto"/>
                <w:sz w:val="18"/>
                <w:szCs w:val="18"/>
              </w:rPr>
              <w:t>Effective</w:t>
            </w:r>
          </w:p>
        </w:tc>
      </w:tr>
      <w:tr w:rsidR="00F55155" w:rsidRPr="009703EC" w:rsidTr="00AB396D">
        <w:trPr>
          <w:trHeight w:val="152"/>
        </w:trPr>
        <w:tc>
          <w:tcPr>
            <w:tcW w:w="1530" w:type="dxa"/>
            <w:gridSpan w:val="2"/>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On TDRL – 20050826</w:t>
            </w:r>
          </w:p>
        </w:tc>
        <w:tc>
          <w:tcPr>
            <w:tcW w:w="990" w:type="dxa"/>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p>
        </w:tc>
        <w:tc>
          <w:tcPr>
            <w:tcW w:w="630" w:type="dxa"/>
            <w:tcBorders>
              <w:right w:val="single" w:sz="4" w:space="0" w:color="auto"/>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r w:rsidRPr="009703EC">
              <w:rPr>
                <w:b/>
                <w:color w:val="auto"/>
                <w:sz w:val="18"/>
                <w:szCs w:val="18"/>
              </w:rPr>
              <w:t>TDRL</w:t>
            </w:r>
          </w:p>
        </w:tc>
        <w:tc>
          <w:tcPr>
            <w:tcW w:w="1080" w:type="dxa"/>
            <w:tcBorders>
              <w:left w:val="single" w:sz="4" w:space="0" w:color="auto"/>
              <w:right w:val="thinThickThinSmallGap" w:sz="24" w:space="0" w:color="auto"/>
            </w:tcBorders>
            <w:shd w:val="clear" w:color="auto" w:fill="D9D9D9" w:themeFill="background1" w:themeFillShade="D9"/>
            <w:vAlign w:val="center"/>
          </w:tcPr>
          <w:p w:rsidR="00061085" w:rsidRPr="009703EC" w:rsidRDefault="00061085" w:rsidP="00483848">
            <w:pPr>
              <w:tabs>
                <w:tab w:val="left" w:pos="206"/>
                <w:tab w:val="center" w:pos="387"/>
              </w:tabs>
              <w:spacing w:line="180" w:lineRule="exact"/>
              <w:contextualSpacing/>
              <w:rPr>
                <w:rFonts w:cstheme="minorHAnsi"/>
                <w:b/>
                <w:color w:val="auto"/>
                <w:sz w:val="18"/>
                <w:szCs w:val="18"/>
              </w:rPr>
            </w:pPr>
            <w:r w:rsidRPr="009703EC">
              <w:rPr>
                <w:b/>
                <w:color w:val="auto"/>
                <w:sz w:val="18"/>
                <w:szCs w:val="18"/>
              </w:rPr>
              <w:t>Sep.</w:t>
            </w:r>
            <w:r w:rsidR="00AD7079" w:rsidRPr="009703EC">
              <w:rPr>
                <w:b/>
                <w:color w:val="auto"/>
                <w:sz w:val="18"/>
                <w:szCs w:val="18"/>
              </w:rPr>
              <w:t xml:space="preserve"> 20060721</w:t>
            </w:r>
          </w:p>
        </w:tc>
        <w:tc>
          <w:tcPr>
            <w:tcW w:w="1710" w:type="dxa"/>
            <w:vMerge/>
            <w:tcBorders>
              <w:left w:val="thinThickThinSmallGap" w:sz="24" w:space="0" w:color="auto"/>
            </w:tcBorders>
            <w:shd w:val="clear" w:color="auto" w:fill="D9D9D9" w:themeFill="background1" w:themeFillShade="D9"/>
            <w:vAlign w:val="center"/>
          </w:tcPr>
          <w:p w:rsidR="00061085" w:rsidRPr="009703EC" w:rsidRDefault="00061085" w:rsidP="00483848">
            <w:pPr>
              <w:spacing w:line="180" w:lineRule="exact"/>
              <w:contextualSpacing/>
              <w:rPr>
                <w:rFonts w:cstheme="minorHAnsi"/>
                <w:b/>
                <w:color w:val="auto"/>
                <w:sz w:val="18"/>
                <w:szCs w:val="18"/>
              </w:rPr>
            </w:pPr>
          </w:p>
        </w:tc>
        <w:tc>
          <w:tcPr>
            <w:tcW w:w="810" w:type="dxa"/>
            <w:vMerge/>
            <w:shd w:val="clear" w:color="auto" w:fill="C6D9F1" w:themeFill="text2" w:themeFillTint="33"/>
          </w:tcPr>
          <w:p w:rsidR="00061085" w:rsidRPr="009703EC" w:rsidRDefault="00061085" w:rsidP="00483848">
            <w:pPr>
              <w:spacing w:line="180" w:lineRule="exact"/>
              <w:contextualSpacing/>
              <w:rPr>
                <w:rFonts w:cstheme="minorHAnsi"/>
                <w:b/>
                <w:color w:val="auto"/>
                <w:sz w:val="18"/>
                <w:szCs w:val="18"/>
              </w:rPr>
            </w:pPr>
          </w:p>
        </w:tc>
        <w:tc>
          <w:tcPr>
            <w:tcW w:w="720" w:type="dxa"/>
            <w:vMerge/>
            <w:shd w:val="clear" w:color="auto" w:fill="C6D9F1" w:themeFill="text2" w:themeFillTint="33"/>
          </w:tcPr>
          <w:p w:rsidR="00061085" w:rsidRPr="009703EC" w:rsidRDefault="00061085" w:rsidP="00483848">
            <w:pPr>
              <w:spacing w:line="180" w:lineRule="exact"/>
              <w:contextualSpacing/>
              <w:rPr>
                <w:rFonts w:cstheme="minorHAnsi"/>
                <w:b/>
                <w:color w:val="auto"/>
                <w:sz w:val="18"/>
                <w:szCs w:val="18"/>
              </w:rPr>
            </w:pPr>
          </w:p>
        </w:tc>
        <w:tc>
          <w:tcPr>
            <w:tcW w:w="990" w:type="dxa"/>
            <w:vMerge/>
            <w:tcBorders>
              <w:right w:val="single" w:sz="4" w:space="0" w:color="auto"/>
            </w:tcBorders>
            <w:shd w:val="clear" w:color="auto" w:fill="C6D9F1" w:themeFill="text2" w:themeFillTint="33"/>
          </w:tcPr>
          <w:p w:rsidR="00061085" w:rsidRPr="009703EC" w:rsidRDefault="00061085" w:rsidP="00483848">
            <w:pPr>
              <w:spacing w:line="180" w:lineRule="exact"/>
              <w:contextualSpacing/>
              <w:rPr>
                <w:rFonts w:cstheme="minorHAnsi"/>
                <w:b/>
                <w:color w:val="auto"/>
                <w:sz w:val="18"/>
                <w:szCs w:val="18"/>
              </w:rPr>
            </w:pPr>
          </w:p>
        </w:tc>
        <w:tc>
          <w:tcPr>
            <w:tcW w:w="990" w:type="dxa"/>
            <w:vMerge/>
            <w:tcBorders>
              <w:left w:val="single" w:sz="4" w:space="0" w:color="auto"/>
              <w:bottom w:val="single" w:sz="4" w:space="0" w:color="auto"/>
              <w:right w:val="single" w:sz="4" w:space="0" w:color="auto"/>
            </w:tcBorders>
            <w:shd w:val="clear" w:color="auto" w:fill="C6D9F1" w:themeFill="text2" w:themeFillTint="33"/>
          </w:tcPr>
          <w:p w:rsidR="00061085" w:rsidRPr="009703EC" w:rsidRDefault="00061085" w:rsidP="00483848">
            <w:pPr>
              <w:spacing w:line="180" w:lineRule="exact"/>
              <w:contextualSpacing/>
              <w:rPr>
                <w:rFonts w:cstheme="minorHAnsi"/>
                <w:b/>
                <w:color w:val="auto"/>
                <w:sz w:val="18"/>
                <w:szCs w:val="18"/>
              </w:rPr>
            </w:pPr>
          </w:p>
        </w:tc>
      </w:tr>
      <w:tr w:rsidR="005323DA" w:rsidRPr="009703EC" w:rsidTr="005323DA">
        <w:trPr>
          <w:trHeight w:val="376"/>
        </w:trPr>
        <w:tc>
          <w:tcPr>
            <w:tcW w:w="1530" w:type="dxa"/>
            <w:gridSpan w:val="2"/>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r w:rsidRPr="009703EC">
              <w:rPr>
                <w:rFonts w:cstheme="minorHAnsi"/>
                <w:color w:val="auto"/>
                <w:sz w:val="18"/>
                <w:szCs w:val="18"/>
              </w:rPr>
              <w:t>Asthma, Compounded by Vocal Cord Dysfunction</w:t>
            </w:r>
          </w:p>
        </w:tc>
        <w:tc>
          <w:tcPr>
            <w:tcW w:w="990" w:type="dxa"/>
            <w:tcBorders>
              <w:left w:val="single" w:sz="4" w:space="0" w:color="auto"/>
            </w:tcBorders>
            <w:shd w:val="clear" w:color="auto" w:fill="FFFFFF" w:themeFill="background1"/>
            <w:vAlign w:val="center"/>
          </w:tcPr>
          <w:p w:rsidR="005323DA" w:rsidRPr="009703EC" w:rsidRDefault="005323DA" w:rsidP="00AD7079">
            <w:pPr>
              <w:spacing w:line="180" w:lineRule="exact"/>
              <w:contextualSpacing/>
              <w:rPr>
                <w:rFonts w:cstheme="minorHAnsi"/>
                <w:color w:val="auto"/>
                <w:sz w:val="18"/>
                <w:szCs w:val="18"/>
              </w:rPr>
            </w:pPr>
            <w:r w:rsidRPr="009703EC">
              <w:rPr>
                <w:rFonts w:cstheme="minorHAnsi"/>
                <w:color w:val="auto"/>
                <w:sz w:val="18"/>
                <w:szCs w:val="18"/>
              </w:rPr>
              <w:t>6599 6520 6602</w:t>
            </w:r>
          </w:p>
        </w:tc>
        <w:tc>
          <w:tcPr>
            <w:tcW w:w="630" w:type="dxa"/>
            <w:tcBorders>
              <w:right w:val="single" w:sz="4" w:space="0" w:color="auto"/>
            </w:tcBorders>
            <w:shd w:val="clear" w:color="auto" w:fill="FFFFFF" w:themeFill="background1"/>
            <w:vAlign w:val="center"/>
          </w:tcPr>
          <w:p w:rsidR="005323DA" w:rsidRPr="009703EC" w:rsidRDefault="005323DA" w:rsidP="00483848">
            <w:pPr>
              <w:spacing w:line="180" w:lineRule="exact"/>
              <w:rPr>
                <w:rFonts w:cstheme="minorHAnsi"/>
                <w:color w:val="auto"/>
                <w:sz w:val="18"/>
                <w:szCs w:val="18"/>
              </w:rPr>
            </w:pPr>
            <w:r w:rsidRPr="009703EC">
              <w:rPr>
                <w:rFonts w:cstheme="minorHAnsi"/>
                <w:color w:val="auto"/>
                <w:sz w:val="18"/>
                <w:szCs w:val="18"/>
              </w:rPr>
              <w:t>30%</w:t>
            </w:r>
          </w:p>
        </w:tc>
        <w:tc>
          <w:tcPr>
            <w:tcW w:w="1080" w:type="dxa"/>
            <w:tcBorders>
              <w:left w:val="single" w:sz="4" w:space="0" w:color="auto"/>
              <w:right w:val="thinThickThinSmallGap" w:sz="24" w:space="0" w:color="auto"/>
            </w:tcBorders>
            <w:shd w:val="clear" w:color="auto" w:fill="D9D9D9" w:themeFill="background1" w:themeFillShade="D9"/>
            <w:vAlign w:val="center"/>
          </w:tcPr>
          <w:p w:rsidR="005323DA" w:rsidRPr="009703EC" w:rsidRDefault="005323DA" w:rsidP="00483848">
            <w:pPr>
              <w:spacing w:line="180" w:lineRule="exact"/>
              <w:rPr>
                <w:rFonts w:cstheme="minorHAnsi"/>
                <w:color w:val="auto"/>
                <w:sz w:val="18"/>
                <w:szCs w:val="18"/>
              </w:rPr>
            </w:pPr>
          </w:p>
        </w:tc>
        <w:tc>
          <w:tcPr>
            <w:tcW w:w="1710" w:type="dxa"/>
            <w:vMerge w:val="restart"/>
            <w:tcBorders>
              <w:left w:val="thinThickThinSmallGap" w:sz="2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r w:rsidRPr="009703EC">
              <w:rPr>
                <w:rFonts w:cstheme="minorHAnsi"/>
                <w:color w:val="auto"/>
                <w:sz w:val="18"/>
                <w:szCs w:val="18"/>
              </w:rPr>
              <w:t>Asthma</w:t>
            </w:r>
          </w:p>
        </w:tc>
        <w:tc>
          <w:tcPr>
            <w:tcW w:w="810" w:type="dxa"/>
            <w:vMerge w:val="restart"/>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r w:rsidRPr="009703EC">
              <w:rPr>
                <w:rFonts w:cstheme="minorHAnsi"/>
                <w:color w:val="auto"/>
                <w:sz w:val="18"/>
                <w:szCs w:val="18"/>
              </w:rPr>
              <w:t>6602</w:t>
            </w:r>
          </w:p>
        </w:tc>
        <w:tc>
          <w:tcPr>
            <w:tcW w:w="720" w:type="dxa"/>
            <w:vMerge w:val="restart"/>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r w:rsidRPr="009703EC">
              <w:rPr>
                <w:rFonts w:cstheme="minorHAnsi"/>
                <w:color w:val="auto"/>
                <w:sz w:val="18"/>
                <w:szCs w:val="18"/>
              </w:rPr>
              <w:t>30%</w:t>
            </w:r>
          </w:p>
        </w:tc>
        <w:tc>
          <w:tcPr>
            <w:tcW w:w="990" w:type="dxa"/>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r w:rsidRPr="009703EC">
              <w:rPr>
                <w:rFonts w:cstheme="minorHAnsi"/>
                <w:color w:val="auto"/>
                <w:sz w:val="18"/>
                <w:szCs w:val="18"/>
              </w:rPr>
              <w:t>STRs</w:t>
            </w:r>
          </w:p>
        </w:tc>
        <w:tc>
          <w:tcPr>
            <w:tcW w:w="990" w:type="dxa"/>
            <w:vMerge w:val="restart"/>
            <w:tcBorders>
              <w:top w:val="single" w:sz="4" w:space="0" w:color="auto"/>
              <w:left w:val="single" w:sz="4" w:space="0" w:color="auto"/>
              <w:right w:val="single" w:sz="4" w:space="0" w:color="auto"/>
            </w:tcBorders>
            <w:shd w:val="clear" w:color="auto" w:fill="FFFFFF" w:themeFill="background1"/>
            <w:vAlign w:val="center"/>
          </w:tcPr>
          <w:p w:rsidR="005323DA" w:rsidRPr="009703EC" w:rsidRDefault="005323DA" w:rsidP="00061085">
            <w:pPr>
              <w:spacing w:line="180" w:lineRule="exact"/>
              <w:contextualSpacing/>
              <w:rPr>
                <w:rFonts w:cstheme="minorHAnsi"/>
                <w:color w:val="auto"/>
                <w:sz w:val="18"/>
                <w:szCs w:val="18"/>
              </w:rPr>
            </w:pPr>
            <w:r w:rsidRPr="009703EC">
              <w:rPr>
                <w:rFonts w:cstheme="minorHAnsi"/>
                <w:color w:val="auto"/>
                <w:sz w:val="18"/>
                <w:szCs w:val="18"/>
              </w:rPr>
              <w:t>20050826</w:t>
            </w:r>
          </w:p>
        </w:tc>
      </w:tr>
      <w:tr w:rsidR="005323DA" w:rsidRPr="009703EC" w:rsidTr="005323DA">
        <w:trPr>
          <w:trHeight w:val="376"/>
        </w:trPr>
        <w:tc>
          <w:tcPr>
            <w:tcW w:w="270" w:type="dxa"/>
            <w:tcBorders>
              <w:right w:val="single" w:sz="4" w:space="0" w:color="auto"/>
            </w:tcBorders>
            <w:shd w:val="clear" w:color="auto" w:fill="D9D9D9" w:themeFill="background1" w:themeFillShade="D9"/>
            <w:vAlign w:val="center"/>
          </w:tcPr>
          <w:p w:rsidR="005323DA" w:rsidRPr="009703EC" w:rsidRDefault="005323DA" w:rsidP="00483848">
            <w:pPr>
              <w:spacing w:line="180" w:lineRule="exact"/>
              <w:contextualSpacing/>
              <w:jc w:val="left"/>
              <w:rPr>
                <w:rFonts w:cstheme="minorHAnsi"/>
                <w:color w:val="auto"/>
                <w:sz w:val="18"/>
                <w:szCs w:val="18"/>
              </w:rPr>
            </w:pPr>
          </w:p>
        </w:tc>
        <w:tc>
          <w:tcPr>
            <w:tcW w:w="1260" w:type="dxa"/>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r w:rsidRPr="009703EC">
              <w:rPr>
                <w:rFonts w:cstheme="minorHAnsi"/>
                <w:color w:val="auto"/>
                <w:sz w:val="18"/>
                <w:szCs w:val="18"/>
              </w:rPr>
              <w:t>Asthma</w:t>
            </w:r>
          </w:p>
        </w:tc>
        <w:tc>
          <w:tcPr>
            <w:tcW w:w="990" w:type="dxa"/>
            <w:tcBorders>
              <w:left w:val="single" w:sz="4" w:space="0" w:color="auto"/>
            </w:tcBorders>
            <w:shd w:val="clear" w:color="auto" w:fill="FFFFFF" w:themeFill="background1"/>
            <w:vAlign w:val="center"/>
          </w:tcPr>
          <w:p w:rsidR="005323DA" w:rsidRPr="009703EC" w:rsidRDefault="005323DA" w:rsidP="00553E34">
            <w:pPr>
              <w:spacing w:line="180" w:lineRule="exact"/>
              <w:contextualSpacing/>
              <w:rPr>
                <w:rFonts w:cstheme="minorHAnsi"/>
                <w:color w:val="auto"/>
                <w:sz w:val="18"/>
                <w:szCs w:val="18"/>
              </w:rPr>
            </w:pPr>
          </w:p>
        </w:tc>
        <w:tc>
          <w:tcPr>
            <w:tcW w:w="630" w:type="dxa"/>
            <w:tcBorders>
              <w:right w:val="single" w:sz="4" w:space="0" w:color="auto"/>
            </w:tcBorders>
            <w:shd w:val="clear" w:color="auto" w:fill="D9D9D9" w:themeFill="background1" w:themeFillShade="D9"/>
            <w:vAlign w:val="center"/>
          </w:tcPr>
          <w:p w:rsidR="005323DA" w:rsidRPr="009703EC" w:rsidRDefault="005323DA" w:rsidP="00483848">
            <w:pPr>
              <w:spacing w:line="180" w:lineRule="exact"/>
              <w:rPr>
                <w:rFonts w:cstheme="minorHAnsi"/>
                <w:color w:val="auto"/>
                <w:sz w:val="18"/>
                <w:szCs w:val="18"/>
              </w:rPr>
            </w:pPr>
          </w:p>
        </w:tc>
        <w:tc>
          <w:tcPr>
            <w:tcW w:w="1080" w:type="dxa"/>
            <w:tcBorders>
              <w:left w:val="single" w:sz="4" w:space="0" w:color="auto"/>
              <w:right w:val="thinThickThinSmallGap" w:sz="24" w:space="0" w:color="auto"/>
            </w:tcBorders>
            <w:shd w:val="clear" w:color="auto" w:fill="auto"/>
            <w:vAlign w:val="center"/>
          </w:tcPr>
          <w:p w:rsidR="005323DA" w:rsidRPr="009703EC" w:rsidRDefault="005323DA" w:rsidP="00483848">
            <w:pPr>
              <w:spacing w:line="180" w:lineRule="exact"/>
              <w:rPr>
                <w:rFonts w:cstheme="minorHAnsi"/>
                <w:color w:val="auto"/>
                <w:sz w:val="18"/>
                <w:szCs w:val="18"/>
              </w:rPr>
            </w:pPr>
            <w:r w:rsidRPr="009703EC">
              <w:rPr>
                <w:rFonts w:cstheme="minorHAnsi"/>
                <w:color w:val="auto"/>
                <w:sz w:val="18"/>
                <w:szCs w:val="18"/>
              </w:rPr>
              <w:t>Not Unfitting</w:t>
            </w:r>
          </w:p>
        </w:tc>
        <w:tc>
          <w:tcPr>
            <w:tcW w:w="1710" w:type="dxa"/>
            <w:vMerge/>
            <w:tcBorders>
              <w:left w:val="thinThickThinSmallGap" w:sz="2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p>
        </w:tc>
        <w:tc>
          <w:tcPr>
            <w:tcW w:w="810" w:type="dxa"/>
            <w:vMerge/>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p>
        </w:tc>
        <w:tc>
          <w:tcPr>
            <w:tcW w:w="720" w:type="dxa"/>
            <w:vMerge/>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p>
        </w:tc>
        <w:tc>
          <w:tcPr>
            <w:tcW w:w="990" w:type="dxa"/>
            <w:vMerge w:val="restart"/>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r w:rsidRPr="009703EC">
              <w:rPr>
                <w:rFonts w:cstheme="minorHAnsi"/>
                <w:color w:val="auto"/>
                <w:sz w:val="18"/>
                <w:szCs w:val="18"/>
              </w:rPr>
              <w:t>20070320</w:t>
            </w:r>
          </w:p>
        </w:tc>
        <w:tc>
          <w:tcPr>
            <w:tcW w:w="990" w:type="dxa"/>
            <w:vMerge/>
            <w:tcBorders>
              <w:left w:val="single" w:sz="4" w:space="0" w:color="auto"/>
              <w:right w:val="single" w:sz="4" w:space="0" w:color="auto"/>
            </w:tcBorders>
            <w:shd w:val="clear" w:color="auto" w:fill="FFFFFF" w:themeFill="background1"/>
            <w:vAlign w:val="center"/>
          </w:tcPr>
          <w:p w:rsidR="005323DA" w:rsidRPr="009703EC" w:rsidRDefault="005323DA" w:rsidP="00455616">
            <w:pPr>
              <w:spacing w:line="180" w:lineRule="exact"/>
              <w:contextualSpacing/>
              <w:rPr>
                <w:rFonts w:cstheme="minorHAnsi"/>
                <w:color w:val="auto"/>
                <w:sz w:val="18"/>
                <w:szCs w:val="18"/>
              </w:rPr>
            </w:pPr>
          </w:p>
        </w:tc>
      </w:tr>
      <w:tr w:rsidR="005323DA" w:rsidRPr="009703EC" w:rsidTr="00AB396D">
        <w:trPr>
          <w:trHeight w:val="180"/>
        </w:trPr>
        <w:tc>
          <w:tcPr>
            <w:tcW w:w="270" w:type="dxa"/>
            <w:vMerge w:val="restart"/>
            <w:tcBorders>
              <w:right w:val="single" w:sz="4" w:space="0" w:color="auto"/>
            </w:tcBorders>
            <w:shd w:val="clear" w:color="auto" w:fill="D9D9D9" w:themeFill="background1" w:themeFillShade="D9"/>
            <w:vAlign w:val="center"/>
          </w:tcPr>
          <w:p w:rsidR="005323DA" w:rsidRPr="009703EC" w:rsidRDefault="005323DA" w:rsidP="00483848">
            <w:pPr>
              <w:spacing w:line="180" w:lineRule="exact"/>
              <w:contextualSpacing/>
              <w:jc w:val="left"/>
              <w:rPr>
                <w:rFonts w:cstheme="minorHAnsi"/>
                <w:color w:val="auto"/>
                <w:sz w:val="18"/>
                <w:szCs w:val="18"/>
              </w:rPr>
            </w:pPr>
          </w:p>
        </w:tc>
        <w:tc>
          <w:tcPr>
            <w:tcW w:w="1260" w:type="dxa"/>
            <w:vMerge w:val="restart"/>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r w:rsidRPr="009703EC">
              <w:rPr>
                <w:rFonts w:cstheme="minorHAnsi"/>
                <w:color w:val="auto"/>
                <w:sz w:val="18"/>
                <w:szCs w:val="18"/>
              </w:rPr>
              <w:t>Dyspnea on Exertion primarily due to vocal cord dysfunction</w:t>
            </w:r>
          </w:p>
        </w:tc>
        <w:tc>
          <w:tcPr>
            <w:tcW w:w="990" w:type="dxa"/>
            <w:vMerge w:val="restart"/>
            <w:tcBorders>
              <w:left w:val="single" w:sz="4" w:space="0" w:color="auto"/>
            </w:tcBorders>
            <w:shd w:val="clear" w:color="auto" w:fill="FFFFFF" w:themeFill="background1"/>
            <w:vAlign w:val="center"/>
          </w:tcPr>
          <w:p w:rsidR="005323DA" w:rsidRPr="009703EC" w:rsidRDefault="005323DA" w:rsidP="00AD7079">
            <w:pPr>
              <w:spacing w:line="180" w:lineRule="exact"/>
              <w:contextualSpacing/>
              <w:rPr>
                <w:rFonts w:cstheme="minorHAnsi"/>
                <w:color w:val="auto"/>
                <w:sz w:val="18"/>
                <w:szCs w:val="18"/>
              </w:rPr>
            </w:pPr>
            <w:r w:rsidRPr="009703EC">
              <w:rPr>
                <w:rFonts w:cstheme="minorHAnsi"/>
                <w:color w:val="auto"/>
                <w:sz w:val="18"/>
                <w:szCs w:val="18"/>
              </w:rPr>
              <w:t>6602 6599 6520</w:t>
            </w:r>
          </w:p>
        </w:tc>
        <w:tc>
          <w:tcPr>
            <w:tcW w:w="630" w:type="dxa"/>
            <w:vMerge w:val="restart"/>
            <w:tcBorders>
              <w:right w:val="single" w:sz="4" w:space="0" w:color="auto"/>
            </w:tcBorders>
            <w:shd w:val="clear" w:color="auto" w:fill="D9D9D9" w:themeFill="background1" w:themeFillShade="D9"/>
            <w:vAlign w:val="center"/>
          </w:tcPr>
          <w:p w:rsidR="005323DA" w:rsidRPr="009703EC" w:rsidRDefault="005323DA" w:rsidP="00483848">
            <w:pPr>
              <w:spacing w:line="180" w:lineRule="exact"/>
              <w:rPr>
                <w:rFonts w:cstheme="minorHAnsi"/>
                <w:color w:val="auto"/>
                <w:sz w:val="18"/>
                <w:szCs w:val="18"/>
              </w:rPr>
            </w:pPr>
          </w:p>
        </w:tc>
        <w:tc>
          <w:tcPr>
            <w:tcW w:w="1080" w:type="dxa"/>
            <w:vMerge w:val="restart"/>
            <w:tcBorders>
              <w:left w:val="single" w:sz="4" w:space="0" w:color="auto"/>
              <w:right w:val="thinThickThinSmallGap" w:sz="24" w:space="0" w:color="auto"/>
            </w:tcBorders>
            <w:shd w:val="clear" w:color="auto" w:fill="FFFFFF" w:themeFill="background1"/>
            <w:vAlign w:val="center"/>
          </w:tcPr>
          <w:p w:rsidR="005323DA" w:rsidRPr="009703EC" w:rsidRDefault="005323DA" w:rsidP="00483848">
            <w:pPr>
              <w:spacing w:line="180" w:lineRule="exact"/>
              <w:rPr>
                <w:rFonts w:cstheme="minorHAnsi"/>
                <w:color w:val="auto"/>
                <w:sz w:val="18"/>
                <w:szCs w:val="18"/>
              </w:rPr>
            </w:pPr>
            <w:r w:rsidRPr="009703EC">
              <w:rPr>
                <w:rFonts w:cstheme="minorHAnsi"/>
                <w:color w:val="auto"/>
                <w:sz w:val="18"/>
                <w:szCs w:val="18"/>
              </w:rPr>
              <w:t>10%</w:t>
            </w:r>
          </w:p>
        </w:tc>
        <w:tc>
          <w:tcPr>
            <w:tcW w:w="1710" w:type="dxa"/>
            <w:vMerge/>
            <w:tcBorders>
              <w:left w:val="thinThickThinSmallGap" w:sz="24" w:space="0" w:color="auto"/>
            </w:tcBorders>
            <w:shd w:val="clear" w:color="auto" w:fill="FFFFFF" w:themeFill="background1"/>
            <w:vAlign w:val="center"/>
          </w:tcPr>
          <w:p w:rsidR="005323DA" w:rsidRPr="009703EC" w:rsidRDefault="005323DA" w:rsidP="00483848">
            <w:pPr>
              <w:spacing w:line="180" w:lineRule="exact"/>
              <w:contextualSpacing/>
              <w:jc w:val="left"/>
              <w:rPr>
                <w:rFonts w:cstheme="minorHAnsi"/>
                <w:color w:val="auto"/>
                <w:sz w:val="18"/>
                <w:szCs w:val="18"/>
              </w:rPr>
            </w:pPr>
          </w:p>
        </w:tc>
        <w:tc>
          <w:tcPr>
            <w:tcW w:w="810" w:type="dxa"/>
            <w:vMerge/>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p>
        </w:tc>
        <w:tc>
          <w:tcPr>
            <w:tcW w:w="720" w:type="dxa"/>
            <w:vMerge/>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p>
        </w:tc>
        <w:tc>
          <w:tcPr>
            <w:tcW w:w="990" w:type="dxa"/>
            <w:vMerge/>
            <w:tcBorders>
              <w:right w:val="single" w:sz="4" w:space="0" w:color="auto"/>
            </w:tcBorders>
            <w:shd w:val="clear" w:color="auto" w:fill="FFFFFF" w:themeFill="background1"/>
            <w:vAlign w:val="center"/>
          </w:tcPr>
          <w:p w:rsidR="005323DA" w:rsidRPr="009703EC" w:rsidRDefault="005323DA" w:rsidP="00483848">
            <w:pPr>
              <w:spacing w:line="180" w:lineRule="exact"/>
              <w:contextualSpacing/>
              <w:rPr>
                <w:rFonts w:cstheme="minorHAnsi"/>
                <w:color w:val="auto"/>
                <w:sz w:val="18"/>
                <w:szCs w:val="18"/>
              </w:rPr>
            </w:pPr>
          </w:p>
        </w:tc>
        <w:tc>
          <w:tcPr>
            <w:tcW w:w="990" w:type="dxa"/>
            <w:vMerge/>
            <w:tcBorders>
              <w:left w:val="single" w:sz="4" w:space="0" w:color="auto"/>
              <w:bottom w:val="single" w:sz="4" w:space="0" w:color="auto"/>
              <w:right w:val="single" w:sz="4" w:space="0" w:color="auto"/>
            </w:tcBorders>
            <w:shd w:val="clear" w:color="auto" w:fill="FFFFFF" w:themeFill="background1"/>
          </w:tcPr>
          <w:p w:rsidR="005323DA" w:rsidRPr="009703EC" w:rsidRDefault="005323DA" w:rsidP="00483848">
            <w:pPr>
              <w:spacing w:line="180" w:lineRule="exact"/>
              <w:contextualSpacing/>
              <w:rPr>
                <w:rFonts w:cstheme="minorHAnsi"/>
                <w:color w:val="auto"/>
                <w:sz w:val="18"/>
                <w:szCs w:val="18"/>
              </w:rPr>
            </w:pPr>
          </w:p>
        </w:tc>
      </w:tr>
      <w:tr w:rsidR="00AB396D" w:rsidRPr="009703EC" w:rsidTr="00AB396D">
        <w:trPr>
          <w:trHeight w:val="295"/>
        </w:trPr>
        <w:tc>
          <w:tcPr>
            <w:tcW w:w="270" w:type="dxa"/>
            <w:vMerge/>
            <w:tcBorders>
              <w:right w:val="single" w:sz="4" w:space="0" w:color="auto"/>
            </w:tcBorders>
            <w:shd w:val="clear" w:color="auto" w:fill="D9D9D9" w:themeFill="background1" w:themeFillShade="D9"/>
          </w:tcPr>
          <w:p w:rsidR="00061085" w:rsidRPr="009703EC" w:rsidRDefault="00061085" w:rsidP="00C52026">
            <w:pPr>
              <w:spacing w:line="180" w:lineRule="exact"/>
              <w:contextualSpacing/>
              <w:jc w:val="both"/>
              <w:rPr>
                <w:rFonts w:cstheme="minorHAnsi"/>
                <w:color w:val="auto"/>
                <w:sz w:val="18"/>
                <w:szCs w:val="18"/>
              </w:rPr>
            </w:pPr>
          </w:p>
        </w:tc>
        <w:tc>
          <w:tcPr>
            <w:tcW w:w="1260" w:type="dxa"/>
            <w:vMerge/>
            <w:tcBorders>
              <w:right w:val="single" w:sz="4" w:space="0" w:color="auto"/>
            </w:tcBorders>
            <w:shd w:val="clear" w:color="auto" w:fill="FFFFFF" w:themeFill="background1"/>
          </w:tcPr>
          <w:p w:rsidR="00061085" w:rsidRPr="009703EC" w:rsidRDefault="00061085" w:rsidP="00C52026">
            <w:pPr>
              <w:spacing w:line="180" w:lineRule="exact"/>
              <w:contextualSpacing/>
              <w:jc w:val="both"/>
              <w:rPr>
                <w:rFonts w:cstheme="minorHAnsi"/>
                <w:color w:val="auto"/>
                <w:sz w:val="18"/>
                <w:szCs w:val="18"/>
              </w:rPr>
            </w:pPr>
          </w:p>
        </w:tc>
        <w:tc>
          <w:tcPr>
            <w:tcW w:w="990" w:type="dxa"/>
            <w:vMerge/>
            <w:tcBorders>
              <w:left w:val="single" w:sz="4" w:space="0" w:color="auto"/>
            </w:tcBorders>
            <w:shd w:val="clear" w:color="auto" w:fill="FFFFFF" w:themeFill="background1"/>
          </w:tcPr>
          <w:p w:rsidR="00061085" w:rsidRPr="009703EC" w:rsidRDefault="00061085" w:rsidP="00C52026">
            <w:pPr>
              <w:spacing w:line="180" w:lineRule="exact"/>
              <w:contextualSpacing/>
              <w:jc w:val="both"/>
              <w:rPr>
                <w:rFonts w:cstheme="minorHAnsi"/>
                <w:color w:val="auto"/>
                <w:sz w:val="18"/>
                <w:szCs w:val="18"/>
              </w:rPr>
            </w:pPr>
          </w:p>
        </w:tc>
        <w:tc>
          <w:tcPr>
            <w:tcW w:w="630" w:type="dxa"/>
            <w:vMerge/>
            <w:tcBorders>
              <w:right w:val="single" w:sz="4" w:space="0" w:color="auto"/>
            </w:tcBorders>
            <w:shd w:val="clear" w:color="auto" w:fill="FFFFFF" w:themeFill="background1"/>
          </w:tcPr>
          <w:p w:rsidR="00061085" w:rsidRPr="009703EC" w:rsidRDefault="00061085" w:rsidP="00C52026">
            <w:pPr>
              <w:spacing w:line="180" w:lineRule="exact"/>
              <w:contextualSpacing/>
              <w:rPr>
                <w:rFonts w:cstheme="minorHAnsi"/>
                <w:color w:val="auto"/>
                <w:sz w:val="18"/>
                <w:szCs w:val="18"/>
              </w:rPr>
            </w:pPr>
          </w:p>
        </w:tc>
        <w:tc>
          <w:tcPr>
            <w:tcW w:w="1080" w:type="dxa"/>
            <w:vMerge/>
            <w:tcBorders>
              <w:left w:val="single" w:sz="4" w:space="0" w:color="auto"/>
              <w:right w:val="thinThickThinSmallGap" w:sz="24" w:space="0" w:color="auto"/>
            </w:tcBorders>
            <w:shd w:val="clear" w:color="auto" w:fill="FFFFFF" w:themeFill="background1"/>
          </w:tcPr>
          <w:p w:rsidR="00061085" w:rsidRPr="009703EC" w:rsidRDefault="00061085" w:rsidP="00C52026">
            <w:pPr>
              <w:spacing w:line="180" w:lineRule="exact"/>
              <w:contextualSpacing/>
              <w:rPr>
                <w:rFonts w:cstheme="minorHAnsi"/>
                <w:color w:val="auto"/>
                <w:sz w:val="18"/>
                <w:szCs w:val="18"/>
              </w:rPr>
            </w:pPr>
          </w:p>
        </w:tc>
        <w:tc>
          <w:tcPr>
            <w:tcW w:w="1710" w:type="dxa"/>
            <w:vMerge w:val="restart"/>
            <w:tcBorders>
              <w:left w:val="thinThickThinSmallGap" w:sz="2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jc w:val="left"/>
              <w:rPr>
                <w:rFonts w:cstheme="minorHAnsi"/>
                <w:color w:val="auto"/>
                <w:sz w:val="18"/>
                <w:szCs w:val="18"/>
              </w:rPr>
            </w:pPr>
            <w:r w:rsidRPr="009703EC">
              <w:rPr>
                <w:rFonts w:cstheme="minorHAnsi"/>
                <w:color w:val="auto"/>
                <w:sz w:val="18"/>
                <w:szCs w:val="18"/>
              </w:rPr>
              <w:t>Conversion Disorder Manifested by Vocal Cord Dyskinesia*</w:t>
            </w:r>
          </w:p>
        </w:tc>
        <w:tc>
          <w:tcPr>
            <w:tcW w:w="810" w:type="dxa"/>
            <w:tcBorders>
              <w:left w:val="single" w:sz="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rPr>
                <w:rFonts w:cstheme="minorHAnsi"/>
                <w:color w:val="auto"/>
                <w:sz w:val="18"/>
                <w:szCs w:val="18"/>
              </w:rPr>
            </w:pPr>
            <w:r w:rsidRPr="009703EC">
              <w:rPr>
                <w:rFonts w:cstheme="minorHAnsi"/>
                <w:color w:val="auto"/>
                <w:sz w:val="18"/>
                <w:szCs w:val="18"/>
              </w:rPr>
              <w:t>9424</w:t>
            </w:r>
            <w:r w:rsidR="004E45B4" w:rsidRPr="009703EC">
              <w:rPr>
                <w:rFonts w:cstheme="minorHAnsi"/>
                <w:color w:val="auto"/>
                <w:sz w:val="18"/>
                <w:szCs w:val="18"/>
              </w:rPr>
              <w:t>*</w:t>
            </w:r>
          </w:p>
        </w:tc>
        <w:tc>
          <w:tcPr>
            <w:tcW w:w="720" w:type="dxa"/>
            <w:tcBorders>
              <w:left w:val="single" w:sz="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rPr>
                <w:rFonts w:cstheme="minorHAnsi"/>
                <w:color w:val="auto"/>
                <w:sz w:val="18"/>
                <w:szCs w:val="18"/>
              </w:rPr>
            </w:pPr>
            <w:r w:rsidRPr="009703EC">
              <w:rPr>
                <w:rFonts w:cstheme="minorHAnsi"/>
                <w:color w:val="auto"/>
                <w:sz w:val="18"/>
                <w:szCs w:val="18"/>
              </w:rPr>
              <w:t>0%</w:t>
            </w:r>
          </w:p>
        </w:tc>
        <w:tc>
          <w:tcPr>
            <w:tcW w:w="990" w:type="dxa"/>
            <w:tcBorders>
              <w:left w:val="single" w:sz="4" w:space="0" w:color="auto"/>
              <w:right w:val="single" w:sz="4" w:space="0" w:color="auto"/>
            </w:tcBorders>
            <w:shd w:val="clear" w:color="auto" w:fill="FFFFFF" w:themeFill="background1"/>
            <w:vAlign w:val="center"/>
          </w:tcPr>
          <w:p w:rsidR="00061085" w:rsidRPr="009703EC" w:rsidRDefault="00FE5004" w:rsidP="00C52026">
            <w:pPr>
              <w:spacing w:line="180" w:lineRule="exact"/>
              <w:contextualSpacing/>
              <w:rPr>
                <w:rFonts w:cstheme="minorHAnsi"/>
                <w:color w:val="auto"/>
                <w:sz w:val="18"/>
                <w:szCs w:val="18"/>
              </w:rPr>
            </w:pPr>
            <w:r w:rsidRPr="009703EC">
              <w:rPr>
                <w:rFonts w:cstheme="minorHAnsi"/>
                <w:color w:val="auto"/>
                <w:sz w:val="18"/>
                <w:szCs w:val="18"/>
              </w:rPr>
              <w:t>STRs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085" w:rsidRPr="009703EC" w:rsidRDefault="00061085" w:rsidP="00061085">
            <w:pPr>
              <w:spacing w:line="180" w:lineRule="exact"/>
              <w:contextualSpacing/>
              <w:rPr>
                <w:rFonts w:cstheme="minorHAnsi"/>
                <w:color w:val="auto"/>
                <w:sz w:val="18"/>
                <w:szCs w:val="18"/>
              </w:rPr>
            </w:pPr>
            <w:r w:rsidRPr="009703EC">
              <w:rPr>
                <w:rFonts w:cstheme="minorHAnsi"/>
                <w:color w:val="auto"/>
                <w:sz w:val="18"/>
                <w:szCs w:val="18"/>
              </w:rPr>
              <w:t>20050826</w:t>
            </w:r>
          </w:p>
        </w:tc>
      </w:tr>
      <w:tr w:rsidR="00AB396D" w:rsidRPr="009703EC" w:rsidTr="00AB396D">
        <w:trPr>
          <w:trHeight w:val="295"/>
        </w:trPr>
        <w:tc>
          <w:tcPr>
            <w:tcW w:w="270" w:type="dxa"/>
            <w:vMerge/>
            <w:tcBorders>
              <w:right w:val="single" w:sz="4" w:space="0" w:color="auto"/>
            </w:tcBorders>
            <w:shd w:val="clear" w:color="auto" w:fill="D9D9D9" w:themeFill="background1" w:themeFillShade="D9"/>
          </w:tcPr>
          <w:p w:rsidR="00061085" w:rsidRPr="009703EC" w:rsidRDefault="00061085" w:rsidP="00C52026">
            <w:pPr>
              <w:spacing w:line="180" w:lineRule="exact"/>
              <w:contextualSpacing/>
              <w:jc w:val="both"/>
              <w:rPr>
                <w:rFonts w:cstheme="minorHAnsi"/>
                <w:color w:val="auto"/>
                <w:sz w:val="18"/>
                <w:szCs w:val="18"/>
              </w:rPr>
            </w:pPr>
          </w:p>
        </w:tc>
        <w:tc>
          <w:tcPr>
            <w:tcW w:w="1260" w:type="dxa"/>
            <w:vMerge/>
            <w:tcBorders>
              <w:right w:val="single" w:sz="4" w:space="0" w:color="auto"/>
            </w:tcBorders>
            <w:shd w:val="clear" w:color="auto" w:fill="FFFFFF" w:themeFill="background1"/>
          </w:tcPr>
          <w:p w:rsidR="00061085" w:rsidRPr="009703EC" w:rsidRDefault="00061085" w:rsidP="00C52026">
            <w:pPr>
              <w:spacing w:line="180" w:lineRule="exact"/>
              <w:contextualSpacing/>
              <w:jc w:val="both"/>
              <w:rPr>
                <w:rFonts w:cstheme="minorHAnsi"/>
                <w:color w:val="auto"/>
                <w:sz w:val="18"/>
                <w:szCs w:val="18"/>
              </w:rPr>
            </w:pPr>
          </w:p>
        </w:tc>
        <w:tc>
          <w:tcPr>
            <w:tcW w:w="990" w:type="dxa"/>
            <w:vMerge/>
            <w:tcBorders>
              <w:left w:val="single" w:sz="4" w:space="0" w:color="auto"/>
            </w:tcBorders>
            <w:shd w:val="clear" w:color="auto" w:fill="FFFFFF" w:themeFill="background1"/>
          </w:tcPr>
          <w:p w:rsidR="00061085" w:rsidRPr="009703EC" w:rsidRDefault="00061085" w:rsidP="00C52026">
            <w:pPr>
              <w:spacing w:line="180" w:lineRule="exact"/>
              <w:contextualSpacing/>
              <w:jc w:val="both"/>
              <w:rPr>
                <w:rFonts w:cstheme="minorHAnsi"/>
                <w:color w:val="auto"/>
                <w:sz w:val="18"/>
                <w:szCs w:val="18"/>
              </w:rPr>
            </w:pPr>
          </w:p>
        </w:tc>
        <w:tc>
          <w:tcPr>
            <w:tcW w:w="630" w:type="dxa"/>
            <w:vMerge/>
            <w:tcBorders>
              <w:bottom w:val="single" w:sz="4" w:space="0" w:color="auto"/>
              <w:right w:val="single" w:sz="4" w:space="0" w:color="auto"/>
            </w:tcBorders>
            <w:shd w:val="clear" w:color="auto" w:fill="FFFFFF" w:themeFill="background1"/>
          </w:tcPr>
          <w:p w:rsidR="00061085" w:rsidRPr="009703EC" w:rsidRDefault="00061085" w:rsidP="00C52026">
            <w:pPr>
              <w:spacing w:line="180" w:lineRule="exact"/>
              <w:contextualSpacing/>
              <w:rPr>
                <w:rFonts w:cstheme="minorHAnsi"/>
                <w:color w:val="auto"/>
                <w:sz w:val="18"/>
                <w:szCs w:val="18"/>
              </w:rPr>
            </w:pPr>
          </w:p>
        </w:tc>
        <w:tc>
          <w:tcPr>
            <w:tcW w:w="1080" w:type="dxa"/>
            <w:vMerge/>
            <w:tcBorders>
              <w:left w:val="single" w:sz="4" w:space="0" w:color="auto"/>
              <w:right w:val="thinThickThinSmallGap" w:sz="24" w:space="0" w:color="auto"/>
            </w:tcBorders>
            <w:shd w:val="clear" w:color="auto" w:fill="FFFFFF" w:themeFill="background1"/>
          </w:tcPr>
          <w:p w:rsidR="00061085" w:rsidRPr="009703EC" w:rsidRDefault="00061085" w:rsidP="00C52026">
            <w:pPr>
              <w:spacing w:line="180" w:lineRule="exact"/>
              <w:contextualSpacing/>
              <w:rPr>
                <w:rFonts w:cstheme="minorHAnsi"/>
                <w:color w:val="auto"/>
                <w:sz w:val="18"/>
                <w:szCs w:val="18"/>
              </w:rPr>
            </w:pPr>
          </w:p>
        </w:tc>
        <w:tc>
          <w:tcPr>
            <w:tcW w:w="1710" w:type="dxa"/>
            <w:vMerge/>
            <w:tcBorders>
              <w:left w:val="thinThickThinSmallGap" w:sz="2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jc w:val="left"/>
              <w:rPr>
                <w:rFonts w:cstheme="minorHAnsi"/>
                <w:color w:val="auto"/>
                <w:sz w:val="18"/>
                <w:szCs w:val="18"/>
              </w:rPr>
            </w:pPr>
          </w:p>
        </w:tc>
        <w:tc>
          <w:tcPr>
            <w:tcW w:w="810" w:type="dxa"/>
            <w:tcBorders>
              <w:left w:val="single" w:sz="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rPr>
                <w:rFonts w:cstheme="minorHAnsi"/>
                <w:color w:val="auto"/>
                <w:sz w:val="18"/>
                <w:szCs w:val="18"/>
              </w:rPr>
            </w:pPr>
            <w:r w:rsidRPr="009703EC">
              <w:rPr>
                <w:rFonts w:cstheme="minorHAnsi"/>
                <w:color w:val="auto"/>
                <w:sz w:val="18"/>
                <w:szCs w:val="18"/>
              </w:rPr>
              <w:t>9424-9411</w:t>
            </w:r>
            <w:r w:rsidR="004E45B4" w:rsidRPr="009703EC">
              <w:rPr>
                <w:rFonts w:cstheme="minorHAnsi"/>
                <w:color w:val="auto"/>
                <w:sz w:val="18"/>
                <w:szCs w:val="18"/>
              </w:rPr>
              <w:t>*</w:t>
            </w:r>
          </w:p>
        </w:tc>
        <w:tc>
          <w:tcPr>
            <w:tcW w:w="720" w:type="dxa"/>
            <w:tcBorders>
              <w:left w:val="single" w:sz="4" w:space="0" w:color="auto"/>
              <w:right w:val="single" w:sz="4" w:space="0" w:color="auto"/>
            </w:tcBorders>
            <w:shd w:val="clear" w:color="auto" w:fill="FFFFFF" w:themeFill="background1"/>
            <w:vAlign w:val="center"/>
          </w:tcPr>
          <w:p w:rsidR="00061085" w:rsidRPr="009703EC" w:rsidRDefault="00061085" w:rsidP="00C52026">
            <w:pPr>
              <w:spacing w:line="180" w:lineRule="exact"/>
              <w:contextualSpacing/>
              <w:rPr>
                <w:rFonts w:cstheme="minorHAnsi"/>
                <w:color w:val="auto"/>
                <w:sz w:val="18"/>
                <w:szCs w:val="18"/>
              </w:rPr>
            </w:pPr>
            <w:r w:rsidRPr="009703EC">
              <w:rPr>
                <w:rFonts w:cstheme="minorHAnsi"/>
                <w:color w:val="auto"/>
                <w:sz w:val="18"/>
                <w:szCs w:val="18"/>
              </w:rPr>
              <w:t>30%</w:t>
            </w:r>
          </w:p>
        </w:tc>
        <w:tc>
          <w:tcPr>
            <w:tcW w:w="990" w:type="dxa"/>
            <w:tcBorders>
              <w:left w:val="single" w:sz="4" w:space="0" w:color="auto"/>
              <w:right w:val="single" w:sz="4" w:space="0" w:color="auto"/>
            </w:tcBorders>
            <w:shd w:val="clear" w:color="auto" w:fill="FFFFFF" w:themeFill="background1"/>
            <w:vAlign w:val="center"/>
          </w:tcPr>
          <w:p w:rsidR="00061085" w:rsidRPr="009703EC" w:rsidRDefault="00455616" w:rsidP="00C52026">
            <w:pPr>
              <w:spacing w:line="180" w:lineRule="exact"/>
              <w:contextualSpacing/>
              <w:rPr>
                <w:rFonts w:cstheme="minorHAnsi"/>
                <w:color w:val="auto"/>
                <w:sz w:val="18"/>
                <w:szCs w:val="18"/>
              </w:rPr>
            </w:pPr>
            <w:r w:rsidRPr="009703EC">
              <w:rPr>
                <w:rFonts w:cstheme="minorHAnsi"/>
                <w:color w:val="auto"/>
                <w:sz w:val="18"/>
                <w:szCs w:val="18"/>
              </w:rPr>
              <w:t>20070321</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085" w:rsidRPr="009703EC" w:rsidRDefault="00455616" w:rsidP="00061085">
            <w:pPr>
              <w:spacing w:line="180" w:lineRule="exact"/>
              <w:contextualSpacing/>
              <w:rPr>
                <w:rFonts w:cstheme="minorHAnsi"/>
                <w:color w:val="auto"/>
                <w:sz w:val="18"/>
                <w:szCs w:val="18"/>
              </w:rPr>
            </w:pPr>
            <w:r w:rsidRPr="009703EC">
              <w:rPr>
                <w:color w:val="auto"/>
                <w:sz w:val="18"/>
                <w:szCs w:val="18"/>
              </w:rPr>
              <w:t>20070130</w:t>
            </w:r>
          </w:p>
        </w:tc>
      </w:tr>
      <w:tr w:rsidR="00F55155" w:rsidRPr="009703EC" w:rsidTr="00AB396D">
        <w:trPr>
          <w:trHeight w:val="188"/>
        </w:trPr>
        <w:tc>
          <w:tcPr>
            <w:tcW w:w="2520" w:type="dxa"/>
            <w:gridSpan w:val="3"/>
            <w:tcBorders>
              <w:right w:val="single" w:sz="4" w:space="0" w:color="auto"/>
            </w:tcBorders>
            <w:shd w:val="clear" w:color="auto" w:fill="FFFFFF" w:themeFill="background1"/>
          </w:tcPr>
          <w:p w:rsidR="00061085" w:rsidRPr="009703EC" w:rsidRDefault="00061085" w:rsidP="00553E34">
            <w:pPr>
              <w:spacing w:line="180" w:lineRule="exact"/>
              <w:contextualSpacing/>
              <w:jc w:val="both"/>
              <w:rPr>
                <w:rFonts w:cstheme="minorHAnsi"/>
                <w:color w:val="auto"/>
                <w:sz w:val="18"/>
                <w:szCs w:val="18"/>
              </w:rPr>
            </w:pPr>
            <w:r w:rsidRPr="009703EC">
              <w:rPr>
                <w:rFonts w:cstheme="minorHAnsi"/>
                <w:color w:val="auto"/>
                <w:sz w:val="18"/>
                <w:szCs w:val="18"/>
              </w:rPr>
              <w:t>Allergic Rhinitis</w:t>
            </w:r>
          </w:p>
        </w:tc>
        <w:tc>
          <w:tcPr>
            <w:tcW w:w="1710" w:type="dxa"/>
            <w:gridSpan w:val="2"/>
            <w:tcBorders>
              <w:right w:val="thinThickThinSmallGap" w:sz="24" w:space="0" w:color="auto"/>
            </w:tcBorders>
            <w:shd w:val="clear" w:color="auto" w:fill="FFFFFF" w:themeFill="background1"/>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Not Unfitting</w:t>
            </w:r>
          </w:p>
        </w:tc>
        <w:tc>
          <w:tcPr>
            <w:tcW w:w="1710" w:type="dxa"/>
            <w:tcBorders>
              <w:left w:val="thinThickThinSmallGap" w:sz="24" w:space="0" w:color="auto"/>
              <w:right w:val="single" w:sz="4" w:space="0" w:color="auto"/>
            </w:tcBorders>
            <w:shd w:val="clear" w:color="auto" w:fill="FFFFFF" w:themeFill="background1"/>
            <w:vAlign w:val="center"/>
          </w:tcPr>
          <w:p w:rsidR="00061085" w:rsidRPr="009703EC" w:rsidRDefault="00061085" w:rsidP="00553E34">
            <w:pPr>
              <w:spacing w:line="180" w:lineRule="exact"/>
              <w:contextualSpacing/>
              <w:jc w:val="left"/>
              <w:rPr>
                <w:rFonts w:cstheme="minorHAnsi"/>
                <w:color w:val="auto"/>
                <w:sz w:val="18"/>
                <w:szCs w:val="18"/>
              </w:rPr>
            </w:pPr>
            <w:r w:rsidRPr="009703EC">
              <w:rPr>
                <w:rFonts w:cstheme="minorHAnsi"/>
                <w:color w:val="auto"/>
                <w:sz w:val="18"/>
                <w:szCs w:val="18"/>
              </w:rPr>
              <w:t>Allergic Rhinitis</w:t>
            </w:r>
          </w:p>
        </w:tc>
        <w:tc>
          <w:tcPr>
            <w:tcW w:w="810" w:type="dxa"/>
            <w:tcBorders>
              <w:left w:val="single" w:sz="4" w:space="0" w:color="auto"/>
              <w:right w:val="single" w:sz="4" w:space="0" w:color="auto"/>
            </w:tcBorders>
            <w:shd w:val="clear" w:color="auto" w:fill="FFFFFF" w:themeFill="background1"/>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6522</w:t>
            </w:r>
          </w:p>
        </w:tc>
        <w:tc>
          <w:tcPr>
            <w:tcW w:w="720" w:type="dxa"/>
            <w:tcBorders>
              <w:left w:val="single" w:sz="4" w:space="0" w:color="auto"/>
              <w:right w:val="single" w:sz="4" w:space="0" w:color="auto"/>
            </w:tcBorders>
            <w:shd w:val="clear" w:color="auto" w:fill="FFFFFF" w:themeFill="background1"/>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NSC</w:t>
            </w:r>
          </w:p>
        </w:tc>
        <w:tc>
          <w:tcPr>
            <w:tcW w:w="990" w:type="dxa"/>
            <w:tcBorders>
              <w:left w:val="single" w:sz="4" w:space="0" w:color="auto"/>
              <w:right w:val="single" w:sz="4" w:space="0" w:color="auto"/>
            </w:tcBorders>
            <w:shd w:val="clear" w:color="auto" w:fill="FFFFFF" w:themeFill="background1"/>
            <w:vAlign w:val="center"/>
          </w:tcPr>
          <w:p w:rsidR="00061085" w:rsidRPr="009703EC" w:rsidRDefault="00455616" w:rsidP="00483848">
            <w:pPr>
              <w:spacing w:line="180" w:lineRule="exact"/>
              <w:contextualSpacing/>
              <w:rPr>
                <w:rFonts w:cstheme="minorHAnsi"/>
                <w:color w:val="auto"/>
                <w:sz w:val="18"/>
                <w:szCs w:val="18"/>
              </w:rPr>
            </w:pPr>
            <w:r w:rsidRPr="009703EC">
              <w:rPr>
                <w:rFonts w:cstheme="minorHAnsi"/>
                <w:color w:val="auto"/>
                <w:sz w:val="18"/>
                <w:szCs w:val="18"/>
              </w:rPr>
              <w:t>STR</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20050826</w:t>
            </w:r>
          </w:p>
        </w:tc>
      </w:tr>
      <w:tr w:rsidR="00455616" w:rsidRPr="009703EC" w:rsidTr="00AB396D">
        <w:trPr>
          <w:trHeight w:val="386"/>
        </w:trPr>
        <w:tc>
          <w:tcPr>
            <w:tcW w:w="2520" w:type="dxa"/>
            <w:gridSpan w:val="3"/>
            <w:tcBorders>
              <w:right w:val="single" w:sz="4" w:space="0" w:color="auto"/>
            </w:tcBorders>
            <w:shd w:val="clear" w:color="auto" w:fill="FFFFFF" w:themeFill="background1"/>
          </w:tcPr>
          <w:p w:rsidR="00455616" w:rsidRPr="009703EC" w:rsidRDefault="00455616" w:rsidP="00483848">
            <w:pPr>
              <w:spacing w:line="180" w:lineRule="exact"/>
              <w:contextualSpacing/>
              <w:jc w:val="both"/>
              <w:rPr>
                <w:rFonts w:cstheme="minorHAnsi"/>
                <w:color w:val="auto"/>
                <w:sz w:val="18"/>
                <w:szCs w:val="18"/>
              </w:rPr>
            </w:pPr>
            <w:r w:rsidRPr="009703EC">
              <w:rPr>
                <w:rFonts w:cstheme="minorHAnsi"/>
                <w:color w:val="auto"/>
                <w:sz w:val="18"/>
                <w:szCs w:val="18"/>
              </w:rPr>
              <w:t>Axis I: Occupational Problem</w:t>
            </w:r>
          </w:p>
          <w:p w:rsidR="00455616" w:rsidRPr="009703EC" w:rsidRDefault="00455616" w:rsidP="005323DA">
            <w:pPr>
              <w:spacing w:line="180" w:lineRule="exact"/>
              <w:contextualSpacing/>
              <w:jc w:val="both"/>
              <w:rPr>
                <w:rFonts w:cstheme="minorHAnsi"/>
                <w:color w:val="auto"/>
                <w:sz w:val="18"/>
                <w:szCs w:val="18"/>
              </w:rPr>
            </w:pPr>
            <w:r w:rsidRPr="009703EC">
              <w:rPr>
                <w:rFonts w:cstheme="minorHAnsi"/>
                <w:color w:val="auto"/>
                <w:sz w:val="18"/>
                <w:szCs w:val="18"/>
              </w:rPr>
              <w:t>Axis II: Avoidance Traits</w:t>
            </w:r>
          </w:p>
        </w:tc>
        <w:tc>
          <w:tcPr>
            <w:tcW w:w="1710" w:type="dxa"/>
            <w:gridSpan w:val="2"/>
            <w:tcBorders>
              <w:right w:val="thinThickThinSmallGap" w:sz="24" w:space="0" w:color="auto"/>
            </w:tcBorders>
            <w:shd w:val="clear" w:color="auto" w:fill="FFFFFF" w:themeFill="background1"/>
            <w:vAlign w:val="center"/>
          </w:tcPr>
          <w:p w:rsidR="00455616" w:rsidRPr="009703EC" w:rsidRDefault="00455616" w:rsidP="00B65756">
            <w:pPr>
              <w:spacing w:line="180" w:lineRule="exact"/>
              <w:contextualSpacing/>
              <w:rPr>
                <w:rFonts w:cstheme="minorHAnsi"/>
                <w:color w:val="auto"/>
                <w:sz w:val="18"/>
                <w:szCs w:val="18"/>
              </w:rPr>
            </w:pPr>
            <w:r w:rsidRPr="009703EC">
              <w:rPr>
                <w:rFonts w:cstheme="minorHAnsi"/>
                <w:color w:val="auto"/>
                <w:sz w:val="18"/>
                <w:szCs w:val="18"/>
              </w:rPr>
              <w:t>Not Unfitting</w:t>
            </w:r>
          </w:p>
        </w:tc>
        <w:tc>
          <w:tcPr>
            <w:tcW w:w="5220" w:type="dxa"/>
            <w:gridSpan w:val="5"/>
            <w:tcBorders>
              <w:left w:val="thinThickThinSmallGap" w:sz="24" w:space="0" w:color="auto"/>
              <w:right w:val="single" w:sz="4" w:space="0" w:color="auto"/>
            </w:tcBorders>
            <w:shd w:val="clear" w:color="auto" w:fill="FFFFFF" w:themeFill="background1"/>
            <w:vAlign w:val="center"/>
          </w:tcPr>
          <w:p w:rsidR="00455616" w:rsidRPr="009703EC" w:rsidRDefault="00455616" w:rsidP="00286A0D">
            <w:pPr>
              <w:spacing w:line="180" w:lineRule="exact"/>
              <w:contextualSpacing/>
              <w:rPr>
                <w:rFonts w:cstheme="minorHAnsi"/>
                <w:i/>
                <w:color w:val="auto"/>
                <w:sz w:val="18"/>
                <w:szCs w:val="18"/>
              </w:rPr>
            </w:pPr>
            <w:r w:rsidRPr="009703EC">
              <w:rPr>
                <w:rFonts w:cstheme="minorHAnsi"/>
                <w:i/>
                <w:color w:val="auto"/>
                <w:sz w:val="18"/>
                <w:szCs w:val="18"/>
              </w:rPr>
              <w:t>See Codes 9424 and 9424-9411 above</w:t>
            </w:r>
          </w:p>
        </w:tc>
      </w:tr>
      <w:tr w:rsidR="00AB396D" w:rsidRPr="009703EC" w:rsidTr="00AB396D">
        <w:trPr>
          <w:trHeight w:val="188"/>
        </w:trPr>
        <w:tc>
          <w:tcPr>
            <w:tcW w:w="4230" w:type="dxa"/>
            <w:gridSpan w:val="5"/>
            <w:vMerge w:val="restart"/>
            <w:tcBorders>
              <w:right w:val="thinThickThinSmallGap" w:sz="24" w:space="0" w:color="auto"/>
            </w:tcBorders>
            <w:shd w:val="clear" w:color="auto" w:fill="FFFFFF" w:themeFill="background1"/>
            <w:vAlign w:val="center"/>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↓No Additional MEB/PEB Entries↓</w:t>
            </w:r>
          </w:p>
        </w:tc>
        <w:tc>
          <w:tcPr>
            <w:tcW w:w="1710" w:type="dxa"/>
            <w:tcBorders>
              <w:left w:val="thinThickThinSmallGap" w:sz="24" w:space="0" w:color="auto"/>
            </w:tcBorders>
            <w:shd w:val="clear" w:color="auto" w:fill="FFFFFF" w:themeFill="background1"/>
          </w:tcPr>
          <w:p w:rsidR="00061085" w:rsidRPr="009703EC" w:rsidRDefault="00061085" w:rsidP="00483848">
            <w:pPr>
              <w:spacing w:line="180" w:lineRule="exact"/>
              <w:jc w:val="both"/>
              <w:rPr>
                <w:rFonts w:cstheme="minorHAnsi"/>
                <w:color w:val="auto"/>
                <w:sz w:val="18"/>
                <w:szCs w:val="18"/>
              </w:rPr>
            </w:pPr>
            <w:r w:rsidRPr="009703EC">
              <w:rPr>
                <w:rFonts w:cstheme="minorHAnsi"/>
                <w:color w:val="auto"/>
                <w:sz w:val="18"/>
                <w:szCs w:val="18"/>
              </w:rPr>
              <w:t>Lumbar Strain</w:t>
            </w:r>
          </w:p>
        </w:tc>
        <w:tc>
          <w:tcPr>
            <w:tcW w:w="810" w:type="dxa"/>
            <w:shd w:val="clear" w:color="auto" w:fill="FFFFFF" w:themeFill="background1"/>
            <w:vAlign w:val="center"/>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5237</w:t>
            </w:r>
          </w:p>
        </w:tc>
        <w:tc>
          <w:tcPr>
            <w:tcW w:w="720" w:type="dxa"/>
            <w:shd w:val="clear" w:color="auto" w:fill="FFFFFF" w:themeFill="background1"/>
            <w:vAlign w:val="center"/>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10%*</w:t>
            </w:r>
          </w:p>
        </w:tc>
        <w:tc>
          <w:tcPr>
            <w:tcW w:w="990" w:type="dxa"/>
            <w:tcBorders>
              <w:right w:val="single" w:sz="4" w:space="0" w:color="auto"/>
            </w:tcBorders>
            <w:shd w:val="clear" w:color="auto" w:fill="FFFFFF" w:themeFill="background1"/>
            <w:vAlign w:val="center"/>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20051223</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1085" w:rsidRPr="009703EC" w:rsidRDefault="00455616" w:rsidP="00061085">
            <w:pPr>
              <w:spacing w:line="180" w:lineRule="exact"/>
              <w:contextualSpacing/>
              <w:rPr>
                <w:rFonts w:cstheme="minorHAnsi"/>
                <w:color w:val="auto"/>
                <w:sz w:val="18"/>
                <w:szCs w:val="18"/>
              </w:rPr>
            </w:pPr>
            <w:r w:rsidRPr="009703EC">
              <w:rPr>
                <w:rFonts w:cstheme="minorHAnsi"/>
                <w:color w:val="auto"/>
                <w:sz w:val="18"/>
                <w:szCs w:val="18"/>
              </w:rPr>
              <w:t>20050826</w:t>
            </w:r>
          </w:p>
        </w:tc>
      </w:tr>
      <w:tr w:rsidR="00061085" w:rsidRPr="009703EC" w:rsidTr="00AB396D">
        <w:trPr>
          <w:trHeight w:val="188"/>
        </w:trPr>
        <w:tc>
          <w:tcPr>
            <w:tcW w:w="4230" w:type="dxa"/>
            <w:gridSpan w:val="5"/>
            <w:vMerge/>
            <w:tcBorders>
              <w:bottom w:val="single" w:sz="4" w:space="0" w:color="000000" w:themeColor="text1"/>
              <w:right w:val="thinThickThinSmallGap" w:sz="24" w:space="0" w:color="auto"/>
            </w:tcBorders>
            <w:shd w:val="clear" w:color="auto" w:fill="FFFFFF" w:themeFill="background1"/>
          </w:tcPr>
          <w:p w:rsidR="00061085" w:rsidRPr="009703EC" w:rsidRDefault="00061085" w:rsidP="00483848">
            <w:pPr>
              <w:spacing w:line="180" w:lineRule="exact"/>
              <w:contextualSpacing/>
              <w:jc w:val="both"/>
              <w:rPr>
                <w:rFonts w:cstheme="minorHAnsi"/>
                <w:color w:val="auto"/>
                <w:sz w:val="18"/>
                <w:szCs w:val="18"/>
              </w:rPr>
            </w:pPr>
          </w:p>
        </w:tc>
        <w:tc>
          <w:tcPr>
            <w:tcW w:w="3240" w:type="dxa"/>
            <w:gridSpan w:val="3"/>
            <w:tcBorders>
              <w:left w:val="thinThickThinSmallGap" w:sz="24" w:space="0" w:color="auto"/>
              <w:bottom w:val="single" w:sz="4" w:space="0" w:color="000000" w:themeColor="text1"/>
            </w:tcBorders>
            <w:shd w:val="clear" w:color="auto" w:fill="FFFFFF" w:themeFill="background1"/>
            <w:vAlign w:val="center"/>
          </w:tcPr>
          <w:p w:rsidR="00061085" w:rsidRPr="009703EC" w:rsidRDefault="00756A51" w:rsidP="00483848">
            <w:pPr>
              <w:spacing w:line="180" w:lineRule="exact"/>
              <w:contextualSpacing/>
              <w:rPr>
                <w:rFonts w:cstheme="minorHAnsi"/>
                <w:color w:val="auto"/>
                <w:sz w:val="18"/>
                <w:szCs w:val="18"/>
              </w:rPr>
            </w:pPr>
            <w:r>
              <w:rPr>
                <w:rFonts w:cstheme="minorHAnsi"/>
                <w:color w:val="auto"/>
                <w:sz w:val="18"/>
                <w:szCs w:val="18"/>
              </w:rPr>
              <w:t>0% x 1/Not Service-</w:t>
            </w:r>
            <w:r w:rsidR="00061085" w:rsidRPr="009703EC">
              <w:rPr>
                <w:rFonts w:cstheme="minorHAnsi"/>
                <w:color w:val="auto"/>
                <w:sz w:val="18"/>
                <w:szCs w:val="18"/>
              </w:rPr>
              <w:t>Connected x 6</w:t>
            </w:r>
          </w:p>
        </w:tc>
        <w:tc>
          <w:tcPr>
            <w:tcW w:w="990" w:type="dxa"/>
            <w:tcBorders>
              <w:bottom w:val="single" w:sz="4" w:space="0" w:color="000000" w:themeColor="text1"/>
              <w:right w:val="single" w:sz="4" w:space="0" w:color="auto"/>
            </w:tcBorders>
            <w:shd w:val="clear" w:color="auto" w:fill="FFFFFF" w:themeFill="background1"/>
            <w:vAlign w:val="center"/>
          </w:tcPr>
          <w:p w:rsidR="00061085" w:rsidRPr="009703EC" w:rsidRDefault="00061085" w:rsidP="00483848">
            <w:pPr>
              <w:spacing w:line="180" w:lineRule="exact"/>
              <w:contextualSpacing/>
              <w:rPr>
                <w:rFonts w:cstheme="minorHAnsi"/>
                <w:color w:val="auto"/>
                <w:sz w:val="18"/>
                <w:szCs w:val="18"/>
              </w:rPr>
            </w:pPr>
            <w:r w:rsidRPr="009703EC">
              <w:rPr>
                <w:rFonts w:cstheme="minorHAnsi"/>
                <w:color w:val="auto"/>
                <w:sz w:val="18"/>
                <w:szCs w:val="18"/>
              </w:rPr>
              <w:t>STRs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061085" w:rsidRPr="009703EC" w:rsidRDefault="00455616" w:rsidP="00483848">
            <w:pPr>
              <w:spacing w:line="180" w:lineRule="exact"/>
              <w:contextualSpacing/>
              <w:rPr>
                <w:rFonts w:cstheme="minorHAnsi"/>
                <w:color w:val="auto"/>
                <w:sz w:val="18"/>
                <w:szCs w:val="18"/>
              </w:rPr>
            </w:pPr>
            <w:r w:rsidRPr="009703EC">
              <w:rPr>
                <w:rFonts w:cstheme="minorHAnsi"/>
                <w:color w:val="auto"/>
                <w:sz w:val="18"/>
                <w:szCs w:val="18"/>
              </w:rPr>
              <w:t>20050826</w:t>
            </w:r>
          </w:p>
        </w:tc>
      </w:tr>
      <w:tr w:rsidR="00455616" w:rsidRPr="009703EC" w:rsidTr="00AB396D">
        <w:trPr>
          <w:trHeight w:val="100"/>
        </w:trPr>
        <w:tc>
          <w:tcPr>
            <w:tcW w:w="4230" w:type="dxa"/>
            <w:gridSpan w:val="5"/>
            <w:vMerge w:val="restart"/>
            <w:tcBorders>
              <w:right w:val="thinThickThinSmallGap" w:sz="24" w:space="0" w:color="auto"/>
            </w:tcBorders>
            <w:shd w:val="clear" w:color="auto" w:fill="D9D9D9" w:themeFill="background1" w:themeFillShade="D9"/>
            <w:vAlign w:val="center"/>
          </w:tcPr>
          <w:p w:rsidR="00455616" w:rsidRPr="009703EC" w:rsidRDefault="00455616" w:rsidP="00483848">
            <w:pPr>
              <w:spacing w:line="180" w:lineRule="exact"/>
              <w:contextualSpacing/>
              <w:rPr>
                <w:rFonts w:cstheme="minorHAnsi"/>
                <w:color w:val="auto"/>
                <w:sz w:val="18"/>
                <w:szCs w:val="18"/>
              </w:rPr>
            </w:pPr>
            <w:r w:rsidRPr="009703EC">
              <w:rPr>
                <w:rFonts w:cstheme="minorHAnsi"/>
                <w:color w:val="auto"/>
                <w:sz w:val="18"/>
                <w:szCs w:val="18"/>
              </w:rPr>
              <w:t>Combined:  10%</w:t>
            </w:r>
          </w:p>
        </w:tc>
        <w:tc>
          <w:tcPr>
            <w:tcW w:w="2520" w:type="dxa"/>
            <w:gridSpan w:val="2"/>
            <w:vMerge w:val="restart"/>
            <w:tcBorders>
              <w:left w:val="thinThickThinSmallGap" w:sz="24" w:space="0" w:color="auto"/>
              <w:right w:val="single" w:sz="4" w:space="0" w:color="auto"/>
            </w:tcBorders>
            <w:shd w:val="clear" w:color="auto" w:fill="D9D9D9" w:themeFill="background1" w:themeFillShade="D9"/>
            <w:vAlign w:val="center"/>
          </w:tcPr>
          <w:p w:rsidR="00455616" w:rsidRPr="009703EC" w:rsidRDefault="00455616" w:rsidP="00455616">
            <w:pPr>
              <w:spacing w:line="180" w:lineRule="exact"/>
              <w:contextualSpacing/>
              <w:rPr>
                <w:rFonts w:cstheme="minorHAnsi"/>
                <w:color w:val="auto"/>
                <w:sz w:val="18"/>
                <w:szCs w:val="18"/>
              </w:rPr>
            </w:pPr>
            <w:r w:rsidRPr="009703EC">
              <w:rPr>
                <w:rFonts w:cstheme="minorHAnsi"/>
                <w:color w:val="auto"/>
                <w:sz w:val="18"/>
                <w:szCs w:val="18"/>
              </w:rPr>
              <w:t>Combined</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5616" w:rsidRPr="009703EC" w:rsidRDefault="00455616" w:rsidP="00256A8D">
            <w:pPr>
              <w:spacing w:line="180" w:lineRule="exact"/>
              <w:contextualSpacing/>
              <w:rPr>
                <w:rFonts w:cstheme="minorHAnsi"/>
                <w:color w:val="auto"/>
                <w:sz w:val="18"/>
                <w:szCs w:val="18"/>
              </w:rPr>
            </w:pPr>
            <w:r w:rsidRPr="009703EC">
              <w:rPr>
                <w:rFonts w:cstheme="minorHAnsi"/>
                <w:color w:val="auto"/>
                <w:sz w:val="18"/>
                <w:szCs w:val="18"/>
              </w:rPr>
              <w:t>40%</w:t>
            </w:r>
          </w:p>
        </w:tc>
        <w:tc>
          <w:tcPr>
            <w:tcW w:w="990" w:type="dxa"/>
            <w:tcBorders>
              <w:top w:val="single" w:sz="4" w:space="0" w:color="auto"/>
              <w:left w:val="single" w:sz="4" w:space="0" w:color="auto"/>
              <w:right w:val="single" w:sz="4" w:space="0" w:color="auto"/>
            </w:tcBorders>
            <w:shd w:val="clear" w:color="auto" w:fill="D9D9D9" w:themeFill="background1" w:themeFillShade="D9"/>
          </w:tcPr>
          <w:p w:rsidR="00455616" w:rsidRPr="009703EC" w:rsidRDefault="00455616" w:rsidP="00256A8D">
            <w:pPr>
              <w:spacing w:line="180" w:lineRule="exact"/>
              <w:contextualSpacing/>
              <w:rPr>
                <w:rFonts w:cstheme="minorHAnsi"/>
                <w:color w:val="auto"/>
                <w:sz w:val="18"/>
                <w:szCs w:val="18"/>
              </w:rPr>
            </w:pPr>
            <w:r w:rsidRPr="009703EC">
              <w:rPr>
                <w:rFonts w:cstheme="minorHAnsi"/>
                <w:color w:val="auto"/>
                <w:sz w:val="18"/>
                <w:szCs w:val="18"/>
              </w:rPr>
              <w:t>20050826</w:t>
            </w:r>
          </w:p>
        </w:tc>
      </w:tr>
      <w:tr w:rsidR="00455616" w:rsidRPr="009703EC" w:rsidTr="00AB396D">
        <w:trPr>
          <w:trHeight w:val="100"/>
        </w:trPr>
        <w:tc>
          <w:tcPr>
            <w:tcW w:w="4230" w:type="dxa"/>
            <w:gridSpan w:val="5"/>
            <w:vMerge/>
            <w:tcBorders>
              <w:right w:val="thinThickThinSmallGap" w:sz="24" w:space="0" w:color="auto"/>
            </w:tcBorders>
            <w:shd w:val="clear" w:color="auto" w:fill="D9D9D9" w:themeFill="background1" w:themeFillShade="D9"/>
            <w:vAlign w:val="center"/>
          </w:tcPr>
          <w:p w:rsidR="00455616" w:rsidRPr="009703EC" w:rsidRDefault="00455616" w:rsidP="00483848">
            <w:pPr>
              <w:spacing w:line="180" w:lineRule="exact"/>
              <w:contextualSpacing/>
              <w:rPr>
                <w:rFonts w:cstheme="minorHAnsi"/>
                <w:color w:val="auto"/>
                <w:sz w:val="18"/>
                <w:szCs w:val="18"/>
              </w:rPr>
            </w:pPr>
          </w:p>
        </w:tc>
        <w:tc>
          <w:tcPr>
            <w:tcW w:w="2520" w:type="dxa"/>
            <w:gridSpan w:val="2"/>
            <w:vMerge/>
            <w:tcBorders>
              <w:left w:val="thinThickThinSmallGap" w:sz="24" w:space="0" w:color="auto"/>
              <w:right w:val="single" w:sz="4" w:space="0" w:color="auto"/>
            </w:tcBorders>
            <w:shd w:val="clear" w:color="auto" w:fill="D9D9D9" w:themeFill="background1" w:themeFillShade="D9"/>
            <w:vAlign w:val="center"/>
          </w:tcPr>
          <w:p w:rsidR="00455616" w:rsidRPr="009703EC" w:rsidRDefault="00455616" w:rsidP="00256A8D">
            <w:pPr>
              <w:spacing w:line="180" w:lineRule="exact"/>
              <w:contextualSpacing/>
              <w:rPr>
                <w:rFonts w:cstheme="minorHAnsi"/>
                <w:color w:val="auto"/>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5616" w:rsidRPr="009703EC" w:rsidRDefault="00455616" w:rsidP="00256A8D">
            <w:pPr>
              <w:spacing w:line="180" w:lineRule="exact"/>
              <w:contextualSpacing/>
              <w:rPr>
                <w:rFonts w:cstheme="minorHAnsi"/>
                <w:color w:val="auto"/>
                <w:sz w:val="18"/>
                <w:szCs w:val="18"/>
              </w:rPr>
            </w:pPr>
            <w:r w:rsidRPr="009703EC">
              <w:rPr>
                <w:rFonts w:cstheme="minorHAnsi"/>
                <w:color w:val="auto"/>
                <w:sz w:val="18"/>
                <w:szCs w:val="18"/>
              </w:rPr>
              <w:t>60%</w:t>
            </w:r>
          </w:p>
        </w:tc>
        <w:tc>
          <w:tcPr>
            <w:tcW w:w="990" w:type="dxa"/>
            <w:tcBorders>
              <w:left w:val="single" w:sz="4" w:space="0" w:color="auto"/>
              <w:bottom w:val="single" w:sz="4" w:space="0" w:color="auto"/>
              <w:right w:val="single" w:sz="4" w:space="0" w:color="auto"/>
            </w:tcBorders>
            <w:shd w:val="clear" w:color="auto" w:fill="D9D9D9" w:themeFill="background1" w:themeFillShade="D9"/>
          </w:tcPr>
          <w:p w:rsidR="00455616" w:rsidRPr="009703EC" w:rsidRDefault="00455616" w:rsidP="00256A8D">
            <w:pPr>
              <w:spacing w:line="180" w:lineRule="exact"/>
              <w:contextualSpacing/>
              <w:rPr>
                <w:rFonts w:cstheme="minorHAnsi"/>
                <w:color w:val="auto"/>
                <w:sz w:val="18"/>
                <w:szCs w:val="18"/>
              </w:rPr>
            </w:pPr>
            <w:r w:rsidRPr="009703EC">
              <w:rPr>
                <w:color w:val="auto"/>
                <w:sz w:val="18"/>
                <w:szCs w:val="18"/>
              </w:rPr>
              <w:t>20070130</w:t>
            </w:r>
          </w:p>
        </w:tc>
      </w:tr>
    </w:tbl>
    <w:p w:rsidR="004E45B4" w:rsidRPr="009703EC" w:rsidRDefault="00B01038" w:rsidP="00553E34">
      <w:pPr>
        <w:pBdr>
          <w:bottom w:val="single" w:sz="12" w:space="1" w:color="auto"/>
        </w:pBdr>
        <w:tabs>
          <w:tab w:val="left" w:pos="288"/>
          <w:tab w:val="left" w:pos="4752"/>
        </w:tabs>
        <w:spacing w:line="180" w:lineRule="exact"/>
        <w:jc w:val="both"/>
        <w:rPr>
          <w:color w:val="auto"/>
          <w:sz w:val="18"/>
          <w:szCs w:val="18"/>
        </w:rPr>
      </w:pPr>
      <w:r w:rsidRPr="009703EC">
        <w:rPr>
          <w:color w:val="auto"/>
          <w:sz w:val="18"/>
          <w:szCs w:val="18"/>
        </w:rPr>
        <w:t>*</w:t>
      </w:r>
      <w:r w:rsidR="00553E34" w:rsidRPr="009703EC">
        <w:rPr>
          <w:color w:val="auto"/>
          <w:sz w:val="18"/>
          <w:szCs w:val="18"/>
        </w:rPr>
        <w:t xml:space="preserve"> Conversion disorder</w:t>
      </w:r>
      <w:r w:rsidR="004E45B4" w:rsidRPr="009703EC">
        <w:rPr>
          <w:color w:val="auto"/>
          <w:sz w:val="18"/>
          <w:szCs w:val="18"/>
        </w:rPr>
        <w:t xml:space="preserve"> …</w:t>
      </w:r>
      <w:r w:rsidR="00553E34" w:rsidRPr="009703EC">
        <w:rPr>
          <w:color w:val="auto"/>
          <w:sz w:val="18"/>
          <w:szCs w:val="18"/>
        </w:rPr>
        <w:t xml:space="preserve"> </w:t>
      </w:r>
      <w:r w:rsidR="00AB396D" w:rsidRPr="009703EC">
        <w:rPr>
          <w:color w:val="auto"/>
          <w:sz w:val="18"/>
          <w:szCs w:val="18"/>
        </w:rPr>
        <w:t xml:space="preserve">VCD </w:t>
      </w:r>
      <w:r w:rsidR="00553E34" w:rsidRPr="009703EC">
        <w:rPr>
          <w:color w:val="auto"/>
          <w:sz w:val="18"/>
          <w:szCs w:val="18"/>
        </w:rPr>
        <w:t xml:space="preserve">9424 changed to </w:t>
      </w:r>
      <w:r w:rsidR="00256A8D" w:rsidRPr="009703EC">
        <w:rPr>
          <w:color w:val="auto"/>
          <w:sz w:val="18"/>
          <w:szCs w:val="18"/>
        </w:rPr>
        <w:t>PTSD</w:t>
      </w:r>
      <w:r w:rsidR="00E3370C" w:rsidRPr="009703EC">
        <w:rPr>
          <w:color w:val="auto"/>
          <w:sz w:val="18"/>
          <w:szCs w:val="18"/>
        </w:rPr>
        <w:t xml:space="preserve"> </w:t>
      </w:r>
      <w:r w:rsidR="004E45B4" w:rsidRPr="009703EC">
        <w:rPr>
          <w:color w:val="auto"/>
          <w:sz w:val="18"/>
          <w:szCs w:val="18"/>
        </w:rPr>
        <w:t xml:space="preserve">with Conversion </w:t>
      </w:r>
      <w:r w:rsidR="00AB396D" w:rsidRPr="009703EC">
        <w:rPr>
          <w:color w:val="auto"/>
          <w:sz w:val="18"/>
          <w:szCs w:val="18"/>
        </w:rPr>
        <w:t xml:space="preserve">disorder … VCD </w:t>
      </w:r>
      <w:r w:rsidR="004E45B4" w:rsidRPr="009703EC">
        <w:rPr>
          <w:color w:val="auto"/>
          <w:sz w:val="18"/>
          <w:szCs w:val="18"/>
        </w:rPr>
        <w:t xml:space="preserve">and depression </w:t>
      </w:r>
      <w:r w:rsidR="005323DA" w:rsidRPr="009703EC">
        <w:rPr>
          <w:color w:val="auto"/>
          <w:sz w:val="18"/>
          <w:szCs w:val="18"/>
        </w:rPr>
        <w:t>at 30% effective 20070130 as charted above.</w:t>
      </w:r>
    </w:p>
    <w:p w:rsidR="00F90376" w:rsidRPr="009703EC" w:rsidRDefault="00F90376" w:rsidP="00F90376">
      <w:pPr>
        <w:pBdr>
          <w:bottom w:val="single" w:sz="12" w:space="1" w:color="auto"/>
        </w:pBdr>
        <w:tabs>
          <w:tab w:val="left" w:pos="288"/>
          <w:tab w:val="left" w:pos="4752"/>
        </w:tabs>
        <w:jc w:val="both"/>
        <w:rPr>
          <w:color w:val="auto"/>
        </w:rPr>
      </w:pPr>
    </w:p>
    <w:p w:rsidR="00AD2379" w:rsidRPr="009703EC" w:rsidRDefault="00AD2379" w:rsidP="00165C7B">
      <w:pPr>
        <w:jc w:val="both"/>
        <w:rPr>
          <w:color w:val="auto"/>
        </w:rPr>
      </w:pPr>
    </w:p>
    <w:p w:rsidR="00AD2379" w:rsidRPr="009703EC" w:rsidRDefault="00AD2379" w:rsidP="00B22D42">
      <w:pPr>
        <w:jc w:val="both"/>
        <w:rPr>
          <w:color w:val="auto"/>
        </w:rPr>
      </w:pPr>
      <w:r w:rsidRPr="009703EC">
        <w:rPr>
          <w:color w:val="auto"/>
          <w:u w:val="single"/>
        </w:rPr>
        <w:t>ANALYSIS SUMMARY</w:t>
      </w:r>
      <w:r w:rsidRPr="009703EC">
        <w:rPr>
          <w:color w:val="auto"/>
        </w:rPr>
        <w:t>:</w:t>
      </w:r>
      <w:r w:rsidR="00896C01" w:rsidRPr="009703EC">
        <w:rPr>
          <w:color w:val="auto"/>
        </w:rPr>
        <w:t xml:space="preserve"> </w:t>
      </w:r>
      <w:r w:rsidRPr="009703EC">
        <w:rPr>
          <w:color w:val="auto"/>
        </w:rPr>
        <w:t xml:space="preserve"> </w:t>
      </w:r>
      <w:r w:rsidR="00AB396D" w:rsidRPr="009703EC">
        <w:rPr>
          <w:color w:val="auto"/>
        </w:rPr>
        <w:t xml:space="preserve">The Board acknowledges the CI's contention suggesting that ratings should have been conferred for other conditions documented at the time of separation, some of which were evaluated and determined not to be individually unfitting for continued service.  The Board wishes to clarify that it is subject to the same laws for disability entitlements as those under which the </w:t>
      </w:r>
      <w:r w:rsidR="00756A51">
        <w:rPr>
          <w:color w:val="auto"/>
        </w:rPr>
        <w:t>Disability Evaluation System (</w:t>
      </w:r>
      <w:r w:rsidR="00AB396D" w:rsidRPr="009703EC">
        <w:rPr>
          <w:color w:val="auto"/>
        </w:rPr>
        <w:t>DES) operates.  The is responsible for maintaining a fit and vi</w:t>
      </w:r>
      <w:r w:rsidR="00756A51">
        <w:rPr>
          <w:color w:val="auto"/>
        </w:rPr>
        <w:t xml:space="preserve">tal fighting force.  While the </w:t>
      </w:r>
      <w:r w:rsidR="00AB396D" w:rsidRPr="009703EC">
        <w:rPr>
          <w:color w:val="auto"/>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756A51">
        <w:rPr>
          <w:color w:val="auto"/>
        </w:rPr>
        <w:t>s’</w:t>
      </w:r>
      <w:r w:rsidR="00AB396D" w:rsidRPr="009703EC">
        <w:rPr>
          <w:color w:val="auto"/>
        </w:rPr>
        <w:t xml:space="preserve"> Affairs (DVA), operating under a different set of laws (Title 38, United States Code), is empo</w:t>
      </w:r>
      <w:r w:rsidR="00756A51">
        <w:rPr>
          <w:color w:val="auto"/>
        </w:rPr>
        <w:t>wered to compensate all service-</w:t>
      </w:r>
      <w:r w:rsidR="00AB396D" w:rsidRPr="009703EC">
        <w:rPr>
          <w:color w:val="auto"/>
        </w:rPr>
        <w:t xml:space="preserve">connected conditions and to periodically re-evaluate said conditions for the purpose of adjusting the </w:t>
      </w:r>
      <w:r w:rsidR="00756A51">
        <w:rPr>
          <w:color w:val="auto"/>
        </w:rPr>
        <w:t>V</w:t>
      </w:r>
      <w:r w:rsidR="00AB396D" w:rsidRPr="009703EC">
        <w:rPr>
          <w:color w:val="auto"/>
        </w:rPr>
        <w:t xml:space="preserve">eteran’s disability rating should </w:t>
      </w:r>
      <w:r w:rsidR="00756A51">
        <w:rPr>
          <w:color w:val="auto"/>
        </w:rPr>
        <w:t>the</w:t>
      </w:r>
      <w:r w:rsidR="00AB396D" w:rsidRPr="009703EC">
        <w:rPr>
          <w:color w:val="auto"/>
        </w:rPr>
        <w:t xml:space="preserve"> degree of impairment vary over time.  The Board is empowered to evaluate the fairness of fitness determinations, and to make recommendations for rating of conditions which it concludes would have independently prevented the performance of required duties (at the time of TDRL entry and final separation).  The Board’s threshold for countering DES fitness determinations is higher than the VASRD §4.3 (reasonable doubt) standard used for its rating recommendations, but remains adherent to the DoDI 6040.44 “fair and equitable” standard.  </w:t>
      </w:r>
    </w:p>
    <w:p w:rsidR="00194B3F" w:rsidRPr="009703EC" w:rsidRDefault="00194B3F" w:rsidP="00B22D42">
      <w:pPr>
        <w:jc w:val="both"/>
        <w:rPr>
          <w:color w:val="auto"/>
        </w:rPr>
      </w:pPr>
    </w:p>
    <w:p w:rsidR="00FE5004" w:rsidRPr="009703EC" w:rsidRDefault="004E45B4" w:rsidP="00B22D42">
      <w:pPr>
        <w:jc w:val="both"/>
        <w:rPr>
          <w:color w:val="auto"/>
        </w:rPr>
      </w:pPr>
      <w:proofErr w:type="gramStart"/>
      <w:r w:rsidRPr="009703EC">
        <w:rPr>
          <w:color w:val="auto"/>
          <w:u w:val="single"/>
        </w:rPr>
        <w:t>Dyspnea on Exertion</w:t>
      </w:r>
      <w:r w:rsidRPr="009703EC">
        <w:rPr>
          <w:color w:val="auto"/>
        </w:rPr>
        <w:t>.</w:t>
      </w:r>
      <w:proofErr w:type="gramEnd"/>
      <w:r w:rsidRPr="009703EC">
        <w:rPr>
          <w:color w:val="auto"/>
        </w:rPr>
        <w:t xml:space="preserve">  </w:t>
      </w:r>
      <w:r w:rsidRPr="009703EC">
        <w:rPr>
          <w:color w:val="auto"/>
          <w:szCs w:val="24"/>
        </w:rPr>
        <w:t>There was significant overlap of symptoms and disability due to the diagnoses of vocal cord dysfunction and a</w:t>
      </w:r>
      <w:r w:rsidR="00607F68" w:rsidRPr="009703EC">
        <w:rPr>
          <w:color w:val="auto"/>
          <w:szCs w:val="24"/>
        </w:rPr>
        <w:t>sthma</w:t>
      </w:r>
      <w:r w:rsidRPr="009703EC">
        <w:rPr>
          <w:color w:val="auto"/>
          <w:szCs w:val="24"/>
        </w:rPr>
        <w:t xml:space="preserve">.  The initial </w:t>
      </w:r>
      <w:r w:rsidR="00756A51">
        <w:rPr>
          <w:color w:val="auto"/>
          <w:szCs w:val="24"/>
        </w:rPr>
        <w:t>narrative summary (</w:t>
      </w:r>
      <w:r w:rsidRPr="009703EC">
        <w:rPr>
          <w:color w:val="auto"/>
          <w:szCs w:val="24"/>
        </w:rPr>
        <w:t>NARSUM</w:t>
      </w:r>
      <w:r w:rsidR="00756A51">
        <w:rPr>
          <w:color w:val="auto"/>
          <w:szCs w:val="24"/>
        </w:rPr>
        <w:t>)</w:t>
      </w:r>
      <w:r w:rsidRPr="009703EC">
        <w:rPr>
          <w:color w:val="auto"/>
          <w:szCs w:val="24"/>
        </w:rPr>
        <w:t xml:space="preserve"> and PEB considered the CI unfitting for asthma c</w:t>
      </w:r>
      <w:r w:rsidR="00607F68" w:rsidRPr="009703EC">
        <w:rPr>
          <w:color w:val="auto"/>
          <w:szCs w:val="24"/>
        </w:rPr>
        <w:t xml:space="preserve">ompounded by </w:t>
      </w:r>
      <w:r w:rsidRPr="009703EC">
        <w:rPr>
          <w:color w:val="auto"/>
          <w:szCs w:val="24"/>
        </w:rPr>
        <w:t>v</w:t>
      </w:r>
      <w:r w:rsidR="00607F68" w:rsidRPr="009703EC">
        <w:rPr>
          <w:color w:val="auto"/>
          <w:szCs w:val="24"/>
        </w:rPr>
        <w:t xml:space="preserve">ocal cord </w:t>
      </w:r>
      <w:r w:rsidRPr="009703EC">
        <w:rPr>
          <w:color w:val="auto"/>
          <w:szCs w:val="24"/>
        </w:rPr>
        <w:t>d</w:t>
      </w:r>
      <w:r w:rsidR="00607F68" w:rsidRPr="009703EC">
        <w:rPr>
          <w:color w:val="auto"/>
          <w:szCs w:val="24"/>
        </w:rPr>
        <w:t>ysfunction</w:t>
      </w:r>
      <w:r w:rsidRPr="009703EC">
        <w:rPr>
          <w:color w:val="auto"/>
          <w:szCs w:val="24"/>
        </w:rPr>
        <w:t xml:space="preserve"> and rated </w:t>
      </w:r>
      <w:r w:rsidRPr="009703EC">
        <w:rPr>
          <w:color w:val="auto"/>
          <w:szCs w:val="24"/>
        </w:rPr>
        <w:lastRenderedPageBreak/>
        <w:t xml:space="preserve">the CI under </w:t>
      </w:r>
      <w:r w:rsidR="005323DA" w:rsidRPr="009703EC">
        <w:rPr>
          <w:color w:val="auto"/>
          <w:szCs w:val="24"/>
        </w:rPr>
        <w:t xml:space="preserve">(analogously to) </w:t>
      </w:r>
      <w:r w:rsidRPr="009703EC">
        <w:rPr>
          <w:color w:val="auto"/>
          <w:szCs w:val="24"/>
        </w:rPr>
        <w:t>the asthma coding criteria for daily inhaled corticosteroids</w:t>
      </w:r>
      <w:r w:rsidR="00AB396D" w:rsidRPr="009703EC">
        <w:rPr>
          <w:color w:val="auto"/>
          <w:szCs w:val="24"/>
        </w:rPr>
        <w:t xml:space="preserve"> for both conditions</w:t>
      </w:r>
      <w:r w:rsidRPr="009703EC">
        <w:rPr>
          <w:color w:val="auto"/>
          <w:szCs w:val="24"/>
        </w:rPr>
        <w:t xml:space="preserve">.  </w:t>
      </w:r>
      <w:r w:rsidR="00FE5004" w:rsidRPr="009703EC">
        <w:rPr>
          <w:color w:val="auto"/>
          <w:szCs w:val="24"/>
        </w:rPr>
        <w:t>At t</w:t>
      </w:r>
      <w:r w:rsidR="00AB396D" w:rsidRPr="009703EC">
        <w:rPr>
          <w:color w:val="auto"/>
          <w:szCs w:val="24"/>
        </w:rPr>
        <w:t xml:space="preserve">he </w:t>
      </w:r>
      <w:r w:rsidR="00FE5004" w:rsidRPr="009703EC">
        <w:rPr>
          <w:color w:val="auto"/>
          <w:szCs w:val="24"/>
        </w:rPr>
        <w:t xml:space="preserve">initial MEB (for </w:t>
      </w:r>
      <w:r w:rsidR="00AB396D" w:rsidRPr="009703EC">
        <w:rPr>
          <w:color w:val="auto"/>
          <w:szCs w:val="24"/>
        </w:rPr>
        <w:t xml:space="preserve">TDRL </w:t>
      </w:r>
      <w:r w:rsidR="00FE5004" w:rsidRPr="009703EC">
        <w:rPr>
          <w:color w:val="auto"/>
          <w:szCs w:val="24"/>
        </w:rPr>
        <w:t>entry), the CI reported</w:t>
      </w:r>
      <w:r w:rsidR="005323DA" w:rsidRPr="009703EC">
        <w:rPr>
          <w:color w:val="auto"/>
          <w:szCs w:val="24"/>
        </w:rPr>
        <w:t xml:space="preserve"> shortness of breath</w:t>
      </w:r>
      <w:r w:rsidR="00FD4A45" w:rsidRPr="009703EC">
        <w:rPr>
          <w:color w:val="auto"/>
          <w:szCs w:val="24"/>
        </w:rPr>
        <w:t xml:space="preserve"> that began in basic training, with worsening, exacerbations with “waxing and waning shortness of breath and cough” with exertional and night-time symptoms.  Symptoms were made worse at work with exposure to fumes and during deployment.  She was diagnosed with vocal cord </w:t>
      </w:r>
      <w:r w:rsidR="00797F32" w:rsidRPr="009703EC">
        <w:rPr>
          <w:color w:val="auto"/>
          <w:szCs w:val="24"/>
        </w:rPr>
        <w:t>d</w:t>
      </w:r>
      <w:r w:rsidR="00FD4A45" w:rsidRPr="009703EC">
        <w:rPr>
          <w:color w:val="auto"/>
          <w:szCs w:val="24"/>
        </w:rPr>
        <w:t>yskinesia and asthma (moderate persistent) by pulmonary specialists.  She had coexisting allergic rhinitis and was on chronic asthma controller inhaled medication (</w:t>
      </w:r>
      <w:proofErr w:type="spellStart"/>
      <w:r w:rsidR="00FD4A45" w:rsidRPr="009703EC">
        <w:rPr>
          <w:color w:val="auto"/>
          <w:szCs w:val="24"/>
        </w:rPr>
        <w:t>Fluticason</w:t>
      </w:r>
      <w:r w:rsidR="00F01BD2">
        <w:rPr>
          <w:color w:val="auto"/>
          <w:szCs w:val="24"/>
        </w:rPr>
        <w:t>e</w:t>
      </w:r>
      <w:proofErr w:type="spellEnd"/>
      <w:r w:rsidR="00F01BD2">
        <w:rPr>
          <w:color w:val="auto"/>
          <w:szCs w:val="24"/>
        </w:rPr>
        <w:t>/</w:t>
      </w:r>
      <w:proofErr w:type="spellStart"/>
      <w:r w:rsidR="00F01BD2">
        <w:rPr>
          <w:color w:val="auto"/>
          <w:szCs w:val="24"/>
        </w:rPr>
        <w:t>S</w:t>
      </w:r>
      <w:r w:rsidR="00FD4A45" w:rsidRPr="009703EC">
        <w:rPr>
          <w:color w:val="auto"/>
          <w:szCs w:val="24"/>
        </w:rPr>
        <w:t>almeterol</w:t>
      </w:r>
      <w:proofErr w:type="spellEnd"/>
      <w:r w:rsidR="003241B7" w:rsidRPr="009703EC">
        <w:rPr>
          <w:color w:val="auto"/>
          <w:szCs w:val="24"/>
        </w:rPr>
        <w:t xml:space="preserve"> – </w:t>
      </w:r>
      <w:proofErr w:type="spellStart"/>
      <w:r w:rsidR="003241B7" w:rsidRPr="009703EC">
        <w:rPr>
          <w:color w:val="auto"/>
          <w:szCs w:val="24"/>
        </w:rPr>
        <w:t>Advair</w:t>
      </w:r>
      <w:proofErr w:type="spellEnd"/>
      <w:r w:rsidR="003241B7" w:rsidRPr="009703EC">
        <w:rPr>
          <w:color w:val="auto"/>
          <w:szCs w:val="24"/>
        </w:rPr>
        <w:t>)</w:t>
      </w:r>
      <w:r w:rsidR="00FD4A45" w:rsidRPr="009703EC">
        <w:rPr>
          <w:color w:val="auto"/>
          <w:szCs w:val="24"/>
        </w:rPr>
        <w:t xml:space="preserve">, and as needed bronchodilator (Albuterol).  </w:t>
      </w:r>
      <w:r w:rsidR="00FE5004" w:rsidRPr="009703EC">
        <w:rPr>
          <w:color w:val="auto"/>
          <w:szCs w:val="24"/>
        </w:rPr>
        <w:t>The MEB physical exam noted</w:t>
      </w:r>
      <w:r w:rsidR="00FD4A45" w:rsidRPr="009703EC">
        <w:rPr>
          <w:color w:val="auto"/>
          <w:szCs w:val="24"/>
        </w:rPr>
        <w:t xml:space="preserve"> </w:t>
      </w:r>
      <w:r w:rsidR="007D2735" w:rsidRPr="009703EC">
        <w:rPr>
          <w:color w:val="auto"/>
          <w:szCs w:val="24"/>
        </w:rPr>
        <w:t>marked allergic changes to the nasal turbinates, and clear lung exam.  Pulmonary function tests (PFTs) demonstrated a mixed pattern with severe obstruction and marked reversible airway obstruction following bronchodilator use.  Follow-up PFTs were similar, but difficult to interpret due to “variable nature of respiratory efforts.</w:t>
      </w:r>
      <w:r w:rsidR="00797F32" w:rsidRPr="009703EC">
        <w:rPr>
          <w:color w:val="auto"/>
          <w:szCs w:val="24"/>
        </w:rPr>
        <w:t>”  The pulmonary specialist discussed the overlap of VSD and asthma, VCD being a p</w:t>
      </w:r>
      <w:r w:rsidR="00FD4A45" w:rsidRPr="009703EC">
        <w:rPr>
          <w:color w:val="auto"/>
          <w:szCs w:val="24"/>
        </w:rPr>
        <w:t>ossible conversion disorder</w:t>
      </w:r>
      <w:r w:rsidR="00797F32" w:rsidRPr="009703EC">
        <w:rPr>
          <w:color w:val="auto"/>
          <w:szCs w:val="24"/>
        </w:rPr>
        <w:t xml:space="preserve"> and </w:t>
      </w:r>
      <w:r w:rsidR="00FD4A45" w:rsidRPr="009703EC">
        <w:rPr>
          <w:color w:val="auto"/>
          <w:szCs w:val="24"/>
        </w:rPr>
        <w:t xml:space="preserve">VCD </w:t>
      </w:r>
      <w:r w:rsidR="00797F32" w:rsidRPr="009703EC">
        <w:rPr>
          <w:color w:val="auto"/>
          <w:szCs w:val="24"/>
        </w:rPr>
        <w:t xml:space="preserve">being a treatable condition, but not yet fully treated.  The MEB psychiatric consult did not diagnose a conversion disorder, but an </w:t>
      </w:r>
      <w:r w:rsidR="00756A51">
        <w:rPr>
          <w:color w:val="auto"/>
          <w:szCs w:val="24"/>
        </w:rPr>
        <w:t>a</w:t>
      </w:r>
      <w:r w:rsidR="00797F32" w:rsidRPr="009703EC">
        <w:rPr>
          <w:color w:val="auto"/>
          <w:szCs w:val="24"/>
        </w:rPr>
        <w:t xml:space="preserve">xis I diagnosis of occupational problems.  The PEB rated this exam at 30% as described above for combined asthma and VCD.  </w:t>
      </w:r>
      <w:r w:rsidR="00FE5004" w:rsidRPr="009703EC">
        <w:rPr>
          <w:color w:val="auto"/>
          <w:szCs w:val="24"/>
        </w:rPr>
        <w:t>The</w:t>
      </w:r>
      <w:r w:rsidR="00D55538" w:rsidRPr="009703EC">
        <w:rPr>
          <w:color w:val="auto"/>
          <w:szCs w:val="24"/>
        </w:rPr>
        <w:t xml:space="preserve"> </w:t>
      </w:r>
      <w:r w:rsidR="00FE5004" w:rsidRPr="009703EC">
        <w:rPr>
          <w:color w:val="auto"/>
          <w:szCs w:val="24"/>
        </w:rPr>
        <w:t xml:space="preserve">VA </w:t>
      </w:r>
      <w:r w:rsidR="00797F32" w:rsidRPr="009703EC">
        <w:rPr>
          <w:color w:val="auto"/>
          <w:szCs w:val="24"/>
        </w:rPr>
        <w:t xml:space="preserve">rated the CI from her service treatment records </w:t>
      </w:r>
      <w:r w:rsidR="00D55538" w:rsidRPr="009703EC">
        <w:rPr>
          <w:color w:val="auto"/>
          <w:szCs w:val="24"/>
        </w:rPr>
        <w:t xml:space="preserve">(STRs) </w:t>
      </w:r>
      <w:r w:rsidR="00F01BD2">
        <w:rPr>
          <w:color w:val="auto"/>
          <w:szCs w:val="24"/>
        </w:rPr>
        <w:t>at 30% for asthma and 0% for conversion disorder m</w:t>
      </w:r>
      <w:r w:rsidR="00797F32" w:rsidRPr="009703EC">
        <w:rPr>
          <w:color w:val="auto"/>
          <w:szCs w:val="24"/>
        </w:rPr>
        <w:t xml:space="preserve">anifested by </w:t>
      </w:r>
      <w:r w:rsidR="00FF37F2" w:rsidRPr="009703EC">
        <w:rPr>
          <w:color w:val="auto"/>
          <w:szCs w:val="24"/>
        </w:rPr>
        <w:t>VCD</w:t>
      </w:r>
      <w:r w:rsidR="00797F32" w:rsidRPr="009703EC">
        <w:rPr>
          <w:color w:val="auto"/>
          <w:szCs w:val="24"/>
        </w:rPr>
        <w:t xml:space="preserve">.  </w:t>
      </w:r>
      <w:r w:rsidR="00D55538" w:rsidRPr="009703EC">
        <w:rPr>
          <w:color w:val="auto"/>
          <w:szCs w:val="24"/>
        </w:rPr>
        <w:t xml:space="preserve">A VA </w:t>
      </w:r>
      <w:proofErr w:type="gramStart"/>
      <w:r w:rsidR="00D55538" w:rsidRPr="009703EC">
        <w:rPr>
          <w:color w:val="auto"/>
          <w:szCs w:val="24"/>
        </w:rPr>
        <w:t>exam</w:t>
      </w:r>
      <w:r w:rsidR="00756A51">
        <w:rPr>
          <w:color w:val="auto"/>
          <w:szCs w:val="24"/>
        </w:rPr>
        <w:t>,</w:t>
      </w:r>
      <w:proofErr w:type="gramEnd"/>
      <w:r w:rsidR="00D55538" w:rsidRPr="009703EC">
        <w:rPr>
          <w:color w:val="auto"/>
          <w:szCs w:val="24"/>
        </w:rPr>
        <w:t xml:space="preserve"> </w:t>
      </w:r>
      <w:r w:rsidR="00756A51">
        <w:rPr>
          <w:color w:val="auto"/>
          <w:szCs w:val="24"/>
        </w:rPr>
        <w:t>4</w:t>
      </w:r>
      <w:r w:rsidR="00D55538" w:rsidRPr="009703EC">
        <w:rPr>
          <w:color w:val="auto"/>
          <w:szCs w:val="24"/>
        </w:rPr>
        <w:t xml:space="preserve"> months into the TDRL period indicated the same history and symptoms as the STRs and continued chronic asthma controller medication use and the VA continued their 30% rating during subsequent rating determinations.  </w:t>
      </w:r>
      <w:r w:rsidR="00A36713" w:rsidRPr="009703EC">
        <w:rPr>
          <w:color w:val="auto"/>
          <w:szCs w:val="24"/>
        </w:rPr>
        <w:t>Otolaryngology exams also indicated</w:t>
      </w:r>
      <w:r w:rsidR="00F01BD2">
        <w:rPr>
          <w:color w:val="auto"/>
          <w:szCs w:val="24"/>
        </w:rPr>
        <w:t xml:space="preserve"> similar symptoms as the STRs.</w:t>
      </w:r>
    </w:p>
    <w:p w:rsidR="00FE5004" w:rsidRPr="009703EC" w:rsidRDefault="00FE5004" w:rsidP="00B22D42">
      <w:pPr>
        <w:jc w:val="both"/>
        <w:rPr>
          <w:color w:val="auto"/>
        </w:rPr>
      </w:pPr>
    </w:p>
    <w:p w:rsidR="0069687C" w:rsidRPr="009703EC" w:rsidRDefault="00A36713" w:rsidP="0069687C">
      <w:pPr>
        <w:jc w:val="both"/>
        <w:rPr>
          <w:color w:val="auto"/>
          <w:szCs w:val="24"/>
        </w:rPr>
      </w:pPr>
      <w:r w:rsidRPr="009703EC">
        <w:rPr>
          <w:color w:val="auto"/>
        </w:rPr>
        <w:t xml:space="preserve">The </w:t>
      </w:r>
      <w:r w:rsidR="00AB396D" w:rsidRPr="009703EC">
        <w:rPr>
          <w:color w:val="auto"/>
        </w:rPr>
        <w:t xml:space="preserve">TDRL </w:t>
      </w:r>
      <w:r w:rsidRPr="009703EC">
        <w:rPr>
          <w:color w:val="auto"/>
        </w:rPr>
        <w:t>re-evaluation clearly indicated the diagnoses of VCD and asthma as both the chief complaint and final diagnosis.  The CI was on daily inhalational controller medication (Advair) with as needed albuterol.  Symptoms were similar to prior exams and the examin</w:t>
      </w:r>
      <w:r w:rsidR="00F01BD2">
        <w:rPr>
          <w:color w:val="auto"/>
        </w:rPr>
        <w:t>er indicated both VAD and a</w:t>
      </w:r>
      <w:r w:rsidRPr="009703EC">
        <w:rPr>
          <w:color w:val="auto"/>
        </w:rPr>
        <w:t xml:space="preserve">sthma did not meet standards, both conditions remained stable </w:t>
      </w:r>
      <w:r w:rsidR="00F01BD2">
        <w:rPr>
          <w:color w:val="auto"/>
        </w:rPr>
        <w:t>and specified “</w:t>
      </w:r>
      <w:r w:rsidR="00756A51">
        <w:rPr>
          <w:color w:val="auto"/>
        </w:rPr>
        <w:t>h</w:t>
      </w:r>
      <w:r w:rsidR="00F01BD2">
        <w:rPr>
          <w:color w:val="auto"/>
        </w:rPr>
        <w:t xml:space="preserve">er vocal </w:t>
      </w:r>
      <w:proofErr w:type="spellStart"/>
      <w:r w:rsidR="00F01BD2">
        <w:rPr>
          <w:color w:val="auto"/>
        </w:rPr>
        <w:t>chord</w:t>
      </w:r>
      <w:proofErr w:type="spellEnd"/>
      <w:r w:rsidR="00F01BD2">
        <w:rPr>
          <w:color w:val="auto"/>
        </w:rPr>
        <w:t xml:space="preserve"> [sic]</w:t>
      </w:r>
      <w:r w:rsidRPr="009703EC">
        <w:rPr>
          <w:color w:val="auto"/>
        </w:rPr>
        <w:t xml:space="preserve"> dysfunction and asthma affect her ability to perform basic tasks required of a soldier to include running or working in dry, dusty hot environments.”  The PEB rated this exam at 10% indicating the CI’s dyspnea was primarily due to VCD and asthma was not unfitting.  </w:t>
      </w:r>
      <w:r w:rsidR="00D05279" w:rsidRPr="009703EC">
        <w:rPr>
          <w:color w:val="auto"/>
        </w:rPr>
        <w:t>Treatment records indicated systemic steroid treatment only once in the year prior to TDRL entry and once prior to permanent separation.  Physician required treatment was noted to be approximately quarterly for respiratory conditions.</w:t>
      </w:r>
      <w:r w:rsidR="00BC6F5A" w:rsidRPr="009703EC">
        <w:rPr>
          <w:color w:val="auto"/>
        </w:rPr>
        <w:t xml:space="preserve">  </w:t>
      </w:r>
      <w:r w:rsidR="0069687C" w:rsidRPr="009703EC">
        <w:rPr>
          <w:color w:val="auto"/>
          <w:szCs w:val="24"/>
        </w:rPr>
        <w:t xml:space="preserve">There were </w:t>
      </w:r>
      <w:r w:rsidR="00F01BD2">
        <w:rPr>
          <w:color w:val="auto"/>
          <w:szCs w:val="24"/>
        </w:rPr>
        <w:t>three</w:t>
      </w:r>
      <w:r w:rsidR="00001EFC" w:rsidRPr="009703EC">
        <w:rPr>
          <w:color w:val="auto"/>
          <w:szCs w:val="24"/>
        </w:rPr>
        <w:t xml:space="preserve"> </w:t>
      </w:r>
      <w:r w:rsidR="00C253DD" w:rsidRPr="009703EC">
        <w:rPr>
          <w:color w:val="auto"/>
          <w:szCs w:val="24"/>
        </w:rPr>
        <w:t>pulmonary exam</w:t>
      </w:r>
      <w:r w:rsidR="0069687C" w:rsidRPr="009703EC">
        <w:rPr>
          <w:color w:val="auto"/>
          <w:szCs w:val="24"/>
        </w:rPr>
        <w:t xml:space="preserve"> </w:t>
      </w:r>
      <w:r w:rsidR="00C253DD" w:rsidRPr="009703EC">
        <w:rPr>
          <w:color w:val="auto"/>
          <w:szCs w:val="24"/>
        </w:rPr>
        <w:t>results</w:t>
      </w:r>
      <w:r w:rsidR="0069687C" w:rsidRPr="009703EC">
        <w:rPr>
          <w:color w:val="auto"/>
          <w:szCs w:val="24"/>
        </w:rPr>
        <w:t xml:space="preserve"> in evidence, with documentation of additional ratable criteria, which the Board weighed in arriving at its rating recommendation; as summarized in the chart below.</w:t>
      </w:r>
    </w:p>
    <w:p w:rsidR="005323DA" w:rsidRPr="009703EC" w:rsidRDefault="005323DA" w:rsidP="0069687C">
      <w:pPr>
        <w:jc w:val="both"/>
        <w:rPr>
          <w:color w:val="auto"/>
          <w:szCs w:val="24"/>
        </w:rPr>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2340"/>
        <w:gridCol w:w="2520"/>
        <w:gridCol w:w="2520"/>
      </w:tblGrid>
      <w:tr w:rsidR="00D55538" w:rsidRPr="009703EC" w:rsidTr="00BB1B80">
        <w:trPr>
          <w:jc w:val="center"/>
        </w:trPr>
        <w:tc>
          <w:tcPr>
            <w:tcW w:w="1818" w:type="dxa"/>
            <w:tcBorders>
              <w:top w:val="single" w:sz="4" w:space="0" w:color="000000"/>
              <w:left w:val="single" w:sz="4" w:space="0" w:color="000000"/>
              <w:bottom w:val="single" w:sz="4" w:space="0" w:color="000000"/>
              <w:right w:val="single" w:sz="4" w:space="0" w:color="000000"/>
            </w:tcBorders>
            <w:shd w:val="pct15" w:color="auto" w:fill="auto"/>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Pulmonary Exam</w:t>
            </w:r>
            <w:r w:rsidR="00194B3F" w:rsidRPr="009703EC">
              <w:rPr>
                <w:rFonts w:asciiTheme="majorHAnsi" w:eastAsia="Calibri" w:hAnsiTheme="majorHAnsi" w:cstheme="majorHAnsi"/>
                <w:color w:val="auto"/>
                <w:sz w:val="20"/>
                <w:szCs w:val="18"/>
              </w:rPr>
              <w:t>*</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tcPr>
          <w:p w:rsidR="00D55538" w:rsidRPr="009703EC" w:rsidRDefault="00D55538" w:rsidP="00EE222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MEB ~6 Mo. Pre-TDRL</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tcPr>
          <w:p w:rsidR="00D55538" w:rsidRPr="009703EC" w:rsidRDefault="00D55538" w:rsidP="00EE222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VA ~7 Mo. Pre-Sep</w:t>
            </w:r>
          </w:p>
        </w:tc>
        <w:tc>
          <w:tcPr>
            <w:tcW w:w="2520" w:type="dxa"/>
            <w:tcBorders>
              <w:top w:val="single" w:sz="4" w:space="0" w:color="000000"/>
              <w:left w:val="single" w:sz="4" w:space="0" w:color="000000"/>
              <w:bottom w:val="single" w:sz="4" w:space="0" w:color="000000"/>
              <w:right w:val="single" w:sz="4" w:space="0" w:color="000000"/>
            </w:tcBorders>
            <w:shd w:val="pct15" w:color="auto" w:fill="auto"/>
            <w:vAlign w:val="center"/>
          </w:tcPr>
          <w:p w:rsidR="00D55538" w:rsidRPr="009703EC" w:rsidRDefault="00D55538" w:rsidP="00EE222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 xml:space="preserve"> ~2 Mo. Pre-Sep from TDRL</w:t>
            </w:r>
          </w:p>
        </w:tc>
      </w:tr>
      <w:tr w:rsidR="00D55538" w:rsidRPr="009703EC" w:rsidTr="00BB1B8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FEV1 (% Predicted)</w:t>
            </w:r>
          </w:p>
        </w:tc>
        <w:tc>
          <w:tcPr>
            <w:tcW w:w="234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56% to 68% Post-Rx</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72% to 60% Post-Rx</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063D5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78% to 84% Post-Rx</w:t>
            </w:r>
          </w:p>
        </w:tc>
      </w:tr>
      <w:tr w:rsidR="00D55538" w:rsidRPr="009703EC" w:rsidTr="00BB1B8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FEV1/FVC</w:t>
            </w:r>
          </w:p>
        </w:tc>
        <w:tc>
          <w:tcPr>
            <w:tcW w:w="234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72% to 83% Post-Rx</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D5553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80% to 70% Post-Rx</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063D58">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79% to 84% Post-Rx</w:t>
            </w:r>
          </w:p>
        </w:tc>
      </w:tr>
      <w:tr w:rsidR="00D55538" w:rsidRPr="009703EC" w:rsidTr="00BB1B8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194B3F" w:rsidRPr="009703EC" w:rsidRDefault="00D55538" w:rsidP="00194B3F">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Meds</w:t>
            </w:r>
          </w:p>
        </w:tc>
        <w:tc>
          <w:tcPr>
            <w:tcW w:w="234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A36713">
            <w:pPr>
              <w:spacing w:line="200" w:lineRule="exact"/>
              <w:contextualSpacing/>
              <w:jc w:val="left"/>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Advair daily; Albuterol as needed; PFTs unreliable</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D55538">
            <w:pPr>
              <w:spacing w:line="200" w:lineRule="exact"/>
              <w:contextualSpacing/>
              <w:jc w:val="left"/>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Daily inhaled anti-inflammatory medication; PFT poor effort post albuterol (fatigued) with discrepancy from clinical exam</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A36713">
            <w:pPr>
              <w:spacing w:line="200" w:lineRule="exact"/>
              <w:contextualSpacing/>
              <w:jc w:val="left"/>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Advair daily; Albuterol as needed; good PFTs</w:t>
            </w:r>
            <w:r w:rsidR="00A36713" w:rsidRPr="009703EC">
              <w:rPr>
                <w:rFonts w:asciiTheme="majorHAnsi" w:eastAsia="Calibri" w:hAnsiTheme="majorHAnsi" w:cstheme="majorHAnsi"/>
                <w:color w:val="auto"/>
                <w:sz w:val="20"/>
                <w:szCs w:val="18"/>
              </w:rPr>
              <w:t>; “no significant response to bronchodilator”</w:t>
            </w:r>
          </w:p>
        </w:tc>
      </w:tr>
      <w:tr w:rsidR="00D55538" w:rsidRPr="009703EC" w:rsidTr="00BB1B80">
        <w:trPr>
          <w:jc w:val="center"/>
        </w:trPr>
        <w:tc>
          <w:tcPr>
            <w:tcW w:w="1818"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w:t>
            </w:r>
            <w:r w:rsidRPr="009703EC">
              <w:rPr>
                <w:rFonts w:asciiTheme="majorHAnsi" w:hAnsiTheme="majorHAnsi" w:cstheme="majorHAnsi"/>
                <w:color w:val="auto"/>
                <w:sz w:val="20"/>
                <w:szCs w:val="18"/>
              </w:rPr>
              <w:t xml:space="preserve">4.97 </w:t>
            </w:r>
            <w:r w:rsidRPr="009703EC">
              <w:rPr>
                <w:rFonts w:asciiTheme="majorHAnsi" w:eastAsia="Calibri" w:hAnsiTheme="majorHAnsi" w:cstheme="majorHAnsi"/>
                <w:color w:val="auto"/>
                <w:sz w:val="20"/>
                <w:szCs w:val="18"/>
              </w:rPr>
              <w:t>Rating</w:t>
            </w:r>
          </w:p>
        </w:tc>
        <w:tc>
          <w:tcPr>
            <w:tcW w:w="234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contextualSpacing/>
              <w:rPr>
                <w:rFonts w:asciiTheme="majorHAnsi" w:eastAsia="Calibri" w:hAnsiTheme="majorHAnsi" w:cstheme="majorHAnsi"/>
                <w:color w:val="auto"/>
                <w:sz w:val="20"/>
                <w:szCs w:val="18"/>
              </w:rPr>
            </w:pPr>
            <w:r w:rsidRPr="009703EC">
              <w:rPr>
                <w:rFonts w:asciiTheme="majorHAnsi" w:eastAsia="Calibri" w:hAnsiTheme="majorHAnsi" w:cstheme="majorHAnsi"/>
                <w:color w:val="auto"/>
                <w:sz w:val="20"/>
                <w:szCs w:val="18"/>
              </w:rPr>
              <w:t>30%</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2A06B7">
            <w:pPr>
              <w:spacing w:line="200" w:lineRule="exact"/>
              <w:rPr>
                <w:rFonts w:asciiTheme="majorHAnsi" w:hAnsiTheme="majorHAnsi" w:cstheme="majorHAnsi"/>
                <w:color w:val="auto"/>
                <w:sz w:val="20"/>
                <w:szCs w:val="18"/>
              </w:rPr>
            </w:pPr>
            <w:r w:rsidRPr="009703EC">
              <w:rPr>
                <w:rFonts w:asciiTheme="majorHAnsi" w:eastAsia="Calibri" w:hAnsiTheme="majorHAnsi" w:cstheme="majorHAnsi"/>
                <w:color w:val="auto"/>
                <w:sz w:val="20"/>
                <w:szCs w:val="18"/>
              </w:rPr>
              <w:t>30%</w:t>
            </w:r>
          </w:p>
        </w:tc>
        <w:tc>
          <w:tcPr>
            <w:tcW w:w="2520" w:type="dxa"/>
            <w:tcBorders>
              <w:top w:val="single" w:sz="4" w:space="0" w:color="000000"/>
              <w:left w:val="single" w:sz="4" w:space="0" w:color="000000"/>
              <w:bottom w:val="single" w:sz="4" w:space="0" w:color="000000"/>
              <w:right w:val="single" w:sz="4" w:space="0" w:color="000000"/>
            </w:tcBorders>
            <w:vAlign w:val="center"/>
          </w:tcPr>
          <w:p w:rsidR="00D55538" w:rsidRPr="009703EC" w:rsidRDefault="00D55538" w:rsidP="00063D58">
            <w:pPr>
              <w:spacing w:line="200" w:lineRule="exact"/>
              <w:rPr>
                <w:rFonts w:asciiTheme="majorHAnsi" w:hAnsiTheme="majorHAnsi" w:cstheme="majorHAnsi"/>
                <w:color w:val="auto"/>
                <w:sz w:val="20"/>
                <w:szCs w:val="18"/>
              </w:rPr>
            </w:pPr>
            <w:r w:rsidRPr="009703EC">
              <w:rPr>
                <w:rFonts w:asciiTheme="majorHAnsi" w:eastAsia="Calibri" w:hAnsiTheme="majorHAnsi" w:cstheme="majorHAnsi"/>
                <w:color w:val="auto"/>
                <w:sz w:val="20"/>
                <w:szCs w:val="18"/>
              </w:rPr>
              <w:t>30%</w:t>
            </w:r>
          </w:p>
        </w:tc>
      </w:tr>
    </w:tbl>
    <w:p w:rsidR="00194B3F" w:rsidRPr="009703EC" w:rsidRDefault="00194B3F" w:rsidP="00FF37F2">
      <w:pPr>
        <w:pStyle w:val="ListParagraph"/>
        <w:spacing w:line="200" w:lineRule="exact"/>
        <w:ind w:left="540"/>
        <w:jc w:val="both"/>
        <w:rPr>
          <w:rFonts w:asciiTheme="majorHAnsi" w:hAnsiTheme="majorHAnsi" w:cstheme="majorHAnsi"/>
          <w:sz w:val="18"/>
          <w:szCs w:val="18"/>
        </w:rPr>
      </w:pPr>
      <w:r w:rsidRPr="009703EC">
        <w:rPr>
          <w:rFonts w:asciiTheme="majorHAnsi" w:eastAsia="Calibri" w:hAnsiTheme="majorHAnsi" w:cstheme="majorHAnsi"/>
          <w:sz w:val="20"/>
          <w:szCs w:val="18"/>
        </w:rPr>
        <w:t>* VASRD §4.96, Special provisions regarding evaluation of respiratory conditions was considered</w:t>
      </w:r>
    </w:p>
    <w:p w:rsidR="00704DD2" w:rsidRPr="009703EC" w:rsidRDefault="00AD2379" w:rsidP="00704DD2">
      <w:pPr>
        <w:tabs>
          <w:tab w:val="left" w:pos="288"/>
          <w:tab w:val="left" w:pos="4752"/>
        </w:tabs>
        <w:jc w:val="both"/>
        <w:rPr>
          <w:rFonts w:cs="Times New Roman"/>
          <w:color w:val="auto"/>
        </w:rPr>
      </w:pPr>
      <w:r w:rsidRPr="009703EC">
        <w:rPr>
          <w:rFonts w:cs="Times New Roman"/>
          <w:color w:val="auto"/>
        </w:rPr>
        <w:t>The Board directs attenti</w:t>
      </w:r>
      <w:r w:rsidR="00782CC1" w:rsidRPr="009703EC">
        <w:rPr>
          <w:rFonts w:cs="Times New Roman"/>
          <w:color w:val="auto"/>
        </w:rPr>
        <w:t>on to its rating recommendation</w:t>
      </w:r>
      <w:r w:rsidRPr="009703EC">
        <w:rPr>
          <w:rFonts w:cs="Times New Roman"/>
          <w:color w:val="auto"/>
        </w:rPr>
        <w:t xml:space="preserve"> </w:t>
      </w:r>
      <w:r w:rsidR="00B13A51" w:rsidRPr="009703EC">
        <w:rPr>
          <w:rFonts w:cs="Times New Roman"/>
          <w:color w:val="auto"/>
        </w:rPr>
        <w:t>based on the above evidence</w:t>
      </w:r>
      <w:r w:rsidRPr="009703EC">
        <w:rPr>
          <w:rFonts w:cs="Times New Roman"/>
          <w:color w:val="auto"/>
        </w:rPr>
        <w:t>.</w:t>
      </w:r>
      <w:r w:rsidR="00165C7B" w:rsidRPr="009703EC">
        <w:rPr>
          <w:rFonts w:cs="Times New Roman"/>
          <w:color w:val="auto"/>
        </w:rPr>
        <w:t xml:space="preserve">  </w:t>
      </w:r>
      <w:r w:rsidR="00D05279" w:rsidRPr="009703EC">
        <w:rPr>
          <w:rFonts w:cs="Times New Roman"/>
          <w:color w:val="auto"/>
        </w:rPr>
        <w:t xml:space="preserve">There was no evidence of significant speech of communication deficit to be considered </w:t>
      </w:r>
      <w:proofErr w:type="spellStart"/>
      <w:r w:rsidR="00D05279" w:rsidRPr="009703EC">
        <w:rPr>
          <w:rFonts w:cs="Times New Roman"/>
          <w:color w:val="auto"/>
        </w:rPr>
        <w:t>aphonia</w:t>
      </w:r>
      <w:proofErr w:type="spellEnd"/>
      <w:r w:rsidR="00D05279" w:rsidRPr="009703EC">
        <w:rPr>
          <w:rFonts w:cs="Times New Roman"/>
          <w:color w:val="auto"/>
        </w:rPr>
        <w:t xml:space="preserve"> (6519).  </w:t>
      </w:r>
      <w:r w:rsidR="002F2852" w:rsidRPr="009703EC">
        <w:rPr>
          <w:rFonts w:cs="Times New Roman"/>
          <w:color w:val="auto"/>
        </w:rPr>
        <w:t>The post-separation VA diagnosis of PTSD for additionally rating the CI’s VCD within a mental health code was considered outside of the scope of the Board.  At both entry into, and exit from, TDRL, the disability of shortness of breath and respiratory symptoms was consi</w:t>
      </w:r>
      <w:r w:rsidR="00F01BD2">
        <w:rPr>
          <w:rFonts w:cs="Times New Roman"/>
          <w:color w:val="auto"/>
        </w:rPr>
        <w:t>dered the unfitting condition.</w:t>
      </w:r>
    </w:p>
    <w:p w:rsidR="00704DD2" w:rsidRPr="009703EC" w:rsidRDefault="00704DD2" w:rsidP="00704DD2">
      <w:pPr>
        <w:tabs>
          <w:tab w:val="left" w:pos="288"/>
          <w:tab w:val="left" w:pos="4752"/>
        </w:tabs>
        <w:jc w:val="both"/>
        <w:rPr>
          <w:rFonts w:cs="Times New Roman"/>
          <w:color w:val="auto"/>
        </w:rPr>
      </w:pPr>
    </w:p>
    <w:p w:rsidR="00D05279" w:rsidRPr="009703EC" w:rsidRDefault="00704DD2" w:rsidP="00704DD2">
      <w:pPr>
        <w:tabs>
          <w:tab w:val="left" w:pos="288"/>
          <w:tab w:val="left" w:pos="4752"/>
        </w:tabs>
        <w:jc w:val="both"/>
        <w:rPr>
          <w:color w:val="auto"/>
        </w:rPr>
      </w:pPr>
      <w:r w:rsidRPr="009703EC">
        <w:rPr>
          <w:rFonts w:eastAsia="Calibri" w:cs="Times New Roman"/>
          <w:color w:val="auto"/>
          <w:szCs w:val="24"/>
        </w:rPr>
        <w:lastRenderedPageBreak/>
        <w:t xml:space="preserve">After due deliberation, considering all of the evidence and mindful of VASRD §4.3 (reasonable doubt), the Board concluded that there was insufficient cause to recommend a change in the PEB TDRL-entry adjudication (30%) for the </w:t>
      </w:r>
      <w:r w:rsidR="00BA1326" w:rsidRPr="009703EC">
        <w:rPr>
          <w:rFonts w:eastAsia="Calibri" w:cs="Times New Roman"/>
          <w:color w:val="auto"/>
          <w:szCs w:val="24"/>
        </w:rPr>
        <w:t xml:space="preserve">asthma, compounded by vocal cord dysfunction </w:t>
      </w:r>
      <w:r w:rsidRPr="009703EC">
        <w:rPr>
          <w:rFonts w:eastAsia="Calibri" w:cs="Times New Roman"/>
          <w:color w:val="auto"/>
          <w:szCs w:val="24"/>
        </w:rPr>
        <w:t>condition.  Regarding the permanent separation rating, the Board agreed that t</w:t>
      </w:r>
      <w:r w:rsidR="00D05279" w:rsidRPr="009703EC">
        <w:rPr>
          <w:rFonts w:cs="Times New Roman"/>
          <w:color w:val="auto"/>
        </w:rPr>
        <w:t xml:space="preserve">he preponderance of the evidence indicated the CI’s primary unfitting disability was episodic shortness of breath.  The Board considered </w:t>
      </w:r>
      <w:r w:rsidRPr="009703EC">
        <w:rPr>
          <w:rFonts w:cs="Times New Roman"/>
          <w:color w:val="auto"/>
        </w:rPr>
        <w:t xml:space="preserve">justifiable rating considerations were unfitting VCD with not-unfitting asthma coded </w:t>
      </w:r>
      <w:r w:rsidR="00D05279" w:rsidRPr="009703EC">
        <w:rPr>
          <w:rFonts w:cs="Times New Roman"/>
          <w:color w:val="auto"/>
        </w:rPr>
        <w:t xml:space="preserve">analogous to </w:t>
      </w:r>
      <w:r w:rsidRPr="009703EC">
        <w:rPr>
          <w:rFonts w:cs="Times New Roman"/>
          <w:color w:val="auto"/>
        </w:rPr>
        <w:t>6602 (</w:t>
      </w:r>
      <w:r w:rsidR="00BA1326">
        <w:rPr>
          <w:rFonts w:cs="Times New Roman"/>
          <w:color w:val="auto"/>
        </w:rPr>
        <w:t>a</w:t>
      </w:r>
      <w:r w:rsidR="00D05279" w:rsidRPr="009703EC">
        <w:rPr>
          <w:rFonts w:cs="Times New Roman"/>
          <w:color w:val="auto"/>
        </w:rPr>
        <w:t>sthma</w:t>
      </w:r>
      <w:r w:rsidRPr="009703EC">
        <w:rPr>
          <w:rFonts w:cs="Times New Roman"/>
          <w:color w:val="auto"/>
        </w:rPr>
        <w:t>) criteria of 30% for chronic inhaled steroid and bronch</w:t>
      </w:r>
      <w:r w:rsidR="00BA1326">
        <w:rPr>
          <w:rFonts w:cs="Times New Roman"/>
          <w:color w:val="auto"/>
        </w:rPr>
        <w:t>odilator medication, or if the a</w:t>
      </w:r>
      <w:r w:rsidRPr="009703EC">
        <w:rPr>
          <w:rFonts w:cs="Times New Roman"/>
          <w:color w:val="auto"/>
        </w:rPr>
        <w:t xml:space="preserve">sthma condition was unfitting and therefore straight coding to 6602 at 30% was indicated.  </w:t>
      </w:r>
      <w:r w:rsidR="00D05279" w:rsidRPr="009703EC">
        <w:rPr>
          <w:color w:val="auto"/>
        </w:rPr>
        <w:t xml:space="preserve">There was no indication in the TDRL evaluation that the CI’s diagnoses had been changed or </w:t>
      </w:r>
      <w:r w:rsidRPr="009703EC">
        <w:rPr>
          <w:color w:val="auto"/>
        </w:rPr>
        <w:t xml:space="preserve">that there was any </w:t>
      </w:r>
      <w:r w:rsidR="00D05279" w:rsidRPr="009703EC">
        <w:rPr>
          <w:color w:val="auto"/>
        </w:rPr>
        <w:t xml:space="preserve">apportionment of symptoms </w:t>
      </w:r>
      <w:r w:rsidRPr="009703EC">
        <w:rPr>
          <w:color w:val="auto"/>
        </w:rPr>
        <w:t xml:space="preserve">or duty restrictions </w:t>
      </w:r>
      <w:r w:rsidR="00D05279" w:rsidRPr="009703EC">
        <w:rPr>
          <w:color w:val="auto"/>
        </w:rPr>
        <w:t xml:space="preserve">to one diagnosis </w:t>
      </w:r>
      <w:r w:rsidRPr="009703EC">
        <w:rPr>
          <w:color w:val="auto"/>
        </w:rPr>
        <w:t xml:space="preserve">(VCD) </w:t>
      </w:r>
      <w:r w:rsidR="00D05279" w:rsidRPr="009703EC">
        <w:rPr>
          <w:color w:val="auto"/>
        </w:rPr>
        <w:t>over the other</w:t>
      </w:r>
      <w:r w:rsidRPr="009703EC">
        <w:rPr>
          <w:color w:val="auto"/>
        </w:rPr>
        <w:t xml:space="preserve"> (asthma)</w:t>
      </w:r>
      <w:r w:rsidR="00D05279" w:rsidRPr="009703EC">
        <w:rPr>
          <w:color w:val="auto"/>
        </w:rPr>
        <w:t>.</w:t>
      </w:r>
      <w:r w:rsidRPr="009703EC">
        <w:rPr>
          <w:color w:val="auto"/>
        </w:rPr>
        <w:t xml:space="preserve">  The Board considered that the PEB coding analogous to </w:t>
      </w:r>
      <w:r w:rsidR="00D05279" w:rsidRPr="009703EC">
        <w:rPr>
          <w:color w:val="auto"/>
        </w:rPr>
        <w:t xml:space="preserve">6520 </w:t>
      </w:r>
      <w:r w:rsidRPr="009703EC">
        <w:rPr>
          <w:color w:val="auto"/>
        </w:rPr>
        <w:t>(</w:t>
      </w:r>
      <w:r w:rsidR="00D05279" w:rsidRPr="009703EC">
        <w:rPr>
          <w:color w:val="auto"/>
        </w:rPr>
        <w:t>Larynx, stenosis of, including residuals of laryngeal trauma</w:t>
      </w:r>
      <w:r w:rsidRPr="009703EC">
        <w:rPr>
          <w:color w:val="auto"/>
        </w:rPr>
        <w:t>), did not adequately consider all of the CI’s respir</w:t>
      </w:r>
      <w:r w:rsidR="00BA1326">
        <w:rPr>
          <w:color w:val="auto"/>
        </w:rPr>
        <w:t>atory symptoms and disability.</w:t>
      </w:r>
    </w:p>
    <w:p w:rsidR="002F2852" w:rsidRPr="009703EC" w:rsidRDefault="002F2852" w:rsidP="002F2852">
      <w:pPr>
        <w:tabs>
          <w:tab w:val="left" w:pos="288"/>
          <w:tab w:val="left" w:pos="4752"/>
        </w:tabs>
        <w:jc w:val="both"/>
        <w:rPr>
          <w:color w:val="auto"/>
        </w:rPr>
      </w:pPr>
    </w:p>
    <w:p w:rsidR="002F2852" w:rsidRPr="009703EC" w:rsidRDefault="002F2852" w:rsidP="002F2852">
      <w:pPr>
        <w:tabs>
          <w:tab w:val="left" w:pos="288"/>
          <w:tab w:val="left" w:pos="4752"/>
        </w:tabs>
        <w:jc w:val="both"/>
        <w:rPr>
          <w:color w:val="auto"/>
        </w:rPr>
      </w:pPr>
      <w:r w:rsidRPr="009703EC">
        <w:rPr>
          <w:rFonts w:eastAsia="Calibri" w:cs="Times New Roman"/>
          <w:color w:val="auto"/>
          <w:szCs w:val="24"/>
        </w:rPr>
        <w:t xml:space="preserve">The Board concluded therefore that the asthma condition was additionally unfitting, but that it should be rated in conjunction with the overlapping VCD condition without a separate additional disability rating.  </w:t>
      </w:r>
      <w:r w:rsidRPr="009703EC">
        <w:rPr>
          <w:color w:val="auto"/>
        </w:rPr>
        <w:t xml:space="preserve">After due deliberation, considering all of the evidence and the preponderance of the evidence, the Board recommends a disability rating of 30% coded analogously as 6520-6602 for the combined unfitting respiratory VCD and unfitting asthma conditions.  </w:t>
      </w:r>
    </w:p>
    <w:p w:rsidR="00AD2379" w:rsidRPr="009703EC" w:rsidRDefault="00AD2379" w:rsidP="00BF0E94">
      <w:pPr>
        <w:jc w:val="left"/>
        <w:rPr>
          <w:rFonts w:eastAsia="HiddenHorzOCR"/>
          <w:color w:val="auto"/>
          <w:u w:val="single"/>
        </w:rPr>
      </w:pPr>
    </w:p>
    <w:p w:rsidR="00DC146D" w:rsidRPr="009703EC" w:rsidRDefault="006B690F" w:rsidP="00DC146D">
      <w:pPr>
        <w:jc w:val="both"/>
        <w:rPr>
          <w:rFonts w:eastAsia="Calibri" w:cs="Times New Roman"/>
          <w:color w:val="auto"/>
          <w:szCs w:val="24"/>
        </w:rPr>
      </w:pPr>
      <w:proofErr w:type="gramStart"/>
      <w:r w:rsidRPr="009703EC">
        <w:rPr>
          <w:rFonts w:eastAsia="HiddenHorzOCR"/>
          <w:color w:val="auto"/>
          <w:u w:val="single"/>
        </w:rPr>
        <w:t xml:space="preserve">Contended </w:t>
      </w:r>
      <w:r w:rsidR="00AD2379" w:rsidRPr="009703EC">
        <w:rPr>
          <w:rFonts w:eastAsia="HiddenHorzOCR"/>
          <w:color w:val="auto"/>
          <w:u w:val="single"/>
        </w:rPr>
        <w:t>PEB Conditions</w:t>
      </w:r>
      <w:r w:rsidR="00AD2379" w:rsidRPr="009703EC">
        <w:rPr>
          <w:rFonts w:eastAsia="HiddenHorzOCR"/>
          <w:color w:val="auto"/>
        </w:rPr>
        <w:t>.</w:t>
      </w:r>
      <w:proofErr w:type="gramEnd"/>
      <w:r w:rsidR="0001281C" w:rsidRPr="009703EC">
        <w:rPr>
          <w:rFonts w:eastAsia="HiddenHorzOCR"/>
          <w:color w:val="auto"/>
        </w:rPr>
        <w:t xml:space="preserve">  </w:t>
      </w:r>
      <w:r w:rsidR="003863E9" w:rsidRPr="009703EC">
        <w:rPr>
          <w:rFonts w:eastAsia="Calibri" w:cs="Times New Roman"/>
          <w:color w:val="auto"/>
          <w:szCs w:val="24"/>
        </w:rPr>
        <w:t xml:space="preserve">The contended condition adjudicated as </w:t>
      </w:r>
      <w:r w:rsidR="001C545A" w:rsidRPr="009703EC">
        <w:rPr>
          <w:rFonts w:eastAsia="Calibri" w:cs="Times New Roman"/>
          <w:color w:val="auto"/>
          <w:szCs w:val="24"/>
        </w:rPr>
        <w:t xml:space="preserve">not </w:t>
      </w:r>
      <w:r w:rsidR="003863E9" w:rsidRPr="009703EC">
        <w:rPr>
          <w:rFonts w:eastAsia="Calibri" w:cs="Times New Roman"/>
          <w:color w:val="auto"/>
          <w:szCs w:val="24"/>
        </w:rPr>
        <w:t xml:space="preserve">unfitting by the PEB </w:t>
      </w:r>
      <w:r w:rsidR="00DC146D" w:rsidRPr="009703EC">
        <w:rPr>
          <w:rFonts w:eastAsia="Calibri" w:cs="Times New Roman"/>
          <w:color w:val="auto"/>
          <w:szCs w:val="24"/>
        </w:rPr>
        <w:t xml:space="preserve">at permanent separation (end of TDRL) </w:t>
      </w:r>
      <w:r w:rsidR="003863E9" w:rsidRPr="009703EC">
        <w:rPr>
          <w:rFonts w:eastAsia="Calibri" w:cs="Times New Roman"/>
          <w:color w:val="auto"/>
          <w:szCs w:val="24"/>
        </w:rPr>
        <w:t>w</w:t>
      </w:r>
      <w:r w:rsidR="00DC146D" w:rsidRPr="009703EC">
        <w:rPr>
          <w:rFonts w:eastAsia="Calibri" w:cs="Times New Roman"/>
          <w:color w:val="auto"/>
          <w:szCs w:val="24"/>
        </w:rPr>
        <w:t>as</w:t>
      </w:r>
      <w:r w:rsidR="003863E9" w:rsidRPr="009703EC">
        <w:rPr>
          <w:rFonts w:eastAsia="Calibri" w:cs="Times New Roman"/>
          <w:color w:val="auto"/>
          <w:szCs w:val="24"/>
        </w:rPr>
        <w:t xml:space="preserve"> </w:t>
      </w:r>
      <w:r w:rsidR="00BA1326">
        <w:rPr>
          <w:rFonts w:eastAsia="Calibri" w:cs="Times New Roman"/>
          <w:color w:val="auto"/>
          <w:szCs w:val="24"/>
        </w:rPr>
        <w:t>a</w:t>
      </w:r>
      <w:r w:rsidR="00DC146D" w:rsidRPr="009703EC">
        <w:rPr>
          <w:rFonts w:eastAsia="Calibri" w:cs="Times New Roman"/>
          <w:color w:val="auto"/>
          <w:szCs w:val="24"/>
        </w:rPr>
        <w:t>sthma</w:t>
      </w:r>
      <w:r w:rsidR="002F2852" w:rsidRPr="009703EC">
        <w:rPr>
          <w:rFonts w:eastAsia="Calibri" w:cs="Times New Roman"/>
          <w:color w:val="auto"/>
          <w:szCs w:val="24"/>
        </w:rPr>
        <w:t xml:space="preserve">.  </w:t>
      </w:r>
      <w:r w:rsidR="00DC146D" w:rsidRPr="009703EC">
        <w:rPr>
          <w:rFonts w:eastAsia="Calibri" w:cs="Times New Roman"/>
          <w:color w:val="auto"/>
          <w:szCs w:val="24"/>
        </w:rPr>
        <w:t>Ast</w:t>
      </w:r>
      <w:r w:rsidR="00BA1326">
        <w:rPr>
          <w:rFonts w:eastAsia="Calibri" w:cs="Times New Roman"/>
          <w:color w:val="auto"/>
          <w:szCs w:val="24"/>
        </w:rPr>
        <w:t>hma was discussed above in the dyspnea on e</w:t>
      </w:r>
      <w:r w:rsidR="00DC146D" w:rsidRPr="009703EC">
        <w:rPr>
          <w:rFonts w:eastAsia="Calibri" w:cs="Times New Roman"/>
          <w:color w:val="auto"/>
          <w:szCs w:val="24"/>
        </w:rPr>
        <w:t>xertion (shortness of breath) section above</w:t>
      </w:r>
      <w:r w:rsidR="002F2852" w:rsidRPr="009703EC">
        <w:rPr>
          <w:rFonts w:eastAsia="Calibri" w:cs="Times New Roman"/>
          <w:color w:val="auto"/>
          <w:szCs w:val="24"/>
        </w:rPr>
        <w:t xml:space="preserve"> as part of the CI’s respiratory conditions</w:t>
      </w:r>
      <w:r w:rsidR="00DC146D" w:rsidRPr="009703EC">
        <w:rPr>
          <w:rFonts w:eastAsia="Calibri" w:cs="Times New Roman"/>
          <w:color w:val="auto"/>
          <w:szCs w:val="24"/>
        </w:rPr>
        <w:t xml:space="preserve">.  </w:t>
      </w:r>
    </w:p>
    <w:p w:rsidR="003863E9" w:rsidRPr="009703EC" w:rsidRDefault="003863E9" w:rsidP="003863E9">
      <w:pPr>
        <w:pBdr>
          <w:bottom w:val="single" w:sz="12" w:space="1" w:color="auto"/>
        </w:pBdr>
        <w:tabs>
          <w:tab w:val="left" w:pos="288"/>
          <w:tab w:val="left" w:pos="4752"/>
        </w:tabs>
        <w:jc w:val="both"/>
        <w:rPr>
          <w:color w:val="auto"/>
        </w:rPr>
      </w:pPr>
    </w:p>
    <w:p w:rsidR="00AD2379" w:rsidRPr="009703EC" w:rsidRDefault="00AD2379" w:rsidP="006364ED">
      <w:pPr>
        <w:jc w:val="left"/>
        <w:rPr>
          <w:color w:val="auto"/>
        </w:rPr>
      </w:pPr>
    </w:p>
    <w:p w:rsidR="00417BED" w:rsidRPr="009703EC" w:rsidRDefault="00AD2379" w:rsidP="00417BED">
      <w:pPr>
        <w:jc w:val="both"/>
        <w:rPr>
          <w:rFonts w:eastAsia="Calibri" w:cs="Times New Roman"/>
          <w:color w:val="auto"/>
          <w:szCs w:val="24"/>
        </w:rPr>
      </w:pPr>
      <w:r w:rsidRPr="009703EC">
        <w:rPr>
          <w:color w:val="auto"/>
          <w:u w:val="single"/>
        </w:rPr>
        <w:t>BOARD FINDINGS</w:t>
      </w:r>
      <w:r w:rsidRPr="009703EC">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006B690F" w:rsidRPr="009703EC">
        <w:rPr>
          <w:color w:val="auto"/>
        </w:rPr>
        <w:t xml:space="preserve">  </w:t>
      </w:r>
      <w:r w:rsidRPr="009703EC">
        <w:rPr>
          <w:color w:val="auto"/>
        </w:rPr>
        <w:t>The Board did not surmise from the record or PEB ruling in this case that any prerogatives outside the VASRD were exercised.</w:t>
      </w:r>
      <w:r w:rsidR="006B690F" w:rsidRPr="009703EC">
        <w:rPr>
          <w:color w:val="auto"/>
        </w:rPr>
        <w:t xml:space="preserve">  </w:t>
      </w:r>
      <w:r w:rsidR="00241B01" w:rsidRPr="009703EC">
        <w:rPr>
          <w:rFonts w:eastAsia="Calibri" w:cs="Times New Roman"/>
          <w:color w:val="auto"/>
          <w:szCs w:val="24"/>
        </w:rPr>
        <w:t xml:space="preserve">In the matter of the </w:t>
      </w:r>
      <w:r w:rsidR="00BA1326">
        <w:rPr>
          <w:rFonts w:eastAsia="Calibri" w:cs="Times New Roman"/>
          <w:color w:val="auto"/>
          <w:szCs w:val="24"/>
        </w:rPr>
        <w:t>asthma compounded by vocal cord d</w:t>
      </w:r>
      <w:r w:rsidR="00B85427" w:rsidRPr="009703EC">
        <w:rPr>
          <w:rFonts w:eastAsia="Calibri" w:cs="Times New Roman"/>
          <w:color w:val="auto"/>
          <w:szCs w:val="24"/>
        </w:rPr>
        <w:t>ysfunction</w:t>
      </w:r>
      <w:r w:rsidR="00241B01" w:rsidRPr="009703EC">
        <w:rPr>
          <w:rFonts w:eastAsia="Calibri" w:cs="Times New Roman"/>
          <w:color w:val="auto"/>
          <w:szCs w:val="24"/>
        </w:rPr>
        <w:t xml:space="preserve"> condition, the Board unanimously recommends </w:t>
      </w:r>
      <w:r w:rsidR="00194B3F" w:rsidRPr="009703EC">
        <w:rPr>
          <w:rFonts w:eastAsia="Calibri" w:cs="Times New Roman"/>
          <w:color w:val="auto"/>
          <w:szCs w:val="24"/>
        </w:rPr>
        <w:t>no change in the PEB adjudication for</w:t>
      </w:r>
      <w:r w:rsidR="00241B01" w:rsidRPr="009703EC">
        <w:rPr>
          <w:rFonts w:eastAsia="Calibri" w:cs="Times New Roman"/>
          <w:color w:val="auto"/>
          <w:szCs w:val="24"/>
        </w:rPr>
        <w:t xml:space="preserve"> </w:t>
      </w:r>
      <w:r w:rsidR="00B85427" w:rsidRPr="009703EC">
        <w:rPr>
          <w:rFonts w:eastAsia="Calibri" w:cs="Times New Roman"/>
          <w:color w:val="auto"/>
          <w:szCs w:val="24"/>
        </w:rPr>
        <w:t xml:space="preserve">TDRL-entry </w:t>
      </w:r>
      <w:r w:rsidR="00241B01" w:rsidRPr="009703EC">
        <w:rPr>
          <w:rFonts w:eastAsia="Calibri" w:cs="Times New Roman"/>
          <w:color w:val="auto"/>
          <w:szCs w:val="24"/>
        </w:rPr>
        <w:t xml:space="preserve">disability rating of </w:t>
      </w:r>
      <w:r w:rsidR="00B85427" w:rsidRPr="009703EC">
        <w:rPr>
          <w:rFonts w:eastAsia="Calibri" w:cs="Times New Roman"/>
          <w:color w:val="auto"/>
          <w:szCs w:val="24"/>
        </w:rPr>
        <w:t>30</w:t>
      </w:r>
      <w:r w:rsidR="00241B01" w:rsidRPr="009703EC">
        <w:rPr>
          <w:rFonts w:eastAsia="Calibri" w:cs="Times New Roman"/>
          <w:color w:val="auto"/>
          <w:szCs w:val="24"/>
        </w:rPr>
        <w:t xml:space="preserve">%, coded </w:t>
      </w:r>
      <w:r w:rsidR="00B85427" w:rsidRPr="009703EC">
        <w:rPr>
          <w:color w:val="auto"/>
        </w:rPr>
        <w:t>6599-6520 6602</w:t>
      </w:r>
      <w:r w:rsidR="00B85427" w:rsidRPr="009703EC">
        <w:rPr>
          <w:rFonts w:eastAsia="Calibri" w:cs="Times New Roman"/>
          <w:color w:val="auto"/>
          <w:szCs w:val="24"/>
        </w:rPr>
        <w:t xml:space="preserve"> IAW VASRD </w:t>
      </w:r>
      <w:r w:rsidR="00DC146D" w:rsidRPr="009703EC">
        <w:rPr>
          <w:rFonts w:eastAsia="Calibri" w:cs="Times New Roman"/>
          <w:color w:val="auto"/>
          <w:szCs w:val="24"/>
        </w:rPr>
        <w:t>§4.97</w:t>
      </w:r>
      <w:r w:rsidR="00241B01" w:rsidRPr="009703EC">
        <w:rPr>
          <w:rFonts w:eastAsia="Calibri" w:cs="Times New Roman"/>
          <w:color w:val="auto"/>
          <w:szCs w:val="24"/>
        </w:rPr>
        <w:t>.</w:t>
      </w:r>
      <w:r w:rsidR="006B690F" w:rsidRPr="009703EC">
        <w:rPr>
          <w:rFonts w:eastAsia="Calibri" w:cs="Times New Roman"/>
          <w:color w:val="auto"/>
          <w:szCs w:val="24"/>
        </w:rPr>
        <w:t xml:space="preserve">  </w:t>
      </w:r>
      <w:r w:rsidR="00AB08F5" w:rsidRPr="009703EC">
        <w:rPr>
          <w:rFonts w:eastAsia="Calibri" w:cs="Times New Roman"/>
          <w:color w:val="auto"/>
          <w:szCs w:val="24"/>
        </w:rPr>
        <w:t xml:space="preserve">In the matter of the </w:t>
      </w:r>
      <w:r w:rsidR="00B85427" w:rsidRPr="009703EC">
        <w:rPr>
          <w:rFonts w:eastAsia="Calibri" w:cs="Times New Roman"/>
          <w:color w:val="auto"/>
          <w:szCs w:val="24"/>
        </w:rPr>
        <w:t>separation rating for dyspne</w:t>
      </w:r>
      <w:r w:rsidR="00BA1326">
        <w:rPr>
          <w:rFonts w:eastAsia="Calibri" w:cs="Times New Roman"/>
          <w:color w:val="auto"/>
          <w:szCs w:val="24"/>
        </w:rPr>
        <w:t>a on exertion primarily due to vocal cord d</w:t>
      </w:r>
      <w:r w:rsidR="00B85427" w:rsidRPr="009703EC">
        <w:rPr>
          <w:rFonts w:eastAsia="Calibri" w:cs="Times New Roman"/>
          <w:color w:val="auto"/>
          <w:szCs w:val="24"/>
        </w:rPr>
        <w:t xml:space="preserve">ysfunction, in conjunction with the </w:t>
      </w:r>
      <w:r w:rsidR="00AB08F5" w:rsidRPr="009703EC">
        <w:rPr>
          <w:rFonts w:eastAsia="Calibri" w:cs="Times New Roman"/>
          <w:color w:val="auto"/>
          <w:szCs w:val="24"/>
        </w:rPr>
        <w:t xml:space="preserve">contended </w:t>
      </w:r>
      <w:r w:rsidR="00BA1326">
        <w:rPr>
          <w:rFonts w:eastAsia="Calibri" w:cs="Times New Roman"/>
          <w:color w:val="auto"/>
          <w:szCs w:val="24"/>
        </w:rPr>
        <w:t>a</w:t>
      </w:r>
      <w:r w:rsidR="00B85427" w:rsidRPr="009703EC">
        <w:rPr>
          <w:rFonts w:eastAsia="Calibri" w:cs="Times New Roman"/>
          <w:color w:val="auto"/>
          <w:szCs w:val="24"/>
        </w:rPr>
        <w:t>sthma</w:t>
      </w:r>
      <w:r w:rsidR="00AB08F5" w:rsidRPr="009703EC">
        <w:rPr>
          <w:rFonts w:eastAsia="Calibri" w:cs="Times New Roman"/>
          <w:color w:val="auto"/>
          <w:szCs w:val="24"/>
        </w:rPr>
        <w:t xml:space="preserve"> condition, </w:t>
      </w:r>
      <w:r w:rsidR="00B85427" w:rsidRPr="009703EC">
        <w:rPr>
          <w:rFonts w:eastAsia="Calibri" w:cs="Times New Roman"/>
          <w:color w:val="auto"/>
          <w:szCs w:val="24"/>
        </w:rPr>
        <w:t xml:space="preserve">the Board </w:t>
      </w:r>
      <w:r w:rsidR="00417BED" w:rsidRPr="009703EC">
        <w:rPr>
          <w:rFonts w:eastAsia="Calibri" w:cs="Times New Roman"/>
          <w:color w:val="auto"/>
          <w:szCs w:val="24"/>
        </w:rPr>
        <w:t xml:space="preserve">unanimously recommends a </w:t>
      </w:r>
      <w:r w:rsidR="00B85427" w:rsidRPr="009703EC">
        <w:rPr>
          <w:rFonts w:eastAsia="Calibri" w:cs="Times New Roman"/>
          <w:color w:val="auto"/>
          <w:szCs w:val="24"/>
        </w:rPr>
        <w:t xml:space="preserve">final </w:t>
      </w:r>
      <w:r w:rsidR="00417BED" w:rsidRPr="009703EC">
        <w:rPr>
          <w:rFonts w:eastAsia="Calibri" w:cs="Times New Roman"/>
          <w:color w:val="auto"/>
          <w:szCs w:val="24"/>
        </w:rPr>
        <w:t xml:space="preserve">disability rating of </w:t>
      </w:r>
      <w:r w:rsidR="00B85427" w:rsidRPr="009703EC">
        <w:rPr>
          <w:rFonts w:eastAsia="Calibri" w:cs="Times New Roman"/>
          <w:color w:val="auto"/>
          <w:szCs w:val="24"/>
        </w:rPr>
        <w:t>30</w:t>
      </w:r>
      <w:r w:rsidR="00417BED" w:rsidRPr="009703EC">
        <w:rPr>
          <w:rFonts w:eastAsia="Calibri" w:cs="Times New Roman"/>
          <w:color w:val="auto"/>
          <w:szCs w:val="24"/>
        </w:rPr>
        <w:t xml:space="preserve">%, coded </w:t>
      </w:r>
      <w:r w:rsidR="00194B3F" w:rsidRPr="009703EC">
        <w:rPr>
          <w:color w:val="auto"/>
        </w:rPr>
        <w:t>6520-</w:t>
      </w:r>
      <w:r w:rsidR="00B85427" w:rsidRPr="009703EC">
        <w:rPr>
          <w:color w:val="auto"/>
        </w:rPr>
        <w:t>6602</w:t>
      </w:r>
      <w:r w:rsidR="00417BED" w:rsidRPr="009703EC">
        <w:rPr>
          <w:rFonts w:eastAsia="Calibri" w:cs="Times New Roman"/>
          <w:color w:val="auto"/>
          <w:szCs w:val="24"/>
        </w:rPr>
        <w:t xml:space="preserve"> IAW VASRD §4.</w:t>
      </w:r>
      <w:r w:rsidR="00B85427" w:rsidRPr="009703EC">
        <w:rPr>
          <w:rFonts w:eastAsia="Calibri" w:cs="Times New Roman"/>
          <w:color w:val="auto"/>
          <w:szCs w:val="24"/>
        </w:rPr>
        <w:t>97</w:t>
      </w:r>
      <w:r w:rsidR="00417BED" w:rsidRPr="009703EC">
        <w:rPr>
          <w:rFonts w:eastAsia="Calibri" w:cs="Times New Roman"/>
          <w:color w:val="auto"/>
          <w:szCs w:val="24"/>
        </w:rPr>
        <w:t>.  There were no other conditions within the Board’s scope of review for consideration.</w:t>
      </w:r>
      <w:r w:rsidR="00165C7B" w:rsidRPr="009703EC">
        <w:rPr>
          <w:rFonts w:eastAsia="Calibri" w:cs="Times New Roman"/>
          <w:color w:val="auto"/>
          <w:szCs w:val="24"/>
        </w:rPr>
        <w:t xml:space="preserve">  </w:t>
      </w:r>
    </w:p>
    <w:p w:rsidR="00AD2379" w:rsidRPr="009703EC" w:rsidRDefault="00AD2379" w:rsidP="00BF0E94">
      <w:pPr>
        <w:pBdr>
          <w:bottom w:val="single" w:sz="12" w:space="1" w:color="auto"/>
        </w:pBdr>
        <w:tabs>
          <w:tab w:val="left" w:pos="288"/>
          <w:tab w:val="left" w:pos="4752"/>
        </w:tabs>
        <w:jc w:val="both"/>
        <w:rPr>
          <w:color w:val="auto"/>
        </w:rPr>
      </w:pPr>
    </w:p>
    <w:p w:rsidR="00AD2379" w:rsidRPr="009703EC" w:rsidRDefault="00AD2379" w:rsidP="006364ED">
      <w:pPr>
        <w:jc w:val="left"/>
        <w:rPr>
          <w:color w:val="auto"/>
        </w:rPr>
      </w:pPr>
    </w:p>
    <w:p w:rsidR="00565636" w:rsidRPr="009703EC" w:rsidRDefault="00AD2379" w:rsidP="00194B3F">
      <w:pPr>
        <w:jc w:val="both"/>
        <w:rPr>
          <w:rFonts w:eastAsia="Calibri" w:cs="Times New Roman"/>
          <w:color w:val="auto"/>
          <w:szCs w:val="24"/>
        </w:rPr>
      </w:pPr>
      <w:r w:rsidRPr="009703EC">
        <w:rPr>
          <w:color w:val="auto"/>
          <w:u w:val="single"/>
        </w:rPr>
        <w:t>RECOMMENDATION</w:t>
      </w:r>
      <w:r w:rsidRPr="009703EC">
        <w:rPr>
          <w:color w:val="auto"/>
        </w:rPr>
        <w:t xml:space="preserve">: </w:t>
      </w:r>
      <w:r w:rsidR="006B690F" w:rsidRPr="009703EC">
        <w:rPr>
          <w:color w:val="auto"/>
        </w:rPr>
        <w:t xml:space="preserve"> </w:t>
      </w:r>
      <w:r w:rsidR="00565636" w:rsidRPr="009703EC">
        <w:rPr>
          <w:rFonts w:eastAsia="Calibri" w:cs="Times New Roman"/>
          <w:color w:val="auto"/>
          <w:szCs w:val="24"/>
        </w:rPr>
        <w:t>The Board recommends that the CI’s prior determination be modified as follows</w:t>
      </w:r>
      <w:r w:rsidR="00417BED" w:rsidRPr="009703EC">
        <w:rPr>
          <w:rFonts w:eastAsia="Calibri" w:cs="Times New Roman"/>
          <w:color w:val="auto"/>
          <w:szCs w:val="24"/>
        </w:rPr>
        <w:t>;</w:t>
      </w:r>
      <w:r w:rsidR="00565636" w:rsidRPr="009703EC">
        <w:rPr>
          <w:rFonts w:eastAsia="Calibri" w:cs="Times New Roman"/>
          <w:color w:val="auto"/>
          <w:szCs w:val="24"/>
        </w:rPr>
        <w:t xml:space="preserve"> and</w:t>
      </w:r>
      <w:r w:rsidR="00417BED" w:rsidRPr="009703EC">
        <w:rPr>
          <w:rFonts w:eastAsia="Calibri" w:cs="Times New Roman"/>
          <w:color w:val="auto"/>
          <w:szCs w:val="24"/>
        </w:rPr>
        <w:t>,</w:t>
      </w:r>
      <w:r w:rsidR="00565636" w:rsidRPr="009703EC">
        <w:rPr>
          <w:rFonts w:eastAsia="Calibri" w:cs="Times New Roman"/>
          <w:color w:val="auto"/>
          <w:szCs w:val="24"/>
        </w:rPr>
        <w:t xml:space="preserve"> that the discharge with severance pay be recharacterized to reflect permanent disability retirement, effective as of the date of her</w:t>
      </w:r>
      <w:r w:rsidR="00417BED" w:rsidRPr="009703EC">
        <w:rPr>
          <w:rFonts w:eastAsia="Calibri" w:cs="Times New Roman"/>
          <w:color w:val="auto"/>
          <w:szCs w:val="24"/>
        </w:rPr>
        <w:t xml:space="preserve"> prior medical separation:</w:t>
      </w:r>
    </w:p>
    <w:p w:rsidR="00071071" w:rsidRPr="009703EC" w:rsidRDefault="00071071" w:rsidP="00194B3F">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40"/>
        <w:gridCol w:w="1980"/>
        <w:gridCol w:w="1530"/>
      </w:tblGrid>
      <w:tr w:rsidR="00071071" w:rsidRPr="009703EC" w:rsidTr="00756A51">
        <w:trPr>
          <w:trHeight w:val="206"/>
          <w:jc w:val="center"/>
        </w:trPr>
        <w:tc>
          <w:tcPr>
            <w:tcW w:w="5040" w:type="dxa"/>
            <w:vMerge w:val="restart"/>
            <w:shd w:val="clear" w:color="auto" w:fill="D9D9D9"/>
            <w:vAlign w:val="center"/>
          </w:tcPr>
          <w:p w:rsidR="00071071" w:rsidRPr="009703EC" w:rsidRDefault="00071071" w:rsidP="00071071">
            <w:pPr>
              <w:tabs>
                <w:tab w:val="left" w:pos="288"/>
                <w:tab w:val="left" w:pos="4752"/>
              </w:tabs>
              <w:rPr>
                <w:rFonts w:eastAsia="Calibri" w:cs="Times New Roman"/>
                <w:b/>
                <w:color w:val="auto"/>
                <w:szCs w:val="24"/>
              </w:rPr>
            </w:pPr>
            <w:r w:rsidRPr="009703EC">
              <w:rPr>
                <w:rFonts w:eastAsia="Calibri" w:cs="Times New Roman"/>
                <w:b/>
                <w:color w:val="auto"/>
                <w:szCs w:val="24"/>
              </w:rPr>
              <w:t>UNFITTING CONDITION</w:t>
            </w:r>
          </w:p>
        </w:tc>
        <w:tc>
          <w:tcPr>
            <w:tcW w:w="1980" w:type="dxa"/>
            <w:vMerge w:val="restart"/>
            <w:shd w:val="clear" w:color="auto" w:fill="D9D9D9"/>
            <w:vAlign w:val="center"/>
          </w:tcPr>
          <w:p w:rsidR="00071071" w:rsidRPr="009703EC" w:rsidRDefault="00071071" w:rsidP="00071071">
            <w:pPr>
              <w:tabs>
                <w:tab w:val="left" w:pos="288"/>
                <w:tab w:val="left" w:pos="4752"/>
              </w:tabs>
              <w:rPr>
                <w:rFonts w:eastAsia="Calibri" w:cs="Times New Roman"/>
                <w:b/>
                <w:color w:val="auto"/>
                <w:szCs w:val="24"/>
              </w:rPr>
            </w:pPr>
            <w:r w:rsidRPr="009703EC">
              <w:rPr>
                <w:rFonts w:eastAsia="Calibri" w:cs="Times New Roman"/>
                <w:b/>
                <w:color w:val="auto"/>
                <w:szCs w:val="24"/>
              </w:rPr>
              <w:t>VASRD CODE</w:t>
            </w:r>
          </w:p>
        </w:tc>
        <w:tc>
          <w:tcPr>
            <w:tcW w:w="1530" w:type="dxa"/>
            <w:tcBorders>
              <w:bottom w:val="single" w:sz="4" w:space="0" w:color="auto"/>
            </w:tcBorders>
            <w:shd w:val="clear" w:color="auto" w:fill="D9D9D9"/>
            <w:vAlign w:val="center"/>
          </w:tcPr>
          <w:p w:rsidR="00071071" w:rsidRPr="009703EC" w:rsidRDefault="00071071" w:rsidP="00071071">
            <w:pPr>
              <w:rPr>
                <w:color w:val="auto"/>
              </w:rPr>
            </w:pPr>
            <w:r w:rsidRPr="009703EC">
              <w:rPr>
                <w:rFonts w:eastAsia="Calibri" w:cs="Times New Roman"/>
                <w:b/>
                <w:color w:val="auto"/>
                <w:szCs w:val="24"/>
              </w:rPr>
              <w:t>RATING</w:t>
            </w:r>
          </w:p>
        </w:tc>
      </w:tr>
      <w:tr w:rsidR="00756A51" w:rsidRPr="009703EC" w:rsidTr="00DC146D">
        <w:trPr>
          <w:trHeight w:val="194"/>
          <w:jc w:val="center"/>
        </w:trPr>
        <w:tc>
          <w:tcPr>
            <w:tcW w:w="5040" w:type="dxa"/>
            <w:vMerge/>
            <w:shd w:val="clear" w:color="auto" w:fill="D9D9D9"/>
            <w:vAlign w:val="center"/>
          </w:tcPr>
          <w:p w:rsidR="00756A51" w:rsidRPr="009703EC" w:rsidRDefault="00756A51" w:rsidP="00071071">
            <w:pPr>
              <w:tabs>
                <w:tab w:val="left" w:pos="288"/>
                <w:tab w:val="left" w:pos="4752"/>
              </w:tabs>
              <w:rPr>
                <w:rFonts w:eastAsia="Calibri" w:cs="Times New Roman"/>
                <w:b/>
                <w:color w:val="auto"/>
                <w:szCs w:val="24"/>
              </w:rPr>
            </w:pPr>
          </w:p>
        </w:tc>
        <w:tc>
          <w:tcPr>
            <w:tcW w:w="1980" w:type="dxa"/>
            <w:vMerge/>
            <w:shd w:val="clear" w:color="auto" w:fill="D9D9D9"/>
            <w:vAlign w:val="center"/>
          </w:tcPr>
          <w:p w:rsidR="00756A51" w:rsidRPr="009703EC" w:rsidRDefault="00756A51" w:rsidP="00071071">
            <w:pPr>
              <w:tabs>
                <w:tab w:val="left" w:pos="288"/>
                <w:tab w:val="left" w:pos="4752"/>
              </w:tabs>
              <w:rPr>
                <w:rFonts w:eastAsia="Calibri" w:cs="Times New Roman"/>
                <w:b/>
                <w:color w:val="auto"/>
                <w:szCs w:val="24"/>
              </w:rPr>
            </w:pPr>
          </w:p>
        </w:tc>
        <w:tc>
          <w:tcPr>
            <w:tcW w:w="1530" w:type="dxa"/>
            <w:tcBorders>
              <w:top w:val="single" w:sz="4" w:space="0" w:color="auto"/>
            </w:tcBorders>
            <w:shd w:val="pct15" w:color="auto" w:fill="auto"/>
            <w:vAlign w:val="center"/>
          </w:tcPr>
          <w:p w:rsidR="00756A51" w:rsidRPr="009703EC" w:rsidRDefault="00756A51" w:rsidP="00071071">
            <w:pPr>
              <w:tabs>
                <w:tab w:val="left" w:pos="288"/>
                <w:tab w:val="left" w:pos="4752"/>
              </w:tabs>
              <w:rPr>
                <w:rFonts w:eastAsia="Calibri" w:cs="Times New Roman"/>
                <w:b/>
                <w:color w:val="auto"/>
                <w:szCs w:val="24"/>
              </w:rPr>
            </w:pPr>
            <w:r w:rsidRPr="009703EC">
              <w:rPr>
                <w:rFonts w:eastAsia="Calibri" w:cs="Times New Roman"/>
                <w:b/>
                <w:color w:val="auto"/>
                <w:szCs w:val="24"/>
              </w:rPr>
              <w:t>PERMANENT</w:t>
            </w:r>
          </w:p>
        </w:tc>
      </w:tr>
      <w:tr w:rsidR="00756A51" w:rsidRPr="009703EC" w:rsidTr="00DC146D">
        <w:trPr>
          <w:trHeight w:val="197"/>
          <w:jc w:val="center"/>
        </w:trPr>
        <w:tc>
          <w:tcPr>
            <w:tcW w:w="5040" w:type="dxa"/>
            <w:vAlign w:val="center"/>
          </w:tcPr>
          <w:p w:rsidR="00756A51" w:rsidRPr="009703EC" w:rsidRDefault="00756A51" w:rsidP="00071071">
            <w:pPr>
              <w:tabs>
                <w:tab w:val="left" w:pos="288"/>
                <w:tab w:val="left" w:pos="4752"/>
              </w:tabs>
              <w:jc w:val="left"/>
              <w:rPr>
                <w:rFonts w:eastAsia="Calibri" w:cs="Times New Roman"/>
                <w:color w:val="auto"/>
                <w:szCs w:val="24"/>
              </w:rPr>
            </w:pPr>
            <w:r w:rsidRPr="009703EC">
              <w:rPr>
                <w:color w:val="auto"/>
              </w:rPr>
              <w:t>Asthma, Compounded by Vocal Cord Dysfunction</w:t>
            </w:r>
          </w:p>
        </w:tc>
        <w:tc>
          <w:tcPr>
            <w:tcW w:w="1980" w:type="dxa"/>
            <w:tcBorders>
              <w:bottom w:val="single" w:sz="4" w:space="0" w:color="000000"/>
            </w:tcBorders>
            <w:vAlign w:val="center"/>
          </w:tcPr>
          <w:p w:rsidR="00756A51" w:rsidRPr="009703EC" w:rsidRDefault="00756A51" w:rsidP="00071071">
            <w:pPr>
              <w:tabs>
                <w:tab w:val="left" w:pos="288"/>
                <w:tab w:val="left" w:pos="4752"/>
              </w:tabs>
              <w:rPr>
                <w:color w:val="auto"/>
              </w:rPr>
            </w:pPr>
            <w:r w:rsidRPr="009703EC">
              <w:rPr>
                <w:color w:val="auto"/>
              </w:rPr>
              <w:t>6599 6520 6602</w:t>
            </w:r>
          </w:p>
        </w:tc>
        <w:tc>
          <w:tcPr>
            <w:tcW w:w="1530" w:type="dxa"/>
            <w:tcBorders>
              <w:bottom w:val="single" w:sz="4" w:space="0" w:color="000000"/>
            </w:tcBorders>
            <w:shd w:val="clear" w:color="auto" w:fill="D9D9D9" w:themeFill="background1" w:themeFillShade="D9"/>
            <w:vAlign w:val="center"/>
          </w:tcPr>
          <w:p w:rsidR="00756A51" w:rsidRPr="009703EC" w:rsidRDefault="00756A51" w:rsidP="00071071">
            <w:pPr>
              <w:tabs>
                <w:tab w:val="left" w:pos="288"/>
                <w:tab w:val="left" w:pos="4752"/>
              </w:tabs>
              <w:rPr>
                <w:rFonts w:eastAsia="Calibri" w:cs="Times New Roman"/>
                <w:color w:val="auto"/>
                <w:szCs w:val="24"/>
              </w:rPr>
            </w:pPr>
          </w:p>
        </w:tc>
      </w:tr>
      <w:tr w:rsidR="00756A51" w:rsidRPr="009703EC" w:rsidTr="00DC146D">
        <w:trPr>
          <w:trHeight w:val="197"/>
          <w:jc w:val="center"/>
        </w:trPr>
        <w:tc>
          <w:tcPr>
            <w:tcW w:w="5040" w:type="dxa"/>
            <w:vAlign w:val="center"/>
          </w:tcPr>
          <w:p w:rsidR="00756A51" w:rsidRPr="009703EC" w:rsidRDefault="00756A51" w:rsidP="00071071">
            <w:pPr>
              <w:tabs>
                <w:tab w:val="left" w:pos="288"/>
                <w:tab w:val="left" w:pos="4752"/>
              </w:tabs>
              <w:jc w:val="left"/>
              <w:rPr>
                <w:color w:val="auto"/>
              </w:rPr>
            </w:pPr>
            <w:r w:rsidRPr="009703EC">
              <w:rPr>
                <w:color w:val="auto"/>
              </w:rPr>
              <w:t>Vocal Cord Dysfunction with Asthma</w:t>
            </w:r>
          </w:p>
        </w:tc>
        <w:tc>
          <w:tcPr>
            <w:tcW w:w="1980" w:type="dxa"/>
            <w:tcBorders>
              <w:bottom w:val="single" w:sz="4" w:space="0" w:color="000000"/>
            </w:tcBorders>
            <w:vAlign w:val="center"/>
          </w:tcPr>
          <w:p w:rsidR="00756A51" w:rsidRPr="009703EC" w:rsidRDefault="00756A51" w:rsidP="00071071">
            <w:pPr>
              <w:tabs>
                <w:tab w:val="left" w:pos="288"/>
                <w:tab w:val="left" w:pos="4752"/>
              </w:tabs>
              <w:rPr>
                <w:color w:val="auto"/>
              </w:rPr>
            </w:pPr>
            <w:r w:rsidRPr="009703EC">
              <w:rPr>
                <w:color w:val="auto"/>
              </w:rPr>
              <w:t>6520-6602</w:t>
            </w:r>
          </w:p>
        </w:tc>
        <w:tc>
          <w:tcPr>
            <w:tcW w:w="1530" w:type="dxa"/>
            <w:tcBorders>
              <w:bottom w:val="single" w:sz="4" w:space="0" w:color="000000"/>
            </w:tcBorders>
            <w:vAlign w:val="center"/>
          </w:tcPr>
          <w:p w:rsidR="00756A51" w:rsidRPr="009703EC" w:rsidRDefault="00756A51" w:rsidP="00071071">
            <w:pPr>
              <w:tabs>
                <w:tab w:val="left" w:pos="288"/>
                <w:tab w:val="left" w:pos="4752"/>
              </w:tabs>
              <w:rPr>
                <w:rFonts w:eastAsia="Calibri" w:cs="Times New Roman"/>
                <w:color w:val="auto"/>
                <w:szCs w:val="24"/>
              </w:rPr>
            </w:pPr>
            <w:r w:rsidRPr="009703EC">
              <w:rPr>
                <w:rFonts w:eastAsia="Calibri" w:cs="Times New Roman"/>
                <w:color w:val="auto"/>
                <w:szCs w:val="24"/>
              </w:rPr>
              <w:t>30%</w:t>
            </w:r>
          </w:p>
        </w:tc>
      </w:tr>
      <w:tr w:rsidR="00756A51" w:rsidRPr="009703EC" w:rsidTr="00DC146D">
        <w:tblPrEx>
          <w:tblLook w:val="0000"/>
        </w:tblPrEx>
        <w:trPr>
          <w:gridBefore w:val="1"/>
          <w:wBefore w:w="5040" w:type="dxa"/>
          <w:trHeight w:val="161"/>
          <w:jc w:val="center"/>
        </w:trPr>
        <w:tc>
          <w:tcPr>
            <w:tcW w:w="1980" w:type="dxa"/>
            <w:tcBorders>
              <w:left w:val="single" w:sz="4" w:space="0" w:color="auto"/>
            </w:tcBorders>
            <w:shd w:val="pct15" w:color="auto" w:fill="auto"/>
            <w:vAlign w:val="center"/>
          </w:tcPr>
          <w:p w:rsidR="00756A51" w:rsidRPr="009703EC" w:rsidRDefault="00756A51" w:rsidP="00071071">
            <w:pPr>
              <w:tabs>
                <w:tab w:val="left" w:pos="288"/>
                <w:tab w:val="left" w:pos="4752"/>
              </w:tabs>
              <w:rPr>
                <w:rFonts w:eastAsia="Calibri" w:cs="Times New Roman"/>
                <w:b/>
                <w:color w:val="auto"/>
                <w:szCs w:val="24"/>
              </w:rPr>
            </w:pPr>
            <w:r w:rsidRPr="009703EC">
              <w:rPr>
                <w:rFonts w:eastAsia="Calibri" w:cs="Times New Roman"/>
                <w:b/>
                <w:color w:val="auto"/>
                <w:szCs w:val="24"/>
              </w:rPr>
              <w:t>COMBINED</w:t>
            </w:r>
          </w:p>
        </w:tc>
        <w:tc>
          <w:tcPr>
            <w:tcW w:w="1530" w:type="dxa"/>
            <w:shd w:val="pct15" w:color="auto" w:fill="auto"/>
            <w:vAlign w:val="center"/>
          </w:tcPr>
          <w:p w:rsidR="00756A51" w:rsidRPr="009703EC" w:rsidRDefault="00756A51" w:rsidP="00071071">
            <w:pPr>
              <w:tabs>
                <w:tab w:val="left" w:pos="288"/>
                <w:tab w:val="left" w:pos="4752"/>
              </w:tabs>
              <w:rPr>
                <w:rFonts w:eastAsia="Calibri" w:cs="Times New Roman"/>
                <w:b/>
                <w:color w:val="auto"/>
                <w:szCs w:val="24"/>
              </w:rPr>
            </w:pPr>
            <w:r w:rsidRPr="009703EC">
              <w:rPr>
                <w:rFonts w:eastAsia="Calibri" w:cs="Times New Roman"/>
                <w:b/>
                <w:color w:val="auto"/>
                <w:szCs w:val="24"/>
              </w:rPr>
              <w:t>30%</w:t>
            </w:r>
          </w:p>
        </w:tc>
      </w:tr>
    </w:tbl>
    <w:p w:rsidR="00AD2379" w:rsidRPr="009703EC" w:rsidRDefault="00AD2379" w:rsidP="006B690F">
      <w:pPr>
        <w:pBdr>
          <w:bottom w:val="single" w:sz="12" w:space="1" w:color="auto"/>
        </w:pBdr>
        <w:tabs>
          <w:tab w:val="left" w:pos="288"/>
          <w:tab w:val="left" w:pos="4752"/>
        </w:tabs>
        <w:jc w:val="both"/>
        <w:rPr>
          <w:color w:val="auto"/>
        </w:rPr>
      </w:pPr>
    </w:p>
    <w:p w:rsidR="004D1E0A" w:rsidRDefault="004D1E0A">
      <w:pPr>
        <w:spacing w:line="240" w:lineRule="auto"/>
        <w:jc w:val="left"/>
        <w:rPr>
          <w:color w:val="auto"/>
        </w:rPr>
      </w:pPr>
      <w:r>
        <w:rPr>
          <w:color w:val="auto"/>
        </w:rPr>
        <w:br w:type="page"/>
      </w:r>
    </w:p>
    <w:p w:rsidR="00AD2379" w:rsidRPr="009703EC" w:rsidRDefault="00AD2379" w:rsidP="006B690F">
      <w:pPr>
        <w:jc w:val="both"/>
        <w:rPr>
          <w:color w:val="auto"/>
        </w:rPr>
      </w:pPr>
      <w:bookmarkStart w:id="0" w:name="_GoBack"/>
      <w:bookmarkEnd w:id="0"/>
    </w:p>
    <w:p w:rsidR="00AD2379" w:rsidRPr="009703EC" w:rsidRDefault="00AD2379" w:rsidP="006B690F">
      <w:pPr>
        <w:tabs>
          <w:tab w:val="left" w:pos="288"/>
          <w:tab w:val="left" w:pos="4752"/>
        </w:tabs>
        <w:jc w:val="both"/>
        <w:rPr>
          <w:color w:val="auto"/>
        </w:rPr>
      </w:pPr>
      <w:r w:rsidRPr="009703EC">
        <w:rPr>
          <w:color w:val="auto"/>
        </w:rPr>
        <w:t>The following documentary evidence was considered:</w:t>
      </w:r>
    </w:p>
    <w:p w:rsidR="005144A7" w:rsidRPr="009703EC" w:rsidRDefault="005144A7" w:rsidP="006B690F">
      <w:pPr>
        <w:tabs>
          <w:tab w:val="left" w:pos="288"/>
          <w:tab w:val="left" w:pos="4752"/>
        </w:tabs>
        <w:jc w:val="both"/>
        <w:rPr>
          <w:color w:val="auto"/>
        </w:rPr>
      </w:pPr>
    </w:p>
    <w:p w:rsidR="00AD2379" w:rsidRPr="009703EC" w:rsidRDefault="00AD2379" w:rsidP="006B690F">
      <w:pPr>
        <w:tabs>
          <w:tab w:val="left" w:pos="288"/>
          <w:tab w:val="left" w:pos="4752"/>
        </w:tabs>
        <w:jc w:val="both"/>
        <w:rPr>
          <w:color w:val="auto"/>
        </w:rPr>
      </w:pPr>
      <w:r w:rsidRPr="009703EC">
        <w:rPr>
          <w:color w:val="auto"/>
        </w:rPr>
        <w:t>Exhibit A.  DD Form 294, dated 20</w:t>
      </w:r>
      <w:r w:rsidR="007A29DC" w:rsidRPr="009703EC">
        <w:rPr>
          <w:color w:val="auto"/>
        </w:rPr>
        <w:t>111015</w:t>
      </w:r>
      <w:r w:rsidR="00ED7820" w:rsidRPr="009703EC">
        <w:rPr>
          <w:color w:val="auto"/>
        </w:rPr>
        <w:t>, w/atchs</w:t>
      </w:r>
    </w:p>
    <w:p w:rsidR="00AD2379" w:rsidRPr="009703EC" w:rsidRDefault="00AD2379" w:rsidP="006B690F">
      <w:pPr>
        <w:tabs>
          <w:tab w:val="left" w:pos="288"/>
          <w:tab w:val="left" w:pos="4752"/>
        </w:tabs>
        <w:jc w:val="both"/>
        <w:rPr>
          <w:color w:val="auto"/>
        </w:rPr>
      </w:pPr>
      <w:r w:rsidRPr="009703EC">
        <w:rPr>
          <w:color w:val="auto"/>
        </w:rPr>
        <w:t>Exhib</w:t>
      </w:r>
      <w:r w:rsidR="00ED7820" w:rsidRPr="009703EC">
        <w:rPr>
          <w:color w:val="auto"/>
        </w:rPr>
        <w:t>it B.  Service Treatment Record</w:t>
      </w:r>
    </w:p>
    <w:p w:rsidR="00AD2379" w:rsidRPr="009703EC" w:rsidRDefault="00AD2379" w:rsidP="006B690F">
      <w:pPr>
        <w:tabs>
          <w:tab w:val="left" w:pos="288"/>
          <w:tab w:val="left" w:pos="4752"/>
        </w:tabs>
        <w:jc w:val="both"/>
        <w:rPr>
          <w:color w:val="auto"/>
        </w:rPr>
      </w:pPr>
      <w:r w:rsidRPr="009703EC">
        <w:rPr>
          <w:color w:val="auto"/>
        </w:rPr>
        <w:t>Exhibit C.  Department of Veterans</w:t>
      </w:r>
      <w:r w:rsidR="00ED7820" w:rsidRPr="009703EC">
        <w:rPr>
          <w:color w:val="auto"/>
        </w:rPr>
        <w:t>’ Affairs Treatment Record</w:t>
      </w:r>
    </w:p>
    <w:p w:rsidR="00AD2379" w:rsidRPr="009703EC" w:rsidRDefault="00AD2379" w:rsidP="006B690F">
      <w:pPr>
        <w:tabs>
          <w:tab w:val="left" w:pos="288"/>
          <w:tab w:val="left" w:pos="4752"/>
        </w:tabs>
        <w:jc w:val="both"/>
        <w:rPr>
          <w:color w:val="auto"/>
        </w:rPr>
      </w:pPr>
    </w:p>
    <w:p w:rsidR="00AD2379" w:rsidRPr="009703EC" w:rsidRDefault="00AD2379" w:rsidP="006B690F">
      <w:pPr>
        <w:tabs>
          <w:tab w:val="left" w:pos="288"/>
          <w:tab w:val="left" w:pos="4752"/>
        </w:tabs>
        <w:jc w:val="both"/>
        <w:rPr>
          <w:color w:val="auto"/>
        </w:rPr>
      </w:pPr>
    </w:p>
    <w:p w:rsidR="00AD2379" w:rsidRPr="009703EC" w:rsidRDefault="00AD2379" w:rsidP="006B690F">
      <w:pPr>
        <w:tabs>
          <w:tab w:val="left" w:pos="288"/>
          <w:tab w:val="left" w:pos="4752"/>
        </w:tabs>
        <w:jc w:val="both"/>
        <w:rPr>
          <w:color w:val="auto"/>
        </w:rPr>
      </w:pPr>
    </w:p>
    <w:p w:rsidR="00AD2379" w:rsidRPr="009703EC" w:rsidRDefault="00AD2379" w:rsidP="006B690F">
      <w:pPr>
        <w:tabs>
          <w:tab w:val="left" w:pos="288"/>
          <w:tab w:val="left" w:pos="4752"/>
        </w:tabs>
        <w:jc w:val="both"/>
        <w:rPr>
          <w:color w:val="auto"/>
        </w:rPr>
      </w:pPr>
    </w:p>
    <w:p w:rsidR="00AD2379" w:rsidRPr="009703EC" w:rsidRDefault="00AD2379" w:rsidP="006B690F">
      <w:pPr>
        <w:tabs>
          <w:tab w:val="left" w:pos="0"/>
          <w:tab w:val="left" w:pos="4320"/>
        </w:tabs>
        <w:jc w:val="both"/>
        <w:rPr>
          <w:color w:val="auto"/>
        </w:rPr>
      </w:pPr>
      <w:r w:rsidRPr="009703EC">
        <w:rPr>
          <w:color w:val="auto"/>
        </w:rPr>
        <w:tab/>
        <w:t xml:space="preserve">           </w:t>
      </w:r>
      <w:r w:rsidR="00A42E91">
        <w:rPr>
          <w:color w:val="auto"/>
        </w:rPr>
        <w:t>XXXXXXXXXXXXXX</w:t>
      </w:r>
    </w:p>
    <w:p w:rsidR="00AD2379" w:rsidRPr="009703EC" w:rsidRDefault="00AD2379" w:rsidP="006B690F">
      <w:pPr>
        <w:tabs>
          <w:tab w:val="left" w:pos="0"/>
          <w:tab w:val="left" w:pos="4320"/>
        </w:tabs>
        <w:jc w:val="both"/>
        <w:rPr>
          <w:color w:val="auto"/>
        </w:rPr>
      </w:pPr>
      <w:r w:rsidRPr="009703EC">
        <w:rPr>
          <w:color w:val="auto"/>
        </w:rPr>
        <w:tab/>
        <w:t xml:space="preserve">           President</w:t>
      </w:r>
    </w:p>
    <w:p w:rsidR="00A42E91" w:rsidRDefault="00AD2379" w:rsidP="00EE2228">
      <w:pPr>
        <w:tabs>
          <w:tab w:val="left" w:pos="0"/>
          <w:tab w:val="left" w:pos="4320"/>
        </w:tabs>
        <w:jc w:val="both"/>
        <w:rPr>
          <w:color w:val="auto"/>
        </w:rPr>
      </w:pPr>
      <w:r w:rsidRPr="009703EC">
        <w:rPr>
          <w:color w:val="auto"/>
        </w:rPr>
        <w:tab/>
        <w:t xml:space="preserve">           Physical Disability Board of Review</w:t>
      </w:r>
    </w:p>
    <w:p w:rsidR="00A42E91" w:rsidRDefault="00A42E91">
      <w:pPr>
        <w:spacing w:line="240" w:lineRule="auto"/>
        <w:jc w:val="left"/>
        <w:rPr>
          <w:color w:val="auto"/>
        </w:rPr>
      </w:pPr>
      <w:r>
        <w:rPr>
          <w:color w:val="auto"/>
        </w:rPr>
        <w:br w:type="page"/>
      </w:r>
    </w:p>
    <w:p w:rsidR="00A42E91" w:rsidRDefault="00A42E91" w:rsidP="00A42E91">
      <w:pPr>
        <w:pStyle w:val="Header"/>
        <w:tabs>
          <w:tab w:val="left" w:pos="720"/>
        </w:tabs>
        <w:jc w:val="left"/>
      </w:pPr>
      <w:r>
        <w:lastRenderedPageBreak/>
        <w:t>SFMR-RB</w:t>
      </w:r>
      <w:r>
        <w:tab/>
      </w:r>
      <w:r>
        <w:tab/>
      </w:r>
      <w:r>
        <w:tab/>
      </w:r>
      <w:r>
        <w:tab/>
      </w:r>
      <w:r>
        <w:tab/>
      </w:r>
      <w:r>
        <w:tab/>
      </w:r>
      <w:r>
        <w:tab/>
      </w:r>
      <w:r>
        <w:tab/>
      </w:r>
      <w:r>
        <w:tab/>
      </w:r>
    </w:p>
    <w:p w:rsidR="00A42E91" w:rsidRDefault="00A42E91" w:rsidP="00A42E91">
      <w:pPr>
        <w:pStyle w:val="Header"/>
        <w:tabs>
          <w:tab w:val="left" w:pos="720"/>
        </w:tabs>
        <w:jc w:val="left"/>
      </w:pPr>
    </w:p>
    <w:p w:rsidR="00A42E91" w:rsidRDefault="00A42E91" w:rsidP="00A42E91">
      <w:pPr>
        <w:jc w:val="left"/>
      </w:pPr>
    </w:p>
    <w:p w:rsidR="00A42E91" w:rsidRDefault="00A42E91" w:rsidP="00A42E91">
      <w:pPr>
        <w:jc w:val="left"/>
      </w:pPr>
      <w:r>
        <w:t xml:space="preserve">MEMORANDUM FOR Commander, US Army Physical Disability Agency </w:t>
      </w:r>
    </w:p>
    <w:p w:rsidR="00A42E91" w:rsidRDefault="00A42E91" w:rsidP="00A42E91">
      <w:pPr>
        <w:jc w:val="left"/>
      </w:pPr>
      <w:r>
        <w:t xml:space="preserve">(TAPD-ZB </w:t>
      </w:r>
      <w:proofErr w:type="gramStart"/>
      <w:r>
        <w:t>/  )</w:t>
      </w:r>
      <w:proofErr w:type="gramEnd"/>
      <w:r>
        <w:t>, 2900 Crystal Drive, Suite 300, Arlington, VA  22202</w:t>
      </w:r>
    </w:p>
    <w:p w:rsidR="00A42E91" w:rsidRDefault="00A42E91" w:rsidP="00A42E91">
      <w:pPr>
        <w:jc w:val="left"/>
      </w:pPr>
    </w:p>
    <w:p w:rsidR="00A42E91" w:rsidRDefault="00A42E91" w:rsidP="00A42E91">
      <w:pPr>
        <w:ind w:right="-180"/>
        <w:jc w:val="left"/>
      </w:pPr>
      <w:r>
        <w:t xml:space="preserve">SUBJECT:  Department of Defense Physical Disability Board of Review Recommendation </w:t>
      </w:r>
    </w:p>
    <w:p w:rsidR="00A42E91" w:rsidRDefault="00A42E91" w:rsidP="00A42E91">
      <w:pPr>
        <w:pStyle w:val="Header"/>
        <w:tabs>
          <w:tab w:val="left" w:pos="720"/>
        </w:tabs>
        <w:jc w:val="left"/>
      </w:pPr>
      <w:proofErr w:type="gramStart"/>
      <w:r>
        <w:t>for</w:t>
      </w:r>
      <w:proofErr w:type="gramEnd"/>
      <w:r>
        <w:t xml:space="preserve"> XXXXXXXXXXXX, AR20120011912 (PD201100941)</w:t>
      </w:r>
    </w:p>
    <w:p w:rsidR="00A42E91" w:rsidRDefault="00A42E91" w:rsidP="00A42E91">
      <w:pPr>
        <w:pStyle w:val="Header"/>
        <w:tabs>
          <w:tab w:val="left" w:pos="720"/>
        </w:tabs>
        <w:jc w:val="left"/>
      </w:pPr>
    </w:p>
    <w:p w:rsidR="00A42E91" w:rsidRDefault="00A42E91" w:rsidP="00A42E91">
      <w:pPr>
        <w:jc w:val="left"/>
      </w:pPr>
    </w:p>
    <w:p w:rsidR="00A42E91" w:rsidRDefault="00A42E91" w:rsidP="00A42E9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42E91" w:rsidRDefault="00A42E91" w:rsidP="00A42E91">
      <w:pPr>
        <w:jc w:val="left"/>
      </w:pPr>
    </w:p>
    <w:p w:rsidR="00A42E91" w:rsidRDefault="00A42E91" w:rsidP="00A42E91">
      <w:pPr>
        <w:jc w:val="left"/>
      </w:pPr>
      <w:r>
        <w:t>2.  I direct that all the Department of the Army records of the individual concerned be corrected accordingly no later than 120 days from the date of this memorandum:</w:t>
      </w:r>
    </w:p>
    <w:p w:rsidR="00A42E91" w:rsidRDefault="00A42E91" w:rsidP="00A42E91">
      <w:pPr>
        <w:jc w:val="left"/>
      </w:pPr>
    </w:p>
    <w:p w:rsidR="00A42E91" w:rsidRDefault="00A42E91" w:rsidP="00A42E91">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A42E91" w:rsidRDefault="00A42E91" w:rsidP="00A42E91">
      <w:pPr>
        <w:jc w:val="left"/>
      </w:pPr>
    </w:p>
    <w:p w:rsidR="00A42E91" w:rsidRDefault="00A42E91" w:rsidP="00A42E91">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42E91" w:rsidRDefault="00A42E91" w:rsidP="00A42E91">
      <w:pPr>
        <w:jc w:val="left"/>
      </w:pPr>
    </w:p>
    <w:p w:rsidR="00A42E91" w:rsidRDefault="00A42E91" w:rsidP="00A42E91">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42E91" w:rsidRDefault="00A42E91" w:rsidP="00A42E91">
      <w:pPr>
        <w:jc w:val="left"/>
      </w:pPr>
    </w:p>
    <w:p w:rsidR="00A42E91" w:rsidRDefault="00A42E91" w:rsidP="00A42E91">
      <w:pPr>
        <w:jc w:val="left"/>
      </w:pPr>
      <w:r>
        <w:tab/>
      </w:r>
      <w:proofErr w:type="gramStart"/>
      <w:r>
        <w:t>d.  Affording</w:t>
      </w:r>
      <w:proofErr w:type="gramEnd"/>
      <w:r>
        <w:t xml:space="preserve"> the individual the opportunity to elect Survivor Benefit Plan (SBP) and medical TRICARE retiree options.</w:t>
      </w:r>
    </w:p>
    <w:p w:rsidR="00A42E91" w:rsidRDefault="00A42E91" w:rsidP="00A42E91">
      <w:pPr>
        <w:jc w:val="left"/>
      </w:pPr>
    </w:p>
    <w:p w:rsidR="00A42E91" w:rsidRDefault="00A42E91" w:rsidP="00A42E91">
      <w:pPr>
        <w:jc w:val="left"/>
      </w:pPr>
    </w:p>
    <w:p w:rsidR="00A42E91" w:rsidRDefault="00A42E91" w:rsidP="00A42E9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42E91" w:rsidRDefault="00A42E91" w:rsidP="00A42E91">
      <w:pPr>
        <w:jc w:val="left"/>
      </w:pPr>
    </w:p>
    <w:p w:rsidR="00A42E91" w:rsidRDefault="00A42E91" w:rsidP="00A42E91">
      <w:pPr>
        <w:jc w:val="left"/>
      </w:pPr>
      <w:r>
        <w:t>BY ORDER OF THE SECRETARY OF THE ARMY:</w:t>
      </w:r>
    </w:p>
    <w:p w:rsidR="00A42E91" w:rsidRDefault="00A42E91" w:rsidP="00A42E91">
      <w:pPr>
        <w:jc w:val="left"/>
      </w:pPr>
    </w:p>
    <w:p w:rsidR="00A42E91" w:rsidRDefault="00A42E91" w:rsidP="00A42E91">
      <w:pPr>
        <w:jc w:val="left"/>
      </w:pPr>
    </w:p>
    <w:p w:rsidR="00A42E91" w:rsidRDefault="00A42E91" w:rsidP="00A42E91">
      <w:pPr>
        <w:pStyle w:val="Header"/>
        <w:tabs>
          <w:tab w:val="left" w:pos="720"/>
        </w:tabs>
        <w:jc w:val="left"/>
      </w:pPr>
    </w:p>
    <w:p w:rsidR="00A42E91" w:rsidRDefault="00A42E91" w:rsidP="00A42E91">
      <w:pPr>
        <w:jc w:val="left"/>
      </w:pPr>
    </w:p>
    <w:p w:rsidR="00A42E91" w:rsidRDefault="00A42E91" w:rsidP="00A42E91">
      <w:pPr>
        <w:jc w:val="left"/>
      </w:pPr>
      <w:bookmarkStart w:id="1" w:name="OLE_LINK4"/>
      <w:bookmarkStart w:id="2" w:name="OLE_LINK3"/>
      <w:r>
        <w:t>Encl</w:t>
      </w:r>
      <w:r>
        <w:tab/>
      </w:r>
      <w:r>
        <w:tab/>
      </w:r>
      <w:r>
        <w:tab/>
      </w:r>
      <w:r>
        <w:tab/>
      </w:r>
      <w:r>
        <w:tab/>
      </w:r>
      <w:r>
        <w:tab/>
        <w:t xml:space="preserve">     XXXXXXXXXXX</w:t>
      </w:r>
    </w:p>
    <w:p w:rsidR="00A42E91" w:rsidRDefault="00A42E91" w:rsidP="00A42E91">
      <w:pPr>
        <w:jc w:val="left"/>
      </w:pPr>
      <w:r>
        <w:tab/>
      </w:r>
      <w:r>
        <w:tab/>
      </w:r>
      <w:r>
        <w:tab/>
      </w:r>
      <w:r>
        <w:tab/>
      </w:r>
      <w:r>
        <w:tab/>
      </w:r>
      <w:r>
        <w:tab/>
        <w:t xml:space="preserve">     Deputy Assistant Secretary</w:t>
      </w:r>
    </w:p>
    <w:p w:rsidR="00A42E91" w:rsidRDefault="00A42E91" w:rsidP="00A42E91">
      <w:pPr>
        <w:jc w:val="left"/>
      </w:pPr>
      <w:r>
        <w:tab/>
      </w:r>
      <w:r>
        <w:tab/>
      </w:r>
      <w:r>
        <w:tab/>
      </w:r>
      <w:r>
        <w:tab/>
      </w:r>
      <w:r>
        <w:tab/>
      </w:r>
      <w:r>
        <w:tab/>
        <w:t xml:space="preserve">         (Army Review Boards)</w:t>
      </w:r>
      <w:bookmarkEnd w:id="1"/>
      <w:bookmarkEnd w:id="2"/>
    </w:p>
    <w:p w:rsidR="00A42E91" w:rsidRDefault="00A42E91" w:rsidP="00A42E91">
      <w:pPr>
        <w:jc w:val="left"/>
      </w:pPr>
    </w:p>
    <w:p w:rsidR="00A42E91" w:rsidRDefault="00A42E91" w:rsidP="00A42E91">
      <w:pPr>
        <w:jc w:val="left"/>
      </w:pPr>
      <w:r>
        <w:t xml:space="preserve">CF: </w:t>
      </w:r>
    </w:p>
    <w:p w:rsidR="00A42E91" w:rsidRDefault="00A42E91" w:rsidP="00A42E91">
      <w:pPr>
        <w:jc w:val="left"/>
      </w:pPr>
      <w:r>
        <w:t xml:space="preserve">(  ) </w:t>
      </w:r>
      <w:proofErr w:type="spellStart"/>
      <w:proofErr w:type="gramStart"/>
      <w:r>
        <w:t>DoD</w:t>
      </w:r>
      <w:proofErr w:type="spellEnd"/>
      <w:proofErr w:type="gramEnd"/>
      <w:r>
        <w:t xml:space="preserve"> PDBR</w:t>
      </w:r>
    </w:p>
    <w:p w:rsidR="00A42E91" w:rsidRDefault="00A42E91" w:rsidP="00A42E91">
      <w:pPr>
        <w:jc w:val="left"/>
      </w:pPr>
      <w:r>
        <w:t>(  ) DVA</w:t>
      </w:r>
    </w:p>
    <w:p w:rsidR="002A5916" w:rsidRPr="009703EC" w:rsidRDefault="002A5916" w:rsidP="00EE2228">
      <w:pPr>
        <w:tabs>
          <w:tab w:val="left" w:pos="0"/>
          <w:tab w:val="left" w:pos="4320"/>
        </w:tabs>
        <w:jc w:val="both"/>
        <w:rPr>
          <w:color w:val="auto"/>
        </w:rPr>
      </w:pPr>
    </w:p>
    <w:sectPr w:rsidR="002A5916" w:rsidRPr="009703EC"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12" w:rsidRDefault="00E80512">
      <w:r>
        <w:separator/>
      </w:r>
    </w:p>
  </w:endnote>
  <w:endnote w:type="continuationSeparator" w:id="0">
    <w:p w:rsidR="00E80512" w:rsidRDefault="00E805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DA" w:rsidRPr="00374247" w:rsidRDefault="005323DA" w:rsidP="00726F84">
    <w:pPr>
      <w:pStyle w:val="Footer"/>
      <w:ind w:firstLine="4320"/>
      <w:rPr>
        <w:color w:val="auto"/>
      </w:rPr>
    </w:pPr>
    <w:r w:rsidRPr="00374247">
      <w:rPr>
        <w:color w:val="auto"/>
      </w:rPr>
      <w:t xml:space="preserve">   </w:t>
    </w:r>
    <w:r w:rsidR="00420435" w:rsidRPr="00420435">
      <w:fldChar w:fldCharType="begin"/>
    </w:r>
    <w:r w:rsidR="00E80512">
      <w:instrText xml:space="preserve"> PAGE   \* MERGEFORMAT </w:instrText>
    </w:r>
    <w:r w:rsidR="00420435" w:rsidRPr="00420435">
      <w:fldChar w:fldCharType="separate"/>
    </w:r>
    <w:r w:rsidR="00A42E91" w:rsidRPr="00A42E91">
      <w:rPr>
        <w:noProof/>
        <w:color w:val="auto"/>
      </w:rPr>
      <w:t>4</w:t>
    </w:r>
    <w:r w:rsidR="00420435">
      <w:rPr>
        <w:noProof/>
        <w:color w:val="auto"/>
      </w:rPr>
      <w:fldChar w:fldCharType="end"/>
    </w:r>
    <w:r w:rsidRPr="00374247">
      <w:rPr>
        <w:color w:val="auto"/>
      </w:rPr>
      <w:t xml:space="preserve">                                                           </w:t>
    </w:r>
    <w:r w:rsidRPr="00510EBE">
      <w:rPr>
        <w:color w:val="auto"/>
      </w:rPr>
      <w:t>PD11-00941</w:t>
    </w:r>
  </w:p>
  <w:p w:rsidR="005323DA" w:rsidRPr="00684CE6" w:rsidRDefault="005323D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12" w:rsidRDefault="00E80512">
      <w:r>
        <w:separator/>
      </w:r>
    </w:p>
  </w:footnote>
  <w:footnote w:type="continuationSeparator" w:id="0">
    <w:p w:rsidR="00E80512" w:rsidRDefault="00E80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951B1"/>
    <w:multiLevelType w:val="hybridMultilevel"/>
    <w:tmpl w:val="2960A2EE"/>
    <w:lvl w:ilvl="0" w:tplc="EF6A4130">
      <w:start w:val="6599"/>
      <w:numFmt w:val="bullet"/>
      <w:lvlText w:val=""/>
      <w:lvlJc w:val="left"/>
      <w:pPr>
        <w:ind w:left="540" w:hanging="360"/>
      </w:pPr>
      <w:rPr>
        <w:rFonts w:ascii="Symbol" w:eastAsia="Times New Roman" w:hAnsi="Symbol" w:cstheme="majorHAns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6"/>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2E3"/>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085"/>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D78"/>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5EC0"/>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7D8"/>
    <w:rsid w:val="00123B34"/>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4B3F"/>
    <w:rsid w:val="00195AAC"/>
    <w:rsid w:val="001968BB"/>
    <w:rsid w:val="001A025E"/>
    <w:rsid w:val="001A08CD"/>
    <w:rsid w:val="001A0A1E"/>
    <w:rsid w:val="001A2182"/>
    <w:rsid w:val="001A2A2E"/>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46C5"/>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3DB"/>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6A8D"/>
    <w:rsid w:val="00257538"/>
    <w:rsid w:val="00257AFF"/>
    <w:rsid w:val="00257DE5"/>
    <w:rsid w:val="00260531"/>
    <w:rsid w:val="00260B9A"/>
    <w:rsid w:val="00261B7E"/>
    <w:rsid w:val="00262EA5"/>
    <w:rsid w:val="0026318D"/>
    <w:rsid w:val="00263542"/>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46"/>
    <w:rsid w:val="00282DB6"/>
    <w:rsid w:val="00284A26"/>
    <w:rsid w:val="00285095"/>
    <w:rsid w:val="002854EB"/>
    <w:rsid w:val="00286A0D"/>
    <w:rsid w:val="00287006"/>
    <w:rsid w:val="0029030A"/>
    <w:rsid w:val="00291A69"/>
    <w:rsid w:val="00292397"/>
    <w:rsid w:val="00292AB2"/>
    <w:rsid w:val="00292B82"/>
    <w:rsid w:val="00293DB6"/>
    <w:rsid w:val="00293FE8"/>
    <w:rsid w:val="00294437"/>
    <w:rsid w:val="00296686"/>
    <w:rsid w:val="00297A00"/>
    <w:rsid w:val="00297A45"/>
    <w:rsid w:val="00297E20"/>
    <w:rsid w:val="002A06B7"/>
    <w:rsid w:val="002A233F"/>
    <w:rsid w:val="002A3237"/>
    <w:rsid w:val="002A4119"/>
    <w:rsid w:val="002A58B7"/>
    <w:rsid w:val="002A5916"/>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6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52"/>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1B7"/>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33E"/>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18B9"/>
    <w:rsid w:val="00393651"/>
    <w:rsid w:val="00393D7D"/>
    <w:rsid w:val="00394926"/>
    <w:rsid w:val="00394FF9"/>
    <w:rsid w:val="00395651"/>
    <w:rsid w:val="00395E12"/>
    <w:rsid w:val="003962A8"/>
    <w:rsid w:val="00396779"/>
    <w:rsid w:val="00397DB7"/>
    <w:rsid w:val="003A27B2"/>
    <w:rsid w:val="003A3E92"/>
    <w:rsid w:val="003A3F3D"/>
    <w:rsid w:val="003A40B4"/>
    <w:rsid w:val="003A41BA"/>
    <w:rsid w:val="003A4FA3"/>
    <w:rsid w:val="003A5491"/>
    <w:rsid w:val="003A5958"/>
    <w:rsid w:val="003A6A99"/>
    <w:rsid w:val="003A6DE5"/>
    <w:rsid w:val="003A6E60"/>
    <w:rsid w:val="003A76AB"/>
    <w:rsid w:val="003A7FF8"/>
    <w:rsid w:val="003B17AC"/>
    <w:rsid w:val="003B2143"/>
    <w:rsid w:val="003B227A"/>
    <w:rsid w:val="003B3A77"/>
    <w:rsid w:val="003B4319"/>
    <w:rsid w:val="003B5854"/>
    <w:rsid w:val="003B6764"/>
    <w:rsid w:val="003B7A8B"/>
    <w:rsid w:val="003C1028"/>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4296"/>
    <w:rsid w:val="00414F52"/>
    <w:rsid w:val="00415EA4"/>
    <w:rsid w:val="0041604B"/>
    <w:rsid w:val="004172DB"/>
    <w:rsid w:val="004174F0"/>
    <w:rsid w:val="00417999"/>
    <w:rsid w:val="00417BED"/>
    <w:rsid w:val="00420435"/>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2AC3"/>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616"/>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848"/>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35D9"/>
    <w:rsid w:val="004B46D7"/>
    <w:rsid w:val="004B478D"/>
    <w:rsid w:val="004B6AF3"/>
    <w:rsid w:val="004B6B34"/>
    <w:rsid w:val="004B6F1F"/>
    <w:rsid w:val="004B715E"/>
    <w:rsid w:val="004B7169"/>
    <w:rsid w:val="004B7282"/>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02C"/>
    <w:rsid w:val="004D10D4"/>
    <w:rsid w:val="004D16BD"/>
    <w:rsid w:val="004D1E0A"/>
    <w:rsid w:val="004D2AAB"/>
    <w:rsid w:val="004D362B"/>
    <w:rsid w:val="004D3C7F"/>
    <w:rsid w:val="004D42CB"/>
    <w:rsid w:val="004D4A0C"/>
    <w:rsid w:val="004D6E90"/>
    <w:rsid w:val="004D6F2B"/>
    <w:rsid w:val="004E0248"/>
    <w:rsid w:val="004E21A3"/>
    <w:rsid w:val="004E32EA"/>
    <w:rsid w:val="004E3517"/>
    <w:rsid w:val="004E45B4"/>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EBE"/>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3DA"/>
    <w:rsid w:val="00532B33"/>
    <w:rsid w:val="00532E9D"/>
    <w:rsid w:val="00533075"/>
    <w:rsid w:val="0053314C"/>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D54"/>
    <w:rsid w:val="0055288D"/>
    <w:rsid w:val="005533DE"/>
    <w:rsid w:val="00553E34"/>
    <w:rsid w:val="00555259"/>
    <w:rsid w:val="00555C66"/>
    <w:rsid w:val="005569EF"/>
    <w:rsid w:val="00556BDE"/>
    <w:rsid w:val="0056056C"/>
    <w:rsid w:val="00560D57"/>
    <w:rsid w:val="00560F12"/>
    <w:rsid w:val="00562922"/>
    <w:rsid w:val="00562A94"/>
    <w:rsid w:val="00563FAD"/>
    <w:rsid w:val="0056425B"/>
    <w:rsid w:val="00565636"/>
    <w:rsid w:val="005701C1"/>
    <w:rsid w:val="005703BF"/>
    <w:rsid w:val="00570754"/>
    <w:rsid w:val="005709F7"/>
    <w:rsid w:val="00570EAA"/>
    <w:rsid w:val="005710A9"/>
    <w:rsid w:val="005716B0"/>
    <w:rsid w:val="00571B11"/>
    <w:rsid w:val="00571D1B"/>
    <w:rsid w:val="00571DA3"/>
    <w:rsid w:val="00573755"/>
    <w:rsid w:val="005738F5"/>
    <w:rsid w:val="00573D34"/>
    <w:rsid w:val="00574A1B"/>
    <w:rsid w:val="00575632"/>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07F6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1FA"/>
    <w:rsid w:val="00642BD6"/>
    <w:rsid w:val="00643C8F"/>
    <w:rsid w:val="0064447A"/>
    <w:rsid w:val="00645046"/>
    <w:rsid w:val="0064527A"/>
    <w:rsid w:val="006458FD"/>
    <w:rsid w:val="00645DE8"/>
    <w:rsid w:val="00645EA2"/>
    <w:rsid w:val="006504A1"/>
    <w:rsid w:val="00651E6D"/>
    <w:rsid w:val="0065237D"/>
    <w:rsid w:val="00652943"/>
    <w:rsid w:val="00653AB2"/>
    <w:rsid w:val="00653D2D"/>
    <w:rsid w:val="0065435E"/>
    <w:rsid w:val="00654551"/>
    <w:rsid w:val="00654F91"/>
    <w:rsid w:val="006555E7"/>
    <w:rsid w:val="00655CCC"/>
    <w:rsid w:val="0065608B"/>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DD2"/>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6A6"/>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A51"/>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268"/>
    <w:rsid w:val="00794ADE"/>
    <w:rsid w:val="00794F3D"/>
    <w:rsid w:val="00795CE9"/>
    <w:rsid w:val="00796045"/>
    <w:rsid w:val="007968AC"/>
    <w:rsid w:val="007969AB"/>
    <w:rsid w:val="007973D8"/>
    <w:rsid w:val="00797801"/>
    <w:rsid w:val="00797F32"/>
    <w:rsid w:val="007A0861"/>
    <w:rsid w:val="007A0B39"/>
    <w:rsid w:val="007A14A4"/>
    <w:rsid w:val="007A168F"/>
    <w:rsid w:val="007A2346"/>
    <w:rsid w:val="007A28E4"/>
    <w:rsid w:val="007A29DC"/>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0C9"/>
    <w:rsid w:val="007D136C"/>
    <w:rsid w:val="007D1FCE"/>
    <w:rsid w:val="007D21AC"/>
    <w:rsid w:val="007D24B0"/>
    <w:rsid w:val="007D2735"/>
    <w:rsid w:val="007D3882"/>
    <w:rsid w:val="007D39E4"/>
    <w:rsid w:val="007D3FE7"/>
    <w:rsid w:val="007D4CFC"/>
    <w:rsid w:val="007D568A"/>
    <w:rsid w:val="007D574E"/>
    <w:rsid w:val="007D57C0"/>
    <w:rsid w:val="007D67CB"/>
    <w:rsid w:val="007D6BFE"/>
    <w:rsid w:val="007E0CBD"/>
    <w:rsid w:val="007E176C"/>
    <w:rsid w:val="007E2046"/>
    <w:rsid w:val="007E3883"/>
    <w:rsid w:val="007E4876"/>
    <w:rsid w:val="007E48CD"/>
    <w:rsid w:val="007E4ACB"/>
    <w:rsid w:val="007E4FBB"/>
    <w:rsid w:val="007E55BF"/>
    <w:rsid w:val="007E59E3"/>
    <w:rsid w:val="007E5E39"/>
    <w:rsid w:val="007E60D2"/>
    <w:rsid w:val="007E71B1"/>
    <w:rsid w:val="007E7B4E"/>
    <w:rsid w:val="007E7F02"/>
    <w:rsid w:val="007F0292"/>
    <w:rsid w:val="007F0722"/>
    <w:rsid w:val="007F0AB7"/>
    <w:rsid w:val="007F0CE2"/>
    <w:rsid w:val="007F0EFF"/>
    <w:rsid w:val="007F1375"/>
    <w:rsid w:val="007F1AFD"/>
    <w:rsid w:val="007F30E4"/>
    <w:rsid w:val="007F3AEC"/>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5F99"/>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B7C"/>
    <w:rsid w:val="0086429C"/>
    <w:rsid w:val="00865207"/>
    <w:rsid w:val="008656A7"/>
    <w:rsid w:val="00865FA3"/>
    <w:rsid w:val="00866231"/>
    <w:rsid w:val="00871262"/>
    <w:rsid w:val="0087170E"/>
    <w:rsid w:val="00871D4E"/>
    <w:rsid w:val="00871E7B"/>
    <w:rsid w:val="008721BB"/>
    <w:rsid w:val="008734E7"/>
    <w:rsid w:val="00874696"/>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24E"/>
    <w:rsid w:val="0096168C"/>
    <w:rsid w:val="00961840"/>
    <w:rsid w:val="009625E3"/>
    <w:rsid w:val="00962F2D"/>
    <w:rsid w:val="00963A7A"/>
    <w:rsid w:val="009672CD"/>
    <w:rsid w:val="009703EC"/>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66A"/>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610"/>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1A30"/>
    <w:rsid w:val="009C22C8"/>
    <w:rsid w:val="009C3F82"/>
    <w:rsid w:val="009C582A"/>
    <w:rsid w:val="009C5C56"/>
    <w:rsid w:val="009C72DD"/>
    <w:rsid w:val="009C78FD"/>
    <w:rsid w:val="009C7DF5"/>
    <w:rsid w:val="009D056C"/>
    <w:rsid w:val="009D060F"/>
    <w:rsid w:val="009D0A91"/>
    <w:rsid w:val="009D1046"/>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84E"/>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713"/>
    <w:rsid w:val="00A36CD4"/>
    <w:rsid w:val="00A40356"/>
    <w:rsid w:val="00A40FFB"/>
    <w:rsid w:val="00A41468"/>
    <w:rsid w:val="00A414A9"/>
    <w:rsid w:val="00A41669"/>
    <w:rsid w:val="00A42E91"/>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80"/>
    <w:rsid w:val="00A608FB"/>
    <w:rsid w:val="00A60D83"/>
    <w:rsid w:val="00A60F68"/>
    <w:rsid w:val="00A61974"/>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61A8"/>
    <w:rsid w:val="00AA73AF"/>
    <w:rsid w:val="00AB062D"/>
    <w:rsid w:val="00AB08F5"/>
    <w:rsid w:val="00AB0A8A"/>
    <w:rsid w:val="00AB1246"/>
    <w:rsid w:val="00AB1754"/>
    <w:rsid w:val="00AB1F8D"/>
    <w:rsid w:val="00AB27DD"/>
    <w:rsid w:val="00AB3383"/>
    <w:rsid w:val="00AB396D"/>
    <w:rsid w:val="00AB4B04"/>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09AF"/>
    <w:rsid w:val="00AD168B"/>
    <w:rsid w:val="00AD1B4E"/>
    <w:rsid w:val="00AD2379"/>
    <w:rsid w:val="00AD2801"/>
    <w:rsid w:val="00AD3496"/>
    <w:rsid w:val="00AD426A"/>
    <w:rsid w:val="00AD49A1"/>
    <w:rsid w:val="00AD5771"/>
    <w:rsid w:val="00AD6870"/>
    <w:rsid w:val="00AD68C5"/>
    <w:rsid w:val="00AD7079"/>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1038"/>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1FBD"/>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756"/>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427"/>
    <w:rsid w:val="00B91676"/>
    <w:rsid w:val="00B9322B"/>
    <w:rsid w:val="00B93640"/>
    <w:rsid w:val="00B94023"/>
    <w:rsid w:val="00B955D5"/>
    <w:rsid w:val="00B95833"/>
    <w:rsid w:val="00BA1326"/>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453A"/>
    <w:rsid w:val="00BC5860"/>
    <w:rsid w:val="00BC60A5"/>
    <w:rsid w:val="00BC6F5A"/>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D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3DD"/>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758"/>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2026"/>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022"/>
    <w:rsid w:val="00CE02E8"/>
    <w:rsid w:val="00CE069E"/>
    <w:rsid w:val="00CE0DE0"/>
    <w:rsid w:val="00CE214F"/>
    <w:rsid w:val="00CE2B1F"/>
    <w:rsid w:val="00CE2CC2"/>
    <w:rsid w:val="00CE3722"/>
    <w:rsid w:val="00CE449C"/>
    <w:rsid w:val="00CF0280"/>
    <w:rsid w:val="00CF095C"/>
    <w:rsid w:val="00CF158D"/>
    <w:rsid w:val="00CF2166"/>
    <w:rsid w:val="00CF3E43"/>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27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5538"/>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252"/>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5AAB"/>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46D"/>
    <w:rsid w:val="00DC1607"/>
    <w:rsid w:val="00DC17F2"/>
    <w:rsid w:val="00DC3E03"/>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B9F"/>
    <w:rsid w:val="00E2421B"/>
    <w:rsid w:val="00E242AF"/>
    <w:rsid w:val="00E24849"/>
    <w:rsid w:val="00E2536E"/>
    <w:rsid w:val="00E25A99"/>
    <w:rsid w:val="00E25B8A"/>
    <w:rsid w:val="00E25EF8"/>
    <w:rsid w:val="00E2632B"/>
    <w:rsid w:val="00E26F75"/>
    <w:rsid w:val="00E27423"/>
    <w:rsid w:val="00E3077F"/>
    <w:rsid w:val="00E322F7"/>
    <w:rsid w:val="00E3369B"/>
    <w:rsid w:val="00E3370C"/>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512"/>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228"/>
    <w:rsid w:val="00EE23DE"/>
    <w:rsid w:val="00EE48BB"/>
    <w:rsid w:val="00EE6FE0"/>
    <w:rsid w:val="00EE704A"/>
    <w:rsid w:val="00EE7840"/>
    <w:rsid w:val="00EF2346"/>
    <w:rsid w:val="00EF2E75"/>
    <w:rsid w:val="00EF4C74"/>
    <w:rsid w:val="00EF5268"/>
    <w:rsid w:val="00EF608E"/>
    <w:rsid w:val="00EF6C4A"/>
    <w:rsid w:val="00EF75D6"/>
    <w:rsid w:val="00F0044B"/>
    <w:rsid w:val="00F00E60"/>
    <w:rsid w:val="00F01BD2"/>
    <w:rsid w:val="00F020E5"/>
    <w:rsid w:val="00F02F9F"/>
    <w:rsid w:val="00F03525"/>
    <w:rsid w:val="00F039A8"/>
    <w:rsid w:val="00F0424D"/>
    <w:rsid w:val="00F04957"/>
    <w:rsid w:val="00F053F0"/>
    <w:rsid w:val="00F05807"/>
    <w:rsid w:val="00F05BD3"/>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380"/>
    <w:rsid w:val="00F26432"/>
    <w:rsid w:val="00F302A3"/>
    <w:rsid w:val="00F3197A"/>
    <w:rsid w:val="00F32139"/>
    <w:rsid w:val="00F33CF0"/>
    <w:rsid w:val="00F33D56"/>
    <w:rsid w:val="00F34E08"/>
    <w:rsid w:val="00F41D6D"/>
    <w:rsid w:val="00F41D91"/>
    <w:rsid w:val="00F41F52"/>
    <w:rsid w:val="00F41FA1"/>
    <w:rsid w:val="00F42363"/>
    <w:rsid w:val="00F427C4"/>
    <w:rsid w:val="00F43AD6"/>
    <w:rsid w:val="00F43D6C"/>
    <w:rsid w:val="00F44887"/>
    <w:rsid w:val="00F46964"/>
    <w:rsid w:val="00F46F9A"/>
    <w:rsid w:val="00F470FD"/>
    <w:rsid w:val="00F50F30"/>
    <w:rsid w:val="00F5126A"/>
    <w:rsid w:val="00F5126E"/>
    <w:rsid w:val="00F516EF"/>
    <w:rsid w:val="00F51755"/>
    <w:rsid w:val="00F531D9"/>
    <w:rsid w:val="00F54D8E"/>
    <w:rsid w:val="00F55155"/>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6DD7"/>
    <w:rsid w:val="00FC78FB"/>
    <w:rsid w:val="00FC7DBC"/>
    <w:rsid w:val="00FD076A"/>
    <w:rsid w:val="00FD0AA0"/>
    <w:rsid w:val="00FD171F"/>
    <w:rsid w:val="00FD1D5A"/>
    <w:rsid w:val="00FD4A45"/>
    <w:rsid w:val="00FD4B85"/>
    <w:rsid w:val="00FD5059"/>
    <w:rsid w:val="00FD554D"/>
    <w:rsid w:val="00FD5BCC"/>
    <w:rsid w:val="00FD5EB4"/>
    <w:rsid w:val="00FD5EB8"/>
    <w:rsid w:val="00FD6C2D"/>
    <w:rsid w:val="00FD7B23"/>
    <w:rsid w:val="00FE2A48"/>
    <w:rsid w:val="00FE2DEF"/>
    <w:rsid w:val="00FE323C"/>
    <w:rsid w:val="00FE3A27"/>
    <w:rsid w:val="00FE48A6"/>
    <w:rsid w:val="00FE5004"/>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7F2"/>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91571">
      <w:bodyDiv w:val="1"/>
      <w:marLeft w:val="0"/>
      <w:marRight w:val="0"/>
      <w:marTop w:val="0"/>
      <w:marBottom w:val="0"/>
      <w:divBdr>
        <w:top w:val="none" w:sz="0" w:space="0" w:color="auto"/>
        <w:left w:val="none" w:sz="0" w:space="0" w:color="auto"/>
        <w:bottom w:val="none" w:sz="0" w:space="0" w:color="auto"/>
        <w:right w:val="none" w:sz="0" w:space="0" w:color="auto"/>
      </w:divBdr>
    </w:div>
    <w:div w:id="307173767">
      <w:bodyDiv w:val="1"/>
      <w:marLeft w:val="0"/>
      <w:marRight w:val="0"/>
      <w:marTop w:val="0"/>
      <w:marBottom w:val="0"/>
      <w:divBdr>
        <w:top w:val="none" w:sz="0" w:space="0" w:color="auto"/>
        <w:left w:val="none" w:sz="0" w:space="0" w:color="auto"/>
        <w:bottom w:val="none" w:sz="0" w:space="0" w:color="auto"/>
        <w:right w:val="none" w:sz="0" w:space="0" w:color="auto"/>
      </w:divBdr>
    </w:div>
    <w:div w:id="586967114">
      <w:bodyDiv w:val="1"/>
      <w:marLeft w:val="0"/>
      <w:marRight w:val="0"/>
      <w:marTop w:val="0"/>
      <w:marBottom w:val="0"/>
      <w:divBdr>
        <w:top w:val="none" w:sz="0" w:space="0" w:color="auto"/>
        <w:left w:val="none" w:sz="0" w:space="0" w:color="auto"/>
        <w:bottom w:val="none" w:sz="0" w:space="0" w:color="auto"/>
        <w:right w:val="none" w:sz="0" w:space="0" w:color="auto"/>
      </w:divBdr>
    </w:div>
    <w:div w:id="746420476">
      <w:bodyDiv w:val="1"/>
      <w:marLeft w:val="0"/>
      <w:marRight w:val="0"/>
      <w:marTop w:val="0"/>
      <w:marBottom w:val="0"/>
      <w:divBdr>
        <w:top w:val="none" w:sz="0" w:space="0" w:color="auto"/>
        <w:left w:val="none" w:sz="0" w:space="0" w:color="auto"/>
        <w:bottom w:val="none" w:sz="0" w:space="0" w:color="auto"/>
        <w:right w:val="none" w:sz="0" w:space="0" w:color="auto"/>
      </w:divBdr>
    </w:div>
    <w:div w:id="1342199304">
      <w:bodyDiv w:val="1"/>
      <w:marLeft w:val="0"/>
      <w:marRight w:val="0"/>
      <w:marTop w:val="0"/>
      <w:marBottom w:val="0"/>
      <w:divBdr>
        <w:top w:val="none" w:sz="0" w:space="0" w:color="auto"/>
        <w:left w:val="none" w:sz="0" w:space="0" w:color="auto"/>
        <w:bottom w:val="none" w:sz="0" w:space="0" w:color="auto"/>
        <w:right w:val="none" w:sz="0" w:space="0" w:color="auto"/>
      </w:divBdr>
    </w:div>
    <w:div w:id="1401905635">
      <w:bodyDiv w:val="1"/>
      <w:marLeft w:val="0"/>
      <w:marRight w:val="0"/>
      <w:marTop w:val="0"/>
      <w:marBottom w:val="0"/>
      <w:divBdr>
        <w:top w:val="none" w:sz="0" w:space="0" w:color="auto"/>
        <w:left w:val="none" w:sz="0" w:space="0" w:color="auto"/>
        <w:bottom w:val="none" w:sz="0" w:space="0" w:color="auto"/>
        <w:right w:val="none" w:sz="0" w:space="0" w:color="auto"/>
      </w:divBdr>
      <w:divsChild>
        <w:div w:id="1414351766">
          <w:marLeft w:val="0"/>
          <w:marRight w:val="0"/>
          <w:marTop w:val="0"/>
          <w:marBottom w:val="0"/>
          <w:divBdr>
            <w:top w:val="none" w:sz="0" w:space="0" w:color="auto"/>
            <w:left w:val="none" w:sz="0" w:space="0" w:color="auto"/>
            <w:bottom w:val="none" w:sz="0" w:space="0" w:color="auto"/>
            <w:right w:val="none" w:sz="0" w:space="0" w:color="auto"/>
          </w:divBdr>
          <w:divsChild>
            <w:div w:id="1781338389">
              <w:marLeft w:val="0"/>
              <w:marRight w:val="0"/>
              <w:marTop w:val="0"/>
              <w:marBottom w:val="0"/>
              <w:divBdr>
                <w:top w:val="none" w:sz="0" w:space="0" w:color="auto"/>
                <w:left w:val="none" w:sz="0" w:space="0" w:color="auto"/>
                <w:bottom w:val="none" w:sz="0" w:space="0" w:color="auto"/>
                <w:right w:val="none" w:sz="0" w:space="0" w:color="auto"/>
              </w:divBdr>
              <w:divsChild>
                <w:div w:id="142358871">
                  <w:marLeft w:val="0"/>
                  <w:marRight w:val="0"/>
                  <w:marTop w:val="0"/>
                  <w:marBottom w:val="0"/>
                  <w:divBdr>
                    <w:top w:val="none" w:sz="0" w:space="0" w:color="auto"/>
                    <w:left w:val="none" w:sz="0" w:space="0" w:color="auto"/>
                    <w:bottom w:val="none" w:sz="0" w:space="0" w:color="auto"/>
                    <w:right w:val="none" w:sz="0" w:space="0" w:color="auto"/>
                  </w:divBdr>
                  <w:divsChild>
                    <w:div w:id="786586824">
                      <w:marLeft w:val="0"/>
                      <w:marRight w:val="0"/>
                      <w:marTop w:val="0"/>
                      <w:marBottom w:val="0"/>
                      <w:divBdr>
                        <w:top w:val="none" w:sz="0" w:space="0" w:color="auto"/>
                        <w:left w:val="none" w:sz="0" w:space="0" w:color="auto"/>
                        <w:bottom w:val="none" w:sz="0" w:space="0" w:color="auto"/>
                        <w:right w:val="none" w:sz="0" w:space="0" w:color="auto"/>
                      </w:divBdr>
                      <w:divsChild>
                        <w:div w:id="1490633814">
                          <w:marLeft w:val="0"/>
                          <w:marRight w:val="0"/>
                          <w:marTop w:val="0"/>
                          <w:marBottom w:val="0"/>
                          <w:divBdr>
                            <w:top w:val="none" w:sz="0" w:space="0" w:color="auto"/>
                            <w:left w:val="none" w:sz="0" w:space="0" w:color="auto"/>
                            <w:bottom w:val="none" w:sz="0" w:space="0" w:color="auto"/>
                            <w:right w:val="none" w:sz="0" w:space="0" w:color="auto"/>
                          </w:divBdr>
                          <w:divsChild>
                            <w:div w:id="476992513">
                              <w:marLeft w:val="-150"/>
                              <w:marRight w:val="0"/>
                              <w:marTop w:val="0"/>
                              <w:marBottom w:val="0"/>
                              <w:divBdr>
                                <w:top w:val="none" w:sz="0" w:space="0" w:color="auto"/>
                                <w:left w:val="none" w:sz="0" w:space="0" w:color="auto"/>
                                <w:bottom w:val="none" w:sz="0" w:space="0" w:color="auto"/>
                                <w:right w:val="none" w:sz="0" w:space="0" w:color="auto"/>
                              </w:divBdr>
                              <w:divsChild>
                                <w:div w:id="1777408943">
                                  <w:marLeft w:val="0"/>
                                  <w:marRight w:val="0"/>
                                  <w:marTop w:val="0"/>
                                  <w:marBottom w:val="0"/>
                                  <w:divBdr>
                                    <w:top w:val="none" w:sz="0" w:space="0" w:color="auto"/>
                                    <w:left w:val="none" w:sz="0" w:space="0" w:color="auto"/>
                                    <w:bottom w:val="none" w:sz="0" w:space="0" w:color="auto"/>
                                    <w:right w:val="none" w:sz="0" w:space="0" w:color="auto"/>
                                  </w:divBdr>
                                  <w:divsChild>
                                    <w:div w:id="1578782425">
                                      <w:marLeft w:val="0"/>
                                      <w:marRight w:val="0"/>
                                      <w:marTop w:val="0"/>
                                      <w:marBottom w:val="0"/>
                                      <w:divBdr>
                                        <w:top w:val="none" w:sz="0" w:space="0" w:color="auto"/>
                                        <w:left w:val="none" w:sz="0" w:space="0" w:color="auto"/>
                                        <w:bottom w:val="none" w:sz="0" w:space="0" w:color="auto"/>
                                        <w:right w:val="none" w:sz="0" w:space="0" w:color="auto"/>
                                      </w:divBdr>
                                      <w:divsChild>
                                        <w:div w:id="244271028">
                                          <w:marLeft w:val="0"/>
                                          <w:marRight w:val="0"/>
                                          <w:marTop w:val="0"/>
                                          <w:marBottom w:val="0"/>
                                          <w:divBdr>
                                            <w:top w:val="none" w:sz="0" w:space="0" w:color="auto"/>
                                            <w:left w:val="none" w:sz="0" w:space="0" w:color="auto"/>
                                            <w:bottom w:val="none" w:sz="0" w:space="0" w:color="auto"/>
                                            <w:right w:val="none" w:sz="0" w:space="0" w:color="auto"/>
                                          </w:divBdr>
                                          <w:divsChild>
                                            <w:div w:id="1784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598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C6D0-062C-4D2F-BFB7-D346D8D2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2012-06-27T15:58:00Z</cp:lastPrinted>
  <dcterms:created xsi:type="dcterms:W3CDTF">2012-07-16T20:17:00Z</dcterms:created>
  <dcterms:modified xsi:type="dcterms:W3CDTF">2012-07-16T20:17:00Z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