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2D3B11">
        <w:rPr>
          <w:caps/>
          <w:color w:val="000000" w:themeColor="text1"/>
        </w:rPr>
        <w:t xml:space="preserve">XXXXXXXXXXXXX             </w:t>
      </w:r>
      <w:r w:rsidRPr="001F29F9">
        <w:rPr>
          <w:caps/>
          <w:color w:val="000000" w:themeColor="text1"/>
        </w:rPr>
        <w:t xml:space="preserve">                </w:t>
      </w:r>
      <w:r w:rsidR="00984AEA">
        <w:rPr>
          <w:caps/>
          <w:color w:val="000000" w:themeColor="text1"/>
        </w:rPr>
        <w:t xml:space="preserve">                 </w:t>
      </w:r>
      <w:r w:rsidR="0065268E">
        <w:rPr>
          <w:caps/>
          <w:color w:val="000000" w:themeColor="text1"/>
        </w:rPr>
        <w:t xml:space="preserve">        </w:t>
      </w:r>
      <w:r w:rsidR="00984AEA">
        <w:rPr>
          <w:caps/>
          <w:color w:val="000000" w:themeColor="text1"/>
        </w:rPr>
        <w:t xml:space="preserve"> </w:t>
      </w:r>
      <w:r w:rsidR="00E75ECD">
        <w:rPr>
          <w:caps/>
          <w:color w:val="000000" w:themeColor="text1"/>
        </w:rPr>
        <w:t xml:space="preserve">          </w:t>
      </w:r>
      <w:r w:rsidR="00984AEA">
        <w:rPr>
          <w:caps/>
          <w:color w:val="000000" w:themeColor="text1"/>
        </w:rPr>
        <w:t xml:space="preserve"> </w:t>
      </w:r>
      <w:r w:rsidRPr="001F29F9">
        <w:rPr>
          <w:caps/>
          <w:color w:val="000000" w:themeColor="text1"/>
        </w:rPr>
        <w:t xml:space="preserve">BRANCH OF </w:t>
      </w:r>
      <w:r w:rsidRPr="00984AEA">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565636">
        <w:rPr>
          <w:caps/>
          <w:color w:val="000000" w:themeColor="text1"/>
        </w:rPr>
        <w:t>9</w:t>
      </w:r>
      <w:r w:rsidR="00984AEA">
        <w:rPr>
          <w:caps/>
          <w:color w:val="000000" w:themeColor="text1"/>
        </w:rPr>
        <w:t>37</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SEPARATION DATE:  </w:t>
      </w:r>
      <w:r w:rsidR="00373714" w:rsidRPr="001F29F9">
        <w:rPr>
          <w:color w:val="000000" w:themeColor="text1"/>
        </w:rPr>
        <w:t>200</w:t>
      </w:r>
      <w:r w:rsidR="00373714">
        <w:rPr>
          <w:color w:val="000000" w:themeColor="text1"/>
        </w:rPr>
        <w:t>40907</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C51443">
        <w:rPr>
          <w:caps/>
          <w:color w:val="000000"/>
        </w:rPr>
        <w:t>0823</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94F76" w:rsidRPr="00BD7191" w:rsidRDefault="00AD2379" w:rsidP="00BD7191">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an active duty SGT/E-5</w:t>
      </w:r>
      <w:r w:rsidR="00984AEA">
        <w:rPr>
          <w:color w:val="000000"/>
        </w:rPr>
        <w:t xml:space="preserve"> (91W</w:t>
      </w:r>
      <w:r w:rsidRPr="001F29F9">
        <w:rPr>
          <w:color w:val="000000"/>
        </w:rPr>
        <w:t xml:space="preserve">, </w:t>
      </w:r>
      <w:r w:rsidR="00984AEA" w:rsidRPr="003F59FE">
        <w:rPr>
          <w:color w:val="000000" w:themeColor="text1"/>
          <w:szCs w:val="24"/>
        </w:rPr>
        <w:t>Nuclear Med</w:t>
      </w:r>
      <w:r w:rsidR="00984AEA">
        <w:rPr>
          <w:color w:val="000000" w:themeColor="text1"/>
          <w:szCs w:val="24"/>
        </w:rPr>
        <w:t>icine</w:t>
      </w:r>
      <w:r w:rsidR="00105A49">
        <w:rPr>
          <w:color w:val="000000" w:themeColor="text1"/>
          <w:szCs w:val="24"/>
        </w:rPr>
        <w:t xml:space="preserve"> </w:t>
      </w:r>
      <w:r w:rsidR="00105A49" w:rsidRPr="003F59FE">
        <w:rPr>
          <w:color w:val="000000" w:themeColor="text1"/>
          <w:szCs w:val="24"/>
        </w:rPr>
        <w:t>Sp</w:t>
      </w:r>
      <w:r w:rsidR="00105A49">
        <w:rPr>
          <w:color w:val="000000" w:themeColor="text1"/>
          <w:szCs w:val="24"/>
        </w:rPr>
        <w:t>ecialist</w:t>
      </w:r>
      <w:r w:rsidR="00A70270">
        <w:rPr>
          <w:color w:val="000000"/>
        </w:rPr>
        <w:t xml:space="preserve">) </w:t>
      </w:r>
      <w:r w:rsidRPr="001F29F9">
        <w:rPr>
          <w:color w:val="000000"/>
        </w:rPr>
        <w:t xml:space="preserve">medically separated for </w:t>
      </w:r>
      <w:r w:rsidR="00984AEA">
        <w:rPr>
          <w:color w:val="000000" w:themeColor="text1"/>
          <w:szCs w:val="24"/>
        </w:rPr>
        <w:t>left sacroiliac and bilateral knee</w:t>
      </w:r>
      <w:r w:rsidRPr="001F29F9">
        <w:rPr>
          <w:color w:val="000000"/>
        </w:rPr>
        <w:t xml:space="preserve"> </w:t>
      </w:r>
      <w:r w:rsidR="00261B7E">
        <w:rPr>
          <w:color w:val="000000"/>
        </w:rPr>
        <w:t>condition</w:t>
      </w:r>
      <w:r w:rsidR="00984AEA">
        <w:rPr>
          <w:color w:val="000000"/>
        </w:rPr>
        <w:t>s</w:t>
      </w:r>
      <w:r w:rsidRPr="001F29F9">
        <w:rPr>
          <w:color w:val="000000"/>
        </w:rPr>
        <w:t xml:space="preserve">. </w:t>
      </w:r>
      <w:r w:rsidR="00261B7E">
        <w:rPr>
          <w:color w:val="000000"/>
        </w:rPr>
        <w:t xml:space="preserve"> </w:t>
      </w:r>
      <w:r w:rsidR="009B727F">
        <w:rPr>
          <w:color w:val="000000"/>
        </w:rPr>
        <w:t xml:space="preserve"> The CI had a long standing history of pain related to these conditions, and symptoms worsened after a 2003 deployment to Iraq.   The diagnoses were left sacroiliac dysfunction and bilateral patellofemoral pain syndrome.  Neither condition </w:t>
      </w:r>
      <w:r w:rsidR="00984AEA" w:rsidRPr="00D82803">
        <w:rPr>
          <w:color w:val="000000"/>
          <w:szCs w:val="24"/>
        </w:rPr>
        <w:t>could be adequately rehabilitated to meet the physical requi</w:t>
      </w:r>
      <w:r w:rsidR="00BD7191">
        <w:rPr>
          <w:color w:val="000000"/>
          <w:szCs w:val="24"/>
        </w:rPr>
        <w:t>rements of her</w:t>
      </w:r>
      <w:r w:rsidR="00984AEA" w:rsidRPr="00D82803">
        <w:rPr>
          <w:color w:val="000000"/>
          <w:szCs w:val="24"/>
        </w:rPr>
        <w:t xml:space="preserve"> Military Occupational Specialty (MOS) or satisf</w:t>
      </w:r>
      <w:r w:rsidR="00984AEA">
        <w:rPr>
          <w:color w:val="000000"/>
          <w:szCs w:val="24"/>
        </w:rPr>
        <w:t>y physical fitness standards.  Sh</w:t>
      </w:r>
      <w:r w:rsidR="00984AEA" w:rsidRPr="00D82803">
        <w:rPr>
          <w:color w:val="000000"/>
          <w:szCs w:val="24"/>
        </w:rPr>
        <w:t xml:space="preserve">e was consequently issued a permanent L3 profile and referred for a Medical Evaluation Board (MEB).  The </w:t>
      </w:r>
      <w:r w:rsidR="00BD7191">
        <w:rPr>
          <w:color w:val="000000" w:themeColor="text1"/>
          <w:szCs w:val="24"/>
        </w:rPr>
        <w:t>left sacroiliac and bilateral knee</w:t>
      </w:r>
      <w:r w:rsidR="00BD7191" w:rsidRPr="001F29F9">
        <w:rPr>
          <w:color w:val="000000"/>
        </w:rPr>
        <w:t xml:space="preserve"> </w:t>
      </w:r>
      <w:r w:rsidR="00BD7191">
        <w:rPr>
          <w:color w:val="000000"/>
          <w:szCs w:val="24"/>
        </w:rPr>
        <w:t>diagnoses</w:t>
      </w:r>
      <w:r w:rsidR="00984AEA" w:rsidRPr="00D82803">
        <w:rPr>
          <w:color w:val="000000"/>
          <w:szCs w:val="24"/>
        </w:rPr>
        <w:t xml:space="preserve"> were forwarded to the Physical Evaluation Board (PEB) as </w:t>
      </w:r>
      <w:r w:rsidR="00BD7191">
        <w:rPr>
          <w:color w:val="000000"/>
          <w:szCs w:val="24"/>
        </w:rPr>
        <w:t xml:space="preserve">separate </w:t>
      </w:r>
      <w:r w:rsidR="00984AEA" w:rsidRPr="00D82803">
        <w:rPr>
          <w:color w:val="000000"/>
          <w:szCs w:val="24"/>
        </w:rPr>
        <w:t xml:space="preserve">medically unacceptable </w:t>
      </w:r>
      <w:r w:rsidR="00BD7191">
        <w:rPr>
          <w:color w:val="000000"/>
          <w:szCs w:val="24"/>
        </w:rPr>
        <w:t xml:space="preserve">conditions </w:t>
      </w:r>
      <w:r w:rsidR="00984AEA" w:rsidRPr="00D82803">
        <w:rPr>
          <w:color w:val="000000"/>
          <w:szCs w:val="24"/>
        </w:rPr>
        <w:t>IAW AR 40-501.  Also addressed by the MEB and forwarded on the DA Form 3947 was “</w:t>
      </w:r>
      <w:r w:rsidR="00BD7191">
        <w:rPr>
          <w:color w:val="000000"/>
          <w:szCs w:val="24"/>
        </w:rPr>
        <w:t>abnormal uterine bleeding</w:t>
      </w:r>
      <w:r w:rsidR="00E75ECD">
        <w:rPr>
          <w:color w:val="000000"/>
          <w:szCs w:val="24"/>
        </w:rPr>
        <w:t>,</w:t>
      </w:r>
      <w:r w:rsidR="00984AEA" w:rsidRPr="00D82803">
        <w:rPr>
          <w:color w:val="000000"/>
          <w:szCs w:val="24"/>
        </w:rPr>
        <w:t>” jud</w:t>
      </w:r>
      <w:r w:rsidR="00BD7191">
        <w:rPr>
          <w:color w:val="000000"/>
          <w:szCs w:val="24"/>
        </w:rPr>
        <w:t>ged to meet retention standards</w:t>
      </w:r>
      <w:r w:rsidR="00984AEA" w:rsidRPr="00D82803">
        <w:rPr>
          <w:color w:val="000000"/>
          <w:szCs w:val="24"/>
        </w:rPr>
        <w:t xml:space="preserve">.  The PEB adjudicated the </w:t>
      </w:r>
      <w:r w:rsidR="00BD7191">
        <w:rPr>
          <w:color w:val="000000" w:themeColor="text1"/>
          <w:szCs w:val="24"/>
        </w:rPr>
        <w:t>left sacroiliac and bilateral knee</w:t>
      </w:r>
      <w:r w:rsidR="00BD7191" w:rsidRPr="001F29F9">
        <w:rPr>
          <w:color w:val="000000"/>
        </w:rPr>
        <w:t xml:space="preserve"> </w:t>
      </w:r>
      <w:r w:rsidR="00BD7191">
        <w:rPr>
          <w:color w:val="000000"/>
        </w:rPr>
        <w:t xml:space="preserve">diagnoses as a single </w:t>
      </w:r>
      <w:r w:rsidR="00984AEA" w:rsidRPr="00D82803">
        <w:rPr>
          <w:color w:val="000000"/>
          <w:szCs w:val="24"/>
        </w:rPr>
        <w:t>unfitting</w:t>
      </w:r>
      <w:r w:rsidR="00BD7191">
        <w:rPr>
          <w:color w:val="000000"/>
          <w:szCs w:val="24"/>
        </w:rPr>
        <w:t xml:space="preserve"> condition</w:t>
      </w:r>
      <w:r w:rsidR="00984AEA" w:rsidRPr="00D82803">
        <w:rPr>
          <w:color w:val="000000"/>
          <w:szCs w:val="24"/>
        </w:rPr>
        <w:t>, rated 10%</w:t>
      </w:r>
      <w:r w:rsidR="00BD7191">
        <w:rPr>
          <w:color w:val="000000"/>
          <w:szCs w:val="24"/>
        </w:rPr>
        <w:t>, referencing</w:t>
      </w:r>
      <w:r w:rsidR="00984AEA" w:rsidRPr="00D82803">
        <w:rPr>
          <w:color w:val="000000"/>
          <w:szCs w:val="24"/>
        </w:rPr>
        <w:t xml:space="preserve"> the </w:t>
      </w:r>
      <w:r w:rsidR="00984AEA" w:rsidRPr="00D82803">
        <w:rPr>
          <w:color w:val="000000" w:themeColor="text1"/>
          <w:szCs w:val="24"/>
        </w:rPr>
        <w:t>US Army Physical Disability Agency (USAPDA) pain policy.</w:t>
      </w:r>
      <w:r w:rsidR="00984AEA" w:rsidRPr="00D82803">
        <w:rPr>
          <w:color w:val="000000"/>
          <w:szCs w:val="24"/>
        </w:rPr>
        <w:t xml:space="preserve">  The </w:t>
      </w:r>
      <w:r w:rsidR="00BD7191">
        <w:rPr>
          <w:color w:val="000000"/>
          <w:szCs w:val="24"/>
        </w:rPr>
        <w:t>uterine bleeding</w:t>
      </w:r>
      <w:r w:rsidR="00984AEA" w:rsidRPr="00D82803">
        <w:rPr>
          <w:color w:val="000000"/>
          <w:szCs w:val="24"/>
        </w:rPr>
        <w:t xml:space="preserve"> condition was </w:t>
      </w:r>
      <w:r w:rsidR="00BD7191">
        <w:rPr>
          <w:color w:val="000000"/>
          <w:szCs w:val="24"/>
        </w:rPr>
        <w:t>determined to be not unfitting</w:t>
      </w:r>
      <w:r w:rsidR="00984AEA" w:rsidRPr="00D82803">
        <w:rPr>
          <w:color w:val="000000"/>
          <w:szCs w:val="24"/>
        </w:rPr>
        <w:t>.  The CI made no appeals, and was medically separated with a 10% disability rating.</w:t>
      </w:r>
      <w:r w:rsidR="00D94F76" w:rsidRPr="00D94F76">
        <w:rPr>
          <w:color w:val="auto"/>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DC1C04">
        <w:rPr>
          <w:color w:val="000000"/>
        </w:rPr>
        <w:t xml:space="preserve">The application states </w:t>
      </w:r>
      <w:r w:rsidR="00773C45">
        <w:rPr>
          <w:color w:val="000000"/>
        </w:rPr>
        <w:t>“</w:t>
      </w:r>
      <w:r w:rsidR="00DC1C04" w:rsidRPr="003F59FE">
        <w:rPr>
          <w:color w:val="000000" w:themeColor="text1"/>
        </w:rPr>
        <w:t>The applicant's contention that she should have been assigned a higher percentage of disability because the medical diagnosis was not included in</w:t>
      </w:r>
      <w:r w:rsidR="00DC1C04">
        <w:rPr>
          <w:color w:val="000000" w:themeColor="text1"/>
        </w:rPr>
        <w:t xml:space="preserve"> </w:t>
      </w:r>
      <w:r w:rsidR="00DC1C04" w:rsidRPr="003F59FE">
        <w:rPr>
          <w:color w:val="000000" w:themeColor="text1"/>
        </w:rPr>
        <w:t>her rating nor were requests made to clarify different diagnosis.</w:t>
      </w:r>
      <w:r w:rsidR="00DC1C04">
        <w:rPr>
          <w:color w:val="000000" w:themeColor="text1"/>
        </w:rPr>
        <w:t xml:space="preserve"> …</w:t>
      </w:r>
      <w:r w:rsidR="00773C45">
        <w:rPr>
          <w:color w:val="000000"/>
        </w:rPr>
        <w:t>”</w:t>
      </w:r>
      <w:r w:rsidR="004A2728">
        <w:rPr>
          <w:color w:val="000000"/>
        </w:rPr>
        <w:t xml:space="preserve"> </w:t>
      </w:r>
      <w:r w:rsidR="00373714">
        <w:rPr>
          <w:color w:val="000000"/>
        </w:rPr>
        <w:t xml:space="preserve">There is a lengthy explanation of facts and rationales in </w:t>
      </w:r>
      <w:r w:rsidR="00373714" w:rsidRPr="00373714">
        <w:rPr>
          <w:color w:val="000000"/>
        </w:rPr>
        <w:t xml:space="preserve">support of a requested rating for post-traumatic stress disorder (PTSD).  There is no mention of the PEB adjudicated conditions or request </w:t>
      </w:r>
      <w:r w:rsidR="00373714" w:rsidRPr="00373714">
        <w:rPr>
          <w:rFonts w:eastAsiaTheme="minorHAnsi"/>
          <w:color w:val="000000" w:themeColor="text1"/>
          <w:szCs w:val="24"/>
        </w:rPr>
        <w:t xml:space="preserve">for Board consideration of any additional conditions.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Pr="00C566C9">
        <w:rPr>
          <w:color w:val="auto"/>
        </w:rPr>
        <w:t>is limited to those conditions which were determined by the PEB to be specifically unfitting for continued military service; or, when requested by the CI, those conditions “identified but not determined to be unfitting by the PEB</w:t>
      </w:r>
      <w:r w:rsidR="00E75ECD">
        <w:rPr>
          <w:color w:val="auto"/>
        </w:rPr>
        <w:t>.</w:t>
      </w:r>
      <w:r w:rsidRPr="00C566C9">
        <w:rPr>
          <w:color w:val="auto"/>
        </w:rPr>
        <w:t>”</w:t>
      </w:r>
      <w:r>
        <w:rPr>
          <w:color w:val="auto"/>
        </w:rPr>
        <w:t xml:space="preserve">  </w:t>
      </w:r>
      <w:r w:rsidRPr="009239C0">
        <w:rPr>
          <w:color w:val="auto"/>
        </w:rPr>
        <w:t xml:space="preserve">The ratings for unfitting conditions </w:t>
      </w:r>
      <w:r w:rsidR="00AC25DD">
        <w:rPr>
          <w:color w:val="auto"/>
        </w:rPr>
        <w:t>are</w:t>
      </w:r>
      <w:r w:rsidRPr="009239C0">
        <w:rPr>
          <w:color w:val="auto"/>
        </w:rPr>
        <w:t xml:space="preserve"> reviewed in all cases</w:t>
      </w:r>
      <w:r w:rsidR="00AC25DD">
        <w:rPr>
          <w:color w:val="auto"/>
        </w:rPr>
        <w:t>, and are addressed below</w:t>
      </w:r>
      <w:r w:rsidRPr="009239C0">
        <w:rPr>
          <w:color w:val="auto"/>
        </w:rPr>
        <w:t xml:space="preserve">.  </w:t>
      </w:r>
      <w:r w:rsidR="00373714">
        <w:rPr>
          <w:color w:val="auto"/>
        </w:rPr>
        <w:t xml:space="preserve">The requested consideration for disability rating of </w:t>
      </w:r>
      <w:r w:rsidR="00E75ECD">
        <w:rPr>
          <w:color w:val="auto"/>
        </w:rPr>
        <w:t>posttraumatic stress disorder (</w:t>
      </w:r>
      <w:r w:rsidR="00373714">
        <w:rPr>
          <w:color w:val="auto"/>
        </w:rPr>
        <w:t>PTSD</w:t>
      </w:r>
      <w:r w:rsidR="00E75ECD">
        <w:rPr>
          <w:color w:val="auto"/>
        </w:rPr>
        <w:t>)</w:t>
      </w:r>
      <w:r w:rsidR="00373714">
        <w:rPr>
          <w:color w:val="auto"/>
        </w:rPr>
        <w:t xml:space="preserve"> is not within the DoDI 6040.44 defined purview of the Board.  </w:t>
      </w:r>
      <w:r w:rsidR="0094774D">
        <w:rPr>
          <w:color w:val="auto"/>
        </w:rPr>
        <w:t xml:space="preserve">The uterine bleeding condition adjudicated as not unfitting by the PEB was not requested for review.  </w:t>
      </w:r>
      <w:r w:rsidR="00E37D47">
        <w:rPr>
          <w:color w:val="auto"/>
        </w:rPr>
        <w:t>The PTSD</w:t>
      </w:r>
      <w:r w:rsidR="0094774D">
        <w:rPr>
          <w:color w:val="auto"/>
        </w:rPr>
        <w:t>, uterine bleeding,</w:t>
      </w:r>
      <w:r w:rsidR="00E37D47">
        <w:rPr>
          <w:color w:val="auto"/>
        </w:rPr>
        <w:t xml:space="preserve"> or a</w:t>
      </w:r>
      <w:r w:rsidRPr="00C566C9">
        <w:rPr>
          <w:color w:val="auto"/>
        </w:rPr>
        <w:t>ny condition</w:t>
      </w:r>
      <w:r>
        <w:rPr>
          <w:color w:val="auto"/>
        </w:rPr>
        <w:t>s</w:t>
      </w:r>
      <w:r w:rsidRPr="00C566C9">
        <w:rPr>
          <w:color w:val="auto"/>
        </w:rPr>
        <w:t xml:space="preserve"> or contention not </w:t>
      </w:r>
      <w:r w:rsidRPr="00E37D47">
        <w:rPr>
          <w:color w:val="auto"/>
        </w:rPr>
        <w:t>requested in this application, remain eligible for future consideration by the Army Board for the Correction of Military Records</w:t>
      </w:r>
      <w:r w:rsidR="0065268E">
        <w:rPr>
          <w:color w:val="auto"/>
        </w:rPr>
        <w:t>.</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94774D" w:rsidRDefault="0094774D">
      <w:pPr>
        <w:spacing w:line="240" w:lineRule="auto"/>
        <w:jc w:val="left"/>
        <w:rPr>
          <w:color w:val="000000"/>
          <w:u w:val="single"/>
        </w:rPr>
      </w:pPr>
      <w:r>
        <w:rPr>
          <w:color w:val="000000"/>
          <w:u w:val="single"/>
        </w:rPr>
        <w:br w:type="page"/>
      </w:r>
    </w:p>
    <w:p w:rsidR="00AD2379" w:rsidRPr="0094774D" w:rsidRDefault="00AD2379" w:rsidP="0094774D">
      <w:pPr>
        <w:spacing w:line="240" w:lineRule="auto"/>
        <w:jc w:val="left"/>
        <w:rPr>
          <w:color w:val="000000"/>
          <w:u w:val="single"/>
        </w:rPr>
      </w:pPr>
      <w:r w:rsidRPr="001F29F9">
        <w:rPr>
          <w:color w:val="000000"/>
          <w:u w:val="single"/>
        </w:rPr>
        <w:lastRenderedPageBreak/>
        <w:t>RATING COMPARISON</w:t>
      </w:r>
      <w:r w:rsidRPr="001F29F9">
        <w:rPr>
          <w:color w:val="000000"/>
        </w:rPr>
        <w:t>:</w:t>
      </w:r>
      <w:r w:rsidRPr="00726F84">
        <w:rPr>
          <w:color w:val="000000"/>
        </w:rPr>
        <w:t xml:space="preserve"> </w:t>
      </w:r>
    </w:p>
    <w:p w:rsidR="0094774D" w:rsidRDefault="0094774D" w:rsidP="00BF0E94">
      <w:pPr>
        <w:jc w:val="left"/>
        <w:rPr>
          <w:color w:val="000000"/>
        </w:rPr>
      </w:pPr>
    </w:p>
    <w:tbl>
      <w:tblPr>
        <w:tblStyle w:val="TableGrid"/>
        <w:tblpPr w:leftFromText="187" w:rightFromText="187" w:vertAnchor="text" w:tblpXSpec="center" w:tblpY="1"/>
        <w:tblOverlap w:val="never"/>
        <w:tblW w:w="9360" w:type="dxa"/>
        <w:jc w:val="center"/>
        <w:tblLayout w:type="fixed"/>
        <w:tblLook w:val="04A0"/>
      </w:tblPr>
      <w:tblGrid>
        <w:gridCol w:w="2520"/>
        <w:gridCol w:w="720"/>
        <w:gridCol w:w="900"/>
        <w:gridCol w:w="2430"/>
        <w:gridCol w:w="1080"/>
        <w:gridCol w:w="720"/>
        <w:gridCol w:w="990"/>
      </w:tblGrid>
      <w:tr w:rsidR="0094774D" w:rsidRPr="001D1AF8" w:rsidTr="00FE561C">
        <w:trPr>
          <w:trHeight w:val="233"/>
          <w:jc w:val="center"/>
        </w:trPr>
        <w:tc>
          <w:tcPr>
            <w:tcW w:w="4140" w:type="dxa"/>
            <w:gridSpan w:val="3"/>
            <w:tcBorders>
              <w:right w:val="thinThickThinSmallGap" w:sz="24" w:space="0" w:color="auto"/>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Service PEB – Dated 20040430</w:t>
            </w:r>
          </w:p>
        </w:tc>
        <w:tc>
          <w:tcPr>
            <w:tcW w:w="5220" w:type="dxa"/>
            <w:gridSpan w:val="4"/>
            <w:tcBorders>
              <w:left w:val="thinThickThinSmallGap" w:sz="24" w:space="0" w:color="auto"/>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 xml:space="preserve">VA (1 Mo. </w:t>
            </w:r>
            <w:r>
              <w:rPr>
                <w:rFonts w:cs="Calibri"/>
                <w:b/>
                <w:color w:val="000000" w:themeColor="text1"/>
                <w:sz w:val="18"/>
                <w:szCs w:val="18"/>
              </w:rPr>
              <w:t>Post-</w:t>
            </w:r>
            <w:r w:rsidRPr="001D1AF8">
              <w:rPr>
                <w:rFonts w:cs="Calibri"/>
                <w:b/>
                <w:color w:val="000000" w:themeColor="text1"/>
                <w:sz w:val="18"/>
                <w:szCs w:val="18"/>
              </w:rPr>
              <w:t>Separation) – All Effective 20040908</w:t>
            </w:r>
          </w:p>
        </w:tc>
      </w:tr>
      <w:tr w:rsidR="0094774D" w:rsidRPr="001D1AF8" w:rsidTr="00FE561C">
        <w:trPr>
          <w:trHeight w:val="66"/>
          <w:jc w:val="center"/>
        </w:trPr>
        <w:tc>
          <w:tcPr>
            <w:tcW w:w="2520" w:type="dxa"/>
            <w:tcBorders>
              <w:bottom w:val="single" w:sz="4" w:space="0" w:color="000000" w:themeColor="text1"/>
              <w:right w:val="single" w:sz="4" w:space="0" w:color="auto"/>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Exam</w:t>
            </w:r>
          </w:p>
        </w:tc>
      </w:tr>
      <w:tr w:rsidR="0094774D" w:rsidRPr="001D1AF8" w:rsidTr="00FE561C">
        <w:trPr>
          <w:trHeight w:val="66"/>
          <w:jc w:val="center"/>
        </w:trPr>
        <w:tc>
          <w:tcPr>
            <w:tcW w:w="2520" w:type="dxa"/>
            <w:vMerge w:val="restart"/>
            <w:tcBorders>
              <w:right w:val="single" w:sz="4" w:space="0" w:color="auto"/>
            </w:tcBorders>
            <w:shd w:val="clear" w:color="auto" w:fill="FFFFFF" w:themeFill="background1"/>
            <w:vAlign w:val="center"/>
          </w:tcPr>
          <w:p w:rsidR="0094774D" w:rsidRPr="001D1AF8" w:rsidRDefault="0094774D" w:rsidP="00FE561C">
            <w:pPr>
              <w:spacing w:line="180" w:lineRule="exact"/>
              <w:contextualSpacing/>
              <w:jc w:val="left"/>
              <w:rPr>
                <w:rFonts w:cs="Calibri"/>
                <w:color w:val="000000" w:themeColor="text1"/>
                <w:sz w:val="18"/>
                <w:szCs w:val="18"/>
              </w:rPr>
            </w:pPr>
            <w:r w:rsidRPr="001D1AF8">
              <w:rPr>
                <w:rFonts w:cs="Calibri"/>
                <w:color w:val="000000" w:themeColor="text1"/>
                <w:sz w:val="18"/>
                <w:szCs w:val="18"/>
              </w:rPr>
              <w:t>Chronic Pain</w:t>
            </w:r>
            <w:r>
              <w:rPr>
                <w:rFonts w:cs="Calibri"/>
                <w:color w:val="000000" w:themeColor="text1"/>
                <w:sz w:val="18"/>
                <w:szCs w:val="18"/>
              </w:rPr>
              <w:t>, Left Sacroiliac Joint and Bilateral Knees</w:t>
            </w:r>
          </w:p>
        </w:tc>
        <w:tc>
          <w:tcPr>
            <w:tcW w:w="720" w:type="dxa"/>
            <w:vMerge w:val="restart"/>
            <w:tcBorders>
              <w:left w:val="single" w:sz="4" w:space="0" w:color="auto"/>
            </w:tcBorders>
            <w:shd w:val="clear" w:color="auto" w:fill="FFFFFF" w:themeFill="background1"/>
            <w:vAlign w:val="center"/>
          </w:tcPr>
          <w:p w:rsidR="0094774D" w:rsidRPr="001D1AF8" w:rsidRDefault="0094774D" w:rsidP="00FE561C">
            <w:pPr>
              <w:spacing w:line="180" w:lineRule="exact"/>
              <w:contextualSpacing/>
              <w:rPr>
                <w:rFonts w:cs="Calibri"/>
                <w:color w:val="000000" w:themeColor="text1"/>
                <w:sz w:val="18"/>
                <w:szCs w:val="18"/>
              </w:rPr>
            </w:pPr>
            <w:r w:rsidRPr="001D1AF8">
              <w:rPr>
                <w:rFonts w:cs="Calibri"/>
                <w:color w:val="000000" w:themeColor="text1"/>
                <w:sz w:val="18"/>
                <w:szCs w:val="18"/>
              </w:rPr>
              <w:t>5099-5003</w:t>
            </w:r>
          </w:p>
        </w:tc>
        <w:tc>
          <w:tcPr>
            <w:tcW w:w="900" w:type="dxa"/>
            <w:vMerge w:val="restart"/>
            <w:tcBorders>
              <w:right w:val="thinThickThinSmallGap" w:sz="24" w:space="0" w:color="auto"/>
            </w:tcBorders>
            <w:shd w:val="clear" w:color="auto" w:fill="FFFFFF" w:themeFill="background1"/>
            <w:vAlign w:val="center"/>
          </w:tcPr>
          <w:p w:rsidR="0094774D" w:rsidRPr="001D1AF8" w:rsidRDefault="0094774D" w:rsidP="00FE561C">
            <w:pPr>
              <w:spacing w:line="220" w:lineRule="exact"/>
              <w:rPr>
                <w:rFonts w:cs="Calibri"/>
                <w:color w:val="000000" w:themeColor="text1"/>
                <w:sz w:val="18"/>
                <w:szCs w:val="18"/>
              </w:rPr>
            </w:pPr>
            <w:r w:rsidRPr="001D1AF8">
              <w:rPr>
                <w:rFonts w:cs="Calibri"/>
                <w:color w:val="000000" w:themeColor="text1"/>
                <w:sz w:val="18"/>
                <w:szCs w:val="18"/>
              </w:rPr>
              <w:t>10%</w:t>
            </w:r>
          </w:p>
        </w:tc>
        <w:tc>
          <w:tcPr>
            <w:tcW w:w="2430" w:type="dxa"/>
            <w:tcBorders>
              <w:left w:val="thinThickThinSmallGap" w:sz="24" w:space="0" w:color="auto"/>
            </w:tcBorders>
            <w:shd w:val="clear" w:color="auto" w:fill="FFFFFF" w:themeFill="background1"/>
            <w:vAlign w:val="center"/>
          </w:tcPr>
          <w:p w:rsidR="0094774D" w:rsidRPr="001D1AF8" w:rsidRDefault="0094774D" w:rsidP="00FE561C">
            <w:pPr>
              <w:spacing w:line="220" w:lineRule="exact"/>
              <w:contextualSpacing/>
              <w:jc w:val="left"/>
              <w:rPr>
                <w:rFonts w:cs="Calibri"/>
                <w:color w:val="000000" w:themeColor="text1"/>
                <w:sz w:val="18"/>
                <w:szCs w:val="18"/>
              </w:rPr>
            </w:pPr>
            <w:r>
              <w:rPr>
                <w:rFonts w:cs="Calibri"/>
                <w:color w:val="000000" w:themeColor="text1"/>
                <w:sz w:val="18"/>
                <w:szCs w:val="18"/>
              </w:rPr>
              <w:t>Right</w:t>
            </w:r>
            <w:r w:rsidRPr="001D1AF8">
              <w:rPr>
                <w:rFonts w:cs="Calibri"/>
                <w:color w:val="000000" w:themeColor="text1"/>
                <w:sz w:val="18"/>
                <w:szCs w:val="18"/>
              </w:rPr>
              <w:t xml:space="preserve"> Knee PFS</w:t>
            </w:r>
          </w:p>
        </w:tc>
        <w:tc>
          <w:tcPr>
            <w:tcW w:w="108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5099-5003</w:t>
            </w:r>
          </w:p>
        </w:tc>
        <w:tc>
          <w:tcPr>
            <w:tcW w:w="72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0%</w:t>
            </w:r>
          </w:p>
        </w:tc>
        <w:tc>
          <w:tcPr>
            <w:tcW w:w="99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20041014</w:t>
            </w:r>
          </w:p>
        </w:tc>
      </w:tr>
      <w:tr w:rsidR="0094774D" w:rsidRPr="001D1AF8" w:rsidTr="00FE561C">
        <w:trPr>
          <w:trHeight w:val="66"/>
          <w:jc w:val="center"/>
        </w:trPr>
        <w:tc>
          <w:tcPr>
            <w:tcW w:w="2520" w:type="dxa"/>
            <w:vMerge/>
            <w:tcBorders>
              <w:right w:val="single" w:sz="4" w:space="0" w:color="auto"/>
            </w:tcBorders>
            <w:shd w:val="clear" w:color="auto" w:fill="FFFFFF" w:themeFill="background1"/>
            <w:vAlign w:val="center"/>
          </w:tcPr>
          <w:p w:rsidR="0094774D" w:rsidRPr="001D1AF8" w:rsidRDefault="0094774D" w:rsidP="00FE561C">
            <w:pPr>
              <w:spacing w:line="220" w:lineRule="exact"/>
              <w:contextualSpacing/>
              <w:jc w:val="left"/>
              <w:rPr>
                <w:rFonts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94774D" w:rsidRPr="001D1AF8" w:rsidRDefault="0094774D" w:rsidP="00FE561C">
            <w:pPr>
              <w:spacing w:line="220" w:lineRule="exact"/>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94774D" w:rsidRPr="001D1AF8" w:rsidRDefault="0094774D" w:rsidP="00FE561C">
            <w:pPr>
              <w:spacing w:line="220" w:lineRule="exact"/>
              <w:contextualSpacing/>
              <w:jc w:val="left"/>
              <w:rPr>
                <w:rFonts w:cs="Calibri"/>
                <w:color w:val="000000" w:themeColor="text1"/>
                <w:sz w:val="18"/>
                <w:szCs w:val="18"/>
              </w:rPr>
            </w:pPr>
            <w:r>
              <w:rPr>
                <w:rFonts w:cs="Calibri"/>
                <w:color w:val="000000" w:themeColor="text1"/>
                <w:sz w:val="18"/>
                <w:szCs w:val="18"/>
              </w:rPr>
              <w:t>Left</w:t>
            </w:r>
            <w:r w:rsidRPr="001D1AF8">
              <w:rPr>
                <w:rFonts w:cs="Calibri"/>
                <w:color w:val="000000" w:themeColor="text1"/>
                <w:sz w:val="18"/>
                <w:szCs w:val="18"/>
              </w:rPr>
              <w:t xml:space="preserve"> Knee PFS</w:t>
            </w:r>
          </w:p>
        </w:tc>
        <w:tc>
          <w:tcPr>
            <w:tcW w:w="1080" w:type="dxa"/>
            <w:tcBorders>
              <w:left w:val="single" w:sz="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5099-5003</w:t>
            </w:r>
          </w:p>
        </w:tc>
        <w:tc>
          <w:tcPr>
            <w:tcW w:w="72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0%</w:t>
            </w:r>
          </w:p>
        </w:tc>
        <w:tc>
          <w:tcPr>
            <w:tcW w:w="99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20041014</w:t>
            </w:r>
          </w:p>
        </w:tc>
      </w:tr>
      <w:tr w:rsidR="0094774D" w:rsidRPr="001D1AF8" w:rsidTr="00FE561C">
        <w:trPr>
          <w:trHeight w:val="66"/>
          <w:jc w:val="center"/>
        </w:trPr>
        <w:tc>
          <w:tcPr>
            <w:tcW w:w="2520" w:type="dxa"/>
            <w:vMerge/>
            <w:tcBorders>
              <w:right w:val="single" w:sz="4" w:space="0" w:color="auto"/>
            </w:tcBorders>
            <w:shd w:val="clear" w:color="auto" w:fill="FFFFFF" w:themeFill="background1"/>
            <w:vAlign w:val="center"/>
          </w:tcPr>
          <w:p w:rsidR="0094774D" w:rsidRPr="001D1AF8" w:rsidRDefault="0094774D" w:rsidP="00FE561C">
            <w:pPr>
              <w:spacing w:line="220" w:lineRule="exact"/>
              <w:contextualSpacing/>
              <w:jc w:val="left"/>
              <w:rPr>
                <w:rFonts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94774D" w:rsidRPr="001D1AF8" w:rsidRDefault="0094774D" w:rsidP="00FE561C">
            <w:pPr>
              <w:spacing w:line="220" w:lineRule="exact"/>
              <w:contextualSpacing/>
              <w:jc w:val="left"/>
              <w:rPr>
                <w:rFonts w:cs="Calibri"/>
                <w:color w:val="000000" w:themeColor="text1"/>
                <w:sz w:val="18"/>
                <w:szCs w:val="18"/>
              </w:rPr>
            </w:pPr>
            <w:r w:rsidRPr="001D1AF8">
              <w:rPr>
                <w:rFonts w:cs="Calibri"/>
                <w:color w:val="000000" w:themeColor="text1"/>
                <w:sz w:val="18"/>
                <w:szCs w:val="18"/>
              </w:rPr>
              <w:t>Lumbar Strain/L</w:t>
            </w:r>
            <w:r>
              <w:rPr>
                <w:rFonts w:cs="Calibri"/>
                <w:color w:val="000000" w:themeColor="text1"/>
                <w:sz w:val="18"/>
                <w:szCs w:val="18"/>
              </w:rPr>
              <w:t>eft Sacroiliac</w:t>
            </w:r>
          </w:p>
        </w:tc>
        <w:tc>
          <w:tcPr>
            <w:tcW w:w="1080" w:type="dxa"/>
            <w:tcBorders>
              <w:left w:val="single" w:sz="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5237</w:t>
            </w:r>
          </w:p>
        </w:tc>
        <w:tc>
          <w:tcPr>
            <w:tcW w:w="72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0%</w:t>
            </w:r>
          </w:p>
        </w:tc>
        <w:tc>
          <w:tcPr>
            <w:tcW w:w="99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20041014</w:t>
            </w:r>
          </w:p>
        </w:tc>
      </w:tr>
      <w:tr w:rsidR="0094774D" w:rsidRPr="001D1AF8" w:rsidTr="00FE561C">
        <w:trPr>
          <w:trHeight w:val="66"/>
          <w:jc w:val="center"/>
        </w:trPr>
        <w:tc>
          <w:tcPr>
            <w:tcW w:w="2520" w:type="dxa"/>
            <w:tcBorders>
              <w:right w:val="single" w:sz="4" w:space="0" w:color="auto"/>
            </w:tcBorders>
            <w:shd w:val="clear" w:color="auto" w:fill="FFFFFF" w:themeFill="background1"/>
            <w:vAlign w:val="center"/>
          </w:tcPr>
          <w:p w:rsidR="0094774D" w:rsidRPr="001D1AF8" w:rsidRDefault="0094774D" w:rsidP="00FE561C">
            <w:pPr>
              <w:spacing w:line="220" w:lineRule="exact"/>
              <w:contextualSpacing/>
              <w:jc w:val="left"/>
              <w:rPr>
                <w:rFonts w:cs="Calibri"/>
                <w:color w:val="000000" w:themeColor="text1"/>
                <w:sz w:val="18"/>
                <w:szCs w:val="18"/>
              </w:rPr>
            </w:pPr>
            <w:r w:rsidRPr="001D1AF8">
              <w:rPr>
                <w:rFonts w:cs="Calibri"/>
                <w:color w:val="000000" w:themeColor="text1"/>
                <w:sz w:val="18"/>
                <w:szCs w:val="18"/>
              </w:rPr>
              <w:t>Abnormal Uterine Bleeding</w:t>
            </w:r>
          </w:p>
        </w:tc>
        <w:tc>
          <w:tcPr>
            <w:tcW w:w="1620" w:type="dxa"/>
            <w:gridSpan w:val="2"/>
            <w:tcBorders>
              <w:left w:val="single" w:sz="4" w:space="0" w:color="auto"/>
              <w:right w:val="thinThickThinSmallGap" w:sz="2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94774D" w:rsidRPr="001D1AF8" w:rsidRDefault="0094774D" w:rsidP="00FE561C">
            <w:pPr>
              <w:spacing w:line="220" w:lineRule="exact"/>
              <w:contextualSpacing/>
              <w:jc w:val="left"/>
              <w:rPr>
                <w:rFonts w:cs="Calibri"/>
                <w:color w:val="000000" w:themeColor="text1"/>
                <w:sz w:val="18"/>
                <w:szCs w:val="18"/>
              </w:rPr>
            </w:pPr>
            <w:r w:rsidRPr="001D1AF8">
              <w:rPr>
                <w:rFonts w:cs="Calibri"/>
                <w:color w:val="000000" w:themeColor="text1"/>
                <w:sz w:val="18"/>
                <w:szCs w:val="18"/>
              </w:rPr>
              <w:t>Abnormal Uterine Bleeding</w:t>
            </w:r>
          </w:p>
        </w:tc>
        <w:tc>
          <w:tcPr>
            <w:tcW w:w="1080" w:type="dxa"/>
            <w:tcBorders>
              <w:left w:val="single" w:sz="4" w:space="0" w:color="auto"/>
              <w:right w:val="single" w:sz="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7699-7629</w:t>
            </w:r>
          </w:p>
        </w:tc>
        <w:tc>
          <w:tcPr>
            <w:tcW w:w="720" w:type="dxa"/>
            <w:tcBorders>
              <w:left w:val="single" w:sz="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NSC</w:t>
            </w:r>
          </w:p>
        </w:tc>
        <w:tc>
          <w:tcPr>
            <w:tcW w:w="99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20041014</w:t>
            </w:r>
          </w:p>
        </w:tc>
      </w:tr>
      <w:tr w:rsidR="0094774D" w:rsidRPr="001D1AF8" w:rsidTr="00FE561C">
        <w:trPr>
          <w:trHeight w:val="66"/>
          <w:jc w:val="center"/>
        </w:trPr>
        <w:tc>
          <w:tcPr>
            <w:tcW w:w="4140" w:type="dxa"/>
            <w:gridSpan w:val="3"/>
            <w:tcBorders>
              <w:right w:val="thinThickThinSmallGap" w:sz="24" w:space="0" w:color="auto"/>
            </w:tcBorders>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94774D" w:rsidRPr="001D1AF8" w:rsidRDefault="00E75ECD" w:rsidP="00FE561C">
            <w:pPr>
              <w:spacing w:line="220" w:lineRule="exact"/>
              <w:contextualSpacing/>
              <w:rPr>
                <w:rFonts w:cs="Calibri"/>
                <w:color w:val="000000" w:themeColor="text1"/>
                <w:sz w:val="18"/>
                <w:szCs w:val="18"/>
              </w:rPr>
            </w:pPr>
            <w:r>
              <w:rPr>
                <w:rFonts w:cs="Calibri"/>
                <w:color w:val="000000" w:themeColor="text1"/>
                <w:sz w:val="18"/>
                <w:szCs w:val="18"/>
              </w:rPr>
              <w:t>Not Service-</w:t>
            </w:r>
            <w:r w:rsidR="0094774D">
              <w:rPr>
                <w:rFonts w:cs="Calibri"/>
                <w:color w:val="000000" w:themeColor="text1"/>
                <w:sz w:val="18"/>
                <w:szCs w:val="18"/>
              </w:rPr>
              <w:t>Connected x 5 Additional</w:t>
            </w:r>
            <w:r w:rsidR="0094774D" w:rsidRPr="001D1AF8">
              <w:rPr>
                <w:rFonts w:cs="Calibri"/>
                <w:color w:val="000000" w:themeColor="text1"/>
                <w:sz w:val="18"/>
                <w:szCs w:val="18"/>
              </w:rPr>
              <w:t>*</w:t>
            </w:r>
          </w:p>
        </w:tc>
        <w:tc>
          <w:tcPr>
            <w:tcW w:w="990" w:type="dxa"/>
            <w:shd w:val="clear" w:color="auto" w:fill="FFFFFF" w:themeFill="background1"/>
            <w:vAlign w:val="center"/>
          </w:tcPr>
          <w:p w:rsidR="0094774D" w:rsidRPr="001D1AF8" w:rsidRDefault="0094774D" w:rsidP="00FE561C">
            <w:pPr>
              <w:spacing w:line="220" w:lineRule="exact"/>
              <w:contextualSpacing/>
              <w:rPr>
                <w:rFonts w:cs="Calibri"/>
                <w:color w:val="000000" w:themeColor="text1"/>
                <w:sz w:val="18"/>
                <w:szCs w:val="18"/>
              </w:rPr>
            </w:pPr>
            <w:r w:rsidRPr="001D1AF8">
              <w:rPr>
                <w:rFonts w:cs="Calibri"/>
                <w:color w:val="000000" w:themeColor="text1"/>
                <w:sz w:val="18"/>
                <w:szCs w:val="18"/>
              </w:rPr>
              <w:t>20041014</w:t>
            </w:r>
          </w:p>
        </w:tc>
      </w:tr>
      <w:tr w:rsidR="0094774D" w:rsidRPr="001D1AF8" w:rsidTr="00FE561C">
        <w:trPr>
          <w:trHeight w:val="242"/>
          <w:jc w:val="center"/>
        </w:trPr>
        <w:tc>
          <w:tcPr>
            <w:tcW w:w="4140" w:type="dxa"/>
            <w:gridSpan w:val="3"/>
            <w:tcBorders>
              <w:right w:val="thinThickThinSmallGap" w:sz="24" w:space="0" w:color="auto"/>
            </w:tcBorders>
            <w:shd w:val="clear" w:color="auto" w:fill="D9D9D9" w:themeFill="background1" w:themeFillShade="D9"/>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Combined:  10%</w:t>
            </w:r>
          </w:p>
        </w:tc>
        <w:tc>
          <w:tcPr>
            <w:tcW w:w="5220" w:type="dxa"/>
            <w:gridSpan w:val="4"/>
            <w:tcBorders>
              <w:left w:val="thinThickThinSmallGap" w:sz="24" w:space="0" w:color="auto"/>
            </w:tcBorders>
            <w:shd w:val="clear" w:color="auto" w:fill="D9D9D9" w:themeFill="background1" w:themeFillShade="D9"/>
          </w:tcPr>
          <w:p w:rsidR="0094774D" w:rsidRPr="001D1AF8" w:rsidRDefault="0094774D" w:rsidP="00FE561C">
            <w:pPr>
              <w:contextualSpacing/>
              <w:rPr>
                <w:rFonts w:cs="Calibri"/>
                <w:b/>
                <w:color w:val="000000" w:themeColor="text1"/>
                <w:sz w:val="18"/>
                <w:szCs w:val="18"/>
              </w:rPr>
            </w:pPr>
            <w:r w:rsidRPr="001D1AF8">
              <w:rPr>
                <w:rFonts w:cs="Calibri"/>
                <w:b/>
                <w:color w:val="000000" w:themeColor="text1"/>
                <w:sz w:val="18"/>
                <w:szCs w:val="18"/>
              </w:rPr>
              <w:t>Combined:  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p>
    <w:p w:rsidR="00417501" w:rsidRDefault="00417501" w:rsidP="00726F84">
      <w:pPr>
        <w:jc w:val="both"/>
        <w:rPr>
          <w:color w:val="000000"/>
        </w:rPr>
      </w:pPr>
    </w:p>
    <w:p w:rsidR="00417501" w:rsidRPr="00417501" w:rsidRDefault="00417501" w:rsidP="00417501">
      <w:pPr>
        <w:jc w:val="both"/>
        <w:rPr>
          <w:color w:val="000000"/>
        </w:rPr>
      </w:pPr>
      <w:r w:rsidRPr="00417501">
        <w:rPr>
          <w:color w:val="000000"/>
          <w:u w:val="single"/>
        </w:rPr>
        <w:t>Combined Joint Conditions</w:t>
      </w:r>
      <w:r w:rsidRPr="00417501">
        <w:rPr>
          <w:color w:val="000000"/>
        </w:rPr>
        <w:t xml:space="preserve">.  The PEB combined the </w:t>
      </w:r>
      <w:r>
        <w:rPr>
          <w:color w:val="000000"/>
        </w:rPr>
        <w:t xml:space="preserve">left sacroiliac and the left </w:t>
      </w:r>
      <w:r w:rsidR="00547074">
        <w:rPr>
          <w:color w:val="000000"/>
        </w:rPr>
        <w:t>and right</w:t>
      </w:r>
      <w:r w:rsidRPr="00417501">
        <w:rPr>
          <w:color w:val="000000"/>
        </w:rPr>
        <w:t xml:space="preserve"> </w:t>
      </w:r>
      <w:r>
        <w:rPr>
          <w:color w:val="000000"/>
        </w:rPr>
        <w:t>knee conditions</w:t>
      </w:r>
      <w:r w:rsidRPr="00417501">
        <w:rPr>
          <w:color w:val="000000"/>
        </w:rPr>
        <w:t xml:space="preserve"> </w:t>
      </w:r>
      <w:r>
        <w:rPr>
          <w:color w:val="000000"/>
        </w:rPr>
        <w:t>under a single code</w:t>
      </w:r>
      <w:r w:rsidRPr="00417501">
        <w:rPr>
          <w:color w:val="000000"/>
        </w:rPr>
        <w:t xml:space="preserve">, </w:t>
      </w:r>
      <w:r>
        <w:rPr>
          <w:color w:val="000000"/>
          <w:szCs w:val="24"/>
        </w:rPr>
        <w:t xml:space="preserve">analogous to 5003 (degenerative arthritis) and </w:t>
      </w:r>
      <w:r w:rsidRPr="00417501">
        <w:rPr>
          <w:color w:val="000000"/>
        </w:rPr>
        <w:t xml:space="preserve">rated </w:t>
      </w:r>
      <w:r>
        <w:rPr>
          <w:color w:val="000000"/>
        </w:rPr>
        <w:t>1</w:t>
      </w:r>
      <w:r w:rsidR="00547074">
        <w:rPr>
          <w:color w:val="000000"/>
        </w:rPr>
        <w:t>0%,</w:t>
      </w:r>
      <w:r w:rsidRPr="00417501">
        <w:rPr>
          <w:color w:val="000000"/>
        </w:rPr>
        <w:t xml:space="preserve"> relying on the USAPDA pain policy and possibly AR 635-40 for not applying separately rated VASRD codes.  IAW VASRD §4.71a, the Board must apply separate codes and ratings in its recommendations if compensable ratings for each condition are achieved.  When the Board judges that two or more separate ratings are possibly warranted in such cases, however, it must satisfy the requirement that each </w:t>
      </w:r>
      <w:r w:rsidR="00E75ECD">
        <w:rPr>
          <w:color w:val="000000"/>
        </w:rPr>
        <w:t>“</w:t>
      </w:r>
      <w:r w:rsidRPr="00417501">
        <w:rPr>
          <w:color w:val="000000"/>
        </w:rPr>
        <w:t>unbundled</w:t>
      </w:r>
      <w:r w:rsidR="00E75ECD">
        <w:rPr>
          <w:color w:val="000000"/>
        </w:rPr>
        <w:t>”</w:t>
      </w:r>
      <w:r w:rsidRPr="00417501">
        <w:rPr>
          <w:color w:val="000000"/>
        </w:rPr>
        <w:t xml:space="preserve"> condition</w:t>
      </w:r>
      <w:r>
        <w:rPr>
          <w:color w:val="000000"/>
        </w:rPr>
        <w:t xml:space="preserve"> was </w:t>
      </w:r>
      <w:r w:rsidR="00C51443">
        <w:rPr>
          <w:color w:val="000000"/>
        </w:rPr>
        <w:t xml:space="preserve">itself separately </w:t>
      </w:r>
      <w:r>
        <w:rPr>
          <w:color w:val="000000"/>
        </w:rPr>
        <w:t xml:space="preserve">unfitting and </w:t>
      </w:r>
      <w:r w:rsidR="00C51443">
        <w:rPr>
          <w:color w:val="000000"/>
        </w:rPr>
        <w:t>thus eligible for separate rating</w:t>
      </w:r>
      <w:r>
        <w:rPr>
          <w:color w:val="000000"/>
        </w:rPr>
        <w:t>.  Thus the Board must exercise</w:t>
      </w:r>
      <w:r w:rsidRPr="00417501">
        <w:rPr>
          <w:color w:val="000000"/>
        </w:rPr>
        <w:t xml:space="preserve"> the prerogative of separate fitness recommendations in this circumstance, with the caveat that its recommendations may not produce a lower combined rating than that of the PEB.  The Board’s analysis and recommendations regarding the separate fitness issue and potential separate rating for each condition entrained in the PEB’s combined rating approach is as follows.</w:t>
      </w:r>
    </w:p>
    <w:p w:rsidR="00417501" w:rsidRPr="00726F84" w:rsidRDefault="00417501" w:rsidP="00726F84">
      <w:pPr>
        <w:jc w:val="both"/>
        <w:rPr>
          <w:color w:val="000000"/>
        </w:rPr>
      </w:pPr>
    </w:p>
    <w:p w:rsidR="00AD2379" w:rsidRDefault="00547074" w:rsidP="00B22D42">
      <w:pPr>
        <w:jc w:val="both"/>
        <w:rPr>
          <w:color w:val="000000"/>
        </w:rPr>
      </w:pPr>
      <w:r>
        <w:rPr>
          <w:color w:val="000000"/>
          <w:u w:val="single"/>
        </w:rPr>
        <w:t>Left Sacroiliac</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A56827">
        <w:rPr>
          <w:color w:val="000000"/>
        </w:rPr>
        <w:t xml:space="preserve">The CI experienced an onset of pain localized </w:t>
      </w:r>
      <w:r w:rsidR="00E93845">
        <w:rPr>
          <w:color w:val="000000"/>
        </w:rPr>
        <w:t xml:space="preserve">to the </w:t>
      </w:r>
      <w:r w:rsidR="00A56827">
        <w:rPr>
          <w:color w:val="000000"/>
        </w:rPr>
        <w:t>left lower lumbosacral region with running in 1999</w:t>
      </w:r>
      <w:r w:rsidR="00E93845">
        <w:rPr>
          <w:color w:val="000000"/>
        </w:rPr>
        <w:t>, which</w:t>
      </w:r>
      <w:r w:rsidR="00A56827">
        <w:rPr>
          <w:color w:val="000000"/>
        </w:rPr>
        <w:t xml:space="preserve"> was chronic and recurrent after</w:t>
      </w:r>
      <w:r w:rsidR="00E93845">
        <w:rPr>
          <w:color w:val="000000"/>
        </w:rPr>
        <w:t>wards</w:t>
      </w:r>
      <w:r w:rsidR="00A56827">
        <w:rPr>
          <w:color w:val="000000"/>
        </w:rPr>
        <w:t>.  It was variously attributed to lumbosacral spine, left hip, and pelvic pain diagnoses in subsequent entries; but, a diagnosis of left sacroiliac joint dysfunction appeared in the record in 2002; and, this would appear to be the diagnosis forwarded by the MEB and adjudicated for rating.  The condition was managed by physical therapy</w:t>
      </w:r>
      <w:r w:rsidR="00A05742">
        <w:rPr>
          <w:color w:val="000000"/>
        </w:rPr>
        <w:t xml:space="preserve"> (PT)</w:t>
      </w:r>
      <w:r w:rsidR="00CF6874">
        <w:rPr>
          <w:color w:val="000000"/>
        </w:rPr>
        <w:t>,</w:t>
      </w:r>
      <w:r w:rsidR="00A56827">
        <w:rPr>
          <w:color w:val="000000"/>
        </w:rPr>
        <w:t xml:space="preserve"> local steroid injections</w:t>
      </w:r>
      <w:r w:rsidR="00CF6874">
        <w:rPr>
          <w:color w:val="000000"/>
        </w:rPr>
        <w:t>, and temporary profiles (as left hip pain).</w:t>
      </w:r>
      <w:r w:rsidR="00557CA1">
        <w:rPr>
          <w:color w:val="000000"/>
        </w:rPr>
        <w:t xml:space="preserve"> </w:t>
      </w:r>
      <w:r w:rsidR="00CF6874">
        <w:rPr>
          <w:color w:val="000000"/>
        </w:rPr>
        <w:t xml:space="preserve"> X-rays </w:t>
      </w:r>
      <w:r w:rsidR="00F3645F">
        <w:rPr>
          <w:color w:val="000000"/>
        </w:rPr>
        <w:t xml:space="preserve">of the spine and hip </w:t>
      </w:r>
      <w:r w:rsidR="00CF6874">
        <w:rPr>
          <w:color w:val="000000"/>
        </w:rPr>
        <w:t xml:space="preserve">were normal and there were no surgical indications.  </w:t>
      </w:r>
      <w:r w:rsidR="00385708">
        <w:rPr>
          <w:color w:val="000000"/>
        </w:rPr>
        <w:t xml:space="preserve">The narrative summary (NARSUM) </w:t>
      </w:r>
      <w:r w:rsidR="00CF6874">
        <w:rPr>
          <w:color w:val="000000"/>
        </w:rPr>
        <w:t>characterized the pain only as “constant low back pain on the left with intermittent flares</w:t>
      </w:r>
      <w:r w:rsidR="00E75ECD">
        <w:rPr>
          <w:color w:val="000000"/>
        </w:rPr>
        <w:t>.</w:t>
      </w:r>
      <w:r w:rsidR="00CF6874">
        <w:rPr>
          <w:color w:val="000000"/>
        </w:rPr>
        <w:t xml:space="preserve">”  </w:t>
      </w:r>
      <w:r w:rsidR="00554E8D">
        <w:rPr>
          <w:color w:val="000000"/>
        </w:rPr>
        <w:t xml:space="preserve">The physical examination documented left sacroiliac joint tenderness, and recorded range-of-motion (ROM) measurements for both the lumbar spine and left hip.  </w:t>
      </w:r>
      <w:r w:rsidR="008F0E4C">
        <w:rPr>
          <w:color w:val="000000"/>
        </w:rPr>
        <w:t>Lumbar flexion was normal at 90⁰, although extension and left excursions were modestly “decreased due to pain</w:t>
      </w:r>
      <w:r w:rsidR="00E75ECD">
        <w:rPr>
          <w:color w:val="000000"/>
        </w:rPr>
        <w:t>.</w:t>
      </w:r>
      <w:r w:rsidR="008F0E4C">
        <w:rPr>
          <w:color w:val="000000"/>
        </w:rPr>
        <w:t xml:space="preserve">”  Reductions of left hip flexion to 95⁰ </w:t>
      </w:r>
      <w:r w:rsidR="00272502">
        <w:rPr>
          <w:color w:val="000000"/>
        </w:rPr>
        <w:t xml:space="preserve">(normal 125⁰) </w:t>
      </w:r>
      <w:r w:rsidR="008F0E4C">
        <w:rPr>
          <w:color w:val="000000"/>
        </w:rPr>
        <w:t xml:space="preserve">and abduction to 40⁰ </w:t>
      </w:r>
      <w:r w:rsidR="00272502">
        <w:rPr>
          <w:color w:val="000000"/>
        </w:rPr>
        <w:t xml:space="preserve">(normal 45⁰) </w:t>
      </w:r>
      <w:r w:rsidR="008F0E4C">
        <w:rPr>
          <w:color w:val="000000"/>
        </w:rPr>
        <w:t xml:space="preserve">were also documented and attributed to pain.  </w:t>
      </w:r>
      <w:r w:rsidR="00E93845" w:rsidRPr="00E93845">
        <w:rPr>
          <w:color w:val="000000"/>
          <w:szCs w:val="24"/>
        </w:rPr>
        <w:t xml:space="preserve">The </w:t>
      </w:r>
      <w:r w:rsidR="00E93845">
        <w:rPr>
          <w:color w:val="000000"/>
          <w:szCs w:val="24"/>
        </w:rPr>
        <w:t xml:space="preserve">VA </w:t>
      </w:r>
      <w:r w:rsidR="00E93845" w:rsidRPr="00CF0280">
        <w:rPr>
          <w:color w:val="000000"/>
          <w:szCs w:val="24"/>
        </w:rPr>
        <w:t>Compensation and Pension (C&amp;P)</w:t>
      </w:r>
      <w:r w:rsidR="00E93845">
        <w:rPr>
          <w:color w:val="000000"/>
          <w:szCs w:val="24"/>
        </w:rPr>
        <w:t xml:space="preserve"> </w:t>
      </w:r>
      <w:r w:rsidR="00E75ECD">
        <w:rPr>
          <w:color w:val="000000"/>
          <w:szCs w:val="24"/>
        </w:rPr>
        <w:t xml:space="preserve">examination, performed a month after separation, </w:t>
      </w:r>
      <w:r w:rsidR="00E93845">
        <w:rPr>
          <w:color w:val="000000"/>
          <w:szCs w:val="24"/>
        </w:rPr>
        <w:t>noted constant pain rated 5/10; with flares to 8/10 triggered by bending, lifting, prolonged standing, and extended walking.   The VA physical exam documented a normal gait and no localized tenderness or spasm.  Fully normal ROM measurements for the thoracolumbar spine and left hip were recorded</w:t>
      </w:r>
      <w:r w:rsidR="00F8417A">
        <w:rPr>
          <w:color w:val="000000"/>
          <w:szCs w:val="24"/>
        </w:rPr>
        <w:t xml:space="preserve">, although pain thresholds were also present (with grimacing for hip motion and no objective signs for spine motion).  </w:t>
      </w:r>
      <w:r w:rsidR="00E93845">
        <w:rPr>
          <w:color w:val="000000"/>
          <w:szCs w:val="24"/>
        </w:rPr>
        <w:t xml:space="preserve"> </w:t>
      </w:r>
    </w:p>
    <w:p w:rsidR="00542022" w:rsidRDefault="00542022" w:rsidP="00B22D42">
      <w:pPr>
        <w:jc w:val="both"/>
        <w:rPr>
          <w:color w:val="000000"/>
        </w:rPr>
      </w:pPr>
    </w:p>
    <w:p w:rsidR="00F3645F" w:rsidRPr="00F3645F" w:rsidRDefault="00EA3C76" w:rsidP="00F3645F">
      <w:pPr>
        <w:tabs>
          <w:tab w:val="left" w:pos="288"/>
          <w:tab w:val="left" w:pos="4752"/>
        </w:tabs>
        <w:jc w:val="both"/>
        <w:rPr>
          <w:rFonts w:cs="Times New Roman"/>
          <w:color w:val="auto"/>
        </w:rPr>
      </w:pPr>
      <w:r w:rsidRPr="00F8417A">
        <w:rPr>
          <w:rFonts w:cs="Times New Roman"/>
          <w:color w:val="auto"/>
        </w:rPr>
        <w:t>The Board directs</w:t>
      </w:r>
      <w:r w:rsidRPr="009A7578">
        <w:rPr>
          <w:rFonts w:cs="Times New Roman"/>
          <w:color w:val="auto"/>
        </w:rPr>
        <w:t xml:space="preserve">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F8417A" w:rsidRPr="00F8417A">
        <w:rPr>
          <w:rFonts w:cs="Times New Roman"/>
          <w:color w:val="auto"/>
        </w:rPr>
        <w:t xml:space="preserve">The Board first considered if </w:t>
      </w:r>
      <w:r w:rsidR="00F8417A">
        <w:rPr>
          <w:rFonts w:cs="Times New Roman"/>
          <w:color w:val="auto"/>
        </w:rPr>
        <w:t>the left sacroiliac condition</w:t>
      </w:r>
      <w:r w:rsidR="00F8417A" w:rsidRPr="00F8417A">
        <w:rPr>
          <w:rFonts w:cs="Times New Roman"/>
          <w:color w:val="auto"/>
        </w:rPr>
        <w:t xml:space="preserve">, having been de-coupled from the combined PEB adjudication, remained independently unfitting as established above.  All </w:t>
      </w:r>
      <w:r w:rsidR="00F8417A" w:rsidRPr="00F8417A">
        <w:rPr>
          <w:rFonts w:cs="Times New Roman"/>
          <w:color w:val="auto"/>
        </w:rPr>
        <w:lastRenderedPageBreak/>
        <w:t xml:space="preserve">members agreed that </w:t>
      </w:r>
      <w:r w:rsidR="00F8417A">
        <w:rPr>
          <w:rFonts w:cs="Times New Roman"/>
          <w:color w:val="auto"/>
        </w:rPr>
        <w:t xml:space="preserve">the functional limitations in evidence </w:t>
      </w:r>
      <w:r w:rsidR="00C51443">
        <w:rPr>
          <w:rFonts w:cs="Times New Roman"/>
          <w:color w:val="auto"/>
        </w:rPr>
        <w:t xml:space="preserve">which were attributable to the sacroiliac condition </w:t>
      </w:r>
      <w:r w:rsidR="00F8417A" w:rsidRPr="00F8417A">
        <w:rPr>
          <w:rFonts w:cs="Times New Roman"/>
          <w:color w:val="auto"/>
        </w:rPr>
        <w:t xml:space="preserve">would have rendered the CI incapable of continued service within </w:t>
      </w:r>
      <w:r w:rsidR="00F8417A">
        <w:rPr>
          <w:rFonts w:cs="Times New Roman"/>
          <w:color w:val="auto"/>
        </w:rPr>
        <w:t>her</w:t>
      </w:r>
      <w:r w:rsidR="00F8417A" w:rsidRPr="00F8417A">
        <w:rPr>
          <w:rFonts w:cs="Times New Roman"/>
          <w:color w:val="auto"/>
        </w:rPr>
        <w:t xml:space="preserve"> MOS; and, accordingly </w:t>
      </w:r>
      <w:r w:rsidR="00F8417A">
        <w:rPr>
          <w:rFonts w:cs="Times New Roman"/>
          <w:color w:val="auto"/>
        </w:rPr>
        <w:t>justify</w:t>
      </w:r>
      <w:r w:rsidR="00F8417A" w:rsidRPr="00F8417A">
        <w:rPr>
          <w:rFonts w:cs="Times New Roman"/>
          <w:color w:val="auto"/>
        </w:rPr>
        <w:t xml:space="preserve"> a separate rating.</w:t>
      </w:r>
      <w:r w:rsidR="00A06015">
        <w:rPr>
          <w:rFonts w:cs="Times New Roman"/>
          <w:color w:val="auto"/>
        </w:rPr>
        <w:t xml:space="preserve">  The Board next considered the optimal coding approach, since either thoracolumbar or </w:t>
      </w:r>
      <w:r w:rsidR="00272502">
        <w:rPr>
          <w:rFonts w:cs="Times New Roman"/>
          <w:color w:val="auto"/>
        </w:rPr>
        <w:t xml:space="preserve">left </w:t>
      </w:r>
      <w:r w:rsidR="00A06015">
        <w:rPr>
          <w:rFonts w:cs="Times New Roman"/>
          <w:color w:val="auto"/>
        </w:rPr>
        <w:t>hip rating could be justified by the associated disability; and, the precise etiology is open to question.  It was agreed that separate ra</w:t>
      </w:r>
      <w:r w:rsidR="00F3645F">
        <w:rPr>
          <w:rFonts w:cs="Times New Roman"/>
          <w:color w:val="auto"/>
        </w:rPr>
        <w:t>tings c</w:t>
      </w:r>
      <w:r w:rsidR="00A06015">
        <w:rPr>
          <w:rFonts w:cs="Times New Roman"/>
          <w:color w:val="auto"/>
        </w:rPr>
        <w:t xml:space="preserve">ould not be justified </w:t>
      </w:r>
      <w:r w:rsidR="00F3645F">
        <w:rPr>
          <w:rFonts w:cs="Times New Roman"/>
          <w:color w:val="auto"/>
        </w:rPr>
        <w:t xml:space="preserve">without violation of </w:t>
      </w:r>
      <w:r w:rsidR="00F3645F" w:rsidRPr="00F3645F">
        <w:rPr>
          <w:rFonts w:cs="Times New Roman"/>
          <w:color w:val="auto"/>
        </w:rPr>
        <w:t>VASRD §4.14 (avoidance of pyramiding)</w:t>
      </w:r>
      <w:r w:rsidR="00F3645F">
        <w:rPr>
          <w:rFonts w:cs="Times New Roman"/>
          <w:color w:val="auto"/>
        </w:rPr>
        <w:t xml:space="preserve">.  Given that no compensable ROM limitation was in evidence for either thoracolumbar spine or hip joint rating, and that only the minimum compensable rating of 10% premised on </w:t>
      </w:r>
      <w:r w:rsidR="00F3645F" w:rsidRPr="00F3645F">
        <w:rPr>
          <w:rFonts w:cs="Times New Roman"/>
          <w:color w:val="auto"/>
        </w:rPr>
        <w:t>VASRD §4.59 (painful motion)</w:t>
      </w:r>
      <w:r w:rsidR="00F3645F">
        <w:rPr>
          <w:rFonts w:cs="Times New Roman"/>
          <w:color w:val="auto"/>
        </w:rPr>
        <w:t xml:space="preserve"> could be supported for either; members agreed on the preferred code of 5299-</w:t>
      </w:r>
      <w:r w:rsidR="00F3645F" w:rsidRPr="00F3645F">
        <w:rPr>
          <w:rFonts w:cs="Times New Roman"/>
          <w:color w:val="auto"/>
        </w:rPr>
        <w:t>5237 (lumbosacral strain)</w:t>
      </w:r>
      <w:r w:rsidR="00F3645F">
        <w:rPr>
          <w:rFonts w:cs="Times New Roman"/>
          <w:color w:val="auto"/>
        </w:rPr>
        <w:t xml:space="preserve">.  </w:t>
      </w:r>
      <w:r w:rsidR="001C3634">
        <w:rPr>
          <w:rFonts w:cs="Times New Roman"/>
          <w:color w:val="auto"/>
        </w:rPr>
        <w:t xml:space="preserve">It is unclear why §4.59 was not applied by the VA rater.  </w:t>
      </w:r>
      <w:r w:rsidR="00F3645F" w:rsidRPr="00241B01">
        <w:rPr>
          <w:rFonts w:eastAsia="Calibri" w:cs="Times New Roman"/>
          <w:color w:val="auto"/>
          <w:szCs w:val="24"/>
        </w:rPr>
        <w:t xml:space="preserve">After due deliberation, considering all of the evidence and mindful of VASRD §4.3 (reasonable doubt), the Board recommends a </w:t>
      </w:r>
      <w:r w:rsidR="00F3645F">
        <w:rPr>
          <w:rFonts w:eastAsia="Calibri" w:cs="Times New Roman"/>
          <w:color w:val="auto"/>
          <w:szCs w:val="24"/>
        </w:rPr>
        <w:t xml:space="preserve">separate </w:t>
      </w:r>
      <w:r w:rsidR="00F3645F" w:rsidRPr="00241B01">
        <w:rPr>
          <w:rFonts w:eastAsia="Calibri" w:cs="Times New Roman"/>
          <w:color w:val="auto"/>
          <w:szCs w:val="24"/>
        </w:rPr>
        <w:t xml:space="preserve">disability rating of </w:t>
      </w:r>
      <w:r w:rsidR="00F3645F">
        <w:rPr>
          <w:rFonts w:eastAsia="Calibri" w:cs="Times New Roman"/>
          <w:color w:val="auto"/>
          <w:szCs w:val="24"/>
        </w:rPr>
        <w:t>1</w:t>
      </w:r>
      <w:r w:rsidR="00F3645F" w:rsidRPr="00241B01">
        <w:rPr>
          <w:rFonts w:eastAsia="Calibri" w:cs="Times New Roman"/>
          <w:color w:val="auto"/>
          <w:szCs w:val="24"/>
        </w:rPr>
        <w:t xml:space="preserve">0% for the </w:t>
      </w:r>
      <w:r w:rsidR="00F3645F">
        <w:rPr>
          <w:rFonts w:cs="Times New Roman"/>
          <w:color w:val="auto"/>
        </w:rPr>
        <w:t xml:space="preserve">left sacroiliac </w:t>
      </w:r>
      <w:r w:rsidR="00F3645F" w:rsidRPr="00241B01">
        <w:rPr>
          <w:rFonts w:eastAsia="Calibri" w:cs="Times New Roman"/>
          <w:color w:val="auto"/>
          <w:szCs w:val="24"/>
        </w:rPr>
        <w:t>condition</w:t>
      </w:r>
      <w:r w:rsidR="00F3645F">
        <w:rPr>
          <w:rFonts w:eastAsia="Calibri" w:cs="Times New Roman"/>
          <w:color w:val="auto"/>
          <w:szCs w:val="24"/>
        </w:rPr>
        <w:t xml:space="preserve"> under the above code</w:t>
      </w:r>
      <w:r w:rsidR="00F3645F" w:rsidRPr="00241B01">
        <w:rPr>
          <w:rFonts w:eastAsia="Calibri" w:cs="Times New Roman"/>
          <w:color w:val="auto"/>
          <w:szCs w:val="24"/>
        </w:rPr>
        <w:t>.</w:t>
      </w:r>
    </w:p>
    <w:p w:rsidR="00EA3C76" w:rsidRDefault="00EA3C76" w:rsidP="00EA3C76">
      <w:pPr>
        <w:tabs>
          <w:tab w:val="left" w:pos="288"/>
          <w:tab w:val="left" w:pos="4752"/>
        </w:tabs>
        <w:jc w:val="both"/>
        <w:rPr>
          <w:rFonts w:cs="Times New Roman"/>
          <w:color w:val="auto"/>
        </w:rPr>
      </w:pPr>
    </w:p>
    <w:p w:rsidR="00F3645F" w:rsidRDefault="00F3645F" w:rsidP="00EA3C76">
      <w:pPr>
        <w:tabs>
          <w:tab w:val="left" w:pos="288"/>
          <w:tab w:val="left" w:pos="4752"/>
        </w:tabs>
        <w:jc w:val="both"/>
        <w:rPr>
          <w:rFonts w:cs="Times New Roman"/>
          <w:color w:val="auto"/>
        </w:rPr>
      </w:pPr>
      <w:r w:rsidRPr="00F3645F">
        <w:rPr>
          <w:rFonts w:cs="Times New Roman"/>
          <w:color w:val="auto"/>
          <w:u w:val="single"/>
        </w:rPr>
        <w:t>Bilateral Knee Condition</w:t>
      </w:r>
      <w:r>
        <w:rPr>
          <w:rFonts w:cs="Times New Roman"/>
          <w:color w:val="auto"/>
          <w:u w:val="single"/>
        </w:rPr>
        <w:t>(s)</w:t>
      </w:r>
      <w:r>
        <w:rPr>
          <w:rFonts w:cs="Times New Roman"/>
          <w:color w:val="auto"/>
        </w:rPr>
        <w:t xml:space="preserve">.  </w:t>
      </w:r>
      <w:r w:rsidR="00032CA7">
        <w:rPr>
          <w:rFonts w:cs="Times New Roman"/>
          <w:color w:val="auto"/>
        </w:rPr>
        <w:t xml:space="preserve">The CI experienced persistent bilateral knee pain following a road march in 1998.  Her working diagnosis was retropatellar pain syndrome, and the condition was managed with </w:t>
      </w:r>
      <w:r w:rsidR="00A05742">
        <w:rPr>
          <w:rFonts w:cs="Times New Roman"/>
          <w:color w:val="auto"/>
        </w:rPr>
        <w:t>PT and anti-inflammatory medications.  She was issued</w:t>
      </w:r>
      <w:r w:rsidR="00032CA7">
        <w:rPr>
          <w:rFonts w:cs="Times New Roman"/>
          <w:color w:val="auto"/>
        </w:rPr>
        <w:t xml:space="preserve"> </w:t>
      </w:r>
      <w:r w:rsidR="00A05742">
        <w:rPr>
          <w:rFonts w:cs="Times New Roman"/>
          <w:color w:val="auto"/>
        </w:rPr>
        <w:t>a permanent L2 profile</w:t>
      </w:r>
      <w:r w:rsidR="00032CA7">
        <w:rPr>
          <w:rFonts w:cs="Times New Roman"/>
          <w:color w:val="auto"/>
        </w:rPr>
        <w:t xml:space="preserve">.  The </w:t>
      </w:r>
      <w:r w:rsidR="00A05742">
        <w:rPr>
          <w:rFonts w:cs="Times New Roman"/>
          <w:color w:val="auto"/>
        </w:rPr>
        <w:t xml:space="preserve">knee </w:t>
      </w:r>
      <w:r w:rsidR="00032CA7">
        <w:rPr>
          <w:rFonts w:cs="Times New Roman"/>
          <w:color w:val="auto"/>
        </w:rPr>
        <w:t xml:space="preserve">pain increased during a </w:t>
      </w:r>
      <w:r w:rsidR="00A05742">
        <w:rPr>
          <w:rFonts w:cs="Times New Roman"/>
          <w:color w:val="auto"/>
        </w:rPr>
        <w:t xml:space="preserve">9 month </w:t>
      </w:r>
      <w:r w:rsidR="00032CA7">
        <w:rPr>
          <w:rFonts w:cs="Times New Roman"/>
          <w:color w:val="auto"/>
        </w:rPr>
        <w:t>deployment to Iraq</w:t>
      </w:r>
      <w:r w:rsidR="00A05742">
        <w:rPr>
          <w:rFonts w:cs="Times New Roman"/>
          <w:color w:val="auto"/>
        </w:rPr>
        <w:t xml:space="preserve"> in 2003</w:t>
      </w:r>
      <w:r w:rsidR="00032CA7">
        <w:rPr>
          <w:rFonts w:cs="Times New Roman"/>
          <w:color w:val="auto"/>
        </w:rPr>
        <w:t>, and her profile was upgraded to L3 after redeployment</w:t>
      </w:r>
      <w:r w:rsidR="00A05742">
        <w:rPr>
          <w:rFonts w:cs="Times New Roman"/>
          <w:color w:val="auto"/>
        </w:rPr>
        <w:t xml:space="preserve">; although, the medical entry </w:t>
      </w:r>
      <w:r w:rsidR="00C51443">
        <w:rPr>
          <w:rFonts w:cs="Times New Roman"/>
          <w:color w:val="auto"/>
        </w:rPr>
        <w:t xml:space="preserve">assigning the profile change </w:t>
      </w:r>
      <w:r w:rsidR="00A05742">
        <w:rPr>
          <w:rFonts w:cs="Times New Roman"/>
          <w:color w:val="auto"/>
        </w:rPr>
        <w:t>suggests this was based more on the hip and back pain associated with the sacroiliac condition</w:t>
      </w:r>
      <w:r w:rsidR="00032CA7">
        <w:rPr>
          <w:rFonts w:cs="Times New Roman"/>
          <w:color w:val="auto"/>
        </w:rPr>
        <w:t xml:space="preserve">.  </w:t>
      </w:r>
      <w:r w:rsidR="00A05742">
        <w:rPr>
          <w:rFonts w:cs="Times New Roman"/>
          <w:color w:val="auto"/>
        </w:rPr>
        <w:t xml:space="preserve">There are no outpatient entries documenting ongoing PT or active treatment directed at the knee condition in the interval between redeployment and separation.  </w:t>
      </w:r>
      <w:r w:rsidR="00D61881">
        <w:rPr>
          <w:rFonts w:cs="Times New Roman"/>
          <w:color w:val="auto"/>
        </w:rPr>
        <w:t xml:space="preserve">X-rays by the VA at separation showed minimal degenerative changes (patellae) bilaterally.  </w:t>
      </w:r>
      <w:r w:rsidR="002D6847">
        <w:rPr>
          <w:rFonts w:cs="Times New Roman"/>
          <w:color w:val="auto"/>
        </w:rPr>
        <w:t>The NARSUM documented only the following regardin</w:t>
      </w:r>
      <w:r w:rsidR="00272502">
        <w:rPr>
          <w:rFonts w:cs="Times New Roman"/>
          <w:color w:val="auto"/>
        </w:rPr>
        <w:t>g the disability at that time (5</w:t>
      </w:r>
      <w:r w:rsidR="002D6847">
        <w:rPr>
          <w:rFonts w:cs="Times New Roman"/>
          <w:color w:val="auto"/>
        </w:rPr>
        <w:t xml:space="preserve"> months </w:t>
      </w:r>
      <w:r w:rsidR="00E75ECD">
        <w:rPr>
          <w:rFonts w:cs="Times New Roman"/>
          <w:color w:val="auto"/>
        </w:rPr>
        <w:t>prior to separation</w:t>
      </w:r>
      <w:r w:rsidR="002D6847">
        <w:rPr>
          <w:rFonts w:cs="Times New Roman"/>
          <w:color w:val="auto"/>
        </w:rPr>
        <w:t>):  “</w:t>
      </w:r>
      <w:r w:rsidR="002D6847" w:rsidRPr="002D6847">
        <w:rPr>
          <w:color w:val="000000"/>
          <w:szCs w:val="24"/>
        </w:rPr>
        <w:t>She also reports she has dull aching bilateral knee pain</w:t>
      </w:r>
      <w:r w:rsidR="002D6847">
        <w:rPr>
          <w:color w:val="000000"/>
          <w:szCs w:val="24"/>
        </w:rPr>
        <w:t xml:space="preserve"> </w:t>
      </w:r>
      <w:r w:rsidR="002D6847" w:rsidRPr="002D6847">
        <w:rPr>
          <w:color w:val="000000"/>
          <w:szCs w:val="24"/>
        </w:rPr>
        <w:t xml:space="preserve">which is intermittent in nature. </w:t>
      </w:r>
      <w:r w:rsidR="002D6847">
        <w:rPr>
          <w:color w:val="000000"/>
          <w:szCs w:val="24"/>
        </w:rPr>
        <w:t xml:space="preserve"> </w:t>
      </w:r>
      <w:r w:rsidR="002D6847" w:rsidRPr="002D6847">
        <w:rPr>
          <w:color w:val="000000"/>
          <w:szCs w:val="24"/>
        </w:rPr>
        <w:t>She reports that she has popping in her knees with bending.</w:t>
      </w:r>
      <w:r w:rsidR="002D6847">
        <w:rPr>
          <w:color w:val="000000"/>
          <w:szCs w:val="24"/>
        </w:rPr>
        <w:t xml:space="preserve">  </w:t>
      </w:r>
      <w:r w:rsidR="002D6847" w:rsidRPr="002D6847">
        <w:rPr>
          <w:color w:val="000000"/>
          <w:szCs w:val="24"/>
        </w:rPr>
        <w:t>Her back and knee pain is worse with road marching, running and lifting.</w:t>
      </w:r>
      <w:r w:rsidR="002D6847">
        <w:rPr>
          <w:rFonts w:cs="Times New Roman"/>
          <w:color w:val="auto"/>
        </w:rPr>
        <w:t>”  The NARSUM exam documented tenderness to patellar compression</w:t>
      </w:r>
      <w:r w:rsidR="003A711A">
        <w:rPr>
          <w:rFonts w:cs="Times New Roman"/>
          <w:color w:val="auto"/>
        </w:rPr>
        <w:t xml:space="preserve">; without effusion, edema, ligamental laxity, or </w:t>
      </w:r>
      <w:r w:rsidR="003A711A" w:rsidRPr="003A711A">
        <w:rPr>
          <w:rFonts w:cs="Times New Roman"/>
          <w:color w:val="auto"/>
        </w:rPr>
        <w:t>signs of cartilage impingement</w:t>
      </w:r>
      <w:r w:rsidR="003A711A">
        <w:rPr>
          <w:rFonts w:cs="Times New Roman"/>
          <w:color w:val="auto"/>
        </w:rPr>
        <w:t>.  ROM measurements documented</w:t>
      </w:r>
      <w:r w:rsidR="002D6847">
        <w:rPr>
          <w:rFonts w:cs="Times New Roman"/>
          <w:color w:val="auto"/>
        </w:rPr>
        <w:t xml:space="preserve"> flexion of 122⁰ (normal 140</w:t>
      </w:r>
      <w:r w:rsidR="002D6847" w:rsidRPr="002D6847">
        <w:rPr>
          <w:rFonts w:cs="Times New Roman"/>
          <w:color w:val="auto"/>
        </w:rPr>
        <w:t xml:space="preserve">⁰; minimal compensable </w:t>
      </w:r>
      <w:r w:rsidR="002D6847">
        <w:rPr>
          <w:rFonts w:cs="Times New Roman"/>
          <w:color w:val="auto"/>
        </w:rPr>
        <w:t>45</w:t>
      </w:r>
      <w:r w:rsidR="002D6847" w:rsidRPr="002D6847">
        <w:rPr>
          <w:rFonts w:cs="Times New Roman"/>
          <w:color w:val="auto"/>
        </w:rPr>
        <w:t>⁰)</w:t>
      </w:r>
      <w:r w:rsidR="002D6847">
        <w:rPr>
          <w:rFonts w:cs="Times New Roman"/>
          <w:color w:val="auto"/>
        </w:rPr>
        <w:t xml:space="preserve"> on the right and 108⁰ on the left.  </w:t>
      </w:r>
      <w:r w:rsidR="00D61881">
        <w:rPr>
          <w:rFonts w:cs="Times New Roman"/>
          <w:color w:val="auto"/>
        </w:rPr>
        <w:t xml:space="preserve">At the </w:t>
      </w:r>
      <w:r w:rsidR="00272502">
        <w:rPr>
          <w:rFonts w:cs="Times New Roman"/>
          <w:color w:val="auto"/>
        </w:rPr>
        <w:t>post</w:t>
      </w:r>
      <w:r w:rsidR="00C16BA1">
        <w:rPr>
          <w:rFonts w:cs="Times New Roman"/>
          <w:color w:val="auto"/>
        </w:rPr>
        <w:t xml:space="preserve">-separation </w:t>
      </w:r>
      <w:r w:rsidR="00D61881">
        <w:rPr>
          <w:rFonts w:cs="Times New Roman"/>
          <w:color w:val="auto"/>
        </w:rPr>
        <w:t>VA C&amp;P evaluation, the CI denied “that this [knee] pain causes any interference in her normal daily activities</w:t>
      </w:r>
      <w:r w:rsidR="00E75ECD">
        <w:rPr>
          <w:rFonts w:cs="Times New Roman"/>
          <w:color w:val="auto"/>
        </w:rPr>
        <w:t>,</w:t>
      </w:r>
      <w:r w:rsidR="00D61881">
        <w:rPr>
          <w:rFonts w:cs="Times New Roman"/>
          <w:color w:val="auto"/>
        </w:rPr>
        <w:t>” and she was taking no medication for it.  She reported exacerbations rated 3/10 “after sitting for more than thirty minutes</w:t>
      </w:r>
      <w:r w:rsidR="00E75ECD">
        <w:rPr>
          <w:rFonts w:cs="Times New Roman"/>
          <w:color w:val="auto"/>
        </w:rPr>
        <w:t>.</w:t>
      </w:r>
      <w:r w:rsidR="00D61881">
        <w:rPr>
          <w:rFonts w:cs="Times New Roman"/>
          <w:color w:val="auto"/>
        </w:rPr>
        <w:t xml:space="preserve">”  </w:t>
      </w:r>
      <w:r w:rsidR="003A711A">
        <w:rPr>
          <w:rFonts w:cs="Times New Roman"/>
          <w:color w:val="auto"/>
        </w:rPr>
        <w:t>The VA physical exam was remarkable only for “crepitus palpable under the patella with extreme flexion and extension</w:t>
      </w:r>
      <w:r w:rsidR="00E75ECD">
        <w:rPr>
          <w:rFonts w:cs="Times New Roman"/>
          <w:color w:val="auto"/>
        </w:rPr>
        <w:t>.</w:t>
      </w:r>
      <w:r w:rsidR="003A711A">
        <w:rPr>
          <w:rFonts w:cs="Times New Roman"/>
          <w:color w:val="auto"/>
        </w:rPr>
        <w:t>”  All other findings were normal, as with the MEB exam.  ROM findings were equivalent bilaterally, “flexion 0 to 140⁰ without pain</w:t>
      </w:r>
      <w:r w:rsidR="00E75ECD">
        <w:rPr>
          <w:rFonts w:cs="Times New Roman"/>
          <w:color w:val="auto"/>
        </w:rPr>
        <w:t>.</w:t>
      </w:r>
      <w:r w:rsidR="003A711A">
        <w:rPr>
          <w:rFonts w:cs="Times New Roman"/>
          <w:color w:val="auto"/>
        </w:rPr>
        <w:t xml:space="preserve">” </w:t>
      </w:r>
    </w:p>
    <w:p w:rsidR="00EA3C76" w:rsidRDefault="00EA3C76" w:rsidP="0069687C">
      <w:pPr>
        <w:jc w:val="both"/>
        <w:rPr>
          <w:color w:val="000000"/>
          <w:szCs w:val="24"/>
          <w:highlight w:val="red"/>
        </w:rPr>
      </w:pPr>
    </w:p>
    <w:p w:rsidR="00EA3C76" w:rsidRDefault="003A711A" w:rsidP="002D6847">
      <w:pPr>
        <w:jc w:val="both"/>
        <w:rPr>
          <w:rFonts w:eastAsia="Calibri"/>
          <w:color w:val="auto"/>
          <w:szCs w:val="24"/>
        </w:rPr>
      </w:pPr>
      <w:r w:rsidRPr="00F8417A">
        <w:rPr>
          <w:rFonts w:cs="Times New Roman"/>
          <w:color w:val="auto"/>
        </w:rPr>
        <w:t>The Board directs</w:t>
      </w:r>
      <w:r w:rsidRPr="009A7578">
        <w:rPr>
          <w:rFonts w:cs="Times New Roman"/>
          <w:color w:val="auto"/>
        </w:rPr>
        <w:t xml:space="preserve"> attenti</w:t>
      </w:r>
      <w:r>
        <w:rPr>
          <w:rFonts w:cs="Times New Roman"/>
          <w:color w:val="auto"/>
        </w:rPr>
        <w:t>on to its rating recommendation</w:t>
      </w:r>
      <w:bookmarkStart w:id="0" w:name="_GoBack"/>
      <w:bookmarkEnd w:id="0"/>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Pr="003A711A">
        <w:rPr>
          <w:rFonts w:eastAsia="Calibri"/>
          <w:color w:val="auto"/>
          <w:szCs w:val="24"/>
        </w:rPr>
        <w:t xml:space="preserve">The Board first considered if </w:t>
      </w:r>
      <w:r>
        <w:rPr>
          <w:rFonts w:eastAsia="Calibri"/>
          <w:color w:val="auto"/>
          <w:szCs w:val="24"/>
        </w:rPr>
        <w:t>the bilateral knee condition</w:t>
      </w:r>
      <w:r w:rsidRPr="003A711A">
        <w:rPr>
          <w:rFonts w:eastAsia="Calibri"/>
          <w:color w:val="auto"/>
          <w:szCs w:val="24"/>
        </w:rPr>
        <w:t xml:space="preserve"> remained independently unfitting as established above.  </w:t>
      </w:r>
      <w:r>
        <w:rPr>
          <w:rFonts w:eastAsia="Calibri"/>
          <w:color w:val="auto"/>
          <w:szCs w:val="24"/>
        </w:rPr>
        <w:t>Although it was judged by the MEB provider to fail retention standards, was</w:t>
      </w:r>
      <w:r w:rsidRPr="003A711A">
        <w:rPr>
          <w:rFonts w:eastAsia="Calibri"/>
          <w:color w:val="auto"/>
          <w:szCs w:val="24"/>
        </w:rPr>
        <w:t xml:space="preserve"> </w:t>
      </w:r>
      <w:r>
        <w:rPr>
          <w:rFonts w:eastAsia="Calibri"/>
          <w:color w:val="auto"/>
          <w:szCs w:val="24"/>
        </w:rPr>
        <w:t>listed in</w:t>
      </w:r>
      <w:r w:rsidRPr="003A711A">
        <w:rPr>
          <w:rFonts w:eastAsia="Calibri"/>
          <w:color w:val="auto"/>
          <w:szCs w:val="24"/>
        </w:rPr>
        <w:t xml:space="preserve"> the commander’s </w:t>
      </w:r>
      <w:r>
        <w:rPr>
          <w:rFonts w:eastAsia="Calibri"/>
          <w:color w:val="auto"/>
          <w:szCs w:val="24"/>
        </w:rPr>
        <w:t>statement, and</w:t>
      </w:r>
      <w:r w:rsidRPr="003A711A">
        <w:rPr>
          <w:rFonts w:eastAsia="Calibri"/>
          <w:color w:val="auto"/>
          <w:szCs w:val="24"/>
        </w:rPr>
        <w:t xml:space="preserve"> </w:t>
      </w:r>
      <w:r>
        <w:rPr>
          <w:rFonts w:eastAsia="Calibri"/>
          <w:color w:val="auto"/>
          <w:szCs w:val="24"/>
        </w:rPr>
        <w:t>was</w:t>
      </w:r>
      <w:r w:rsidRPr="003A711A">
        <w:rPr>
          <w:rFonts w:eastAsia="Calibri"/>
          <w:color w:val="auto"/>
          <w:szCs w:val="24"/>
        </w:rPr>
        <w:t xml:space="preserve"> </w:t>
      </w:r>
      <w:r>
        <w:rPr>
          <w:rFonts w:eastAsia="Calibri"/>
          <w:color w:val="auto"/>
          <w:szCs w:val="24"/>
        </w:rPr>
        <w:t>included on the L3 profile; it is difficult to find evidence which supports a conclusion that, after recovering from the rigors of the 2003 deployment, it was worse at separation than it had been for years under the L2 profile.</w:t>
      </w:r>
      <w:r w:rsidR="004D0BCB">
        <w:rPr>
          <w:rFonts w:eastAsia="Calibri"/>
          <w:color w:val="auto"/>
          <w:szCs w:val="24"/>
        </w:rPr>
        <w:t xml:space="preserve">  </w:t>
      </w:r>
      <w:r w:rsidR="001A06F6">
        <w:rPr>
          <w:rFonts w:eastAsia="Calibri"/>
          <w:color w:val="auto"/>
          <w:szCs w:val="24"/>
        </w:rPr>
        <w:t>T</w:t>
      </w:r>
      <w:r w:rsidR="004D0BCB">
        <w:rPr>
          <w:rFonts w:eastAsia="Calibri"/>
          <w:color w:val="auto"/>
          <w:szCs w:val="24"/>
        </w:rPr>
        <w:t>he VA evaluation</w:t>
      </w:r>
      <w:r w:rsidR="00E75ECD">
        <w:rPr>
          <w:rFonts w:eastAsia="Calibri"/>
          <w:color w:val="auto"/>
          <w:szCs w:val="24"/>
        </w:rPr>
        <w:t xml:space="preserve"> performed </w:t>
      </w:r>
      <w:r w:rsidR="00E75ECD">
        <w:rPr>
          <w:rFonts w:cs="Times New Roman"/>
          <w:color w:val="auto"/>
        </w:rPr>
        <w:t>a</w:t>
      </w:r>
      <w:r w:rsidR="00C16BA1">
        <w:rPr>
          <w:rFonts w:cs="Times New Roman"/>
          <w:color w:val="auto"/>
        </w:rPr>
        <w:t xml:space="preserve"> month </w:t>
      </w:r>
      <w:r w:rsidR="00E75ECD">
        <w:rPr>
          <w:rFonts w:cs="Times New Roman"/>
          <w:color w:val="auto"/>
        </w:rPr>
        <w:t xml:space="preserve">after </w:t>
      </w:r>
      <w:r w:rsidR="00C16BA1">
        <w:rPr>
          <w:rFonts w:cs="Times New Roman"/>
          <w:color w:val="auto"/>
        </w:rPr>
        <w:t>separation</w:t>
      </w:r>
      <w:r w:rsidR="004D0BCB">
        <w:rPr>
          <w:rFonts w:eastAsia="Calibri"/>
          <w:color w:val="auto"/>
          <w:szCs w:val="24"/>
        </w:rPr>
        <w:t xml:space="preserve">, which was more </w:t>
      </w:r>
      <w:r w:rsidR="001A06F6">
        <w:rPr>
          <w:rFonts w:eastAsia="Calibri"/>
          <w:color w:val="auto"/>
          <w:szCs w:val="24"/>
        </w:rPr>
        <w:t xml:space="preserve">probative to disability at separation </w:t>
      </w:r>
      <w:r w:rsidR="004D0BCB">
        <w:rPr>
          <w:rFonts w:eastAsia="Calibri"/>
          <w:color w:val="auto"/>
          <w:szCs w:val="24"/>
        </w:rPr>
        <w:t xml:space="preserve">than the </w:t>
      </w:r>
      <w:r w:rsidR="00C16BA1">
        <w:rPr>
          <w:rFonts w:eastAsia="Calibri"/>
          <w:color w:val="auto"/>
          <w:szCs w:val="24"/>
        </w:rPr>
        <w:t xml:space="preserve">NARSUM exam performed </w:t>
      </w:r>
      <w:r w:rsidR="001A06F6">
        <w:rPr>
          <w:rFonts w:cs="Times New Roman"/>
          <w:color w:val="auto"/>
        </w:rPr>
        <w:t>6</w:t>
      </w:r>
      <w:r w:rsidR="00C16BA1">
        <w:rPr>
          <w:rFonts w:cs="Times New Roman"/>
          <w:color w:val="auto"/>
        </w:rPr>
        <w:t xml:space="preserve"> months </w:t>
      </w:r>
      <w:r w:rsidR="001A06F6">
        <w:rPr>
          <w:rFonts w:cs="Times New Roman"/>
          <w:color w:val="auto"/>
        </w:rPr>
        <w:t>earlier</w:t>
      </w:r>
      <w:r w:rsidR="001A06F6">
        <w:rPr>
          <w:rFonts w:eastAsia="Calibri"/>
          <w:color w:val="auto"/>
          <w:szCs w:val="24"/>
        </w:rPr>
        <w:t>, documents the absence of any significant impairment</w:t>
      </w:r>
      <w:r w:rsidR="004D0BCB">
        <w:rPr>
          <w:rFonts w:eastAsia="Calibri"/>
          <w:color w:val="auto"/>
          <w:szCs w:val="24"/>
        </w:rPr>
        <w:t xml:space="preserve">.  </w:t>
      </w:r>
      <w:r w:rsidR="001A06F6">
        <w:rPr>
          <w:rFonts w:eastAsia="Calibri"/>
          <w:color w:val="auto"/>
          <w:szCs w:val="24"/>
        </w:rPr>
        <w:t xml:space="preserve">The NARSUM evidence itself notes only general soldiering limitations, shared with the sacroiliac/hip </w:t>
      </w:r>
      <w:r w:rsidR="00DE1A7E">
        <w:rPr>
          <w:rFonts w:eastAsia="Calibri"/>
          <w:color w:val="auto"/>
          <w:szCs w:val="24"/>
        </w:rPr>
        <w:t>impairment</w:t>
      </w:r>
      <w:r w:rsidR="0033438F">
        <w:rPr>
          <w:rFonts w:eastAsia="Calibri"/>
          <w:color w:val="auto"/>
          <w:szCs w:val="24"/>
        </w:rPr>
        <w:t>; but, not MOS-specific impediments.  The lack of any clinical evaluations or treatment for an extended period prior to separation leaves the Board with no performance based criteria on which to base a determination that the knee condition was unfitting.  The only probative outpatient documentation</w:t>
      </w:r>
      <w:r w:rsidR="00DE1A7E">
        <w:rPr>
          <w:rFonts w:eastAsia="Calibri"/>
          <w:color w:val="auto"/>
          <w:szCs w:val="24"/>
        </w:rPr>
        <w:t>, in fact,</w:t>
      </w:r>
      <w:r w:rsidR="0033438F">
        <w:rPr>
          <w:rFonts w:eastAsia="Calibri"/>
          <w:color w:val="auto"/>
          <w:szCs w:val="24"/>
        </w:rPr>
        <w:t xml:space="preserve"> was the </w:t>
      </w:r>
      <w:r w:rsidR="00DE1A7E">
        <w:rPr>
          <w:rFonts w:eastAsia="Calibri"/>
          <w:color w:val="auto"/>
          <w:szCs w:val="24"/>
        </w:rPr>
        <w:t>profile review referenced above;</w:t>
      </w:r>
      <w:r w:rsidR="0033438F">
        <w:rPr>
          <w:rFonts w:eastAsia="Calibri"/>
          <w:color w:val="auto"/>
          <w:szCs w:val="24"/>
        </w:rPr>
        <w:t xml:space="preserve"> which concentrated on the sa</w:t>
      </w:r>
      <w:r w:rsidR="00DE1A7E">
        <w:rPr>
          <w:rFonts w:eastAsia="Calibri"/>
          <w:color w:val="auto"/>
          <w:szCs w:val="24"/>
        </w:rPr>
        <w:t>croiliac and gynecologic issues, and</w:t>
      </w:r>
      <w:r w:rsidR="0033438F">
        <w:rPr>
          <w:rFonts w:eastAsia="Calibri"/>
          <w:color w:val="auto"/>
          <w:szCs w:val="24"/>
        </w:rPr>
        <w:t xml:space="preserve"> only mentioned the knees in passing.  The L3 profile did not add any limitations referable to the </w:t>
      </w:r>
      <w:r w:rsidR="0033438F">
        <w:rPr>
          <w:rFonts w:eastAsia="Calibri"/>
          <w:color w:val="auto"/>
          <w:szCs w:val="24"/>
        </w:rPr>
        <w:lastRenderedPageBreak/>
        <w:t xml:space="preserve">knees that were not present on the L2 profile under which the CI met MOS requirements for an extended period.  The commander’s </w:t>
      </w:r>
      <w:r w:rsidR="00DE1A7E">
        <w:rPr>
          <w:rFonts w:eastAsia="Calibri"/>
          <w:color w:val="auto"/>
          <w:szCs w:val="24"/>
        </w:rPr>
        <w:t>statement listed all of the profiled conditions, but did not detail the nature of any physical limitations.  Finally it must be noted that, even if the condition were conceded as unfitting, criteria for a compensable rating are not supported</w:t>
      </w:r>
      <w:r w:rsidR="0033438F">
        <w:rPr>
          <w:rFonts w:eastAsia="Calibri"/>
          <w:color w:val="auto"/>
          <w:szCs w:val="24"/>
        </w:rPr>
        <w:t xml:space="preserve"> </w:t>
      </w:r>
      <w:r w:rsidR="00DE1A7E">
        <w:rPr>
          <w:rFonts w:eastAsia="Calibri"/>
          <w:color w:val="auto"/>
          <w:szCs w:val="24"/>
        </w:rPr>
        <w:t xml:space="preserve">(with the tenuous exception of  a bilateral 10% analogous to 5003); and, thus no practical benefit to the CI would accrue.  </w:t>
      </w:r>
      <w:r w:rsidR="00181047">
        <w:rPr>
          <w:rFonts w:eastAsia="Calibri" w:cs="Times New Roman"/>
          <w:color w:val="auto"/>
          <w:szCs w:val="24"/>
        </w:rPr>
        <w:t>After due deliberation</w:t>
      </w:r>
      <w:r w:rsidR="00181047" w:rsidRPr="00241B01">
        <w:rPr>
          <w:rFonts w:eastAsia="Calibri" w:cs="Times New Roman"/>
          <w:color w:val="auto"/>
          <w:szCs w:val="24"/>
        </w:rPr>
        <w:t xml:space="preserve"> </w:t>
      </w:r>
      <w:r w:rsidR="00181047">
        <w:rPr>
          <w:rFonts w:eastAsia="Calibri" w:cs="Times New Roman"/>
          <w:color w:val="auto"/>
          <w:szCs w:val="24"/>
        </w:rPr>
        <w:t>in consideration of the preponderance</w:t>
      </w:r>
      <w:r w:rsidR="00181047" w:rsidRPr="00241B01">
        <w:rPr>
          <w:rFonts w:eastAsia="Calibri" w:cs="Times New Roman"/>
          <w:color w:val="auto"/>
          <w:szCs w:val="24"/>
        </w:rPr>
        <w:t xml:space="preserve"> of the evidence, the Board concluded that there was insufficient </w:t>
      </w:r>
      <w:r w:rsidR="00181047">
        <w:rPr>
          <w:rFonts w:eastAsia="Calibri" w:cs="Times New Roman"/>
          <w:color w:val="auto"/>
          <w:szCs w:val="24"/>
        </w:rPr>
        <w:t>support for</w:t>
      </w:r>
      <w:r w:rsidR="00181047" w:rsidRPr="00241B01">
        <w:rPr>
          <w:rFonts w:eastAsia="Calibri" w:cs="Times New Roman"/>
          <w:color w:val="auto"/>
          <w:szCs w:val="24"/>
        </w:rPr>
        <w:t xml:space="preserve"> recommend</w:t>
      </w:r>
      <w:r w:rsidR="00181047">
        <w:rPr>
          <w:rFonts w:eastAsia="Calibri" w:cs="Times New Roman"/>
          <w:color w:val="auto"/>
          <w:szCs w:val="24"/>
        </w:rPr>
        <w:t>ing the</w:t>
      </w:r>
      <w:r w:rsidR="00181047" w:rsidRPr="00241B01">
        <w:rPr>
          <w:rFonts w:eastAsia="Calibri" w:cs="Times New Roman"/>
          <w:color w:val="auto"/>
          <w:szCs w:val="24"/>
        </w:rPr>
        <w:t xml:space="preserve"> </w:t>
      </w:r>
      <w:r w:rsidR="00181047">
        <w:rPr>
          <w:rFonts w:eastAsia="Calibri" w:cs="Times New Roman"/>
          <w:color w:val="auto"/>
          <w:szCs w:val="24"/>
        </w:rPr>
        <w:t>a</w:t>
      </w:r>
      <w:r w:rsidR="00DE1A7E" w:rsidRPr="00DE1A7E">
        <w:rPr>
          <w:rFonts w:eastAsia="Calibri"/>
          <w:color w:val="auto"/>
          <w:szCs w:val="24"/>
        </w:rPr>
        <w:t xml:space="preserve">ddition of </w:t>
      </w:r>
      <w:r w:rsidR="00181047">
        <w:rPr>
          <w:rFonts w:eastAsia="Calibri"/>
          <w:color w:val="auto"/>
          <w:szCs w:val="24"/>
        </w:rPr>
        <w:t>bilateral patellofemoral pain syndrome</w:t>
      </w:r>
      <w:r w:rsidR="00DE1A7E" w:rsidRPr="00DE1A7E">
        <w:rPr>
          <w:rFonts w:eastAsia="Calibri"/>
          <w:color w:val="auto"/>
          <w:szCs w:val="24"/>
        </w:rPr>
        <w:t xml:space="preserve"> as an unfitting condition for disability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241B01" w:rsidRDefault="00AD2379" w:rsidP="009A757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w:t>
      </w:r>
      <w:r w:rsidR="00DA7CC7" w:rsidRPr="00417501">
        <w:rPr>
          <w:color w:val="000000"/>
        </w:rPr>
        <w:t xml:space="preserve">and possibly AR 635-40 </w:t>
      </w:r>
      <w:r w:rsidR="00241B01" w:rsidRPr="00241B01">
        <w:rPr>
          <w:rFonts w:eastAsia="Calibri" w:cs="Times New Roman"/>
          <w:color w:val="auto"/>
          <w:szCs w:val="24"/>
        </w:rPr>
        <w:t xml:space="preserve">for rating </w:t>
      </w:r>
      <w:r w:rsidR="00DA7CC7">
        <w:rPr>
          <w:rFonts w:eastAsia="Calibri" w:cs="Times New Roman"/>
          <w:color w:val="auto"/>
          <w:szCs w:val="24"/>
        </w:rPr>
        <w:t>the left sacroiliac and bilateral knee conditions</w:t>
      </w:r>
      <w:r w:rsidR="00241B01" w:rsidRPr="00241B01">
        <w:rPr>
          <w:rFonts w:eastAsia="Calibri" w:cs="Times New Roman"/>
          <w:color w:val="auto"/>
          <w:szCs w:val="24"/>
        </w:rPr>
        <w:t xml:space="preserve"> was </w:t>
      </w:r>
      <w:r w:rsidR="00241B01" w:rsidRPr="00181047">
        <w:rPr>
          <w:rFonts w:eastAsia="Calibri" w:cs="Times New Roman"/>
          <w:color w:val="auto"/>
          <w:szCs w:val="24"/>
        </w:rPr>
        <w:t>operant in this case</w:t>
      </w:r>
      <w:r w:rsidR="00DA7CC7" w:rsidRPr="00181047">
        <w:rPr>
          <w:rFonts w:eastAsia="Calibri" w:cs="Times New Roman"/>
          <w:color w:val="auto"/>
          <w:szCs w:val="24"/>
        </w:rPr>
        <w:t>,</w:t>
      </w:r>
      <w:r w:rsidR="00241B01" w:rsidRPr="00181047">
        <w:rPr>
          <w:rFonts w:eastAsia="Calibri" w:cs="Times New Roman"/>
          <w:color w:val="auto"/>
          <w:szCs w:val="24"/>
        </w:rPr>
        <w:t xml:space="preserve"> and </w:t>
      </w:r>
      <w:r w:rsidR="00DA7CC7" w:rsidRPr="00181047">
        <w:rPr>
          <w:rFonts w:eastAsia="Calibri" w:cs="Times New Roman"/>
          <w:color w:val="auto"/>
          <w:szCs w:val="24"/>
        </w:rPr>
        <w:t>those</w:t>
      </w:r>
      <w:r w:rsidR="00241B01" w:rsidRPr="00181047">
        <w:rPr>
          <w:rFonts w:eastAsia="Calibri" w:cs="Times New Roman"/>
          <w:color w:val="auto"/>
          <w:szCs w:val="24"/>
        </w:rPr>
        <w:t xml:space="preserve"> condition</w:t>
      </w:r>
      <w:r w:rsidR="00DA7CC7" w:rsidRPr="00181047">
        <w:rPr>
          <w:rFonts w:eastAsia="Calibri" w:cs="Times New Roman"/>
          <w:color w:val="auto"/>
          <w:szCs w:val="24"/>
        </w:rPr>
        <w:t>s were</w:t>
      </w:r>
      <w:r w:rsidR="00241B01" w:rsidRPr="00181047">
        <w:rPr>
          <w:rFonts w:eastAsia="Calibri" w:cs="Times New Roman"/>
          <w:color w:val="auto"/>
          <w:szCs w:val="24"/>
        </w:rPr>
        <w:t xml:space="preserve"> adjudicated independently of that policy </w:t>
      </w:r>
      <w:r w:rsidR="00DA7CC7" w:rsidRPr="00181047">
        <w:rPr>
          <w:rFonts w:eastAsia="Calibri" w:cs="Times New Roman"/>
          <w:color w:val="auto"/>
          <w:szCs w:val="24"/>
        </w:rPr>
        <w:t xml:space="preserve">and regulation </w:t>
      </w:r>
      <w:r w:rsidR="00241B01" w:rsidRPr="00181047">
        <w:rPr>
          <w:rFonts w:eastAsia="Calibri" w:cs="Times New Roman"/>
          <w:color w:val="auto"/>
          <w:szCs w:val="24"/>
        </w:rPr>
        <w:t xml:space="preserve">by the Board. </w:t>
      </w:r>
      <w:r w:rsidR="00DA7CC7" w:rsidRPr="00181047">
        <w:rPr>
          <w:rFonts w:eastAsia="Calibri" w:cs="Times New Roman"/>
          <w:color w:val="auto"/>
          <w:szCs w:val="24"/>
        </w:rPr>
        <w:t xml:space="preserve"> In the matter of the left sacroiliac condition, the Board unanimously recommends a disability rating of 10%, coded </w:t>
      </w:r>
      <w:r w:rsidR="00DA7CC7" w:rsidRPr="00181047">
        <w:rPr>
          <w:rFonts w:cs="Times New Roman"/>
          <w:color w:val="auto"/>
        </w:rPr>
        <w:t xml:space="preserve">5299-5237 </w:t>
      </w:r>
      <w:r w:rsidR="00DA7CC7" w:rsidRPr="00181047">
        <w:rPr>
          <w:rFonts w:eastAsia="Calibri" w:cs="Times New Roman"/>
          <w:color w:val="auto"/>
          <w:szCs w:val="24"/>
        </w:rPr>
        <w:t xml:space="preserve">IAW VASRD §4.71a.  </w:t>
      </w:r>
      <w:r w:rsidR="00241B01" w:rsidRPr="00181047">
        <w:rPr>
          <w:rFonts w:eastAsia="Calibri" w:cs="Times New Roman"/>
          <w:color w:val="auto"/>
          <w:szCs w:val="24"/>
        </w:rPr>
        <w:t xml:space="preserve">In the matter of the </w:t>
      </w:r>
      <w:r w:rsidR="00DA7CC7" w:rsidRPr="00181047">
        <w:rPr>
          <w:rFonts w:eastAsia="Calibri" w:cs="Times New Roman"/>
          <w:color w:val="auto"/>
          <w:szCs w:val="24"/>
        </w:rPr>
        <w:t>bilateral knee</w:t>
      </w:r>
      <w:r w:rsidR="00241B01" w:rsidRPr="00181047">
        <w:rPr>
          <w:rFonts w:eastAsia="Calibri" w:cs="Times New Roman"/>
          <w:color w:val="auto"/>
          <w:szCs w:val="24"/>
        </w:rPr>
        <w:t xml:space="preserve"> condition, the Board unanimously </w:t>
      </w:r>
      <w:r w:rsidR="00181047" w:rsidRPr="00181047">
        <w:rPr>
          <w:rFonts w:eastAsia="Calibri" w:cs="Times New Roman"/>
          <w:color w:val="auto"/>
          <w:szCs w:val="24"/>
        </w:rPr>
        <w:t xml:space="preserve">agrees that it cannot recommend a finding of unfit for additional disability rating.  </w:t>
      </w:r>
      <w:r w:rsidR="00DA7CC7">
        <w:rPr>
          <w:rFonts w:eastAsia="Calibri" w:cs="Times New Roman"/>
          <w:color w:val="auto"/>
          <w:szCs w:val="24"/>
        </w:rPr>
        <w:t>T</w:t>
      </w:r>
      <w:r w:rsidR="00DA7CC7" w:rsidRPr="003471C5">
        <w:rPr>
          <w:rFonts w:eastAsia="Calibri" w:cs="Times New Roman"/>
          <w:color w:val="auto"/>
          <w:szCs w:val="24"/>
        </w:rPr>
        <w: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181047" w:rsidRDefault="00AD2379" w:rsidP="006364ED">
      <w:pPr>
        <w:jc w:val="left"/>
        <w:rPr>
          <w:color w:val="000000"/>
        </w:rPr>
      </w:pPr>
    </w:p>
    <w:p w:rsidR="00DA7CC7" w:rsidRPr="00565636" w:rsidRDefault="00AD2379" w:rsidP="00DA7CC7">
      <w:pPr>
        <w:jc w:val="both"/>
        <w:rPr>
          <w:rFonts w:eastAsia="Calibri" w:cs="Times New Roman"/>
          <w:color w:val="000080"/>
          <w:szCs w:val="24"/>
        </w:rPr>
      </w:pPr>
      <w:r w:rsidRPr="00181047">
        <w:rPr>
          <w:color w:val="000000"/>
          <w:u w:val="single"/>
        </w:rPr>
        <w:t>RECOMMENDATION</w:t>
      </w:r>
      <w:r w:rsidRPr="00181047">
        <w:rPr>
          <w:color w:val="000000"/>
        </w:rPr>
        <w:t xml:space="preserve">: </w:t>
      </w:r>
      <w:r w:rsidR="00DA7CC7" w:rsidRPr="00181047">
        <w:rPr>
          <w:rFonts w:eastAsia="Calibri" w:cs="Times New Roman"/>
          <w:color w:val="auto"/>
          <w:szCs w:val="24"/>
        </w:rPr>
        <w:t>The Board recommends that the CI’s prior determination be modified as follows, effective as of the date of her prior medical separation:</w:t>
      </w:r>
    </w:p>
    <w:p w:rsidR="00AD2379" w:rsidRDefault="00AD2379" w:rsidP="00BF0E94">
      <w:pPr>
        <w:jc w:val="both"/>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071071" w:rsidRPr="000D5DBE" w:rsidTr="00181047">
        <w:trPr>
          <w:trHeight w:val="233"/>
        </w:trPr>
        <w:tc>
          <w:tcPr>
            <w:tcW w:w="6768" w:type="dxa"/>
            <w:tcBorders>
              <w:righ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UNFITTING CONDITION</w:t>
            </w:r>
          </w:p>
        </w:tc>
        <w:tc>
          <w:tcPr>
            <w:tcW w:w="1530" w:type="dxa"/>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RATING</w:t>
            </w:r>
          </w:p>
        </w:tc>
      </w:tr>
      <w:tr w:rsidR="00071071" w:rsidRPr="000D5DBE" w:rsidTr="00181047">
        <w:tc>
          <w:tcPr>
            <w:tcW w:w="6768" w:type="dxa"/>
            <w:tcBorders>
              <w:right w:val="single" w:sz="4" w:space="0" w:color="auto"/>
            </w:tcBorders>
            <w:vAlign w:val="center"/>
          </w:tcPr>
          <w:p w:rsidR="00071071" w:rsidRPr="000D5DBE" w:rsidRDefault="00DA7CC7" w:rsidP="00071071">
            <w:pPr>
              <w:tabs>
                <w:tab w:val="left" w:pos="288"/>
                <w:tab w:val="left" w:pos="4752"/>
              </w:tabs>
              <w:jc w:val="left"/>
              <w:rPr>
                <w:color w:val="000000"/>
              </w:rPr>
            </w:pPr>
            <w:r>
              <w:rPr>
                <w:color w:val="000000"/>
              </w:rPr>
              <w:t>Left Sacroiliac Dysfunction</w:t>
            </w:r>
          </w:p>
        </w:tc>
        <w:tc>
          <w:tcPr>
            <w:tcW w:w="1530" w:type="dxa"/>
            <w:tcBorders>
              <w:left w:val="single" w:sz="4" w:space="0" w:color="auto"/>
            </w:tcBorders>
            <w:vAlign w:val="center"/>
          </w:tcPr>
          <w:p w:rsidR="00071071" w:rsidRPr="000D5DBE" w:rsidRDefault="00DA7CC7" w:rsidP="00071071">
            <w:pPr>
              <w:tabs>
                <w:tab w:val="left" w:pos="288"/>
                <w:tab w:val="left" w:pos="4752"/>
              </w:tabs>
              <w:rPr>
                <w:color w:val="000000"/>
              </w:rPr>
            </w:pPr>
            <w:r>
              <w:rPr>
                <w:color w:val="000000"/>
              </w:rPr>
              <w:t>5299-5237</w:t>
            </w:r>
          </w:p>
        </w:tc>
        <w:tc>
          <w:tcPr>
            <w:tcW w:w="1026" w:type="dxa"/>
            <w:vAlign w:val="center"/>
          </w:tcPr>
          <w:p w:rsidR="00071071" w:rsidRPr="000D5DBE" w:rsidRDefault="00DA7CC7" w:rsidP="00071071">
            <w:pPr>
              <w:tabs>
                <w:tab w:val="left" w:pos="288"/>
                <w:tab w:val="left" w:pos="4752"/>
              </w:tabs>
              <w:rPr>
                <w:color w:val="000000"/>
              </w:rPr>
            </w:pPr>
            <w:r>
              <w:rPr>
                <w:color w:val="000000"/>
              </w:rPr>
              <w:t>1</w:t>
            </w:r>
            <w:r w:rsidR="00071071" w:rsidRPr="000D5DBE">
              <w:rPr>
                <w:color w:val="000000"/>
              </w:rPr>
              <w:t>0%</w:t>
            </w:r>
          </w:p>
        </w:tc>
      </w:tr>
      <w:tr w:rsidR="00A67E6C" w:rsidRPr="000D5DBE" w:rsidTr="00181047">
        <w:tc>
          <w:tcPr>
            <w:tcW w:w="6768" w:type="dxa"/>
            <w:tcBorders>
              <w:right w:val="single" w:sz="4" w:space="0" w:color="auto"/>
            </w:tcBorders>
            <w:shd w:val="clear" w:color="auto" w:fill="FFFFFF" w:themeFill="background1"/>
            <w:vAlign w:val="center"/>
          </w:tcPr>
          <w:p w:rsidR="00A67E6C" w:rsidRDefault="00A67E6C" w:rsidP="00A67E6C">
            <w:pPr>
              <w:tabs>
                <w:tab w:val="left" w:pos="288"/>
                <w:tab w:val="left" w:pos="4752"/>
              </w:tabs>
              <w:jc w:val="left"/>
              <w:rPr>
                <w:color w:val="000000"/>
              </w:rPr>
            </w:pPr>
            <w:r>
              <w:rPr>
                <w:color w:val="000000"/>
              </w:rPr>
              <w:t>Patellofemoral Pain Syndrome, Bilateral Knees</w:t>
            </w:r>
          </w:p>
        </w:tc>
        <w:tc>
          <w:tcPr>
            <w:tcW w:w="2556" w:type="dxa"/>
            <w:gridSpan w:val="2"/>
            <w:tcBorders>
              <w:left w:val="single" w:sz="4" w:space="0" w:color="auto"/>
            </w:tcBorders>
            <w:shd w:val="clear" w:color="auto" w:fill="FFFFFF" w:themeFill="background1"/>
            <w:vAlign w:val="center"/>
          </w:tcPr>
          <w:p w:rsidR="00A67E6C" w:rsidRDefault="00A67E6C" w:rsidP="00A67E6C">
            <w:pPr>
              <w:tabs>
                <w:tab w:val="left" w:pos="288"/>
                <w:tab w:val="left" w:pos="4752"/>
              </w:tabs>
              <w:rPr>
                <w:color w:val="000000"/>
              </w:rPr>
            </w:pPr>
            <w:r>
              <w:rPr>
                <w:color w:val="000000"/>
              </w:rPr>
              <w:t>Not Unfitting</w:t>
            </w:r>
          </w:p>
        </w:tc>
      </w:tr>
      <w:tr w:rsidR="00071071" w:rsidRPr="000D5DBE" w:rsidTr="00181047">
        <w:tblPrEx>
          <w:tblLook w:val="0000"/>
        </w:tblPrEx>
        <w:trPr>
          <w:gridBefore w:val="1"/>
          <w:wBefore w:w="6768" w:type="dxa"/>
          <w:trHeight w:val="152"/>
        </w:trPr>
        <w:tc>
          <w:tcPr>
            <w:tcW w:w="1530" w:type="dxa"/>
            <w:tcBorders>
              <w:left w:val="single" w:sz="4" w:space="0" w:color="auto"/>
            </w:tcBorders>
            <w:shd w:val="clear" w:color="auto" w:fill="D9D9D9"/>
            <w:vAlign w:val="center"/>
          </w:tcPr>
          <w:p w:rsidR="00071071" w:rsidRPr="000D5DBE" w:rsidRDefault="00071071" w:rsidP="00181047">
            <w:pPr>
              <w:tabs>
                <w:tab w:val="left" w:pos="288"/>
                <w:tab w:val="left" w:pos="4752"/>
              </w:tabs>
              <w:rPr>
                <w:b/>
                <w:color w:val="000000"/>
              </w:rPr>
            </w:pPr>
            <w:r w:rsidRPr="000D5DBE">
              <w:rPr>
                <w:b/>
                <w:color w:val="000000"/>
              </w:rPr>
              <w:t>COMBINED</w:t>
            </w:r>
            <w:r>
              <w:rPr>
                <w:b/>
                <w:color w:val="000000"/>
              </w:rPr>
              <w:t xml:space="preserve"> </w:t>
            </w:r>
          </w:p>
        </w:tc>
        <w:tc>
          <w:tcPr>
            <w:tcW w:w="1026" w:type="dxa"/>
            <w:shd w:val="clear" w:color="auto" w:fill="D9D9D9"/>
            <w:vAlign w:val="center"/>
          </w:tcPr>
          <w:p w:rsidR="00071071" w:rsidRPr="000D5DBE" w:rsidRDefault="00181047" w:rsidP="00071071">
            <w:pPr>
              <w:tabs>
                <w:tab w:val="left" w:pos="288"/>
                <w:tab w:val="left" w:pos="4752"/>
              </w:tabs>
              <w:rPr>
                <w:b/>
                <w:color w:val="000000"/>
              </w:rPr>
            </w:pPr>
            <w:r>
              <w:rPr>
                <w:b/>
                <w:color w:val="000000"/>
              </w:rPr>
              <w:t>1</w:t>
            </w:r>
            <w:r w:rsidR="00071071"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984AEA" w:rsidRPr="001F29F9">
        <w:rPr>
          <w:color w:val="000000" w:themeColor="text1"/>
          <w:szCs w:val="24"/>
        </w:rPr>
        <w:t>201</w:t>
      </w:r>
      <w:r w:rsidR="00984AEA">
        <w:rPr>
          <w:color w:val="000000" w:themeColor="text1"/>
          <w:szCs w:val="24"/>
        </w:rPr>
        <w:t>11020</w:t>
      </w:r>
      <w:r w:rsidR="00E75ECD">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E75ECD">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E75ECD">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2D3B11">
        <w:rPr>
          <w:color w:val="000000"/>
        </w:rPr>
        <w:t>XXXXXXXXXXXXXXXXXXXXXXXX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06015" w:rsidRPr="00A06015" w:rsidRDefault="00AD2379" w:rsidP="00181047">
      <w:pPr>
        <w:tabs>
          <w:tab w:val="left" w:pos="0"/>
          <w:tab w:val="left" w:pos="4320"/>
        </w:tabs>
        <w:jc w:val="both"/>
        <w:rPr>
          <w:rFonts w:ascii="Janson Text" w:hAnsi="Janson Text" w:cs="Times New Roman"/>
          <w:color w:val="auto"/>
          <w:szCs w:val="24"/>
        </w:rPr>
      </w:pPr>
      <w:r w:rsidRPr="001F29F9">
        <w:rPr>
          <w:color w:val="000000"/>
        </w:rPr>
        <w:tab/>
        <w:t xml:space="preserve">           Physical Disability Board of Review</w:t>
      </w:r>
    </w:p>
    <w:p w:rsidR="002D3B11" w:rsidRDefault="002D3B11" w:rsidP="006235F5">
      <w:pPr>
        <w:tabs>
          <w:tab w:val="left" w:pos="288"/>
          <w:tab w:val="left" w:pos="4752"/>
        </w:tabs>
        <w:jc w:val="both"/>
        <w:rPr>
          <w:rFonts w:eastAsia="Calibri" w:cs="Times New Roman"/>
          <w:color w:val="auto"/>
          <w:szCs w:val="24"/>
        </w:rPr>
      </w:pPr>
    </w:p>
    <w:p w:rsidR="002D3B11" w:rsidRDefault="002D3B11">
      <w:pPr>
        <w:spacing w:line="240" w:lineRule="auto"/>
        <w:jc w:val="left"/>
        <w:rPr>
          <w:rFonts w:eastAsia="Calibri" w:cs="Times New Roman"/>
          <w:color w:val="auto"/>
          <w:szCs w:val="24"/>
        </w:rPr>
      </w:pPr>
      <w:r>
        <w:rPr>
          <w:rFonts w:eastAsia="Calibri" w:cs="Times New Roman"/>
          <w:color w:val="auto"/>
          <w:szCs w:val="24"/>
        </w:rPr>
        <w:br w:type="page"/>
      </w:r>
    </w:p>
    <w:p w:rsidR="002D3B11" w:rsidRDefault="002D3B11" w:rsidP="002D3B11">
      <w:pPr>
        <w:sectPr w:rsidR="002D3B11">
          <w:pgSz w:w="12240" w:h="15840"/>
          <w:pgMar w:top="2160" w:right="1440" w:bottom="1440" w:left="1440" w:header="720" w:footer="720" w:gutter="0"/>
          <w:cols w:space="720"/>
        </w:sectPr>
      </w:pPr>
    </w:p>
    <w:p w:rsidR="002D3B11" w:rsidRDefault="002D3B11" w:rsidP="002D3B11">
      <w:pPr>
        <w:pStyle w:val="Header"/>
        <w:tabs>
          <w:tab w:val="left" w:pos="720"/>
        </w:tabs>
        <w:jc w:val="left"/>
      </w:pPr>
      <w:r>
        <w:lastRenderedPageBreak/>
        <w:t>SFMR-RB</w:t>
      </w:r>
      <w:r>
        <w:tab/>
      </w:r>
      <w:r>
        <w:tab/>
      </w:r>
      <w:r>
        <w:tab/>
      </w:r>
      <w:r>
        <w:tab/>
      </w:r>
      <w:r>
        <w:tab/>
      </w:r>
      <w:r>
        <w:tab/>
      </w:r>
      <w:r>
        <w:tab/>
      </w:r>
      <w:r>
        <w:tab/>
      </w:r>
      <w:r>
        <w:tab/>
      </w:r>
    </w:p>
    <w:p w:rsidR="002D3B11" w:rsidRDefault="002D3B11" w:rsidP="002D3B11">
      <w:pPr>
        <w:pStyle w:val="Header"/>
        <w:tabs>
          <w:tab w:val="left" w:pos="720"/>
        </w:tabs>
        <w:jc w:val="left"/>
      </w:pPr>
    </w:p>
    <w:p w:rsidR="002D3B11" w:rsidRDefault="002D3B11" w:rsidP="002D3B11">
      <w:pPr>
        <w:jc w:val="left"/>
      </w:pPr>
    </w:p>
    <w:p w:rsidR="002D3B11" w:rsidRDefault="002D3B11" w:rsidP="002D3B11">
      <w:pPr>
        <w:jc w:val="left"/>
      </w:pPr>
      <w:r>
        <w:t xml:space="preserve">MEMORANDUM FOR Commander, US Army Physical Disability Agency </w:t>
      </w:r>
    </w:p>
    <w:p w:rsidR="002D3B11" w:rsidRDefault="002D3B11" w:rsidP="002D3B11">
      <w:pPr>
        <w:jc w:val="left"/>
      </w:pPr>
      <w:r>
        <w:t xml:space="preserve">(TAPD-ZB </w:t>
      </w:r>
      <w:proofErr w:type="gramStart"/>
      <w:r>
        <w:t>/  )</w:t>
      </w:r>
      <w:proofErr w:type="gramEnd"/>
      <w:r>
        <w:t>, 2900 Crystal Drive, Suite 300, Arlington, VA  22202</w:t>
      </w:r>
    </w:p>
    <w:p w:rsidR="002D3B11" w:rsidRDefault="002D3B11" w:rsidP="002D3B11">
      <w:pPr>
        <w:jc w:val="left"/>
      </w:pPr>
    </w:p>
    <w:p w:rsidR="002D3B11" w:rsidRDefault="002D3B11" w:rsidP="002D3B11">
      <w:pPr>
        <w:ind w:right="-180"/>
        <w:jc w:val="left"/>
      </w:pPr>
      <w:r>
        <w:t xml:space="preserve">SUBJECT:  Department of Defense Physical Disability Board of Review Recommendation </w:t>
      </w:r>
    </w:p>
    <w:p w:rsidR="002D3B11" w:rsidRDefault="002D3B11" w:rsidP="002D3B11">
      <w:pPr>
        <w:pStyle w:val="Header"/>
        <w:tabs>
          <w:tab w:val="left" w:pos="720"/>
        </w:tabs>
        <w:jc w:val="left"/>
      </w:pPr>
      <w:proofErr w:type="gramStart"/>
      <w:r>
        <w:t>for</w:t>
      </w:r>
      <w:proofErr w:type="gramEnd"/>
      <w:r>
        <w:t xml:space="preserve"> XXXXXXXXXXXXXXXXXXXXXXX, AR20120015824 (PD201100937)</w:t>
      </w:r>
    </w:p>
    <w:p w:rsidR="002D3B11" w:rsidRDefault="002D3B11" w:rsidP="002D3B11">
      <w:pPr>
        <w:pStyle w:val="Header"/>
        <w:tabs>
          <w:tab w:val="left" w:pos="720"/>
        </w:tabs>
        <w:jc w:val="left"/>
      </w:pPr>
    </w:p>
    <w:p w:rsidR="002D3B11" w:rsidRDefault="002D3B11" w:rsidP="002D3B11">
      <w:pPr>
        <w:jc w:val="left"/>
      </w:pPr>
    </w:p>
    <w:p w:rsidR="002D3B11" w:rsidRDefault="002D3B11" w:rsidP="002D3B11">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2D3B11" w:rsidRDefault="002D3B11" w:rsidP="002D3B11">
      <w:pPr>
        <w:jc w:val="left"/>
      </w:pPr>
    </w:p>
    <w:p w:rsidR="002D3B11" w:rsidRDefault="002D3B11" w:rsidP="002D3B11">
      <w:pPr>
        <w:jc w:val="left"/>
      </w:pPr>
      <w:r>
        <w:t xml:space="preserve">2.  I direct that all the Department of the Army records of the individual concerned be corrected accordingly no later than 120 days from the date of this memorandum.   </w:t>
      </w:r>
    </w:p>
    <w:p w:rsidR="002D3B11" w:rsidRDefault="002D3B11" w:rsidP="002D3B11">
      <w:pPr>
        <w:jc w:val="left"/>
      </w:pPr>
    </w:p>
    <w:p w:rsidR="002D3B11" w:rsidRDefault="002D3B11" w:rsidP="002D3B1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D3B11" w:rsidRDefault="002D3B11" w:rsidP="002D3B11">
      <w:pPr>
        <w:jc w:val="left"/>
      </w:pPr>
    </w:p>
    <w:p w:rsidR="002D3B11" w:rsidRDefault="002D3B11" w:rsidP="002D3B11">
      <w:pPr>
        <w:jc w:val="left"/>
      </w:pPr>
      <w:r>
        <w:t xml:space="preserve"> BY ORDER OF THE SECRETARY OF THE ARMY:</w:t>
      </w:r>
    </w:p>
    <w:p w:rsidR="002D3B11" w:rsidRDefault="002D3B11" w:rsidP="002D3B11">
      <w:pPr>
        <w:jc w:val="left"/>
      </w:pPr>
    </w:p>
    <w:p w:rsidR="002D3B11" w:rsidRDefault="002D3B11" w:rsidP="002D3B11">
      <w:pPr>
        <w:jc w:val="left"/>
      </w:pPr>
    </w:p>
    <w:p w:rsidR="002D3B11" w:rsidRDefault="002D3B11" w:rsidP="002D3B11">
      <w:pPr>
        <w:pStyle w:val="Header"/>
        <w:tabs>
          <w:tab w:val="left" w:pos="720"/>
        </w:tabs>
        <w:jc w:val="left"/>
      </w:pPr>
    </w:p>
    <w:p w:rsidR="002D3B11" w:rsidRDefault="002D3B11" w:rsidP="002D3B11">
      <w:pPr>
        <w:jc w:val="left"/>
      </w:pPr>
    </w:p>
    <w:p w:rsidR="002D3B11" w:rsidRDefault="002D3B11" w:rsidP="002D3B11">
      <w:pPr>
        <w:jc w:val="left"/>
      </w:pPr>
      <w:bookmarkStart w:id="1" w:name="OLE_LINK4"/>
      <w:bookmarkStart w:id="2" w:name="OLE_LINK3"/>
      <w:r>
        <w:t>Encl</w:t>
      </w:r>
      <w:r>
        <w:tab/>
      </w:r>
      <w:r>
        <w:tab/>
      </w:r>
      <w:r>
        <w:tab/>
      </w:r>
      <w:r>
        <w:tab/>
      </w:r>
      <w:r>
        <w:tab/>
      </w:r>
      <w:r>
        <w:tab/>
        <w:t xml:space="preserve">     XXXXXXXXXXXXXXXX</w:t>
      </w:r>
    </w:p>
    <w:p w:rsidR="002D3B11" w:rsidRDefault="002D3B11" w:rsidP="002D3B11">
      <w:pPr>
        <w:jc w:val="left"/>
      </w:pPr>
      <w:r>
        <w:tab/>
      </w:r>
      <w:r>
        <w:tab/>
      </w:r>
      <w:r>
        <w:tab/>
      </w:r>
      <w:r>
        <w:tab/>
      </w:r>
      <w:r>
        <w:tab/>
      </w:r>
      <w:r>
        <w:tab/>
        <w:t xml:space="preserve">     Deputy Assistant Secretary</w:t>
      </w:r>
    </w:p>
    <w:p w:rsidR="002D3B11" w:rsidRDefault="002D3B11" w:rsidP="002D3B11">
      <w:pPr>
        <w:jc w:val="left"/>
      </w:pPr>
      <w:r>
        <w:tab/>
      </w:r>
      <w:r>
        <w:tab/>
      </w:r>
      <w:r>
        <w:tab/>
      </w:r>
      <w:r>
        <w:tab/>
      </w:r>
      <w:r>
        <w:tab/>
      </w:r>
      <w:r>
        <w:tab/>
        <w:t xml:space="preserve">         (Army Review Boards)</w:t>
      </w:r>
      <w:bookmarkEnd w:id="1"/>
      <w:bookmarkEnd w:id="2"/>
    </w:p>
    <w:p w:rsidR="002D3B11" w:rsidRDefault="002D3B11" w:rsidP="002D3B11">
      <w:pPr>
        <w:jc w:val="left"/>
      </w:pPr>
    </w:p>
    <w:p w:rsidR="002D3B11" w:rsidRDefault="002D3B11" w:rsidP="002D3B11">
      <w:pPr>
        <w:jc w:val="left"/>
      </w:pPr>
      <w:r>
        <w:t xml:space="preserve">CF: </w:t>
      </w:r>
    </w:p>
    <w:p w:rsidR="002D3B11" w:rsidRDefault="002D3B11" w:rsidP="002D3B11">
      <w:pPr>
        <w:jc w:val="left"/>
      </w:pPr>
      <w:r>
        <w:t xml:space="preserve">(  ) </w:t>
      </w:r>
      <w:proofErr w:type="spellStart"/>
      <w:proofErr w:type="gramStart"/>
      <w:r>
        <w:t>DoD</w:t>
      </w:r>
      <w:proofErr w:type="spellEnd"/>
      <w:proofErr w:type="gramEnd"/>
      <w:r>
        <w:t xml:space="preserve"> PDBR</w:t>
      </w:r>
    </w:p>
    <w:p w:rsidR="002D3B11" w:rsidRDefault="002D3B11" w:rsidP="002D3B11">
      <w:pPr>
        <w:jc w:val="left"/>
      </w:pPr>
      <w:r>
        <w:t>(  ) DVA</w:t>
      </w:r>
    </w:p>
    <w:p w:rsidR="00FE7EB9" w:rsidRPr="006235F5" w:rsidRDefault="00FE7EB9" w:rsidP="006235F5">
      <w:pPr>
        <w:tabs>
          <w:tab w:val="left" w:pos="288"/>
          <w:tab w:val="left" w:pos="4752"/>
        </w:tabs>
        <w:jc w:val="both"/>
        <w:rPr>
          <w:rFonts w:eastAsia="Calibri" w:cs="Times New Roman"/>
          <w:color w:val="auto"/>
          <w:szCs w:val="24"/>
        </w:rPr>
      </w:pPr>
    </w:p>
    <w:sectPr w:rsidR="00FE7EB9" w:rsidRPr="006235F5"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C1" w:rsidRDefault="006C3BC1">
      <w:r>
        <w:separator/>
      </w:r>
    </w:p>
  </w:endnote>
  <w:endnote w:type="continuationSeparator" w:id="0">
    <w:p w:rsidR="006C3BC1" w:rsidRDefault="006C3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834D2A" w:rsidRPr="00834D2A">
      <w:fldChar w:fldCharType="begin"/>
    </w:r>
    <w:r w:rsidR="006C3BC1">
      <w:instrText xml:space="preserve"> PAGE   \* MERGEFORMAT </w:instrText>
    </w:r>
    <w:r w:rsidR="00834D2A" w:rsidRPr="00834D2A">
      <w:fldChar w:fldCharType="separate"/>
    </w:r>
    <w:r w:rsidR="002D3B11" w:rsidRPr="002D3B11">
      <w:rPr>
        <w:noProof/>
        <w:color w:val="auto"/>
      </w:rPr>
      <w:t>5</w:t>
    </w:r>
    <w:r w:rsidR="00834D2A">
      <w:rPr>
        <w:noProof/>
        <w:color w:val="auto"/>
      </w:rPr>
      <w:fldChar w:fldCharType="end"/>
    </w:r>
    <w:r w:rsidRPr="00374247">
      <w:rPr>
        <w:color w:val="auto"/>
      </w:rPr>
      <w:t xml:space="preserve">                                                           </w:t>
    </w:r>
    <w:r w:rsidRPr="001D64F3">
      <w:rPr>
        <w:color w:val="auto"/>
      </w:rPr>
      <w:t>PD1</w:t>
    </w:r>
    <w:r w:rsidR="00C326CC">
      <w:rPr>
        <w:color w:val="auto"/>
      </w:rPr>
      <w:t>100937</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C1" w:rsidRDefault="006C3BC1">
      <w:r>
        <w:separator/>
      </w:r>
    </w:p>
  </w:footnote>
  <w:footnote w:type="continuationSeparator" w:id="0">
    <w:p w:rsidR="006C3BC1" w:rsidRDefault="006C3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CA7"/>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6AE"/>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A49"/>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047"/>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6F6"/>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3634"/>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250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B11"/>
    <w:rsid w:val="002D5330"/>
    <w:rsid w:val="002D5F57"/>
    <w:rsid w:val="002D684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38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714"/>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2E4"/>
    <w:rsid w:val="00385708"/>
    <w:rsid w:val="003857D4"/>
    <w:rsid w:val="00385D6F"/>
    <w:rsid w:val="00386D43"/>
    <w:rsid w:val="00387095"/>
    <w:rsid w:val="00387E95"/>
    <w:rsid w:val="00390092"/>
    <w:rsid w:val="003904C6"/>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11A"/>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501"/>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4BBB"/>
    <w:rsid w:val="0048599A"/>
    <w:rsid w:val="00486818"/>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2AB4"/>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BCB"/>
    <w:rsid w:val="004D10D4"/>
    <w:rsid w:val="004D16BD"/>
    <w:rsid w:val="004D2AAB"/>
    <w:rsid w:val="004D362B"/>
    <w:rsid w:val="004D3C7F"/>
    <w:rsid w:val="004D42CB"/>
    <w:rsid w:val="004D4A0C"/>
    <w:rsid w:val="004D55D3"/>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074"/>
    <w:rsid w:val="005471BA"/>
    <w:rsid w:val="00547BDA"/>
    <w:rsid w:val="00547BE6"/>
    <w:rsid w:val="0055034F"/>
    <w:rsid w:val="00550476"/>
    <w:rsid w:val="0055288D"/>
    <w:rsid w:val="00554E8D"/>
    <w:rsid w:val="00555259"/>
    <w:rsid w:val="00555C66"/>
    <w:rsid w:val="005569EF"/>
    <w:rsid w:val="00556BDE"/>
    <w:rsid w:val="00557CA1"/>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68E"/>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40F"/>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BC1"/>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4D2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33"/>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BAA"/>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E4C"/>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4774D"/>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1B"/>
    <w:rsid w:val="0096168C"/>
    <w:rsid w:val="00961840"/>
    <w:rsid w:val="009625E3"/>
    <w:rsid w:val="00962F2D"/>
    <w:rsid w:val="00963A7A"/>
    <w:rsid w:val="009672CD"/>
    <w:rsid w:val="00971810"/>
    <w:rsid w:val="00972632"/>
    <w:rsid w:val="00972996"/>
    <w:rsid w:val="009730B4"/>
    <w:rsid w:val="0097320E"/>
    <w:rsid w:val="009732B8"/>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AEA"/>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6023"/>
    <w:rsid w:val="009B69D3"/>
    <w:rsid w:val="009B721E"/>
    <w:rsid w:val="009B727F"/>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5742"/>
    <w:rsid w:val="00A06015"/>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827"/>
    <w:rsid w:val="00A56D26"/>
    <w:rsid w:val="00A571A7"/>
    <w:rsid w:val="00A5749A"/>
    <w:rsid w:val="00A575E1"/>
    <w:rsid w:val="00A57BA8"/>
    <w:rsid w:val="00A57C35"/>
    <w:rsid w:val="00A608FB"/>
    <w:rsid w:val="00A60D83"/>
    <w:rsid w:val="00A60F68"/>
    <w:rsid w:val="00A63DF3"/>
    <w:rsid w:val="00A65C78"/>
    <w:rsid w:val="00A65F67"/>
    <w:rsid w:val="00A660A8"/>
    <w:rsid w:val="00A6694B"/>
    <w:rsid w:val="00A66A45"/>
    <w:rsid w:val="00A67591"/>
    <w:rsid w:val="00A67911"/>
    <w:rsid w:val="00A67CA6"/>
    <w:rsid w:val="00A67E6C"/>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88A"/>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933"/>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0C6"/>
    <w:rsid w:val="00BC1CF3"/>
    <w:rsid w:val="00BC2BE0"/>
    <w:rsid w:val="00BC3573"/>
    <w:rsid w:val="00BC3797"/>
    <w:rsid w:val="00BC5860"/>
    <w:rsid w:val="00BC7F82"/>
    <w:rsid w:val="00BD1844"/>
    <w:rsid w:val="00BD2A49"/>
    <w:rsid w:val="00BD3654"/>
    <w:rsid w:val="00BD3683"/>
    <w:rsid w:val="00BD40AB"/>
    <w:rsid w:val="00BD40DE"/>
    <w:rsid w:val="00BD6297"/>
    <w:rsid w:val="00BD6806"/>
    <w:rsid w:val="00BD6939"/>
    <w:rsid w:val="00BD70F4"/>
    <w:rsid w:val="00BD7191"/>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A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26CC"/>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443"/>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4E60"/>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2C91"/>
    <w:rsid w:val="00CF4340"/>
    <w:rsid w:val="00CF4394"/>
    <w:rsid w:val="00CF48B4"/>
    <w:rsid w:val="00CF5C12"/>
    <w:rsid w:val="00CF6874"/>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4361"/>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881"/>
    <w:rsid w:val="00D61ABB"/>
    <w:rsid w:val="00D62D5C"/>
    <w:rsid w:val="00D631E4"/>
    <w:rsid w:val="00D63577"/>
    <w:rsid w:val="00D6431E"/>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A7CC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1C04"/>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1A7E"/>
    <w:rsid w:val="00DE3555"/>
    <w:rsid w:val="00DE3AAD"/>
    <w:rsid w:val="00DE4B23"/>
    <w:rsid w:val="00DE598A"/>
    <w:rsid w:val="00DE5A80"/>
    <w:rsid w:val="00DE6952"/>
    <w:rsid w:val="00DE6FBE"/>
    <w:rsid w:val="00DE7A7D"/>
    <w:rsid w:val="00DE7D3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7D47"/>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5ECD"/>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3845"/>
    <w:rsid w:val="00E956DB"/>
    <w:rsid w:val="00E957D7"/>
    <w:rsid w:val="00E9763D"/>
    <w:rsid w:val="00EA00A4"/>
    <w:rsid w:val="00EA1177"/>
    <w:rsid w:val="00EA118B"/>
    <w:rsid w:val="00EA11B6"/>
    <w:rsid w:val="00EA2181"/>
    <w:rsid w:val="00EA2DD8"/>
    <w:rsid w:val="00EA30FC"/>
    <w:rsid w:val="00EA3C76"/>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6EB6"/>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645F"/>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417A"/>
    <w:rsid w:val="00F853AE"/>
    <w:rsid w:val="00F908D5"/>
    <w:rsid w:val="00F912A0"/>
    <w:rsid w:val="00F913B9"/>
    <w:rsid w:val="00F93C74"/>
    <w:rsid w:val="00F93DCC"/>
    <w:rsid w:val="00F9435D"/>
    <w:rsid w:val="00F966F9"/>
    <w:rsid w:val="00F96F61"/>
    <w:rsid w:val="00F97740"/>
    <w:rsid w:val="00FA0C8F"/>
    <w:rsid w:val="00FA24F2"/>
    <w:rsid w:val="00FA27A2"/>
    <w:rsid w:val="00FA2B96"/>
    <w:rsid w:val="00FA2DEF"/>
    <w:rsid w:val="00FA2F7B"/>
    <w:rsid w:val="00FA36CC"/>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39387040">
      <w:bodyDiv w:val="1"/>
      <w:marLeft w:val="0"/>
      <w:marRight w:val="0"/>
      <w:marTop w:val="0"/>
      <w:marBottom w:val="0"/>
      <w:divBdr>
        <w:top w:val="none" w:sz="0" w:space="0" w:color="auto"/>
        <w:left w:val="none" w:sz="0" w:space="0" w:color="auto"/>
        <w:bottom w:val="none" w:sz="0" w:space="0" w:color="auto"/>
        <w:right w:val="none" w:sz="0" w:space="0" w:color="auto"/>
      </w:divBdr>
    </w:div>
    <w:div w:id="199086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2012-08-27T12:09:00Z</cp:lastPrinted>
  <dcterms:created xsi:type="dcterms:W3CDTF">2012-09-13T16:20:00Z</dcterms:created>
  <dcterms:modified xsi:type="dcterms:W3CDTF">2012-09-13T16:20:00Z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