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FC4B6B">
        <w:rPr>
          <w:caps/>
          <w:color w:val="000000" w:themeColor="text1"/>
        </w:rPr>
        <w:t>XXXXXXXXXXXXXXXXXXX</w:t>
      </w:r>
      <w:r w:rsidRPr="001F29F9">
        <w:rPr>
          <w:caps/>
          <w:color w:val="000000" w:themeColor="text1"/>
        </w:rPr>
        <w:t xml:space="preserve">                </w:t>
      </w:r>
      <w:r>
        <w:rPr>
          <w:caps/>
          <w:color w:val="000000" w:themeColor="text1"/>
        </w:rPr>
        <w:tab/>
        <w:t xml:space="preserve">                            </w:t>
      </w:r>
      <w:r w:rsidR="00ED55AA">
        <w:rPr>
          <w:caps/>
          <w:color w:val="000000" w:themeColor="text1"/>
        </w:rPr>
        <w:t xml:space="preserve"> </w:t>
      </w:r>
      <w:r w:rsidRPr="001F29F9">
        <w:rPr>
          <w:caps/>
          <w:color w:val="000000" w:themeColor="text1"/>
        </w:rPr>
        <w:t xml:space="preserve">BRANCH OF </w:t>
      </w:r>
      <w:r w:rsidRPr="00375796">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565636">
        <w:rPr>
          <w:caps/>
          <w:color w:val="000000" w:themeColor="text1"/>
        </w:rPr>
        <w:t>9</w:t>
      </w:r>
      <w:r w:rsidR="00375796">
        <w:rPr>
          <w:caps/>
          <w:color w:val="000000" w:themeColor="text1"/>
        </w:rPr>
        <w:t>08</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375796" w:rsidRPr="001F29F9">
        <w:rPr>
          <w:color w:val="000000" w:themeColor="text1"/>
        </w:rPr>
        <w:t>200</w:t>
      </w:r>
      <w:r w:rsidR="00375796">
        <w:rPr>
          <w:color w:val="000000" w:themeColor="text1"/>
        </w:rPr>
        <w:t>71012</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5A1A90">
        <w:rPr>
          <w:caps/>
          <w:color w:val="000000"/>
        </w:rPr>
        <w:t>0817</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1F29F9" w:rsidRDefault="00AD2379" w:rsidP="00CC61DD">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375796" w:rsidRPr="001F29F9">
        <w:rPr>
          <w:color w:val="000000" w:themeColor="text1"/>
          <w:szCs w:val="24"/>
        </w:rPr>
        <w:t>SGT/E-5 (</w:t>
      </w:r>
      <w:r w:rsidR="00375796">
        <w:rPr>
          <w:color w:val="000000" w:themeColor="text1"/>
          <w:szCs w:val="24"/>
        </w:rPr>
        <w:t>11B, Infantry)</w:t>
      </w:r>
      <w:r w:rsidR="00375796" w:rsidRPr="001F29F9">
        <w:rPr>
          <w:color w:val="000000" w:themeColor="text1"/>
          <w:szCs w:val="24"/>
        </w:rPr>
        <w:t xml:space="preserve"> </w:t>
      </w:r>
      <w:r w:rsidRPr="001F29F9">
        <w:rPr>
          <w:color w:val="000000"/>
        </w:rPr>
        <w:t xml:space="preserve">medically separated for </w:t>
      </w:r>
      <w:r w:rsidR="00261B7E">
        <w:rPr>
          <w:color w:val="000000"/>
        </w:rPr>
        <w:t xml:space="preserve">a </w:t>
      </w:r>
      <w:r w:rsidR="00375796">
        <w:rPr>
          <w:color w:val="000000"/>
        </w:rPr>
        <w:t xml:space="preserve">bilateral knee </w:t>
      </w:r>
      <w:r w:rsidR="00261B7E">
        <w:rPr>
          <w:color w:val="000000"/>
        </w:rPr>
        <w:t>condition</w:t>
      </w:r>
      <w:r w:rsidRPr="001F29F9">
        <w:rPr>
          <w:color w:val="000000"/>
        </w:rPr>
        <w:t>.</w:t>
      </w:r>
      <w:r w:rsidR="001B4F30">
        <w:rPr>
          <w:color w:val="000000"/>
        </w:rPr>
        <w:t xml:space="preserve"> </w:t>
      </w:r>
      <w:r w:rsidRPr="001F29F9">
        <w:rPr>
          <w:color w:val="000000"/>
        </w:rPr>
        <w:t xml:space="preserve"> </w:t>
      </w:r>
      <w:r w:rsidR="00711EF7">
        <w:rPr>
          <w:color w:val="000000"/>
        </w:rPr>
        <w:t xml:space="preserve">He </w:t>
      </w:r>
      <w:r w:rsidR="001B4F30">
        <w:rPr>
          <w:color w:val="000000"/>
        </w:rPr>
        <w:t>developed recurrent</w:t>
      </w:r>
      <w:r w:rsidR="00711EF7">
        <w:rPr>
          <w:color w:val="000000"/>
        </w:rPr>
        <w:t xml:space="preserve"> </w:t>
      </w:r>
      <w:r w:rsidR="00CD4660">
        <w:rPr>
          <w:color w:val="000000"/>
        </w:rPr>
        <w:t xml:space="preserve">knee </w:t>
      </w:r>
      <w:r w:rsidR="00711EF7">
        <w:rPr>
          <w:color w:val="000000"/>
        </w:rPr>
        <w:t>pain following an i</w:t>
      </w:r>
      <w:r w:rsidR="001B4F30">
        <w:rPr>
          <w:color w:val="000000"/>
        </w:rPr>
        <w:t>njury in 2001; and,</w:t>
      </w:r>
      <w:r w:rsidR="00CD4660">
        <w:rPr>
          <w:color w:val="000000"/>
        </w:rPr>
        <w:t xml:space="preserve"> was subsequently diagnosed with chondromalacia patellae (damaged cartilage under the kneecap) and patellofemoral syndrome.  There were no surgical indications, and the worsening symptoms did not </w:t>
      </w:r>
      <w:r w:rsidR="001B4F30">
        <w:rPr>
          <w:color w:val="000000"/>
        </w:rPr>
        <w:t>improve</w:t>
      </w:r>
      <w:r w:rsidR="00CD4660">
        <w:rPr>
          <w:color w:val="000000"/>
        </w:rPr>
        <w:t xml:space="preserve"> adequately </w:t>
      </w:r>
      <w:r w:rsidR="001B4F30">
        <w:rPr>
          <w:color w:val="000000"/>
        </w:rPr>
        <w:t>with</w:t>
      </w:r>
      <w:r w:rsidR="00CD4660">
        <w:rPr>
          <w:color w:val="000000"/>
        </w:rPr>
        <w:t xml:space="preserve"> conservative measures</w:t>
      </w:r>
      <w:r w:rsidR="00261B7E">
        <w:rPr>
          <w:color w:val="000000"/>
        </w:rPr>
        <w:t xml:space="preserve"> </w:t>
      </w:r>
      <w:r w:rsidR="00CC61DD" w:rsidRPr="00EE17D7">
        <w:rPr>
          <w:color w:val="000000"/>
        </w:rPr>
        <w:t xml:space="preserve">to meet the physical requirements of his Military Occupational Specialty (MOS) or satisfy physical fitness standards.  He was consequently issued a permanent L3 profile and referred for a Medical Evaluation Board (MEB).  The </w:t>
      </w:r>
      <w:r w:rsidR="00FF3B20">
        <w:rPr>
          <w:color w:val="000000"/>
        </w:rPr>
        <w:t xml:space="preserve">bilateral knee </w:t>
      </w:r>
      <w:r w:rsidR="00CC61DD" w:rsidRPr="00EE17D7">
        <w:rPr>
          <w:color w:val="000000"/>
        </w:rPr>
        <w:t>condition</w:t>
      </w:r>
      <w:r w:rsidR="00FF3B20">
        <w:rPr>
          <w:color w:val="000000"/>
        </w:rPr>
        <w:t xml:space="preserve"> </w:t>
      </w:r>
      <w:r w:rsidR="00CC61DD" w:rsidRPr="00EE17D7">
        <w:rPr>
          <w:color w:val="000000"/>
        </w:rPr>
        <w:t xml:space="preserve">was forwarded to the Physical Evaluation Board (PEB) as medically unacceptable IAW AR 40-501.  Also addressed by the MEB and submitted on the DA Form 3947 </w:t>
      </w:r>
      <w:r w:rsidR="00CC61DD">
        <w:rPr>
          <w:color w:val="000000" w:themeColor="text1"/>
          <w:szCs w:val="24"/>
        </w:rPr>
        <w:t>were the two</w:t>
      </w:r>
      <w:r w:rsidR="00CC61DD" w:rsidRPr="00156F63">
        <w:rPr>
          <w:color w:val="000000" w:themeColor="text1"/>
          <w:szCs w:val="24"/>
        </w:rPr>
        <w:t xml:space="preserve"> </w:t>
      </w:r>
      <w:r w:rsidR="00CC61DD">
        <w:rPr>
          <w:color w:val="000000" w:themeColor="text1"/>
          <w:szCs w:val="24"/>
        </w:rPr>
        <w:t xml:space="preserve">other conditions </w:t>
      </w:r>
      <w:r w:rsidR="00CC61DD" w:rsidRPr="00156F63">
        <w:rPr>
          <w:color w:val="000000" w:themeColor="text1"/>
          <w:szCs w:val="24"/>
        </w:rPr>
        <w:t>identified in the rating chart below</w:t>
      </w:r>
      <w:r w:rsidR="00CC61DD">
        <w:rPr>
          <w:color w:val="000000" w:themeColor="text1"/>
          <w:szCs w:val="24"/>
        </w:rPr>
        <w:t>,</w:t>
      </w:r>
      <w:r w:rsidR="00CC61DD" w:rsidRPr="00EE17D7">
        <w:rPr>
          <w:color w:val="000000"/>
        </w:rPr>
        <w:t xml:space="preserve"> designated as medically acceptable.  The PEB adjudicated the knee condition as unfitting, rated 0%</w:t>
      </w:r>
      <w:r w:rsidR="00FF3B20">
        <w:rPr>
          <w:color w:val="000000"/>
        </w:rPr>
        <w:t xml:space="preserve"> under a bilateral code</w:t>
      </w:r>
      <w:r w:rsidR="00CC61DD" w:rsidRPr="00EE17D7">
        <w:rPr>
          <w:color w:val="000000"/>
        </w:rPr>
        <w:t xml:space="preserve">, referencing the </w:t>
      </w:r>
      <w:r w:rsidR="00CC61DD" w:rsidRPr="00EE17D7">
        <w:rPr>
          <w:color w:val="000000" w:themeColor="text1"/>
          <w:szCs w:val="24"/>
        </w:rPr>
        <w:t>US Army Physical Disability Agency (USAPDA) pain policy.</w:t>
      </w:r>
      <w:r w:rsidR="00CC61DD" w:rsidRPr="00EE17D7">
        <w:rPr>
          <w:color w:val="000000"/>
        </w:rPr>
        <w:t xml:space="preserve">  The </w:t>
      </w:r>
      <w:r w:rsidR="00CC61DD">
        <w:rPr>
          <w:color w:val="000000"/>
        </w:rPr>
        <w:t>remaining</w:t>
      </w:r>
      <w:r w:rsidR="00CC61DD" w:rsidRPr="00EE17D7">
        <w:rPr>
          <w:color w:val="000000"/>
        </w:rPr>
        <w:t xml:space="preserve"> condition</w:t>
      </w:r>
      <w:r w:rsidR="00CC61DD">
        <w:rPr>
          <w:color w:val="000000"/>
        </w:rPr>
        <w:t>s</w:t>
      </w:r>
      <w:r w:rsidR="00CC61DD" w:rsidRPr="00EE17D7">
        <w:rPr>
          <w:color w:val="000000"/>
        </w:rPr>
        <w:t xml:space="preserve"> </w:t>
      </w:r>
      <w:r w:rsidR="00CC61DD">
        <w:rPr>
          <w:color w:val="000000"/>
        </w:rPr>
        <w:t>were</w:t>
      </w:r>
      <w:r w:rsidR="00CC61DD" w:rsidRPr="00EE17D7">
        <w:rPr>
          <w:color w:val="000000"/>
        </w:rPr>
        <w:t xml:space="preserve"> determined to be not unfitting.  The CI made no appeals, and was medically separated with </w:t>
      </w:r>
      <w:r w:rsidR="00CC61DD">
        <w:rPr>
          <w:color w:val="000000"/>
        </w:rPr>
        <w:t>a 0%</w:t>
      </w:r>
      <w:r w:rsidR="00CC61DD" w:rsidRPr="00EE17D7">
        <w:rPr>
          <w:color w:val="000000"/>
        </w:rPr>
        <w:t xml:space="preserve"> disability rating.</w:t>
      </w:r>
    </w:p>
    <w:p w:rsidR="00CC61DD" w:rsidRPr="001F29F9" w:rsidRDefault="00CC61DD" w:rsidP="00CC61D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190B5C" w:rsidRDefault="00AD2379" w:rsidP="00BF0E94">
      <w:pPr>
        <w:tabs>
          <w:tab w:val="left" w:pos="288"/>
          <w:tab w:val="left" w:pos="4752"/>
        </w:tabs>
        <w:jc w:val="both"/>
        <w:rPr>
          <w:rFonts w:eastAsiaTheme="minorHAnsi"/>
          <w:color w:val="000000" w:themeColor="text1"/>
          <w:szCs w:val="24"/>
        </w:rPr>
      </w:pPr>
      <w:r w:rsidRPr="001F29F9">
        <w:rPr>
          <w:color w:val="000000"/>
          <w:u w:val="single"/>
        </w:rPr>
        <w:t>CI CONTENTION</w:t>
      </w:r>
      <w:r w:rsidRPr="001F29F9">
        <w:rPr>
          <w:color w:val="000000"/>
        </w:rPr>
        <w:t>:</w:t>
      </w:r>
      <w:r w:rsidRPr="00726F84">
        <w:rPr>
          <w:color w:val="000000"/>
        </w:rPr>
        <w:t xml:space="preserve"> </w:t>
      </w:r>
      <w:r w:rsidR="00B944AA">
        <w:rPr>
          <w:color w:val="000000" w:themeColor="text1"/>
        </w:rPr>
        <w:t>“</w:t>
      </w:r>
      <w:r w:rsidR="00B944AA" w:rsidRPr="00156F63">
        <w:rPr>
          <w:color w:val="000000" w:themeColor="text1"/>
        </w:rPr>
        <w:t>I received a medical separation for degene</w:t>
      </w:r>
      <w:r w:rsidR="00B944AA">
        <w:rPr>
          <w:color w:val="000000" w:themeColor="text1"/>
        </w:rPr>
        <w:t>ra</w:t>
      </w:r>
      <w:r w:rsidR="00B944AA" w:rsidRPr="00156F63">
        <w:rPr>
          <w:color w:val="000000" w:themeColor="text1"/>
        </w:rPr>
        <w:t>ti</w:t>
      </w:r>
      <w:r w:rsidR="00B944AA">
        <w:rPr>
          <w:color w:val="000000" w:themeColor="text1"/>
        </w:rPr>
        <w:t>ve cartilage in my right knee.  T</w:t>
      </w:r>
      <w:r w:rsidR="00B944AA" w:rsidRPr="00156F63">
        <w:rPr>
          <w:color w:val="000000" w:themeColor="text1"/>
        </w:rPr>
        <w:t xml:space="preserve">hey </w:t>
      </w:r>
      <w:r w:rsidR="00B944AA">
        <w:rPr>
          <w:color w:val="000000" w:themeColor="text1"/>
        </w:rPr>
        <w:t>said my kn</w:t>
      </w:r>
      <w:r w:rsidR="00B944AA" w:rsidRPr="00156F63">
        <w:rPr>
          <w:color w:val="000000" w:themeColor="text1"/>
        </w:rPr>
        <w:t xml:space="preserve">ee was past their limit. </w:t>
      </w:r>
      <w:r w:rsidR="00B944AA">
        <w:rPr>
          <w:color w:val="000000" w:themeColor="text1"/>
        </w:rPr>
        <w:t xml:space="preserve"> </w:t>
      </w:r>
      <w:r w:rsidR="00B944AA" w:rsidRPr="00156F63">
        <w:rPr>
          <w:color w:val="000000" w:themeColor="text1"/>
        </w:rPr>
        <w:t>My left shoulder and Hepatitis</w:t>
      </w:r>
      <w:r w:rsidR="00B944AA">
        <w:rPr>
          <w:color w:val="000000" w:themeColor="text1"/>
        </w:rPr>
        <w:t xml:space="preserve"> C was not bad en</w:t>
      </w:r>
      <w:r w:rsidR="00B944AA" w:rsidRPr="00156F63">
        <w:rPr>
          <w:color w:val="000000" w:themeColor="text1"/>
        </w:rPr>
        <w:t>ough for a medical separation.</w:t>
      </w:r>
      <w:r w:rsidR="00B944AA">
        <w:rPr>
          <w:color w:val="000000" w:themeColor="text1"/>
        </w:rPr>
        <w:t xml:space="preserve"> </w:t>
      </w:r>
      <w:r w:rsidR="00B944AA" w:rsidRPr="00156F63">
        <w:rPr>
          <w:color w:val="000000" w:themeColor="text1"/>
        </w:rPr>
        <w:t xml:space="preserve"> They never explained why I wasn't available for a medical retirement.</w:t>
      </w:r>
      <w:r w:rsidR="00B944AA">
        <w:rPr>
          <w:color w:val="000000" w:themeColor="text1"/>
        </w:rPr>
        <w:t xml:space="preserve">”  </w:t>
      </w:r>
      <w:r w:rsidR="004A2728" w:rsidRPr="00F72DEB">
        <w:rPr>
          <w:rFonts w:eastAsiaTheme="minorHAnsi"/>
          <w:color w:val="000000" w:themeColor="text1"/>
          <w:szCs w:val="24"/>
        </w:rPr>
        <w:t xml:space="preserve">He </w:t>
      </w:r>
      <w:r w:rsidR="00B944AA">
        <w:rPr>
          <w:rFonts w:eastAsiaTheme="minorHAnsi"/>
          <w:color w:val="000000" w:themeColor="text1"/>
          <w:szCs w:val="24"/>
        </w:rPr>
        <w:t xml:space="preserve">additionally elaborates several conditions, including </w:t>
      </w:r>
      <w:r w:rsidR="00B944AA" w:rsidRPr="00B944AA">
        <w:rPr>
          <w:rFonts w:eastAsiaTheme="minorHAnsi"/>
          <w:color w:val="000000" w:themeColor="text1"/>
          <w:szCs w:val="24"/>
        </w:rPr>
        <w:t>posttraumatic stress disorder (PTSD)</w:t>
      </w:r>
      <w:r w:rsidR="00B944AA">
        <w:rPr>
          <w:rFonts w:eastAsiaTheme="minorHAnsi"/>
          <w:color w:val="000000" w:themeColor="text1"/>
          <w:szCs w:val="24"/>
        </w:rPr>
        <w:t>, which were not rated by the Serv</w:t>
      </w:r>
      <w:r w:rsidR="00190B5C">
        <w:rPr>
          <w:rFonts w:eastAsiaTheme="minorHAnsi"/>
          <w:color w:val="000000" w:themeColor="text1"/>
          <w:szCs w:val="24"/>
        </w:rPr>
        <w:t>ice or by the VA at separation; and, concludes with “</w:t>
      </w:r>
      <w:r w:rsidR="00190B5C" w:rsidRPr="00190B5C">
        <w:rPr>
          <w:rFonts w:eastAsiaTheme="minorHAnsi"/>
          <w:color w:val="000000" w:themeColor="text1"/>
          <w:szCs w:val="24"/>
        </w:rPr>
        <w:t>I would appreciate a review</w:t>
      </w:r>
      <w:r w:rsidR="00190B5C">
        <w:rPr>
          <w:rFonts w:eastAsiaTheme="minorHAnsi"/>
          <w:color w:val="000000" w:themeColor="text1"/>
          <w:szCs w:val="24"/>
        </w:rPr>
        <w:t xml:space="preserve"> </w:t>
      </w:r>
      <w:r w:rsidR="00190B5C" w:rsidRPr="00190B5C">
        <w:rPr>
          <w:rFonts w:eastAsiaTheme="minorHAnsi"/>
          <w:color w:val="000000" w:themeColor="text1"/>
          <w:szCs w:val="24"/>
        </w:rPr>
        <w:t xml:space="preserve">of my case so that I may be allowed </w:t>
      </w:r>
      <w:r w:rsidR="00190B5C">
        <w:rPr>
          <w:rFonts w:eastAsiaTheme="minorHAnsi"/>
          <w:color w:val="000000" w:themeColor="text1"/>
          <w:szCs w:val="24"/>
        </w:rPr>
        <w:t>t</w:t>
      </w:r>
      <w:r w:rsidR="00190B5C" w:rsidRPr="00190B5C">
        <w:rPr>
          <w:rFonts w:eastAsiaTheme="minorHAnsi"/>
          <w:color w:val="000000" w:themeColor="text1"/>
          <w:szCs w:val="24"/>
        </w:rPr>
        <w:t>o medically retire and receive the benefits I believe me and my family should have been receiving.</w:t>
      </w:r>
      <w:r w:rsidR="00190B5C">
        <w:rPr>
          <w:rFonts w:eastAsiaTheme="minorHAnsi"/>
          <w:color w:val="000000" w:themeColor="text1"/>
          <w:szCs w:val="24"/>
        </w:rPr>
        <w:t xml:space="preserve">  Thank you.”</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4D6563">
        <w:rPr>
          <w:color w:val="auto"/>
          <w:u w:val="single"/>
        </w:rPr>
        <w:t>SCOPE OF REVIEW</w:t>
      </w:r>
      <w:r w:rsidRPr="004D6563">
        <w:rPr>
          <w:color w:val="auto"/>
        </w:rPr>
        <w:t xml:space="preserve">:  The Board wishes to clarify that the scope of its review as defined in </w:t>
      </w:r>
      <w:r w:rsidR="00DD44EA" w:rsidRPr="004D6563">
        <w:rPr>
          <w:color w:val="000000"/>
        </w:rPr>
        <w:t xml:space="preserve">Department of Defense Instruction (DoDI) </w:t>
      </w:r>
      <w:r w:rsidRPr="004D6563">
        <w:rPr>
          <w:color w:val="auto"/>
        </w:rPr>
        <w:t xml:space="preserve">6040.44 </w:t>
      </w:r>
      <w:r w:rsidR="003A6FCD" w:rsidRPr="004D6563">
        <w:rPr>
          <w:color w:val="auto"/>
        </w:rPr>
        <w:t xml:space="preserve">(Enclosure 3, paragraph 5.e.2) </w:t>
      </w:r>
      <w:r w:rsidRPr="004D6563">
        <w:rPr>
          <w:color w:val="auto"/>
        </w:rPr>
        <w:t>is limited to those conditions which were determined by the PEB to be specifically unfitting for continued military service; or, when requested by the CI, those condition(s) “identified but not determined to be unfitting b</w:t>
      </w:r>
      <w:r w:rsidR="003A244B">
        <w:rPr>
          <w:color w:val="auto"/>
        </w:rPr>
        <w:t>y the PEB</w:t>
      </w:r>
      <w:r w:rsidR="00ED55AA">
        <w:rPr>
          <w:color w:val="auto"/>
        </w:rPr>
        <w:t>.</w:t>
      </w:r>
      <w:r w:rsidR="003A244B">
        <w:rPr>
          <w:color w:val="auto"/>
        </w:rPr>
        <w:t>”  The rating</w:t>
      </w:r>
      <w:r w:rsidRPr="004D6563">
        <w:rPr>
          <w:color w:val="auto"/>
        </w:rPr>
        <w:t xml:space="preserve"> for </w:t>
      </w:r>
      <w:r w:rsidR="003A244B">
        <w:rPr>
          <w:color w:val="auto"/>
        </w:rPr>
        <w:t>the bilateral</w:t>
      </w:r>
      <w:r w:rsidRPr="004D6563">
        <w:rPr>
          <w:color w:val="auto"/>
        </w:rPr>
        <w:t xml:space="preserve"> </w:t>
      </w:r>
      <w:r w:rsidR="00190B5C" w:rsidRPr="004D6563">
        <w:rPr>
          <w:color w:val="auto"/>
        </w:rPr>
        <w:t xml:space="preserve">knee </w:t>
      </w:r>
      <w:r w:rsidRPr="004D6563">
        <w:rPr>
          <w:color w:val="auto"/>
        </w:rPr>
        <w:t xml:space="preserve">condition </w:t>
      </w:r>
      <w:r w:rsidR="00190B5C" w:rsidRPr="004D6563">
        <w:rPr>
          <w:color w:val="auto"/>
        </w:rPr>
        <w:t>is</w:t>
      </w:r>
      <w:r w:rsidR="00AC25DD" w:rsidRPr="004D6563">
        <w:rPr>
          <w:color w:val="auto"/>
        </w:rPr>
        <w:t xml:space="preserve"> addressed below</w:t>
      </w:r>
      <w:r w:rsidRPr="004D6563">
        <w:rPr>
          <w:color w:val="auto"/>
        </w:rPr>
        <w:t xml:space="preserve">.  </w:t>
      </w:r>
      <w:r w:rsidR="00190B5C" w:rsidRPr="006B1C3D">
        <w:rPr>
          <w:color w:val="auto"/>
        </w:rPr>
        <w:t xml:space="preserve">The wording of the CI’s statement </w:t>
      </w:r>
      <w:r w:rsidR="006B1C3D">
        <w:rPr>
          <w:color w:val="auto"/>
        </w:rPr>
        <w:t>suggests a request for review of</w:t>
      </w:r>
      <w:r w:rsidR="00190B5C" w:rsidRPr="004D6563">
        <w:rPr>
          <w:color w:val="auto"/>
        </w:rPr>
        <w:t xml:space="preserve"> the hepatitis and left shoulder </w:t>
      </w:r>
      <w:r w:rsidRPr="004D6563">
        <w:rPr>
          <w:color w:val="auto"/>
        </w:rPr>
        <w:t>conditions</w:t>
      </w:r>
      <w:r w:rsidR="006B1C3D">
        <w:rPr>
          <w:color w:val="auto"/>
        </w:rPr>
        <w:t xml:space="preserve"> which were determined to </w:t>
      </w:r>
      <w:r w:rsidR="006B1C3D" w:rsidRPr="004D6563">
        <w:rPr>
          <w:color w:val="auto"/>
        </w:rPr>
        <w:t>be unfitting b</w:t>
      </w:r>
      <w:r w:rsidR="006B1C3D">
        <w:rPr>
          <w:color w:val="auto"/>
        </w:rPr>
        <w:t>y the PEB</w:t>
      </w:r>
      <w:r w:rsidR="00190B5C" w:rsidRPr="004D6563">
        <w:rPr>
          <w:color w:val="auto"/>
        </w:rPr>
        <w:t xml:space="preserve">; thus, </w:t>
      </w:r>
      <w:r w:rsidR="006B1C3D">
        <w:rPr>
          <w:color w:val="auto"/>
        </w:rPr>
        <w:t xml:space="preserve">those conditions are also </w:t>
      </w:r>
      <w:r w:rsidR="006B1C3D" w:rsidRPr="004D6563">
        <w:rPr>
          <w:color w:val="auto"/>
        </w:rPr>
        <w:t>addressed below</w:t>
      </w:r>
      <w:r w:rsidR="004D6563" w:rsidRPr="004D6563">
        <w:rPr>
          <w:color w:val="auto"/>
        </w:rPr>
        <w:t>.</w:t>
      </w:r>
      <w:r w:rsidR="00BB4C6A" w:rsidRPr="004D6563">
        <w:rPr>
          <w:color w:val="auto"/>
          <w:szCs w:val="24"/>
        </w:rPr>
        <w:t xml:space="preserve"> </w:t>
      </w:r>
      <w:r w:rsidR="004D6563" w:rsidRPr="004D6563">
        <w:rPr>
          <w:color w:val="auto"/>
          <w:szCs w:val="24"/>
        </w:rPr>
        <w:t xml:space="preserve"> </w:t>
      </w:r>
      <w:r w:rsidR="004D6563" w:rsidRPr="004D6563">
        <w:rPr>
          <w:color w:val="auto"/>
        </w:rPr>
        <w:t>The PTSD and other</w:t>
      </w:r>
      <w:r w:rsidRPr="004D6563">
        <w:rPr>
          <w:color w:val="auto"/>
        </w:rPr>
        <w:t xml:space="preserve"> conditions </w:t>
      </w:r>
      <w:r w:rsidR="004D6563" w:rsidRPr="004D6563">
        <w:rPr>
          <w:color w:val="auto"/>
        </w:rPr>
        <w:t xml:space="preserve">identified after separation, as well as any condition </w:t>
      </w:r>
      <w:r w:rsidRPr="004D6563">
        <w:rPr>
          <w:color w:val="auto"/>
        </w:rPr>
        <w:t>or contention not requested in this application, remain eligible for future consideration by the Army Board for the Correction of Military Records</w:t>
      </w:r>
      <w:r w:rsidR="004D6563" w:rsidRPr="004D6563">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4D6563" w:rsidRDefault="004D6563">
      <w:pPr>
        <w:spacing w:line="240" w:lineRule="auto"/>
        <w:jc w:val="left"/>
        <w:rPr>
          <w:color w:val="000000"/>
          <w:u w:val="single"/>
        </w:rPr>
      </w:pPr>
      <w:r>
        <w:rPr>
          <w:color w:val="000000"/>
          <w:u w:val="single"/>
        </w:rPr>
        <w:br w:type="page"/>
      </w:r>
    </w:p>
    <w:p w:rsidR="000441CA" w:rsidRPr="001F29F9" w:rsidRDefault="000441CA" w:rsidP="000441CA">
      <w:pPr>
        <w:jc w:val="left"/>
        <w:rPr>
          <w:color w:val="000000" w:themeColor="text1"/>
          <w:szCs w:val="28"/>
          <w:highlight w:val="magenta"/>
        </w:rPr>
      </w:pPr>
      <w:r w:rsidRPr="001F29F9">
        <w:rPr>
          <w:color w:val="000000" w:themeColor="text1"/>
          <w:u w:val="single"/>
        </w:rPr>
        <w:lastRenderedPageBreak/>
        <w:t>RATING COMPARISON</w:t>
      </w:r>
      <w:r w:rsidRPr="001F29F9">
        <w:rPr>
          <w:color w:val="000000" w:themeColor="text1"/>
        </w:rPr>
        <w:t>:</w:t>
      </w:r>
    </w:p>
    <w:p w:rsidR="000441CA" w:rsidRPr="001F29F9" w:rsidRDefault="000441CA" w:rsidP="000441CA">
      <w:pPr>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178"/>
        <w:gridCol w:w="1062"/>
        <w:gridCol w:w="720"/>
        <w:gridCol w:w="2628"/>
        <w:gridCol w:w="1080"/>
        <w:gridCol w:w="702"/>
        <w:gridCol w:w="990"/>
      </w:tblGrid>
      <w:tr w:rsidR="000441CA" w:rsidRPr="001F29F9" w:rsidTr="00A01CAF">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70727</w:t>
            </w:r>
          </w:p>
        </w:tc>
        <w:tc>
          <w:tcPr>
            <w:tcW w:w="5400" w:type="dxa"/>
            <w:gridSpan w:val="4"/>
            <w:tcBorders>
              <w:left w:val="thinThickThinSmallGap" w:sz="24" w:space="0" w:color="auto"/>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 xml:space="preserve">2 </w:t>
            </w:r>
            <w:r w:rsidRPr="009D41DD">
              <w:rPr>
                <w:rFonts w:cs="Calibri"/>
                <w:b/>
                <w:color w:val="000000" w:themeColor="text1"/>
                <w:sz w:val="18"/>
                <w:szCs w:val="18"/>
              </w:rPr>
              <w:t>Mo. Pre</w:t>
            </w:r>
            <w:r>
              <w:rPr>
                <w:rFonts w:cs="Calibri"/>
                <w:b/>
                <w:color w:val="000000" w:themeColor="text1"/>
                <w:sz w:val="18"/>
                <w:szCs w:val="18"/>
              </w:rPr>
              <w:t>-</w:t>
            </w:r>
            <w:r w:rsidRPr="001F29F9">
              <w:rPr>
                <w:rFonts w:cs="Calibri"/>
                <w:b/>
                <w:color w:val="000000" w:themeColor="text1"/>
                <w:sz w:val="18"/>
                <w:szCs w:val="18"/>
              </w:rPr>
              <w:t>Separation) – All Effective 200</w:t>
            </w:r>
            <w:r>
              <w:rPr>
                <w:rFonts w:cs="Calibri"/>
                <w:b/>
                <w:color w:val="000000" w:themeColor="text1"/>
                <w:sz w:val="18"/>
                <w:szCs w:val="18"/>
              </w:rPr>
              <w:t xml:space="preserve">71013 </w:t>
            </w:r>
          </w:p>
        </w:tc>
      </w:tr>
      <w:tr w:rsidR="000441CA" w:rsidRPr="001F29F9" w:rsidTr="00207FD8">
        <w:trPr>
          <w:trHeight w:val="100"/>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Rating</w:t>
            </w:r>
          </w:p>
        </w:tc>
        <w:tc>
          <w:tcPr>
            <w:tcW w:w="2628" w:type="dxa"/>
            <w:tcBorders>
              <w:left w:val="thinThickThinSmallGap" w:sz="24" w:space="0" w:color="auto"/>
              <w:bottom w:val="single" w:sz="4" w:space="0" w:color="000000" w:themeColor="text1"/>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Exam</w:t>
            </w:r>
          </w:p>
        </w:tc>
      </w:tr>
      <w:tr w:rsidR="000441CA" w:rsidRPr="001F29F9" w:rsidTr="00207FD8">
        <w:trPr>
          <w:trHeight w:val="66"/>
          <w:jc w:val="center"/>
        </w:trPr>
        <w:tc>
          <w:tcPr>
            <w:tcW w:w="2178" w:type="dxa"/>
            <w:vMerge w:val="restart"/>
            <w:tcBorders>
              <w:right w:val="single" w:sz="4" w:space="0" w:color="auto"/>
            </w:tcBorders>
            <w:shd w:val="clear" w:color="auto" w:fill="FFFFFF" w:themeFill="background1"/>
            <w:vAlign w:val="center"/>
          </w:tcPr>
          <w:p w:rsidR="000441CA" w:rsidRPr="001F29F9" w:rsidRDefault="000441CA" w:rsidP="00A01CAF">
            <w:pPr>
              <w:spacing w:line="180" w:lineRule="exact"/>
              <w:contextualSpacing/>
              <w:jc w:val="left"/>
              <w:rPr>
                <w:rFonts w:cs="Calibri"/>
                <w:color w:val="000000" w:themeColor="text1"/>
                <w:sz w:val="18"/>
                <w:szCs w:val="18"/>
              </w:rPr>
            </w:pPr>
            <w:r>
              <w:rPr>
                <w:rFonts w:cs="Calibri"/>
                <w:color w:val="000000" w:themeColor="text1"/>
                <w:sz w:val="18"/>
                <w:szCs w:val="18"/>
              </w:rPr>
              <w:t xml:space="preserve">Bilateral Chondromalacia Patellae </w:t>
            </w:r>
          </w:p>
        </w:tc>
        <w:tc>
          <w:tcPr>
            <w:tcW w:w="1062" w:type="dxa"/>
            <w:vMerge w:val="restart"/>
            <w:tcBorders>
              <w:left w:val="single" w:sz="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5099-5003</w:t>
            </w:r>
          </w:p>
        </w:tc>
        <w:tc>
          <w:tcPr>
            <w:tcW w:w="720" w:type="dxa"/>
            <w:vMerge w:val="restart"/>
            <w:tcBorders>
              <w:right w:val="thinThickThinSmallGap" w:sz="24" w:space="0" w:color="auto"/>
            </w:tcBorders>
            <w:shd w:val="clear" w:color="auto" w:fill="FFFFFF" w:themeFill="background1"/>
            <w:vAlign w:val="center"/>
          </w:tcPr>
          <w:p w:rsidR="000441CA" w:rsidRPr="001F29F9" w:rsidRDefault="000441CA" w:rsidP="00A01CAF">
            <w:pPr>
              <w:spacing w:line="220" w:lineRule="exact"/>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2628" w:type="dxa"/>
            <w:tcBorders>
              <w:left w:val="thinThickThinSmallGap" w:sz="24" w:space="0" w:color="auto"/>
            </w:tcBorders>
            <w:shd w:val="clear" w:color="auto" w:fill="FFFFFF" w:themeFill="background1"/>
            <w:vAlign w:val="center"/>
          </w:tcPr>
          <w:p w:rsidR="000441CA" w:rsidRPr="001F29F9" w:rsidRDefault="000441CA" w:rsidP="00A01CAF">
            <w:pPr>
              <w:spacing w:line="220" w:lineRule="exact"/>
              <w:contextualSpacing/>
              <w:jc w:val="left"/>
              <w:rPr>
                <w:rFonts w:cs="Calibri"/>
                <w:color w:val="000000" w:themeColor="text1"/>
                <w:sz w:val="18"/>
                <w:szCs w:val="18"/>
              </w:rPr>
            </w:pPr>
            <w:r>
              <w:rPr>
                <w:rFonts w:cs="Calibri"/>
                <w:color w:val="000000" w:themeColor="text1"/>
                <w:sz w:val="18"/>
                <w:szCs w:val="18"/>
              </w:rPr>
              <w:t xml:space="preserve">Left Knee Condition </w:t>
            </w:r>
          </w:p>
        </w:tc>
        <w:tc>
          <w:tcPr>
            <w:tcW w:w="108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5024-5010</w:t>
            </w:r>
          </w:p>
        </w:tc>
        <w:tc>
          <w:tcPr>
            <w:tcW w:w="702"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70817</w:t>
            </w:r>
          </w:p>
        </w:tc>
      </w:tr>
      <w:tr w:rsidR="000441CA" w:rsidRPr="001F29F9" w:rsidTr="00207FD8">
        <w:trPr>
          <w:trHeight w:val="66"/>
          <w:jc w:val="center"/>
        </w:trPr>
        <w:tc>
          <w:tcPr>
            <w:tcW w:w="2178" w:type="dxa"/>
            <w:vMerge/>
            <w:tcBorders>
              <w:right w:val="single" w:sz="4" w:space="0" w:color="auto"/>
            </w:tcBorders>
            <w:shd w:val="clear" w:color="auto" w:fill="FFFFFF" w:themeFill="background1"/>
            <w:vAlign w:val="center"/>
          </w:tcPr>
          <w:p w:rsidR="000441CA" w:rsidRDefault="000441CA" w:rsidP="00A01CAF">
            <w:pPr>
              <w:spacing w:line="220" w:lineRule="exact"/>
              <w:contextualSpacing/>
              <w:jc w:val="left"/>
              <w:rPr>
                <w:rFonts w:cs="Calibri"/>
                <w:color w:val="000000" w:themeColor="text1"/>
                <w:sz w:val="18"/>
                <w:szCs w:val="18"/>
              </w:rPr>
            </w:pPr>
          </w:p>
        </w:tc>
        <w:tc>
          <w:tcPr>
            <w:tcW w:w="1062" w:type="dxa"/>
            <w:vMerge/>
            <w:tcBorders>
              <w:left w:val="single" w:sz="4" w:space="0" w:color="auto"/>
            </w:tcBorders>
            <w:shd w:val="clear" w:color="auto" w:fill="FFFFFF" w:themeFill="background1"/>
            <w:vAlign w:val="center"/>
          </w:tcPr>
          <w:p w:rsidR="000441CA" w:rsidRDefault="000441CA" w:rsidP="00A01CAF">
            <w:pPr>
              <w:spacing w:line="22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0441CA" w:rsidRDefault="000441CA" w:rsidP="00A01CAF">
            <w:pPr>
              <w:spacing w:line="220" w:lineRule="exact"/>
              <w:rPr>
                <w:rFonts w:cs="Calibri"/>
                <w:color w:val="000000" w:themeColor="text1"/>
                <w:sz w:val="18"/>
                <w:szCs w:val="18"/>
              </w:rPr>
            </w:pPr>
          </w:p>
        </w:tc>
        <w:tc>
          <w:tcPr>
            <w:tcW w:w="2628" w:type="dxa"/>
            <w:tcBorders>
              <w:left w:val="thinThickThinSmallGap" w:sz="24" w:space="0" w:color="auto"/>
            </w:tcBorders>
            <w:shd w:val="clear" w:color="auto" w:fill="FFFFFF" w:themeFill="background1"/>
            <w:vAlign w:val="center"/>
          </w:tcPr>
          <w:p w:rsidR="000441CA" w:rsidRPr="001F29F9" w:rsidRDefault="000441CA" w:rsidP="00A01CAF">
            <w:pPr>
              <w:spacing w:line="220" w:lineRule="exact"/>
              <w:contextualSpacing/>
              <w:jc w:val="left"/>
              <w:rPr>
                <w:rFonts w:cs="Calibri"/>
                <w:color w:val="000000" w:themeColor="text1"/>
                <w:sz w:val="18"/>
                <w:szCs w:val="18"/>
              </w:rPr>
            </w:pPr>
            <w:r>
              <w:rPr>
                <w:rFonts w:cs="Calibri"/>
                <w:color w:val="000000" w:themeColor="text1"/>
                <w:sz w:val="18"/>
                <w:szCs w:val="18"/>
              </w:rPr>
              <w:t>Right Knee Condition</w:t>
            </w:r>
          </w:p>
        </w:tc>
        <w:tc>
          <w:tcPr>
            <w:tcW w:w="108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5024-5010</w:t>
            </w:r>
          </w:p>
        </w:tc>
        <w:tc>
          <w:tcPr>
            <w:tcW w:w="702"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70817</w:t>
            </w:r>
          </w:p>
        </w:tc>
      </w:tr>
      <w:tr w:rsidR="000441CA" w:rsidRPr="001F29F9" w:rsidTr="00207FD8">
        <w:trPr>
          <w:trHeight w:val="66"/>
          <w:jc w:val="center"/>
        </w:trPr>
        <w:tc>
          <w:tcPr>
            <w:tcW w:w="2178" w:type="dxa"/>
            <w:tcBorders>
              <w:right w:val="single" w:sz="4" w:space="0" w:color="auto"/>
            </w:tcBorders>
            <w:shd w:val="clear" w:color="auto" w:fill="FFFFFF" w:themeFill="background1"/>
            <w:vAlign w:val="center"/>
          </w:tcPr>
          <w:p w:rsidR="000441CA" w:rsidRPr="001F29F9" w:rsidRDefault="000441CA" w:rsidP="00A01CAF">
            <w:pPr>
              <w:spacing w:line="220" w:lineRule="exact"/>
              <w:contextualSpacing/>
              <w:jc w:val="left"/>
              <w:rPr>
                <w:rFonts w:cs="Calibri"/>
                <w:color w:val="000000" w:themeColor="text1"/>
                <w:sz w:val="18"/>
                <w:szCs w:val="18"/>
              </w:rPr>
            </w:pPr>
            <w:r w:rsidRPr="00B36963">
              <w:rPr>
                <w:rFonts w:cs="Calibri"/>
                <w:color w:val="000000" w:themeColor="text1"/>
                <w:sz w:val="18"/>
                <w:szCs w:val="18"/>
              </w:rPr>
              <w:t xml:space="preserve">Hepatitis C </w:t>
            </w:r>
            <w:r>
              <w:rPr>
                <w:rFonts w:cs="Calibri"/>
                <w:color w:val="000000" w:themeColor="text1"/>
                <w:sz w:val="18"/>
                <w:szCs w:val="18"/>
              </w:rPr>
              <w:t>(Non-Active)</w:t>
            </w:r>
          </w:p>
        </w:tc>
        <w:tc>
          <w:tcPr>
            <w:tcW w:w="1782" w:type="dxa"/>
            <w:gridSpan w:val="2"/>
            <w:tcBorders>
              <w:left w:val="single" w:sz="4" w:space="0" w:color="auto"/>
              <w:right w:val="thinThickThinSmallGap" w:sz="24" w:space="0" w:color="auto"/>
            </w:tcBorders>
            <w:shd w:val="clear" w:color="auto" w:fill="FFFFFF" w:themeFill="background1"/>
            <w:vAlign w:val="center"/>
          </w:tcPr>
          <w:p w:rsidR="000441CA" w:rsidRPr="001F29F9" w:rsidRDefault="000441CA" w:rsidP="00A01CAF">
            <w:pPr>
              <w:spacing w:line="220" w:lineRule="exact"/>
              <w:rPr>
                <w:rFonts w:cs="Calibri"/>
                <w:color w:val="000000" w:themeColor="text1"/>
                <w:sz w:val="18"/>
                <w:szCs w:val="18"/>
              </w:rPr>
            </w:pPr>
            <w:r w:rsidRPr="001F29F9">
              <w:rPr>
                <w:rFonts w:cs="Calibri"/>
                <w:color w:val="000000" w:themeColor="text1"/>
                <w:sz w:val="18"/>
                <w:szCs w:val="18"/>
              </w:rPr>
              <w:t>Not Unfitting</w:t>
            </w:r>
          </w:p>
        </w:tc>
        <w:tc>
          <w:tcPr>
            <w:tcW w:w="2628" w:type="dxa"/>
            <w:tcBorders>
              <w:left w:val="thinThickThinSmallGap" w:sz="24" w:space="0" w:color="auto"/>
              <w:right w:val="single" w:sz="4" w:space="0" w:color="auto"/>
            </w:tcBorders>
            <w:shd w:val="clear" w:color="auto" w:fill="FFFFFF" w:themeFill="background1"/>
            <w:vAlign w:val="center"/>
          </w:tcPr>
          <w:p w:rsidR="000441CA" w:rsidRPr="001F29F9" w:rsidRDefault="000441CA" w:rsidP="00A01CAF">
            <w:pPr>
              <w:spacing w:line="220" w:lineRule="exact"/>
              <w:contextualSpacing/>
              <w:jc w:val="left"/>
              <w:rPr>
                <w:rFonts w:cs="Calibri"/>
                <w:color w:val="000000" w:themeColor="text1"/>
                <w:sz w:val="18"/>
                <w:szCs w:val="18"/>
              </w:rPr>
            </w:pPr>
            <w:r w:rsidRPr="00B36963">
              <w:rPr>
                <w:rFonts w:cs="Calibri"/>
                <w:color w:val="000000" w:themeColor="text1"/>
                <w:sz w:val="18"/>
                <w:szCs w:val="18"/>
              </w:rPr>
              <w:t>Hepatitis C</w:t>
            </w:r>
          </w:p>
        </w:tc>
        <w:tc>
          <w:tcPr>
            <w:tcW w:w="1080" w:type="dxa"/>
            <w:tcBorders>
              <w:left w:val="single" w:sz="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7354</w:t>
            </w:r>
          </w:p>
        </w:tc>
        <w:tc>
          <w:tcPr>
            <w:tcW w:w="702"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70817</w:t>
            </w:r>
          </w:p>
        </w:tc>
      </w:tr>
      <w:tr w:rsidR="000441CA" w:rsidRPr="001F29F9" w:rsidTr="00207FD8">
        <w:trPr>
          <w:trHeight w:val="66"/>
          <w:jc w:val="center"/>
        </w:trPr>
        <w:tc>
          <w:tcPr>
            <w:tcW w:w="2178" w:type="dxa"/>
            <w:tcBorders>
              <w:right w:val="single" w:sz="4" w:space="0" w:color="auto"/>
            </w:tcBorders>
            <w:shd w:val="clear" w:color="auto" w:fill="FFFFFF" w:themeFill="background1"/>
            <w:vAlign w:val="center"/>
          </w:tcPr>
          <w:p w:rsidR="000441CA" w:rsidRPr="001F29F9" w:rsidRDefault="000441CA" w:rsidP="00A01CAF">
            <w:pPr>
              <w:spacing w:line="220" w:lineRule="exact"/>
              <w:contextualSpacing/>
              <w:jc w:val="left"/>
              <w:rPr>
                <w:rFonts w:cs="Calibri"/>
                <w:color w:val="000000" w:themeColor="text1"/>
                <w:sz w:val="18"/>
                <w:szCs w:val="18"/>
              </w:rPr>
            </w:pPr>
            <w:r>
              <w:rPr>
                <w:rFonts w:cs="Calibri"/>
                <w:color w:val="000000" w:themeColor="text1"/>
                <w:sz w:val="18"/>
                <w:szCs w:val="18"/>
              </w:rPr>
              <w:t>Left</w:t>
            </w:r>
            <w:r w:rsidRPr="00B36963">
              <w:rPr>
                <w:rFonts w:cs="Calibri"/>
                <w:color w:val="000000" w:themeColor="text1"/>
                <w:sz w:val="18"/>
                <w:szCs w:val="18"/>
              </w:rPr>
              <w:t xml:space="preserve"> </w:t>
            </w:r>
            <w:r>
              <w:rPr>
                <w:rFonts w:cs="Calibri"/>
                <w:color w:val="000000" w:themeColor="text1"/>
                <w:sz w:val="18"/>
                <w:szCs w:val="18"/>
              </w:rPr>
              <w:t>S</w:t>
            </w:r>
            <w:r w:rsidRPr="00B36963">
              <w:rPr>
                <w:rFonts w:cs="Calibri"/>
                <w:color w:val="000000" w:themeColor="text1"/>
                <w:sz w:val="18"/>
                <w:szCs w:val="18"/>
              </w:rPr>
              <w:t xml:space="preserve">houlder </w:t>
            </w:r>
            <w:r>
              <w:rPr>
                <w:rFonts w:cs="Calibri"/>
                <w:color w:val="000000" w:themeColor="text1"/>
                <w:sz w:val="18"/>
                <w:szCs w:val="18"/>
              </w:rPr>
              <w:t>AC S</w:t>
            </w:r>
            <w:r w:rsidRPr="00B36963">
              <w:rPr>
                <w:rFonts w:cs="Calibri"/>
                <w:color w:val="000000" w:themeColor="text1"/>
                <w:sz w:val="18"/>
                <w:szCs w:val="18"/>
              </w:rPr>
              <w:t>ynovitis</w:t>
            </w:r>
          </w:p>
        </w:tc>
        <w:tc>
          <w:tcPr>
            <w:tcW w:w="1782" w:type="dxa"/>
            <w:gridSpan w:val="2"/>
            <w:tcBorders>
              <w:left w:val="single" w:sz="4" w:space="0" w:color="auto"/>
              <w:right w:val="thinThickThinSmallGap" w:sz="2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628" w:type="dxa"/>
            <w:tcBorders>
              <w:left w:val="thinThickThinSmallGap" w:sz="24" w:space="0" w:color="auto"/>
              <w:right w:val="single" w:sz="4" w:space="0" w:color="auto"/>
            </w:tcBorders>
            <w:shd w:val="clear" w:color="auto" w:fill="FFFFFF" w:themeFill="background1"/>
            <w:vAlign w:val="center"/>
          </w:tcPr>
          <w:p w:rsidR="000441CA" w:rsidRPr="001F29F9" w:rsidRDefault="000441CA" w:rsidP="00A01CAF">
            <w:pPr>
              <w:spacing w:line="220" w:lineRule="exact"/>
              <w:contextualSpacing/>
              <w:jc w:val="left"/>
              <w:rPr>
                <w:rFonts w:cs="Calibri"/>
                <w:color w:val="000000" w:themeColor="text1"/>
                <w:sz w:val="18"/>
                <w:szCs w:val="18"/>
              </w:rPr>
            </w:pPr>
            <w:r>
              <w:rPr>
                <w:rFonts w:cs="Calibri"/>
                <w:color w:val="000000" w:themeColor="text1"/>
                <w:sz w:val="18"/>
                <w:szCs w:val="18"/>
              </w:rPr>
              <w:t>Left</w:t>
            </w:r>
            <w:r w:rsidRPr="00B36963">
              <w:rPr>
                <w:rFonts w:cs="Calibri"/>
                <w:color w:val="000000" w:themeColor="text1"/>
                <w:sz w:val="18"/>
                <w:szCs w:val="18"/>
              </w:rPr>
              <w:t xml:space="preserve"> </w:t>
            </w:r>
            <w:r>
              <w:rPr>
                <w:rFonts w:cs="Calibri"/>
                <w:color w:val="000000" w:themeColor="text1"/>
                <w:sz w:val="18"/>
                <w:szCs w:val="18"/>
              </w:rPr>
              <w:t>S</w:t>
            </w:r>
            <w:r w:rsidRPr="00B36963">
              <w:rPr>
                <w:rFonts w:cs="Calibri"/>
                <w:color w:val="000000" w:themeColor="text1"/>
                <w:sz w:val="18"/>
                <w:szCs w:val="18"/>
              </w:rPr>
              <w:t xml:space="preserve">houlder </w:t>
            </w:r>
            <w:r>
              <w:rPr>
                <w:rFonts w:cs="Calibri"/>
                <w:color w:val="000000" w:themeColor="text1"/>
                <w:sz w:val="18"/>
                <w:szCs w:val="18"/>
              </w:rPr>
              <w:t>AC S</w:t>
            </w:r>
            <w:r w:rsidRPr="00B36963">
              <w:rPr>
                <w:rFonts w:cs="Calibri"/>
                <w:color w:val="000000" w:themeColor="text1"/>
                <w:sz w:val="18"/>
                <w:szCs w:val="18"/>
              </w:rPr>
              <w:t>ynovitis</w:t>
            </w:r>
          </w:p>
        </w:tc>
        <w:tc>
          <w:tcPr>
            <w:tcW w:w="1080" w:type="dxa"/>
            <w:tcBorders>
              <w:left w:val="single" w:sz="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5099-5024</w:t>
            </w:r>
          </w:p>
        </w:tc>
        <w:tc>
          <w:tcPr>
            <w:tcW w:w="702"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70817</w:t>
            </w:r>
          </w:p>
        </w:tc>
      </w:tr>
      <w:tr w:rsidR="000441CA" w:rsidRPr="001F29F9" w:rsidTr="00207FD8">
        <w:trPr>
          <w:trHeight w:val="66"/>
          <w:jc w:val="center"/>
        </w:trPr>
        <w:tc>
          <w:tcPr>
            <w:tcW w:w="3960" w:type="dxa"/>
            <w:gridSpan w:val="3"/>
            <w:vMerge w:val="restart"/>
            <w:tcBorders>
              <w:right w:val="thinThickThinSmallGap" w:sz="2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628" w:type="dxa"/>
            <w:tcBorders>
              <w:left w:val="thinThickThinSmallGap" w:sz="24" w:space="0" w:color="auto"/>
              <w:right w:val="single" w:sz="4" w:space="0" w:color="auto"/>
            </w:tcBorders>
            <w:shd w:val="clear" w:color="auto" w:fill="FFFFFF" w:themeFill="background1"/>
            <w:vAlign w:val="center"/>
          </w:tcPr>
          <w:p w:rsidR="000441CA" w:rsidRPr="001F29F9" w:rsidRDefault="000441CA" w:rsidP="00A01CAF">
            <w:pPr>
              <w:spacing w:line="220" w:lineRule="exact"/>
              <w:contextualSpacing/>
              <w:jc w:val="left"/>
              <w:rPr>
                <w:rFonts w:cs="Calibri"/>
                <w:color w:val="000000" w:themeColor="text1"/>
                <w:sz w:val="18"/>
                <w:szCs w:val="18"/>
              </w:rPr>
            </w:pPr>
            <w:r>
              <w:rPr>
                <w:rFonts w:cs="Calibri"/>
                <w:color w:val="000000" w:themeColor="text1"/>
                <w:sz w:val="18"/>
                <w:szCs w:val="18"/>
              </w:rPr>
              <w:t>Tinea Versicolor</w:t>
            </w:r>
          </w:p>
        </w:tc>
        <w:tc>
          <w:tcPr>
            <w:tcW w:w="1080" w:type="dxa"/>
            <w:tcBorders>
              <w:left w:val="single" w:sz="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7813-7806</w:t>
            </w:r>
          </w:p>
        </w:tc>
        <w:tc>
          <w:tcPr>
            <w:tcW w:w="702"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70817</w:t>
            </w:r>
          </w:p>
        </w:tc>
      </w:tr>
      <w:tr w:rsidR="000441CA" w:rsidRPr="001F29F9" w:rsidTr="00A01CAF">
        <w:trPr>
          <w:trHeight w:val="66"/>
          <w:jc w:val="center"/>
        </w:trPr>
        <w:tc>
          <w:tcPr>
            <w:tcW w:w="3960" w:type="dxa"/>
            <w:gridSpan w:val="3"/>
            <w:vMerge/>
            <w:tcBorders>
              <w:right w:val="thinThickThinSmallGap" w:sz="2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p>
        </w:tc>
        <w:tc>
          <w:tcPr>
            <w:tcW w:w="4410" w:type="dxa"/>
            <w:gridSpan w:val="3"/>
            <w:tcBorders>
              <w:left w:val="thinThickThinSmallGap" w:sz="24" w:space="0" w:color="auto"/>
            </w:tcBorders>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3</w:t>
            </w:r>
          </w:p>
        </w:tc>
        <w:tc>
          <w:tcPr>
            <w:tcW w:w="990" w:type="dxa"/>
            <w:shd w:val="clear" w:color="auto" w:fill="FFFFFF" w:themeFill="background1"/>
            <w:vAlign w:val="center"/>
          </w:tcPr>
          <w:p w:rsidR="000441CA" w:rsidRPr="001F29F9" w:rsidRDefault="000441CA" w:rsidP="00A01CAF">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70817</w:t>
            </w:r>
          </w:p>
        </w:tc>
      </w:tr>
      <w:tr w:rsidR="000441CA" w:rsidRPr="001F29F9" w:rsidTr="00A01CAF">
        <w:trPr>
          <w:trHeight w:val="242"/>
          <w:jc w:val="center"/>
        </w:trPr>
        <w:tc>
          <w:tcPr>
            <w:tcW w:w="3960" w:type="dxa"/>
            <w:gridSpan w:val="3"/>
            <w:tcBorders>
              <w:right w:val="thinThickThinSmallGap" w:sz="24" w:space="0" w:color="auto"/>
            </w:tcBorders>
            <w:shd w:val="clear" w:color="auto" w:fill="D9D9D9" w:themeFill="background1" w:themeFillShade="D9"/>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0</w:t>
            </w:r>
            <w:r w:rsidRPr="001F29F9">
              <w:rPr>
                <w:rFonts w:cs="Calibri"/>
                <w:b/>
                <w:color w:val="000000" w:themeColor="text1"/>
                <w:sz w:val="18"/>
                <w:szCs w:val="18"/>
              </w:rPr>
              <w:t>%</w:t>
            </w:r>
          </w:p>
        </w:tc>
        <w:tc>
          <w:tcPr>
            <w:tcW w:w="5400" w:type="dxa"/>
            <w:gridSpan w:val="4"/>
            <w:tcBorders>
              <w:left w:val="thinThickThinSmallGap" w:sz="24" w:space="0" w:color="auto"/>
            </w:tcBorders>
            <w:shd w:val="clear" w:color="auto" w:fill="D9D9D9" w:themeFill="background1" w:themeFillShade="D9"/>
          </w:tcPr>
          <w:p w:rsidR="000441CA" w:rsidRPr="001F29F9" w:rsidRDefault="000441CA" w:rsidP="00A01CAF">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4</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BA394D">
        <w:rPr>
          <w:color w:val="000000"/>
        </w:rPr>
        <w:t xml:space="preserve"> </w:t>
      </w:r>
      <w:r w:rsidR="00BA394D" w:rsidRPr="00BA394D">
        <w:rPr>
          <w:color w:val="000000"/>
        </w:rPr>
        <w:t xml:space="preserve">The Board acknowledges the CI’s contention for ratings for his </w:t>
      </w:r>
      <w:r w:rsidR="00BA394D">
        <w:rPr>
          <w:color w:val="000000"/>
        </w:rPr>
        <w:t>Hepatitis C and left shoulder</w:t>
      </w:r>
      <w:r w:rsidR="00BA394D" w:rsidRPr="00BA394D">
        <w:rPr>
          <w:color w:val="000000"/>
        </w:rPr>
        <w:t xml:space="preserve"> conditions which were adjudicated as not unfitting by the PEB, and notes that its recommendations in that regard must comply with governance for the Disability Evalua</w:t>
      </w:r>
      <w:r w:rsidR="00ED55AA">
        <w:rPr>
          <w:color w:val="000000"/>
        </w:rPr>
        <w:t xml:space="preserve">tion System (DES).  While the </w:t>
      </w:r>
      <w:r w:rsidR="00BA394D" w:rsidRPr="00BA394D">
        <w:rPr>
          <w:color w:val="000000"/>
        </w:rPr>
        <w:t>DES considers all of the service member's medical conditions, compensation can only be offered for those medical conditions that cut short the member’s service career; and the Board’s assessment of fitness determinations is premised on the MOS-specific functional limitations in evidence at the time of separation.  The Department of Veteran</w:t>
      </w:r>
      <w:r w:rsidR="00ED55AA">
        <w:rPr>
          <w:color w:val="000000"/>
        </w:rPr>
        <w:t>s’</w:t>
      </w:r>
      <w:r w:rsidR="00BA394D" w:rsidRPr="00BA394D">
        <w:rPr>
          <w:color w:val="000000"/>
        </w:rPr>
        <w:t xml:space="preserve"> Affairs</w:t>
      </w:r>
      <w:r w:rsidR="00ED55AA">
        <w:rPr>
          <w:color w:val="000000"/>
        </w:rPr>
        <w:t xml:space="preserve"> (DVA);</w:t>
      </w:r>
      <w:r w:rsidR="00BA394D" w:rsidRPr="00BA394D">
        <w:rPr>
          <w:color w:val="000000"/>
        </w:rPr>
        <w:t xml:space="preserve"> however, is </w:t>
      </w:r>
      <w:r w:rsidR="00ED55AA">
        <w:rPr>
          <w:color w:val="000000"/>
        </w:rPr>
        <w:t>empowered to compensate service-</w:t>
      </w:r>
      <w:r w:rsidR="00BA394D" w:rsidRPr="00BA394D">
        <w:rPr>
          <w:color w:val="000000"/>
        </w:rPr>
        <w:t xml:space="preserve">connected conditions and to periodically re-evaluate said conditions for the purpose of adjusting the </w:t>
      </w:r>
      <w:r w:rsidR="00ED55AA">
        <w:rPr>
          <w:color w:val="000000"/>
        </w:rPr>
        <w:t>V</w:t>
      </w:r>
      <w:r w:rsidR="00BA394D" w:rsidRPr="00BA394D">
        <w:rPr>
          <w:color w:val="000000"/>
        </w:rPr>
        <w:t xml:space="preserve">eteran’s disability rating should </w:t>
      </w:r>
      <w:r w:rsidR="00ED55AA">
        <w:rPr>
          <w:color w:val="000000"/>
        </w:rPr>
        <w:t>the</w:t>
      </w:r>
      <w:r w:rsidR="00BA394D" w:rsidRPr="00BA394D">
        <w:rPr>
          <w:color w:val="000000"/>
        </w:rPr>
        <w:t xml:space="preserve"> degree of impairment vary over time.</w:t>
      </w:r>
    </w:p>
    <w:p w:rsidR="00AD2379" w:rsidRPr="001F29F9" w:rsidRDefault="00AD2379" w:rsidP="00B22D42">
      <w:pPr>
        <w:jc w:val="both"/>
        <w:rPr>
          <w:color w:val="000000"/>
          <w:highlight w:val="yellow"/>
        </w:rPr>
      </w:pPr>
    </w:p>
    <w:p w:rsidR="00AD2379" w:rsidRDefault="000441CA" w:rsidP="00B22D42">
      <w:pPr>
        <w:jc w:val="both"/>
        <w:rPr>
          <w:color w:val="000000"/>
        </w:rPr>
      </w:pPr>
      <w:proofErr w:type="gramStart"/>
      <w:r>
        <w:rPr>
          <w:color w:val="000000"/>
          <w:u w:val="single"/>
        </w:rPr>
        <w:t>Bilateral Knee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FF3B20">
        <w:rPr>
          <w:color w:val="000000"/>
        </w:rPr>
        <w:t xml:space="preserve"> The 2001 injury occurred in Kosovo and resulted from a fall in full gear.  </w:t>
      </w:r>
      <w:r w:rsidR="001B4F30">
        <w:rPr>
          <w:color w:val="000000"/>
        </w:rPr>
        <w:t xml:space="preserve">There are periodic entries in the </w:t>
      </w:r>
      <w:r w:rsidR="00ED55AA">
        <w:rPr>
          <w:color w:val="000000"/>
        </w:rPr>
        <w:t>s</w:t>
      </w:r>
      <w:r w:rsidR="001B4F30">
        <w:rPr>
          <w:color w:val="000000"/>
        </w:rPr>
        <w:t xml:space="preserve">ervice treatment record </w:t>
      </w:r>
      <w:r w:rsidR="00ED55AA">
        <w:rPr>
          <w:color w:val="000000"/>
        </w:rPr>
        <w:t xml:space="preserve">(STR) </w:t>
      </w:r>
      <w:r w:rsidR="001B4F30">
        <w:rPr>
          <w:color w:val="000000"/>
        </w:rPr>
        <w:t xml:space="preserve">for left, right, and bilateral knee pain over the ensuing years.  In 2006 he suffered </w:t>
      </w:r>
      <w:r w:rsidR="00974E81">
        <w:rPr>
          <w:color w:val="000000"/>
        </w:rPr>
        <w:t xml:space="preserve">a twisting injury of the left knee, and magnetic resonance imaging confirmed the diagnosis of chondromalacia patellae; without structural damage.  Plain </w:t>
      </w:r>
      <w:r w:rsidR="005978D4">
        <w:rPr>
          <w:color w:val="000000"/>
        </w:rPr>
        <w:t>X</w:t>
      </w:r>
      <w:r w:rsidR="00974E81">
        <w:rPr>
          <w:color w:val="000000"/>
        </w:rPr>
        <w:t xml:space="preserve">-rays revealed mild degenerative patellofemoral changes bilaterally.  Orthopedic consultation in 2007 yielded an additional diagnosis of bilateral patellofemoral syndrome.  No surgical remedy was possible, and MEB proceedings were advised.  </w:t>
      </w:r>
      <w:r w:rsidR="00385708">
        <w:rPr>
          <w:color w:val="000000"/>
        </w:rPr>
        <w:t xml:space="preserve">The </w:t>
      </w:r>
      <w:r w:rsidR="008A48BB">
        <w:rPr>
          <w:color w:val="000000"/>
        </w:rPr>
        <w:t>narrative summary (NARSUM) noted bilateral knee pain “</w:t>
      </w:r>
      <w:r w:rsidR="008A48BB" w:rsidRPr="00974E81">
        <w:rPr>
          <w:color w:val="000000"/>
        </w:rPr>
        <w:t>rated at 3/10 at rest and up to</w:t>
      </w:r>
      <w:r w:rsidR="008A48BB">
        <w:rPr>
          <w:color w:val="000000"/>
        </w:rPr>
        <w:t xml:space="preserve"> </w:t>
      </w:r>
      <w:r w:rsidR="008A48BB" w:rsidRPr="00974E81">
        <w:rPr>
          <w:color w:val="000000"/>
        </w:rPr>
        <w:t>8/10 after running or road marching.</w:t>
      </w:r>
      <w:r w:rsidR="008A48BB">
        <w:rPr>
          <w:color w:val="000000"/>
        </w:rPr>
        <w:t>”  The exam documented bilateral tenderness over the lateral patellae and crepitus.  T</w:t>
      </w:r>
      <w:r w:rsidR="008A48BB" w:rsidRPr="008E6B8C">
        <w:rPr>
          <w:color w:val="000000"/>
        </w:rPr>
        <w:t xml:space="preserve">here was no </w:t>
      </w:r>
      <w:r w:rsidR="00624A6D">
        <w:rPr>
          <w:color w:val="000000"/>
        </w:rPr>
        <w:t>edema</w:t>
      </w:r>
      <w:r w:rsidR="008A48BB" w:rsidRPr="008E6B8C">
        <w:rPr>
          <w:color w:val="000000"/>
        </w:rPr>
        <w:t xml:space="preserve"> or effusion; no signs of cartilage impingement; and, no ligamental laxity to stress maneuvers.</w:t>
      </w:r>
      <w:r w:rsidR="008A48BB">
        <w:rPr>
          <w:color w:val="000000"/>
        </w:rPr>
        <w:t xml:space="preserve">  Goniometric range-of-motion (ROM) measurements were flexion 145⁰ (normal 140⁰) and 0⁰ extension (normal).  </w:t>
      </w:r>
      <w:r w:rsidR="0018319B">
        <w:rPr>
          <w:color w:val="000000"/>
        </w:rPr>
        <w:t xml:space="preserve">There was no comment on painful motion in the NARSUM physical exam, or by the physical therapist performing the goniometry.  </w:t>
      </w:r>
      <w:r w:rsidR="008A48BB">
        <w:rPr>
          <w:color w:val="000000"/>
        </w:rPr>
        <w:t xml:space="preserve">At the </w:t>
      </w:r>
      <w:r w:rsidR="008A48BB">
        <w:rPr>
          <w:color w:val="000000"/>
          <w:szCs w:val="24"/>
        </w:rPr>
        <w:t xml:space="preserve">VA </w:t>
      </w:r>
      <w:r w:rsidR="008A48BB" w:rsidRPr="00CF0280">
        <w:rPr>
          <w:color w:val="000000"/>
          <w:szCs w:val="24"/>
        </w:rPr>
        <w:t>Compensation and Pension (C&amp;P)</w:t>
      </w:r>
      <w:r w:rsidR="008A48BB">
        <w:rPr>
          <w:color w:val="000000"/>
          <w:szCs w:val="24"/>
        </w:rPr>
        <w:t xml:space="preserve"> evaluation </w:t>
      </w:r>
      <w:r w:rsidR="005978D4">
        <w:rPr>
          <w:color w:val="000000"/>
          <w:szCs w:val="24"/>
        </w:rPr>
        <w:t xml:space="preserve">performed </w:t>
      </w:r>
      <w:r w:rsidR="00ED55AA">
        <w:rPr>
          <w:color w:val="000000"/>
          <w:szCs w:val="24"/>
        </w:rPr>
        <w:t xml:space="preserve">prior to separation, </w:t>
      </w:r>
      <w:r w:rsidR="008A48BB">
        <w:rPr>
          <w:color w:val="000000"/>
          <w:szCs w:val="24"/>
        </w:rPr>
        <w:t>the CI reported weakness, stiffness and intermittent swelling of both knees.  There was constant pain rated 3-6/10 exacerbated by “physical activity</w:t>
      </w:r>
      <w:r w:rsidR="00ED55AA">
        <w:rPr>
          <w:color w:val="000000"/>
          <w:szCs w:val="24"/>
        </w:rPr>
        <w:t>.</w:t>
      </w:r>
      <w:r w:rsidR="008A48BB">
        <w:rPr>
          <w:color w:val="000000"/>
          <w:szCs w:val="24"/>
        </w:rPr>
        <w:t xml:space="preserve">”  </w:t>
      </w:r>
      <w:r w:rsidR="000119F5">
        <w:rPr>
          <w:color w:val="000000"/>
          <w:szCs w:val="24"/>
        </w:rPr>
        <w:t xml:space="preserve">The physical exam documented positive patellar grinding for each knee; but “no edema, effusion, weakness, </w:t>
      </w:r>
      <w:r w:rsidR="00ED55AA">
        <w:rPr>
          <w:color w:val="000000"/>
          <w:szCs w:val="24"/>
        </w:rPr>
        <w:t>tenderness.</w:t>
      </w:r>
      <w:r w:rsidR="000119F5">
        <w:rPr>
          <w:color w:val="000000"/>
          <w:szCs w:val="24"/>
        </w:rPr>
        <w:t>”  There were no meniscal signs or instability with stress testing.  The VA ROM measurements were normal (flexion 140⁰/extension 0⁰).  Pain at extreme of flexion and after repetitive use was noted bilaterally.</w:t>
      </w:r>
    </w:p>
    <w:p w:rsidR="00542022" w:rsidRDefault="00542022" w:rsidP="00B22D42">
      <w:pPr>
        <w:jc w:val="both"/>
        <w:rPr>
          <w:color w:val="000000"/>
        </w:rPr>
      </w:pPr>
    </w:p>
    <w:p w:rsidR="000119F5" w:rsidRPr="00805D9A" w:rsidRDefault="000119F5" w:rsidP="000119F5">
      <w:pPr>
        <w:tabs>
          <w:tab w:val="left" w:pos="288"/>
          <w:tab w:val="left" w:pos="4752"/>
        </w:tabs>
        <w:jc w:val="both"/>
        <w:rPr>
          <w:color w:val="000000"/>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61361B" w:rsidRPr="00C446D0">
        <w:rPr>
          <w:rFonts w:cs="Times New Roman"/>
          <w:color w:val="auto"/>
        </w:rPr>
        <w:t>IAW VASRD §4.71a, the Board must consider separate ratings for PEB bilateral joint adjudications; although, separate fitness assessments must justify each disability rating.</w:t>
      </w:r>
      <w:r w:rsidR="0061361B">
        <w:rPr>
          <w:rFonts w:cs="Times New Roman"/>
          <w:color w:val="auto"/>
        </w:rPr>
        <w:t xml:space="preserve">  In this case, both knees were considered to fail retention standards; both were implicated by the NARSUM and in the commander’s statement</w:t>
      </w:r>
      <w:r w:rsidR="005978D4">
        <w:rPr>
          <w:rFonts w:cs="Times New Roman"/>
          <w:color w:val="auto"/>
        </w:rPr>
        <w:t xml:space="preserve"> </w:t>
      </w:r>
      <w:r w:rsidR="0061361B">
        <w:rPr>
          <w:rFonts w:cs="Times New Roman"/>
          <w:color w:val="auto"/>
        </w:rPr>
        <w:t xml:space="preserve">and both were profiled.  Members concurred therefore that each </w:t>
      </w:r>
      <w:r w:rsidR="0061361B">
        <w:rPr>
          <w:rFonts w:cs="Times New Roman"/>
          <w:color w:val="auto"/>
        </w:rPr>
        <w:lastRenderedPageBreak/>
        <w:t>knee should be con</w:t>
      </w:r>
      <w:r w:rsidR="00740955">
        <w:rPr>
          <w:rFonts w:cs="Times New Roman"/>
          <w:color w:val="auto"/>
        </w:rPr>
        <w:t>ceded as separately unfitting; and, that coding and rating feat</w:t>
      </w:r>
      <w:r w:rsidR="00805D9A">
        <w:rPr>
          <w:rFonts w:cs="Times New Roman"/>
          <w:color w:val="auto"/>
        </w:rPr>
        <w:t xml:space="preserve">ures were logically identical. </w:t>
      </w:r>
      <w:r w:rsidR="0015011D">
        <w:rPr>
          <w:rFonts w:cs="Times New Roman"/>
          <w:color w:val="auto"/>
        </w:rPr>
        <w:t xml:space="preserve"> </w:t>
      </w:r>
      <w:r w:rsidR="00805D9A">
        <w:rPr>
          <w:rFonts w:cs="Times New Roman"/>
          <w:color w:val="auto"/>
        </w:rPr>
        <w:t xml:space="preserve">There was no ROM limitation, instability, locking or effusion which would achieve a rating higher than 10% for either knee under the available joint codes; but, </w:t>
      </w:r>
      <w:r w:rsidR="005978D4">
        <w:rPr>
          <w:rFonts w:cs="Times New Roman"/>
          <w:color w:val="auto"/>
        </w:rPr>
        <w:t xml:space="preserve">the Board </w:t>
      </w:r>
      <w:r w:rsidR="00805D9A">
        <w:rPr>
          <w:rFonts w:cs="Times New Roman"/>
          <w:color w:val="auto"/>
        </w:rPr>
        <w:t xml:space="preserve">members agreed that criteria for </w:t>
      </w:r>
      <w:r w:rsidR="00805D9A" w:rsidRPr="00805D9A">
        <w:rPr>
          <w:rFonts w:cs="Times New Roman"/>
          <w:color w:val="auto"/>
        </w:rPr>
        <w:t>VASRD §4.59 (painful motion)</w:t>
      </w:r>
      <w:r w:rsidR="00805D9A">
        <w:rPr>
          <w:rFonts w:cs="Times New Roman"/>
          <w:color w:val="auto"/>
        </w:rPr>
        <w:t xml:space="preserve"> were evidenced by the VA examiner</w:t>
      </w:r>
      <w:r w:rsidR="00ED55AA">
        <w:rPr>
          <w:rFonts w:cs="Times New Roman"/>
          <w:color w:val="auto"/>
        </w:rPr>
        <w:t xml:space="preserve"> prior to separation</w:t>
      </w:r>
      <w:r w:rsidR="00805D9A">
        <w:rPr>
          <w:rFonts w:cs="Times New Roman"/>
          <w:color w:val="auto"/>
        </w:rPr>
        <w:t xml:space="preserve">, and criteria for </w:t>
      </w:r>
      <w:r w:rsidR="00805D9A" w:rsidRPr="00805D9A">
        <w:rPr>
          <w:rFonts w:cs="Times New Roman"/>
          <w:color w:val="auto"/>
        </w:rPr>
        <w:t>§4.40 (functional loss)</w:t>
      </w:r>
      <w:r w:rsidR="00805D9A">
        <w:rPr>
          <w:rFonts w:cs="Times New Roman"/>
          <w:color w:val="auto"/>
        </w:rPr>
        <w:t xml:space="preserve"> were evidenced in the MEB and VA examinations.  Either route would yield the minimum compensable rating (10%) for each joint.  </w:t>
      </w:r>
      <w:r w:rsidR="00805D9A" w:rsidRPr="00241B01">
        <w:rPr>
          <w:rFonts w:eastAsia="Calibri" w:cs="Times New Roman"/>
          <w:color w:val="auto"/>
          <w:szCs w:val="24"/>
        </w:rPr>
        <w:t>After due deliberation, considering all of the evidence and mindful of VASRD §4.3 (reasonabl</w:t>
      </w:r>
      <w:r w:rsidR="00805D9A">
        <w:rPr>
          <w:rFonts w:eastAsia="Calibri" w:cs="Times New Roman"/>
          <w:color w:val="auto"/>
          <w:szCs w:val="24"/>
        </w:rPr>
        <w:t>e doubt), the Board recommends separate</w:t>
      </w:r>
      <w:r w:rsidR="00805D9A" w:rsidRPr="00241B01">
        <w:rPr>
          <w:rFonts w:eastAsia="Calibri" w:cs="Times New Roman"/>
          <w:color w:val="auto"/>
          <w:szCs w:val="24"/>
        </w:rPr>
        <w:t xml:space="preserve"> disability rating</w:t>
      </w:r>
      <w:r w:rsidR="00805D9A">
        <w:rPr>
          <w:rFonts w:eastAsia="Calibri" w:cs="Times New Roman"/>
          <w:color w:val="auto"/>
          <w:szCs w:val="24"/>
        </w:rPr>
        <w:t xml:space="preserve">s of 10% for knee condition.  </w:t>
      </w:r>
      <w:r w:rsidR="00805D9A">
        <w:rPr>
          <w:color w:val="000000"/>
          <w:szCs w:val="24"/>
        </w:rPr>
        <w:t xml:space="preserve">The </w:t>
      </w:r>
      <w:r w:rsidR="00ED55AA">
        <w:rPr>
          <w:color w:val="000000"/>
          <w:szCs w:val="24"/>
        </w:rPr>
        <w:t>a</w:t>
      </w:r>
      <w:r w:rsidR="00805D9A">
        <w:rPr>
          <w:color w:val="000000"/>
          <w:szCs w:val="24"/>
        </w:rPr>
        <w:t xml:space="preserve">ction </w:t>
      </w:r>
      <w:r w:rsidR="00ED55AA">
        <w:rPr>
          <w:color w:val="000000"/>
          <w:szCs w:val="24"/>
        </w:rPr>
        <w:t>o</w:t>
      </w:r>
      <w:r w:rsidR="00805D9A">
        <w:rPr>
          <w:color w:val="000000"/>
          <w:szCs w:val="24"/>
        </w:rPr>
        <w:t xml:space="preserve">fficer recommended, and the Board </w:t>
      </w:r>
      <w:r w:rsidR="00805D9A" w:rsidRPr="00805D9A">
        <w:rPr>
          <w:color w:val="000000"/>
          <w:szCs w:val="24"/>
        </w:rPr>
        <w:t>concurred with, the code 5099-5024 (tenosynovitis) for its clinical compatibility.</w:t>
      </w:r>
    </w:p>
    <w:p w:rsidR="000B35E1" w:rsidRDefault="000B35E1" w:rsidP="000B35E1">
      <w:pPr>
        <w:jc w:val="both"/>
        <w:rPr>
          <w:color w:val="000000"/>
        </w:rPr>
      </w:pPr>
    </w:p>
    <w:p w:rsidR="000B35E1" w:rsidRPr="00792790" w:rsidRDefault="006B1C3D" w:rsidP="000B35E1">
      <w:pPr>
        <w:jc w:val="both"/>
        <w:rPr>
          <w:rFonts w:eastAsia="Calibri" w:cs="Times New Roman"/>
          <w:color w:val="auto"/>
          <w:szCs w:val="24"/>
        </w:rPr>
      </w:pPr>
      <w:r w:rsidRPr="00792790">
        <w:rPr>
          <w:rFonts w:eastAsia="Calibri" w:cs="Times New Roman"/>
          <w:color w:val="auto"/>
          <w:szCs w:val="24"/>
          <w:u w:val="single"/>
        </w:rPr>
        <w:t xml:space="preserve">Contended </w:t>
      </w:r>
      <w:r w:rsidR="00BA394D">
        <w:rPr>
          <w:rFonts w:eastAsia="Calibri" w:cs="Times New Roman"/>
          <w:color w:val="auto"/>
          <w:szCs w:val="24"/>
          <w:u w:val="single"/>
        </w:rPr>
        <w:t>Hepatitis C and Left Shoulder</w:t>
      </w:r>
      <w:r w:rsidRPr="00792790">
        <w:rPr>
          <w:rFonts w:eastAsia="Calibri" w:cs="Times New Roman"/>
          <w:color w:val="auto"/>
          <w:szCs w:val="24"/>
          <w:u w:val="single"/>
        </w:rPr>
        <w:t xml:space="preserve"> Conditions</w:t>
      </w:r>
      <w:r>
        <w:rPr>
          <w:rFonts w:eastAsia="Calibri" w:cs="Times New Roman"/>
          <w:color w:val="auto"/>
          <w:szCs w:val="24"/>
        </w:rPr>
        <w:t xml:space="preserve">.  </w:t>
      </w:r>
      <w:r w:rsidR="00BA394D">
        <w:rPr>
          <w:rFonts w:eastAsia="Calibri" w:cs="Times New Roman"/>
          <w:color w:val="auto"/>
          <w:szCs w:val="24"/>
        </w:rPr>
        <w:t xml:space="preserve">Positive serology for </w:t>
      </w:r>
      <w:r w:rsidR="00ED55AA">
        <w:rPr>
          <w:rFonts w:eastAsia="Calibri" w:cs="Times New Roman"/>
          <w:color w:val="auto"/>
          <w:szCs w:val="24"/>
        </w:rPr>
        <w:t>h</w:t>
      </w:r>
      <w:r w:rsidR="00BA394D">
        <w:rPr>
          <w:rFonts w:eastAsia="Calibri" w:cs="Times New Roman"/>
          <w:color w:val="auto"/>
          <w:szCs w:val="24"/>
        </w:rPr>
        <w:t xml:space="preserve">epatitis C was discovered during MEB screening and was documented in the NARSUM and forwarded to the PEB as </w:t>
      </w:r>
      <w:r w:rsidR="000B35E1">
        <w:rPr>
          <w:rFonts w:eastAsia="Calibri" w:cs="Times New Roman"/>
          <w:color w:val="auto"/>
          <w:szCs w:val="24"/>
        </w:rPr>
        <w:t xml:space="preserve">a condition </w:t>
      </w:r>
      <w:r w:rsidR="00BA394D">
        <w:rPr>
          <w:rFonts w:eastAsia="Calibri" w:cs="Times New Roman"/>
          <w:color w:val="auto"/>
          <w:szCs w:val="24"/>
        </w:rPr>
        <w:t xml:space="preserve">meeting retention standards.  Liver function was normal and the CI was asymptomatic.  </w:t>
      </w:r>
      <w:r w:rsidR="00E7439F">
        <w:rPr>
          <w:rFonts w:eastAsia="Calibri" w:cs="Times New Roman"/>
          <w:color w:val="auto"/>
          <w:szCs w:val="24"/>
        </w:rPr>
        <w:t xml:space="preserve">The CI suffered from chronic synovitis of the acromioclavicular joint of his left shoulder dating to the same 2001 fall associated with the knee condition.  There were no outpatient treatment notes for the left shoulder later than 2001.  Both the NARSUM and VA C&amp;P evaluations </w:t>
      </w:r>
      <w:r w:rsidR="00DE3D2C">
        <w:rPr>
          <w:rFonts w:eastAsia="Calibri" w:cs="Times New Roman"/>
          <w:color w:val="auto"/>
          <w:szCs w:val="24"/>
        </w:rPr>
        <w:t>prior to separation</w:t>
      </w:r>
      <w:bookmarkStart w:id="0" w:name="_GoBack"/>
      <w:bookmarkEnd w:id="0"/>
      <w:r w:rsidR="00DE3D2C">
        <w:rPr>
          <w:rFonts w:eastAsia="Calibri" w:cs="Times New Roman"/>
          <w:color w:val="auto"/>
          <w:szCs w:val="24"/>
        </w:rPr>
        <w:t xml:space="preserve"> </w:t>
      </w:r>
      <w:r w:rsidR="00E7439F">
        <w:rPr>
          <w:rFonts w:eastAsia="Calibri" w:cs="Times New Roman"/>
          <w:color w:val="auto"/>
          <w:szCs w:val="24"/>
        </w:rPr>
        <w:t xml:space="preserve">documented normal shoulder ROMs without instability or other significant findings. </w:t>
      </w:r>
      <w:r w:rsidR="00DE3D2C">
        <w:rPr>
          <w:rFonts w:eastAsia="Calibri" w:cs="Times New Roman"/>
          <w:color w:val="auto"/>
          <w:szCs w:val="24"/>
        </w:rPr>
        <w:t xml:space="preserve"> </w:t>
      </w:r>
      <w:r w:rsidR="00E7439F">
        <w:rPr>
          <w:rFonts w:eastAsia="Calibri" w:cs="Times New Roman"/>
          <w:color w:val="auto"/>
          <w:szCs w:val="24"/>
        </w:rPr>
        <w:t>The condition was profiled U2, which is not disqualifying</w:t>
      </w:r>
      <w:r w:rsidR="000B35E1">
        <w:rPr>
          <w:rFonts w:eastAsia="Calibri" w:cs="Times New Roman"/>
          <w:color w:val="auto"/>
          <w:szCs w:val="24"/>
        </w:rPr>
        <w:t>; and, met AR 40-501 retention standards</w:t>
      </w:r>
      <w:r w:rsidR="00E7439F">
        <w:rPr>
          <w:rFonts w:eastAsia="Calibri" w:cs="Times New Roman"/>
          <w:color w:val="auto"/>
          <w:szCs w:val="24"/>
        </w:rPr>
        <w:t xml:space="preserve">.  </w:t>
      </w:r>
      <w:r w:rsidR="000B35E1">
        <w:rPr>
          <w:rFonts w:eastAsia="Calibri" w:cs="Times New Roman"/>
          <w:color w:val="auto"/>
          <w:szCs w:val="24"/>
        </w:rPr>
        <w:t xml:space="preserve">It was noted in the commander’s performance statement, but not linked to any specific limitation intrinsic to shoulder function.  </w:t>
      </w:r>
      <w:r w:rsidR="000B35E1" w:rsidRPr="00F74399">
        <w:rPr>
          <w:rFonts w:eastAsia="Calibri" w:cs="Times New Roman"/>
          <w:color w:val="auto"/>
          <w:szCs w:val="24"/>
        </w:rPr>
        <w:t xml:space="preserve">The Board’s main charge with respect to the </w:t>
      </w:r>
      <w:r w:rsidR="000B35E1">
        <w:rPr>
          <w:rFonts w:eastAsia="Calibri" w:cs="Times New Roman"/>
          <w:color w:val="auto"/>
          <w:szCs w:val="24"/>
        </w:rPr>
        <w:t>hepatitis and left shoulder</w:t>
      </w:r>
      <w:r w:rsidR="000B35E1" w:rsidRPr="00F74399">
        <w:rPr>
          <w:rFonts w:eastAsia="Calibri" w:cs="Times New Roman"/>
          <w:color w:val="auto"/>
          <w:szCs w:val="24"/>
        </w:rPr>
        <w:t xml:space="preserve"> conditions </w:t>
      </w:r>
      <w:r w:rsidR="000B35E1">
        <w:rPr>
          <w:rFonts w:eastAsia="Calibri" w:cs="Times New Roman"/>
          <w:color w:val="auto"/>
          <w:szCs w:val="24"/>
        </w:rPr>
        <w:t>is</w:t>
      </w:r>
      <w:r w:rsidR="000B35E1" w:rsidRPr="00F74399">
        <w:rPr>
          <w:rFonts w:eastAsia="Calibri" w:cs="Times New Roman"/>
          <w:color w:val="auto"/>
          <w:szCs w:val="24"/>
        </w:rPr>
        <w:t xml:space="preserve"> an assessment of the fairness of the </w:t>
      </w:r>
      <w:r w:rsidR="000B35E1">
        <w:rPr>
          <w:rFonts w:eastAsia="Calibri" w:cs="Times New Roman"/>
          <w:color w:val="auto"/>
          <w:szCs w:val="24"/>
        </w:rPr>
        <w:t xml:space="preserve">PEB </w:t>
      </w:r>
      <w:r w:rsidR="000B35E1" w:rsidRPr="00F74399">
        <w:rPr>
          <w:rFonts w:eastAsia="Calibri" w:cs="Times New Roman"/>
          <w:color w:val="auto"/>
          <w:szCs w:val="24"/>
        </w:rPr>
        <w:t>determination that they were not unfitting.  The Board’s threshold for countering fitness determinations is higher than the VASRD §4.3 (reasonable doubt) standard used for its rating recommendations, but remains adherent to the DoDI 6040.44 “fair and equitable” standard.</w:t>
      </w:r>
      <w:r w:rsidR="000B35E1">
        <w:rPr>
          <w:rFonts w:eastAsia="Calibri" w:cs="Times New Roman"/>
          <w:color w:val="auto"/>
          <w:szCs w:val="24"/>
        </w:rPr>
        <w:t xml:space="preserve">  </w:t>
      </w:r>
      <w:r w:rsidR="000B35E1">
        <w:rPr>
          <w:color w:val="000000"/>
        </w:rPr>
        <w:t>Both conditions were</w:t>
      </w:r>
      <w:r w:rsidR="000B35E1" w:rsidRPr="001F29F9">
        <w:rPr>
          <w:color w:val="000000"/>
        </w:rPr>
        <w:t xml:space="preserve"> reviewed by the </w:t>
      </w:r>
      <w:r w:rsidR="00DE3D2C">
        <w:rPr>
          <w:color w:val="000000"/>
        </w:rPr>
        <w:t>a</w:t>
      </w:r>
      <w:r w:rsidR="000B35E1" w:rsidRPr="001F29F9">
        <w:rPr>
          <w:color w:val="000000"/>
        </w:rPr>
        <w:t xml:space="preserve">ction </w:t>
      </w:r>
      <w:r w:rsidR="00DE3D2C">
        <w:rPr>
          <w:color w:val="000000"/>
        </w:rPr>
        <w:t>o</w:t>
      </w:r>
      <w:r w:rsidR="000B35E1" w:rsidRPr="001F29F9">
        <w:rPr>
          <w:color w:val="000000"/>
        </w:rPr>
        <w:t xml:space="preserve">fficer and considered by the Board. </w:t>
      </w:r>
      <w:r w:rsidR="000B35E1">
        <w:rPr>
          <w:color w:val="000000"/>
        </w:rPr>
        <w:t xml:space="preserve"> </w:t>
      </w:r>
      <w:r w:rsidR="000B35E1" w:rsidRPr="001F29F9">
        <w:rPr>
          <w:color w:val="000000"/>
        </w:rPr>
        <w:t xml:space="preserve">There was no </w:t>
      </w:r>
      <w:r w:rsidR="000B35E1">
        <w:rPr>
          <w:color w:val="000000"/>
        </w:rPr>
        <w:t>performance based evidence</w:t>
      </w:r>
      <w:r w:rsidR="000B35E1" w:rsidRPr="001F29F9">
        <w:rPr>
          <w:color w:val="000000"/>
        </w:rPr>
        <w:t xml:space="preserve"> from the record that </w:t>
      </w:r>
      <w:r w:rsidR="000B35E1">
        <w:rPr>
          <w:color w:val="000000"/>
        </w:rPr>
        <w:t>either of them</w:t>
      </w:r>
      <w:r w:rsidR="000B35E1" w:rsidRPr="001F29F9">
        <w:rPr>
          <w:color w:val="000000"/>
        </w:rPr>
        <w:t xml:space="preserve"> significantly interfered with satisfactory duty performance.  </w:t>
      </w:r>
      <w:r w:rsidR="000B35E1" w:rsidRPr="00792790">
        <w:rPr>
          <w:rFonts w:eastAsia="Calibri" w:cs="Times New Roman"/>
          <w:color w:val="auto"/>
          <w:szCs w:val="24"/>
        </w:rPr>
        <w:t>After due deliberation in consideration of the preponderance of the evidence, the Board concluded that there was insufficient cause to recommend a change in the PE</w:t>
      </w:r>
      <w:r w:rsidR="000B35E1">
        <w:rPr>
          <w:rFonts w:eastAsia="Calibri" w:cs="Times New Roman"/>
          <w:color w:val="auto"/>
          <w:szCs w:val="24"/>
        </w:rPr>
        <w:t>B fitness determination for either condition</w:t>
      </w:r>
      <w:r w:rsidR="000B35E1" w:rsidRPr="00792790">
        <w:rPr>
          <w:rFonts w:eastAsia="Calibri" w:cs="Times New Roman"/>
          <w:color w:val="auto"/>
          <w:szCs w:val="24"/>
        </w:rPr>
        <w:t xml:space="preserve">; </w:t>
      </w:r>
      <w:r w:rsidR="000B35E1">
        <w:rPr>
          <w:rFonts w:eastAsia="Calibri" w:cs="Times New Roman"/>
          <w:color w:val="auto"/>
          <w:szCs w:val="24"/>
        </w:rPr>
        <w:t>thus</w:t>
      </w:r>
      <w:r w:rsidR="000B35E1" w:rsidRPr="00792790">
        <w:rPr>
          <w:rFonts w:eastAsia="Calibri" w:cs="Times New Roman"/>
          <w:color w:val="auto"/>
          <w:szCs w:val="24"/>
        </w:rPr>
        <w:t xml:space="preserve"> no addit</w:t>
      </w:r>
      <w:r w:rsidR="000B35E1">
        <w:rPr>
          <w:rFonts w:eastAsia="Calibri" w:cs="Times New Roman"/>
          <w:color w:val="auto"/>
          <w:szCs w:val="24"/>
        </w:rPr>
        <w:t>ional disability ratings</w:t>
      </w:r>
      <w:r w:rsidR="000B35E1" w:rsidRPr="00792790">
        <w:rPr>
          <w:rFonts w:eastAsia="Calibri" w:cs="Times New Roman"/>
          <w:color w:val="auto"/>
          <w:szCs w:val="24"/>
        </w:rPr>
        <w:t xml:space="preserve"> can be recommended.</w:t>
      </w:r>
    </w:p>
    <w:p w:rsidR="006B1C3D" w:rsidRPr="001F29F9" w:rsidRDefault="006B1C3D" w:rsidP="006B1C3D">
      <w:pPr>
        <w:pBdr>
          <w:bottom w:val="single" w:sz="12" w:space="1" w:color="auto"/>
        </w:pBdr>
        <w:tabs>
          <w:tab w:val="left" w:pos="288"/>
          <w:tab w:val="left" w:pos="4752"/>
        </w:tabs>
        <w:jc w:val="both"/>
        <w:rPr>
          <w:color w:val="000000"/>
        </w:rPr>
      </w:pPr>
    </w:p>
    <w:p w:rsidR="006B1C3D" w:rsidRPr="009A7578" w:rsidRDefault="006B1C3D" w:rsidP="006364ED">
      <w:pPr>
        <w:jc w:val="left"/>
        <w:rPr>
          <w:color w:val="000000"/>
          <w:highlight w:val="magenta"/>
        </w:rPr>
      </w:pPr>
    </w:p>
    <w:p w:rsidR="00560F12"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for rating </w:t>
      </w:r>
      <w:r w:rsidR="0047356B">
        <w:rPr>
          <w:rFonts w:eastAsia="Calibri" w:cs="Times New Roman"/>
          <w:color w:val="auto"/>
          <w:szCs w:val="24"/>
        </w:rPr>
        <w:t>the bilateral knee condition</w:t>
      </w:r>
      <w:r w:rsidR="00241B01" w:rsidRPr="00241B01">
        <w:rPr>
          <w:rFonts w:eastAsia="Calibri" w:cs="Times New Roman"/>
          <w:color w:val="auto"/>
          <w:szCs w:val="24"/>
        </w:rPr>
        <w:t xml:space="preserve"> was operant in this case and </w:t>
      </w:r>
      <w:r w:rsidR="001A3A20">
        <w:rPr>
          <w:rFonts w:eastAsia="Calibri" w:cs="Times New Roman"/>
          <w:color w:val="auto"/>
          <w:szCs w:val="24"/>
        </w:rPr>
        <w:t>it</w:t>
      </w:r>
      <w:r w:rsidR="00241B01" w:rsidRPr="00241B01">
        <w:rPr>
          <w:rFonts w:eastAsia="Calibri" w:cs="Times New Roman"/>
          <w:color w:val="auto"/>
          <w:szCs w:val="24"/>
        </w:rPr>
        <w:t xml:space="preserve"> was adjudicated </w:t>
      </w:r>
      <w:r w:rsidR="00241B01" w:rsidRPr="0015011D">
        <w:rPr>
          <w:rFonts w:eastAsia="Calibri" w:cs="Times New Roman"/>
          <w:color w:val="auto"/>
          <w:szCs w:val="24"/>
        </w:rPr>
        <w:t xml:space="preserve">independently of that policy by the Board. </w:t>
      </w:r>
      <w:r w:rsidR="0047356B" w:rsidRPr="0015011D">
        <w:rPr>
          <w:rFonts w:eastAsia="Calibri" w:cs="Times New Roman"/>
          <w:color w:val="auto"/>
          <w:szCs w:val="24"/>
        </w:rPr>
        <w:t xml:space="preserve"> In the matter of the bilateral knee condition, the Board unanimously recommends that each joint be separately rated at 10%, coded </w:t>
      </w:r>
      <w:r w:rsidR="0047356B" w:rsidRPr="0015011D">
        <w:rPr>
          <w:color w:val="000000"/>
          <w:szCs w:val="24"/>
        </w:rPr>
        <w:t xml:space="preserve">5099-5024, </w:t>
      </w:r>
      <w:r w:rsidR="0047356B" w:rsidRPr="0015011D">
        <w:rPr>
          <w:rFonts w:eastAsia="Calibri" w:cs="Times New Roman"/>
          <w:color w:val="auto"/>
          <w:szCs w:val="24"/>
        </w:rPr>
        <w:t xml:space="preserve">IAW VASRD §4.71a.  </w:t>
      </w:r>
      <w:r w:rsidR="000B35E1" w:rsidRPr="0015011D">
        <w:rPr>
          <w:rFonts w:eastAsia="Calibri" w:cs="Times New Roman"/>
          <w:color w:val="auto"/>
          <w:szCs w:val="24"/>
        </w:rPr>
        <w:t xml:space="preserve">In the matter of the Hepatitis C and left shoulder conditions, the Board unanimously recommends no change from the PEB determinations as not unfitting.  </w:t>
      </w:r>
      <w:r w:rsidR="00B55FB5" w:rsidRPr="0015011D">
        <w:rPr>
          <w:rFonts w:eastAsia="Calibri" w:cs="Times New Roman"/>
          <w:color w:val="auto"/>
          <w:szCs w:val="24"/>
        </w:rPr>
        <w:t>There were no other conditions</w:t>
      </w:r>
      <w:r w:rsidR="00B55FB5" w:rsidRPr="003471C5">
        <w:rPr>
          <w:rFonts w:eastAsia="Calibri" w:cs="Times New Roman"/>
          <w:color w:val="auto"/>
          <w:szCs w:val="24"/>
        </w:rPr>
        <w:t xml:space="preserve">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47356B" w:rsidRPr="00565636" w:rsidRDefault="00AD2379" w:rsidP="0047356B">
      <w:pPr>
        <w:jc w:val="both"/>
        <w:rPr>
          <w:rFonts w:eastAsia="Calibri" w:cs="Times New Roman"/>
          <w:color w:val="000080"/>
          <w:szCs w:val="24"/>
        </w:rPr>
      </w:pPr>
      <w:r w:rsidRPr="009A7578">
        <w:rPr>
          <w:color w:val="000000"/>
          <w:u w:val="single"/>
        </w:rPr>
        <w:t>RECOMMENDATION</w:t>
      </w:r>
      <w:r w:rsidRPr="009A7578">
        <w:rPr>
          <w:color w:val="000000"/>
        </w:rPr>
        <w:t xml:space="preserve">: </w:t>
      </w:r>
      <w:r w:rsidR="0047356B" w:rsidRPr="00565636">
        <w:rPr>
          <w:rFonts w:eastAsia="Calibri" w:cs="Times New Roman"/>
          <w:color w:val="auto"/>
          <w:szCs w:val="24"/>
        </w:rPr>
        <w:t>The Board recommends that the CI’s prior determination be modified as follows, effective as of the date of his prior medical separation</w:t>
      </w:r>
      <w:r w:rsidR="0047356B">
        <w:rPr>
          <w:rFonts w:eastAsia="Calibri" w:cs="Times New Roman"/>
          <w:color w:val="auto"/>
          <w:szCs w:val="24"/>
        </w:rPr>
        <w:t>:</w:t>
      </w:r>
    </w:p>
    <w:p w:rsidR="00AD2379" w:rsidRDefault="00AD2379" w:rsidP="00BF0E94">
      <w:pPr>
        <w:jc w:val="both"/>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30"/>
        <w:gridCol w:w="720"/>
        <w:gridCol w:w="1530"/>
        <w:gridCol w:w="1026"/>
      </w:tblGrid>
      <w:tr w:rsidR="00071071" w:rsidRPr="000D5DBE" w:rsidTr="00207FD8">
        <w:trPr>
          <w:trHeight w:val="233"/>
        </w:trPr>
        <w:tc>
          <w:tcPr>
            <w:tcW w:w="6750" w:type="dxa"/>
            <w:gridSpan w:val="2"/>
            <w:tcBorders>
              <w:righ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UNFITTING CONDITION</w:t>
            </w:r>
          </w:p>
        </w:tc>
        <w:tc>
          <w:tcPr>
            <w:tcW w:w="1530" w:type="dxa"/>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RATING</w:t>
            </w:r>
          </w:p>
        </w:tc>
      </w:tr>
      <w:tr w:rsidR="00071071" w:rsidRPr="000D5DBE" w:rsidTr="00207FD8">
        <w:tc>
          <w:tcPr>
            <w:tcW w:w="6750" w:type="dxa"/>
            <w:gridSpan w:val="2"/>
            <w:tcBorders>
              <w:right w:val="single" w:sz="4" w:space="0" w:color="auto"/>
            </w:tcBorders>
            <w:vAlign w:val="center"/>
          </w:tcPr>
          <w:p w:rsidR="00071071" w:rsidRPr="000D5DBE" w:rsidRDefault="0047356B" w:rsidP="0047356B">
            <w:pPr>
              <w:tabs>
                <w:tab w:val="left" w:pos="288"/>
                <w:tab w:val="left" w:pos="4752"/>
              </w:tabs>
              <w:jc w:val="left"/>
              <w:rPr>
                <w:color w:val="000000"/>
              </w:rPr>
            </w:pPr>
            <w:r>
              <w:rPr>
                <w:color w:val="000000"/>
              </w:rPr>
              <w:t>Chondromalacia/Patellofemoral Syndrome, Left Knee</w:t>
            </w:r>
          </w:p>
        </w:tc>
        <w:tc>
          <w:tcPr>
            <w:tcW w:w="1530" w:type="dxa"/>
            <w:tcBorders>
              <w:left w:val="single" w:sz="4" w:space="0" w:color="auto"/>
            </w:tcBorders>
            <w:vAlign w:val="center"/>
          </w:tcPr>
          <w:p w:rsidR="00071071" w:rsidRPr="000D5DBE" w:rsidRDefault="0047356B" w:rsidP="00071071">
            <w:pPr>
              <w:tabs>
                <w:tab w:val="left" w:pos="288"/>
                <w:tab w:val="left" w:pos="4752"/>
              </w:tabs>
              <w:rPr>
                <w:color w:val="000000"/>
              </w:rPr>
            </w:pPr>
            <w:r w:rsidRPr="00805D9A">
              <w:rPr>
                <w:color w:val="000000"/>
                <w:szCs w:val="24"/>
              </w:rPr>
              <w:t>5099-5024</w:t>
            </w:r>
          </w:p>
        </w:tc>
        <w:tc>
          <w:tcPr>
            <w:tcW w:w="1026" w:type="dxa"/>
            <w:vAlign w:val="center"/>
          </w:tcPr>
          <w:p w:rsidR="00071071" w:rsidRPr="000D5DBE" w:rsidRDefault="0047356B" w:rsidP="00071071">
            <w:pPr>
              <w:tabs>
                <w:tab w:val="left" w:pos="288"/>
                <w:tab w:val="left" w:pos="4752"/>
              </w:tabs>
              <w:rPr>
                <w:color w:val="000000"/>
              </w:rPr>
            </w:pPr>
            <w:r>
              <w:rPr>
                <w:color w:val="000000"/>
              </w:rPr>
              <w:t>1</w:t>
            </w:r>
            <w:r w:rsidR="00071071" w:rsidRPr="000D5DBE">
              <w:rPr>
                <w:color w:val="000000"/>
              </w:rPr>
              <w:t>0%</w:t>
            </w:r>
          </w:p>
        </w:tc>
      </w:tr>
      <w:tr w:rsidR="0047356B" w:rsidRPr="000D5DBE" w:rsidTr="00207FD8">
        <w:tc>
          <w:tcPr>
            <w:tcW w:w="6750" w:type="dxa"/>
            <w:gridSpan w:val="2"/>
            <w:tcBorders>
              <w:right w:val="single" w:sz="4" w:space="0" w:color="auto"/>
            </w:tcBorders>
            <w:vAlign w:val="center"/>
          </w:tcPr>
          <w:p w:rsidR="0047356B" w:rsidRPr="000D5DBE" w:rsidRDefault="0047356B" w:rsidP="0047356B">
            <w:pPr>
              <w:tabs>
                <w:tab w:val="left" w:pos="288"/>
                <w:tab w:val="left" w:pos="4752"/>
              </w:tabs>
              <w:jc w:val="left"/>
              <w:rPr>
                <w:color w:val="000000"/>
              </w:rPr>
            </w:pPr>
            <w:r>
              <w:rPr>
                <w:color w:val="000000"/>
              </w:rPr>
              <w:lastRenderedPageBreak/>
              <w:t>Chondromalacia/Patellofemoral Syndrome, Right Knee</w:t>
            </w:r>
          </w:p>
        </w:tc>
        <w:tc>
          <w:tcPr>
            <w:tcW w:w="1530" w:type="dxa"/>
            <w:tcBorders>
              <w:left w:val="single" w:sz="4" w:space="0" w:color="auto"/>
            </w:tcBorders>
            <w:vAlign w:val="center"/>
          </w:tcPr>
          <w:p w:rsidR="0047356B" w:rsidRPr="000D5DBE" w:rsidRDefault="0047356B" w:rsidP="0047356B">
            <w:pPr>
              <w:tabs>
                <w:tab w:val="left" w:pos="288"/>
                <w:tab w:val="left" w:pos="4752"/>
              </w:tabs>
              <w:rPr>
                <w:color w:val="000000"/>
              </w:rPr>
            </w:pPr>
            <w:r w:rsidRPr="00805D9A">
              <w:rPr>
                <w:color w:val="000000"/>
                <w:szCs w:val="24"/>
              </w:rPr>
              <w:t>5099-5024</w:t>
            </w:r>
          </w:p>
        </w:tc>
        <w:tc>
          <w:tcPr>
            <w:tcW w:w="1026" w:type="dxa"/>
            <w:vAlign w:val="center"/>
          </w:tcPr>
          <w:p w:rsidR="0047356B" w:rsidRPr="000D5DBE" w:rsidRDefault="0047356B" w:rsidP="0047356B">
            <w:pPr>
              <w:tabs>
                <w:tab w:val="left" w:pos="288"/>
                <w:tab w:val="left" w:pos="4752"/>
              </w:tabs>
              <w:rPr>
                <w:color w:val="000000"/>
              </w:rPr>
            </w:pPr>
            <w:r>
              <w:rPr>
                <w:color w:val="000000"/>
              </w:rPr>
              <w:t>1</w:t>
            </w:r>
            <w:r w:rsidRPr="000D5DBE">
              <w:rPr>
                <w:color w:val="000000"/>
              </w:rPr>
              <w:t>0%</w:t>
            </w:r>
          </w:p>
        </w:tc>
      </w:tr>
      <w:tr w:rsidR="0047356B" w:rsidRPr="000D5DBE" w:rsidTr="00207FD8">
        <w:tblPrEx>
          <w:tblLook w:val="0000"/>
        </w:tblPrEx>
        <w:trPr>
          <w:gridBefore w:val="1"/>
          <w:wBefore w:w="6030" w:type="dxa"/>
          <w:trHeight w:val="152"/>
        </w:trPr>
        <w:tc>
          <w:tcPr>
            <w:tcW w:w="2250" w:type="dxa"/>
            <w:gridSpan w:val="2"/>
            <w:tcBorders>
              <w:left w:val="single" w:sz="4" w:space="0" w:color="auto"/>
            </w:tcBorders>
            <w:shd w:val="clear" w:color="auto" w:fill="D9D9D9"/>
            <w:vAlign w:val="center"/>
          </w:tcPr>
          <w:p w:rsidR="0047356B" w:rsidRPr="000D5DBE" w:rsidRDefault="0047356B" w:rsidP="0047356B">
            <w:pPr>
              <w:tabs>
                <w:tab w:val="left" w:pos="288"/>
                <w:tab w:val="left" w:pos="4752"/>
              </w:tabs>
              <w:rPr>
                <w:b/>
                <w:color w:val="000000"/>
              </w:rPr>
            </w:pPr>
            <w:r w:rsidRPr="000D5DBE">
              <w:rPr>
                <w:b/>
                <w:color w:val="000000"/>
              </w:rPr>
              <w:t>COMBINED</w:t>
            </w:r>
            <w:r>
              <w:rPr>
                <w:b/>
                <w:color w:val="000000"/>
              </w:rPr>
              <w:t xml:space="preserve"> (w/ BLF)</w:t>
            </w:r>
          </w:p>
        </w:tc>
        <w:tc>
          <w:tcPr>
            <w:tcW w:w="1026" w:type="dxa"/>
            <w:shd w:val="clear" w:color="auto" w:fill="D9D9D9"/>
            <w:vAlign w:val="center"/>
          </w:tcPr>
          <w:p w:rsidR="0047356B" w:rsidRPr="000D5DBE" w:rsidRDefault="0047356B" w:rsidP="0047356B">
            <w:pPr>
              <w:tabs>
                <w:tab w:val="left" w:pos="288"/>
                <w:tab w:val="left" w:pos="4752"/>
              </w:tabs>
              <w:rPr>
                <w:b/>
                <w:color w:val="000000"/>
              </w:rPr>
            </w:pPr>
            <w:r>
              <w:rPr>
                <w:b/>
                <w:color w:val="000000"/>
              </w:rPr>
              <w:t>2</w:t>
            </w:r>
            <w:r w:rsidRPr="000D5DBE">
              <w:rPr>
                <w:b/>
                <w:color w:val="000000"/>
              </w:rPr>
              <w:t>0%</w:t>
            </w:r>
          </w:p>
        </w:tc>
      </w:tr>
    </w:tbl>
    <w:p w:rsidR="00071071" w:rsidRPr="001F29F9" w:rsidRDefault="00071071" w:rsidP="00BF0E94">
      <w:pPr>
        <w:jc w:val="both"/>
        <w:rPr>
          <w:color w:val="000000"/>
        </w:rPr>
      </w:pPr>
    </w:p>
    <w:p w:rsidR="00AD2379" w:rsidRPr="001F29F9" w:rsidRDefault="00AD2379" w:rsidP="00DE3D2C">
      <w:pPr>
        <w:jc w:val="both"/>
        <w:rPr>
          <w:color w:val="000000"/>
        </w:rPr>
      </w:pPr>
    </w:p>
    <w:p w:rsidR="00AD2379" w:rsidRDefault="00207FD8" w:rsidP="00207FD8">
      <w:pPr>
        <w:spacing w:line="240" w:lineRule="auto"/>
        <w:jc w:val="left"/>
        <w:rPr>
          <w:color w:val="000000"/>
        </w:rPr>
      </w:pPr>
      <w:r>
        <w:rPr>
          <w:color w:val="000000"/>
        </w:rPr>
        <w:br w:type="page"/>
      </w:r>
      <w:r w:rsidR="00AD2379"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375796" w:rsidRPr="001F29F9">
        <w:rPr>
          <w:color w:val="000000" w:themeColor="text1"/>
          <w:szCs w:val="24"/>
        </w:rPr>
        <w:t>201</w:t>
      </w:r>
      <w:r w:rsidR="00375796">
        <w:rPr>
          <w:color w:val="000000" w:themeColor="text1"/>
          <w:szCs w:val="24"/>
        </w:rPr>
        <w:t>111010</w:t>
      </w:r>
      <w:r w:rsidR="00DE3D2C">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DE3D2C">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DE3D2C">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FC4B6B">
        <w:rPr>
          <w:color w:val="000000"/>
        </w:rPr>
        <w:t>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FC4B6B" w:rsidRDefault="00AD2379" w:rsidP="0015011D">
      <w:pPr>
        <w:tabs>
          <w:tab w:val="left" w:pos="0"/>
          <w:tab w:val="left" w:pos="4320"/>
        </w:tabs>
        <w:jc w:val="both"/>
        <w:rPr>
          <w:color w:val="000000"/>
        </w:rPr>
      </w:pPr>
      <w:r w:rsidRPr="001F29F9">
        <w:rPr>
          <w:color w:val="000000"/>
        </w:rPr>
        <w:tab/>
        <w:t xml:space="preserve">           Physical Disability Board of Review</w:t>
      </w:r>
    </w:p>
    <w:p w:rsidR="00FC4B6B" w:rsidRDefault="00FC4B6B">
      <w:pPr>
        <w:spacing w:line="240" w:lineRule="auto"/>
        <w:jc w:val="left"/>
        <w:rPr>
          <w:color w:val="000000"/>
        </w:rPr>
      </w:pPr>
      <w:r>
        <w:rPr>
          <w:color w:val="000000"/>
        </w:rPr>
        <w:br w:type="page"/>
      </w:r>
    </w:p>
    <w:p w:rsidR="00FC4B6B" w:rsidRDefault="00FC4B6B" w:rsidP="00FC4B6B">
      <w:pPr>
        <w:sectPr w:rsidR="00FC4B6B">
          <w:pgSz w:w="12240" w:h="15840"/>
          <w:pgMar w:top="2160" w:right="1440" w:bottom="1440" w:left="1440" w:header="720" w:footer="720" w:gutter="0"/>
          <w:cols w:space="720"/>
        </w:sectPr>
      </w:pPr>
    </w:p>
    <w:p w:rsidR="00FC4B6B" w:rsidRDefault="00FC4B6B" w:rsidP="00FC4B6B">
      <w:pPr>
        <w:pStyle w:val="Header"/>
        <w:tabs>
          <w:tab w:val="left" w:pos="720"/>
        </w:tabs>
        <w:jc w:val="left"/>
      </w:pPr>
      <w:r>
        <w:lastRenderedPageBreak/>
        <w:t>SFMR-RB</w:t>
      </w:r>
      <w:r>
        <w:tab/>
      </w:r>
      <w:r>
        <w:tab/>
      </w:r>
      <w:r>
        <w:tab/>
      </w:r>
      <w:r>
        <w:tab/>
      </w:r>
      <w:r>
        <w:tab/>
      </w:r>
      <w:r>
        <w:tab/>
      </w:r>
      <w:r>
        <w:tab/>
      </w:r>
      <w:r>
        <w:tab/>
      </w:r>
      <w:r>
        <w:tab/>
      </w:r>
    </w:p>
    <w:p w:rsidR="00FC4B6B" w:rsidRDefault="00FC4B6B" w:rsidP="00FC4B6B">
      <w:pPr>
        <w:pStyle w:val="Header"/>
        <w:tabs>
          <w:tab w:val="left" w:pos="720"/>
        </w:tabs>
        <w:jc w:val="left"/>
      </w:pPr>
    </w:p>
    <w:p w:rsidR="00FC4B6B" w:rsidRDefault="00FC4B6B" w:rsidP="00FC4B6B">
      <w:pPr>
        <w:jc w:val="left"/>
      </w:pPr>
    </w:p>
    <w:p w:rsidR="00FC4B6B" w:rsidRDefault="00FC4B6B" w:rsidP="00FC4B6B">
      <w:pPr>
        <w:jc w:val="left"/>
      </w:pPr>
      <w:r>
        <w:t xml:space="preserve">MEMORANDUM FOR Commander, US Army Physical Disability Agency </w:t>
      </w:r>
    </w:p>
    <w:p w:rsidR="00FC4B6B" w:rsidRDefault="00FC4B6B" w:rsidP="00FC4B6B">
      <w:pPr>
        <w:jc w:val="left"/>
      </w:pPr>
      <w:r>
        <w:t xml:space="preserve">(TAPD-ZB </w:t>
      </w:r>
      <w:proofErr w:type="gramStart"/>
      <w:r>
        <w:t>/  )</w:t>
      </w:r>
      <w:proofErr w:type="gramEnd"/>
      <w:r>
        <w:t>, 2900 Crystal Drive, Suite 300, Arlington, VA  22202</w:t>
      </w:r>
    </w:p>
    <w:p w:rsidR="00FC4B6B" w:rsidRDefault="00FC4B6B" w:rsidP="00FC4B6B">
      <w:pPr>
        <w:jc w:val="left"/>
      </w:pPr>
    </w:p>
    <w:p w:rsidR="00FC4B6B" w:rsidRDefault="00FC4B6B" w:rsidP="00FC4B6B">
      <w:pPr>
        <w:ind w:right="-180"/>
        <w:jc w:val="left"/>
      </w:pPr>
      <w:r>
        <w:t xml:space="preserve">SUBJECT:  Department of Defense Physical Disability Board of Review Recommendation </w:t>
      </w:r>
    </w:p>
    <w:p w:rsidR="00FC4B6B" w:rsidRDefault="00FC4B6B" w:rsidP="00FC4B6B">
      <w:pPr>
        <w:pStyle w:val="Header"/>
        <w:tabs>
          <w:tab w:val="left" w:pos="720"/>
        </w:tabs>
        <w:jc w:val="left"/>
      </w:pPr>
      <w:proofErr w:type="gramStart"/>
      <w:r>
        <w:t>for</w:t>
      </w:r>
      <w:proofErr w:type="gramEnd"/>
      <w:r>
        <w:t xml:space="preserve"> XXXXXXXXXXXXXXXXXXXXXXXXXX, AR20120015235 (PD201100908)</w:t>
      </w:r>
    </w:p>
    <w:p w:rsidR="00FC4B6B" w:rsidRDefault="00FC4B6B" w:rsidP="00FC4B6B">
      <w:pPr>
        <w:pStyle w:val="Header"/>
        <w:tabs>
          <w:tab w:val="left" w:pos="720"/>
        </w:tabs>
        <w:jc w:val="left"/>
      </w:pPr>
    </w:p>
    <w:p w:rsidR="00FC4B6B" w:rsidRDefault="00FC4B6B" w:rsidP="00FC4B6B">
      <w:pPr>
        <w:jc w:val="left"/>
      </w:pPr>
    </w:p>
    <w:p w:rsidR="00FC4B6B" w:rsidRDefault="00FC4B6B" w:rsidP="00FC4B6B">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C4B6B" w:rsidRDefault="00FC4B6B" w:rsidP="00FC4B6B">
      <w:pPr>
        <w:jc w:val="left"/>
      </w:pPr>
    </w:p>
    <w:p w:rsidR="00FC4B6B" w:rsidRDefault="00FC4B6B" w:rsidP="00FC4B6B">
      <w:pPr>
        <w:jc w:val="left"/>
      </w:pPr>
      <w:r>
        <w:t xml:space="preserve">2.  I direct that all the Department of the Army records of the individual concerned be corrected accordingly no later than 120 days from the date of this memorandum.   </w:t>
      </w:r>
    </w:p>
    <w:p w:rsidR="00FC4B6B" w:rsidRDefault="00FC4B6B" w:rsidP="00FC4B6B">
      <w:pPr>
        <w:jc w:val="left"/>
      </w:pPr>
    </w:p>
    <w:p w:rsidR="00FC4B6B" w:rsidRDefault="00FC4B6B" w:rsidP="00FC4B6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C4B6B" w:rsidRDefault="00FC4B6B" w:rsidP="00FC4B6B">
      <w:pPr>
        <w:jc w:val="left"/>
      </w:pPr>
    </w:p>
    <w:p w:rsidR="00FC4B6B" w:rsidRDefault="00FC4B6B" w:rsidP="00FC4B6B">
      <w:pPr>
        <w:jc w:val="left"/>
      </w:pPr>
      <w:r>
        <w:t xml:space="preserve"> BY ORDER OF THE SECRETARY OF THE ARMY:</w:t>
      </w:r>
    </w:p>
    <w:p w:rsidR="00FC4B6B" w:rsidRDefault="00FC4B6B" w:rsidP="00FC4B6B">
      <w:pPr>
        <w:jc w:val="left"/>
      </w:pPr>
    </w:p>
    <w:p w:rsidR="00FC4B6B" w:rsidRDefault="00FC4B6B" w:rsidP="00FC4B6B">
      <w:pPr>
        <w:jc w:val="left"/>
      </w:pPr>
    </w:p>
    <w:p w:rsidR="00FC4B6B" w:rsidRDefault="00FC4B6B" w:rsidP="00FC4B6B">
      <w:pPr>
        <w:pStyle w:val="Header"/>
        <w:tabs>
          <w:tab w:val="left" w:pos="720"/>
        </w:tabs>
        <w:jc w:val="left"/>
      </w:pPr>
    </w:p>
    <w:p w:rsidR="00FC4B6B" w:rsidRDefault="00FC4B6B" w:rsidP="00FC4B6B">
      <w:pPr>
        <w:jc w:val="left"/>
      </w:pPr>
    </w:p>
    <w:p w:rsidR="00FC4B6B" w:rsidRDefault="00FC4B6B" w:rsidP="00FC4B6B">
      <w:pPr>
        <w:jc w:val="left"/>
      </w:pPr>
      <w:bookmarkStart w:id="1" w:name="OLE_LINK4"/>
      <w:bookmarkStart w:id="2" w:name="OLE_LINK3"/>
      <w:r>
        <w:t>Encl</w:t>
      </w:r>
      <w:r>
        <w:tab/>
      </w:r>
      <w:r>
        <w:tab/>
      </w:r>
      <w:r>
        <w:tab/>
      </w:r>
      <w:r>
        <w:tab/>
      </w:r>
      <w:r>
        <w:tab/>
      </w:r>
      <w:r>
        <w:tab/>
        <w:t xml:space="preserve">     XXXXXXXXXXXXXXXXXXXXXX</w:t>
      </w:r>
    </w:p>
    <w:p w:rsidR="00FC4B6B" w:rsidRDefault="00FC4B6B" w:rsidP="00FC4B6B">
      <w:pPr>
        <w:jc w:val="left"/>
      </w:pPr>
      <w:r>
        <w:tab/>
      </w:r>
      <w:r>
        <w:tab/>
      </w:r>
      <w:r>
        <w:tab/>
      </w:r>
      <w:r>
        <w:tab/>
      </w:r>
      <w:r>
        <w:tab/>
      </w:r>
      <w:r>
        <w:tab/>
        <w:t xml:space="preserve">     Deputy Assistant Secretary</w:t>
      </w:r>
    </w:p>
    <w:p w:rsidR="00FC4B6B" w:rsidRDefault="00FC4B6B" w:rsidP="00FC4B6B">
      <w:pPr>
        <w:jc w:val="left"/>
      </w:pPr>
      <w:r>
        <w:tab/>
      </w:r>
      <w:r>
        <w:tab/>
      </w:r>
      <w:r>
        <w:tab/>
      </w:r>
      <w:r>
        <w:tab/>
      </w:r>
      <w:r>
        <w:tab/>
      </w:r>
      <w:r>
        <w:tab/>
        <w:t xml:space="preserve">         (Army Review Boards)</w:t>
      </w:r>
      <w:bookmarkEnd w:id="1"/>
      <w:bookmarkEnd w:id="2"/>
    </w:p>
    <w:p w:rsidR="00FC4B6B" w:rsidRDefault="00FC4B6B" w:rsidP="00FC4B6B">
      <w:pPr>
        <w:jc w:val="left"/>
      </w:pPr>
    </w:p>
    <w:p w:rsidR="00FC4B6B" w:rsidRDefault="00FC4B6B" w:rsidP="00FC4B6B">
      <w:pPr>
        <w:jc w:val="left"/>
      </w:pPr>
      <w:r>
        <w:t xml:space="preserve">CF: </w:t>
      </w:r>
    </w:p>
    <w:p w:rsidR="00FC4B6B" w:rsidRDefault="00FC4B6B" w:rsidP="00FC4B6B">
      <w:pPr>
        <w:jc w:val="left"/>
      </w:pPr>
      <w:r>
        <w:t xml:space="preserve">(  ) </w:t>
      </w:r>
      <w:proofErr w:type="spellStart"/>
      <w:proofErr w:type="gramStart"/>
      <w:r>
        <w:t>DoD</w:t>
      </w:r>
      <w:proofErr w:type="spellEnd"/>
      <w:proofErr w:type="gramEnd"/>
      <w:r>
        <w:t xml:space="preserve"> PDBR</w:t>
      </w:r>
    </w:p>
    <w:p w:rsidR="00FC4B6B" w:rsidRDefault="00FC4B6B" w:rsidP="00FC4B6B">
      <w:pPr>
        <w:jc w:val="left"/>
      </w:pPr>
      <w:r>
        <w:t>(  ) DVA</w:t>
      </w:r>
    </w:p>
    <w:p w:rsidR="00CD4660" w:rsidRPr="00CD4660" w:rsidRDefault="00CD4660" w:rsidP="00FC4B6B">
      <w:pPr>
        <w:tabs>
          <w:tab w:val="left" w:pos="0"/>
          <w:tab w:val="left" w:pos="4320"/>
        </w:tabs>
        <w:jc w:val="left"/>
      </w:pPr>
    </w:p>
    <w:p w:rsidR="00FE7EB9" w:rsidRPr="006235F5" w:rsidRDefault="00FE7EB9" w:rsidP="00FC4B6B">
      <w:pPr>
        <w:tabs>
          <w:tab w:val="left" w:pos="288"/>
          <w:tab w:val="left" w:pos="4752"/>
        </w:tabs>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BC" w:rsidRDefault="002E34BC">
      <w:r>
        <w:separator/>
      </w:r>
    </w:p>
  </w:endnote>
  <w:endnote w:type="continuationSeparator" w:id="0">
    <w:p w:rsidR="002E34BC" w:rsidRDefault="002E34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3C3719" w:rsidRPr="003C3719">
      <w:fldChar w:fldCharType="begin"/>
    </w:r>
    <w:r w:rsidR="00F71FE8">
      <w:instrText xml:space="preserve"> PAGE   \* MERGEFORMAT </w:instrText>
    </w:r>
    <w:r w:rsidR="003C3719" w:rsidRPr="003C3719">
      <w:fldChar w:fldCharType="separate"/>
    </w:r>
    <w:r w:rsidR="00FC4B6B" w:rsidRPr="00FC4B6B">
      <w:rPr>
        <w:noProof/>
        <w:color w:val="auto"/>
      </w:rPr>
      <w:t>3</w:t>
    </w:r>
    <w:r w:rsidR="003C3719">
      <w:rPr>
        <w:noProof/>
        <w:color w:val="auto"/>
      </w:rPr>
      <w:fldChar w:fldCharType="end"/>
    </w:r>
    <w:r w:rsidRPr="00374247">
      <w:rPr>
        <w:color w:val="auto"/>
      </w:rPr>
      <w:t xml:space="preserve">                                                           </w:t>
    </w:r>
    <w:r w:rsidRPr="001D64F3">
      <w:rPr>
        <w:color w:val="auto"/>
      </w:rPr>
      <w:t>PD1</w:t>
    </w:r>
    <w:r w:rsidRPr="009369A6">
      <w:rPr>
        <w:color w:val="auto"/>
      </w:rPr>
      <w:t>100</w:t>
    </w:r>
    <w:r w:rsidR="0015011D">
      <w:rPr>
        <w:color w:val="auto"/>
      </w:rPr>
      <w:t>908</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BC" w:rsidRDefault="002E34BC">
      <w:r>
        <w:separator/>
      </w:r>
    </w:p>
  </w:footnote>
  <w:footnote w:type="continuationSeparator" w:id="0">
    <w:p w:rsidR="002E34BC" w:rsidRDefault="002E3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19F5"/>
    <w:rsid w:val="00012428"/>
    <w:rsid w:val="00012733"/>
    <w:rsid w:val="00013417"/>
    <w:rsid w:val="000145C2"/>
    <w:rsid w:val="0001473F"/>
    <w:rsid w:val="00014A47"/>
    <w:rsid w:val="00014A9E"/>
    <w:rsid w:val="00017778"/>
    <w:rsid w:val="00020941"/>
    <w:rsid w:val="00021212"/>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1D0"/>
    <w:rsid w:val="00036E4B"/>
    <w:rsid w:val="00037929"/>
    <w:rsid w:val="000379D0"/>
    <w:rsid w:val="00040FC4"/>
    <w:rsid w:val="000416F8"/>
    <w:rsid w:val="00042C26"/>
    <w:rsid w:val="00043382"/>
    <w:rsid w:val="000441CA"/>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35E1"/>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11D"/>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19B"/>
    <w:rsid w:val="00183F77"/>
    <w:rsid w:val="00183FB3"/>
    <w:rsid w:val="001844D8"/>
    <w:rsid w:val="00185DA8"/>
    <w:rsid w:val="00185ECB"/>
    <w:rsid w:val="001865E0"/>
    <w:rsid w:val="001870F0"/>
    <w:rsid w:val="00190B5C"/>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4F30"/>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4240"/>
    <w:rsid w:val="001F6E0B"/>
    <w:rsid w:val="00200AA0"/>
    <w:rsid w:val="00202325"/>
    <w:rsid w:val="00202459"/>
    <w:rsid w:val="00202736"/>
    <w:rsid w:val="00202D1C"/>
    <w:rsid w:val="00203652"/>
    <w:rsid w:val="00204562"/>
    <w:rsid w:val="00205B4F"/>
    <w:rsid w:val="002060B6"/>
    <w:rsid w:val="002066B5"/>
    <w:rsid w:val="00207FD8"/>
    <w:rsid w:val="00210EAC"/>
    <w:rsid w:val="00211612"/>
    <w:rsid w:val="002119B6"/>
    <w:rsid w:val="002122A8"/>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8C9"/>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34BC"/>
    <w:rsid w:val="002E400C"/>
    <w:rsid w:val="002E49C3"/>
    <w:rsid w:val="002E5114"/>
    <w:rsid w:val="002E5988"/>
    <w:rsid w:val="002E5B76"/>
    <w:rsid w:val="002E65E6"/>
    <w:rsid w:val="002E7072"/>
    <w:rsid w:val="002E7570"/>
    <w:rsid w:val="002E764B"/>
    <w:rsid w:val="002E7C25"/>
    <w:rsid w:val="002F08D1"/>
    <w:rsid w:val="002F0D6A"/>
    <w:rsid w:val="002F0E28"/>
    <w:rsid w:val="002F195B"/>
    <w:rsid w:val="002F287E"/>
    <w:rsid w:val="002F2981"/>
    <w:rsid w:val="002F2D63"/>
    <w:rsid w:val="002F6AD8"/>
    <w:rsid w:val="002F7237"/>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894"/>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796"/>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44B"/>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3719"/>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968"/>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356B"/>
    <w:rsid w:val="004761CC"/>
    <w:rsid w:val="00476229"/>
    <w:rsid w:val="004766C9"/>
    <w:rsid w:val="00480D4A"/>
    <w:rsid w:val="00481DA1"/>
    <w:rsid w:val="00482B19"/>
    <w:rsid w:val="004837A7"/>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563"/>
    <w:rsid w:val="004D6E90"/>
    <w:rsid w:val="004D6F2B"/>
    <w:rsid w:val="004E0248"/>
    <w:rsid w:val="004E21A3"/>
    <w:rsid w:val="004E32EA"/>
    <w:rsid w:val="004E3517"/>
    <w:rsid w:val="004E3656"/>
    <w:rsid w:val="004E521C"/>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0B1"/>
    <w:rsid w:val="00583379"/>
    <w:rsid w:val="0058417C"/>
    <w:rsid w:val="005854F9"/>
    <w:rsid w:val="00586EC6"/>
    <w:rsid w:val="00587DDE"/>
    <w:rsid w:val="00591EB4"/>
    <w:rsid w:val="00593043"/>
    <w:rsid w:val="00595B60"/>
    <w:rsid w:val="00595B63"/>
    <w:rsid w:val="00595BF0"/>
    <w:rsid w:val="005978D4"/>
    <w:rsid w:val="00597E16"/>
    <w:rsid w:val="005A0B1D"/>
    <w:rsid w:val="005A1846"/>
    <w:rsid w:val="005A1A90"/>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61B"/>
    <w:rsid w:val="00613E26"/>
    <w:rsid w:val="00614791"/>
    <w:rsid w:val="00615641"/>
    <w:rsid w:val="00615A66"/>
    <w:rsid w:val="00616959"/>
    <w:rsid w:val="0062036E"/>
    <w:rsid w:val="006211D0"/>
    <w:rsid w:val="00621595"/>
    <w:rsid w:val="0062359D"/>
    <w:rsid w:val="006235F5"/>
    <w:rsid w:val="00623634"/>
    <w:rsid w:val="00624740"/>
    <w:rsid w:val="00624A6D"/>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63"/>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1C3D"/>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1EF7"/>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955"/>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81"/>
    <w:rsid w:val="00763F95"/>
    <w:rsid w:val="007651ED"/>
    <w:rsid w:val="00766C87"/>
    <w:rsid w:val="00771043"/>
    <w:rsid w:val="0077272B"/>
    <w:rsid w:val="00773AF7"/>
    <w:rsid w:val="00773C45"/>
    <w:rsid w:val="00774FFD"/>
    <w:rsid w:val="007765EB"/>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5D40"/>
    <w:rsid w:val="00805D9A"/>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48BB"/>
    <w:rsid w:val="008A55DE"/>
    <w:rsid w:val="008A5705"/>
    <w:rsid w:val="008A5C34"/>
    <w:rsid w:val="008A63A9"/>
    <w:rsid w:val="008A6A3A"/>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EEB"/>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2587"/>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042"/>
    <w:rsid w:val="009461E6"/>
    <w:rsid w:val="00950A3A"/>
    <w:rsid w:val="00951A42"/>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4E81"/>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6FAC"/>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44AA"/>
    <w:rsid w:val="00B955D5"/>
    <w:rsid w:val="00B95833"/>
    <w:rsid w:val="00BA1824"/>
    <w:rsid w:val="00BA2D98"/>
    <w:rsid w:val="00BA2F0C"/>
    <w:rsid w:val="00BA30D1"/>
    <w:rsid w:val="00BA30E1"/>
    <w:rsid w:val="00BA394D"/>
    <w:rsid w:val="00BA4609"/>
    <w:rsid w:val="00BA5BE2"/>
    <w:rsid w:val="00BA60FC"/>
    <w:rsid w:val="00BA6A9C"/>
    <w:rsid w:val="00BA7F46"/>
    <w:rsid w:val="00BB0388"/>
    <w:rsid w:val="00BB0A0A"/>
    <w:rsid w:val="00BB133C"/>
    <w:rsid w:val="00BB1F04"/>
    <w:rsid w:val="00BB45B5"/>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2EB4"/>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1DD"/>
    <w:rsid w:val="00CC69EC"/>
    <w:rsid w:val="00CC78A2"/>
    <w:rsid w:val="00CC7DF8"/>
    <w:rsid w:val="00CD15BE"/>
    <w:rsid w:val="00CD1EF2"/>
    <w:rsid w:val="00CD2165"/>
    <w:rsid w:val="00CD32BD"/>
    <w:rsid w:val="00CD34C7"/>
    <w:rsid w:val="00CD4660"/>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3D2C"/>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AD8"/>
    <w:rsid w:val="00E65C05"/>
    <w:rsid w:val="00E65D39"/>
    <w:rsid w:val="00E670F8"/>
    <w:rsid w:val="00E6741B"/>
    <w:rsid w:val="00E67FAC"/>
    <w:rsid w:val="00E70164"/>
    <w:rsid w:val="00E71485"/>
    <w:rsid w:val="00E7200B"/>
    <w:rsid w:val="00E729FB"/>
    <w:rsid w:val="00E738CB"/>
    <w:rsid w:val="00E73C88"/>
    <w:rsid w:val="00E73E21"/>
    <w:rsid w:val="00E74049"/>
    <w:rsid w:val="00E7439F"/>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5DA"/>
    <w:rsid w:val="00E91CB8"/>
    <w:rsid w:val="00E9265E"/>
    <w:rsid w:val="00E956DB"/>
    <w:rsid w:val="00E957D7"/>
    <w:rsid w:val="00E974A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55AA"/>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1FE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34F5"/>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4B6B"/>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B20"/>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CD4660"/>
    <w:pPr>
      <w:spacing w:before="100" w:beforeAutospacing="1" w:after="100" w:afterAutospacing="1" w:line="240" w:lineRule="auto"/>
      <w:jc w:val="left"/>
    </w:pPr>
    <w:rPr>
      <w:rFonts w:ascii="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318462225">
      <w:bodyDiv w:val="1"/>
      <w:marLeft w:val="0"/>
      <w:marRight w:val="0"/>
      <w:marTop w:val="0"/>
      <w:marBottom w:val="0"/>
      <w:divBdr>
        <w:top w:val="none" w:sz="0" w:space="0" w:color="auto"/>
        <w:left w:val="none" w:sz="0" w:space="0" w:color="auto"/>
        <w:bottom w:val="none" w:sz="0" w:space="0" w:color="auto"/>
        <w:right w:val="none" w:sz="0" w:space="0" w:color="auto"/>
      </w:divBdr>
      <w:divsChild>
        <w:div w:id="51586264">
          <w:marLeft w:val="0"/>
          <w:marRight w:val="0"/>
          <w:marTop w:val="0"/>
          <w:marBottom w:val="0"/>
          <w:divBdr>
            <w:top w:val="none" w:sz="0" w:space="0" w:color="auto"/>
            <w:left w:val="none" w:sz="0" w:space="0" w:color="auto"/>
            <w:bottom w:val="none" w:sz="0" w:space="0" w:color="auto"/>
            <w:right w:val="none" w:sz="0" w:space="0" w:color="auto"/>
          </w:divBdr>
          <w:divsChild>
            <w:div w:id="2079090021">
              <w:marLeft w:val="0"/>
              <w:marRight w:val="0"/>
              <w:marTop w:val="0"/>
              <w:marBottom w:val="0"/>
              <w:divBdr>
                <w:top w:val="none" w:sz="0" w:space="0" w:color="auto"/>
                <w:left w:val="none" w:sz="0" w:space="0" w:color="auto"/>
                <w:bottom w:val="none" w:sz="0" w:space="0" w:color="auto"/>
                <w:right w:val="none" w:sz="0" w:space="0" w:color="auto"/>
              </w:divBdr>
              <w:divsChild>
                <w:div w:id="1172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E196-C9E2-4DBA-BBAD-46E84A39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2012-09-13T14:29:00Z</dcterms:created>
  <dcterms:modified xsi:type="dcterms:W3CDTF">2012-09-13T14:29:00Z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