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76218B">
        <w:rPr>
          <w:rFonts w:asciiTheme="minorHAnsi" w:hAnsiTheme="minorHAnsi"/>
          <w:caps/>
          <w:color w:val="auto"/>
        </w:rPr>
        <w:t>XXXXXXXX</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DB4483">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1077B3">
        <w:rPr>
          <w:rFonts w:asciiTheme="minorHAnsi" w:hAnsiTheme="minorHAnsi"/>
          <w:caps/>
          <w:color w:val="auto"/>
        </w:rPr>
        <w:t>904</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DB4483">
        <w:rPr>
          <w:rFonts w:asciiTheme="minorHAnsi" w:hAnsiTheme="minorHAnsi"/>
          <w:caps/>
          <w:color w:val="auto"/>
        </w:rPr>
        <w:t>20021001</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984FF1">
        <w:rPr>
          <w:rFonts w:asciiTheme="minorHAnsi" w:hAnsiTheme="minorHAnsi"/>
          <w:caps/>
          <w:color w:val="auto"/>
        </w:rPr>
        <w:t>0416</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6A0FC4" w:rsidRPr="00B676CC" w:rsidRDefault="005052D4" w:rsidP="00CE2C75">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w:t>
      </w:r>
      <w:r w:rsidRPr="00D55B69">
        <w:rPr>
          <w:rFonts w:asciiTheme="minorHAnsi" w:hAnsiTheme="minorHAnsi"/>
          <w:color w:val="auto"/>
          <w:szCs w:val="24"/>
        </w:rPr>
        <w:t xml:space="preserve">an </w:t>
      </w:r>
      <w:r w:rsidR="004870FC" w:rsidRPr="00D55B69">
        <w:rPr>
          <w:rFonts w:asciiTheme="minorHAnsi" w:hAnsiTheme="minorHAnsi"/>
          <w:color w:val="auto"/>
          <w:szCs w:val="24"/>
        </w:rPr>
        <w:t>active duty</w:t>
      </w:r>
      <w:r w:rsidR="00D55B69" w:rsidRPr="00D55B69">
        <w:rPr>
          <w:rFonts w:asciiTheme="minorHAnsi" w:hAnsiTheme="minorHAnsi"/>
          <w:color w:val="auto"/>
          <w:szCs w:val="24"/>
        </w:rPr>
        <w:t xml:space="preserve"> SGT</w:t>
      </w:r>
      <w:r w:rsidR="00DB2D50" w:rsidRPr="00D55B69">
        <w:rPr>
          <w:rFonts w:asciiTheme="minorHAnsi" w:hAnsiTheme="minorHAnsi"/>
          <w:color w:val="auto"/>
          <w:szCs w:val="24"/>
        </w:rPr>
        <w:t>/E-</w:t>
      </w:r>
      <w:r w:rsidR="00D55B69" w:rsidRPr="00D55B69">
        <w:rPr>
          <w:rFonts w:asciiTheme="minorHAnsi" w:hAnsiTheme="minorHAnsi"/>
          <w:color w:val="auto"/>
          <w:szCs w:val="24"/>
        </w:rPr>
        <w:t>5</w:t>
      </w:r>
      <w:r w:rsidR="00DB2D50" w:rsidRPr="00D55B69">
        <w:rPr>
          <w:rFonts w:asciiTheme="minorHAnsi" w:hAnsiTheme="minorHAnsi"/>
          <w:color w:val="auto"/>
          <w:szCs w:val="24"/>
        </w:rPr>
        <w:t xml:space="preserve"> </w:t>
      </w:r>
      <w:r w:rsidR="00DB2D50" w:rsidRPr="00DD3A62">
        <w:rPr>
          <w:rFonts w:asciiTheme="minorHAnsi" w:hAnsiTheme="minorHAnsi"/>
          <w:color w:val="auto"/>
          <w:szCs w:val="24"/>
        </w:rPr>
        <w:t>(</w:t>
      </w:r>
      <w:r w:rsidR="00B676CC" w:rsidRPr="00DD3A62">
        <w:rPr>
          <w:rFonts w:asciiTheme="minorHAnsi" w:hAnsiTheme="minorHAnsi"/>
          <w:color w:val="auto"/>
          <w:szCs w:val="24"/>
        </w:rPr>
        <w:t>9</w:t>
      </w:r>
      <w:r w:rsidR="00DB2D50" w:rsidRPr="00DD3A62">
        <w:rPr>
          <w:rFonts w:asciiTheme="minorHAnsi" w:hAnsiTheme="minorHAnsi"/>
          <w:color w:val="auto"/>
          <w:szCs w:val="24"/>
        </w:rPr>
        <w:t>1</w:t>
      </w:r>
      <w:r w:rsidR="00B676CC" w:rsidRPr="00DD3A62">
        <w:rPr>
          <w:rFonts w:asciiTheme="minorHAnsi" w:hAnsiTheme="minorHAnsi"/>
          <w:color w:val="auto"/>
          <w:szCs w:val="24"/>
        </w:rPr>
        <w:t>W</w:t>
      </w:r>
      <w:r w:rsidRPr="00DD3A62">
        <w:rPr>
          <w:rFonts w:asciiTheme="minorHAnsi" w:hAnsiTheme="minorHAnsi"/>
          <w:color w:val="auto"/>
          <w:szCs w:val="24"/>
        </w:rPr>
        <w:t xml:space="preserve">, </w:t>
      </w:r>
      <w:r w:rsidR="00B676CC" w:rsidRPr="00DD3A62">
        <w:rPr>
          <w:rFonts w:asciiTheme="minorHAnsi" w:hAnsiTheme="minorHAnsi"/>
          <w:color w:val="auto"/>
          <w:szCs w:val="24"/>
        </w:rPr>
        <w:t>Healthcare Specialist</w:t>
      </w:r>
      <w:r w:rsidRPr="00DD3A62">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CE2C75">
        <w:rPr>
          <w:rFonts w:asciiTheme="minorHAnsi" w:hAnsiTheme="minorHAnsi"/>
          <w:color w:val="auto"/>
          <w:szCs w:val="24"/>
        </w:rPr>
        <w:t xml:space="preserve">recurrent </w:t>
      </w:r>
      <w:proofErr w:type="spellStart"/>
      <w:r w:rsidR="00D55B69">
        <w:rPr>
          <w:rFonts w:asciiTheme="minorHAnsi" w:hAnsiTheme="minorHAnsi"/>
          <w:color w:val="auto"/>
          <w:szCs w:val="24"/>
        </w:rPr>
        <w:t>rhabdomyolysis</w:t>
      </w:r>
      <w:proofErr w:type="spellEnd"/>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w:t>
      </w:r>
      <w:r w:rsidR="00CE2C75">
        <w:rPr>
          <w:rFonts w:asciiTheme="minorHAnsi" w:hAnsiTheme="minorHAnsi"/>
          <w:color w:val="auto"/>
          <w:szCs w:val="24"/>
        </w:rPr>
        <w:t xml:space="preserve">first occurrence was </w:t>
      </w:r>
      <w:r w:rsidR="001339A7" w:rsidRPr="00A315F3">
        <w:rPr>
          <w:rFonts w:asciiTheme="minorHAnsi" w:hAnsiTheme="minorHAnsi"/>
          <w:color w:val="auto"/>
          <w:szCs w:val="24"/>
        </w:rPr>
        <w:t xml:space="preserve">in </w:t>
      </w:r>
      <w:r w:rsidR="00D55B69">
        <w:rPr>
          <w:rFonts w:asciiTheme="minorHAnsi" w:hAnsiTheme="minorHAnsi"/>
          <w:color w:val="auto"/>
          <w:szCs w:val="24"/>
        </w:rPr>
        <w:t>1995 as a consequence of heavy physical exertion</w:t>
      </w:r>
      <w:r w:rsidR="00EF31F3" w:rsidRPr="00A315F3">
        <w:rPr>
          <w:rFonts w:asciiTheme="minorHAnsi" w:hAnsiTheme="minorHAnsi"/>
          <w:color w:val="auto"/>
          <w:szCs w:val="24"/>
        </w:rPr>
        <w:t xml:space="preserve"> </w:t>
      </w:r>
      <w:r w:rsidR="00EF31F3" w:rsidRPr="00D55B69">
        <w:rPr>
          <w:rFonts w:asciiTheme="minorHAnsi" w:hAnsiTheme="minorHAnsi"/>
          <w:color w:val="auto"/>
          <w:szCs w:val="24"/>
        </w:rPr>
        <w:t xml:space="preserve">and was </w:t>
      </w:r>
      <w:r w:rsidR="00CE2C75">
        <w:rPr>
          <w:rFonts w:asciiTheme="minorHAnsi" w:hAnsiTheme="minorHAnsi"/>
          <w:color w:val="auto"/>
          <w:szCs w:val="24"/>
        </w:rPr>
        <w:t xml:space="preserve">followed by complete recovery and return to duty.  A second episode occurred in 2002 and was treated with full recovery.  Due to the risk for </w:t>
      </w:r>
      <w:r w:rsidR="00D55B69">
        <w:rPr>
          <w:rFonts w:asciiTheme="minorHAnsi" w:hAnsiTheme="minorHAnsi"/>
          <w:color w:val="auto"/>
          <w:szCs w:val="24"/>
        </w:rPr>
        <w:t xml:space="preserve">recurrence </w:t>
      </w:r>
      <w:r w:rsidR="00CE2C75">
        <w:rPr>
          <w:rFonts w:asciiTheme="minorHAnsi" w:hAnsiTheme="minorHAnsi"/>
          <w:color w:val="auto"/>
          <w:szCs w:val="24"/>
        </w:rPr>
        <w:t>particularly under operational conditions of physical and heat stress, he</w:t>
      </w:r>
      <w:r w:rsidR="00EF31F3" w:rsidRPr="002D25BC">
        <w:rPr>
          <w:rFonts w:asciiTheme="minorHAnsi" w:hAnsiTheme="minorHAnsi"/>
          <w:color w:val="auto"/>
          <w:szCs w:val="24"/>
        </w:rPr>
        <w:t xml:space="preserve"> was issued a </w:t>
      </w:r>
      <w:r w:rsidR="00EF31F3" w:rsidRPr="001E6D5D">
        <w:rPr>
          <w:rFonts w:asciiTheme="minorHAnsi" w:hAnsiTheme="minorHAnsi"/>
          <w:color w:val="auto"/>
          <w:szCs w:val="24"/>
        </w:rPr>
        <w:t>permanent P3</w:t>
      </w:r>
      <w:r w:rsidR="00E651CC" w:rsidRPr="001E6D5D">
        <w:rPr>
          <w:rFonts w:asciiTheme="minorHAnsi" w:hAnsiTheme="minorHAnsi"/>
          <w:color w:val="auto"/>
          <w:szCs w:val="24"/>
        </w:rPr>
        <w:t xml:space="preserve"> </w:t>
      </w:r>
      <w:r w:rsidR="001E6D5D" w:rsidRPr="001E6D5D">
        <w:rPr>
          <w:rFonts w:asciiTheme="minorHAnsi" w:hAnsiTheme="minorHAnsi"/>
          <w:color w:val="auto"/>
          <w:szCs w:val="24"/>
        </w:rPr>
        <w:t xml:space="preserve">U3 </w:t>
      </w:r>
      <w:r w:rsidR="00EF31F3" w:rsidRPr="001E6D5D">
        <w:rPr>
          <w:rFonts w:asciiTheme="minorHAnsi" w:hAnsiTheme="minorHAnsi"/>
          <w:color w:val="auto"/>
          <w:szCs w:val="24"/>
        </w:rPr>
        <w:t>L3</w:t>
      </w:r>
      <w:r w:rsidR="00E651CC" w:rsidRPr="001E6D5D">
        <w:rPr>
          <w:rFonts w:asciiTheme="minorHAnsi" w:hAnsiTheme="minorHAnsi"/>
          <w:color w:val="auto"/>
          <w:szCs w:val="24"/>
        </w:rPr>
        <w:t xml:space="preserve"> </w:t>
      </w:r>
      <w:r w:rsidR="00EF31F3" w:rsidRPr="001E6D5D">
        <w:rPr>
          <w:rFonts w:asciiTheme="minorHAnsi" w:hAnsiTheme="minorHAnsi"/>
          <w:color w:val="auto"/>
          <w:szCs w:val="24"/>
        </w:rPr>
        <w:t>profile</w:t>
      </w:r>
      <w:r w:rsidR="00CE2C75">
        <w:rPr>
          <w:rFonts w:asciiTheme="minorHAnsi" w:hAnsiTheme="minorHAnsi"/>
          <w:color w:val="auto"/>
          <w:szCs w:val="24"/>
        </w:rPr>
        <w:t>, non-deployable,</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CE2C75">
        <w:rPr>
          <w:rFonts w:asciiTheme="minorHAnsi" w:hAnsiTheme="minorHAnsi"/>
          <w:color w:val="auto"/>
          <w:szCs w:val="24"/>
        </w:rPr>
        <w:t xml:space="preserve">  </w:t>
      </w:r>
      <w:proofErr w:type="spellStart"/>
      <w:r w:rsidR="000D65BE" w:rsidRPr="000D65BE">
        <w:rPr>
          <w:rFonts w:asciiTheme="minorHAnsi" w:hAnsiTheme="minorHAnsi"/>
          <w:color w:val="auto"/>
          <w:szCs w:val="24"/>
        </w:rPr>
        <w:t>Rhabdomyolysis</w:t>
      </w:r>
      <w:proofErr w:type="spellEnd"/>
      <w:r w:rsidR="000D65BE">
        <w:rPr>
          <w:rFonts w:asciiTheme="minorHAnsi" w:hAnsiTheme="minorHAnsi"/>
          <w:color w:val="auto"/>
          <w:szCs w:val="24"/>
        </w:rPr>
        <w:t xml:space="preserve"> was</w:t>
      </w:r>
      <w:r w:rsidRPr="00A315F3">
        <w:rPr>
          <w:rFonts w:asciiTheme="minorHAnsi" w:hAnsiTheme="minorHAnsi"/>
          <w:color w:val="auto"/>
          <w:szCs w:val="24"/>
        </w:rPr>
        <w:t xml:space="preserve"> </w:t>
      </w:r>
      <w:r w:rsidRPr="002D25BC">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2D25BC">
        <w:rPr>
          <w:rFonts w:asciiTheme="minorHAnsi" w:hAnsiTheme="minorHAnsi"/>
          <w:color w:val="auto"/>
          <w:szCs w:val="24"/>
        </w:rPr>
        <w:t xml:space="preserve">as medically unacceptable </w:t>
      </w:r>
      <w:r w:rsidRPr="000D65BE">
        <w:rPr>
          <w:rFonts w:asciiTheme="minorHAnsi" w:hAnsiTheme="minorHAnsi"/>
          <w:color w:val="auto"/>
          <w:szCs w:val="24"/>
        </w:rPr>
        <w:t>IAW AR 40-501</w:t>
      </w:r>
      <w:r w:rsidR="002D25BC" w:rsidRPr="000D65BE">
        <w:rPr>
          <w:rFonts w:asciiTheme="minorHAnsi" w:hAnsiTheme="minorHAnsi"/>
          <w:color w:val="auto"/>
          <w:szCs w:val="24"/>
        </w:rPr>
        <w:t>.</w:t>
      </w:r>
      <w:r w:rsidR="000D65BE">
        <w:rPr>
          <w:rFonts w:asciiTheme="minorHAnsi" w:hAnsiTheme="minorHAnsi"/>
          <w:color w:val="auto"/>
          <w:szCs w:val="24"/>
        </w:rPr>
        <w:t xml:space="preserve">  </w:t>
      </w:r>
      <w:r w:rsidR="002D25BC" w:rsidRPr="000D65BE">
        <w:rPr>
          <w:rFonts w:asciiTheme="minorHAnsi" w:hAnsiTheme="minorHAnsi"/>
          <w:color w:val="auto"/>
          <w:szCs w:val="24"/>
        </w:rPr>
        <w:t>No other conditions appeared on the MEB’s submission.  Other conditions included in the Disability Evaluation System (DES) file will be discussed below.</w:t>
      </w:r>
      <w:r w:rsidR="00DD3A62">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C6682A">
        <w:rPr>
          <w:rFonts w:asciiTheme="minorHAnsi" w:hAnsiTheme="minorHAnsi"/>
          <w:color w:val="auto"/>
          <w:szCs w:val="24"/>
        </w:rPr>
        <w:t xml:space="preserve"> </w:t>
      </w:r>
      <w:r w:rsidRPr="00A315F3">
        <w:rPr>
          <w:rFonts w:asciiTheme="minorHAnsi" w:hAnsiTheme="minorHAnsi"/>
          <w:color w:val="auto"/>
          <w:szCs w:val="24"/>
        </w:rPr>
        <w:t xml:space="preserve">adjudicated the </w:t>
      </w:r>
      <w:proofErr w:type="spellStart"/>
      <w:r w:rsidR="000D65BE">
        <w:rPr>
          <w:rFonts w:asciiTheme="minorHAnsi" w:hAnsiTheme="minorHAnsi"/>
          <w:color w:val="auto"/>
          <w:szCs w:val="24"/>
        </w:rPr>
        <w:t>rhabdomyolysis</w:t>
      </w:r>
      <w:proofErr w:type="spellEnd"/>
      <w:r w:rsidRPr="00A315F3">
        <w:rPr>
          <w:rFonts w:asciiTheme="minorHAnsi" w:hAnsiTheme="minorHAnsi"/>
          <w:color w:val="auto"/>
          <w:szCs w:val="24"/>
        </w:rPr>
        <w:t xml:space="preserve"> condition as unfitting, rated </w:t>
      </w:r>
      <w:r w:rsidR="000D65BE">
        <w:rPr>
          <w:rFonts w:asciiTheme="minorHAnsi" w:hAnsiTheme="minorHAnsi"/>
          <w:color w:val="auto"/>
          <w:szCs w:val="24"/>
        </w:rPr>
        <w:t>0</w:t>
      </w:r>
      <w:r w:rsidRPr="00A315F3">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DD3A62">
        <w:rPr>
          <w:rFonts w:asciiTheme="minorHAnsi" w:hAnsiTheme="minorHAnsi"/>
          <w:color w:val="auto"/>
          <w:szCs w:val="24"/>
        </w:rPr>
        <w:t xml:space="preserve"> </w:t>
      </w:r>
      <w:r w:rsidR="006A0FC4">
        <w:rPr>
          <w:rFonts w:asciiTheme="minorHAnsi" w:hAnsiTheme="minorHAnsi"/>
          <w:color w:val="auto"/>
          <w:szCs w:val="24"/>
        </w:rPr>
        <w:t xml:space="preserve"> </w:t>
      </w:r>
      <w:r w:rsidR="00B676CC">
        <w:rPr>
          <w:rFonts w:asciiTheme="minorHAnsi" w:hAnsiTheme="minorHAnsi"/>
          <w:color w:val="auto"/>
        </w:rPr>
        <w:t>After the CI’s written appeal</w:t>
      </w:r>
      <w:r w:rsidR="00C41390">
        <w:rPr>
          <w:rFonts w:asciiTheme="minorHAnsi" w:hAnsiTheme="minorHAnsi"/>
          <w:color w:val="auto"/>
        </w:rPr>
        <w:t xml:space="preserve"> for retention on active duty</w:t>
      </w:r>
      <w:r w:rsidR="00B676CC">
        <w:rPr>
          <w:rFonts w:asciiTheme="minorHAnsi" w:hAnsiTheme="minorHAnsi"/>
          <w:color w:val="auto"/>
        </w:rPr>
        <w:t xml:space="preserve"> and a review by the USAPDA, the CI </w:t>
      </w:r>
      <w:r w:rsidR="00B676CC" w:rsidRPr="00B676CC">
        <w:rPr>
          <w:rFonts w:asciiTheme="minorHAnsi" w:hAnsiTheme="minorHAnsi"/>
          <w:color w:val="auto"/>
        </w:rPr>
        <w:t xml:space="preserve">was </w:t>
      </w:r>
      <w:r w:rsidR="006A0FC4" w:rsidRPr="00B676CC">
        <w:rPr>
          <w:rFonts w:asciiTheme="minorHAnsi" w:hAnsiTheme="minorHAnsi"/>
          <w:color w:val="auto"/>
          <w:szCs w:val="24"/>
        </w:rPr>
        <w:t xml:space="preserve">then medically separated with a </w:t>
      </w:r>
      <w:r w:rsidR="00B676CC" w:rsidRPr="00B676CC">
        <w:rPr>
          <w:rFonts w:asciiTheme="minorHAnsi" w:hAnsiTheme="minorHAnsi"/>
          <w:color w:val="auto"/>
          <w:szCs w:val="24"/>
        </w:rPr>
        <w:t>0</w:t>
      </w:r>
      <w:r w:rsidR="006A0FC4" w:rsidRPr="00B676CC">
        <w:rPr>
          <w:rFonts w:asciiTheme="minorHAnsi" w:hAnsiTheme="minorHAnsi"/>
          <w:color w:val="auto"/>
          <w:szCs w:val="24"/>
        </w:rPr>
        <w:t>% disability rating.</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DB4483">
        <w:rPr>
          <w:rFonts w:asciiTheme="minorHAnsi" w:hAnsiTheme="minorHAnsi"/>
          <w:color w:val="auto"/>
          <w:szCs w:val="24"/>
        </w:rPr>
        <w:t xml:space="preserve"> </w:t>
      </w:r>
      <w:r w:rsidR="0071308A">
        <w:rPr>
          <w:rFonts w:asciiTheme="minorHAnsi" w:hAnsiTheme="minorHAnsi"/>
          <w:color w:val="auto"/>
          <w:szCs w:val="24"/>
        </w:rPr>
        <w:t xml:space="preserve"> “</w:t>
      </w:r>
      <w:r w:rsidR="00DB4483" w:rsidRPr="00977287">
        <w:rPr>
          <w:rFonts w:asciiTheme="minorHAnsi" w:hAnsiTheme="minorHAnsi"/>
          <w:color w:val="000000" w:themeColor="text1"/>
          <w:szCs w:val="24"/>
        </w:rPr>
        <w:t>The Physical Evaluatio</w:t>
      </w:r>
      <w:r w:rsidR="00DB4483">
        <w:rPr>
          <w:rFonts w:asciiTheme="minorHAnsi" w:hAnsiTheme="minorHAnsi"/>
          <w:color w:val="000000" w:themeColor="text1"/>
          <w:szCs w:val="24"/>
        </w:rPr>
        <w:t>n Board found me physically unfit</w:t>
      </w:r>
      <w:r w:rsidR="00DB4483" w:rsidRPr="00977287">
        <w:rPr>
          <w:rFonts w:asciiTheme="minorHAnsi" w:hAnsiTheme="minorHAnsi"/>
          <w:color w:val="000000" w:themeColor="text1"/>
          <w:szCs w:val="24"/>
        </w:rPr>
        <w:t xml:space="preserve"> to remain in the A</w:t>
      </w:r>
      <w:r w:rsidR="00DB4483">
        <w:rPr>
          <w:rFonts w:asciiTheme="minorHAnsi" w:hAnsiTheme="minorHAnsi"/>
          <w:color w:val="000000" w:themeColor="text1"/>
          <w:szCs w:val="24"/>
        </w:rPr>
        <w:t>rmed</w:t>
      </w:r>
      <w:r w:rsidR="00DB4483" w:rsidRPr="00977287">
        <w:rPr>
          <w:rFonts w:asciiTheme="minorHAnsi" w:hAnsiTheme="minorHAnsi"/>
          <w:color w:val="000000" w:themeColor="text1"/>
          <w:szCs w:val="24"/>
        </w:rPr>
        <w:t xml:space="preserve"> Services and unjustly issued me a rating of 0</w:t>
      </w:r>
      <w:r w:rsidR="00DB4483">
        <w:rPr>
          <w:rFonts w:asciiTheme="minorHAnsi" w:hAnsiTheme="minorHAnsi"/>
          <w:color w:val="000000" w:themeColor="text1"/>
          <w:szCs w:val="24"/>
        </w:rPr>
        <w:t xml:space="preserve"> percent</w:t>
      </w:r>
      <w:r w:rsidR="00DB4483" w:rsidRPr="00977287">
        <w:rPr>
          <w:rFonts w:asciiTheme="minorHAnsi" w:hAnsiTheme="minorHAnsi"/>
          <w:color w:val="000000" w:themeColor="text1"/>
          <w:szCs w:val="24"/>
        </w:rPr>
        <w:t xml:space="preserve"> in lieu o</w:t>
      </w:r>
      <w:r w:rsidR="00DB4483">
        <w:rPr>
          <w:rFonts w:asciiTheme="minorHAnsi" w:hAnsiTheme="minorHAnsi"/>
          <w:color w:val="000000" w:themeColor="text1"/>
          <w:szCs w:val="24"/>
        </w:rPr>
        <w:t xml:space="preserve">f </w:t>
      </w:r>
      <w:r w:rsidR="00DB4483" w:rsidRPr="00977287">
        <w:rPr>
          <w:rFonts w:asciiTheme="minorHAnsi" w:hAnsiTheme="minorHAnsi"/>
          <w:color w:val="000000" w:themeColor="text1"/>
          <w:szCs w:val="24"/>
        </w:rPr>
        <w:t>my</w:t>
      </w:r>
      <w:r w:rsidR="00DB4483">
        <w:rPr>
          <w:rFonts w:asciiTheme="minorHAnsi" w:hAnsiTheme="minorHAnsi"/>
          <w:color w:val="000000" w:themeColor="text1"/>
          <w:szCs w:val="24"/>
        </w:rPr>
        <w:t xml:space="preserve"> </w:t>
      </w:r>
      <w:proofErr w:type="gramStart"/>
      <w:r w:rsidR="00DB4483" w:rsidRPr="00977287">
        <w:rPr>
          <w:rFonts w:asciiTheme="minorHAnsi" w:hAnsiTheme="minorHAnsi"/>
          <w:color w:val="000000" w:themeColor="text1"/>
          <w:szCs w:val="24"/>
        </w:rPr>
        <w:t>condition</w:t>
      </w:r>
      <w:proofErr w:type="gramEnd"/>
      <w:r w:rsidR="00DB4483" w:rsidRPr="00977287">
        <w:rPr>
          <w:rFonts w:asciiTheme="minorHAnsi" w:hAnsiTheme="minorHAnsi"/>
          <w:color w:val="000000" w:themeColor="text1"/>
          <w:szCs w:val="24"/>
        </w:rPr>
        <w:t xml:space="preserve">, which I did not have prior to service entry. </w:t>
      </w:r>
      <w:r w:rsidR="00DB4483">
        <w:rPr>
          <w:rFonts w:asciiTheme="minorHAnsi" w:hAnsiTheme="minorHAnsi"/>
          <w:color w:val="000000" w:themeColor="text1"/>
          <w:szCs w:val="24"/>
        </w:rPr>
        <w:t xml:space="preserve"> </w:t>
      </w:r>
      <w:r w:rsidR="00DB4483" w:rsidRPr="00977287">
        <w:rPr>
          <w:rFonts w:asciiTheme="minorHAnsi" w:hAnsiTheme="minorHAnsi"/>
          <w:color w:val="000000" w:themeColor="text1"/>
          <w:szCs w:val="24"/>
        </w:rPr>
        <w:t xml:space="preserve">My </w:t>
      </w:r>
      <w:r w:rsidR="00DB4483" w:rsidRPr="003B066E">
        <w:rPr>
          <w:rFonts w:asciiTheme="minorHAnsi" w:hAnsiTheme="minorHAnsi"/>
          <w:color w:val="000000" w:themeColor="text1"/>
          <w:szCs w:val="24"/>
        </w:rPr>
        <w:t>disability</w:t>
      </w:r>
      <w:r w:rsidR="00DB4483" w:rsidRPr="00977287">
        <w:rPr>
          <w:rFonts w:asciiTheme="minorHAnsi" w:hAnsiTheme="minorHAnsi"/>
          <w:color w:val="000000" w:themeColor="text1"/>
          <w:szCs w:val="24"/>
        </w:rPr>
        <w:t xml:space="preserve"> has caused me severe emo</w:t>
      </w:r>
      <w:r w:rsidR="00DB4483">
        <w:rPr>
          <w:rFonts w:asciiTheme="minorHAnsi" w:hAnsiTheme="minorHAnsi"/>
          <w:color w:val="000000" w:themeColor="text1"/>
          <w:szCs w:val="24"/>
        </w:rPr>
        <w:t>t</w:t>
      </w:r>
      <w:r w:rsidR="00DB4483" w:rsidRPr="00977287">
        <w:rPr>
          <w:rFonts w:asciiTheme="minorHAnsi" w:hAnsiTheme="minorHAnsi"/>
          <w:color w:val="000000" w:themeColor="text1"/>
          <w:szCs w:val="24"/>
        </w:rPr>
        <w:t>ional, physical, and economic privation</w:t>
      </w:r>
      <w:r w:rsidR="003B066E">
        <w:rPr>
          <w:rFonts w:asciiTheme="minorHAnsi" w:hAnsiTheme="minorHAnsi"/>
          <w:color w:val="000000" w:themeColor="text1"/>
          <w:szCs w:val="24"/>
        </w:rPr>
        <w:t xml:space="preserve"> [sic]</w:t>
      </w:r>
      <w:r w:rsidR="00DB4483" w:rsidRPr="00977287">
        <w:rPr>
          <w:rFonts w:asciiTheme="minorHAnsi" w:hAnsiTheme="minorHAnsi"/>
          <w:color w:val="000000" w:themeColor="text1"/>
          <w:szCs w:val="24"/>
        </w:rPr>
        <w:t xml:space="preserve"> becau</w:t>
      </w:r>
      <w:r w:rsidR="00DB4483">
        <w:rPr>
          <w:rFonts w:asciiTheme="minorHAnsi" w:hAnsiTheme="minorHAnsi"/>
          <w:color w:val="000000" w:themeColor="text1"/>
          <w:szCs w:val="24"/>
        </w:rPr>
        <w:t xml:space="preserve">se I </w:t>
      </w:r>
      <w:r w:rsidR="00DB4483" w:rsidRPr="00977287">
        <w:rPr>
          <w:rFonts w:asciiTheme="minorHAnsi" w:hAnsiTheme="minorHAnsi"/>
          <w:color w:val="000000" w:themeColor="text1"/>
          <w:szCs w:val="24"/>
        </w:rPr>
        <w:t xml:space="preserve">am </w:t>
      </w:r>
      <w:r w:rsidR="00DB4483">
        <w:rPr>
          <w:rFonts w:asciiTheme="minorHAnsi" w:hAnsiTheme="minorHAnsi"/>
          <w:color w:val="000000" w:themeColor="text1"/>
          <w:szCs w:val="24"/>
        </w:rPr>
        <w:t>extremely</w:t>
      </w:r>
      <w:r w:rsidR="00DB4483" w:rsidRPr="00977287">
        <w:rPr>
          <w:rFonts w:asciiTheme="minorHAnsi" w:hAnsiTheme="minorHAnsi"/>
          <w:color w:val="000000" w:themeColor="text1"/>
          <w:szCs w:val="24"/>
        </w:rPr>
        <w:t xml:space="preserve"> limited in the type of employment I can purs</w:t>
      </w:r>
      <w:r w:rsidR="00DB4483">
        <w:rPr>
          <w:rFonts w:asciiTheme="minorHAnsi" w:hAnsiTheme="minorHAnsi"/>
          <w:color w:val="000000" w:themeColor="text1"/>
          <w:szCs w:val="24"/>
        </w:rPr>
        <w:t>u</w:t>
      </w:r>
      <w:r w:rsidR="00DB4483" w:rsidRPr="00977287">
        <w:rPr>
          <w:rFonts w:asciiTheme="minorHAnsi" w:hAnsiTheme="minorHAnsi"/>
          <w:color w:val="000000" w:themeColor="text1"/>
          <w:szCs w:val="24"/>
        </w:rPr>
        <w:t xml:space="preserve">e. </w:t>
      </w:r>
      <w:r w:rsidR="00DB4483">
        <w:rPr>
          <w:rFonts w:asciiTheme="minorHAnsi" w:hAnsiTheme="minorHAnsi"/>
          <w:color w:val="000000" w:themeColor="text1"/>
          <w:szCs w:val="24"/>
        </w:rPr>
        <w:t xml:space="preserve"> </w:t>
      </w:r>
      <w:r w:rsidR="00DB4483" w:rsidRPr="00977287">
        <w:rPr>
          <w:rFonts w:asciiTheme="minorHAnsi" w:hAnsiTheme="minorHAnsi"/>
          <w:color w:val="000000" w:themeColor="text1"/>
          <w:szCs w:val="24"/>
        </w:rPr>
        <w:t>Moderate li</w:t>
      </w:r>
      <w:r w:rsidR="00DB4483">
        <w:rPr>
          <w:rFonts w:asciiTheme="minorHAnsi" w:hAnsiTheme="minorHAnsi"/>
          <w:color w:val="000000" w:themeColor="text1"/>
          <w:szCs w:val="24"/>
        </w:rPr>
        <w:t>f</w:t>
      </w:r>
      <w:r w:rsidR="00DB4483" w:rsidRPr="00977287">
        <w:rPr>
          <w:rFonts w:asciiTheme="minorHAnsi" w:hAnsiTheme="minorHAnsi"/>
          <w:color w:val="000000" w:themeColor="text1"/>
          <w:szCs w:val="24"/>
        </w:rPr>
        <w:t xml:space="preserve">ting </w:t>
      </w:r>
      <w:r w:rsidR="00DB4483">
        <w:rPr>
          <w:rFonts w:asciiTheme="minorHAnsi" w:hAnsiTheme="minorHAnsi"/>
          <w:color w:val="000000" w:themeColor="text1"/>
          <w:szCs w:val="24"/>
        </w:rPr>
        <w:t>or</w:t>
      </w:r>
      <w:r w:rsidR="00DB4483" w:rsidRPr="00977287">
        <w:rPr>
          <w:rFonts w:asciiTheme="minorHAnsi" w:hAnsiTheme="minorHAnsi"/>
          <w:color w:val="000000" w:themeColor="text1"/>
          <w:szCs w:val="24"/>
        </w:rPr>
        <w:t xml:space="preserve"> heat </w:t>
      </w:r>
      <w:proofErr w:type="gramStart"/>
      <w:r w:rsidR="00DB4483" w:rsidRPr="00977287">
        <w:rPr>
          <w:rFonts w:asciiTheme="minorHAnsi" w:hAnsiTheme="minorHAnsi"/>
          <w:color w:val="000000" w:themeColor="text1"/>
          <w:szCs w:val="24"/>
        </w:rPr>
        <w:t>exposure cause</w:t>
      </w:r>
      <w:proofErr w:type="gramEnd"/>
      <w:r w:rsidR="00DB4483" w:rsidRPr="00977287">
        <w:rPr>
          <w:rFonts w:asciiTheme="minorHAnsi" w:hAnsiTheme="minorHAnsi"/>
          <w:color w:val="000000" w:themeColor="text1"/>
          <w:szCs w:val="24"/>
        </w:rPr>
        <w:t xml:space="preserve"> a reoccurre</w:t>
      </w:r>
      <w:r w:rsidR="00DB4483">
        <w:rPr>
          <w:rFonts w:asciiTheme="minorHAnsi" w:hAnsiTheme="minorHAnsi"/>
          <w:color w:val="000000" w:themeColor="text1"/>
          <w:szCs w:val="24"/>
        </w:rPr>
        <w:t>nce of my symptoms</w:t>
      </w:r>
      <w:r w:rsidR="003B066E">
        <w:rPr>
          <w:rFonts w:asciiTheme="minorHAnsi" w:hAnsiTheme="minorHAnsi"/>
          <w:color w:val="000000" w:themeColor="text1"/>
          <w:szCs w:val="24"/>
        </w:rPr>
        <w:t>.</w:t>
      </w:r>
      <w:r w:rsidR="00022D8A">
        <w:rPr>
          <w:rFonts w:asciiTheme="minorHAnsi" w:hAnsiTheme="minorHAnsi"/>
          <w:color w:val="auto"/>
          <w:szCs w:val="24"/>
        </w:rPr>
        <w:t xml:space="preserve">”  </w:t>
      </w:r>
      <w:r w:rsidR="0071308A" w:rsidRPr="003B066E">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3B066E">
            <w:pPr>
              <w:pStyle w:val="ListParagraph"/>
              <w:spacing w:after="0" w:line="240" w:lineRule="exact"/>
              <w:ind w:left="0"/>
              <w:jc w:val="center"/>
              <w:rPr>
                <w:rFonts w:cs="Times New Roman"/>
                <w:b/>
                <w:sz w:val="18"/>
                <w:szCs w:val="18"/>
              </w:rPr>
            </w:pPr>
            <w:r w:rsidRPr="00DD3A62">
              <w:rPr>
                <w:rFonts w:cs="Times New Roman"/>
                <w:b/>
                <w:sz w:val="18"/>
                <w:szCs w:val="18"/>
              </w:rPr>
              <w:t>Service PEB</w:t>
            </w:r>
            <w:r w:rsidRPr="009E2E84">
              <w:rPr>
                <w:rFonts w:cs="Times New Roman"/>
                <w:b/>
                <w:sz w:val="18"/>
                <w:szCs w:val="18"/>
              </w:rPr>
              <w:t xml:space="preserve"> – Dated </w:t>
            </w:r>
            <w:r w:rsidR="003B066E">
              <w:rPr>
                <w:rFonts w:cs="Times New Roman"/>
                <w:b/>
                <w:sz w:val="18"/>
                <w:szCs w:val="18"/>
              </w:rPr>
              <w:t>20020612</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5C42D2">
            <w:pPr>
              <w:pStyle w:val="ListParagraph"/>
              <w:spacing w:after="0" w:line="240" w:lineRule="exact"/>
              <w:ind w:left="0"/>
              <w:jc w:val="center"/>
              <w:rPr>
                <w:rFonts w:cs="Times New Roman"/>
                <w:b/>
                <w:sz w:val="18"/>
                <w:szCs w:val="18"/>
              </w:rPr>
            </w:pPr>
            <w:r w:rsidRPr="009E2E84">
              <w:rPr>
                <w:rFonts w:cs="Times New Roman"/>
                <w:b/>
                <w:sz w:val="18"/>
                <w:szCs w:val="18"/>
              </w:rPr>
              <w:t>VA (</w:t>
            </w:r>
            <w:r w:rsidR="005C42D2">
              <w:rPr>
                <w:rFonts w:cs="Times New Roman"/>
                <w:b/>
                <w:sz w:val="18"/>
                <w:szCs w:val="18"/>
              </w:rPr>
              <w:t>6</w:t>
            </w:r>
            <w:r w:rsidR="0079000E" w:rsidRPr="009E2E84">
              <w:rPr>
                <w:rFonts w:cs="Times New Roman"/>
                <w:b/>
                <w:sz w:val="18"/>
                <w:szCs w:val="18"/>
              </w:rPr>
              <w:t xml:space="preserve"> Mo</w:t>
            </w:r>
            <w:r w:rsidR="0079000E" w:rsidRPr="005C42D2">
              <w:rPr>
                <w:rFonts w:cs="Times New Roman"/>
                <w:b/>
                <w:sz w:val="18"/>
                <w:szCs w:val="18"/>
              </w:rPr>
              <w:t>. Pre</w:t>
            </w:r>
            <w:r w:rsidRPr="009E2E84">
              <w:rPr>
                <w:rFonts w:cs="Times New Roman"/>
                <w:b/>
                <w:sz w:val="18"/>
                <w:szCs w:val="18"/>
              </w:rPr>
              <w:t xml:space="preserve"> Separation) – All Effective </w:t>
            </w:r>
            <w:r w:rsidR="003B066E">
              <w:rPr>
                <w:rFonts w:cs="Times New Roman"/>
                <w:b/>
                <w:sz w:val="18"/>
                <w:szCs w:val="18"/>
              </w:rPr>
              <w:t>20021002</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3B066E" w:rsidP="00191A51">
            <w:pPr>
              <w:pStyle w:val="ListParagraph"/>
              <w:spacing w:after="0" w:line="200" w:lineRule="exact"/>
              <w:ind w:left="0"/>
              <w:rPr>
                <w:rFonts w:cs="Times New Roman"/>
                <w:sz w:val="18"/>
                <w:szCs w:val="18"/>
              </w:rPr>
            </w:pPr>
            <w:proofErr w:type="spellStart"/>
            <w:r>
              <w:rPr>
                <w:rFonts w:cs="Times New Roman"/>
                <w:sz w:val="18"/>
                <w:szCs w:val="18"/>
              </w:rPr>
              <w:t>Rhabdomyolysis</w:t>
            </w:r>
            <w:proofErr w:type="spellEnd"/>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3B066E" w:rsidP="00186D7F">
            <w:pPr>
              <w:pStyle w:val="ListParagraph"/>
              <w:spacing w:after="0" w:line="200" w:lineRule="exact"/>
              <w:ind w:left="0"/>
              <w:jc w:val="center"/>
              <w:rPr>
                <w:rFonts w:cs="Times New Roman"/>
                <w:sz w:val="18"/>
                <w:szCs w:val="18"/>
              </w:rPr>
            </w:pPr>
            <w:r>
              <w:rPr>
                <w:rFonts w:cs="Times New Roman"/>
                <w:sz w:val="18"/>
                <w:szCs w:val="18"/>
              </w:rPr>
              <w:t>7999-7900</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3B066E" w:rsidP="00191A51">
            <w:pPr>
              <w:pStyle w:val="ListParagraph"/>
              <w:spacing w:after="0" w:line="200" w:lineRule="exact"/>
              <w:ind w:left="0"/>
              <w:jc w:val="center"/>
              <w:rPr>
                <w:rFonts w:cs="Times New Roman"/>
                <w:sz w:val="18"/>
                <w:szCs w:val="18"/>
              </w:rPr>
            </w:pPr>
            <w:r>
              <w:rPr>
                <w:rFonts w:cs="Times New Roman"/>
                <w:sz w:val="18"/>
                <w:szCs w:val="18"/>
              </w:rPr>
              <w:t>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3B066E" w:rsidP="00D17740">
            <w:pPr>
              <w:pStyle w:val="ListParagraph"/>
              <w:spacing w:line="200" w:lineRule="exact"/>
              <w:ind w:left="0"/>
              <w:rPr>
                <w:rFonts w:cs="Times New Roman"/>
                <w:sz w:val="18"/>
                <w:szCs w:val="18"/>
              </w:rPr>
            </w:pPr>
            <w:proofErr w:type="spellStart"/>
            <w:r>
              <w:rPr>
                <w:rFonts w:cs="Times New Roman"/>
                <w:sz w:val="18"/>
                <w:szCs w:val="18"/>
              </w:rPr>
              <w:t>Rhabdomyolysis</w:t>
            </w:r>
            <w:proofErr w:type="spellEnd"/>
          </w:p>
        </w:tc>
        <w:tc>
          <w:tcPr>
            <w:tcW w:w="1080" w:type="dxa"/>
            <w:tcBorders>
              <w:bottom w:val="single" w:sz="4" w:space="0" w:color="auto"/>
            </w:tcBorders>
            <w:shd w:val="clear" w:color="auto" w:fill="FFFFFF" w:themeFill="background1"/>
          </w:tcPr>
          <w:p w:rsidR="00191A51" w:rsidRPr="00BC3538" w:rsidRDefault="003B066E" w:rsidP="00191A51">
            <w:pPr>
              <w:pStyle w:val="ListParagraph"/>
              <w:spacing w:after="0" w:line="200" w:lineRule="exact"/>
              <w:ind w:left="0"/>
              <w:jc w:val="center"/>
              <w:rPr>
                <w:rFonts w:cs="Times New Roman"/>
                <w:sz w:val="18"/>
                <w:szCs w:val="18"/>
              </w:rPr>
            </w:pPr>
            <w:r>
              <w:rPr>
                <w:rFonts w:cs="Times New Roman"/>
                <w:sz w:val="18"/>
                <w:szCs w:val="18"/>
              </w:rPr>
              <w:t>7999-7900</w:t>
            </w:r>
          </w:p>
        </w:tc>
        <w:tc>
          <w:tcPr>
            <w:tcW w:w="810" w:type="dxa"/>
            <w:tcBorders>
              <w:bottom w:val="single" w:sz="4" w:space="0" w:color="auto"/>
            </w:tcBorders>
            <w:shd w:val="clear" w:color="auto" w:fill="FFFFFF" w:themeFill="background1"/>
          </w:tcPr>
          <w:p w:rsidR="00191A51" w:rsidRPr="00542C9A" w:rsidRDefault="003B066E"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bottom w:val="single" w:sz="4" w:space="0" w:color="auto"/>
            </w:tcBorders>
            <w:shd w:val="clear" w:color="auto" w:fill="FFFFFF" w:themeFill="background1"/>
          </w:tcPr>
          <w:p w:rsidR="00191A51" w:rsidRPr="00542C9A" w:rsidRDefault="005C42D2" w:rsidP="00191A51">
            <w:pPr>
              <w:pStyle w:val="ListParagraph"/>
              <w:spacing w:after="0" w:line="200" w:lineRule="exact"/>
              <w:ind w:left="0"/>
              <w:jc w:val="center"/>
              <w:rPr>
                <w:rFonts w:cs="Times New Roman"/>
                <w:sz w:val="18"/>
                <w:szCs w:val="18"/>
              </w:rPr>
            </w:pPr>
            <w:r>
              <w:rPr>
                <w:rFonts w:cs="Times New Roman"/>
                <w:sz w:val="18"/>
                <w:szCs w:val="18"/>
              </w:rPr>
              <w:t>STR*</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3B066E">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3B066E">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0</w:t>
            </w:r>
            <w:r w:rsidRPr="00ED6A61">
              <w:rPr>
                <w:rFonts w:cs="Times New Roman"/>
                <w:b/>
                <w:sz w:val="20"/>
                <w:szCs w:val="20"/>
              </w:rPr>
              <w:t>%</w:t>
            </w:r>
          </w:p>
        </w:tc>
      </w:tr>
    </w:tbl>
    <w:p w:rsidR="00F8094B" w:rsidRPr="005C42D2" w:rsidRDefault="005C42D2" w:rsidP="00EB545E">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DD3A62">
        <w:rPr>
          <w:rFonts w:asciiTheme="minorHAnsi" w:hAnsiTheme="minorHAnsi"/>
          <w:color w:val="auto"/>
          <w:sz w:val="18"/>
          <w:szCs w:val="18"/>
        </w:rPr>
        <w:t>S</w:t>
      </w:r>
      <w:r>
        <w:rPr>
          <w:rFonts w:asciiTheme="minorHAnsi" w:hAnsiTheme="minorHAnsi"/>
          <w:color w:val="auto"/>
          <w:sz w:val="18"/>
          <w:szCs w:val="18"/>
        </w:rPr>
        <w:t>ervice treatment record</w:t>
      </w:r>
    </w:p>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106FB8" w:rsidRDefault="002C6E5B" w:rsidP="00106FB8">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5C42D2">
        <w:rPr>
          <w:rFonts w:asciiTheme="minorHAnsi" w:hAnsiTheme="minorHAnsi"/>
          <w:color w:val="auto"/>
          <w:szCs w:val="24"/>
        </w:rPr>
        <w:t xml:space="preserve">  </w:t>
      </w:r>
      <w:r w:rsidR="00106FB8" w:rsidRPr="00A76BA0">
        <w:rPr>
          <w:rFonts w:asciiTheme="minorHAnsi" w:hAnsiTheme="minorHAnsi"/>
          <w:color w:val="auto"/>
          <w:szCs w:val="24"/>
        </w:rPr>
        <w:t xml:space="preserve">The </w:t>
      </w:r>
      <w:r w:rsidR="00C6682A">
        <w:rPr>
          <w:rFonts w:asciiTheme="minorHAnsi" w:hAnsiTheme="minorHAnsi"/>
          <w:color w:val="auto"/>
          <w:szCs w:val="24"/>
        </w:rPr>
        <w:t>DES</w:t>
      </w:r>
      <w:r w:rsidR="00106FB8" w:rsidRPr="00A76BA0">
        <w:rPr>
          <w:rFonts w:asciiTheme="minorHAnsi" w:hAnsiTheme="minorHAnsi"/>
          <w:color w:val="auto"/>
          <w:szCs w:val="24"/>
        </w:rPr>
        <w:t xml:space="preserve"> is responsible for maintaining a fit and vital fighting force.</w:t>
      </w:r>
      <w:r w:rsidR="00847A9F">
        <w:rPr>
          <w:rFonts w:asciiTheme="minorHAnsi" w:hAnsiTheme="minorHAnsi"/>
          <w:color w:val="auto"/>
          <w:szCs w:val="24"/>
        </w:rPr>
        <w:t xml:space="preserve"> </w:t>
      </w:r>
      <w:r w:rsidR="00C6682A">
        <w:rPr>
          <w:rFonts w:asciiTheme="minorHAnsi" w:hAnsiTheme="minorHAnsi"/>
          <w:color w:val="auto"/>
          <w:szCs w:val="24"/>
        </w:rPr>
        <w:t xml:space="preserve"> While the </w:t>
      </w:r>
      <w:r w:rsidR="00106FB8"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106FB8">
        <w:rPr>
          <w:rFonts w:asciiTheme="minorHAnsi" w:hAnsiTheme="minorHAnsi"/>
          <w:color w:val="auto"/>
          <w:szCs w:val="24"/>
        </w:rPr>
        <w:t xml:space="preserve">disposition.  </w:t>
      </w:r>
      <w:r w:rsidR="00C6682A">
        <w:rPr>
          <w:rFonts w:asciiTheme="minorHAnsi" w:hAnsiTheme="minorHAnsi"/>
          <w:color w:val="auto"/>
          <w:szCs w:val="24"/>
        </w:rPr>
        <w:t xml:space="preserve">The </w:t>
      </w:r>
      <w:r w:rsidR="00106FB8" w:rsidRPr="00F7313C">
        <w:rPr>
          <w:rFonts w:asciiTheme="minorHAnsi" w:hAnsiTheme="minorHAnsi"/>
          <w:color w:val="auto"/>
          <w:szCs w:val="24"/>
        </w:rPr>
        <w:t xml:space="preserve">DES has neither the role nor the authority to compensate service members for anticipated future severity or potential complications of conditions resulting in medical separation nor for conditions determined to be service connected by the </w:t>
      </w:r>
      <w:r w:rsidR="00C6682A">
        <w:rPr>
          <w:rFonts w:asciiTheme="minorHAnsi" w:hAnsiTheme="minorHAnsi"/>
          <w:color w:val="auto"/>
          <w:szCs w:val="24"/>
        </w:rPr>
        <w:t>Department of Veterans’ Affairs (D</w:t>
      </w:r>
      <w:r w:rsidR="00106FB8" w:rsidRPr="00F7313C">
        <w:rPr>
          <w:rFonts w:asciiTheme="minorHAnsi" w:hAnsiTheme="minorHAnsi"/>
          <w:color w:val="auto"/>
          <w:szCs w:val="24"/>
        </w:rPr>
        <w:t>VA</w:t>
      </w:r>
      <w:r w:rsidR="00C6682A">
        <w:rPr>
          <w:rFonts w:asciiTheme="minorHAnsi" w:hAnsiTheme="minorHAnsi"/>
          <w:color w:val="auto"/>
          <w:szCs w:val="24"/>
        </w:rPr>
        <w:t>)</w:t>
      </w:r>
      <w:r w:rsidR="00106FB8" w:rsidRPr="00F7313C">
        <w:rPr>
          <w:rFonts w:asciiTheme="minorHAnsi" w:hAnsiTheme="minorHAnsi"/>
          <w:color w:val="auto"/>
          <w:szCs w:val="24"/>
        </w:rPr>
        <w:t xml:space="preserve"> but not determined to be unfitting by the PEB.  </w:t>
      </w:r>
      <w:r w:rsidR="00106FB8" w:rsidRPr="00A76BA0">
        <w:rPr>
          <w:rFonts w:asciiTheme="minorHAnsi" w:hAnsiTheme="minorHAnsi"/>
          <w:color w:val="auto"/>
          <w:szCs w:val="24"/>
        </w:rPr>
        <w:t xml:space="preserve">However the </w:t>
      </w:r>
      <w:r w:rsidR="00C6682A">
        <w:rPr>
          <w:rFonts w:asciiTheme="minorHAnsi" w:hAnsiTheme="minorHAnsi"/>
          <w:color w:val="auto"/>
          <w:szCs w:val="24"/>
        </w:rPr>
        <w:t xml:space="preserve">DVA, </w:t>
      </w:r>
      <w:r w:rsidR="00106FB8" w:rsidRPr="00A76BA0">
        <w:rPr>
          <w:rFonts w:asciiTheme="minorHAnsi" w:hAnsiTheme="minorHAnsi"/>
          <w:color w:val="auto"/>
          <w:szCs w:val="24"/>
        </w:rPr>
        <w:t xml:space="preserve">operating under a different set of laws (Title 38, United </w:t>
      </w:r>
      <w:r w:rsidR="00106FB8" w:rsidRPr="00A76BA0">
        <w:rPr>
          <w:rFonts w:asciiTheme="minorHAnsi" w:hAnsiTheme="minorHAnsi"/>
          <w:color w:val="auto"/>
          <w:szCs w:val="24"/>
        </w:rPr>
        <w:lastRenderedPageBreak/>
        <w:t xml:space="preserve">States Code), is empowered to compensate </w:t>
      </w:r>
      <w:r w:rsidR="00106FB8">
        <w:rPr>
          <w:rFonts w:asciiTheme="minorHAnsi" w:hAnsiTheme="minorHAnsi"/>
          <w:color w:val="auto"/>
          <w:szCs w:val="24"/>
        </w:rPr>
        <w:t xml:space="preserve">all </w:t>
      </w:r>
      <w:r w:rsidR="00C6682A">
        <w:rPr>
          <w:rFonts w:asciiTheme="minorHAnsi" w:hAnsiTheme="minorHAnsi"/>
          <w:color w:val="auto"/>
          <w:szCs w:val="24"/>
        </w:rPr>
        <w:t>service-</w:t>
      </w:r>
      <w:r w:rsidR="00106FB8" w:rsidRPr="00A76BA0">
        <w:rPr>
          <w:rFonts w:asciiTheme="minorHAnsi" w:hAnsiTheme="minorHAnsi"/>
          <w:color w:val="auto"/>
          <w:szCs w:val="24"/>
        </w:rPr>
        <w:t xml:space="preserve">connected conditions and to periodically re-evaluate said conditions for the purpose of adjusting the </w:t>
      </w:r>
      <w:r w:rsidR="00C6682A">
        <w:rPr>
          <w:rFonts w:asciiTheme="minorHAnsi" w:hAnsiTheme="minorHAnsi"/>
          <w:color w:val="auto"/>
          <w:szCs w:val="24"/>
        </w:rPr>
        <w:t>V</w:t>
      </w:r>
      <w:r w:rsidR="00106FB8" w:rsidRPr="00A76BA0">
        <w:rPr>
          <w:rFonts w:asciiTheme="minorHAnsi" w:hAnsiTheme="minorHAnsi"/>
          <w:color w:val="auto"/>
          <w:szCs w:val="24"/>
        </w:rPr>
        <w:t xml:space="preserve">eteran’s disability rating should </w:t>
      </w:r>
      <w:r w:rsidR="00C6682A">
        <w:rPr>
          <w:rFonts w:asciiTheme="minorHAnsi" w:hAnsiTheme="minorHAnsi"/>
          <w:color w:val="auto"/>
          <w:szCs w:val="24"/>
        </w:rPr>
        <w:t>the</w:t>
      </w:r>
      <w:r w:rsidR="00106FB8" w:rsidRPr="00A76BA0">
        <w:rPr>
          <w:rFonts w:asciiTheme="minorHAnsi" w:hAnsiTheme="minorHAnsi"/>
          <w:color w:val="auto"/>
          <w:szCs w:val="24"/>
        </w:rPr>
        <w:t xml:space="preserve"> degree of impairment vary over time.</w:t>
      </w:r>
      <w:r w:rsidR="00106FB8">
        <w:rPr>
          <w:rFonts w:asciiTheme="minorHAnsi" w:hAnsiTheme="minorHAnsi"/>
          <w:color w:val="auto"/>
          <w:szCs w:val="24"/>
        </w:rPr>
        <w:t xml:space="preserve">  </w:t>
      </w:r>
      <w:r w:rsidR="00106FB8"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106FB8">
        <w:rPr>
          <w:rFonts w:asciiTheme="minorHAnsi" w:hAnsiTheme="minorHAnsi"/>
          <w:color w:val="auto"/>
          <w:szCs w:val="24"/>
        </w:rPr>
        <w:t xml:space="preserve">  </w:t>
      </w:r>
      <w:r w:rsidR="00106FB8" w:rsidRPr="007B5D59">
        <w:rPr>
          <w:rFonts w:asciiTheme="minorHAnsi" w:hAnsiTheme="minorHAnsi"/>
          <w:color w:val="auto"/>
          <w:szCs w:val="24"/>
        </w:rPr>
        <w:t xml:space="preserve"> </w:t>
      </w:r>
    </w:p>
    <w:p w:rsidR="00106FB8" w:rsidRDefault="00106FB8" w:rsidP="00106FB8">
      <w:pPr>
        <w:tabs>
          <w:tab w:val="left" w:pos="288"/>
          <w:tab w:val="left" w:pos="4752"/>
        </w:tabs>
        <w:spacing w:line="240" w:lineRule="exact"/>
        <w:rPr>
          <w:rFonts w:asciiTheme="minorHAnsi" w:hAnsiTheme="minorHAnsi"/>
          <w:color w:val="auto"/>
          <w:szCs w:val="24"/>
        </w:rPr>
      </w:pPr>
    </w:p>
    <w:p w:rsidR="00C6682A" w:rsidRDefault="005C42D2" w:rsidP="00E9037F">
      <w:pPr>
        <w:tabs>
          <w:tab w:val="left" w:pos="2980"/>
        </w:tabs>
        <w:spacing w:line="240" w:lineRule="exact"/>
        <w:jc w:val="both"/>
        <w:rPr>
          <w:rFonts w:asciiTheme="minorHAnsi" w:hAnsiTheme="minorHAnsi"/>
          <w:color w:val="auto"/>
          <w:szCs w:val="24"/>
        </w:rPr>
      </w:pPr>
      <w:proofErr w:type="spellStart"/>
      <w:r>
        <w:rPr>
          <w:rFonts w:asciiTheme="minorHAnsi" w:hAnsiTheme="minorHAnsi"/>
          <w:color w:val="auto"/>
          <w:szCs w:val="24"/>
          <w:u w:val="single"/>
        </w:rPr>
        <w:t>Rhabdomyolysis</w:t>
      </w:r>
      <w:proofErr w:type="spellEnd"/>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 xml:space="preserve">.  </w:t>
      </w:r>
      <w:r w:rsidR="008E2F2B">
        <w:rPr>
          <w:rFonts w:asciiTheme="minorHAnsi" w:hAnsiTheme="minorHAnsi"/>
          <w:color w:val="auto"/>
          <w:szCs w:val="24"/>
        </w:rPr>
        <w:t xml:space="preserve">The first episode of </w:t>
      </w:r>
      <w:proofErr w:type="spellStart"/>
      <w:r w:rsidR="008E2F2B">
        <w:rPr>
          <w:rFonts w:asciiTheme="minorHAnsi" w:hAnsiTheme="minorHAnsi"/>
          <w:color w:val="auto"/>
          <w:szCs w:val="24"/>
        </w:rPr>
        <w:t>rhabdomyolysis</w:t>
      </w:r>
      <w:proofErr w:type="spellEnd"/>
      <w:r w:rsidR="009628A6">
        <w:rPr>
          <w:rFonts w:asciiTheme="minorHAnsi" w:hAnsiTheme="minorHAnsi"/>
          <w:color w:val="auto"/>
          <w:szCs w:val="24"/>
        </w:rPr>
        <w:t xml:space="preserve"> </w:t>
      </w:r>
      <w:r w:rsidR="008E2F2B">
        <w:rPr>
          <w:rFonts w:asciiTheme="minorHAnsi" w:hAnsiTheme="minorHAnsi"/>
          <w:color w:val="auto"/>
          <w:szCs w:val="24"/>
        </w:rPr>
        <w:t>occurre</w:t>
      </w:r>
      <w:r w:rsidR="007E6BF6">
        <w:rPr>
          <w:rFonts w:asciiTheme="minorHAnsi" w:hAnsiTheme="minorHAnsi"/>
          <w:color w:val="auto"/>
          <w:szCs w:val="24"/>
        </w:rPr>
        <w:t xml:space="preserve">d during basic training in 1995 </w:t>
      </w:r>
      <w:r w:rsidR="009628A6">
        <w:rPr>
          <w:rFonts w:asciiTheme="minorHAnsi" w:hAnsiTheme="minorHAnsi"/>
          <w:color w:val="auto"/>
          <w:szCs w:val="24"/>
        </w:rPr>
        <w:t xml:space="preserve">associated with strenuous physical exertion in heat </w:t>
      </w:r>
      <w:r w:rsidR="007E6BF6">
        <w:rPr>
          <w:rFonts w:asciiTheme="minorHAnsi" w:hAnsiTheme="minorHAnsi"/>
          <w:color w:val="auto"/>
          <w:szCs w:val="24"/>
        </w:rPr>
        <w:t>and was manifested by pain in his upper extremities and discolored urine.</w:t>
      </w:r>
      <w:r w:rsidR="008E2F2B">
        <w:rPr>
          <w:rFonts w:asciiTheme="minorHAnsi" w:hAnsiTheme="minorHAnsi"/>
          <w:color w:val="auto"/>
          <w:szCs w:val="24"/>
        </w:rPr>
        <w:t xml:space="preserve">  </w:t>
      </w:r>
      <w:r w:rsidR="00CE2C75">
        <w:rPr>
          <w:rFonts w:asciiTheme="minorHAnsi" w:hAnsiTheme="minorHAnsi"/>
          <w:color w:val="auto"/>
          <w:szCs w:val="24"/>
        </w:rPr>
        <w:t>The CI was treated with resolution and full recovery.  M</w:t>
      </w:r>
      <w:r w:rsidR="008E2F2B">
        <w:rPr>
          <w:rFonts w:asciiTheme="minorHAnsi" w:hAnsiTheme="minorHAnsi"/>
          <w:color w:val="auto"/>
          <w:szCs w:val="24"/>
        </w:rPr>
        <w:t>uscle strength returned to normal within several weeks</w:t>
      </w:r>
      <w:r w:rsidR="00CE2C75">
        <w:rPr>
          <w:rFonts w:asciiTheme="minorHAnsi" w:hAnsiTheme="minorHAnsi"/>
          <w:color w:val="auto"/>
          <w:szCs w:val="24"/>
        </w:rPr>
        <w:t xml:space="preserve"> and t</w:t>
      </w:r>
      <w:r w:rsidR="008E2F2B">
        <w:rPr>
          <w:rFonts w:asciiTheme="minorHAnsi" w:hAnsiTheme="minorHAnsi"/>
          <w:color w:val="auto"/>
          <w:szCs w:val="24"/>
        </w:rPr>
        <w:t xml:space="preserve">he CI was able to perform all military duties without symptoms or difficulty </w:t>
      </w:r>
      <w:r w:rsidR="00CE2C75">
        <w:rPr>
          <w:rFonts w:asciiTheme="minorHAnsi" w:hAnsiTheme="minorHAnsi"/>
          <w:color w:val="auto"/>
          <w:szCs w:val="24"/>
        </w:rPr>
        <w:t xml:space="preserve">for </w:t>
      </w:r>
      <w:r w:rsidR="00C6682A">
        <w:rPr>
          <w:rFonts w:asciiTheme="minorHAnsi" w:hAnsiTheme="minorHAnsi"/>
          <w:color w:val="auto"/>
          <w:szCs w:val="24"/>
        </w:rPr>
        <w:t>6</w:t>
      </w:r>
      <w:r w:rsidR="00CE2C75">
        <w:rPr>
          <w:rFonts w:asciiTheme="minorHAnsi" w:hAnsiTheme="minorHAnsi"/>
          <w:color w:val="auto"/>
          <w:szCs w:val="24"/>
        </w:rPr>
        <w:t xml:space="preserve"> years </w:t>
      </w:r>
      <w:r w:rsidR="008E2F2B">
        <w:rPr>
          <w:rFonts w:asciiTheme="minorHAnsi" w:hAnsiTheme="minorHAnsi"/>
          <w:color w:val="auto"/>
          <w:szCs w:val="24"/>
        </w:rPr>
        <w:t xml:space="preserve">until January 2002 when he developed swelling and soreness in his arms and dark colored urine after beginning a new upper extremity weight training program.  </w:t>
      </w:r>
      <w:r w:rsidR="00CE2C75">
        <w:rPr>
          <w:rFonts w:asciiTheme="minorHAnsi" w:hAnsiTheme="minorHAnsi"/>
          <w:color w:val="auto"/>
          <w:szCs w:val="24"/>
        </w:rPr>
        <w:t xml:space="preserve">He was again hospitalized for treatment with full recovery.  Evaluation for an underlying muscle disease pre-disposing to the development of </w:t>
      </w:r>
      <w:proofErr w:type="spellStart"/>
      <w:r w:rsidR="00CE2C75">
        <w:rPr>
          <w:rFonts w:asciiTheme="minorHAnsi" w:hAnsiTheme="minorHAnsi"/>
          <w:color w:val="auto"/>
          <w:szCs w:val="24"/>
        </w:rPr>
        <w:t>rhabdomyolysis</w:t>
      </w:r>
      <w:proofErr w:type="spellEnd"/>
      <w:r w:rsidR="00CE2C75">
        <w:rPr>
          <w:rFonts w:asciiTheme="minorHAnsi" w:hAnsiTheme="minorHAnsi"/>
          <w:color w:val="auto"/>
          <w:szCs w:val="24"/>
        </w:rPr>
        <w:t xml:space="preserve"> was negative.  </w:t>
      </w:r>
      <w:r w:rsidR="00EB138E">
        <w:rPr>
          <w:rFonts w:asciiTheme="minorHAnsi" w:hAnsiTheme="minorHAnsi"/>
          <w:color w:val="auto"/>
          <w:szCs w:val="24"/>
        </w:rPr>
        <w:t>By the time of outpatient follow-up a month later he was asymptomatic</w:t>
      </w:r>
      <w:r w:rsidR="00CE2C75">
        <w:rPr>
          <w:rFonts w:asciiTheme="minorHAnsi" w:hAnsiTheme="minorHAnsi"/>
          <w:color w:val="auto"/>
          <w:szCs w:val="24"/>
        </w:rPr>
        <w:t xml:space="preserve">. </w:t>
      </w:r>
      <w:r w:rsidR="001623DC">
        <w:rPr>
          <w:rFonts w:asciiTheme="minorHAnsi" w:hAnsiTheme="minorHAnsi"/>
          <w:color w:val="auto"/>
          <w:szCs w:val="24"/>
        </w:rPr>
        <w:t xml:space="preserve"> </w:t>
      </w:r>
      <w:r w:rsidR="00EB138E">
        <w:rPr>
          <w:rFonts w:asciiTheme="minorHAnsi" w:hAnsiTheme="minorHAnsi"/>
          <w:color w:val="auto"/>
          <w:szCs w:val="24"/>
        </w:rPr>
        <w:t xml:space="preserve">The </w:t>
      </w:r>
      <w:r w:rsidR="00C6682A">
        <w:rPr>
          <w:rFonts w:asciiTheme="minorHAnsi" w:hAnsiTheme="minorHAnsi"/>
          <w:color w:val="auto"/>
          <w:szCs w:val="24"/>
        </w:rPr>
        <w:t>narrative summary (</w:t>
      </w:r>
      <w:r w:rsidR="00EB138E">
        <w:rPr>
          <w:rFonts w:asciiTheme="minorHAnsi" w:hAnsiTheme="minorHAnsi"/>
          <w:color w:val="auto"/>
          <w:szCs w:val="24"/>
        </w:rPr>
        <w:t>NARSUM</w:t>
      </w:r>
      <w:r w:rsidR="00C6682A">
        <w:rPr>
          <w:rFonts w:asciiTheme="minorHAnsi" w:hAnsiTheme="minorHAnsi"/>
          <w:color w:val="auto"/>
          <w:szCs w:val="24"/>
        </w:rPr>
        <w:t>)</w:t>
      </w:r>
      <w:r w:rsidR="00EB138E">
        <w:rPr>
          <w:rFonts w:asciiTheme="minorHAnsi" w:hAnsiTheme="minorHAnsi"/>
          <w:color w:val="auto"/>
          <w:szCs w:val="24"/>
        </w:rPr>
        <w:t xml:space="preserve"> </w:t>
      </w:r>
      <w:r w:rsidR="001623DC">
        <w:rPr>
          <w:rFonts w:asciiTheme="minorHAnsi" w:hAnsiTheme="minorHAnsi"/>
          <w:color w:val="auto"/>
          <w:szCs w:val="24"/>
        </w:rPr>
        <w:t xml:space="preserve">rheumatology </w:t>
      </w:r>
      <w:r w:rsidR="00EB138E">
        <w:rPr>
          <w:rFonts w:asciiTheme="minorHAnsi" w:hAnsiTheme="minorHAnsi"/>
          <w:color w:val="auto"/>
          <w:szCs w:val="24"/>
        </w:rPr>
        <w:t>examiner</w:t>
      </w:r>
      <w:r w:rsidR="000B62CE">
        <w:rPr>
          <w:rFonts w:asciiTheme="minorHAnsi" w:hAnsiTheme="minorHAnsi"/>
          <w:color w:val="auto"/>
          <w:szCs w:val="24"/>
        </w:rPr>
        <w:t xml:space="preserve">, </w:t>
      </w:r>
      <w:r w:rsidR="00E9037F">
        <w:rPr>
          <w:rFonts w:asciiTheme="minorHAnsi" w:hAnsiTheme="minorHAnsi"/>
          <w:color w:val="auto"/>
          <w:szCs w:val="24"/>
        </w:rPr>
        <w:t>dated April 2002,</w:t>
      </w:r>
      <w:r w:rsidR="00C6682A">
        <w:rPr>
          <w:rFonts w:asciiTheme="minorHAnsi" w:hAnsiTheme="minorHAnsi"/>
          <w:color w:val="auto"/>
          <w:szCs w:val="24"/>
        </w:rPr>
        <w:t xml:space="preserve"> </w:t>
      </w:r>
      <w:r w:rsidR="00E9037F">
        <w:rPr>
          <w:rFonts w:asciiTheme="minorHAnsi" w:hAnsiTheme="minorHAnsi"/>
          <w:color w:val="auto"/>
          <w:szCs w:val="24"/>
        </w:rPr>
        <w:t xml:space="preserve">   </w:t>
      </w:r>
      <w:r w:rsidR="00C6682A">
        <w:rPr>
          <w:rFonts w:asciiTheme="minorHAnsi" w:hAnsiTheme="minorHAnsi"/>
          <w:color w:val="auto"/>
          <w:szCs w:val="24"/>
        </w:rPr>
        <w:t>6</w:t>
      </w:r>
      <w:r w:rsidR="00EB138E">
        <w:rPr>
          <w:rFonts w:asciiTheme="minorHAnsi" w:hAnsiTheme="minorHAnsi"/>
          <w:color w:val="auto"/>
          <w:szCs w:val="24"/>
        </w:rPr>
        <w:t xml:space="preserve"> months prior to separation</w:t>
      </w:r>
      <w:r w:rsidR="000B62CE">
        <w:rPr>
          <w:rFonts w:asciiTheme="minorHAnsi" w:hAnsiTheme="minorHAnsi"/>
          <w:color w:val="auto"/>
          <w:szCs w:val="24"/>
        </w:rPr>
        <w:t xml:space="preserve">, </w:t>
      </w:r>
      <w:r w:rsidR="00EB138E">
        <w:rPr>
          <w:rFonts w:asciiTheme="minorHAnsi" w:hAnsiTheme="minorHAnsi"/>
          <w:color w:val="auto"/>
          <w:szCs w:val="24"/>
        </w:rPr>
        <w:t>documented a normal physical exam.  Al</w:t>
      </w:r>
      <w:r w:rsidR="00C6682A">
        <w:rPr>
          <w:rFonts w:asciiTheme="minorHAnsi" w:hAnsiTheme="minorHAnsi"/>
          <w:color w:val="auto"/>
          <w:szCs w:val="24"/>
        </w:rPr>
        <w:t>l joints exhibited normal range-of-</w:t>
      </w:r>
      <w:r w:rsidR="00EB138E">
        <w:rPr>
          <w:rFonts w:asciiTheme="minorHAnsi" w:hAnsiTheme="minorHAnsi"/>
          <w:color w:val="auto"/>
          <w:szCs w:val="24"/>
        </w:rPr>
        <w:t>motion</w:t>
      </w:r>
      <w:r w:rsidR="00C6682A">
        <w:rPr>
          <w:rFonts w:asciiTheme="minorHAnsi" w:hAnsiTheme="minorHAnsi"/>
          <w:color w:val="auto"/>
          <w:szCs w:val="24"/>
        </w:rPr>
        <w:t xml:space="preserve"> (ROM)</w:t>
      </w:r>
      <w:r w:rsidR="00EB138E">
        <w:rPr>
          <w:rFonts w:asciiTheme="minorHAnsi" w:hAnsiTheme="minorHAnsi"/>
          <w:color w:val="auto"/>
          <w:szCs w:val="24"/>
        </w:rPr>
        <w:t xml:space="preserve">, there was no swelling of extremities, and muscle strength was normal.  </w:t>
      </w:r>
      <w:r w:rsidR="001623DC">
        <w:rPr>
          <w:rFonts w:asciiTheme="minorHAnsi" w:hAnsiTheme="minorHAnsi"/>
          <w:color w:val="auto"/>
          <w:szCs w:val="24"/>
        </w:rPr>
        <w:t xml:space="preserve">A muscle biopsy failed to show evidence of muscle pathology or of a predisposing </w:t>
      </w:r>
      <w:proofErr w:type="spellStart"/>
      <w:r w:rsidR="001623DC">
        <w:rPr>
          <w:rFonts w:asciiTheme="minorHAnsi" w:hAnsiTheme="minorHAnsi"/>
          <w:color w:val="auto"/>
          <w:szCs w:val="24"/>
        </w:rPr>
        <w:t>myopathy</w:t>
      </w:r>
      <w:proofErr w:type="spellEnd"/>
      <w:r w:rsidR="001623DC">
        <w:rPr>
          <w:rFonts w:asciiTheme="minorHAnsi" w:hAnsiTheme="minorHAnsi"/>
          <w:color w:val="auto"/>
          <w:szCs w:val="24"/>
        </w:rPr>
        <w:t xml:space="preserve">.  </w:t>
      </w:r>
    </w:p>
    <w:p w:rsidR="00C6682A" w:rsidRDefault="00C6682A" w:rsidP="00C41390">
      <w:pPr>
        <w:tabs>
          <w:tab w:val="left" w:pos="288"/>
          <w:tab w:val="left" w:pos="4752"/>
        </w:tabs>
        <w:spacing w:line="240" w:lineRule="exact"/>
        <w:jc w:val="both"/>
        <w:rPr>
          <w:rFonts w:asciiTheme="minorHAnsi" w:hAnsiTheme="minorHAnsi"/>
          <w:color w:val="auto"/>
          <w:szCs w:val="24"/>
        </w:rPr>
      </w:pPr>
    </w:p>
    <w:p w:rsidR="00F011AB" w:rsidRDefault="001623DC" w:rsidP="00C4139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NARSUM examiner stated that because of the recurrent nature of this condition, he was at increased risk of future episodes</w:t>
      </w:r>
      <w:r w:rsidR="007B4D60">
        <w:rPr>
          <w:rFonts w:asciiTheme="minorHAnsi" w:hAnsiTheme="minorHAnsi"/>
          <w:color w:val="auto"/>
          <w:szCs w:val="24"/>
        </w:rPr>
        <w:t xml:space="preserve"> of </w:t>
      </w:r>
      <w:proofErr w:type="spellStart"/>
      <w:r w:rsidR="007B4D60">
        <w:rPr>
          <w:rFonts w:asciiTheme="minorHAnsi" w:hAnsiTheme="minorHAnsi"/>
          <w:color w:val="auto"/>
          <w:szCs w:val="24"/>
        </w:rPr>
        <w:t>rhabdomyolysis</w:t>
      </w:r>
      <w:proofErr w:type="spellEnd"/>
      <w:r w:rsidR="007B4D60">
        <w:rPr>
          <w:rFonts w:asciiTheme="minorHAnsi" w:hAnsiTheme="minorHAnsi"/>
          <w:color w:val="auto"/>
          <w:szCs w:val="24"/>
        </w:rPr>
        <w:t>, which necessitated the avoidance of strenuous exercise and</w:t>
      </w:r>
      <w:r w:rsidR="000B62CE">
        <w:rPr>
          <w:rFonts w:asciiTheme="minorHAnsi" w:hAnsiTheme="minorHAnsi"/>
          <w:color w:val="auto"/>
          <w:szCs w:val="24"/>
        </w:rPr>
        <w:t xml:space="preserve"> </w:t>
      </w:r>
      <w:r w:rsidR="007B4D60">
        <w:rPr>
          <w:rFonts w:asciiTheme="minorHAnsi" w:hAnsiTheme="minorHAnsi"/>
          <w:color w:val="auto"/>
          <w:szCs w:val="24"/>
        </w:rPr>
        <w:t xml:space="preserve">significant </w:t>
      </w:r>
      <w:r w:rsidR="000B62CE">
        <w:rPr>
          <w:rFonts w:asciiTheme="minorHAnsi" w:hAnsiTheme="minorHAnsi"/>
          <w:color w:val="auto"/>
          <w:szCs w:val="24"/>
        </w:rPr>
        <w:t xml:space="preserve">heat </w:t>
      </w:r>
      <w:r w:rsidR="00C41390">
        <w:rPr>
          <w:rFonts w:asciiTheme="minorHAnsi" w:hAnsiTheme="minorHAnsi"/>
          <w:color w:val="auto"/>
          <w:szCs w:val="24"/>
        </w:rPr>
        <w:t>exposure</w:t>
      </w:r>
      <w:r w:rsidR="007B4D60">
        <w:rPr>
          <w:rFonts w:asciiTheme="minorHAnsi" w:hAnsiTheme="minorHAnsi"/>
          <w:color w:val="auto"/>
          <w:szCs w:val="24"/>
        </w:rPr>
        <w:t>.</w:t>
      </w:r>
      <w:r w:rsidR="009628A6">
        <w:rPr>
          <w:rFonts w:asciiTheme="minorHAnsi" w:hAnsiTheme="minorHAnsi"/>
          <w:color w:val="auto"/>
          <w:szCs w:val="24"/>
        </w:rPr>
        <w:t xml:space="preserve">  </w:t>
      </w:r>
      <w:r w:rsidR="007B4D60">
        <w:rPr>
          <w:rFonts w:asciiTheme="minorHAnsi" w:hAnsiTheme="minorHAnsi"/>
          <w:color w:val="auto"/>
          <w:szCs w:val="24"/>
        </w:rPr>
        <w:t xml:space="preserve">The </w:t>
      </w:r>
      <w:r w:rsidR="001B4663">
        <w:rPr>
          <w:rFonts w:asciiTheme="minorHAnsi" w:hAnsiTheme="minorHAnsi"/>
          <w:color w:val="auto"/>
          <w:szCs w:val="24"/>
        </w:rPr>
        <w:t xml:space="preserve">use of the analogous 7900 code (hyperthyroidism) by the PEB and VA reflects the fact that there is no code specific for </w:t>
      </w:r>
      <w:proofErr w:type="spellStart"/>
      <w:r w:rsidR="001B4663">
        <w:rPr>
          <w:rFonts w:asciiTheme="minorHAnsi" w:hAnsiTheme="minorHAnsi"/>
          <w:color w:val="auto"/>
          <w:szCs w:val="24"/>
        </w:rPr>
        <w:t>rhabdomyolysis</w:t>
      </w:r>
      <w:proofErr w:type="spellEnd"/>
      <w:r w:rsidR="001B4663">
        <w:rPr>
          <w:rFonts w:asciiTheme="minorHAnsi" w:hAnsiTheme="minorHAnsi"/>
          <w:color w:val="auto"/>
          <w:szCs w:val="24"/>
        </w:rPr>
        <w:t>.</w:t>
      </w:r>
      <w:r w:rsidR="00255C3E">
        <w:rPr>
          <w:rFonts w:asciiTheme="minorHAnsi" w:hAnsiTheme="minorHAnsi"/>
          <w:color w:val="auto"/>
          <w:szCs w:val="24"/>
        </w:rPr>
        <w:t xml:space="preserve">  </w:t>
      </w:r>
      <w:r w:rsidR="00C41390">
        <w:rPr>
          <w:rFonts w:asciiTheme="minorHAnsi" w:hAnsiTheme="minorHAnsi"/>
          <w:color w:val="auto"/>
          <w:szCs w:val="24"/>
        </w:rPr>
        <w:t xml:space="preserve">The manifestations of </w:t>
      </w:r>
      <w:proofErr w:type="spellStart"/>
      <w:r w:rsidR="00C41390">
        <w:rPr>
          <w:rFonts w:asciiTheme="minorHAnsi" w:hAnsiTheme="minorHAnsi"/>
          <w:color w:val="auto"/>
          <w:szCs w:val="24"/>
        </w:rPr>
        <w:t>rhabdomy</w:t>
      </w:r>
      <w:r w:rsidR="009628A6">
        <w:rPr>
          <w:rFonts w:asciiTheme="minorHAnsi" w:hAnsiTheme="minorHAnsi"/>
          <w:color w:val="auto"/>
          <w:szCs w:val="24"/>
        </w:rPr>
        <w:t>o</w:t>
      </w:r>
      <w:r w:rsidR="00C41390">
        <w:rPr>
          <w:rFonts w:asciiTheme="minorHAnsi" w:hAnsiTheme="minorHAnsi"/>
          <w:color w:val="auto"/>
          <w:szCs w:val="24"/>
        </w:rPr>
        <w:t>lysis</w:t>
      </w:r>
      <w:proofErr w:type="spellEnd"/>
      <w:r w:rsidR="00C41390">
        <w:rPr>
          <w:rFonts w:asciiTheme="minorHAnsi" w:hAnsiTheme="minorHAnsi"/>
          <w:color w:val="auto"/>
          <w:szCs w:val="24"/>
        </w:rPr>
        <w:t xml:space="preserve"> differ from the symptoms used to rate hyperthyroidism, and use of this code in an analogous manner is not a good medical match.</w:t>
      </w:r>
      <w:r w:rsidR="00D077A2">
        <w:rPr>
          <w:rFonts w:asciiTheme="minorHAnsi" w:hAnsiTheme="minorHAnsi"/>
          <w:color w:val="auto"/>
          <w:szCs w:val="24"/>
        </w:rPr>
        <w:t xml:space="preserve">  None of the ratable criteria under this diagnostic code were present.  </w:t>
      </w:r>
      <w:r w:rsidR="00C41390">
        <w:rPr>
          <w:rFonts w:asciiTheme="minorHAnsi" w:hAnsiTheme="minorHAnsi"/>
          <w:color w:val="auto"/>
          <w:szCs w:val="24"/>
        </w:rPr>
        <w:t xml:space="preserve">Severe </w:t>
      </w:r>
      <w:proofErr w:type="spellStart"/>
      <w:r w:rsidR="00C41390">
        <w:rPr>
          <w:rFonts w:asciiTheme="minorHAnsi" w:hAnsiTheme="minorHAnsi"/>
          <w:color w:val="auto"/>
          <w:szCs w:val="24"/>
        </w:rPr>
        <w:t>rhabdomy</w:t>
      </w:r>
      <w:r w:rsidR="009628A6">
        <w:rPr>
          <w:rFonts w:asciiTheme="minorHAnsi" w:hAnsiTheme="minorHAnsi"/>
          <w:color w:val="auto"/>
          <w:szCs w:val="24"/>
        </w:rPr>
        <w:t>oly</w:t>
      </w:r>
      <w:r w:rsidR="00C41390">
        <w:rPr>
          <w:rFonts w:asciiTheme="minorHAnsi" w:hAnsiTheme="minorHAnsi"/>
          <w:color w:val="auto"/>
          <w:szCs w:val="24"/>
        </w:rPr>
        <w:t>sis</w:t>
      </w:r>
      <w:proofErr w:type="spellEnd"/>
      <w:r w:rsidR="00C41390">
        <w:rPr>
          <w:rFonts w:asciiTheme="minorHAnsi" w:hAnsiTheme="minorHAnsi"/>
          <w:color w:val="auto"/>
          <w:szCs w:val="24"/>
        </w:rPr>
        <w:t xml:space="preserve"> can result in residual muscle weakness or kidney function impairment, neither of which w</w:t>
      </w:r>
      <w:r w:rsidR="009628A6">
        <w:rPr>
          <w:rFonts w:asciiTheme="minorHAnsi" w:hAnsiTheme="minorHAnsi"/>
          <w:color w:val="auto"/>
          <w:szCs w:val="24"/>
        </w:rPr>
        <w:t>as</w:t>
      </w:r>
      <w:r w:rsidR="00C41390">
        <w:rPr>
          <w:rFonts w:asciiTheme="minorHAnsi" w:hAnsiTheme="minorHAnsi"/>
          <w:color w:val="auto"/>
          <w:szCs w:val="24"/>
        </w:rPr>
        <w:t xml:space="preserve"> present.</w:t>
      </w:r>
      <w:r w:rsidR="009628A6">
        <w:rPr>
          <w:rFonts w:asciiTheme="minorHAnsi" w:hAnsiTheme="minorHAnsi"/>
          <w:color w:val="auto"/>
          <w:szCs w:val="24"/>
        </w:rPr>
        <w:t xml:space="preserve">  While the CI was at risk for developing these episodes of muscle breakdown triggered by strenuous exertion, he had </w:t>
      </w:r>
      <w:r w:rsidR="009628A6" w:rsidRPr="009628A6">
        <w:rPr>
          <w:rFonts w:asciiTheme="minorHAnsi" w:hAnsiTheme="minorHAnsi"/>
          <w:color w:val="auto"/>
          <w:szCs w:val="24"/>
        </w:rPr>
        <w:t>two episodes over 7 years with full recovery with return to normal duty activities in between the two episodes.</w:t>
      </w:r>
      <w:r w:rsidR="009628A6">
        <w:rPr>
          <w:rFonts w:asciiTheme="minorHAnsi" w:hAnsiTheme="minorHAnsi"/>
          <w:color w:val="auto"/>
          <w:szCs w:val="24"/>
        </w:rPr>
        <w:t xml:space="preserve">  </w:t>
      </w:r>
      <w:r w:rsidR="00C41390">
        <w:rPr>
          <w:rFonts w:asciiTheme="minorHAnsi" w:hAnsiTheme="minorHAnsi"/>
          <w:color w:val="auto"/>
          <w:szCs w:val="24"/>
        </w:rPr>
        <w:t>No underlying muscle disorder was detected after</w:t>
      </w:r>
      <w:r w:rsidR="000B62CE">
        <w:rPr>
          <w:rFonts w:asciiTheme="minorHAnsi" w:hAnsiTheme="minorHAnsi"/>
          <w:color w:val="auto"/>
          <w:szCs w:val="24"/>
        </w:rPr>
        <w:t xml:space="preserve"> </w:t>
      </w:r>
      <w:r w:rsidR="000B62CE" w:rsidRPr="009628A6">
        <w:rPr>
          <w:rFonts w:asciiTheme="minorHAnsi" w:hAnsiTheme="minorHAnsi"/>
          <w:color w:val="auto"/>
          <w:szCs w:val="24"/>
        </w:rPr>
        <w:t>thorough</w:t>
      </w:r>
      <w:r w:rsidR="00C41390">
        <w:rPr>
          <w:rFonts w:asciiTheme="minorHAnsi" w:hAnsiTheme="minorHAnsi"/>
          <w:color w:val="auto"/>
          <w:szCs w:val="24"/>
        </w:rPr>
        <w:t xml:space="preserve"> medical evaluation.  </w:t>
      </w:r>
      <w:r w:rsidR="00860B0C">
        <w:rPr>
          <w:rFonts w:asciiTheme="minorHAnsi" w:hAnsiTheme="minorHAnsi"/>
          <w:color w:val="auto"/>
          <w:szCs w:val="24"/>
        </w:rPr>
        <w:t xml:space="preserve">Since the CI experienced </w:t>
      </w:r>
      <w:r w:rsidR="007E6BF6">
        <w:rPr>
          <w:rFonts w:asciiTheme="minorHAnsi" w:hAnsiTheme="minorHAnsi"/>
          <w:color w:val="auto"/>
          <w:szCs w:val="24"/>
        </w:rPr>
        <w:t>predominantly</w:t>
      </w:r>
      <w:r w:rsidR="00860B0C">
        <w:rPr>
          <w:rFonts w:asciiTheme="minorHAnsi" w:hAnsiTheme="minorHAnsi"/>
          <w:color w:val="auto"/>
          <w:szCs w:val="24"/>
        </w:rPr>
        <w:t xml:space="preserve"> upper extremity muscle symptoms, </w:t>
      </w:r>
      <w:r w:rsidR="007E6BF6">
        <w:rPr>
          <w:rFonts w:asciiTheme="minorHAnsi" w:hAnsiTheme="minorHAnsi"/>
          <w:color w:val="auto"/>
          <w:szCs w:val="24"/>
        </w:rPr>
        <w:t>the Board considered an alternate rating pathway using muscle codes 5301 through 5306.  Under these codes, a rating higher than 0% requires at least “moderate” impairment of function.  Board members agreed however</w:t>
      </w:r>
      <w:r w:rsidR="00C6682A">
        <w:rPr>
          <w:rFonts w:asciiTheme="minorHAnsi" w:hAnsiTheme="minorHAnsi"/>
          <w:color w:val="auto"/>
          <w:szCs w:val="24"/>
        </w:rPr>
        <w:t>,</w:t>
      </w:r>
      <w:r w:rsidR="007E6BF6">
        <w:rPr>
          <w:rFonts w:asciiTheme="minorHAnsi" w:hAnsiTheme="minorHAnsi"/>
          <w:color w:val="auto"/>
          <w:szCs w:val="24"/>
        </w:rPr>
        <w:t xml:space="preserve"> that residual impairment</w:t>
      </w:r>
      <w:r w:rsidR="009D0A95">
        <w:rPr>
          <w:rFonts w:asciiTheme="minorHAnsi" w:hAnsiTheme="minorHAnsi"/>
          <w:color w:val="auto"/>
          <w:szCs w:val="24"/>
        </w:rPr>
        <w:t>, which</w:t>
      </w:r>
      <w:r w:rsidR="007E6BF6">
        <w:rPr>
          <w:rFonts w:asciiTheme="minorHAnsi" w:hAnsiTheme="minorHAnsi"/>
          <w:color w:val="auto"/>
          <w:szCs w:val="24"/>
        </w:rPr>
        <w:t xml:space="preserve"> </w:t>
      </w:r>
      <w:r w:rsidR="009D0A95">
        <w:rPr>
          <w:rFonts w:asciiTheme="minorHAnsi" w:hAnsiTheme="minorHAnsi"/>
          <w:color w:val="auto"/>
          <w:szCs w:val="24"/>
        </w:rPr>
        <w:t xml:space="preserve">was absent </w:t>
      </w:r>
      <w:r w:rsidR="007E6BF6">
        <w:rPr>
          <w:rFonts w:asciiTheme="minorHAnsi" w:hAnsiTheme="minorHAnsi"/>
          <w:color w:val="auto"/>
          <w:szCs w:val="24"/>
        </w:rPr>
        <w:t>in this case</w:t>
      </w:r>
      <w:r w:rsidR="009D0A95">
        <w:rPr>
          <w:rFonts w:asciiTheme="minorHAnsi" w:hAnsiTheme="minorHAnsi"/>
          <w:color w:val="auto"/>
          <w:szCs w:val="24"/>
        </w:rPr>
        <w:t>,</w:t>
      </w:r>
      <w:r w:rsidR="007E6BF6">
        <w:rPr>
          <w:rFonts w:asciiTheme="minorHAnsi" w:hAnsiTheme="minorHAnsi"/>
          <w:color w:val="auto"/>
          <w:szCs w:val="24"/>
        </w:rPr>
        <w:t xml:space="preserve"> was no</w:t>
      </w:r>
      <w:r w:rsidR="009D0A95">
        <w:rPr>
          <w:rFonts w:asciiTheme="minorHAnsi" w:hAnsiTheme="minorHAnsi"/>
          <w:color w:val="auto"/>
          <w:szCs w:val="24"/>
        </w:rPr>
        <w:t>t</w:t>
      </w:r>
      <w:r w:rsidR="007E6BF6">
        <w:rPr>
          <w:rFonts w:asciiTheme="minorHAnsi" w:hAnsiTheme="minorHAnsi"/>
          <w:color w:val="auto"/>
          <w:szCs w:val="24"/>
        </w:rPr>
        <w:t xml:space="preserve"> more than “slight.”  A higher rating was therefore not justified on this basis.  </w:t>
      </w:r>
      <w:r w:rsidR="00255C3E">
        <w:rPr>
          <w:rFonts w:asciiTheme="minorHAnsi" w:hAnsiTheme="minorHAnsi"/>
          <w:color w:val="auto"/>
          <w:szCs w:val="24"/>
        </w:rPr>
        <w:t xml:space="preserve">The Board </w:t>
      </w:r>
      <w:r w:rsidR="00C41390">
        <w:rPr>
          <w:rFonts w:asciiTheme="minorHAnsi" w:hAnsiTheme="minorHAnsi"/>
          <w:color w:val="auto"/>
          <w:szCs w:val="24"/>
        </w:rPr>
        <w:t xml:space="preserve">also considered </w:t>
      </w:r>
      <w:r w:rsidR="00255C3E">
        <w:rPr>
          <w:rFonts w:asciiTheme="minorHAnsi" w:hAnsiTheme="minorHAnsi"/>
          <w:color w:val="auto"/>
          <w:szCs w:val="24"/>
        </w:rPr>
        <w:t>a rating under the 5021 code (</w:t>
      </w:r>
      <w:proofErr w:type="spellStart"/>
      <w:r w:rsidR="00255C3E">
        <w:rPr>
          <w:rFonts w:asciiTheme="minorHAnsi" w:hAnsiTheme="minorHAnsi"/>
          <w:color w:val="auto"/>
          <w:szCs w:val="24"/>
        </w:rPr>
        <w:t>myositis</w:t>
      </w:r>
      <w:proofErr w:type="spellEnd"/>
      <w:r w:rsidR="00255C3E">
        <w:rPr>
          <w:rFonts w:asciiTheme="minorHAnsi" w:hAnsiTheme="minorHAnsi"/>
          <w:color w:val="auto"/>
          <w:szCs w:val="24"/>
        </w:rPr>
        <w:t>)</w:t>
      </w:r>
      <w:r w:rsidR="00F94794">
        <w:rPr>
          <w:rFonts w:asciiTheme="minorHAnsi" w:hAnsiTheme="minorHAnsi"/>
          <w:color w:val="auto"/>
          <w:szCs w:val="24"/>
        </w:rPr>
        <w:t xml:space="preserve"> </w:t>
      </w:r>
      <w:r w:rsidR="00255C3E">
        <w:rPr>
          <w:rFonts w:asciiTheme="minorHAnsi" w:hAnsiTheme="minorHAnsi"/>
          <w:color w:val="auto"/>
          <w:szCs w:val="24"/>
        </w:rPr>
        <w:t xml:space="preserve">which requires limitation of motion, painful motion </w:t>
      </w:r>
      <w:r w:rsidR="009D0A95">
        <w:rPr>
          <w:rFonts w:asciiTheme="minorHAnsi" w:hAnsiTheme="minorHAnsi"/>
          <w:color w:val="auto"/>
          <w:szCs w:val="24"/>
        </w:rPr>
        <w:t>(</w:t>
      </w:r>
      <w:r w:rsidR="009D0A95" w:rsidRPr="009D0A95">
        <w:rPr>
          <w:rFonts w:asciiTheme="minorHAnsi" w:hAnsiTheme="minorHAnsi"/>
          <w:color w:val="auto"/>
          <w:szCs w:val="24"/>
        </w:rPr>
        <w:t>§4.</w:t>
      </w:r>
      <w:r w:rsidR="009D0A95">
        <w:rPr>
          <w:rFonts w:asciiTheme="minorHAnsi" w:hAnsiTheme="minorHAnsi"/>
          <w:color w:val="auto"/>
          <w:szCs w:val="24"/>
        </w:rPr>
        <w:t>5</w:t>
      </w:r>
      <w:r w:rsidR="009D0A95" w:rsidRPr="009D0A95">
        <w:rPr>
          <w:rFonts w:asciiTheme="minorHAnsi" w:hAnsiTheme="minorHAnsi"/>
          <w:color w:val="auto"/>
          <w:szCs w:val="24"/>
        </w:rPr>
        <w:t>9</w:t>
      </w:r>
      <w:r w:rsidR="009D0A95">
        <w:rPr>
          <w:rFonts w:asciiTheme="minorHAnsi" w:hAnsiTheme="minorHAnsi"/>
          <w:color w:val="auto"/>
          <w:szCs w:val="24"/>
        </w:rPr>
        <w:t>)</w:t>
      </w:r>
      <w:r w:rsidR="009D0A95" w:rsidRPr="009D0A95">
        <w:rPr>
          <w:rFonts w:asciiTheme="minorHAnsi" w:hAnsiTheme="minorHAnsi"/>
          <w:color w:val="auto"/>
          <w:szCs w:val="24"/>
        </w:rPr>
        <w:t xml:space="preserve"> </w:t>
      </w:r>
      <w:r w:rsidR="00255C3E">
        <w:rPr>
          <w:rFonts w:asciiTheme="minorHAnsi" w:hAnsiTheme="minorHAnsi"/>
          <w:color w:val="auto"/>
          <w:szCs w:val="24"/>
        </w:rPr>
        <w:t>or pain with use</w:t>
      </w:r>
      <w:r w:rsidR="00F94794">
        <w:rPr>
          <w:rFonts w:asciiTheme="minorHAnsi" w:hAnsiTheme="minorHAnsi"/>
          <w:color w:val="auto"/>
          <w:szCs w:val="24"/>
        </w:rPr>
        <w:t xml:space="preserve"> </w:t>
      </w:r>
      <w:r w:rsidR="009D0A95">
        <w:rPr>
          <w:rFonts w:asciiTheme="minorHAnsi" w:hAnsiTheme="minorHAnsi"/>
          <w:color w:val="auto"/>
          <w:szCs w:val="24"/>
        </w:rPr>
        <w:t>(</w:t>
      </w:r>
      <w:r w:rsidR="009D0A95" w:rsidRPr="009D0A95">
        <w:rPr>
          <w:rFonts w:asciiTheme="minorHAnsi" w:hAnsiTheme="minorHAnsi"/>
          <w:color w:val="auto"/>
          <w:szCs w:val="24"/>
        </w:rPr>
        <w:t>§4.</w:t>
      </w:r>
      <w:r w:rsidR="009D0A95">
        <w:rPr>
          <w:rFonts w:asciiTheme="minorHAnsi" w:hAnsiTheme="minorHAnsi"/>
          <w:color w:val="auto"/>
          <w:szCs w:val="24"/>
        </w:rPr>
        <w:t>40)</w:t>
      </w:r>
      <w:r w:rsidR="009D0A95" w:rsidRPr="009D0A95">
        <w:rPr>
          <w:rFonts w:asciiTheme="minorHAnsi" w:hAnsiTheme="minorHAnsi"/>
          <w:color w:val="auto"/>
          <w:szCs w:val="24"/>
        </w:rPr>
        <w:t xml:space="preserve"> </w:t>
      </w:r>
      <w:r w:rsidR="00F94794">
        <w:rPr>
          <w:rFonts w:asciiTheme="minorHAnsi" w:hAnsiTheme="minorHAnsi"/>
          <w:color w:val="auto"/>
          <w:szCs w:val="24"/>
        </w:rPr>
        <w:t xml:space="preserve">for a compensable rating.  </w:t>
      </w:r>
      <w:r w:rsidR="00255C3E">
        <w:rPr>
          <w:rFonts w:asciiTheme="minorHAnsi" w:hAnsiTheme="minorHAnsi"/>
          <w:color w:val="auto"/>
          <w:szCs w:val="24"/>
        </w:rPr>
        <w:t xml:space="preserve">Board members agreed there were no </w:t>
      </w:r>
      <w:r w:rsidR="009D0A95">
        <w:rPr>
          <w:rFonts w:asciiTheme="minorHAnsi" w:hAnsiTheme="minorHAnsi"/>
          <w:color w:val="auto"/>
          <w:szCs w:val="24"/>
        </w:rPr>
        <w:t xml:space="preserve">examination </w:t>
      </w:r>
      <w:r w:rsidR="00255C3E">
        <w:rPr>
          <w:rFonts w:asciiTheme="minorHAnsi" w:hAnsiTheme="minorHAnsi"/>
          <w:color w:val="auto"/>
          <w:szCs w:val="24"/>
        </w:rPr>
        <w:t xml:space="preserve">findings supporting </w:t>
      </w:r>
      <w:r w:rsidR="00F94794">
        <w:rPr>
          <w:rFonts w:asciiTheme="minorHAnsi" w:hAnsiTheme="minorHAnsi"/>
          <w:color w:val="auto"/>
          <w:szCs w:val="24"/>
        </w:rPr>
        <w:t>a higher rating using this code.</w:t>
      </w:r>
      <w:r w:rsidR="00255C3E">
        <w:rPr>
          <w:rFonts w:asciiTheme="minorHAnsi" w:hAnsiTheme="minorHAnsi"/>
          <w:color w:val="auto"/>
          <w:szCs w:val="24"/>
        </w:rPr>
        <w:t xml:space="preserve"> </w:t>
      </w:r>
      <w:r w:rsidR="00F94794">
        <w:rPr>
          <w:rFonts w:asciiTheme="minorHAnsi" w:hAnsiTheme="minorHAnsi"/>
          <w:color w:val="auto"/>
          <w:szCs w:val="24"/>
        </w:rPr>
        <w:t xml:space="preserve"> </w:t>
      </w:r>
      <w:r w:rsidR="00F011AB" w:rsidRPr="00AE3316">
        <w:rPr>
          <w:rFonts w:asciiTheme="minorHAnsi" w:hAnsiTheme="minorHAnsi"/>
          <w:color w:val="auto"/>
          <w:szCs w:val="24"/>
        </w:rPr>
        <w:t>All evidence considered</w:t>
      </w:r>
      <w:proofErr w:type="gramStart"/>
      <w:r w:rsidR="00F011AB" w:rsidRPr="00AE3316">
        <w:rPr>
          <w:rFonts w:asciiTheme="minorHAnsi" w:hAnsiTheme="minorHAnsi"/>
          <w:color w:val="auto"/>
          <w:szCs w:val="24"/>
        </w:rPr>
        <w:t>,</w:t>
      </w:r>
      <w:proofErr w:type="gramEnd"/>
      <w:r w:rsidR="00F011AB" w:rsidRPr="00AE3316">
        <w:rPr>
          <w:rFonts w:asciiTheme="minorHAnsi" w:hAnsiTheme="minorHAnsi"/>
          <w:color w:val="auto"/>
          <w:szCs w:val="24"/>
        </w:rPr>
        <w:t xml:space="preserve"> there is not reasonable doubt in the CI’s favor supporting </w:t>
      </w:r>
      <w:r w:rsidR="00F011AB">
        <w:rPr>
          <w:rFonts w:asciiTheme="minorHAnsi" w:hAnsiTheme="minorHAnsi"/>
          <w:color w:val="auto"/>
          <w:szCs w:val="24"/>
        </w:rPr>
        <w:t xml:space="preserve">a change from the </w:t>
      </w:r>
      <w:r w:rsidR="00F011AB" w:rsidRPr="00AE3316">
        <w:rPr>
          <w:rFonts w:asciiTheme="minorHAnsi" w:hAnsiTheme="minorHAnsi"/>
          <w:color w:val="auto"/>
          <w:szCs w:val="24"/>
        </w:rPr>
        <w:t>PEB</w:t>
      </w:r>
      <w:r w:rsidR="00F011AB">
        <w:rPr>
          <w:rFonts w:asciiTheme="minorHAnsi" w:hAnsiTheme="minorHAnsi"/>
          <w:color w:val="auto"/>
          <w:szCs w:val="24"/>
        </w:rPr>
        <w:t>’s rating decision for</w:t>
      </w:r>
      <w:r w:rsidR="00F011AB" w:rsidRPr="00AE3316">
        <w:rPr>
          <w:rFonts w:asciiTheme="minorHAnsi" w:hAnsiTheme="minorHAnsi"/>
          <w:color w:val="auto"/>
          <w:szCs w:val="24"/>
        </w:rPr>
        <w:t xml:space="preserve"> the </w:t>
      </w:r>
      <w:proofErr w:type="spellStart"/>
      <w:r w:rsidR="00F011AB">
        <w:rPr>
          <w:rFonts w:asciiTheme="minorHAnsi" w:hAnsiTheme="minorHAnsi"/>
          <w:color w:val="auto"/>
          <w:szCs w:val="24"/>
        </w:rPr>
        <w:t>rhabdomyolysis</w:t>
      </w:r>
      <w:proofErr w:type="spellEnd"/>
      <w:r w:rsidR="00F011AB" w:rsidRPr="00AE3316">
        <w:rPr>
          <w:rFonts w:asciiTheme="minorHAnsi" w:hAnsiTheme="minorHAnsi"/>
          <w:color w:val="auto"/>
          <w:szCs w:val="24"/>
        </w:rPr>
        <w:t xml:space="preserve"> condition.</w:t>
      </w:r>
    </w:p>
    <w:p w:rsidR="000B62CE" w:rsidRPr="008A39F0" w:rsidRDefault="000B62CE" w:rsidP="00412D0B">
      <w:pPr>
        <w:tabs>
          <w:tab w:val="left" w:pos="288"/>
          <w:tab w:val="left" w:pos="4752"/>
        </w:tabs>
        <w:spacing w:line="240" w:lineRule="exact"/>
        <w:jc w:val="both"/>
        <w:rPr>
          <w:rFonts w:asciiTheme="minorHAnsi" w:hAnsiTheme="minorHAnsi"/>
          <w:color w:val="auto"/>
          <w:szCs w:val="24"/>
        </w:rPr>
      </w:pPr>
    </w:p>
    <w:p w:rsidR="000D65BE" w:rsidRPr="00B8188C" w:rsidRDefault="00E42F1D" w:rsidP="000D65BE">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0D65BE">
        <w:rPr>
          <w:rFonts w:asciiTheme="minorHAnsi" w:hAnsiTheme="minorHAnsi"/>
          <w:color w:val="auto"/>
          <w:szCs w:val="24"/>
        </w:rPr>
        <w:t>One o</w:t>
      </w:r>
      <w:r w:rsidR="00B8188C" w:rsidRPr="00B8188C">
        <w:rPr>
          <w:rFonts w:asciiTheme="minorHAnsi" w:hAnsiTheme="minorHAnsi"/>
          <w:color w:val="auto"/>
          <w:szCs w:val="24"/>
        </w:rPr>
        <w:t>ther condition identified in the DES file w</w:t>
      </w:r>
      <w:r w:rsidR="000D65BE">
        <w:rPr>
          <w:rFonts w:asciiTheme="minorHAnsi" w:hAnsiTheme="minorHAnsi"/>
          <w:color w:val="auto"/>
          <w:szCs w:val="24"/>
        </w:rPr>
        <w:t>as a broken collar bone</w:t>
      </w:r>
      <w:r w:rsidR="00D077A2">
        <w:rPr>
          <w:rFonts w:asciiTheme="minorHAnsi" w:hAnsiTheme="minorHAnsi"/>
          <w:color w:val="auto"/>
          <w:szCs w:val="24"/>
        </w:rPr>
        <w:t xml:space="preserve"> at age 7</w:t>
      </w:r>
      <w:r w:rsidR="00B8188C" w:rsidRPr="00B8188C">
        <w:rPr>
          <w:rFonts w:asciiTheme="minorHAnsi" w:hAnsiTheme="minorHAnsi"/>
          <w:color w:val="auto"/>
          <w:szCs w:val="24"/>
        </w:rPr>
        <w:t xml:space="preserve">.  </w:t>
      </w:r>
      <w:r w:rsidR="00D077A2">
        <w:rPr>
          <w:rFonts w:asciiTheme="minorHAnsi" w:hAnsiTheme="minorHAnsi"/>
          <w:color w:val="auto"/>
          <w:szCs w:val="24"/>
        </w:rPr>
        <w:t>There were no symptoms attributed to t</w:t>
      </w:r>
      <w:r w:rsidR="000D65BE">
        <w:rPr>
          <w:rFonts w:asciiTheme="minorHAnsi" w:hAnsiTheme="minorHAnsi"/>
          <w:color w:val="auto"/>
          <w:szCs w:val="24"/>
        </w:rPr>
        <w:t xml:space="preserve">his condition </w:t>
      </w:r>
      <w:r w:rsidR="007F114B">
        <w:rPr>
          <w:rFonts w:asciiTheme="minorHAnsi" w:hAnsiTheme="minorHAnsi"/>
          <w:color w:val="auto"/>
          <w:szCs w:val="24"/>
        </w:rPr>
        <w:t>during the MEB period</w:t>
      </w:r>
      <w:r w:rsidR="00D077A2">
        <w:rPr>
          <w:rFonts w:asciiTheme="minorHAnsi" w:hAnsiTheme="minorHAnsi"/>
          <w:color w:val="auto"/>
          <w:szCs w:val="24"/>
        </w:rPr>
        <w:t>.</w:t>
      </w:r>
      <w:r w:rsidR="007F114B" w:rsidRPr="007F114B">
        <w:rPr>
          <w:rFonts w:asciiTheme="minorHAnsi" w:hAnsiTheme="minorHAnsi"/>
          <w:color w:val="auto"/>
          <w:szCs w:val="24"/>
        </w:rPr>
        <w:t xml:space="preserve"> </w:t>
      </w:r>
      <w:r w:rsidR="00D077A2">
        <w:rPr>
          <w:rFonts w:asciiTheme="minorHAnsi" w:hAnsiTheme="minorHAnsi"/>
          <w:color w:val="auto"/>
          <w:szCs w:val="24"/>
        </w:rPr>
        <w:t xml:space="preserve"> </w:t>
      </w:r>
      <w:r w:rsidR="000D65BE" w:rsidRPr="00B8188C">
        <w:rPr>
          <w:rFonts w:asciiTheme="minorHAnsi" w:hAnsiTheme="minorHAnsi"/>
          <w:color w:val="auto"/>
          <w:szCs w:val="24"/>
        </w:rPr>
        <w:t>N</w:t>
      </w:r>
      <w:r w:rsidR="00C6682A">
        <w:rPr>
          <w:rFonts w:asciiTheme="minorHAnsi" w:hAnsiTheme="minorHAnsi"/>
          <w:color w:val="auto"/>
          <w:szCs w:val="24"/>
        </w:rPr>
        <w:t>o other conditions were service-</w:t>
      </w:r>
      <w:r w:rsidR="000D65BE" w:rsidRPr="00B8188C">
        <w:rPr>
          <w:rFonts w:asciiTheme="minorHAnsi" w:hAnsiTheme="minorHAnsi"/>
          <w:color w:val="auto"/>
          <w:szCs w:val="24"/>
        </w:rPr>
        <w:t xml:space="preserve">connected with a compensable rating by the VA within </w:t>
      </w:r>
      <w:r w:rsidR="000D65BE">
        <w:rPr>
          <w:rFonts w:asciiTheme="minorHAnsi" w:hAnsiTheme="minorHAnsi"/>
          <w:color w:val="auto"/>
          <w:szCs w:val="24"/>
        </w:rPr>
        <w:t>12</w:t>
      </w:r>
      <w:r w:rsidR="00C6682A">
        <w:rPr>
          <w:rFonts w:asciiTheme="minorHAnsi" w:hAnsiTheme="minorHAnsi"/>
          <w:color w:val="auto"/>
          <w:szCs w:val="24"/>
        </w:rPr>
        <w:t>-</w:t>
      </w:r>
      <w:r w:rsidR="000D65BE" w:rsidRPr="00B8188C">
        <w:rPr>
          <w:rFonts w:asciiTheme="minorHAnsi" w:hAnsiTheme="minorHAnsi"/>
          <w:color w:val="auto"/>
          <w:szCs w:val="24"/>
        </w:rPr>
        <w:t>months of separation or contended by the CI.  The Board therefore has no reasonable basis for recommending any additional unfitting conditions for separation rating.</w:t>
      </w:r>
    </w:p>
    <w:p w:rsidR="00C6682A" w:rsidRDefault="00C6682A" w:rsidP="00BE7789">
      <w:pPr>
        <w:spacing w:line="240" w:lineRule="exact"/>
        <w:jc w:val="both"/>
        <w:rPr>
          <w:rFonts w:asciiTheme="minorHAnsi" w:hAnsiTheme="minorHAnsi"/>
          <w:color w:val="auto"/>
          <w:szCs w:val="24"/>
        </w:rPr>
      </w:pPr>
    </w:p>
    <w:p w:rsidR="00C6682A" w:rsidRDefault="00C6682A" w:rsidP="00BE7789">
      <w:pPr>
        <w:spacing w:line="240" w:lineRule="exact"/>
        <w:jc w:val="both"/>
        <w:rPr>
          <w:rFonts w:asciiTheme="minorHAnsi" w:hAnsiTheme="minorHAnsi"/>
          <w:color w:val="auto"/>
          <w:szCs w:val="24"/>
        </w:rPr>
      </w:pPr>
    </w:p>
    <w:p w:rsidR="00C6682A" w:rsidRDefault="00C6682A" w:rsidP="00BE7789">
      <w:pPr>
        <w:spacing w:line="240" w:lineRule="exact"/>
        <w:jc w:val="both"/>
        <w:rPr>
          <w:rFonts w:asciiTheme="minorHAnsi" w:hAnsiTheme="minorHAnsi"/>
          <w:color w:val="auto"/>
          <w:szCs w:val="24"/>
        </w:rPr>
      </w:pPr>
    </w:p>
    <w:p w:rsidR="00C6682A" w:rsidRDefault="00C6682A" w:rsidP="00BE7789">
      <w:pPr>
        <w:spacing w:line="240" w:lineRule="exact"/>
        <w:jc w:val="both"/>
        <w:rPr>
          <w:rFonts w:asciiTheme="minorHAnsi" w:hAnsiTheme="minorHAnsi"/>
          <w:color w:val="auto"/>
          <w:szCs w:val="24"/>
        </w:rPr>
      </w:pPr>
    </w:p>
    <w:p w:rsidR="00C6682A" w:rsidRDefault="00C6682A" w:rsidP="00BE7789">
      <w:pPr>
        <w:spacing w:line="240" w:lineRule="exact"/>
        <w:jc w:val="both"/>
        <w:rPr>
          <w:rFonts w:asciiTheme="minorHAnsi" w:hAnsiTheme="minorHAnsi"/>
          <w:color w:val="auto"/>
          <w:szCs w:val="24"/>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2F22B2">
        <w:rPr>
          <w:rFonts w:asciiTheme="minorHAnsi" w:eastAsiaTheme="minorHAnsi" w:hAnsiTheme="minorHAnsi"/>
          <w:color w:val="auto"/>
          <w:szCs w:val="24"/>
        </w:rPr>
        <w:t xml:space="preserve">  </w:t>
      </w:r>
      <w:r w:rsidRPr="002F22B2">
        <w:rPr>
          <w:rFonts w:asciiTheme="minorHAnsi" w:hAnsiTheme="minorHAnsi"/>
          <w:color w:val="auto"/>
          <w:szCs w:val="24"/>
        </w:rPr>
        <w:t>The Board did not surmise from the record or PEB ruling in this case that any prerogatives outside the VASRD were exercised.</w:t>
      </w:r>
      <w:r w:rsidR="009628A6">
        <w:rPr>
          <w:rFonts w:asciiTheme="minorHAnsi" w:hAnsiTheme="minorHAnsi"/>
          <w:color w:val="auto"/>
          <w:szCs w:val="24"/>
        </w:rPr>
        <w:t xml:space="preserve">  </w:t>
      </w:r>
      <w:r w:rsidR="00412658" w:rsidRPr="009628A6">
        <w:rPr>
          <w:rFonts w:asciiTheme="minorHAnsi" w:hAnsiTheme="minorHAnsi"/>
          <w:color w:val="auto"/>
          <w:szCs w:val="24"/>
        </w:rPr>
        <w:t xml:space="preserve">In the matter of the </w:t>
      </w:r>
      <w:proofErr w:type="spellStart"/>
      <w:r w:rsidR="00270FA3" w:rsidRPr="009628A6">
        <w:rPr>
          <w:rFonts w:asciiTheme="minorHAnsi" w:hAnsiTheme="minorHAnsi"/>
          <w:color w:val="auto"/>
          <w:szCs w:val="24"/>
        </w:rPr>
        <w:t>rhabdomyolysis</w:t>
      </w:r>
      <w:proofErr w:type="spellEnd"/>
      <w:r w:rsidR="00412658" w:rsidRPr="009628A6">
        <w:rPr>
          <w:rFonts w:asciiTheme="minorHAnsi" w:hAnsiTheme="minorHAnsi"/>
          <w:color w:val="auto"/>
          <w:szCs w:val="24"/>
        </w:rPr>
        <w:t xml:space="preserve"> condition and </w:t>
      </w:r>
      <w:r w:rsidR="00412658" w:rsidRPr="00AE3316">
        <w:rPr>
          <w:rFonts w:asciiTheme="minorHAnsi" w:hAnsiTheme="minorHAnsi"/>
          <w:color w:val="auto"/>
          <w:szCs w:val="24"/>
        </w:rPr>
        <w:t xml:space="preserve">IAW VASRD </w:t>
      </w:r>
      <w:r w:rsidR="00412658" w:rsidRPr="00270FA3">
        <w:rPr>
          <w:rFonts w:asciiTheme="minorHAnsi" w:hAnsiTheme="minorHAnsi"/>
          <w:color w:val="auto"/>
          <w:szCs w:val="24"/>
        </w:rPr>
        <w:t>§4.</w:t>
      </w:r>
      <w:r w:rsidR="00270FA3" w:rsidRPr="00270FA3">
        <w:rPr>
          <w:rFonts w:asciiTheme="minorHAnsi" w:hAnsiTheme="minorHAnsi"/>
          <w:color w:val="auto"/>
          <w:szCs w:val="24"/>
        </w:rPr>
        <w:t>119</w:t>
      </w:r>
      <w:r w:rsidR="00412658" w:rsidRPr="009628A6">
        <w:rPr>
          <w:rFonts w:asciiTheme="minorHAnsi" w:hAnsiTheme="minorHAnsi"/>
          <w:color w:val="auto"/>
          <w:szCs w:val="24"/>
        </w:rPr>
        <w:t>, the Board unanimously recommends no change in the PEB adjudication</w:t>
      </w:r>
      <w:r w:rsidR="00412658">
        <w:rPr>
          <w:rFonts w:asciiTheme="minorHAnsi" w:hAnsiTheme="minorHAnsi"/>
          <w:color w:val="auto"/>
          <w:szCs w:val="24"/>
        </w:rPr>
        <w:t>.</w:t>
      </w:r>
      <w:r w:rsidR="002F22B2">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B92190">
        <w:rPr>
          <w:rFonts w:asciiTheme="minorHAnsi" w:hAnsiTheme="minorHAnsi"/>
          <w:color w:val="auto"/>
          <w:szCs w:val="24"/>
        </w:rPr>
        <w:t>broken collar bone</w:t>
      </w:r>
      <w:r w:rsidR="00412658" w:rsidRPr="009628A6">
        <w:rPr>
          <w:rFonts w:asciiTheme="minorHAnsi" w:hAnsiTheme="minorHAnsi"/>
          <w:color w:val="auto"/>
          <w:szCs w:val="24"/>
        </w:rPr>
        <w:t xml:space="preserve"> condition</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2F22B2">
        <w:rPr>
          <w:rFonts w:asciiTheme="minorHAnsi" w:hAnsiTheme="minorHAnsi"/>
          <w:color w:val="auto"/>
          <w:szCs w:val="24"/>
        </w:rPr>
        <w:t>,</w:t>
      </w:r>
      <w:r w:rsidR="00412658" w:rsidRPr="00AE3316">
        <w:rPr>
          <w:rFonts w:asciiTheme="minorHAnsi" w:hAnsiTheme="minorHAnsi"/>
          <w:color w:val="auto"/>
          <w:szCs w:val="24"/>
        </w:rPr>
        <w:t xml:space="preserve"> the Board </w:t>
      </w:r>
      <w:r w:rsidR="00412658" w:rsidRPr="009628A6">
        <w:rPr>
          <w:rFonts w:asciiTheme="minorHAnsi" w:hAnsiTheme="minorHAnsi"/>
          <w:color w:val="auto"/>
          <w:szCs w:val="24"/>
        </w:rPr>
        <w:t xml:space="preserve">unanimously </w:t>
      </w:r>
      <w:r w:rsidR="00412658" w:rsidRPr="00AE3316">
        <w:rPr>
          <w:rFonts w:asciiTheme="minorHAnsi" w:hAnsiTheme="minorHAnsi"/>
          <w:color w:val="auto"/>
          <w:szCs w:val="24"/>
        </w:rPr>
        <w:t>agrees that it cannot</w:t>
      </w:r>
      <w:r w:rsidR="00412658" w:rsidRPr="009628A6">
        <w:rPr>
          <w:rFonts w:asciiTheme="minorHAnsi" w:hAnsiTheme="minorHAnsi"/>
          <w:color w:val="auto"/>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B92190">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9628A6">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B92190">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B92190">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proofErr w:type="spellStart"/>
      <w:r w:rsidRPr="00B95833">
        <w:rPr>
          <w:rFonts w:asciiTheme="minorHAnsi" w:hAnsiTheme="minorHAnsi"/>
          <w:color w:val="auto"/>
          <w:szCs w:val="24"/>
        </w:rPr>
        <w:t>recharacterization</w:t>
      </w:r>
      <w:proofErr w:type="spellEnd"/>
      <w:r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847A9F">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5C42D2" w:rsidP="00190E48">
            <w:pPr>
              <w:tabs>
                <w:tab w:val="left" w:pos="288"/>
                <w:tab w:val="left" w:pos="4752"/>
              </w:tabs>
              <w:spacing w:line="240" w:lineRule="exact"/>
              <w:jc w:val="both"/>
              <w:rPr>
                <w:rFonts w:asciiTheme="minorHAnsi" w:hAnsiTheme="minorHAnsi"/>
                <w:color w:val="auto"/>
                <w:szCs w:val="24"/>
              </w:rPr>
            </w:pPr>
            <w:proofErr w:type="spellStart"/>
            <w:r>
              <w:rPr>
                <w:rFonts w:asciiTheme="minorHAnsi" w:hAnsiTheme="minorHAnsi"/>
                <w:color w:val="auto"/>
                <w:szCs w:val="24"/>
              </w:rPr>
              <w:t>Rhabdomyolysis</w:t>
            </w:r>
            <w:proofErr w:type="spellEnd"/>
          </w:p>
        </w:tc>
        <w:tc>
          <w:tcPr>
            <w:tcW w:w="1710" w:type="dxa"/>
          </w:tcPr>
          <w:p w:rsidR="00A95BBA" w:rsidRPr="00AC713F" w:rsidRDefault="005C42D2"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7999-7900</w:t>
            </w:r>
          </w:p>
        </w:tc>
        <w:tc>
          <w:tcPr>
            <w:tcW w:w="1170" w:type="dxa"/>
          </w:tcPr>
          <w:p w:rsidR="00A95BBA" w:rsidRPr="00AC713F" w:rsidRDefault="00A95BBA" w:rsidP="007D6BFE">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0%</w:t>
            </w:r>
          </w:p>
        </w:tc>
      </w:tr>
    </w:tbl>
    <w:p w:rsidR="006E2DC8" w:rsidRPr="00AC713F" w:rsidRDefault="006E2DC8" w:rsidP="00190E48">
      <w:pPr>
        <w:spacing w:line="240" w:lineRule="exact"/>
        <w:jc w:val="both"/>
        <w:rPr>
          <w:rFonts w:asciiTheme="minorHAnsi" w:hAnsiTheme="minorHAnsi"/>
          <w:color w:val="auto"/>
          <w:szCs w:val="24"/>
        </w:rPr>
      </w:pP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5C42D2">
        <w:rPr>
          <w:rFonts w:asciiTheme="minorHAnsi" w:hAnsiTheme="minorHAnsi"/>
          <w:color w:val="auto"/>
        </w:rPr>
        <w:t>1006</w:t>
      </w:r>
      <w:r w:rsidR="00C6682A">
        <w:rPr>
          <w:rFonts w:asciiTheme="minorHAnsi" w:hAnsiTheme="minorHAnsi"/>
          <w:color w:val="auto"/>
        </w:rPr>
        <w:t>, w/</w:t>
      </w:r>
      <w:proofErr w:type="spellStart"/>
      <w:r w:rsidR="00C6682A">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B.  Service</w:t>
      </w:r>
      <w:r w:rsidR="00C6682A">
        <w:rPr>
          <w:rFonts w:asciiTheme="minorHAnsi" w:hAnsiTheme="minorHAnsi"/>
          <w:color w:val="auto"/>
        </w:rPr>
        <w:t xml:space="preserv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C6682A">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76218B">
        <w:rPr>
          <w:rFonts w:asciiTheme="minorHAnsi" w:hAnsiTheme="minorHAnsi"/>
          <w:color w:val="auto"/>
        </w:rPr>
        <w:t>XXXXXXXX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76218B" w:rsidRDefault="00E043D6" w:rsidP="00847A9F">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76218B" w:rsidRDefault="0076218B">
      <w:pPr>
        <w:rPr>
          <w:rFonts w:asciiTheme="minorHAnsi" w:hAnsiTheme="minorHAnsi"/>
          <w:color w:val="auto"/>
        </w:rPr>
      </w:pPr>
      <w:r>
        <w:rPr>
          <w:rFonts w:asciiTheme="minorHAnsi" w:hAnsiTheme="minorHAnsi"/>
          <w:color w:val="auto"/>
        </w:rPr>
        <w:br w:type="page"/>
      </w:r>
    </w:p>
    <w:p w:rsidR="0076218B" w:rsidRDefault="0076218B" w:rsidP="0076218B">
      <w:pPr>
        <w:sectPr w:rsidR="0076218B">
          <w:pgSz w:w="12240" w:h="15840"/>
          <w:pgMar w:top="2160" w:right="1440" w:bottom="1440" w:left="1440" w:header="720" w:footer="720" w:gutter="0"/>
          <w:cols w:space="720"/>
        </w:sectPr>
      </w:pPr>
    </w:p>
    <w:p w:rsidR="0076218B" w:rsidRDefault="0076218B" w:rsidP="0076218B">
      <w:pPr>
        <w:pStyle w:val="Header"/>
        <w:tabs>
          <w:tab w:val="left" w:pos="720"/>
        </w:tabs>
      </w:pPr>
      <w:r>
        <w:lastRenderedPageBreak/>
        <w:t>SFMR-RB</w:t>
      </w:r>
      <w:r>
        <w:tab/>
      </w:r>
      <w:r>
        <w:tab/>
      </w:r>
      <w:r>
        <w:tab/>
      </w:r>
      <w:r>
        <w:tab/>
      </w:r>
      <w:r>
        <w:tab/>
      </w:r>
      <w:r>
        <w:tab/>
      </w:r>
      <w:r>
        <w:tab/>
      </w:r>
      <w:r>
        <w:tab/>
      </w:r>
      <w:r>
        <w:tab/>
      </w:r>
    </w:p>
    <w:p w:rsidR="0076218B" w:rsidRDefault="0076218B" w:rsidP="0076218B">
      <w:pPr>
        <w:pStyle w:val="Header"/>
        <w:tabs>
          <w:tab w:val="left" w:pos="720"/>
        </w:tabs>
      </w:pPr>
    </w:p>
    <w:p w:rsidR="0076218B" w:rsidRDefault="0076218B" w:rsidP="0076218B"/>
    <w:p w:rsidR="0076218B" w:rsidRDefault="0076218B" w:rsidP="0076218B">
      <w:r>
        <w:t xml:space="preserve">MEMORANDUM FOR Commander, US Army Physical Disability Agency </w:t>
      </w:r>
    </w:p>
    <w:p w:rsidR="0076218B" w:rsidRDefault="0076218B" w:rsidP="0076218B">
      <w:r>
        <w:t>(TAPD-ZB /), 2900 Crystal Drive, Suite 300, Arlington, VA  22202</w:t>
      </w:r>
    </w:p>
    <w:p w:rsidR="0076218B" w:rsidRDefault="0076218B" w:rsidP="0076218B"/>
    <w:p w:rsidR="0076218B" w:rsidRDefault="0076218B" w:rsidP="0076218B">
      <w:pPr>
        <w:ind w:right="-180"/>
      </w:pPr>
      <w:r>
        <w:t>SUBJECT:  Department of Defense Physical Disability Board of Review Recommendation for XXXXXXXXXX, AR20120007697 (PD201100904)</w:t>
      </w:r>
    </w:p>
    <w:p w:rsidR="0076218B" w:rsidRDefault="0076218B" w:rsidP="0076218B">
      <w:pPr>
        <w:pStyle w:val="Header"/>
        <w:tabs>
          <w:tab w:val="left" w:pos="720"/>
        </w:tabs>
      </w:pPr>
    </w:p>
    <w:p w:rsidR="0076218B" w:rsidRDefault="0076218B" w:rsidP="0076218B"/>
    <w:p w:rsidR="0076218B" w:rsidRDefault="0076218B" w:rsidP="0076218B">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6218B" w:rsidRDefault="0076218B" w:rsidP="0076218B">
      <w:r>
        <w:t>This decision is final.  The individual concerned, counsel (if any), and any Members of Congress who have shown interest in this application have been notified of this decision by mail.</w:t>
      </w:r>
    </w:p>
    <w:p w:rsidR="0076218B" w:rsidRDefault="0076218B" w:rsidP="0076218B"/>
    <w:p w:rsidR="0076218B" w:rsidRDefault="0076218B" w:rsidP="0076218B">
      <w:r>
        <w:t xml:space="preserve"> BY ORDER OF THE SECRETARY OF THE ARMY:</w:t>
      </w:r>
    </w:p>
    <w:p w:rsidR="0076218B" w:rsidRDefault="0076218B" w:rsidP="0076218B"/>
    <w:p w:rsidR="0076218B" w:rsidRDefault="0076218B" w:rsidP="0076218B"/>
    <w:p w:rsidR="0076218B" w:rsidRDefault="0076218B" w:rsidP="0076218B">
      <w:pPr>
        <w:pStyle w:val="Header"/>
        <w:tabs>
          <w:tab w:val="left" w:pos="720"/>
        </w:tabs>
      </w:pPr>
    </w:p>
    <w:p w:rsidR="0076218B" w:rsidRDefault="0076218B" w:rsidP="0076218B"/>
    <w:p w:rsidR="0076218B" w:rsidRDefault="0076218B" w:rsidP="0076218B">
      <w:bookmarkStart w:id="0" w:name="OLE_LINK4"/>
      <w:bookmarkStart w:id="1" w:name="OLE_LINK3"/>
      <w:r>
        <w:t>Encl</w:t>
      </w:r>
      <w:r>
        <w:tab/>
      </w:r>
      <w:r>
        <w:tab/>
      </w:r>
      <w:r>
        <w:tab/>
      </w:r>
      <w:r>
        <w:tab/>
      </w:r>
      <w:r>
        <w:tab/>
      </w:r>
      <w:r>
        <w:tab/>
        <w:t xml:space="preserve">     XXXXXXXXXX</w:t>
      </w:r>
    </w:p>
    <w:p w:rsidR="0076218B" w:rsidRDefault="0076218B" w:rsidP="0076218B">
      <w:r>
        <w:tab/>
      </w:r>
      <w:r>
        <w:tab/>
      </w:r>
      <w:r>
        <w:tab/>
      </w:r>
      <w:r>
        <w:tab/>
      </w:r>
      <w:r>
        <w:tab/>
      </w:r>
      <w:r>
        <w:tab/>
        <w:t xml:space="preserve">     Deputy Assistant Secretary</w:t>
      </w:r>
    </w:p>
    <w:p w:rsidR="0076218B" w:rsidRDefault="0076218B" w:rsidP="0076218B">
      <w:r>
        <w:tab/>
      </w:r>
      <w:r>
        <w:tab/>
      </w:r>
      <w:r>
        <w:tab/>
      </w:r>
      <w:r>
        <w:tab/>
      </w:r>
      <w:r>
        <w:tab/>
      </w:r>
      <w:r>
        <w:tab/>
        <w:t xml:space="preserve">         (Army Review Boards)</w:t>
      </w:r>
      <w:bookmarkEnd w:id="0"/>
      <w:bookmarkEnd w:id="1"/>
    </w:p>
    <w:p w:rsidR="0076218B" w:rsidRDefault="0076218B" w:rsidP="0076218B"/>
    <w:p w:rsidR="0076218B" w:rsidRDefault="0076218B" w:rsidP="0076218B">
      <w:r>
        <w:t xml:space="preserve">CF: </w:t>
      </w:r>
    </w:p>
    <w:p w:rsidR="0076218B" w:rsidRDefault="0076218B" w:rsidP="0076218B">
      <w:r>
        <w:t xml:space="preserve">(  ) </w:t>
      </w:r>
      <w:proofErr w:type="spellStart"/>
      <w:proofErr w:type="gramStart"/>
      <w:r>
        <w:t>DoD</w:t>
      </w:r>
      <w:proofErr w:type="spellEnd"/>
      <w:proofErr w:type="gramEnd"/>
      <w:r>
        <w:t xml:space="preserve"> PDBR</w:t>
      </w:r>
    </w:p>
    <w:p w:rsidR="0076218B" w:rsidRDefault="0076218B" w:rsidP="0076218B">
      <w:r>
        <w:t>(  ) DVA</w:t>
      </w:r>
    </w:p>
    <w:p w:rsidR="0076218B" w:rsidRDefault="0076218B" w:rsidP="0076218B"/>
    <w:p w:rsidR="00D077A2" w:rsidRDefault="00D077A2" w:rsidP="00847A9F">
      <w:pPr>
        <w:tabs>
          <w:tab w:val="left" w:pos="0"/>
          <w:tab w:val="left" w:pos="4320"/>
        </w:tabs>
        <w:spacing w:line="240" w:lineRule="exact"/>
        <w:jc w:val="both"/>
        <w:rPr>
          <w:color w:val="000080"/>
        </w:rPr>
      </w:pPr>
    </w:p>
    <w:sectPr w:rsidR="00D077A2"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B8" w:rsidRDefault="007334B8">
      <w:r>
        <w:separator/>
      </w:r>
    </w:p>
  </w:endnote>
  <w:endnote w:type="continuationSeparator" w:id="0">
    <w:p w:rsidR="007334B8" w:rsidRDefault="007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83" w:rsidRDefault="00C60748">
    <w:pPr>
      <w:pStyle w:val="Footer"/>
      <w:framePr w:wrap="around" w:vAnchor="text" w:hAnchor="margin" w:xAlign="center" w:y="1"/>
      <w:rPr>
        <w:rStyle w:val="PageNumber"/>
      </w:rPr>
    </w:pPr>
    <w:r>
      <w:rPr>
        <w:rStyle w:val="PageNumber"/>
      </w:rPr>
      <w:fldChar w:fldCharType="begin"/>
    </w:r>
    <w:r w:rsidR="00DB4483">
      <w:rPr>
        <w:rStyle w:val="PageNumber"/>
      </w:rPr>
      <w:instrText xml:space="preserve">PAGE  </w:instrText>
    </w:r>
    <w:r>
      <w:rPr>
        <w:rStyle w:val="PageNumber"/>
      </w:rPr>
      <w:fldChar w:fldCharType="separate"/>
    </w:r>
    <w:r w:rsidR="00DB4483">
      <w:rPr>
        <w:rStyle w:val="PageNumber"/>
        <w:noProof/>
      </w:rPr>
      <w:t>2</w:t>
    </w:r>
    <w:r>
      <w:rPr>
        <w:rStyle w:val="PageNumber"/>
      </w:rPr>
      <w:fldChar w:fldCharType="end"/>
    </w:r>
  </w:p>
  <w:p w:rsidR="00DB4483" w:rsidRDefault="00DB44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83" w:rsidRPr="00AC713F" w:rsidRDefault="00C6074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B44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6218B">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DB4483" w:rsidRPr="001252F8" w:rsidRDefault="00DB4483" w:rsidP="002B0749">
    <w:pPr>
      <w:pStyle w:val="Footer"/>
      <w:jc w:val="right"/>
      <w:rPr>
        <w:rFonts w:asciiTheme="minorHAnsi" w:hAnsiTheme="minorHAnsi"/>
        <w:color w:val="auto"/>
      </w:rPr>
    </w:pPr>
    <w:r>
      <w:tab/>
    </w:r>
    <w:r>
      <w:tab/>
    </w:r>
    <w:r w:rsidRPr="001252F8">
      <w:rPr>
        <w:rFonts w:asciiTheme="minorHAnsi" w:hAnsiTheme="minorHAnsi"/>
        <w:caps/>
        <w:color w:val="auto"/>
      </w:rPr>
      <w:t>PD1100</w:t>
    </w:r>
    <w:r w:rsidR="005C42D2" w:rsidRPr="001252F8">
      <w:rPr>
        <w:rFonts w:asciiTheme="minorHAnsi" w:hAnsiTheme="minorHAnsi"/>
        <w:caps/>
        <w:color w:val="auto"/>
      </w:rPr>
      <w:t>904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B8" w:rsidRDefault="007334B8">
      <w:r>
        <w:separator/>
      </w:r>
    </w:p>
  </w:footnote>
  <w:footnote w:type="continuationSeparator" w:id="0">
    <w:p w:rsidR="007334B8" w:rsidRDefault="007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3777"/>
  </w:hdrShapeDefaults>
  <w:footnotePr>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46EF7"/>
    <w:rsid w:val="00050EBB"/>
    <w:rsid w:val="00051622"/>
    <w:rsid w:val="00051ACF"/>
    <w:rsid w:val="00052234"/>
    <w:rsid w:val="00053AC0"/>
    <w:rsid w:val="00053D7C"/>
    <w:rsid w:val="0005659D"/>
    <w:rsid w:val="000577C9"/>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3B54"/>
    <w:rsid w:val="000A41E3"/>
    <w:rsid w:val="000A48F7"/>
    <w:rsid w:val="000A4BBA"/>
    <w:rsid w:val="000A5071"/>
    <w:rsid w:val="000B4789"/>
    <w:rsid w:val="000B4C99"/>
    <w:rsid w:val="000B62CE"/>
    <w:rsid w:val="000B7EDD"/>
    <w:rsid w:val="000C06F6"/>
    <w:rsid w:val="000C1D34"/>
    <w:rsid w:val="000C2362"/>
    <w:rsid w:val="000C3C13"/>
    <w:rsid w:val="000C53F9"/>
    <w:rsid w:val="000C5813"/>
    <w:rsid w:val="000C75CF"/>
    <w:rsid w:val="000C76E1"/>
    <w:rsid w:val="000C7757"/>
    <w:rsid w:val="000C7DE4"/>
    <w:rsid w:val="000D15E7"/>
    <w:rsid w:val="000D1A24"/>
    <w:rsid w:val="000D21C7"/>
    <w:rsid w:val="000D248A"/>
    <w:rsid w:val="000D35D8"/>
    <w:rsid w:val="000D43F9"/>
    <w:rsid w:val="000D4717"/>
    <w:rsid w:val="000D6457"/>
    <w:rsid w:val="000D65BE"/>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6FB8"/>
    <w:rsid w:val="001077B3"/>
    <w:rsid w:val="00107EC5"/>
    <w:rsid w:val="001103CD"/>
    <w:rsid w:val="00113EC3"/>
    <w:rsid w:val="00114F20"/>
    <w:rsid w:val="001211AF"/>
    <w:rsid w:val="001219DF"/>
    <w:rsid w:val="001231DC"/>
    <w:rsid w:val="001239FC"/>
    <w:rsid w:val="001252F8"/>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5BC2"/>
    <w:rsid w:val="00156086"/>
    <w:rsid w:val="0015623F"/>
    <w:rsid w:val="00156585"/>
    <w:rsid w:val="00156BA9"/>
    <w:rsid w:val="00161761"/>
    <w:rsid w:val="001623DC"/>
    <w:rsid w:val="00166182"/>
    <w:rsid w:val="00166F72"/>
    <w:rsid w:val="00170DCF"/>
    <w:rsid w:val="00170E41"/>
    <w:rsid w:val="001745DD"/>
    <w:rsid w:val="001766E4"/>
    <w:rsid w:val="00177659"/>
    <w:rsid w:val="001779E5"/>
    <w:rsid w:val="00182A4C"/>
    <w:rsid w:val="0018312F"/>
    <w:rsid w:val="00183F77"/>
    <w:rsid w:val="00185DA8"/>
    <w:rsid w:val="00185DDD"/>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5320"/>
    <w:rsid w:val="001A5E62"/>
    <w:rsid w:val="001A7538"/>
    <w:rsid w:val="001B0B1A"/>
    <w:rsid w:val="001B4663"/>
    <w:rsid w:val="001B4EC2"/>
    <w:rsid w:val="001B50D1"/>
    <w:rsid w:val="001B5837"/>
    <w:rsid w:val="001B5B59"/>
    <w:rsid w:val="001B60E0"/>
    <w:rsid w:val="001B7C8C"/>
    <w:rsid w:val="001C00D3"/>
    <w:rsid w:val="001C181A"/>
    <w:rsid w:val="001C1877"/>
    <w:rsid w:val="001C2053"/>
    <w:rsid w:val="001C252F"/>
    <w:rsid w:val="001C28D1"/>
    <w:rsid w:val="001C4595"/>
    <w:rsid w:val="001C4E44"/>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E6D5D"/>
    <w:rsid w:val="001F33A7"/>
    <w:rsid w:val="001F64A6"/>
    <w:rsid w:val="00200AA0"/>
    <w:rsid w:val="00202325"/>
    <w:rsid w:val="00202736"/>
    <w:rsid w:val="00203652"/>
    <w:rsid w:val="002060B6"/>
    <w:rsid w:val="002066B5"/>
    <w:rsid w:val="00215ED6"/>
    <w:rsid w:val="00216049"/>
    <w:rsid w:val="00217606"/>
    <w:rsid w:val="00217C09"/>
    <w:rsid w:val="002201F2"/>
    <w:rsid w:val="00220F5C"/>
    <w:rsid w:val="00225196"/>
    <w:rsid w:val="002257C7"/>
    <w:rsid w:val="00225CB4"/>
    <w:rsid w:val="0023049F"/>
    <w:rsid w:val="002316F6"/>
    <w:rsid w:val="00232C9B"/>
    <w:rsid w:val="00232F09"/>
    <w:rsid w:val="002335D5"/>
    <w:rsid w:val="002338CA"/>
    <w:rsid w:val="00233FE5"/>
    <w:rsid w:val="00234809"/>
    <w:rsid w:val="00234B3B"/>
    <w:rsid w:val="0024174E"/>
    <w:rsid w:val="0024227D"/>
    <w:rsid w:val="00242D14"/>
    <w:rsid w:val="00246218"/>
    <w:rsid w:val="00246860"/>
    <w:rsid w:val="00246DFF"/>
    <w:rsid w:val="00246E89"/>
    <w:rsid w:val="0025183C"/>
    <w:rsid w:val="00251E3D"/>
    <w:rsid w:val="002528EC"/>
    <w:rsid w:val="00255049"/>
    <w:rsid w:val="00255C3E"/>
    <w:rsid w:val="00257DE5"/>
    <w:rsid w:val="00260531"/>
    <w:rsid w:val="0026318D"/>
    <w:rsid w:val="00270864"/>
    <w:rsid w:val="00270FA3"/>
    <w:rsid w:val="002712F7"/>
    <w:rsid w:val="0027159C"/>
    <w:rsid w:val="00272675"/>
    <w:rsid w:val="00274549"/>
    <w:rsid w:val="00274E46"/>
    <w:rsid w:val="00275183"/>
    <w:rsid w:val="00276B97"/>
    <w:rsid w:val="00276C86"/>
    <w:rsid w:val="002810A4"/>
    <w:rsid w:val="00284A26"/>
    <w:rsid w:val="00287006"/>
    <w:rsid w:val="00290645"/>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22B2"/>
    <w:rsid w:val="002F287E"/>
    <w:rsid w:val="002F2D63"/>
    <w:rsid w:val="002F5265"/>
    <w:rsid w:val="002F7F81"/>
    <w:rsid w:val="00300A36"/>
    <w:rsid w:val="003051C7"/>
    <w:rsid w:val="0030678B"/>
    <w:rsid w:val="00310CD7"/>
    <w:rsid w:val="00311957"/>
    <w:rsid w:val="0032136A"/>
    <w:rsid w:val="00323E70"/>
    <w:rsid w:val="00325BA2"/>
    <w:rsid w:val="00326F7F"/>
    <w:rsid w:val="003320E8"/>
    <w:rsid w:val="003326A6"/>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25A5"/>
    <w:rsid w:val="00384866"/>
    <w:rsid w:val="0038532B"/>
    <w:rsid w:val="003857D4"/>
    <w:rsid w:val="00385D6F"/>
    <w:rsid w:val="00387095"/>
    <w:rsid w:val="00390092"/>
    <w:rsid w:val="00393651"/>
    <w:rsid w:val="00395E12"/>
    <w:rsid w:val="00396F96"/>
    <w:rsid w:val="00397DB7"/>
    <w:rsid w:val="003A27B2"/>
    <w:rsid w:val="003A40B4"/>
    <w:rsid w:val="003A41BA"/>
    <w:rsid w:val="003A6A99"/>
    <w:rsid w:val="003A7FF8"/>
    <w:rsid w:val="003B066E"/>
    <w:rsid w:val="003B0A61"/>
    <w:rsid w:val="003B0E71"/>
    <w:rsid w:val="003B17AC"/>
    <w:rsid w:val="003B227A"/>
    <w:rsid w:val="003B3E56"/>
    <w:rsid w:val="003B5854"/>
    <w:rsid w:val="003B6764"/>
    <w:rsid w:val="003C3833"/>
    <w:rsid w:val="003C47C7"/>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2C7E"/>
    <w:rsid w:val="003F3A2B"/>
    <w:rsid w:val="003F58B0"/>
    <w:rsid w:val="003F70E8"/>
    <w:rsid w:val="004007E9"/>
    <w:rsid w:val="00401825"/>
    <w:rsid w:val="00401BBC"/>
    <w:rsid w:val="00403BFB"/>
    <w:rsid w:val="00404B45"/>
    <w:rsid w:val="00406CC5"/>
    <w:rsid w:val="004074A4"/>
    <w:rsid w:val="004101B2"/>
    <w:rsid w:val="004123D7"/>
    <w:rsid w:val="00412658"/>
    <w:rsid w:val="00412D0B"/>
    <w:rsid w:val="00414150"/>
    <w:rsid w:val="00414A6A"/>
    <w:rsid w:val="004172DB"/>
    <w:rsid w:val="004205D1"/>
    <w:rsid w:val="00421485"/>
    <w:rsid w:val="00422B75"/>
    <w:rsid w:val="004272CC"/>
    <w:rsid w:val="00433F36"/>
    <w:rsid w:val="0043503A"/>
    <w:rsid w:val="00435F50"/>
    <w:rsid w:val="0044384F"/>
    <w:rsid w:val="00444209"/>
    <w:rsid w:val="00444F80"/>
    <w:rsid w:val="00446018"/>
    <w:rsid w:val="00446DD8"/>
    <w:rsid w:val="004512BD"/>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502F"/>
    <w:rsid w:val="004854FE"/>
    <w:rsid w:val="00486745"/>
    <w:rsid w:val="004870FC"/>
    <w:rsid w:val="00487F79"/>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B7A56"/>
    <w:rsid w:val="004C5E33"/>
    <w:rsid w:val="004C6CDA"/>
    <w:rsid w:val="004D044E"/>
    <w:rsid w:val="004D10D4"/>
    <w:rsid w:val="004D16BD"/>
    <w:rsid w:val="004D20E0"/>
    <w:rsid w:val="004D2AAB"/>
    <w:rsid w:val="004D2F3E"/>
    <w:rsid w:val="004D3294"/>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519AF"/>
    <w:rsid w:val="0055288D"/>
    <w:rsid w:val="00555259"/>
    <w:rsid w:val="00560D57"/>
    <w:rsid w:val="00562A94"/>
    <w:rsid w:val="00565DF4"/>
    <w:rsid w:val="005709F7"/>
    <w:rsid w:val="005710A9"/>
    <w:rsid w:val="00571C82"/>
    <w:rsid w:val="00571D1B"/>
    <w:rsid w:val="00573701"/>
    <w:rsid w:val="005818AD"/>
    <w:rsid w:val="00593043"/>
    <w:rsid w:val="00595BF0"/>
    <w:rsid w:val="005A1846"/>
    <w:rsid w:val="005A258C"/>
    <w:rsid w:val="005A3560"/>
    <w:rsid w:val="005A4E82"/>
    <w:rsid w:val="005A6C99"/>
    <w:rsid w:val="005A7D5D"/>
    <w:rsid w:val="005B011A"/>
    <w:rsid w:val="005B1D8F"/>
    <w:rsid w:val="005B1E94"/>
    <w:rsid w:val="005B5B3D"/>
    <w:rsid w:val="005C16F3"/>
    <w:rsid w:val="005C3758"/>
    <w:rsid w:val="005C42D2"/>
    <w:rsid w:val="005D0C57"/>
    <w:rsid w:val="005D1075"/>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401E"/>
    <w:rsid w:val="00624D0C"/>
    <w:rsid w:val="00624E7B"/>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67386"/>
    <w:rsid w:val="006708E3"/>
    <w:rsid w:val="00670DDC"/>
    <w:rsid w:val="00671EB4"/>
    <w:rsid w:val="0067443B"/>
    <w:rsid w:val="00684E2B"/>
    <w:rsid w:val="00690FDA"/>
    <w:rsid w:val="00691E61"/>
    <w:rsid w:val="00693C5E"/>
    <w:rsid w:val="00694EEA"/>
    <w:rsid w:val="006955B4"/>
    <w:rsid w:val="00696476"/>
    <w:rsid w:val="0069799C"/>
    <w:rsid w:val="006A0F46"/>
    <w:rsid w:val="006A0FC4"/>
    <w:rsid w:val="006A10FA"/>
    <w:rsid w:val="006A40E6"/>
    <w:rsid w:val="006A577C"/>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DC8"/>
    <w:rsid w:val="006E386D"/>
    <w:rsid w:val="006E4134"/>
    <w:rsid w:val="006E7356"/>
    <w:rsid w:val="006E77C8"/>
    <w:rsid w:val="006F0E7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34B8"/>
    <w:rsid w:val="00736A49"/>
    <w:rsid w:val="007414B8"/>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218B"/>
    <w:rsid w:val="00763AAD"/>
    <w:rsid w:val="007651ED"/>
    <w:rsid w:val="00766C87"/>
    <w:rsid w:val="00770033"/>
    <w:rsid w:val="007726F9"/>
    <w:rsid w:val="007752E4"/>
    <w:rsid w:val="00775E40"/>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4D60"/>
    <w:rsid w:val="007B5C5C"/>
    <w:rsid w:val="007B633E"/>
    <w:rsid w:val="007B69E4"/>
    <w:rsid w:val="007B7B37"/>
    <w:rsid w:val="007B7C41"/>
    <w:rsid w:val="007C1384"/>
    <w:rsid w:val="007C1801"/>
    <w:rsid w:val="007C433E"/>
    <w:rsid w:val="007C4452"/>
    <w:rsid w:val="007C4B3C"/>
    <w:rsid w:val="007C4DB1"/>
    <w:rsid w:val="007C6046"/>
    <w:rsid w:val="007D0292"/>
    <w:rsid w:val="007D04B8"/>
    <w:rsid w:val="007D1257"/>
    <w:rsid w:val="007D1F53"/>
    <w:rsid w:val="007D21AC"/>
    <w:rsid w:val="007D3882"/>
    <w:rsid w:val="007D568A"/>
    <w:rsid w:val="007D574E"/>
    <w:rsid w:val="007D6BFE"/>
    <w:rsid w:val="007E2046"/>
    <w:rsid w:val="007E21E3"/>
    <w:rsid w:val="007E3595"/>
    <w:rsid w:val="007E3883"/>
    <w:rsid w:val="007E4FBB"/>
    <w:rsid w:val="007E55BF"/>
    <w:rsid w:val="007E6BF6"/>
    <w:rsid w:val="007E6D52"/>
    <w:rsid w:val="007E71B1"/>
    <w:rsid w:val="007E7B4E"/>
    <w:rsid w:val="007F0CE2"/>
    <w:rsid w:val="007F0EFF"/>
    <w:rsid w:val="007F114B"/>
    <w:rsid w:val="007F1375"/>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47A9F"/>
    <w:rsid w:val="0085089F"/>
    <w:rsid w:val="0085206E"/>
    <w:rsid w:val="008521AC"/>
    <w:rsid w:val="00852AD4"/>
    <w:rsid w:val="00852BA8"/>
    <w:rsid w:val="00853718"/>
    <w:rsid w:val="008541EF"/>
    <w:rsid w:val="00856AC7"/>
    <w:rsid w:val="00856FA4"/>
    <w:rsid w:val="00857A25"/>
    <w:rsid w:val="00857BB2"/>
    <w:rsid w:val="008604D9"/>
    <w:rsid w:val="00860B0C"/>
    <w:rsid w:val="0086162B"/>
    <w:rsid w:val="00861D5C"/>
    <w:rsid w:val="00864854"/>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94A2D"/>
    <w:rsid w:val="00896535"/>
    <w:rsid w:val="00896683"/>
    <w:rsid w:val="00897589"/>
    <w:rsid w:val="008A1A85"/>
    <w:rsid w:val="008A39F0"/>
    <w:rsid w:val="008A439D"/>
    <w:rsid w:val="008A63A9"/>
    <w:rsid w:val="008A7F7E"/>
    <w:rsid w:val="008B04DB"/>
    <w:rsid w:val="008B27FD"/>
    <w:rsid w:val="008B3AF2"/>
    <w:rsid w:val="008B515D"/>
    <w:rsid w:val="008B5D31"/>
    <w:rsid w:val="008B6705"/>
    <w:rsid w:val="008C08CC"/>
    <w:rsid w:val="008C22F3"/>
    <w:rsid w:val="008D6E8E"/>
    <w:rsid w:val="008D795D"/>
    <w:rsid w:val="008D7B07"/>
    <w:rsid w:val="008E1E94"/>
    <w:rsid w:val="008E281F"/>
    <w:rsid w:val="008E2D99"/>
    <w:rsid w:val="008E2F2B"/>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4ADB"/>
    <w:rsid w:val="00920882"/>
    <w:rsid w:val="00923B25"/>
    <w:rsid w:val="00923F27"/>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8A6"/>
    <w:rsid w:val="00962F2D"/>
    <w:rsid w:val="009672CD"/>
    <w:rsid w:val="00972996"/>
    <w:rsid w:val="009732B8"/>
    <w:rsid w:val="0097527C"/>
    <w:rsid w:val="00975C72"/>
    <w:rsid w:val="00976869"/>
    <w:rsid w:val="00976CE2"/>
    <w:rsid w:val="00977740"/>
    <w:rsid w:val="00977CB4"/>
    <w:rsid w:val="009809B8"/>
    <w:rsid w:val="00980C3C"/>
    <w:rsid w:val="0098222D"/>
    <w:rsid w:val="00984FF1"/>
    <w:rsid w:val="00985099"/>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5F56"/>
    <w:rsid w:val="009C72DD"/>
    <w:rsid w:val="009C7DF5"/>
    <w:rsid w:val="009D056C"/>
    <w:rsid w:val="009D060F"/>
    <w:rsid w:val="009D0A95"/>
    <w:rsid w:val="009D1ADE"/>
    <w:rsid w:val="009E09D0"/>
    <w:rsid w:val="009E1283"/>
    <w:rsid w:val="009E2E84"/>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28EF"/>
    <w:rsid w:val="00AA493E"/>
    <w:rsid w:val="00AA5B52"/>
    <w:rsid w:val="00AA6F47"/>
    <w:rsid w:val="00AA73AF"/>
    <w:rsid w:val="00AB0F0A"/>
    <w:rsid w:val="00AB1754"/>
    <w:rsid w:val="00AB27DD"/>
    <w:rsid w:val="00AB2E38"/>
    <w:rsid w:val="00AB5FE8"/>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F1668"/>
    <w:rsid w:val="00AF39FF"/>
    <w:rsid w:val="00AF4FA5"/>
    <w:rsid w:val="00B02EB7"/>
    <w:rsid w:val="00B03D08"/>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676CC"/>
    <w:rsid w:val="00B70FAA"/>
    <w:rsid w:val="00B72076"/>
    <w:rsid w:val="00B72303"/>
    <w:rsid w:val="00B72AC5"/>
    <w:rsid w:val="00B737B4"/>
    <w:rsid w:val="00B8188C"/>
    <w:rsid w:val="00B82277"/>
    <w:rsid w:val="00B91676"/>
    <w:rsid w:val="00B92190"/>
    <w:rsid w:val="00B92593"/>
    <w:rsid w:val="00B95833"/>
    <w:rsid w:val="00B95A57"/>
    <w:rsid w:val="00B95CBA"/>
    <w:rsid w:val="00B96443"/>
    <w:rsid w:val="00BA1824"/>
    <w:rsid w:val="00BA2D98"/>
    <w:rsid w:val="00BA30D1"/>
    <w:rsid w:val="00BA4609"/>
    <w:rsid w:val="00BA5BE2"/>
    <w:rsid w:val="00BA7428"/>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7D3"/>
    <w:rsid w:val="00BE0DEB"/>
    <w:rsid w:val="00BE0F3D"/>
    <w:rsid w:val="00BE2FC1"/>
    <w:rsid w:val="00BE6365"/>
    <w:rsid w:val="00BE7789"/>
    <w:rsid w:val="00BF0B7F"/>
    <w:rsid w:val="00BF4720"/>
    <w:rsid w:val="00BF7B63"/>
    <w:rsid w:val="00C038EC"/>
    <w:rsid w:val="00C03CE6"/>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390"/>
    <w:rsid w:val="00C41E47"/>
    <w:rsid w:val="00C42443"/>
    <w:rsid w:val="00C42CBA"/>
    <w:rsid w:val="00C45E3F"/>
    <w:rsid w:val="00C5019E"/>
    <w:rsid w:val="00C5377C"/>
    <w:rsid w:val="00C53E8A"/>
    <w:rsid w:val="00C54DF3"/>
    <w:rsid w:val="00C55918"/>
    <w:rsid w:val="00C560A7"/>
    <w:rsid w:val="00C56FC8"/>
    <w:rsid w:val="00C60748"/>
    <w:rsid w:val="00C60F23"/>
    <w:rsid w:val="00C62EB2"/>
    <w:rsid w:val="00C6682A"/>
    <w:rsid w:val="00C71BEC"/>
    <w:rsid w:val="00C74D3A"/>
    <w:rsid w:val="00C80511"/>
    <w:rsid w:val="00C82627"/>
    <w:rsid w:val="00C826F5"/>
    <w:rsid w:val="00C827F7"/>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A7DE5"/>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E2C75"/>
    <w:rsid w:val="00CF158D"/>
    <w:rsid w:val="00CF3C31"/>
    <w:rsid w:val="00CF4394"/>
    <w:rsid w:val="00CF6A0B"/>
    <w:rsid w:val="00D000A9"/>
    <w:rsid w:val="00D005DB"/>
    <w:rsid w:val="00D0064E"/>
    <w:rsid w:val="00D00981"/>
    <w:rsid w:val="00D0280D"/>
    <w:rsid w:val="00D02C23"/>
    <w:rsid w:val="00D077A2"/>
    <w:rsid w:val="00D07A72"/>
    <w:rsid w:val="00D10577"/>
    <w:rsid w:val="00D1323B"/>
    <w:rsid w:val="00D14BAE"/>
    <w:rsid w:val="00D15515"/>
    <w:rsid w:val="00D1648B"/>
    <w:rsid w:val="00D16819"/>
    <w:rsid w:val="00D17740"/>
    <w:rsid w:val="00D20AC0"/>
    <w:rsid w:val="00D219B1"/>
    <w:rsid w:val="00D223E6"/>
    <w:rsid w:val="00D22871"/>
    <w:rsid w:val="00D2321B"/>
    <w:rsid w:val="00D23DE4"/>
    <w:rsid w:val="00D26873"/>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BE4"/>
    <w:rsid w:val="00D55B69"/>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4483"/>
    <w:rsid w:val="00DB626D"/>
    <w:rsid w:val="00DB6365"/>
    <w:rsid w:val="00DB6F46"/>
    <w:rsid w:val="00DC01E0"/>
    <w:rsid w:val="00DC0BF1"/>
    <w:rsid w:val="00DC1499"/>
    <w:rsid w:val="00DC41C3"/>
    <w:rsid w:val="00DD26EB"/>
    <w:rsid w:val="00DD3593"/>
    <w:rsid w:val="00DD3A62"/>
    <w:rsid w:val="00DD5BB9"/>
    <w:rsid w:val="00DE0C67"/>
    <w:rsid w:val="00DE55DF"/>
    <w:rsid w:val="00DE6952"/>
    <w:rsid w:val="00DE7E74"/>
    <w:rsid w:val="00DF6EF8"/>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623B"/>
    <w:rsid w:val="00E9037F"/>
    <w:rsid w:val="00E9366D"/>
    <w:rsid w:val="00E97885"/>
    <w:rsid w:val="00EA1177"/>
    <w:rsid w:val="00EA118B"/>
    <w:rsid w:val="00EA11B6"/>
    <w:rsid w:val="00EA2181"/>
    <w:rsid w:val="00EA2DD8"/>
    <w:rsid w:val="00EA4475"/>
    <w:rsid w:val="00EA5BA3"/>
    <w:rsid w:val="00EA681F"/>
    <w:rsid w:val="00EB138E"/>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11A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4794"/>
    <w:rsid w:val="00F97740"/>
    <w:rsid w:val="00FA2F7B"/>
    <w:rsid w:val="00FB09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3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12D0B"/>
    <w:pPr>
      <w:autoSpaceDE w:val="0"/>
      <w:autoSpaceDN w:val="0"/>
      <w:adjustRightInd w:val="0"/>
    </w:pPr>
    <w:rPr>
      <w:rFonts w:ascii="Times New Roman" w:hAnsi="Times New Roman"/>
      <w:color w:val="000000"/>
      <w:sz w:val="24"/>
      <w:szCs w:val="24"/>
    </w:rPr>
  </w:style>
  <w:style w:type="character" w:customStyle="1" w:styleId="HeaderChar">
    <w:name w:val="Header Char"/>
    <w:basedOn w:val="DefaultParagraphFont"/>
    <w:link w:val="Header"/>
    <w:uiPriority w:val="99"/>
    <w:rsid w:val="0076218B"/>
    <w:rPr>
      <w:color w:val="008080"/>
      <w:sz w:val="24"/>
    </w:rPr>
  </w:style>
</w:styles>
</file>

<file path=word/webSettings.xml><?xml version="1.0" encoding="utf-8"?>
<w:webSettings xmlns:r="http://schemas.openxmlformats.org/officeDocument/2006/relationships" xmlns:w="http://schemas.openxmlformats.org/wordprocessingml/2006/main">
  <w:divs>
    <w:div w:id="4129512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1BC1-2195-451D-BE22-D63011B2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2012-04-17T18:33:00Z</cp:lastPrinted>
  <dcterms:created xsi:type="dcterms:W3CDTF">2012-05-22T15:10:00Z</dcterms:created>
  <dcterms:modified xsi:type="dcterms:W3CDTF">2012-05-22T15:10:00Z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