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B492C" w:rsidRDefault="00F629C0" w:rsidP="00BF0E94">
      <w:pPr>
        <w:tabs>
          <w:tab w:val="left" w:pos="288"/>
          <w:tab w:val="left" w:pos="4752"/>
          <w:tab w:val="left" w:pos="5130"/>
          <w:tab w:val="left" w:pos="9270"/>
        </w:tabs>
        <w:jc w:val="both"/>
        <w:rPr>
          <w:caps/>
          <w:color w:val="auto"/>
        </w:rPr>
      </w:pPr>
      <w:r w:rsidRPr="00FB492C">
        <w:rPr>
          <w:caps/>
          <w:color w:val="000000" w:themeColor="text1"/>
        </w:rPr>
        <w:t xml:space="preserve">NAME:  </w:t>
      </w:r>
      <w:r w:rsidR="004225A3">
        <w:rPr>
          <w:caps/>
          <w:color w:val="000000" w:themeColor="text1"/>
        </w:rPr>
        <w:t>XXXXXXXXXXXX</w:t>
      </w:r>
      <w:r w:rsidR="00832216" w:rsidRPr="00FB492C">
        <w:rPr>
          <w:caps/>
          <w:color w:val="000000" w:themeColor="text1"/>
        </w:rPr>
        <w:t xml:space="preserve">                                          </w:t>
      </w:r>
      <w:r w:rsidR="001C4CAC">
        <w:rPr>
          <w:caps/>
          <w:color w:val="000000" w:themeColor="text1"/>
        </w:rPr>
        <w:t xml:space="preserve"> </w:t>
      </w:r>
      <w:r w:rsidRPr="00FB492C">
        <w:rPr>
          <w:caps/>
          <w:color w:val="000000" w:themeColor="text1"/>
        </w:rPr>
        <w:t xml:space="preserve">BRANCH OF SERVICE: </w:t>
      </w:r>
      <w:r w:rsidR="004C24C5" w:rsidRPr="00FB492C">
        <w:rPr>
          <w:caps/>
          <w:color w:val="000000" w:themeColor="text1"/>
        </w:rPr>
        <w:t xml:space="preserve"> </w:t>
      </w:r>
      <w:r w:rsidR="00332DE3" w:rsidRPr="00FB492C">
        <w:rPr>
          <w:caps/>
          <w:color w:val="000000" w:themeColor="text1"/>
        </w:rPr>
        <w:t>Army</w:t>
      </w:r>
    </w:p>
    <w:p w:rsidR="00DE3AAD" w:rsidRPr="00FB492C" w:rsidRDefault="00012733" w:rsidP="0068098E">
      <w:pPr>
        <w:tabs>
          <w:tab w:val="left" w:pos="288"/>
          <w:tab w:val="left" w:pos="4166"/>
          <w:tab w:val="left" w:pos="4752"/>
          <w:tab w:val="left" w:pos="5130"/>
          <w:tab w:val="left" w:pos="9270"/>
        </w:tabs>
        <w:jc w:val="both"/>
        <w:rPr>
          <w:caps/>
          <w:color w:val="000000" w:themeColor="text1"/>
        </w:rPr>
      </w:pPr>
      <w:r w:rsidRPr="00FB492C">
        <w:rPr>
          <w:caps/>
          <w:color w:val="000000" w:themeColor="text1"/>
        </w:rPr>
        <w:t>C</w:t>
      </w:r>
      <w:r w:rsidR="00DE3AAD" w:rsidRPr="00FB492C">
        <w:rPr>
          <w:caps/>
          <w:color w:val="000000" w:themeColor="text1"/>
        </w:rPr>
        <w:t>ASE NUMBER:  PD</w:t>
      </w:r>
      <w:r w:rsidR="008F58E1" w:rsidRPr="00FB492C">
        <w:rPr>
          <w:caps/>
          <w:color w:val="000000" w:themeColor="text1"/>
        </w:rPr>
        <w:t>11</w:t>
      </w:r>
      <w:r w:rsidR="00DE3AAD" w:rsidRPr="00FB492C">
        <w:rPr>
          <w:caps/>
          <w:color w:val="000000" w:themeColor="text1"/>
        </w:rPr>
        <w:t>00</w:t>
      </w:r>
      <w:r w:rsidR="007A5A1B" w:rsidRPr="00FB492C">
        <w:rPr>
          <w:caps/>
          <w:color w:val="000000" w:themeColor="text1"/>
        </w:rPr>
        <w:t>903</w:t>
      </w:r>
      <w:r w:rsidR="00EF6BEF" w:rsidRPr="00FB492C">
        <w:rPr>
          <w:caps/>
          <w:color w:val="000000" w:themeColor="text1"/>
        </w:rPr>
        <w:tab/>
      </w:r>
      <w:r w:rsidR="00832216" w:rsidRPr="00FB492C">
        <w:rPr>
          <w:caps/>
          <w:color w:val="000000" w:themeColor="text1"/>
        </w:rPr>
        <w:t xml:space="preserve">        </w:t>
      </w:r>
      <w:r w:rsidR="0051074D" w:rsidRPr="00FB492C">
        <w:rPr>
          <w:rFonts w:cs="Times New Roman"/>
          <w:color w:val="000000" w:themeColor="text1"/>
          <w:szCs w:val="24"/>
        </w:rPr>
        <w:t xml:space="preserve">DATE OF PLACEMENT ON TDRL:  </w:t>
      </w:r>
      <w:r w:rsidR="00126CA4" w:rsidRPr="00FB492C">
        <w:rPr>
          <w:color w:val="000000" w:themeColor="text1"/>
        </w:rPr>
        <w:t>19981209</w:t>
      </w:r>
    </w:p>
    <w:p w:rsidR="003B2143" w:rsidRPr="00FB492C" w:rsidRDefault="004F3639" w:rsidP="00BF0E94">
      <w:pPr>
        <w:tabs>
          <w:tab w:val="left" w:pos="288"/>
          <w:tab w:val="left" w:pos="5130"/>
        </w:tabs>
        <w:jc w:val="both"/>
        <w:rPr>
          <w:color w:val="auto"/>
        </w:rPr>
      </w:pPr>
      <w:r w:rsidRPr="00FB492C">
        <w:rPr>
          <w:caps/>
          <w:color w:val="000000" w:themeColor="text1"/>
        </w:rPr>
        <w:t>BOARD DATE:  201</w:t>
      </w:r>
      <w:r w:rsidR="00EF6BEF" w:rsidRPr="00FB492C">
        <w:rPr>
          <w:caps/>
          <w:color w:val="000000" w:themeColor="text1"/>
        </w:rPr>
        <w:t>2</w:t>
      </w:r>
      <w:r w:rsidR="000D5346" w:rsidRPr="00FB492C">
        <w:rPr>
          <w:caps/>
          <w:color w:val="000000" w:themeColor="text1"/>
        </w:rPr>
        <w:t>0620</w:t>
      </w:r>
      <w:r w:rsidR="00832216" w:rsidRPr="00FB492C">
        <w:rPr>
          <w:caps/>
          <w:color w:val="000000" w:themeColor="text1"/>
        </w:rPr>
        <w:t xml:space="preserve">                                        </w:t>
      </w:r>
      <w:r w:rsidR="0051074D" w:rsidRPr="00FB492C">
        <w:rPr>
          <w:rFonts w:cs="Times New Roman"/>
          <w:caps/>
          <w:color w:val="000000" w:themeColor="text1"/>
          <w:szCs w:val="24"/>
        </w:rPr>
        <w:t xml:space="preserve">Date of Permanent </w:t>
      </w:r>
      <w:r w:rsidR="0051074D" w:rsidRPr="00FB492C">
        <w:rPr>
          <w:rFonts w:cs="Times New Roman"/>
          <w:color w:val="000000" w:themeColor="text1"/>
          <w:szCs w:val="24"/>
        </w:rPr>
        <w:t xml:space="preserve">SEPARATION:  </w:t>
      </w:r>
      <w:r w:rsidR="0051074D" w:rsidRPr="00FB492C">
        <w:rPr>
          <w:color w:val="000000" w:themeColor="text1"/>
        </w:rPr>
        <w:t>200</w:t>
      </w:r>
      <w:r w:rsidR="00126CA4" w:rsidRPr="00FB492C">
        <w:rPr>
          <w:color w:val="000000" w:themeColor="text1"/>
        </w:rPr>
        <w:t>21007</w:t>
      </w:r>
    </w:p>
    <w:p w:rsidR="00EF6BEF" w:rsidRPr="001F29F9" w:rsidRDefault="00EF6BEF" w:rsidP="00EF6BEF">
      <w:pPr>
        <w:pBdr>
          <w:bottom w:val="single" w:sz="12" w:space="1" w:color="auto"/>
        </w:pBdr>
        <w:tabs>
          <w:tab w:val="left" w:pos="288"/>
          <w:tab w:val="left" w:pos="4752"/>
        </w:tabs>
        <w:jc w:val="both"/>
        <w:rPr>
          <w:color w:val="000000" w:themeColor="text1"/>
        </w:rPr>
      </w:pPr>
    </w:p>
    <w:p w:rsidR="00AA4976" w:rsidRPr="001F29F9" w:rsidRDefault="00AA497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54A0B">
        <w:rPr>
          <w:color w:val="000000" w:themeColor="text1"/>
          <w:szCs w:val="24"/>
        </w:rPr>
        <w:t>O-2/1LT</w:t>
      </w:r>
      <w:r w:rsidR="00705C40" w:rsidRPr="001F29F9">
        <w:rPr>
          <w:color w:val="000000" w:themeColor="text1"/>
          <w:szCs w:val="24"/>
        </w:rPr>
        <w:t xml:space="preserve"> (</w:t>
      </w:r>
      <w:r w:rsidR="00654A0B">
        <w:rPr>
          <w:color w:val="000000" w:themeColor="text1"/>
          <w:szCs w:val="24"/>
        </w:rPr>
        <w:t>11A</w:t>
      </w:r>
      <w:r w:rsidR="0051074D">
        <w:rPr>
          <w:color w:val="000000" w:themeColor="text1"/>
          <w:szCs w:val="24"/>
        </w:rPr>
        <w:t>/</w:t>
      </w:r>
      <w:r w:rsidR="00654A0B">
        <w:rPr>
          <w:color w:val="000000" w:themeColor="text1"/>
          <w:szCs w:val="24"/>
        </w:rPr>
        <w:t>Infantry Officer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medically separated for</w:t>
      </w:r>
      <w:r w:rsidR="00654A0B">
        <w:rPr>
          <w:color w:val="000000" w:themeColor="text1"/>
          <w:szCs w:val="24"/>
        </w:rPr>
        <w:t xml:space="preserve"> </w:t>
      </w:r>
      <w:r w:rsidR="00AA4976">
        <w:rPr>
          <w:color w:val="000000" w:themeColor="text1"/>
          <w:szCs w:val="24"/>
        </w:rPr>
        <w:t>a mental health condition</w:t>
      </w:r>
      <w:r w:rsidR="00C75F3D" w:rsidRPr="001F29F9">
        <w:rPr>
          <w:i/>
          <w:color w:val="000000" w:themeColor="text1"/>
          <w:szCs w:val="24"/>
        </w:rPr>
        <w:t>.</w:t>
      </w:r>
      <w:r w:rsidR="00561B98">
        <w:rPr>
          <w:color w:val="000000" w:themeColor="text1"/>
          <w:szCs w:val="24"/>
        </w:rPr>
        <w:t xml:space="preserve">  </w:t>
      </w:r>
      <w:r w:rsidR="00643C8F" w:rsidRPr="001F29F9">
        <w:rPr>
          <w:color w:val="000000" w:themeColor="text1"/>
          <w:szCs w:val="24"/>
        </w:rPr>
        <w:t xml:space="preserve">He </w:t>
      </w:r>
      <w:r w:rsidR="00AA4976">
        <w:rPr>
          <w:color w:val="000000" w:themeColor="text1"/>
          <w:szCs w:val="24"/>
        </w:rPr>
        <w:t>responded</w:t>
      </w:r>
      <w:r w:rsidR="00643C8F" w:rsidRPr="001F29F9">
        <w:rPr>
          <w:color w:val="000000" w:themeColor="text1"/>
          <w:szCs w:val="24"/>
        </w:rPr>
        <w:t xml:space="preserve"> to </w:t>
      </w:r>
      <w:r w:rsidR="00AA4976">
        <w:rPr>
          <w:color w:val="000000" w:themeColor="text1"/>
          <w:szCs w:val="24"/>
        </w:rPr>
        <w:t xml:space="preserve">inpatient and outpatient </w:t>
      </w:r>
      <w:r w:rsidR="00643C8F" w:rsidRPr="001F29F9">
        <w:rPr>
          <w:color w:val="000000" w:themeColor="text1"/>
          <w:szCs w:val="24"/>
        </w:rPr>
        <w:t xml:space="preserve">treatment </w:t>
      </w:r>
      <w:r w:rsidR="00AA4976">
        <w:rPr>
          <w:color w:val="000000" w:themeColor="text1"/>
          <w:szCs w:val="24"/>
        </w:rPr>
        <w:t>but</w:t>
      </w:r>
      <w:r w:rsidR="00643C8F" w:rsidRPr="001F29F9">
        <w:rPr>
          <w:color w:val="000000" w:themeColor="text1"/>
          <w:szCs w:val="24"/>
        </w:rPr>
        <w:t xml:space="preserve"> was unable to perform within his </w:t>
      </w:r>
      <w:r w:rsidR="00561B98">
        <w:rPr>
          <w:color w:val="000000" w:themeColor="text1"/>
          <w:szCs w:val="24"/>
        </w:rPr>
        <w:t xml:space="preserve">Military Occupational </w:t>
      </w:r>
      <w:r w:rsidR="00241601">
        <w:rPr>
          <w:color w:val="000000" w:themeColor="text1"/>
          <w:szCs w:val="24"/>
        </w:rPr>
        <w:t>Specialty</w:t>
      </w:r>
      <w:r w:rsidR="00561B98">
        <w:rPr>
          <w:color w:val="000000" w:themeColor="text1"/>
          <w:szCs w:val="24"/>
        </w:rPr>
        <w:t xml:space="preserve"> (MOS</w:t>
      </w:r>
      <w:r w:rsidR="003D1E25">
        <w:rPr>
          <w:color w:val="000000" w:themeColor="text1"/>
          <w:szCs w:val="24"/>
        </w:rPr>
        <w:t>)</w:t>
      </w:r>
      <w:r w:rsidR="00643C8F" w:rsidRPr="003D1E25">
        <w:rPr>
          <w:color w:val="000000" w:themeColor="text1"/>
          <w:szCs w:val="24"/>
        </w:rPr>
        <w:t xml:space="preserve"> </w:t>
      </w:r>
      <w:r w:rsidR="00643C8F" w:rsidRPr="001F29F9">
        <w:rPr>
          <w:color w:val="000000" w:themeColor="text1"/>
          <w:szCs w:val="24"/>
        </w:rPr>
        <w:t xml:space="preserve">or meet </w:t>
      </w:r>
      <w:r w:rsidR="00AA4976">
        <w:rPr>
          <w:color w:val="000000" w:themeColor="text1"/>
          <w:szCs w:val="24"/>
        </w:rPr>
        <w:t>worldwide deployment</w:t>
      </w:r>
      <w:r w:rsidR="00643C8F" w:rsidRPr="001F29F9">
        <w:rPr>
          <w:color w:val="000000" w:themeColor="text1"/>
          <w:szCs w:val="24"/>
        </w:rPr>
        <w:t xml:space="preserve"> standards.  He was issued a </w:t>
      </w:r>
      <w:r w:rsidR="00643C8F" w:rsidRPr="003D1E25">
        <w:rPr>
          <w:color w:val="000000" w:themeColor="text1"/>
          <w:szCs w:val="24"/>
        </w:rPr>
        <w:t>permanent S</w:t>
      </w:r>
      <w:r w:rsidR="003D1E25" w:rsidRPr="003D1E25">
        <w:rPr>
          <w:color w:val="000000" w:themeColor="text1"/>
          <w:szCs w:val="24"/>
        </w:rPr>
        <w:t>3</w:t>
      </w:r>
      <w:r w:rsidR="00643C8F" w:rsidRPr="003D1E25">
        <w:rPr>
          <w:color w:val="000000" w:themeColor="text1"/>
          <w:szCs w:val="24"/>
        </w:rPr>
        <w:t xml:space="preserve"> profile </w:t>
      </w:r>
      <w:r w:rsidR="00643C8F" w:rsidRPr="001F29F9">
        <w:rPr>
          <w:color w:val="000000" w:themeColor="text1"/>
          <w:szCs w:val="24"/>
        </w:rPr>
        <w:t>and underwent a Medical Evaluation Board (MEB).</w:t>
      </w:r>
      <w:r w:rsidR="00561B98">
        <w:rPr>
          <w:color w:val="000000" w:themeColor="text1"/>
          <w:szCs w:val="24"/>
        </w:rPr>
        <w:t xml:space="preserve">  </w:t>
      </w:r>
      <w:r w:rsidR="003D1E25">
        <w:rPr>
          <w:color w:val="000000" w:themeColor="text1"/>
          <w:szCs w:val="24"/>
        </w:rPr>
        <w:t xml:space="preserve">Bipolar II </w:t>
      </w:r>
      <w:r w:rsidR="001C4CAC">
        <w:rPr>
          <w:color w:val="000000" w:themeColor="text1"/>
          <w:szCs w:val="24"/>
        </w:rPr>
        <w:t>d</w:t>
      </w:r>
      <w:r w:rsidR="003D1E25">
        <w:rPr>
          <w:color w:val="000000" w:themeColor="text1"/>
          <w:szCs w:val="24"/>
        </w:rPr>
        <w:t>isorder was</w:t>
      </w:r>
      <w:r w:rsidR="000A33C8" w:rsidRPr="001F29F9">
        <w:rPr>
          <w:color w:val="000000" w:themeColor="text1"/>
          <w:szCs w:val="24"/>
        </w:rPr>
        <w:t xml:space="preserve"> forwarded to the Physical Evaluation Board (PEB) as medically unacceptable IAW </w:t>
      </w:r>
      <w:r w:rsidR="000A33C8" w:rsidRPr="003D1E25">
        <w:rPr>
          <w:color w:val="000000" w:themeColor="text1"/>
          <w:szCs w:val="24"/>
        </w:rPr>
        <w:t>AR 40-501</w:t>
      </w:r>
      <w:r w:rsidR="00376E08" w:rsidRPr="001F29F9">
        <w:rPr>
          <w:color w:val="000000" w:themeColor="text1"/>
          <w:szCs w:val="24"/>
        </w:rPr>
        <w:t>.</w:t>
      </w:r>
      <w:r w:rsidR="007C66EB">
        <w:rPr>
          <w:color w:val="000000" w:themeColor="text1"/>
          <w:szCs w:val="24"/>
        </w:rPr>
        <w:t xml:space="preserve">  Two ot</w:t>
      </w:r>
      <w:r w:rsidR="001A5E62" w:rsidRPr="007C66EB">
        <w:rPr>
          <w:color w:val="000000" w:themeColor="text1"/>
          <w:szCs w:val="24"/>
        </w:rPr>
        <w:t>her conditions</w:t>
      </w:r>
      <w:r w:rsidR="007C66EB">
        <w:rPr>
          <w:color w:val="000000" w:themeColor="text1"/>
          <w:szCs w:val="24"/>
        </w:rPr>
        <w:t xml:space="preserve">, as identified in the rating chart below, were forwarded on the </w:t>
      </w:r>
      <w:r w:rsidR="001A5E62" w:rsidRPr="007C66EB">
        <w:rPr>
          <w:color w:val="000000" w:themeColor="text1"/>
          <w:szCs w:val="24"/>
        </w:rPr>
        <w:t>MEB submission</w:t>
      </w:r>
      <w:r w:rsidR="007C66EB">
        <w:rPr>
          <w:color w:val="000000" w:themeColor="text1"/>
          <w:szCs w:val="24"/>
        </w:rPr>
        <w:t xml:space="preserve"> as medically acceptable conditions</w:t>
      </w:r>
      <w:r w:rsidR="001A5E62" w:rsidRPr="001F29F9">
        <w:rPr>
          <w:color w:val="000000" w:themeColor="text1"/>
          <w:szCs w:val="24"/>
        </w:rPr>
        <w:t xml:space="preserve">.  </w:t>
      </w:r>
      <w:r w:rsidR="00842BAA" w:rsidRPr="001F29F9">
        <w:rPr>
          <w:color w:val="000000" w:themeColor="text1"/>
          <w:szCs w:val="24"/>
        </w:rPr>
        <w:t xml:space="preserve">The PEB adjudicated the </w:t>
      </w:r>
      <w:r w:rsidR="00AA4976">
        <w:rPr>
          <w:color w:val="000000" w:themeColor="text1"/>
          <w:szCs w:val="24"/>
        </w:rPr>
        <w:t>mental health</w:t>
      </w:r>
      <w:r w:rsidR="00842BAA" w:rsidRPr="003D1E25">
        <w:rPr>
          <w:color w:val="000000" w:themeColor="text1"/>
          <w:szCs w:val="24"/>
        </w:rPr>
        <w:t xml:space="preserve"> condition as unfitting, </w:t>
      </w:r>
      <w:r w:rsidR="00AA4976">
        <w:rPr>
          <w:color w:val="000000" w:themeColor="text1"/>
          <w:szCs w:val="24"/>
        </w:rPr>
        <w:t>recommended placement</w:t>
      </w:r>
      <w:r w:rsidR="00AA4976" w:rsidRPr="001F29F9">
        <w:rPr>
          <w:color w:val="000000" w:themeColor="text1"/>
          <w:szCs w:val="24"/>
        </w:rPr>
        <w:t xml:space="preserve"> on Temporary Disability Retired List (TDRL</w:t>
      </w:r>
      <w:r w:rsidR="00AA4976">
        <w:rPr>
          <w:color w:val="000000" w:themeColor="text1"/>
          <w:szCs w:val="24"/>
        </w:rPr>
        <w:t>)</w:t>
      </w:r>
      <w:r w:rsidR="00AA4976" w:rsidRPr="003D1E25">
        <w:rPr>
          <w:color w:val="000000" w:themeColor="text1"/>
          <w:szCs w:val="24"/>
        </w:rPr>
        <w:t xml:space="preserve"> </w:t>
      </w:r>
      <w:r w:rsidR="00AA4976">
        <w:rPr>
          <w:color w:val="000000" w:themeColor="text1"/>
          <w:szCs w:val="24"/>
        </w:rPr>
        <w:t>with an assigned rating of</w:t>
      </w:r>
      <w:r w:rsidR="00842BAA" w:rsidRPr="003D1E25">
        <w:rPr>
          <w:color w:val="000000" w:themeColor="text1"/>
          <w:szCs w:val="24"/>
        </w:rPr>
        <w:t xml:space="preserve"> </w:t>
      </w:r>
      <w:r w:rsidR="003D1E25" w:rsidRPr="003D1E25">
        <w:rPr>
          <w:color w:val="000000" w:themeColor="text1"/>
          <w:szCs w:val="24"/>
        </w:rPr>
        <w:t>30</w:t>
      </w:r>
      <w:r w:rsidR="00842BAA" w:rsidRPr="003D1E25">
        <w:rPr>
          <w:color w:val="000000" w:themeColor="text1"/>
          <w:szCs w:val="24"/>
        </w:rPr>
        <w:t xml:space="preserve">%; </w:t>
      </w:r>
      <w:r w:rsidR="00AA4976">
        <w:rPr>
          <w:color w:val="000000" w:themeColor="text1"/>
          <w:szCs w:val="24"/>
        </w:rPr>
        <w:t>and the remaining conditions as not unfitting</w:t>
      </w:r>
      <w:r w:rsidR="00A83E39" w:rsidRPr="00A83E39">
        <w:rPr>
          <w:color w:val="000000" w:themeColor="text1"/>
          <w:szCs w:val="24"/>
        </w:rPr>
        <w:t xml:space="preserve"> </w:t>
      </w:r>
      <w:r w:rsidR="004D213E" w:rsidRPr="003D1E25">
        <w:rPr>
          <w:color w:val="000000" w:themeColor="text1"/>
          <w:szCs w:val="24"/>
        </w:rPr>
        <w:t>with application of DoDI 1332.39</w:t>
      </w:r>
      <w:r w:rsidR="004D213E">
        <w:rPr>
          <w:color w:val="000000" w:themeColor="text1"/>
          <w:szCs w:val="24"/>
        </w:rPr>
        <w:t xml:space="preserve"> </w:t>
      </w:r>
      <w:r w:rsidR="00A83E39" w:rsidRPr="001F29F9">
        <w:rPr>
          <w:color w:val="000000" w:themeColor="text1"/>
          <w:szCs w:val="24"/>
        </w:rPr>
        <w:t>as reflected in the chart below</w:t>
      </w:r>
      <w:r w:rsidR="004D213E">
        <w:rPr>
          <w:color w:val="000000" w:themeColor="text1"/>
          <w:szCs w:val="24"/>
        </w:rPr>
        <w:t>.</w:t>
      </w:r>
      <w:r w:rsidR="00A83E39">
        <w:rPr>
          <w:color w:val="000000" w:themeColor="text1"/>
          <w:szCs w:val="24"/>
        </w:rPr>
        <w:t xml:space="preserve"> </w:t>
      </w:r>
      <w:r w:rsidR="004D213E">
        <w:rPr>
          <w:color w:val="000000" w:themeColor="text1"/>
          <w:szCs w:val="24"/>
        </w:rPr>
        <w:t xml:space="preserve"> </w:t>
      </w:r>
      <w:r w:rsidR="00AA4976">
        <w:rPr>
          <w:color w:val="000000" w:themeColor="text1"/>
          <w:szCs w:val="24"/>
        </w:rPr>
        <w:t xml:space="preserve">The </w:t>
      </w:r>
      <w:r w:rsidR="00AD7F8F" w:rsidRPr="001F29F9">
        <w:rPr>
          <w:color w:val="000000" w:themeColor="text1"/>
          <w:szCs w:val="24"/>
        </w:rPr>
        <w:t xml:space="preserve">CI </w:t>
      </w:r>
      <w:r w:rsidR="00AA4976">
        <w:rPr>
          <w:color w:val="000000" w:themeColor="text1"/>
          <w:szCs w:val="24"/>
        </w:rPr>
        <w:t xml:space="preserve">remained on </w:t>
      </w:r>
      <w:r w:rsidR="009373FD">
        <w:rPr>
          <w:color w:val="000000" w:themeColor="text1"/>
          <w:szCs w:val="24"/>
        </w:rPr>
        <w:t xml:space="preserve">the </w:t>
      </w:r>
      <w:r w:rsidR="00AA4976">
        <w:rPr>
          <w:color w:val="000000" w:themeColor="text1"/>
          <w:szCs w:val="24"/>
        </w:rPr>
        <w:t>TDRL f</w:t>
      </w:r>
      <w:r w:rsidR="00A83E39">
        <w:rPr>
          <w:color w:val="000000" w:themeColor="text1"/>
          <w:szCs w:val="24"/>
        </w:rPr>
        <w:t>or approximately 4 years</w:t>
      </w:r>
      <w:r w:rsidR="000D5346">
        <w:rPr>
          <w:color w:val="000000" w:themeColor="text1"/>
          <w:szCs w:val="24"/>
        </w:rPr>
        <w:t xml:space="preserve"> then </w:t>
      </w:r>
      <w:r w:rsidR="00ED17F7">
        <w:rPr>
          <w:color w:val="000000" w:themeColor="text1"/>
          <w:szCs w:val="24"/>
        </w:rPr>
        <w:t xml:space="preserve">was </w:t>
      </w:r>
      <w:r w:rsidR="007C66EB">
        <w:rPr>
          <w:color w:val="000000" w:themeColor="text1"/>
        </w:rPr>
        <w:t xml:space="preserve">medically </w:t>
      </w:r>
      <w:r w:rsidR="00B20624" w:rsidRPr="001F29F9">
        <w:rPr>
          <w:color w:val="000000" w:themeColor="text1"/>
        </w:rPr>
        <w:t xml:space="preserve">separated with a </w:t>
      </w:r>
      <w:r w:rsidR="00303688">
        <w:rPr>
          <w:color w:val="000000" w:themeColor="text1"/>
        </w:rPr>
        <w:t>0</w:t>
      </w:r>
      <w:r w:rsidR="00B20624" w:rsidRPr="001F29F9">
        <w:rPr>
          <w:color w:val="000000" w:themeColor="text1"/>
        </w:rPr>
        <w:t>% disability rating</w:t>
      </w:r>
      <w:r w:rsidR="00A83E39" w:rsidRPr="00A83E39">
        <w:rPr>
          <w:color w:val="000000" w:themeColor="text1"/>
        </w:rPr>
        <w:t xml:space="preserve"> </w:t>
      </w:r>
      <w:r w:rsidR="00A83E39">
        <w:rPr>
          <w:color w:val="000000" w:themeColor="text1"/>
        </w:rPr>
        <w:t>and he</w:t>
      </w:r>
      <w:r w:rsidR="00A83E39" w:rsidRPr="001F29F9">
        <w:rPr>
          <w:color w:val="000000" w:themeColor="text1"/>
        </w:rPr>
        <w:t xml:space="preserve"> </w:t>
      </w:r>
      <w:r w:rsidR="00A83E39">
        <w:rPr>
          <w:color w:val="000000" w:themeColor="text1"/>
        </w:rPr>
        <w:t>made no appeals</w:t>
      </w:r>
      <w:r w:rsidR="00B20624" w:rsidRPr="001F29F9">
        <w:rPr>
          <w:color w:val="000000" w:themeColor="text1"/>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303688" w:rsidRDefault="002C6E5B" w:rsidP="004E72FA">
      <w:pPr>
        <w:autoSpaceDE w:val="0"/>
        <w:autoSpaceDN w:val="0"/>
        <w:adjustRightInd w:val="0"/>
        <w:jc w:val="both"/>
        <w:rPr>
          <w:rFonts w:asciiTheme="minorHAnsi" w:hAnsiTheme="minorHAnsi"/>
          <w:color w:val="000000" w:themeColor="text1"/>
          <w:szCs w:val="24"/>
        </w:rPr>
      </w:pPr>
      <w:r w:rsidRPr="001F29F9">
        <w:rPr>
          <w:color w:val="000000" w:themeColor="text1"/>
          <w:u w:val="single"/>
        </w:rPr>
        <w:t>CI CONTENTION</w:t>
      </w:r>
      <w:r w:rsidRPr="001F29F9">
        <w:rPr>
          <w:color w:val="000000" w:themeColor="text1"/>
        </w:rPr>
        <w:t>:</w:t>
      </w:r>
      <w:r w:rsidR="00303688">
        <w:rPr>
          <w:color w:val="000000" w:themeColor="text1"/>
        </w:rPr>
        <w:t xml:space="preserve">  “</w:t>
      </w:r>
      <w:r w:rsidR="00303688" w:rsidRPr="00303688">
        <w:rPr>
          <w:rFonts w:asciiTheme="minorHAnsi" w:hAnsiTheme="minorHAnsi"/>
          <w:color w:val="000000" w:themeColor="text1"/>
          <w:szCs w:val="24"/>
        </w:rPr>
        <w:t xml:space="preserve">At </w:t>
      </w:r>
      <w:r w:rsidR="00303688">
        <w:rPr>
          <w:rFonts w:asciiTheme="minorHAnsi" w:hAnsiTheme="minorHAnsi"/>
          <w:color w:val="000000" w:themeColor="text1"/>
          <w:szCs w:val="24"/>
        </w:rPr>
        <w:t>t</w:t>
      </w:r>
      <w:r w:rsidR="00303688" w:rsidRPr="00303688">
        <w:rPr>
          <w:rFonts w:asciiTheme="minorHAnsi" w:hAnsiTheme="minorHAnsi"/>
          <w:color w:val="000000" w:themeColor="text1"/>
          <w:szCs w:val="24"/>
        </w:rPr>
        <w:t xml:space="preserve">he time </w:t>
      </w:r>
      <w:r w:rsidR="00303688">
        <w:rPr>
          <w:rFonts w:asciiTheme="minorHAnsi" w:hAnsiTheme="minorHAnsi"/>
          <w:color w:val="000000" w:themeColor="text1"/>
          <w:szCs w:val="24"/>
        </w:rPr>
        <w:t>I</w:t>
      </w:r>
      <w:r w:rsidR="00303688" w:rsidRPr="00303688">
        <w:rPr>
          <w:rFonts w:asciiTheme="minorHAnsi" w:hAnsiTheme="minorHAnsi"/>
          <w:color w:val="000000" w:themeColor="text1"/>
          <w:szCs w:val="24"/>
        </w:rPr>
        <w:t xml:space="preserve"> was removed from TDRL in 2002, my bipolar condition had been treated with medication to keep me at a fun</w:t>
      </w:r>
      <w:r w:rsidR="00303688">
        <w:rPr>
          <w:rFonts w:asciiTheme="minorHAnsi" w:hAnsiTheme="minorHAnsi"/>
          <w:color w:val="000000" w:themeColor="text1"/>
          <w:szCs w:val="24"/>
        </w:rPr>
        <w:t>ct</w:t>
      </w:r>
      <w:r w:rsidR="00303688" w:rsidRPr="00303688">
        <w:rPr>
          <w:rFonts w:asciiTheme="minorHAnsi" w:hAnsiTheme="minorHAnsi"/>
          <w:color w:val="000000" w:themeColor="text1"/>
          <w:szCs w:val="24"/>
        </w:rPr>
        <w:t>ional</w:t>
      </w:r>
      <w:r w:rsidR="00303688">
        <w:rPr>
          <w:rFonts w:asciiTheme="minorHAnsi" w:hAnsiTheme="minorHAnsi"/>
          <w:color w:val="000000" w:themeColor="text1"/>
          <w:szCs w:val="24"/>
        </w:rPr>
        <w:t xml:space="preserve"> l</w:t>
      </w:r>
      <w:r w:rsidR="00303688" w:rsidRPr="00303688">
        <w:rPr>
          <w:rFonts w:asciiTheme="minorHAnsi" w:hAnsiTheme="minorHAnsi"/>
          <w:color w:val="000000" w:themeColor="text1"/>
          <w:szCs w:val="24"/>
        </w:rPr>
        <w:t>eve</w:t>
      </w:r>
      <w:r w:rsidR="00303688">
        <w:rPr>
          <w:rFonts w:asciiTheme="minorHAnsi" w:hAnsiTheme="minorHAnsi"/>
          <w:color w:val="000000" w:themeColor="text1"/>
          <w:szCs w:val="24"/>
        </w:rPr>
        <w:t xml:space="preserve">l. </w:t>
      </w:r>
      <w:r w:rsidR="00303688" w:rsidRPr="00303688">
        <w:rPr>
          <w:rFonts w:asciiTheme="minorHAnsi" w:hAnsiTheme="minorHAnsi"/>
          <w:color w:val="000000" w:themeColor="text1"/>
          <w:szCs w:val="24"/>
        </w:rPr>
        <w:t xml:space="preserve"> Howev</w:t>
      </w:r>
      <w:r w:rsidR="00303688">
        <w:rPr>
          <w:rFonts w:asciiTheme="minorHAnsi" w:hAnsiTheme="minorHAnsi"/>
          <w:color w:val="000000" w:themeColor="text1"/>
          <w:szCs w:val="24"/>
        </w:rPr>
        <w:t>e</w:t>
      </w:r>
      <w:r w:rsidR="00303688" w:rsidRPr="00303688">
        <w:rPr>
          <w:rFonts w:asciiTheme="minorHAnsi" w:hAnsiTheme="minorHAnsi"/>
          <w:color w:val="000000" w:themeColor="text1"/>
          <w:szCs w:val="24"/>
        </w:rPr>
        <w:t>r,</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when I was told that </w:t>
      </w:r>
      <w:r w:rsidR="00303688">
        <w:rPr>
          <w:rFonts w:asciiTheme="minorHAnsi" w:hAnsiTheme="minorHAnsi"/>
          <w:color w:val="000000" w:themeColor="text1"/>
          <w:szCs w:val="24"/>
        </w:rPr>
        <w:t>I</w:t>
      </w:r>
      <w:r w:rsidR="00303688" w:rsidRPr="00303688">
        <w:rPr>
          <w:rFonts w:asciiTheme="minorHAnsi" w:hAnsiTheme="minorHAnsi"/>
          <w:color w:val="000000" w:themeColor="text1"/>
          <w:szCs w:val="24"/>
        </w:rPr>
        <w:t xml:space="preserve"> was "stable" and wouldn't need medication or further treatment in 2002 by my Army doctor, </w:t>
      </w:r>
      <w:r w:rsidR="00303688">
        <w:rPr>
          <w:rFonts w:asciiTheme="minorHAnsi" w:hAnsiTheme="minorHAnsi"/>
          <w:color w:val="000000" w:themeColor="text1"/>
          <w:szCs w:val="24"/>
        </w:rPr>
        <w:t>I</w:t>
      </w:r>
      <w:r w:rsidR="00303688" w:rsidRPr="00303688">
        <w:rPr>
          <w:rFonts w:asciiTheme="minorHAnsi" w:hAnsiTheme="minorHAnsi"/>
          <w:color w:val="000000" w:themeColor="text1"/>
          <w:szCs w:val="24"/>
        </w:rPr>
        <w:t xml:space="preserve"> was glad to be off medicati</w:t>
      </w:r>
      <w:r w:rsidR="00303688">
        <w:rPr>
          <w:rFonts w:asciiTheme="minorHAnsi" w:hAnsiTheme="minorHAnsi"/>
          <w:color w:val="000000" w:themeColor="text1"/>
          <w:szCs w:val="24"/>
        </w:rPr>
        <w:t>o</w:t>
      </w:r>
      <w:r w:rsidR="00303688" w:rsidRPr="00303688">
        <w:rPr>
          <w:rFonts w:asciiTheme="minorHAnsi" w:hAnsiTheme="minorHAnsi"/>
          <w:color w:val="000000" w:themeColor="text1"/>
          <w:szCs w:val="24"/>
        </w:rPr>
        <w:t>n</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and wanted to get on with my life. </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Little did I know at the time that going off of medication and not taking this i</w:t>
      </w:r>
      <w:r w:rsidR="00303688">
        <w:rPr>
          <w:rFonts w:asciiTheme="minorHAnsi" w:hAnsiTheme="minorHAnsi"/>
          <w:color w:val="000000" w:themeColor="text1"/>
          <w:szCs w:val="24"/>
        </w:rPr>
        <w:t>llness</w:t>
      </w:r>
      <w:r w:rsidR="00303688" w:rsidRPr="00303688">
        <w:rPr>
          <w:rFonts w:asciiTheme="minorHAnsi" w:hAnsiTheme="minorHAnsi"/>
          <w:color w:val="000000" w:themeColor="text1"/>
          <w:szCs w:val="24"/>
        </w:rPr>
        <w:t xml:space="preserve"> seriously would</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lead to numerous relapses </w:t>
      </w:r>
      <w:r w:rsidR="00303688">
        <w:rPr>
          <w:rFonts w:asciiTheme="minorHAnsi" w:hAnsiTheme="minorHAnsi"/>
          <w:color w:val="000000" w:themeColor="text1"/>
          <w:szCs w:val="24"/>
        </w:rPr>
        <w:t>and</w:t>
      </w:r>
      <w:r w:rsidR="00303688" w:rsidRPr="00303688">
        <w:rPr>
          <w:rFonts w:asciiTheme="minorHAnsi" w:hAnsiTheme="minorHAnsi"/>
          <w:color w:val="000000" w:themeColor="text1"/>
          <w:szCs w:val="24"/>
        </w:rPr>
        <w:t xml:space="preserve"> hospitalization (all documented in my VA reco</w:t>
      </w:r>
      <w:r w:rsidR="00303688">
        <w:rPr>
          <w:rFonts w:asciiTheme="minorHAnsi" w:hAnsiTheme="minorHAnsi"/>
          <w:color w:val="000000" w:themeColor="text1"/>
          <w:szCs w:val="24"/>
        </w:rPr>
        <w:t>rds</w:t>
      </w:r>
      <w:r w:rsidR="00303688" w:rsidRPr="00303688">
        <w:rPr>
          <w:rFonts w:asciiTheme="minorHAnsi" w:hAnsiTheme="minorHAnsi"/>
          <w:color w:val="000000" w:themeColor="text1"/>
          <w:szCs w:val="24"/>
        </w:rPr>
        <w:t xml:space="preserve">). </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I have been divorced twice since leaving the service, had a</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serious manic episode, have been unable to hold down numerous jobs, been sui</w:t>
      </w:r>
      <w:r w:rsidR="00303688">
        <w:rPr>
          <w:rFonts w:asciiTheme="minorHAnsi" w:hAnsiTheme="minorHAnsi"/>
          <w:color w:val="000000" w:themeColor="text1"/>
          <w:szCs w:val="24"/>
        </w:rPr>
        <w:t>cidal</w:t>
      </w:r>
      <w:r w:rsidR="00303688" w:rsidRPr="00303688">
        <w:rPr>
          <w:rFonts w:asciiTheme="minorHAnsi" w:hAnsiTheme="minorHAnsi"/>
          <w:color w:val="000000" w:themeColor="text1"/>
          <w:szCs w:val="24"/>
        </w:rPr>
        <w:t xml:space="preserve">, and could not complete further education. </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Basically it was </w:t>
      </w:r>
      <w:r w:rsidR="00303688">
        <w:rPr>
          <w:rFonts w:asciiTheme="minorHAnsi" w:eastAsia="HiddenHorzOCR" w:hAnsiTheme="minorHAnsi"/>
          <w:color w:val="000000" w:themeColor="text1"/>
          <w:szCs w:val="24"/>
        </w:rPr>
        <w:t>all</w:t>
      </w:r>
      <w:r w:rsidR="008A5F57">
        <w:rPr>
          <w:rFonts w:asciiTheme="minorHAnsi" w:eastAsia="HiddenHorzOCR" w:hAnsiTheme="minorHAnsi"/>
          <w:color w:val="000000" w:themeColor="text1"/>
          <w:szCs w:val="24"/>
        </w:rPr>
        <w:t xml:space="preserve"> </w:t>
      </w:r>
      <w:r w:rsidR="00303688">
        <w:rPr>
          <w:rFonts w:asciiTheme="minorHAnsi" w:hAnsiTheme="minorHAnsi"/>
          <w:color w:val="000000" w:themeColor="text1"/>
          <w:szCs w:val="24"/>
        </w:rPr>
        <w:t>a</w:t>
      </w:r>
      <w:r w:rsidR="00303688" w:rsidRPr="00303688">
        <w:rPr>
          <w:rFonts w:asciiTheme="minorHAnsi" w:hAnsiTheme="minorHAnsi"/>
          <w:color w:val="000000" w:themeColor="text1"/>
          <w:szCs w:val="24"/>
        </w:rPr>
        <w:t xml:space="preserve"> repeat of what happened when I was on </w:t>
      </w:r>
      <w:r w:rsidR="00303688">
        <w:rPr>
          <w:rFonts w:asciiTheme="minorHAnsi" w:eastAsia="HiddenHorzOCR" w:hAnsiTheme="minorHAnsi"/>
          <w:color w:val="000000" w:themeColor="text1"/>
          <w:szCs w:val="24"/>
        </w:rPr>
        <w:t>act</w:t>
      </w:r>
      <w:r w:rsidR="00303688" w:rsidRPr="00303688">
        <w:rPr>
          <w:rFonts w:asciiTheme="minorHAnsi" w:eastAsia="HiddenHorzOCR" w:hAnsiTheme="minorHAnsi"/>
          <w:color w:val="000000" w:themeColor="text1"/>
          <w:szCs w:val="24"/>
        </w:rPr>
        <w:t xml:space="preserve">ive </w:t>
      </w:r>
      <w:r w:rsidR="00303688" w:rsidRPr="00303688">
        <w:rPr>
          <w:rFonts w:asciiTheme="minorHAnsi" w:hAnsiTheme="minorHAnsi"/>
          <w:color w:val="000000" w:themeColor="text1"/>
          <w:szCs w:val="24"/>
        </w:rPr>
        <w:t>duty (lost job and placed on TDRL, suicida</w:t>
      </w:r>
      <w:r w:rsidR="00303688">
        <w:rPr>
          <w:rFonts w:asciiTheme="minorHAnsi" w:hAnsiTheme="minorHAnsi"/>
          <w:color w:val="000000" w:themeColor="text1"/>
          <w:szCs w:val="24"/>
        </w:rPr>
        <w:t>l</w:t>
      </w:r>
      <w:r w:rsidR="00303688" w:rsidRPr="00303688">
        <w:rPr>
          <w:rFonts w:asciiTheme="minorHAnsi" w:hAnsiTheme="minorHAnsi"/>
          <w:color w:val="000000" w:themeColor="text1"/>
          <w:szCs w:val="24"/>
        </w:rPr>
        <w:t xml:space="preserve">, hospitalized, </w:t>
      </w:r>
      <w:r w:rsidR="00303688">
        <w:rPr>
          <w:rFonts w:asciiTheme="minorHAnsi" w:hAnsiTheme="minorHAnsi"/>
          <w:color w:val="000000" w:themeColor="text1"/>
          <w:szCs w:val="24"/>
        </w:rPr>
        <w:t>man</w:t>
      </w:r>
      <w:r w:rsidR="00303688" w:rsidRPr="00303688">
        <w:rPr>
          <w:rFonts w:asciiTheme="minorHAnsi" w:hAnsiTheme="minorHAnsi"/>
          <w:color w:val="000000" w:themeColor="text1"/>
          <w:szCs w:val="24"/>
        </w:rPr>
        <w:t>ic episodes, etc).</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 If it were not fo</w:t>
      </w:r>
      <w:r w:rsidR="00303688">
        <w:rPr>
          <w:rFonts w:asciiTheme="minorHAnsi" w:hAnsiTheme="minorHAnsi"/>
          <w:color w:val="000000" w:themeColor="text1"/>
          <w:szCs w:val="24"/>
        </w:rPr>
        <w:t xml:space="preserve">r </w:t>
      </w:r>
      <w:r w:rsidR="001C3547">
        <w:rPr>
          <w:rFonts w:asciiTheme="minorHAnsi" w:hAnsiTheme="minorHAnsi"/>
          <w:color w:val="000000" w:themeColor="text1"/>
          <w:szCs w:val="24"/>
        </w:rPr>
        <w:t>finally going to t</w:t>
      </w:r>
      <w:r w:rsidR="001C3547" w:rsidRPr="000D5346">
        <w:rPr>
          <w:rFonts w:asciiTheme="minorHAnsi" w:hAnsiTheme="minorHAnsi"/>
          <w:color w:val="000000" w:themeColor="text1"/>
          <w:szCs w:val="24"/>
        </w:rPr>
        <w:t>he V</w:t>
      </w:r>
      <w:r w:rsidR="00303688" w:rsidRPr="000D5346">
        <w:rPr>
          <w:rFonts w:asciiTheme="minorHAnsi" w:hAnsiTheme="minorHAnsi"/>
          <w:color w:val="000000" w:themeColor="text1"/>
          <w:szCs w:val="24"/>
        </w:rPr>
        <w:t xml:space="preserve">A again in 2008, I would not have had a place to go after my most serious relapse in 2007. </w:t>
      </w:r>
      <w:r w:rsidR="001C3547" w:rsidRPr="000D5346">
        <w:rPr>
          <w:rFonts w:asciiTheme="minorHAnsi" w:hAnsiTheme="minorHAnsi"/>
          <w:color w:val="000000" w:themeColor="text1"/>
          <w:szCs w:val="24"/>
        </w:rPr>
        <w:t xml:space="preserve"> </w:t>
      </w:r>
      <w:r w:rsidR="00303688" w:rsidRPr="000D5346">
        <w:rPr>
          <w:rFonts w:asciiTheme="minorHAnsi" w:hAnsiTheme="minorHAnsi"/>
          <w:color w:val="000000" w:themeColor="text1"/>
          <w:szCs w:val="24"/>
        </w:rPr>
        <w:t xml:space="preserve">I am rated at 30% with the VA for my service connected disability of bipolar disorder. </w:t>
      </w:r>
      <w:r w:rsidR="001C3547" w:rsidRPr="000D5346">
        <w:rPr>
          <w:rFonts w:asciiTheme="minorHAnsi" w:hAnsiTheme="minorHAnsi"/>
          <w:color w:val="000000" w:themeColor="text1"/>
          <w:szCs w:val="24"/>
        </w:rPr>
        <w:t xml:space="preserve"> </w:t>
      </w:r>
      <w:r w:rsidR="00303688" w:rsidRPr="000D5346">
        <w:rPr>
          <w:rFonts w:asciiTheme="minorHAnsi" w:hAnsiTheme="minorHAnsi"/>
          <w:color w:val="000000" w:themeColor="text1"/>
          <w:szCs w:val="24"/>
        </w:rPr>
        <w:t>I was rated at 10% in</w:t>
      </w:r>
      <w:r w:rsidR="00303688" w:rsidRPr="00303688">
        <w:rPr>
          <w:rFonts w:asciiTheme="minorHAnsi" w:hAnsiTheme="minorHAnsi"/>
          <w:color w:val="000000" w:themeColor="text1"/>
          <w:szCs w:val="24"/>
        </w:rPr>
        <w:t xml:space="preserve"> 2002 upon discharge.</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 I believe that according to the criteria of rating</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bipolar disorder, I should have been rated at far higher than 10% and it definitely would have helped to continue to receive the treatment I was</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getting through the army.</w:t>
      </w:r>
      <w:r w:rsidR="000E2E44">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 I do not believe that </w:t>
      </w:r>
      <w:r w:rsidR="00303688">
        <w:rPr>
          <w:rFonts w:asciiTheme="minorHAnsi" w:hAnsiTheme="minorHAnsi"/>
          <w:color w:val="000000" w:themeColor="text1"/>
          <w:szCs w:val="24"/>
        </w:rPr>
        <w:t>I</w:t>
      </w:r>
      <w:r w:rsidR="00303688" w:rsidRPr="00303688">
        <w:rPr>
          <w:rFonts w:asciiTheme="minorHAnsi" w:hAnsiTheme="minorHAnsi"/>
          <w:color w:val="000000" w:themeColor="text1"/>
          <w:szCs w:val="24"/>
        </w:rPr>
        <w:t xml:space="preserve"> received the proper acknowledgement from the A</w:t>
      </w:r>
      <w:r w:rsidR="00303688">
        <w:rPr>
          <w:rFonts w:asciiTheme="minorHAnsi" w:hAnsiTheme="minorHAnsi"/>
          <w:color w:val="000000" w:themeColor="text1"/>
          <w:szCs w:val="24"/>
        </w:rPr>
        <w:t>rm</w:t>
      </w:r>
      <w:r w:rsidR="00303688" w:rsidRPr="00303688">
        <w:rPr>
          <w:rFonts w:asciiTheme="minorHAnsi" w:hAnsiTheme="minorHAnsi"/>
          <w:color w:val="000000" w:themeColor="text1"/>
          <w:szCs w:val="24"/>
        </w:rPr>
        <w:t>y Medical Board process on the seriousness of</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my condition, although th</w:t>
      </w:r>
      <w:r w:rsidR="00303688">
        <w:rPr>
          <w:rFonts w:asciiTheme="minorHAnsi" w:hAnsiTheme="minorHAnsi"/>
          <w:color w:val="000000" w:themeColor="text1"/>
          <w:szCs w:val="24"/>
        </w:rPr>
        <w:t>e</w:t>
      </w:r>
      <w:r w:rsidR="00303688" w:rsidRPr="00303688">
        <w:rPr>
          <w:rFonts w:asciiTheme="minorHAnsi" w:hAnsiTheme="minorHAnsi"/>
          <w:color w:val="000000" w:themeColor="text1"/>
          <w:szCs w:val="24"/>
        </w:rPr>
        <w:t xml:space="preserve"> seriousness of it is well documented in my army and VA records. </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Since my first episode in 1998 while serving on</w:t>
      </w:r>
      <w:r w:rsidR="00303688">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active duty, the effect that this service connected disa</w:t>
      </w:r>
      <w:r w:rsidR="00303688">
        <w:rPr>
          <w:rFonts w:asciiTheme="minorHAnsi" w:hAnsiTheme="minorHAnsi"/>
          <w:color w:val="000000" w:themeColor="text1"/>
          <w:szCs w:val="24"/>
        </w:rPr>
        <w:t>b</w:t>
      </w:r>
      <w:r w:rsidR="00303688" w:rsidRPr="00303688">
        <w:rPr>
          <w:rFonts w:asciiTheme="minorHAnsi" w:hAnsiTheme="minorHAnsi"/>
          <w:color w:val="000000" w:themeColor="text1"/>
          <w:szCs w:val="24"/>
        </w:rPr>
        <w:t xml:space="preserve">ility has had on my life has been </w:t>
      </w:r>
      <w:r w:rsidR="00577DA1">
        <w:rPr>
          <w:rFonts w:asciiTheme="minorHAnsi" w:hAnsiTheme="minorHAnsi"/>
          <w:color w:val="000000" w:themeColor="text1"/>
          <w:szCs w:val="24"/>
        </w:rPr>
        <w:t>f</w:t>
      </w:r>
      <w:r w:rsidR="00303688" w:rsidRPr="00303688">
        <w:rPr>
          <w:rFonts w:asciiTheme="minorHAnsi" w:hAnsiTheme="minorHAnsi"/>
          <w:color w:val="000000" w:themeColor="text1"/>
          <w:szCs w:val="24"/>
        </w:rPr>
        <w:t>ar worse than what is d</w:t>
      </w:r>
      <w:r w:rsidR="00577DA1">
        <w:rPr>
          <w:rFonts w:asciiTheme="minorHAnsi" w:hAnsiTheme="minorHAnsi"/>
          <w:color w:val="000000" w:themeColor="text1"/>
          <w:szCs w:val="24"/>
        </w:rPr>
        <w:t>e</w:t>
      </w:r>
      <w:r w:rsidR="00303688" w:rsidRPr="00303688">
        <w:rPr>
          <w:rFonts w:asciiTheme="minorHAnsi" w:hAnsiTheme="minorHAnsi"/>
          <w:color w:val="000000" w:themeColor="text1"/>
          <w:szCs w:val="24"/>
        </w:rPr>
        <w:t>s</w:t>
      </w:r>
      <w:r w:rsidR="00577DA1">
        <w:rPr>
          <w:rFonts w:asciiTheme="minorHAnsi" w:hAnsiTheme="minorHAnsi"/>
          <w:color w:val="000000" w:themeColor="text1"/>
          <w:szCs w:val="24"/>
        </w:rPr>
        <w:t>c</w:t>
      </w:r>
      <w:r w:rsidR="00303688" w:rsidRPr="00303688">
        <w:rPr>
          <w:rFonts w:asciiTheme="minorHAnsi" w:hAnsiTheme="minorHAnsi"/>
          <w:color w:val="000000" w:themeColor="text1"/>
          <w:szCs w:val="24"/>
        </w:rPr>
        <w:t>ribed according to the 10%</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 xml:space="preserve">rating for bipolar disorder. </w:t>
      </w:r>
      <w:r w:rsidR="001C3547">
        <w:rPr>
          <w:rFonts w:asciiTheme="minorHAnsi" w:hAnsiTheme="minorHAnsi"/>
          <w:color w:val="000000" w:themeColor="text1"/>
          <w:szCs w:val="24"/>
        </w:rPr>
        <w:t xml:space="preserve"> </w:t>
      </w:r>
      <w:r w:rsidR="00303688" w:rsidRPr="00303688">
        <w:rPr>
          <w:rFonts w:asciiTheme="minorHAnsi" w:hAnsiTheme="minorHAnsi"/>
          <w:color w:val="000000" w:themeColor="text1"/>
          <w:szCs w:val="24"/>
        </w:rPr>
        <w:t>Thank you for your time and the opport</w:t>
      </w:r>
      <w:r w:rsidR="00577DA1">
        <w:rPr>
          <w:rFonts w:asciiTheme="minorHAnsi" w:hAnsiTheme="minorHAnsi"/>
          <w:color w:val="000000" w:themeColor="text1"/>
          <w:szCs w:val="24"/>
        </w:rPr>
        <w:t>unity</w:t>
      </w:r>
      <w:r w:rsidR="00303688" w:rsidRPr="00303688">
        <w:rPr>
          <w:rFonts w:asciiTheme="minorHAnsi" w:hAnsiTheme="minorHAnsi"/>
          <w:color w:val="000000" w:themeColor="text1"/>
          <w:szCs w:val="24"/>
        </w:rPr>
        <w:t xml:space="preserve"> </w:t>
      </w:r>
      <w:r w:rsidR="00577DA1">
        <w:rPr>
          <w:rFonts w:asciiTheme="minorHAnsi" w:hAnsiTheme="minorHAnsi"/>
          <w:color w:val="000000" w:themeColor="text1"/>
          <w:szCs w:val="24"/>
        </w:rPr>
        <w:t>tr</w:t>
      </w:r>
      <w:r w:rsidR="00303688" w:rsidRPr="00303688">
        <w:rPr>
          <w:rFonts w:asciiTheme="minorHAnsi" w:hAnsiTheme="minorHAnsi"/>
          <w:color w:val="000000" w:themeColor="text1"/>
          <w:szCs w:val="24"/>
        </w:rPr>
        <w:t xml:space="preserve">y </w:t>
      </w:r>
      <w:r w:rsidR="00577DA1">
        <w:rPr>
          <w:rFonts w:asciiTheme="minorHAnsi" w:hAnsiTheme="minorHAnsi"/>
          <w:color w:val="000000" w:themeColor="text1"/>
          <w:szCs w:val="24"/>
        </w:rPr>
        <w:t>to correct this discrepancy</w:t>
      </w:r>
      <w:r w:rsidR="004F7C89">
        <w:rPr>
          <w:rFonts w:asciiTheme="minorHAnsi" w:hAnsiTheme="minorHAnsi"/>
          <w:color w:val="000000" w:themeColor="text1"/>
          <w:szCs w:val="24"/>
        </w:rPr>
        <w:t>.</w:t>
      </w:r>
      <w:r w:rsidR="00577DA1">
        <w:rPr>
          <w:rFonts w:asciiTheme="minorHAnsi" w:hAnsiTheme="minorHAnsi"/>
          <w:color w:val="000000" w:themeColor="text1"/>
          <w:szCs w:val="24"/>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Default="004174F0" w:rsidP="00BF0E94">
      <w:pPr>
        <w:tabs>
          <w:tab w:val="left" w:pos="288"/>
          <w:tab w:val="left" w:pos="4752"/>
        </w:tabs>
        <w:jc w:val="both"/>
        <w:rPr>
          <w:color w:val="000000" w:themeColor="text1"/>
        </w:rPr>
      </w:pPr>
    </w:p>
    <w:p w:rsidR="001C4CAC" w:rsidRDefault="00A83E39" w:rsidP="001C4CAC">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622D5E">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1C4CAC">
        <w:rPr>
          <w:color w:val="auto"/>
        </w:rPr>
        <w:t>.</w:t>
      </w:r>
      <w:r w:rsidRPr="00C566C9">
        <w:rPr>
          <w:color w:val="auto"/>
        </w:rPr>
        <w:t>”</w:t>
      </w:r>
      <w:r>
        <w:rPr>
          <w:color w:val="auto"/>
        </w:rPr>
        <w:t xml:space="preserve">  </w:t>
      </w:r>
      <w:r w:rsidRPr="009239C0">
        <w:rPr>
          <w:color w:val="auto"/>
        </w:rPr>
        <w:t xml:space="preserve">The </w:t>
      </w:r>
      <w:r w:rsidRPr="004D213E">
        <w:rPr>
          <w:color w:val="auto"/>
        </w:rPr>
        <w:t>ratings for unfitting conditions will be reviewed in all cases.</w:t>
      </w:r>
      <w:r w:rsidR="004D213E" w:rsidRPr="004D213E">
        <w:rPr>
          <w:color w:val="auto"/>
        </w:rPr>
        <w:t xml:space="preserve"> </w:t>
      </w:r>
      <w:r w:rsidRPr="004D213E">
        <w:rPr>
          <w:rFonts w:cs="Calibri"/>
          <w:color w:val="auto"/>
        </w:rPr>
        <w:t xml:space="preserve"> </w:t>
      </w:r>
      <w:r w:rsidRPr="004D213E">
        <w:rPr>
          <w:color w:val="auto"/>
        </w:rPr>
        <w:t xml:space="preserve">Any conditions or contention not </w:t>
      </w:r>
      <w:r w:rsidRPr="004D213E">
        <w:rPr>
          <w:color w:val="auto"/>
        </w:rPr>
        <w:lastRenderedPageBreak/>
        <w:t>requested in this application, or otherwise outside the Board’s defined scope of review, remain eligible for future consideration by the Army Board for the</w:t>
      </w:r>
      <w:r w:rsidR="009373FD">
        <w:rPr>
          <w:color w:val="auto"/>
        </w:rPr>
        <w:t xml:space="preserve"> Correction of Military Records.</w:t>
      </w:r>
    </w:p>
    <w:p w:rsidR="009373FD" w:rsidRDefault="009373FD" w:rsidP="001C4CAC">
      <w:pPr>
        <w:jc w:val="both"/>
        <w:rPr>
          <w:color w:val="auto"/>
        </w:rPr>
      </w:pPr>
    </w:p>
    <w:p w:rsidR="0041604B" w:rsidRPr="001C4CAC" w:rsidRDefault="0041604B" w:rsidP="001C4CAC">
      <w:pPr>
        <w:jc w:val="both"/>
        <w:rPr>
          <w:color w:val="auto"/>
        </w:rPr>
      </w:pPr>
      <w:r w:rsidRPr="001F29F9">
        <w:rPr>
          <w:color w:val="000000" w:themeColor="text1"/>
          <w:szCs w:val="24"/>
          <w:u w:val="single"/>
        </w:rPr>
        <w:t>TDRL Rating Chart</w:t>
      </w:r>
    </w:p>
    <w:p w:rsidR="00E57703" w:rsidRPr="001F29F9" w:rsidRDefault="00E57703" w:rsidP="00832216">
      <w:pPr>
        <w:tabs>
          <w:tab w:val="left" w:pos="288"/>
          <w:tab w:val="left" w:pos="4752"/>
        </w:tabs>
        <w:rPr>
          <w:b/>
          <w:color w:val="000000" w:themeColor="text1"/>
          <w:sz w:val="18"/>
          <w:szCs w:val="18"/>
          <w:u w:val="single"/>
        </w:rPr>
      </w:pPr>
    </w:p>
    <w:tbl>
      <w:tblPr>
        <w:tblStyle w:val="TableGrid"/>
        <w:tblpPr w:leftFromText="187" w:rightFromText="187" w:vertAnchor="text" w:tblpXSpec="center" w:tblpY="1"/>
        <w:tblOverlap w:val="never"/>
        <w:tblW w:w="9504" w:type="dxa"/>
        <w:jc w:val="center"/>
        <w:tblLayout w:type="fixed"/>
        <w:tblLook w:val="04A0"/>
      </w:tblPr>
      <w:tblGrid>
        <w:gridCol w:w="1274"/>
        <w:gridCol w:w="756"/>
        <w:gridCol w:w="1349"/>
        <w:gridCol w:w="1529"/>
        <w:gridCol w:w="1491"/>
        <w:gridCol w:w="1263"/>
        <w:gridCol w:w="810"/>
        <w:gridCol w:w="1032"/>
      </w:tblGrid>
      <w:tr w:rsidR="00BF70A6" w:rsidRPr="001F29F9" w:rsidTr="00832216">
        <w:trPr>
          <w:trHeight w:val="233"/>
          <w:jc w:val="center"/>
        </w:trPr>
        <w:tc>
          <w:tcPr>
            <w:tcW w:w="4908" w:type="dxa"/>
            <w:gridSpan w:val="4"/>
            <w:tcBorders>
              <w:right w:val="thinThickThinSmallGap" w:sz="24" w:space="0" w:color="auto"/>
            </w:tcBorders>
            <w:shd w:val="clear" w:color="auto" w:fill="D9D9D9" w:themeFill="background1" w:themeFillShade="D9"/>
            <w:vAlign w:val="center"/>
          </w:tcPr>
          <w:p w:rsidR="00BF70A6"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Final Service PEB – Dated 200</w:t>
            </w:r>
            <w:r w:rsidR="00A314AE" w:rsidRPr="00FB492C">
              <w:rPr>
                <w:b/>
                <w:color w:val="000000" w:themeColor="text1"/>
                <w:sz w:val="18"/>
                <w:szCs w:val="18"/>
              </w:rPr>
              <w:t>20927</w:t>
            </w:r>
          </w:p>
        </w:tc>
        <w:tc>
          <w:tcPr>
            <w:tcW w:w="4596" w:type="dxa"/>
            <w:gridSpan w:val="4"/>
            <w:tcBorders>
              <w:left w:val="thinThickThinSmallGap" w:sz="24" w:space="0" w:color="auto"/>
            </w:tcBorders>
            <w:shd w:val="clear" w:color="auto" w:fill="D9D9D9" w:themeFill="background1" w:themeFillShade="D9"/>
            <w:vAlign w:val="center"/>
          </w:tcPr>
          <w:p w:rsidR="00BF70A6"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 xml:space="preserve">VA* – All Effective Date </w:t>
            </w:r>
            <w:r w:rsidR="00E25EDB" w:rsidRPr="00FB492C">
              <w:rPr>
                <w:b/>
                <w:color w:val="000000" w:themeColor="text1"/>
                <w:sz w:val="18"/>
                <w:szCs w:val="18"/>
              </w:rPr>
              <w:t>20011101 (~11 Mo. Pre Sep)</w:t>
            </w:r>
          </w:p>
        </w:tc>
      </w:tr>
      <w:tr w:rsidR="008902BE" w:rsidRPr="001F29F9" w:rsidTr="00832216">
        <w:trPr>
          <w:trHeight w:val="233"/>
          <w:jc w:val="center"/>
        </w:trPr>
        <w:tc>
          <w:tcPr>
            <w:tcW w:w="1274" w:type="dxa"/>
            <w:tcBorders>
              <w:bottom w:val="single" w:sz="4" w:space="0" w:color="000000" w:themeColor="text1"/>
            </w:tcBorders>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Condition</w:t>
            </w:r>
          </w:p>
        </w:tc>
        <w:tc>
          <w:tcPr>
            <w:tcW w:w="756" w:type="dxa"/>
            <w:tcBorders>
              <w:bottom w:val="single" w:sz="4" w:space="0" w:color="000000" w:themeColor="text1"/>
            </w:tcBorders>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Code</w:t>
            </w:r>
          </w:p>
        </w:tc>
        <w:tc>
          <w:tcPr>
            <w:tcW w:w="2878"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Rating</w:t>
            </w:r>
          </w:p>
        </w:tc>
        <w:tc>
          <w:tcPr>
            <w:tcW w:w="1491" w:type="dxa"/>
            <w:vMerge w:val="restart"/>
            <w:tcBorders>
              <w:left w:val="thinThickThinSmallGap" w:sz="24" w:space="0" w:color="auto"/>
            </w:tcBorders>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Condition</w:t>
            </w:r>
          </w:p>
        </w:tc>
        <w:tc>
          <w:tcPr>
            <w:tcW w:w="1263" w:type="dxa"/>
            <w:vMerge w:val="restart"/>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Code</w:t>
            </w:r>
          </w:p>
        </w:tc>
        <w:tc>
          <w:tcPr>
            <w:tcW w:w="810" w:type="dxa"/>
            <w:vMerge w:val="restart"/>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Rating</w:t>
            </w:r>
          </w:p>
        </w:tc>
        <w:tc>
          <w:tcPr>
            <w:tcW w:w="1032" w:type="dxa"/>
            <w:vMerge w:val="restart"/>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Exam</w:t>
            </w:r>
          </w:p>
        </w:tc>
      </w:tr>
      <w:tr w:rsidR="004D213E" w:rsidRPr="001F29F9" w:rsidTr="00832216">
        <w:trPr>
          <w:trHeight w:val="152"/>
          <w:jc w:val="center"/>
        </w:trPr>
        <w:tc>
          <w:tcPr>
            <w:tcW w:w="1274" w:type="dxa"/>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On TDRL – 200</w:t>
            </w:r>
            <w:r w:rsidR="00A314AE" w:rsidRPr="00FB492C">
              <w:rPr>
                <w:b/>
                <w:color w:val="000000" w:themeColor="text1"/>
                <w:sz w:val="18"/>
                <w:szCs w:val="18"/>
              </w:rPr>
              <w:t>20927</w:t>
            </w:r>
          </w:p>
        </w:tc>
        <w:tc>
          <w:tcPr>
            <w:tcW w:w="756" w:type="dxa"/>
            <w:shd w:val="clear" w:color="auto" w:fill="D9D9D9" w:themeFill="background1" w:themeFillShade="D9"/>
            <w:vAlign w:val="center"/>
          </w:tcPr>
          <w:p w:rsidR="008902BE" w:rsidRPr="00FB492C" w:rsidRDefault="008902BE" w:rsidP="00832216">
            <w:pPr>
              <w:contextualSpacing/>
              <w:rPr>
                <w:rFonts w:ascii="Calibri" w:hAnsi="Calibri" w:cstheme="minorHAnsi"/>
                <w:b/>
                <w:color w:val="000000" w:themeColor="text1"/>
                <w:sz w:val="18"/>
                <w:szCs w:val="18"/>
              </w:rPr>
            </w:pPr>
          </w:p>
        </w:tc>
        <w:tc>
          <w:tcPr>
            <w:tcW w:w="1349" w:type="dxa"/>
            <w:tcBorders>
              <w:right w:val="single" w:sz="4" w:space="0" w:color="auto"/>
            </w:tcBorders>
            <w:shd w:val="clear" w:color="auto" w:fill="D9D9D9" w:themeFill="background1" w:themeFillShade="D9"/>
            <w:vAlign w:val="center"/>
          </w:tcPr>
          <w:p w:rsidR="008902BE" w:rsidRPr="00FB492C" w:rsidRDefault="00A57C35" w:rsidP="00832216">
            <w:pPr>
              <w:contextualSpacing/>
              <w:rPr>
                <w:rFonts w:ascii="Calibri" w:hAnsi="Calibri" w:cstheme="minorHAnsi"/>
                <w:b/>
                <w:color w:val="000000" w:themeColor="text1"/>
                <w:sz w:val="18"/>
                <w:szCs w:val="18"/>
              </w:rPr>
            </w:pPr>
            <w:r w:rsidRPr="00FB492C">
              <w:rPr>
                <w:b/>
                <w:color w:val="000000" w:themeColor="text1"/>
                <w:sz w:val="18"/>
                <w:szCs w:val="18"/>
              </w:rPr>
              <w:t>TDRL</w:t>
            </w:r>
          </w:p>
        </w:tc>
        <w:tc>
          <w:tcPr>
            <w:tcW w:w="1529" w:type="dxa"/>
            <w:tcBorders>
              <w:left w:val="single" w:sz="4" w:space="0" w:color="auto"/>
              <w:right w:val="thinThickThinSmallGap" w:sz="24" w:space="0" w:color="auto"/>
            </w:tcBorders>
            <w:shd w:val="clear" w:color="auto" w:fill="D9D9D9" w:themeFill="background1" w:themeFillShade="D9"/>
            <w:vAlign w:val="center"/>
          </w:tcPr>
          <w:p w:rsidR="008902BE" w:rsidRPr="00FB492C" w:rsidRDefault="00A57C35" w:rsidP="00832216">
            <w:pPr>
              <w:tabs>
                <w:tab w:val="left" w:pos="206"/>
                <w:tab w:val="center" w:pos="387"/>
              </w:tabs>
              <w:contextualSpacing/>
              <w:rPr>
                <w:rFonts w:ascii="Calibri" w:hAnsi="Calibri" w:cstheme="minorHAnsi"/>
                <w:b/>
                <w:color w:val="000000" w:themeColor="text1"/>
                <w:sz w:val="18"/>
                <w:szCs w:val="18"/>
              </w:rPr>
            </w:pPr>
            <w:r w:rsidRPr="00FB492C">
              <w:rPr>
                <w:b/>
                <w:color w:val="000000" w:themeColor="text1"/>
                <w:sz w:val="18"/>
                <w:szCs w:val="18"/>
              </w:rPr>
              <w:t>Sep.</w:t>
            </w:r>
          </w:p>
        </w:tc>
        <w:tc>
          <w:tcPr>
            <w:tcW w:w="1491" w:type="dxa"/>
            <w:vMerge/>
            <w:tcBorders>
              <w:left w:val="thinThickThinSmallGap" w:sz="24" w:space="0" w:color="auto"/>
            </w:tcBorders>
            <w:shd w:val="clear" w:color="auto" w:fill="D9D9D9" w:themeFill="background1" w:themeFillShade="D9"/>
            <w:vAlign w:val="center"/>
          </w:tcPr>
          <w:p w:rsidR="008902BE" w:rsidRPr="00FB492C" w:rsidRDefault="008902BE" w:rsidP="00832216">
            <w:pPr>
              <w:contextualSpacing/>
              <w:rPr>
                <w:rFonts w:ascii="Calibri" w:hAnsi="Calibri" w:cstheme="minorHAnsi"/>
                <w:b/>
                <w:color w:val="000000" w:themeColor="text1"/>
                <w:sz w:val="18"/>
                <w:szCs w:val="18"/>
              </w:rPr>
            </w:pPr>
          </w:p>
        </w:tc>
        <w:tc>
          <w:tcPr>
            <w:tcW w:w="1263" w:type="dxa"/>
            <w:vMerge/>
            <w:shd w:val="clear" w:color="auto" w:fill="C6D9F1" w:themeFill="text2" w:themeFillTint="33"/>
          </w:tcPr>
          <w:p w:rsidR="008902BE" w:rsidRPr="00FB492C" w:rsidRDefault="008902BE" w:rsidP="00832216">
            <w:pPr>
              <w:contextualSpacing/>
              <w:rPr>
                <w:rFonts w:ascii="Calibri" w:hAnsi="Calibri" w:cstheme="minorHAnsi"/>
                <w:b/>
                <w:color w:val="000000" w:themeColor="text1"/>
                <w:sz w:val="18"/>
                <w:szCs w:val="18"/>
              </w:rPr>
            </w:pPr>
          </w:p>
        </w:tc>
        <w:tc>
          <w:tcPr>
            <w:tcW w:w="810" w:type="dxa"/>
            <w:vMerge/>
            <w:shd w:val="clear" w:color="auto" w:fill="C6D9F1" w:themeFill="text2" w:themeFillTint="33"/>
          </w:tcPr>
          <w:p w:rsidR="008902BE" w:rsidRPr="00FB492C" w:rsidRDefault="008902BE" w:rsidP="00832216">
            <w:pPr>
              <w:contextualSpacing/>
              <w:rPr>
                <w:rFonts w:ascii="Calibri" w:hAnsi="Calibri" w:cstheme="minorHAnsi"/>
                <w:b/>
                <w:color w:val="000000" w:themeColor="text1"/>
                <w:sz w:val="18"/>
                <w:szCs w:val="18"/>
              </w:rPr>
            </w:pPr>
          </w:p>
        </w:tc>
        <w:tc>
          <w:tcPr>
            <w:tcW w:w="1032" w:type="dxa"/>
            <w:vMerge/>
            <w:shd w:val="clear" w:color="auto" w:fill="C6D9F1" w:themeFill="text2" w:themeFillTint="33"/>
          </w:tcPr>
          <w:p w:rsidR="008902BE" w:rsidRPr="00FB492C" w:rsidRDefault="008902BE" w:rsidP="00832216">
            <w:pPr>
              <w:contextualSpacing/>
              <w:rPr>
                <w:rFonts w:ascii="Calibri" w:hAnsi="Calibri" w:cstheme="minorHAnsi"/>
                <w:b/>
                <w:color w:val="000000" w:themeColor="text1"/>
                <w:sz w:val="18"/>
                <w:szCs w:val="18"/>
              </w:rPr>
            </w:pPr>
          </w:p>
        </w:tc>
      </w:tr>
      <w:tr w:rsidR="00A83E39" w:rsidRPr="001F29F9" w:rsidTr="00832216">
        <w:trPr>
          <w:trHeight w:val="414"/>
          <w:jc w:val="center"/>
        </w:trPr>
        <w:tc>
          <w:tcPr>
            <w:tcW w:w="1274" w:type="dxa"/>
            <w:tcBorders>
              <w:right w:val="single" w:sz="4" w:space="0" w:color="auto"/>
            </w:tcBorders>
            <w:shd w:val="clear" w:color="auto" w:fill="FFFFFF" w:themeFill="background1"/>
          </w:tcPr>
          <w:p w:rsidR="004D213E" w:rsidRPr="00FB492C" w:rsidRDefault="004D213E" w:rsidP="00832216">
            <w:pPr>
              <w:spacing w:line="180" w:lineRule="exact"/>
              <w:contextualSpacing/>
              <w:rPr>
                <w:rFonts w:ascii="Calibri" w:hAnsi="Calibri" w:cstheme="minorHAnsi"/>
                <w:color w:val="000000" w:themeColor="text1"/>
                <w:sz w:val="18"/>
                <w:szCs w:val="18"/>
              </w:rPr>
            </w:pPr>
          </w:p>
          <w:p w:rsidR="00706C86" w:rsidRPr="00FB492C" w:rsidRDefault="00706C86" w:rsidP="00832216">
            <w:pPr>
              <w:spacing w:line="180" w:lineRule="exact"/>
              <w:contextualSpacing/>
              <w:rPr>
                <w:rFonts w:ascii="Calibri" w:hAnsi="Calibri" w:cstheme="minorHAnsi"/>
                <w:color w:val="000000" w:themeColor="text1"/>
                <w:sz w:val="18"/>
                <w:szCs w:val="18"/>
              </w:rPr>
            </w:pPr>
            <w:r w:rsidRPr="00FB492C">
              <w:rPr>
                <w:rFonts w:ascii="Calibri" w:hAnsi="Calibri" w:cstheme="minorHAnsi"/>
                <w:color w:val="000000" w:themeColor="text1"/>
                <w:sz w:val="18"/>
                <w:szCs w:val="18"/>
              </w:rPr>
              <w:t>Bipolar Disorder</w:t>
            </w:r>
          </w:p>
          <w:p w:rsidR="004D213E" w:rsidRPr="00FB492C" w:rsidRDefault="004D213E" w:rsidP="00832216">
            <w:pPr>
              <w:spacing w:line="180" w:lineRule="exact"/>
              <w:contextualSpacing/>
              <w:rPr>
                <w:rFonts w:ascii="Calibri" w:eastAsia="Times New Roman" w:hAnsi="Calibri" w:cstheme="minorHAnsi"/>
                <w:color w:val="000000" w:themeColor="text1"/>
                <w:sz w:val="18"/>
                <w:szCs w:val="18"/>
              </w:rPr>
            </w:pPr>
          </w:p>
        </w:tc>
        <w:tc>
          <w:tcPr>
            <w:tcW w:w="756" w:type="dxa"/>
            <w:tcBorders>
              <w:left w:val="single" w:sz="4" w:space="0" w:color="auto"/>
            </w:tcBorders>
            <w:shd w:val="clear" w:color="auto" w:fill="FFFFFF" w:themeFill="background1"/>
            <w:vAlign w:val="center"/>
          </w:tcPr>
          <w:p w:rsidR="00706C86" w:rsidRPr="00FB492C" w:rsidRDefault="00706C86" w:rsidP="00832216">
            <w:pPr>
              <w:spacing w:line="180" w:lineRule="exact"/>
              <w:contextualSpacing/>
              <w:rPr>
                <w:rFonts w:ascii="Calibri" w:eastAsia="Times New Roman" w:hAnsi="Calibri" w:cstheme="minorHAnsi"/>
                <w:color w:val="000000" w:themeColor="text1"/>
                <w:sz w:val="18"/>
                <w:szCs w:val="18"/>
              </w:rPr>
            </w:pPr>
            <w:r w:rsidRPr="00FB492C">
              <w:rPr>
                <w:rFonts w:ascii="Calibri" w:hAnsi="Calibri" w:cstheme="minorHAnsi"/>
                <w:color w:val="000000" w:themeColor="text1"/>
                <w:sz w:val="18"/>
                <w:szCs w:val="18"/>
              </w:rPr>
              <w:t>9432</w:t>
            </w:r>
          </w:p>
        </w:tc>
        <w:tc>
          <w:tcPr>
            <w:tcW w:w="1349" w:type="dxa"/>
            <w:tcBorders>
              <w:right w:val="single" w:sz="4" w:space="0" w:color="auto"/>
            </w:tcBorders>
            <w:shd w:val="clear" w:color="auto" w:fill="FFFFFF" w:themeFill="background1"/>
            <w:vAlign w:val="center"/>
          </w:tcPr>
          <w:p w:rsidR="00706C86" w:rsidRPr="00FB492C" w:rsidRDefault="00706C86" w:rsidP="00832216">
            <w:pPr>
              <w:spacing w:line="180" w:lineRule="exact"/>
              <w:rPr>
                <w:rFonts w:ascii="Calibri" w:eastAsia="Times New Roman" w:hAnsi="Calibri" w:cstheme="minorHAnsi"/>
                <w:color w:val="000000" w:themeColor="text1"/>
                <w:sz w:val="18"/>
                <w:szCs w:val="18"/>
              </w:rPr>
            </w:pPr>
            <w:r w:rsidRPr="00FB492C">
              <w:rPr>
                <w:rFonts w:ascii="Calibri" w:hAnsi="Calibri" w:cstheme="minorHAnsi"/>
                <w:color w:val="000000" w:themeColor="text1"/>
                <w:sz w:val="18"/>
                <w:szCs w:val="18"/>
              </w:rPr>
              <w:t>30%</w:t>
            </w:r>
          </w:p>
        </w:tc>
        <w:tc>
          <w:tcPr>
            <w:tcW w:w="1529" w:type="dxa"/>
            <w:tcBorders>
              <w:left w:val="single" w:sz="4" w:space="0" w:color="auto"/>
              <w:right w:val="thinThickThinSmallGap" w:sz="24" w:space="0" w:color="auto"/>
            </w:tcBorders>
            <w:shd w:val="clear" w:color="auto" w:fill="FFFFFF" w:themeFill="background1"/>
            <w:vAlign w:val="center"/>
          </w:tcPr>
          <w:p w:rsidR="00706C86" w:rsidRPr="00FB492C" w:rsidRDefault="00706C86" w:rsidP="00832216">
            <w:pPr>
              <w:spacing w:line="180" w:lineRule="exact"/>
              <w:rPr>
                <w:rFonts w:ascii="Calibri" w:eastAsia="Times New Roman" w:hAnsi="Calibri" w:cstheme="minorHAnsi"/>
                <w:color w:val="000000" w:themeColor="text1"/>
                <w:sz w:val="18"/>
                <w:szCs w:val="18"/>
              </w:rPr>
            </w:pPr>
            <w:r w:rsidRPr="00FB492C">
              <w:rPr>
                <w:rFonts w:ascii="Calibri" w:hAnsi="Calibri" w:cstheme="minorHAnsi"/>
                <w:color w:val="000000" w:themeColor="text1"/>
                <w:sz w:val="18"/>
                <w:szCs w:val="18"/>
              </w:rPr>
              <w:t>0%</w:t>
            </w:r>
          </w:p>
        </w:tc>
        <w:tc>
          <w:tcPr>
            <w:tcW w:w="1491" w:type="dxa"/>
            <w:tcBorders>
              <w:left w:val="thinThickThinSmallGap" w:sz="24" w:space="0" w:color="auto"/>
              <w:right w:val="single" w:sz="4" w:space="0" w:color="auto"/>
            </w:tcBorders>
            <w:shd w:val="clear" w:color="auto" w:fill="FFFFFF" w:themeFill="background1"/>
            <w:vAlign w:val="center"/>
          </w:tcPr>
          <w:p w:rsidR="00706C86" w:rsidRPr="00FB492C" w:rsidRDefault="00706C86" w:rsidP="00832216">
            <w:pPr>
              <w:spacing w:line="180" w:lineRule="exact"/>
              <w:contextualSpacing/>
              <w:rPr>
                <w:rFonts w:ascii="Calibri" w:eastAsia="Times New Roman" w:hAnsi="Calibri" w:cstheme="minorHAnsi"/>
                <w:color w:val="000000" w:themeColor="text1"/>
                <w:sz w:val="18"/>
                <w:szCs w:val="18"/>
              </w:rPr>
            </w:pPr>
            <w:r w:rsidRPr="00FB492C">
              <w:rPr>
                <w:rFonts w:ascii="Calibri" w:hAnsi="Calibri" w:cstheme="minorHAnsi"/>
                <w:color w:val="000000" w:themeColor="text1"/>
                <w:sz w:val="18"/>
                <w:szCs w:val="18"/>
              </w:rPr>
              <w:t>Bipolar Disorder</w:t>
            </w:r>
          </w:p>
        </w:tc>
        <w:tc>
          <w:tcPr>
            <w:tcW w:w="1263" w:type="dxa"/>
            <w:tcBorders>
              <w:left w:val="single" w:sz="4" w:space="0" w:color="auto"/>
              <w:right w:val="single" w:sz="4" w:space="0" w:color="auto"/>
            </w:tcBorders>
            <w:shd w:val="clear" w:color="auto" w:fill="FFFFFF" w:themeFill="background1"/>
            <w:vAlign w:val="center"/>
          </w:tcPr>
          <w:p w:rsidR="00706C86" w:rsidRPr="00FB492C" w:rsidRDefault="00706C86" w:rsidP="00832216">
            <w:pPr>
              <w:spacing w:line="180" w:lineRule="exact"/>
              <w:contextualSpacing/>
              <w:rPr>
                <w:rFonts w:ascii="Calibri" w:eastAsia="Times New Roman" w:hAnsi="Calibri" w:cstheme="minorHAnsi"/>
                <w:color w:val="000000" w:themeColor="text1"/>
                <w:sz w:val="18"/>
                <w:szCs w:val="18"/>
              </w:rPr>
            </w:pPr>
            <w:r w:rsidRPr="00FB492C">
              <w:rPr>
                <w:rFonts w:ascii="Calibri" w:hAnsi="Calibri" w:cstheme="minorHAnsi"/>
                <w:color w:val="000000" w:themeColor="text1"/>
                <w:sz w:val="18"/>
                <w:szCs w:val="18"/>
              </w:rPr>
              <w:t>9432</w:t>
            </w:r>
          </w:p>
        </w:tc>
        <w:tc>
          <w:tcPr>
            <w:tcW w:w="810" w:type="dxa"/>
            <w:tcBorders>
              <w:left w:val="single" w:sz="4" w:space="0" w:color="auto"/>
            </w:tcBorders>
            <w:shd w:val="clear" w:color="auto" w:fill="FFFFFF" w:themeFill="background1"/>
            <w:vAlign w:val="center"/>
          </w:tcPr>
          <w:p w:rsidR="00706C86" w:rsidRPr="00FB492C" w:rsidRDefault="00706C86" w:rsidP="00832216">
            <w:pPr>
              <w:spacing w:line="180" w:lineRule="exact"/>
              <w:contextualSpacing/>
              <w:rPr>
                <w:rFonts w:ascii="Calibri" w:eastAsia="Times New Roman" w:hAnsi="Calibri" w:cstheme="minorHAnsi"/>
                <w:color w:val="000000" w:themeColor="text1"/>
                <w:sz w:val="18"/>
                <w:szCs w:val="18"/>
              </w:rPr>
            </w:pPr>
            <w:r w:rsidRPr="00FB492C">
              <w:rPr>
                <w:rFonts w:ascii="Calibri" w:hAnsi="Calibri" w:cstheme="minorHAnsi"/>
                <w:color w:val="000000" w:themeColor="text1"/>
                <w:sz w:val="18"/>
                <w:szCs w:val="18"/>
              </w:rPr>
              <w:t>10%*</w:t>
            </w:r>
          </w:p>
        </w:tc>
        <w:tc>
          <w:tcPr>
            <w:tcW w:w="1032" w:type="dxa"/>
            <w:shd w:val="clear" w:color="auto" w:fill="FFFFFF" w:themeFill="background1"/>
            <w:vAlign w:val="center"/>
          </w:tcPr>
          <w:p w:rsidR="00706C86" w:rsidRPr="00FB492C" w:rsidRDefault="00706C86" w:rsidP="00832216">
            <w:pPr>
              <w:spacing w:line="180" w:lineRule="exact"/>
              <w:contextualSpacing/>
              <w:rPr>
                <w:rFonts w:ascii="Calibri" w:eastAsia="Times New Roman" w:hAnsi="Calibri" w:cstheme="minorHAnsi"/>
                <w:color w:val="000000" w:themeColor="text1"/>
                <w:sz w:val="18"/>
                <w:szCs w:val="18"/>
              </w:rPr>
            </w:pPr>
            <w:r w:rsidRPr="00FB492C">
              <w:rPr>
                <w:rFonts w:ascii="Calibri" w:hAnsi="Calibri" w:cstheme="minorHAnsi"/>
                <w:color w:val="000000" w:themeColor="text1"/>
                <w:sz w:val="18"/>
                <w:szCs w:val="18"/>
              </w:rPr>
              <w:t>20011101</w:t>
            </w:r>
          </w:p>
        </w:tc>
      </w:tr>
      <w:tr w:rsidR="00FB492C" w:rsidRPr="001F29F9" w:rsidTr="00D64C98">
        <w:trPr>
          <w:trHeight w:val="414"/>
          <w:jc w:val="center"/>
        </w:trPr>
        <w:tc>
          <w:tcPr>
            <w:tcW w:w="1274" w:type="dxa"/>
            <w:tcBorders>
              <w:righ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Obsessive Compulsive Personality Traits</w:t>
            </w:r>
          </w:p>
        </w:tc>
        <w:tc>
          <w:tcPr>
            <w:tcW w:w="756" w:type="dxa"/>
            <w:tcBorders>
              <w:lef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p>
        </w:tc>
        <w:tc>
          <w:tcPr>
            <w:tcW w:w="1349" w:type="dxa"/>
            <w:tcBorders>
              <w:right w:val="single" w:sz="4" w:space="0" w:color="auto"/>
            </w:tcBorders>
            <w:shd w:val="clear" w:color="auto" w:fill="FFFFFF" w:themeFill="background1"/>
            <w:vAlign w:val="center"/>
          </w:tcPr>
          <w:p w:rsidR="00FB492C" w:rsidRPr="00FB492C" w:rsidRDefault="00FB492C" w:rsidP="00FB492C">
            <w:pPr>
              <w:spacing w:line="180" w:lineRule="exact"/>
              <w:rPr>
                <w:color w:val="000000" w:themeColor="text1"/>
                <w:sz w:val="18"/>
                <w:szCs w:val="18"/>
              </w:rPr>
            </w:pPr>
            <w:r w:rsidRPr="00FB492C">
              <w:rPr>
                <w:color w:val="000000" w:themeColor="text1"/>
                <w:sz w:val="18"/>
                <w:szCs w:val="18"/>
              </w:rPr>
              <w:t>Not Unfitting</w:t>
            </w:r>
          </w:p>
        </w:tc>
        <w:tc>
          <w:tcPr>
            <w:tcW w:w="1529" w:type="dxa"/>
            <w:tcBorders>
              <w:left w:val="single" w:sz="4" w:space="0" w:color="auto"/>
              <w:right w:val="thinThickThinSmallGap" w:sz="24" w:space="0" w:color="auto"/>
            </w:tcBorders>
            <w:shd w:val="clear" w:color="auto" w:fill="FFFFFF" w:themeFill="background1"/>
            <w:vAlign w:val="center"/>
          </w:tcPr>
          <w:p w:rsidR="00FB492C" w:rsidRPr="00FB492C" w:rsidRDefault="00FB492C" w:rsidP="00FB492C">
            <w:pPr>
              <w:spacing w:line="180" w:lineRule="exact"/>
              <w:rPr>
                <w:color w:val="000000" w:themeColor="text1"/>
                <w:sz w:val="18"/>
                <w:szCs w:val="18"/>
              </w:rPr>
            </w:pPr>
            <w:r w:rsidRPr="00FB492C">
              <w:rPr>
                <w:color w:val="000000" w:themeColor="text1"/>
                <w:sz w:val="18"/>
                <w:szCs w:val="18"/>
              </w:rPr>
              <w:t>Not Adjudicated</w:t>
            </w:r>
          </w:p>
        </w:tc>
        <w:tc>
          <w:tcPr>
            <w:tcW w:w="4596" w:type="dxa"/>
            <w:gridSpan w:val="4"/>
            <w:tcBorders>
              <w:left w:val="thinThickThinSmallGap" w:sz="2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No VA Entry</w:t>
            </w:r>
          </w:p>
          <w:p w:rsidR="00FB492C" w:rsidRPr="00FB492C" w:rsidRDefault="00FB492C" w:rsidP="00FB492C">
            <w:pPr>
              <w:spacing w:line="180" w:lineRule="exact"/>
              <w:contextualSpacing/>
              <w:rPr>
                <w:color w:val="000000" w:themeColor="text1"/>
                <w:sz w:val="18"/>
                <w:szCs w:val="18"/>
              </w:rPr>
            </w:pPr>
          </w:p>
        </w:tc>
      </w:tr>
      <w:tr w:rsidR="00FB492C" w:rsidRPr="001F29F9" w:rsidTr="00275B01">
        <w:trPr>
          <w:trHeight w:val="414"/>
          <w:jc w:val="center"/>
        </w:trPr>
        <w:tc>
          <w:tcPr>
            <w:tcW w:w="1274" w:type="dxa"/>
            <w:tcBorders>
              <w:righ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Bilateral Stress Fracture of Feet</w:t>
            </w:r>
          </w:p>
        </w:tc>
        <w:tc>
          <w:tcPr>
            <w:tcW w:w="756" w:type="dxa"/>
            <w:tcBorders>
              <w:lef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p>
        </w:tc>
        <w:tc>
          <w:tcPr>
            <w:tcW w:w="1349" w:type="dxa"/>
            <w:tcBorders>
              <w:right w:val="single" w:sz="4" w:space="0" w:color="auto"/>
            </w:tcBorders>
            <w:shd w:val="clear" w:color="auto" w:fill="FFFFFF" w:themeFill="background1"/>
            <w:vAlign w:val="center"/>
          </w:tcPr>
          <w:p w:rsidR="00FB492C" w:rsidRPr="00FB492C" w:rsidRDefault="00FB492C" w:rsidP="00FB492C">
            <w:pPr>
              <w:spacing w:line="180" w:lineRule="exact"/>
              <w:rPr>
                <w:color w:val="000000" w:themeColor="text1"/>
                <w:sz w:val="18"/>
                <w:szCs w:val="18"/>
              </w:rPr>
            </w:pPr>
            <w:r w:rsidRPr="00FB492C">
              <w:rPr>
                <w:color w:val="000000" w:themeColor="text1"/>
                <w:sz w:val="18"/>
                <w:szCs w:val="18"/>
              </w:rPr>
              <w:t>Not Unfitting</w:t>
            </w:r>
          </w:p>
        </w:tc>
        <w:tc>
          <w:tcPr>
            <w:tcW w:w="1529" w:type="dxa"/>
            <w:tcBorders>
              <w:left w:val="single" w:sz="4" w:space="0" w:color="auto"/>
              <w:right w:val="thinThickThinSmallGap" w:sz="24" w:space="0" w:color="auto"/>
            </w:tcBorders>
            <w:shd w:val="clear" w:color="auto" w:fill="FFFFFF" w:themeFill="background1"/>
            <w:vAlign w:val="center"/>
          </w:tcPr>
          <w:p w:rsidR="00FB492C" w:rsidRPr="00FB492C" w:rsidRDefault="00FB492C" w:rsidP="00FB492C">
            <w:pPr>
              <w:spacing w:line="180" w:lineRule="exact"/>
              <w:rPr>
                <w:color w:val="000000" w:themeColor="text1"/>
                <w:sz w:val="18"/>
                <w:szCs w:val="18"/>
              </w:rPr>
            </w:pPr>
            <w:r w:rsidRPr="00FB492C">
              <w:rPr>
                <w:color w:val="000000" w:themeColor="text1"/>
                <w:sz w:val="18"/>
                <w:szCs w:val="18"/>
              </w:rPr>
              <w:t>Not Adjudicated</w:t>
            </w:r>
          </w:p>
        </w:tc>
        <w:tc>
          <w:tcPr>
            <w:tcW w:w="4596" w:type="dxa"/>
            <w:gridSpan w:val="4"/>
            <w:tcBorders>
              <w:left w:val="thinThickThinSmallGap" w:sz="2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No VA Entry</w:t>
            </w:r>
          </w:p>
          <w:p w:rsidR="00FB492C" w:rsidRPr="00FB492C" w:rsidRDefault="00FB492C" w:rsidP="00FB492C">
            <w:pPr>
              <w:spacing w:line="180" w:lineRule="exact"/>
              <w:contextualSpacing/>
              <w:rPr>
                <w:color w:val="000000" w:themeColor="text1"/>
                <w:sz w:val="18"/>
                <w:szCs w:val="18"/>
              </w:rPr>
            </w:pPr>
          </w:p>
        </w:tc>
      </w:tr>
      <w:tr w:rsidR="00FB492C" w:rsidRPr="001F29F9" w:rsidTr="00BA554E">
        <w:trPr>
          <w:trHeight w:val="125"/>
          <w:jc w:val="center"/>
        </w:trPr>
        <w:tc>
          <w:tcPr>
            <w:tcW w:w="4908" w:type="dxa"/>
            <w:gridSpan w:val="4"/>
            <w:tcBorders>
              <w:right w:val="thinThickThinSmallGap" w:sz="24" w:space="0" w:color="auto"/>
            </w:tcBorders>
            <w:shd w:val="clear" w:color="auto" w:fill="FFFFFF" w:themeFill="background1"/>
            <w:vAlign w:val="center"/>
          </w:tcPr>
          <w:p w:rsidR="00FB492C" w:rsidRPr="00FB492C" w:rsidRDefault="00FB492C" w:rsidP="00FB492C">
            <w:pPr>
              <w:spacing w:line="180" w:lineRule="exact"/>
              <w:rPr>
                <w:color w:val="000000" w:themeColor="text1"/>
                <w:sz w:val="18"/>
                <w:szCs w:val="18"/>
              </w:rPr>
            </w:pPr>
            <w:r w:rsidRPr="00F64312">
              <w:rPr>
                <w:rFonts w:cs="Calibri"/>
                <w:color w:val="auto"/>
                <w:sz w:val="18"/>
                <w:szCs w:val="18"/>
              </w:rPr>
              <w:t>↓No Additional MEB/PEB Entries↓</w:t>
            </w:r>
          </w:p>
        </w:tc>
        <w:tc>
          <w:tcPr>
            <w:tcW w:w="1491" w:type="dxa"/>
            <w:tcBorders>
              <w:left w:val="thinThickThinSmallGap" w:sz="24" w:space="0" w:color="auto"/>
              <w:righ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Bilateral Knee condition</w:t>
            </w:r>
          </w:p>
        </w:tc>
        <w:tc>
          <w:tcPr>
            <w:tcW w:w="1263" w:type="dxa"/>
            <w:tcBorders>
              <w:left w:val="single" w:sz="4" w:space="0" w:color="auto"/>
              <w:righ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5257</w:t>
            </w:r>
          </w:p>
        </w:tc>
        <w:tc>
          <w:tcPr>
            <w:tcW w:w="810" w:type="dxa"/>
            <w:tcBorders>
              <w:left w:val="single" w:sz="4" w:space="0" w:color="auto"/>
              <w:righ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NSC</w:t>
            </w:r>
          </w:p>
        </w:tc>
        <w:tc>
          <w:tcPr>
            <w:tcW w:w="1032" w:type="dxa"/>
            <w:tcBorders>
              <w:left w:val="single" w:sz="4" w:space="0" w:color="auto"/>
            </w:tcBorders>
            <w:shd w:val="clear" w:color="auto" w:fill="FFFFFF" w:themeFill="background1"/>
            <w:vAlign w:val="center"/>
          </w:tcPr>
          <w:p w:rsidR="00FB492C" w:rsidRPr="00FB492C" w:rsidRDefault="00FB492C" w:rsidP="00FB492C">
            <w:pPr>
              <w:spacing w:line="180" w:lineRule="exact"/>
              <w:contextualSpacing/>
              <w:rPr>
                <w:color w:val="000000" w:themeColor="text1"/>
                <w:sz w:val="18"/>
                <w:szCs w:val="18"/>
              </w:rPr>
            </w:pPr>
            <w:r w:rsidRPr="00FB492C">
              <w:rPr>
                <w:color w:val="000000" w:themeColor="text1"/>
                <w:sz w:val="18"/>
                <w:szCs w:val="18"/>
              </w:rPr>
              <w:t>20080804</w:t>
            </w:r>
          </w:p>
        </w:tc>
      </w:tr>
      <w:tr w:rsidR="00FB492C" w:rsidRPr="001F29F9" w:rsidTr="00832216">
        <w:trPr>
          <w:trHeight w:val="242"/>
          <w:jc w:val="center"/>
        </w:trPr>
        <w:tc>
          <w:tcPr>
            <w:tcW w:w="4908" w:type="dxa"/>
            <w:gridSpan w:val="4"/>
            <w:tcBorders>
              <w:right w:val="thinThickThinSmallGap" w:sz="24" w:space="0" w:color="auto"/>
            </w:tcBorders>
            <w:shd w:val="clear" w:color="auto" w:fill="D9D9D9" w:themeFill="background1" w:themeFillShade="D9"/>
            <w:vAlign w:val="center"/>
          </w:tcPr>
          <w:p w:rsidR="00FB492C" w:rsidRPr="00FB492C" w:rsidRDefault="00FB492C" w:rsidP="00FB492C">
            <w:pPr>
              <w:contextualSpacing/>
              <w:rPr>
                <w:rFonts w:ascii="Calibri" w:hAnsi="Calibri" w:cstheme="minorHAnsi"/>
                <w:color w:val="000000" w:themeColor="text1"/>
                <w:sz w:val="18"/>
                <w:szCs w:val="18"/>
              </w:rPr>
            </w:pPr>
            <w:r w:rsidRPr="00FB492C">
              <w:rPr>
                <w:rFonts w:ascii="Calibri" w:hAnsi="Calibri" w:cstheme="minorHAnsi"/>
                <w:color w:val="000000" w:themeColor="text1"/>
                <w:sz w:val="18"/>
                <w:szCs w:val="18"/>
              </w:rPr>
              <w:t>Combined:  0%</w:t>
            </w:r>
          </w:p>
        </w:tc>
        <w:tc>
          <w:tcPr>
            <w:tcW w:w="4596" w:type="dxa"/>
            <w:gridSpan w:val="4"/>
            <w:tcBorders>
              <w:left w:val="thinThickThinSmallGap" w:sz="24" w:space="0" w:color="auto"/>
            </w:tcBorders>
            <w:shd w:val="clear" w:color="auto" w:fill="D9D9D9" w:themeFill="background1" w:themeFillShade="D9"/>
            <w:vAlign w:val="center"/>
          </w:tcPr>
          <w:p w:rsidR="00FB492C" w:rsidRPr="00FB492C" w:rsidRDefault="00FB492C" w:rsidP="00FB492C">
            <w:pPr>
              <w:contextualSpacing/>
              <w:rPr>
                <w:rFonts w:ascii="Calibri" w:hAnsi="Calibri" w:cstheme="minorHAnsi"/>
                <w:color w:val="000000" w:themeColor="text1"/>
                <w:sz w:val="18"/>
                <w:szCs w:val="18"/>
              </w:rPr>
            </w:pPr>
            <w:r w:rsidRPr="00FB492C">
              <w:rPr>
                <w:rFonts w:ascii="Calibri" w:hAnsi="Calibri" w:cstheme="minorHAnsi"/>
                <w:color w:val="000000" w:themeColor="text1"/>
                <w:sz w:val="18"/>
                <w:szCs w:val="18"/>
              </w:rPr>
              <w:t>Combined:  10%</w:t>
            </w:r>
          </w:p>
        </w:tc>
      </w:tr>
    </w:tbl>
    <w:p w:rsidR="00EF6BEF" w:rsidRDefault="00724F57" w:rsidP="00BF0E94">
      <w:pPr>
        <w:pBdr>
          <w:bottom w:val="single" w:sz="12" w:space="1" w:color="auto"/>
        </w:pBdr>
        <w:tabs>
          <w:tab w:val="left" w:pos="288"/>
          <w:tab w:val="left" w:pos="4752"/>
        </w:tabs>
        <w:jc w:val="both"/>
        <w:rPr>
          <w:color w:val="000000" w:themeColor="text1"/>
          <w:sz w:val="18"/>
          <w:szCs w:val="18"/>
        </w:rPr>
      </w:pPr>
      <w:r w:rsidRPr="00A83E39">
        <w:rPr>
          <w:color w:val="000000" w:themeColor="text1"/>
          <w:sz w:val="18"/>
          <w:szCs w:val="18"/>
        </w:rPr>
        <w:t>*Increased to 30% effective 20080528.</w:t>
      </w:r>
    </w:p>
    <w:p w:rsidR="00FB492C" w:rsidRPr="00C00B88" w:rsidRDefault="00FB492C" w:rsidP="00BF0E94">
      <w:pPr>
        <w:pBdr>
          <w:bottom w:val="single" w:sz="12" w:space="1" w:color="auto"/>
        </w:pBdr>
        <w:tabs>
          <w:tab w:val="left" w:pos="288"/>
          <w:tab w:val="left" w:pos="4752"/>
        </w:tabs>
        <w:jc w:val="both"/>
        <w:rPr>
          <w:color w:val="000000" w:themeColor="text1"/>
          <w:sz w:val="18"/>
          <w:szCs w:val="18"/>
        </w:rPr>
      </w:pPr>
    </w:p>
    <w:p w:rsidR="009369A6" w:rsidRPr="001F29F9" w:rsidRDefault="009369A6" w:rsidP="005D5D66">
      <w:pPr>
        <w:jc w:val="left"/>
        <w:rPr>
          <w:color w:val="000000" w:themeColor="text1"/>
          <w:szCs w:val="24"/>
          <w:u w:val="single"/>
        </w:rPr>
      </w:pPr>
    </w:p>
    <w:p w:rsidR="004C60A3" w:rsidRPr="006B2565" w:rsidRDefault="002C6E5B" w:rsidP="006B2565">
      <w:pPr>
        <w:jc w:val="both"/>
        <w:rPr>
          <w:rFonts w:asciiTheme="minorHAnsi" w:hAnsiTheme="minorHAnsi"/>
          <w:color w:val="auto"/>
          <w:szCs w:val="24"/>
        </w:rPr>
      </w:pPr>
      <w:r w:rsidRPr="006B2565">
        <w:rPr>
          <w:rFonts w:asciiTheme="minorHAnsi" w:hAnsiTheme="minorHAnsi"/>
          <w:color w:val="auto"/>
          <w:szCs w:val="24"/>
          <w:u w:val="single"/>
        </w:rPr>
        <w:t>ANALYSIS SUMMARY</w:t>
      </w:r>
      <w:r w:rsidRPr="006B2565">
        <w:rPr>
          <w:rFonts w:asciiTheme="minorHAnsi" w:hAnsiTheme="minorHAnsi"/>
          <w:color w:val="auto"/>
          <w:szCs w:val="24"/>
        </w:rPr>
        <w:t>:</w:t>
      </w:r>
      <w:r w:rsidR="004D213E" w:rsidRPr="006B2565">
        <w:rPr>
          <w:rFonts w:asciiTheme="minorHAnsi" w:hAnsiTheme="minorHAnsi"/>
          <w:color w:val="auto"/>
          <w:szCs w:val="24"/>
        </w:rPr>
        <w:t xml:space="preserve">  The Board acknowledges the sentiment expressed in the CI’s application, i.e., that there should be additional disability assigned for his mental health condition and the significant impairment with which his service-incurred condition continues to burden</w:t>
      </w:r>
      <w:r w:rsidR="001C4CAC">
        <w:rPr>
          <w:rFonts w:asciiTheme="minorHAnsi" w:hAnsiTheme="minorHAnsi"/>
          <w:color w:val="auto"/>
          <w:szCs w:val="24"/>
        </w:rPr>
        <w:t xml:space="preserve"> him.  It is a fact;</w:t>
      </w:r>
      <w:r w:rsidR="004D213E" w:rsidRPr="006B2565">
        <w:rPr>
          <w:rFonts w:asciiTheme="minorHAnsi" w:hAnsiTheme="minorHAnsi"/>
          <w:color w:val="auto"/>
          <w:szCs w:val="24"/>
        </w:rPr>
        <w:t xml:space="preserve"> however, that the </w:t>
      </w:r>
      <w:r w:rsidR="001C4CAC">
        <w:rPr>
          <w:rFonts w:asciiTheme="minorHAnsi" w:hAnsiTheme="minorHAnsi"/>
          <w:color w:val="auto"/>
          <w:szCs w:val="24"/>
        </w:rPr>
        <w:t>Disability Evaluation System (</w:t>
      </w:r>
      <w:r w:rsidR="004D213E" w:rsidRPr="006B2565">
        <w:rPr>
          <w:rFonts w:asciiTheme="minorHAnsi" w:hAnsiTheme="minorHAnsi"/>
          <w:color w:val="auto"/>
          <w:szCs w:val="24"/>
        </w:rPr>
        <w:t>DES</w:t>
      </w:r>
      <w:r w:rsidR="001C4CAC">
        <w:rPr>
          <w:rFonts w:asciiTheme="minorHAnsi" w:hAnsiTheme="minorHAnsi"/>
          <w:color w:val="auto"/>
          <w:szCs w:val="24"/>
        </w:rPr>
        <w:t>)</w:t>
      </w:r>
      <w:r w:rsidR="004D213E" w:rsidRPr="006B2565">
        <w:rPr>
          <w:rFonts w:asciiTheme="minorHAnsi" w:hAnsiTheme="minorHAnsi"/>
          <w:color w:val="auto"/>
          <w:szCs w:val="24"/>
        </w:rPr>
        <w:t xml:space="preserve"> has neither the role nor the authority to compensate service members for anticipated future severity or potential complications of conditions resulting in medical separation. </w:t>
      </w:r>
      <w:r w:rsidR="006B2565" w:rsidRPr="006B2565">
        <w:rPr>
          <w:rFonts w:asciiTheme="minorHAnsi" w:hAnsiTheme="minorHAnsi"/>
          <w:color w:val="auto"/>
          <w:szCs w:val="24"/>
        </w:rPr>
        <w:t xml:space="preserve"> </w:t>
      </w:r>
      <w:r w:rsidR="004D213E" w:rsidRPr="006B2565">
        <w:rPr>
          <w:rFonts w:asciiTheme="minorHAnsi" w:hAnsiTheme="minorHAnsi"/>
          <w:color w:val="auto"/>
          <w:szCs w:val="24"/>
        </w:rPr>
        <w:t xml:space="preserve">This role and authority is granted by Congress to the </w:t>
      </w:r>
      <w:r w:rsidR="001C4CAC">
        <w:rPr>
          <w:rFonts w:asciiTheme="minorHAnsi" w:hAnsiTheme="minorHAnsi"/>
          <w:color w:val="auto"/>
          <w:szCs w:val="24"/>
        </w:rPr>
        <w:t xml:space="preserve">Department of </w:t>
      </w:r>
      <w:r w:rsidR="004D213E" w:rsidRPr="006B2565">
        <w:rPr>
          <w:rFonts w:asciiTheme="minorHAnsi" w:hAnsiTheme="minorHAnsi"/>
          <w:color w:val="auto"/>
          <w:szCs w:val="24"/>
        </w:rPr>
        <w:t>Veterans</w:t>
      </w:r>
      <w:r w:rsidR="001C4CAC">
        <w:rPr>
          <w:rFonts w:asciiTheme="minorHAnsi" w:hAnsiTheme="minorHAnsi"/>
          <w:color w:val="auto"/>
          <w:szCs w:val="24"/>
        </w:rPr>
        <w:t>’ Affairs (DVA)</w:t>
      </w:r>
      <w:r w:rsidR="004D213E" w:rsidRPr="006B2565">
        <w:rPr>
          <w:rFonts w:asciiTheme="minorHAnsi" w:hAnsiTheme="minorHAnsi"/>
          <w:color w:val="auto"/>
          <w:szCs w:val="24"/>
        </w:rPr>
        <w:t xml:space="preserve">. </w:t>
      </w:r>
      <w:r w:rsidR="006B2565" w:rsidRPr="006B2565">
        <w:rPr>
          <w:rFonts w:asciiTheme="minorHAnsi" w:hAnsiTheme="minorHAnsi"/>
          <w:color w:val="auto"/>
          <w:szCs w:val="24"/>
        </w:rPr>
        <w:t xml:space="preserve"> </w:t>
      </w:r>
      <w:r w:rsidR="004D213E" w:rsidRPr="006B2565">
        <w:rPr>
          <w:rFonts w:asciiTheme="minorHAnsi" w:hAnsiTheme="minorHAnsi"/>
          <w:color w:val="auto"/>
          <w:szCs w:val="24"/>
        </w:rPr>
        <w:t xml:space="preserve">The Board utilizes </w:t>
      </w:r>
      <w:r w:rsidR="001C4CAC">
        <w:rPr>
          <w:rFonts w:asciiTheme="minorHAnsi" w:hAnsiTheme="minorHAnsi"/>
          <w:color w:val="auto"/>
          <w:szCs w:val="24"/>
        </w:rPr>
        <w:t>D</w:t>
      </w:r>
      <w:r w:rsidR="004D213E" w:rsidRPr="006B2565">
        <w:rPr>
          <w:rFonts w:asciiTheme="minorHAnsi" w:hAnsiTheme="minorHAnsi"/>
          <w:color w:val="auto"/>
          <w:szCs w:val="24"/>
        </w:rPr>
        <w:t xml:space="preserve">VA evidence proximal to separation in arriving at its recommendations; and, DoDI 6040.44 defines a 12-month interval for special consideration to post-separation evidence. </w:t>
      </w:r>
      <w:r w:rsidR="006B2565" w:rsidRPr="006B2565">
        <w:rPr>
          <w:rFonts w:asciiTheme="minorHAnsi" w:hAnsiTheme="minorHAnsi"/>
          <w:color w:val="auto"/>
          <w:szCs w:val="24"/>
        </w:rPr>
        <w:t xml:space="preserve"> </w:t>
      </w:r>
      <w:r w:rsidR="004D213E" w:rsidRPr="006B2565">
        <w:rPr>
          <w:rFonts w:asciiTheme="minorHAnsi" w:hAnsiTheme="minorHAnsi"/>
          <w:color w:val="auto"/>
          <w:szCs w:val="24"/>
        </w:rPr>
        <w:t>The Board’s authority as defined in DoDI 6040.44</w:t>
      </w:r>
      <w:r w:rsidR="001C4CAC">
        <w:rPr>
          <w:rFonts w:asciiTheme="minorHAnsi" w:hAnsiTheme="minorHAnsi"/>
          <w:color w:val="auto"/>
          <w:szCs w:val="24"/>
        </w:rPr>
        <w:t>;</w:t>
      </w:r>
      <w:r w:rsidR="004D213E" w:rsidRPr="006B2565">
        <w:rPr>
          <w:rFonts w:asciiTheme="minorHAnsi" w:hAnsiTheme="minorHAnsi"/>
          <w:color w:val="auto"/>
          <w:szCs w:val="24"/>
        </w:rPr>
        <w:t xml:space="preserve"> however, resides in evaluating the fairness of DES fitness determinations and rating decisions for disability at the time of separation. </w:t>
      </w:r>
      <w:r w:rsidR="006B2565" w:rsidRPr="006B2565">
        <w:rPr>
          <w:rFonts w:asciiTheme="minorHAnsi" w:hAnsiTheme="minorHAnsi"/>
          <w:color w:val="auto"/>
          <w:szCs w:val="24"/>
        </w:rPr>
        <w:t xml:space="preserve"> </w:t>
      </w:r>
      <w:r w:rsidR="004D213E" w:rsidRPr="006B2565">
        <w:rPr>
          <w:rFonts w:asciiTheme="minorHAnsi" w:hAnsiTheme="minorHAnsi"/>
          <w:color w:val="auto"/>
          <w:szCs w:val="24"/>
        </w:rPr>
        <w:t xml:space="preserve">Post-separation evidence therefore is probative only to the extent that it reasonably reflects the disability and fitness implications at the time of separation. </w:t>
      </w:r>
      <w:r w:rsidR="00ED17F7">
        <w:rPr>
          <w:rFonts w:asciiTheme="minorHAnsi" w:hAnsiTheme="minorHAnsi"/>
          <w:color w:val="auto"/>
          <w:szCs w:val="24"/>
        </w:rPr>
        <w:t xml:space="preserve"> </w:t>
      </w:r>
      <w:r w:rsidR="004D213E" w:rsidRPr="006B2565">
        <w:rPr>
          <w:rFonts w:asciiTheme="minorHAnsi" w:hAnsiTheme="minorHAnsi"/>
          <w:color w:val="auto"/>
          <w:szCs w:val="24"/>
        </w:rPr>
        <w:t xml:space="preserve">The Board </w:t>
      </w:r>
      <w:r w:rsidR="006B2565" w:rsidRPr="006B2565">
        <w:rPr>
          <w:rFonts w:asciiTheme="minorHAnsi" w:hAnsiTheme="minorHAnsi"/>
          <w:color w:val="auto"/>
          <w:szCs w:val="24"/>
        </w:rPr>
        <w:t xml:space="preserve">also </w:t>
      </w:r>
      <w:r w:rsidR="004D213E" w:rsidRPr="006B2565">
        <w:rPr>
          <w:rFonts w:asciiTheme="minorHAnsi" w:hAnsiTheme="minorHAnsi"/>
          <w:color w:val="auto"/>
          <w:szCs w:val="24"/>
        </w:rPr>
        <w:t xml:space="preserve">acknowledges the CI’s assertions that </w:t>
      </w:r>
      <w:r w:rsidR="006B2565" w:rsidRPr="006B2565">
        <w:rPr>
          <w:rFonts w:asciiTheme="minorHAnsi" w:hAnsiTheme="minorHAnsi"/>
          <w:color w:val="auto"/>
          <w:szCs w:val="24"/>
        </w:rPr>
        <w:t xml:space="preserve">the PEB process did not acknowledge the seriousness of his condition. </w:t>
      </w:r>
      <w:r w:rsidR="004D213E" w:rsidRPr="006B2565">
        <w:rPr>
          <w:rFonts w:asciiTheme="minorHAnsi" w:hAnsiTheme="minorHAnsi"/>
          <w:color w:val="auto"/>
          <w:szCs w:val="24"/>
        </w:rPr>
        <w:t xml:space="preserve"> It is noted for the record that the Board has neither the jurisdiction nor authority to scrutinize or render opinions in reference to asserted service improprieties in the disposition of a case. </w:t>
      </w:r>
      <w:r w:rsidR="006B2565" w:rsidRPr="006B2565">
        <w:rPr>
          <w:rFonts w:asciiTheme="minorHAnsi" w:hAnsiTheme="minorHAnsi"/>
          <w:color w:val="auto"/>
          <w:szCs w:val="24"/>
        </w:rPr>
        <w:t xml:space="preserve"> </w:t>
      </w:r>
      <w:r w:rsidR="004D213E" w:rsidRPr="006B2565">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6B2565" w:rsidRPr="006B2565">
        <w:rPr>
          <w:rFonts w:asciiTheme="minorHAnsi" w:hAnsiTheme="minorHAnsi"/>
          <w:color w:val="auto"/>
          <w:szCs w:val="24"/>
        </w:rPr>
        <w:t xml:space="preserve"> </w:t>
      </w:r>
      <w:r w:rsidR="004D213E" w:rsidRPr="006B2565">
        <w:rPr>
          <w:rFonts w:asciiTheme="minorHAnsi" w:hAnsiTheme="minorHAnsi"/>
          <w:color w:val="auto"/>
          <w:szCs w:val="24"/>
        </w:rPr>
        <w:t>It must also judge the fairness of PEB fitness adjudications based on the fitness consequences of conditions as they existed at the time of separation.</w:t>
      </w:r>
    </w:p>
    <w:p w:rsidR="002F6AD8" w:rsidRPr="001F29F9" w:rsidRDefault="002F6AD8" w:rsidP="00BF0E94">
      <w:pPr>
        <w:jc w:val="left"/>
        <w:rPr>
          <w:color w:val="000000" w:themeColor="text1"/>
          <w:szCs w:val="24"/>
          <w:u w:val="single"/>
        </w:rPr>
      </w:pPr>
    </w:p>
    <w:p w:rsidR="006D5E32" w:rsidRDefault="00EF6BEF" w:rsidP="005E7744">
      <w:pPr>
        <w:jc w:val="both"/>
        <w:rPr>
          <w:color w:val="000000" w:themeColor="text1"/>
          <w:szCs w:val="24"/>
        </w:rPr>
      </w:pPr>
      <w:r>
        <w:rPr>
          <w:color w:val="000000" w:themeColor="text1"/>
          <w:szCs w:val="24"/>
          <w:u w:val="single"/>
        </w:rPr>
        <w:t>Bipolar Disorder</w:t>
      </w:r>
      <w:r w:rsidR="005A260F" w:rsidRPr="005A260F">
        <w:rPr>
          <w:color w:val="000000" w:themeColor="text1"/>
          <w:szCs w:val="24"/>
        </w:rPr>
        <w:t>.</w:t>
      </w:r>
      <w:r w:rsidR="00ED17F7">
        <w:rPr>
          <w:color w:val="000000" w:themeColor="text1"/>
          <w:szCs w:val="24"/>
        </w:rPr>
        <w:t xml:space="preserve">  </w:t>
      </w:r>
      <w:r w:rsidR="00DC6A21">
        <w:rPr>
          <w:color w:val="000000" w:themeColor="text1"/>
          <w:szCs w:val="24"/>
        </w:rPr>
        <w:t>In late 1997 the CI was</w:t>
      </w:r>
      <w:r w:rsidR="00ED17F7">
        <w:rPr>
          <w:color w:val="000000" w:themeColor="text1"/>
          <w:szCs w:val="24"/>
        </w:rPr>
        <w:t xml:space="preserve"> unhappy with his life in the context of a new</w:t>
      </w:r>
      <w:r w:rsidR="000D5346">
        <w:rPr>
          <w:color w:val="000000" w:themeColor="text1"/>
          <w:szCs w:val="24"/>
        </w:rPr>
        <w:t>,</w:t>
      </w:r>
      <w:r w:rsidR="00ED17F7">
        <w:rPr>
          <w:color w:val="000000" w:themeColor="text1"/>
          <w:szCs w:val="24"/>
        </w:rPr>
        <w:t xml:space="preserve"> more responsible assignment as an infantry platoon leader and a new marriage.  </w:t>
      </w:r>
      <w:r w:rsidR="00DC6A21">
        <w:rPr>
          <w:color w:val="000000" w:themeColor="text1"/>
          <w:szCs w:val="24"/>
        </w:rPr>
        <w:t>He had a gradual loss of energy, concentration, a failed attempt to get an expert infantryman badge, and poor marital relationship due to his wife’s perception of him not “doing anything</w:t>
      </w:r>
      <w:r w:rsidR="001C4CAC">
        <w:rPr>
          <w:color w:val="000000" w:themeColor="text1"/>
          <w:szCs w:val="24"/>
        </w:rPr>
        <w:t>.</w:t>
      </w:r>
      <w:r w:rsidR="00DC6A21">
        <w:rPr>
          <w:color w:val="000000" w:themeColor="text1"/>
          <w:szCs w:val="24"/>
        </w:rPr>
        <w:t>”</w:t>
      </w:r>
      <w:r w:rsidR="00DC6A21" w:rsidRPr="00DC6A21">
        <w:rPr>
          <w:color w:val="000000" w:themeColor="text1"/>
          <w:szCs w:val="24"/>
        </w:rPr>
        <w:t xml:space="preserve"> </w:t>
      </w:r>
      <w:r w:rsidR="00DC6A21">
        <w:rPr>
          <w:color w:val="000000" w:themeColor="text1"/>
          <w:szCs w:val="24"/>
        </w:rPr>
        <w:t xml:space="preserve"> In January 1998 </w:t>
      </w:r>
      <w:r w:rsidR="005E7744">
        <w:rPr>
          <w:color w:val="000000" w:themeColor="text1"/>
          <w:szCs w:val="24"/>
        </w:rPr>
        <w:t>he</w:t>
      </w:r>
      <w:r w:rsidR="00DC6A21">
        <w:rPr>
          <w:color w:val="000000" w:themeColor="text1"/>
          <w:szCs w:val="24"/>
        </w:rPr>
        <w:t xml:space="preserve"> self referred to mental health which resulted in a 2</w:t>
      </w:r>
      <w:r w:rsidR="009373FD">
        <w:rPr>
          <w:color w:val="000000" w:themeColor="text1"/>
          <w:szCs w:val="24"/>
        </w:rPr>
        <w:t>-</w:t>
      </w:r>
      <w:r w:rsidR="00DC6A21">
        <w:rPr>
          <w:color w:val="000000" w:themeColor="text1"/>
          <w:szCs w:val="24"/>
        </w:rPr>
        <w:t xml:space="preserve">day inpatient stay for suicidal thoughts.  </w:t>
      </w:r>
      <w:r w:rsidR="00DC6A21" w:rsidRPr="00DC6A21">
        <w:rPr>
          <w:color w:val="000000" w:themeColor="text1"/>
          <w:szCs w:val="24"/>
        </w:rPr>
        <w:lastRenderedPageBreak/>
        <w:t xml:space="preserve">A Beck </w:t>
      </w:r>
      <w:r w:rsidR="001C4CAC">
        <w:rPr>
          <w:color w:val="000000" w:themeColor="text1"/>
          <w:szCs w:val="24"/>
        </w:rPr>
        <w:t>d</w:t>
      </w:r>
      <w:r w:rsidR="00DC6A21" w:rsidRPr="00DC6A21">
        <w:rPr>
          <w:color w:val="000000" w:themeColor="text1"/>
          <w:szCs w:val="24"/>
        </w:rPr>
        <w:t xml:space="preserve">epression </w:t>
      </w:r>
      <w:r w:rsidR="001C4CAC">
        <w:rPr>
          <w:color w:val="000000" w:themeColor="text1"/>
          <w:szCs w:val="24"/>
        </w:rPr>
        <w:t>i</w:t>
      </w:r>
      <w:r w:rsidR="00DC6A21" w:rsidRPr="00DC6A21">
        <w:rPr>
          <w:color w:val="000000" w:themeColor="text1"/>
          <w:szCs w:val="24"/>
        </w:rPr>
        <w:t>nventory conducted on the day of admission</w:t>
      </w:r>
      <w:r w:rsidR="00E56F98" w:rsidRPr="00E56F98">
        <w:rPr>
          <w:rFonts w:asciiTheme="minorHAnsi" w:hAnsiTheme="minorHAnsi"/>
          <w:color w:val="000000" w:themeColor="text1"/>
          <w:szCs w:val="24"/>
        </w:rPr>
        <w:t xml:space="preserve"> </w:t>
      </w:r>
      <w:r w:rsidR="00DC6A21" w:rsidRPr="00E56F98">
        <w:rPr>
          <w:rFonts w:asciiTheme="minorHAnsi" w:hAnsiTheme="minorHAnsi"/>
          <w:color w:val="000000" w:themeColor="text1"/>
          <w:szCs w:val="24"/>
        </w:rPr>
        <w:t xml:space="preserve">revealed </w:t>
      </w:r>
      <w:r w:rsidR="00DC6A21" w:rsidRPr="00E56F98">
        <w:rPr>
          <w:rFonts w:asciiTheme="minorHAnsi" w:hAnsiTheme="minorHAnsi"/>
          <w:bCs/>
          <w:color w:val="000000" w:themeColor="text1"/>
          <w:szCs w:val="24"/>
        </w:rPr>
        <w:t xml:space="preserve">a score of </w:t>
      </w:r>
      <w:r w:rsidR="00DC6A21" w:rsidRPr="00E56F98">
        <w:rPr>
          <w:rFonts w:asciiTheme="minorHAnsi" w:hAnsiTheme="minorHAnsi"/>
          <w:color w:val="000000" w:themeColor="text1"/>
          <w:szCs w:val="24"/>
        </w:rPr>
        <w:t>31/63</w:t>
      </w:r>
      <w:r w:rsidR="000D5346">
        <w:rPr>
          <w:rFonts w:asciiTheme="minorHAnsi" w:hAnsiTheme="minorHAnsi"/>
          <w:color w:val="000000" w:themeColor="text1"/>
          <w:szCs w:val="24"/>
        </w:rPr>
        <w:t xml:space="preserve"> </w:t>
      </w:r>
      <w:r w:rsidR="00DC6A21" w:rsidRPr="00DC6A21">
        <w:rPr>
          <w:color w:val="000000" w:themeColor="text1"/>
          <w:szCs w:val="24"/>
        </w:rPr>
        <w:t xml:space="preserve">consistent with significant depression. </w:t>
      </w:r>
      <w:r w:rsidR="00E56F98">
        <w:rPr>
          <w:color w:val="000000" w:themeColor="text1"/>
          <w:szCs w:val="24"/>
        </w:rPr>
        <w:t xml:space="preserve"> </w:t>
      </w:r>
      <w:r w:rsidR="00DC6A21" w:rsidRPr="00DC6A21">
        <w:rPr>
          <w:color w:val="000000" w:themeColor="text1"/>
          <w:szCs w:val="24"/>
        </w:rPr>
        <w:t>He responded</w:t>
      </w:r>
      <w:r w:rsidR="00E56F98">
        <w:rPr>
          <w:color w:val="000000" w:themeColor="text1"/>
          <w:szCs w:val="24"/>
        </w:rPr>
        <w:t xml:space="preserve"> </w:t>
      </w:r>
      <w:r w:rsidR="00DC6A21" w:rsidRPr="00DC6A21">
        <w:rPr>
          <w:color w:val="000000" w:themeColor="text1"/>
          <w:szCs w:val="24"/>
        </w:rPr>
        <w:t>well to medication</w:t>
      </w:r>
      <w:r w:rsidR="00E56F98">
        <w:rPr>
          <w:color w:val="000000" w:themeColor="text1"/>
          <w:szCs w:val="24"/>
        </w:rPr>
        <w:t>s</w:t>
      </w:r>
      <w:r w:rsidR="00DC6A21" w:rsidRPr="00DC6A21">
        <w:rPr>
          <w:color w:val="000000" w:themeColor="text1"/>
          <w:szCs w:val="24"/>
        </w:rPr>
        <w:t xml:space="preserve"> </w:t>
      </w:r>
      <w:r w:rsidR="00DC6A21">
        <w:rPr>
          <w:color w:val="000000" w:themeColor="text1"/>
          <w:szCs w:val="24"/>
        </w:rPr>
        <w:t xml:space="preserve">and on </w:t>
      </w:r>
      <w:r w:rsidR="00DC6A21" w:rsidRPr="00DC6A21">
        <w:rPr>
          <w:color w:val="000000" w:themeColor="text1"/>
          <w:szCs w:val="24"/>
        </w:rPr>
        <w:t xml:space="preserve">discharge was </w:t>
      </w:r>
      <w:r w:rsidR="00E56F98">
        <w:rPr>
          <w:color w:val="000000" w:themeColor="text1"/>
          <w:szCs w:val="24"/>
        </w:rPr>
        <w:t xml:space="preserve">diagnosed with </w:t>
      </w:r>
      <w:r w:rsidR="00DC6A21" w:rsidRPr="00DC6A21">
        <w:rPr>
          <w:color w:val="000000" w:themeColor="text1"/>
          <w:szCs w:val="24"/>
        </w:rPr>
        <w:t>major depressive disorder</w:t>
      </w:r>
      <w:r w:rsidR="001C4CAC">
        <w:rPr>
          <w:color w:val="000000" w:themeColor="text1"/>
          <w:szCs w:val="24"/>
        </w:rPr>
        <w:t xml:space="preserve"> (MDD)</w:t>
      </w:r>
      <w:r w:rsidR="00DC6A21" w:rsidRPr="00DC6A21">
        <w:rPr>
          <w:color w:val="000000" w:themeColor="text1"/>
          <w:szCs w:val="24"/>
        </w:rPr>
        <w:t xml:space="preserve">, single episode, and dysthymic </w:t>
      </w:r>
      <w:r w:rsidR="00BE734D" w:rsidRPr="00DC6A21">
        <w:rPr>
          <w:color w:val="000000" w:themeColor="text1"/>
          <w:szCs w:val="24"/>
        </w:rPr>
        <w:t>disorder, primary</w:t>
      </w:r>
      <w:r w:rsidR="00DC6A21" w:rsidRPr="00DC6A21">
        <w:rPr>
          <w:color w:val="000000" w:themeColor="text1"/>
          <w:szCs w:val="24"/>
        </w:rPr>
        <w:t xml:space="preserve"> onset.</w:t>
      </w:r>
      <w:r w:rsidR="00DC6A21">
        <w:rPr>
          <w:color w:val="000000" w:themeColor="text1"/>
          <w:szCs w:val="24"/>
        </w:rPr>
        <w:t xml:space="preserve">  After returning from 3 weeks of convalescent leave he was followed in outpatient mental health</w:t>
      </w:r>
      <w:r w:rsidR="00E56F98">
        <w:rPr>
          <w:color w:val="000000" w:themeColor="text1"/>
          <w:szCs w:val="24"/>
        </w:rPr>
        <w:t>,</w:t>
      </w:r>
      <w:r w:rsidR="00DC6A21">
        <w:rPr>
          <w:color w:val="000000" w:themeColor="text1"/>
          <w:szCs w:val="24"/>
        </w:rPr>
        <w:t xml:space="preserve"> </w:t>
      </w:r>
      <w:r w:rsidR="00E56F98">
        <w:rPr>
          <w:color w:val="000000" w:themeColor="text1"/>
          <w:szCs w:val="24"/>
        </w:rPr>
        <w:t xml:space="preserve">continued his medications </w:t>
      </w:r>
      <w:r w:rsidR="00DC6A21">
        <w:rPr>
          <w:color w:val="000000" w:themeColor="text1"/>
          <w:szCs w:val="24"/>
        </w:rPr>
        <w:t>and was reassigned to work as an assistant S3</w:t>
      </w:r>
      <w:r w:rsidR="00E56F98">
        <w:rPr>
          <w:color w:val="000000" w:themeColor="text1"/>
          <w:szCs w:val="24"/>
        </w:rPr>
        <w:t xml:space="preserve">.  He was stable enough </w:t>
      </w:r>
      <w:r w:rsidR="000D5346">
        <w:rPr>
          <w:color w:val="000000" w:themeColor="text1"/>
          <w:szCs w:val="24"/>
        </w:rPr>
        <w:t>which led</w:t>
      </w:r>
      <w:r w:rsidR="00E56F98">
        <w:rPr>
          <w:color w:val="000000" w:themeColor="text1"/>
          <w:szCs w:val="24"/>
        </w:rPr>
        <w:t xml:space="preserve"> to terminations of regular psychiatric sessions but 2 months later he had a recurrence of depression symptoms and </w:t>
      </w:r>
      <w:r w:rsidR="00BE734D">
        <w:rPr>
          <w:color w:val="000000" w:themeColor="text1"/>
          <w:szCs w:val="24"/>
        </w:rPr>
        <w:t>suicidal</w:t>
      </w:r>
      <w:r w:rsidR="00E56F98">
        <w:rPr>
          <w:color w:val="000000" w:themeColor="text1"/>
          <w:szCs w:val="24"/>
        </w:rPr>
        <w:t xml:space="preserve"> ideations </w:t>
      </w:r>
      <w:r w:rsidR="005E7744">
        <w:rPr>
          <w:color w:val="000000" w:themeColor="text1"/>
          <w:szCs w:val="24"/>
        </w:rPr>
        <w:t>which led</w:t>
      </w:r>
      <w:r w:rsidR="00E56F98">
        <w:rPr>
          <w:color w:val="000000" w:themeColor="text1"/>
          <w:szCs w:val="24"/>
        </w:rPr>
        <w:t xml:space="preserve"> to a second </w:t>
      </w:r>
      <w:r w:rsidR="006D5E32">
        <w:rPr>
          <w:color w:val="000000" w:themeColor="text1"/>
          <w:szCs w:val="24"/>
        </w:rPr>
        <w:t>hospitalization</w:t>
      </w:r>
      <w:r w:rsidR="00E56F98">
        <w:rPr>
          <w:color w:val="000000" w:themeColor="text1"/>
          <w:szCs w:val="24"/>
        </w:rPr>
        <w:t xml:space="preserve">.  Further inquiry into his mood disorder revealed evidence of hypomanic episodes </w:t>
      </w:r>
      <w:r w:rsidR="006D5E32">
        <w:rPr>
          <w:color w:val="000000" w:themeColor="text1"/>
          <w:szCs w:val="24"/>
        </w:rPr>
        <w:t xml:space="preserve">which </w:t>
      </w:r>
      <w:r w:rsidR="00E56F98">
        <w:rPr>
          <w:color w:val="000000" w:themeColor="text1"/>
          <w:szCs w:val="24"/>
        </w:rPr>
        <w:t xml:space="preserve">led to a revision of his diagnosis to bipolar II disorder.  </w:t>
      </w:r>
      <w:r w:rsidR="006D5E32">
        <w:rPr>
          <w:color w:val="000000" w:themeColor="text1"/>
          <w:szCs w:val="24"/>
        </w:rPr>
        <w:t xml:space="preserve">He responded to additional medications but remained with depressive and manic symptoms </w:t>
      </w:r>
      <w:r w:rsidR="000D5346">
        <w:rPr>
          <w:color w:val="000000" w:themeColor="text1"/>
          <w:szCs w:val="24"/>
        </w:rPr>
        <w:t xml:space="preserve">and </w:t>
      </w:r>
      <w:r w:rsidR="006D5E32">
        <w:rPr>
          <w:color w:val="000000" w:themeColor="text1"/>
          <w:szCs w:val="24"/>
        </w:rPr>
        <w:t>thus underwent a MEB.  The profile was</w:t>
      </w:r>
      <w:r w:rsidR="005E7744">
        <w:rPr>
          <w:color w:val="000000" w:themeColor="text1"/>
          <w:szCs w:val="24"/>
        </w:rPr>
        <w:t xml:space="preserve"> written</w:t>
      </w:r>
      <w:r w:rsidR="006D5E32">
        <w:rPr>
          <w:color w:val="000000" w:themeColor="text1"/>
          <w:szCs w:val="24"/>
        </w:rPr>
        <w:t xml:space="preserve"> for bipolar disorder with the following limitations</w:t>
      </w:r>
      <w:r w:rsidR="000D5346">
        <w:rPr>
          <w:color w:val="000000" w:themeColor="text1"/>
          <w:szCs w:val="24"/>
        </w:rPr>
        <w:t xml:space="preserve">; </w:t>
      </w:r>
      <w:r w:rsidR="006D5E32">
        <w:rPr>
          <w:color w:val="000000" w:themeColor="text1"/>
          <w:szCs w:val="24"/>
        </w:rPr>
        <w:t xml:space="preserve">no deployment away from </w:t>
      </w:r>
      <w:r w:rsidR="000D5346">
        <w:rPr>
          <w:color w:val="000000" w:themeColor="text1"/>
          <w:szCs w:val="24"/>
        </w:rPr>
        <w:t xml:space="preserve">a </w:t>
      </w:r>
      <w:r w:rsidR="001C4CAC">
        <w:rPr>
          <w:color w:val="000000" w:themeColor="text1"/>
          <w:szCs w:val="24"/>
        </w:rPr>
        <w:t>m</w:t>
      </w:r>
      <w:r w:rsidR="006D5E32">
        <w:rPr>
          <w:color w:val="000000" w:themeColor="text1"/>
          <w:szCs w:val="24"/>
        </w:rPr>
        <w:t xml:space="preserve">edical </w:t>
      </w:r>
      <w:r w:rsidR="001C4CAC">
        <w:rPr>
          <w:color w:val="000000" w:themeColor="text1"/>
          <w:szCs w:val="24"/>
        </w:rPr>
        <w:t xml:space="preserve">center, </w:t>
      </w:r>
      <w:r w:rsidR="006D5E32">
        <w:rPr>
          <w:color w:val="000000" w:themeColor="text1"/>
          <w:szCs w:val="24"/>
        </w:rPr>
        <w:t>no access to weapons or live amm</w:t>
      </w:r>
      <w:r w:rsidR="000D5346">
        <w:rPr>
          <w:color w:val="000000" w:themeColor="text1"/>
          <w:szCs w:val="24"/>
        </w:rPr>
        <w:t>unition</w:t>
      </w:r>
      <w:r w:rsidR="006D5E32">
        <w:rPr>
          <w:color w:val="000000" w:themeColor="text1"/>
          <w:szCs w:val="24"/>
        </w:rPr>
        <w:t xml:space="preserve">.  </w:t>
      </w:r>
      <w:r w:rsidR="005E7744">
        <w:rPr>
          <w:color w:val="000000" w:themeColor="text1"/>
          <w:szCs w:val="24"/>
        </w:rPr>
        <w:t xml:space="preserve">The </w:t>
      </w:r>
      <w:r w:rsidR="001C4CAC">
        <w:rPr>
          <w:color w:val="000000" w:themeColor="text1"/>
          <w:szCs w:val="24"/>
        </w:rPr>
        <w:t>c</w:t>
      </w:r>
      <w:r w:rsidR="006D5E32">
        <w:rPr>
          <w:color w:val="000000" w:themeColor="text1"/>
          <w:szCs w:val="24"/>
        </w:rPr>
        <w:t>ommander</w:t>
      </w:r>
      <w:r w:rsidR="00726666">
        <w:rPr>
          <w:color w:val="000000" w:themeColor="text1"/>
          <w:szCs w:val="24"/>
        </w:rPr>
        <w:t xml:space="preserve">’s statement corroborated the profile limitations in addition documented performance “nothing less that of a true soldier” however noted due to </w:t>
      </w:r>
      <w:r w:rsidR="005E7744">
        <w:rPr>
          <w:color w:val="000000" w:themeColor="text1"/>
          <w:szCs w:val="24"/>
        </w:rPr>
        <w:t>the</w:t>
      </w:r>
      <w:r w:rsidR="00726666">
        <w:rPr>
          <w:color w:val="000000" w:themeColor="text1"/>
          <w:szCs w:val="24"/>
        </w:rPr>
        <w:t xml:space="preserve"> two attempts of suicide “</w:t>
      </w:r>
      <w:r w:rsidR="00726666" w:rsidRPr="00726666">
        <w:rPr>
          <w:color w:val="000000" w:themeColor="text1"/>
          <w:szCs w:val="24"/>
        </w:rPr>
        <w:t>that it is of the best interest of this</w:t>
      </w:r>
      <w:r w:rsidR="00726666">
        <w:rPr>
          <w:color w:val="000000" w:themeColor="text1"/>
          <w:szCs w:val="24"/>
        </w:rPr>
        <w:t xml:space="preserve"> </w:t>
      </w:r>
      <w:r w:rsidR="00726666" w:rsidRPr="00726666">
        <w:rPr>
          <w:color w:val="000000" w:themeColor="text1"/>
          <w:szCs w:val="24"/>
        </w:rPr>
        <w:t>officer to no longer be retained</w:t>
      </w:r>
      <w:r w:rsidR="001C4CAC">
        <w:rPr>
          <w:color w:val="000000" w:themeColor="text1"/>
          <w:szCs w:val="24"/>
        </w:rPr>
        <w:t>.</w:t>
      </w:r>
      <w:r w:rsidR="00726666">
        <w:rPr>
          <w:color w:val="000000" w:themeColor="text1"/>
          <w:szCs w:val="24"/>
        </w:rPr>
        <w:t>”</w:t>
      </w:r>
    </w:p>
    <w:p w:rsidR="003F2EEE" w:rsidRDefault="003F2EEE" w:rsidP="00E56F98">
      <w:pPr>
        <w:jc w:val="both"/>
        <w:rPr>
          <w:color w:val="000000" w:themeColor="text1"/>
          <w:szCs w:val="24"/>
        </w:rPr>
      </w:pPr>
    </w:p>
    <w:p w:rsidR="005E7744" w:rsidRDefault="005E7744" w:rsidP="00706ED5">
      <w:pPr>
        <w:jc w:val="both"/>
        <w:rPr>
          <w:color w:val="auto"/>
          <w:szCs w:val="24"/>
        </w:rPr>
      </w:pPr>
      <w:r w:rsidRPr="00F64312">
        <w:rPr>
          <w:color w:val="auto"/>
          <w:szCs w:val="24"/>
        </w:rPr>
        <w:t>At the MEB exam, the CI reported</w:t>
      </w:r>
      <w:r>
        <w:rPr>
          <w:color w:val="auto"/>
          <w:szCs w:val="24"/>
        </w:rPr>
        <w:t xml:space="preserve"> he had</w:t>
      </w:r>
      <w:r>
        <w:rPr>
          <w:color w:val="000000" w:themeColor="text1"/>
          <w:szCs w:val="24"/>
        </w:rPr>
        <w:t xml:space="preserve"> responded to additional medications but remained with depressive symptoms, thoughts of grandiosity, felt he had little control over his behavior and admitted wanting to engage in high risk acts.  He no longer had suicidal ideations and continued to have marital difficulties, “not good, but not terrible</w:t>
      </w:r>
      <w:r w:rsidR="001C4CAC">
        <w:rPr>
          <w:color w:val="000000" w:themeColor="text1"/>
          <w:szCs w:val="24"/>
        </w:rPr>
        <w:t>.</w:t>
      </w:r>
      <w:r>
        <w:rPr>
          <w:color w:val="000000" w:themeColor="text1"/>
          <w:szCs w:val="24"/>
        </w:rPr>
        <w:t>”</w:t>
      </w:r>
      <w:r w:rsidR="006F5E1A">
        <w:rPr>
          <w:rFonts w:eastAsia="HiddenHorzOCR"/>
          <w:color w:val="000000" w:themeColor="text1"/>
          <w:szCs w:val="24"/>
        </w:rPr>
        <w:t xml:space="preserve">  </w:t>
      </w:r>
      <w:r w:rsidRPr="00F64312">
        <w:rPr>
          <w:color w:val="auto"/>
          <w:szCs w:val="24"/>
        </w:rPr>
        <w:t xml:space="preserve">The MEB physical exam </w:t>
      </w:r>
      <w:r>
        <w:rPr>
          <w:color w:val="auto"/>
          <w:szCs w:val="24"/>
        </w:rPr>
        <w:t>demonstrated</w:t>
      </w:r>
      <w:r w:rsidR="000D5346">
        <w:rPr>
          <w:color w:val="auto"/>
          <w:szCs w:val="24"/>
        </w:rPr>
        <w:t>;</w:t>
      </w:r>
      <w:r>
        <w:rPr>
          <w:color w:val="auto"/>
          <w:szCs w:val="24"/>
        </w:rPr>
        <w:t xml:space="preserve"> </w:t>
      </w:r>
      <w:r>
        <w:rPr>
          <w:rFonts w:eastAsia="HiddenHorzOCR"/>
          <w:color w:val="000000" w:themeColor="text1"/>
          <w:szCs w:val="24"/>
        </w:rPr>
        <w:t>a</w:t>
      </w:r>
      <w:r w:rsidRPr="00370E3E">
        <w:rPr>
          <w:rFonts w:eastAsia="HiddenHorzOCR"/>
          <w:color w:val="000000" w:themeColor="text1"/>
          <w:szCs w:val="24"/>
        </w:rPr>
        <w:t>ppropriate grooming and hygiene</w:t>
      </w:r>
      <w:r w:rsidR="000D5346">
        <w:rPr>
          <w:rFonts w:eastAsia="HiddenHorzOCR"/>
          <w:color w:val="000000" w:themeColor="text1"/>
          <w:szCs w:val="24"/>
        </w:rPr>
        <w:t>,</w:t>
      </w:r>
      <w:r w:rsidRPr="00370E3E">
        <w:rPr>
          <w:rFonts w:eastAsia="HiddenHorzOCR"/>
          <w:color w:val="000000" w:themeColor="text1"/>
          <w:szCs w:val="24"/>
        </w:rPr>
        <w:t xml:space="preserve"> </w:t>
      </w:r>
      <w:r w:rsidR="006F5E1A">
        <w:rPr>
          <w:rFonts w:eastAsia="HiddenHorzOCR"/>
          <w:color w:val="000000" w:themeColor="text1"/>
          <w:szCs w:val="24"/>
        </w:rPr>
        <w:t xml:space="preserve">fully </w:t>
      </w:r>
      <w:r w:rsidRPr="00370E3E">
        <w:rPr>
          <w:rFonts w:eastAsia="HiddenHorzOCR"/>
          <w:color w:val="000000" w:themeColor="text1"/>
          <w:szCs w:val="24"/>
        </w:rPr>
        <w:t>alert and</w:t>
      </w:r>
      <w:r>
        <w:rPr>
          <w:rFonts w:eastAsia="HiddenHorzOCR"/>
          <w:color w:val="000000" w:themeColor="text1"/>
          <w:szCs w:val="24"/>
        </w:rPr>
        <w:t xml:space="preserve"> oriented</w:t>
      </w:r>
      <w:r w:rsidR="000D5346">
        <w:rPr>
          <w:rFonts w:eastAsia="HiddenHorzOCR"/>
          <w:color w:val="000000" w:themeColor="text1"/>
          <w:szCs w:val="24"/>
        </w:rPr>
        <w:t>,</w:t>
      </w:r>
      <w:r w:rsidR="006F5E1A">
        <w:rPr>
          <w:rFonts w:eastAsia="HiddenHorzOCR"/>
          <w:color w:val="000000" w:themeColor="text1"/>
          <w:szCs w:val="24"/>
        </w:rPr>
        <w:t xml:space="preserve"> normal speech</w:t>
      </w:r>
      <w:r w:rsidR="000D5346">
        <w:rPr>
          <w:rFonts w:eastAsia="HiddenHorzOCR"/>
          <w:color w:val="000000" w:themeColor="text1"/>
          <w:szCs w:val="24"/>
        </w:rPr>
        <w:t>,</w:t>
      </w:r>
      <w:r w:rsidR="006F5E1A">
        <w:rPr>
          <w:rFonts w:eastAsia="HiddenHorzOCR"/>
          <w:color w:val="000000" w:themeColor="text1"/>
          <w:szCs w:val="24"/>
        </w:rPr>
        <w:t xml:space="preserve"> normal a</w:t>
      </w:r>
      <w:r w:rsidR="006F5E1A" w:rsidRPr="00370E3E">
        <w:rPr>
          <w:rFonts w:eastAsia="HiddenHorzOCR"/>
          <w:color w:val="000000" w:themeColor="text1"/>
          <w:szCs w:val="24"/>
        </w:rPr>
        <w:t xml:space="preserve">ttention and cognitive </w:t>
      </w:r>
      <w:r w:rsidR="006F5E1A">
        <w:rPr>
          <w:rFonts w:eastAsia="HiddenHorzOCR"/>
          <w:color w:val="000000" w:themeColor="text1"/>
          <w:szCs w:val="24"/>
        </w:rPr>
        <w:t>abilities</w:t>
      </w:r>
      <w:r w:rsidR="00A3370E">
        <w:rPr>
          <w:rFonts w:eastAsia="HiddenHorzOCR"/>
          <w:color w:val="000000" w:themeColor="text1"/>
          <w:szCs w:val="24"/>
        </w:rPr>
        <w:t>,</w:t>
      </w:r>
      <w:r w:rsidR="006F5E1A">
        <w:rPr>
          <w:rFonts w:eastAsia="HiddenHorzOCR"/>
          <w:color w:val="000000" w:themeColor="text1"/>
          <w:szCs w:val="24"/>
        </w:rPr>
        <w:t xml:space="preserve"> normal thought process and content without suicidal or homicidal ideations</w:t>
      </w:r>
      <w:r w:rsidR="00A3370E">
        <w:rPr>
          <w:rFonts w:eastAsia="HiddenHorzOCR"/>
          <w:color w:val="000000" w:themeColor="text1"/>
          <w:szCs w:val="24"/>
        </w:rPr>
        <w:t>,</w:t>
      </w:r>
      <w:r w:rsidR="006F5E1A">
        <w:rPr>
          <w:rFonts w:eastAsia="HiddenHorzOCR"/>
          <w:color w:val="000000" w:themeColor="text1"/>
          <w:szCs w:val="24"/>
        </w:rPr>
        <w:t xml:space="preserve"> no hallucinations</w:t>
      </w:r>
      <w:r w:rsidR="00A3370E">
        <w:rPr>
          <w:rFonts w:eastAsia="HiddenHorzOCR"/>
          <w:color w:val="000000" w:themeColor="text1"/>
          <w:szCs w:val="24"/>
        </w:rPr>
        <w:t>,</w:t>
      </w:r>
      <w:r w:rsidR="006F5E1A">
        <w:rPr>
          <w:rFonts w:eastAsia="HiddenHorzOCR"/>
          <w:color w:val="000000" w:themeColor="text1"/>
          <w:szCs w:val="24"/>
        </w:rPr>
        <w:t xml:space="preserve"> appeared concerned and depressed</w:t>
      </w:r>
      <w:r w:rsidR="00A3370E">
        <w:rPr>
          <w:rFonts w:eastAsia="HiddenHorzOCR"/>
          <w:color w:val="000000" w:themeColor="text1"/>
          <w:szCs w:val="24"/>
        </w:rPr>
        <w:t>,</w:t>
      </w:r>
      <w:r w:rsidRPr="00370E3E">
        <w:rPr>
          <w:rFonts w:eastAsia="HiddenHorzOCR"/>
          <w:color w:val="000000" w:themeColor="text1"/>
          <w:szCs w:val="24"/>
        </w:rPr>
        <w:t xml:space="preserve"> express</w:t>
      </w:r>
      <w:r w:rsidR="006F5E1A">
        <w:rPr>
          <w:rFonts w:eastAsia="HiddenHorzOCR"/>
          <w:color w:val="000000" w:themeColor="text1"/>
          <w:szCs w:val="24"/>
        </w:rPr>
        <w:t>ed</w:t>
      </w:r>
      <w:r w:rsidRPr="00370E3E">
        <w:rPr>
          <w:rFonts w:eastAsia="HiddenHorzOCR"/>
          <w:color w:val="000000" w:themeColor="text1"/>
          <w:szCs w:val="24"/>
        </w:rPr>
        <w:t xml:space="preserve"> ambivalence and some sense</w:t>
      </w:r>
      <w:r>
        <w:rPr>
          <w:rFonts w:eastAsia="HiddenHorzOCR"/>
          <w:color w:val="000000" w:themeColor="text1"/>
          <w:szCs w:val="24"/>
        </w:rPr>
        <w:t xml:space="preserve"> </w:t>
      </w:r>
      <w:r w:rsidRPr="00370E3E">
        <w:rPr>
          <w:rFonts w:eastAsia="HiddenHorzOCR"/>
          <w:color w:val="000000" w:themeColor="text1"/>
          <w:szCs w:val="24"/>
        </w:rPr>
        <w:t>of hopelessness</w:t>
      </w:r>
      <w:r w:rsidR="00A3370E">
        <w:rPr>
          <w:rFonts w:eastAsia="HiddenHorzOCR"/>
          <w:color w:val="000000" w:themeColor="text1"/>
          <w:szCs w:val="24"/>
        </w:rPr>
        <w:t>,</w:t>
      </w:r>
      <w:r>
        <w:rPr>
          <w:rFonts w:eastAsia="HiddenHorzOCR"/>
          <w:color w:val="000000" w:themeColor="text1"/>
          <w:szCs w:val="24"/>
        </w:rPr>
        <w:t xml:space="preserve"> </w:t>
      </w:r>
      <w:r w:rsidR="006F5E1A">
        <w:rPr>
          <w:rFonts w:eastAsia="HiddenHorzOCR"/>
          <w:color w:val="000000" w:themeColor="text1"/>
          <w:szCs w:val="24"/>
        </w:rPr>
        <w:t xml:space="preserve">was </w:t>
      </w:r>
      <w:r w:rsidRPr="00370E3E">
        <w:rPr>
          <w:rFonts w:eastAsia="HiddenHorzOCR"/>
          <w:color w:val="000000" w:themeColor="text1"/>
          <w:szCs w:val="24"/>
        </w:rPr>
        <w:t xml:space="preserve">cooperative but </w:t>
      </w:r>
      <w:r w:rsidR="006F5E1A">
        <w:rPr>
          <w:rFonts w:eastAsia="HiddenHorzOCR"/>
          <w:color w:val="000000" w:themeColor="text1"/>
          <w:szCs w:val="24"/>
        </w:rPr>
        <w:t>was</w:t>
      </w:r>
      <w:r>
        <w:rPr>
          <w:rFonts w:eastAsia="HiddenHorzOCR"/>
          <w:color w:val="000000" w:themeColor="text1"/>
          <w:szCs w:val="24"/>
        </w:rPr>
        <w:t xml:space="preserve"> </w:t>
      </w:r>
      <w:r w:rsidRPr="00370E3E">
        <w:rPr>
          <w:rFonts w:eastAsia="HiddenHorzOCR"/>
          <w:color w:val="000000" w:themeColor="text1"/>
          <w:szCs w:val="24"/>
        </w:rPr>
        <w:t>more reticent</w:t>
      </w:r>
      <w:r w:rsidR="006F5E1A">
        <w:rPr>
          <w:rFonts w:eastAsia="HiddenHorzOCR"/>
          <w:color w:val="000000" w:themeColor="text1"/>
          <w:szCs w:val="24"/>
        </w:rPr>
        <w:t xml:space="preserve"> with </w:t>
      </w:r>
      <w:r w:rsidRPr="00370E3E">
        <w:rPr>
          <w:rFonts w:eastAsia="HiddenHorzOCR"/>
          <w:color w:val="000000" w:themeColor="text1"/>
          <w:szCs w:val="24"/>
        </w:rPr>
        <w:t>limited eye contact</w:t>
      </w:r>
      <w:r w:rsidR="00A3370E">
        <w:rPr>
          <w:rFonts w:eastAsia="HiddenHorzOCR"/>
          <w:color w:val="000000" w:themeColor="text1"/>
          <w:szCs w:val="24"/>
        </w:rPr>
        <w:t>,</w:t>
      </w:r>
      <w:r w:rsidRPr="00370E3E">
        <w:rPr>
          <w:rFonts w:eastAsia="HiddenHorzOCR"/>
          <w:color w:val="000000" w:themeColor="text1"/>
          <w:szCs w:val="24"/>
        </w:rPr>
        <w:t xml:space="preserve"> display</w:t>
      </w:r>
      <w:r w:rsidR="006F5E1A">
        <w:rPr>
          <w:rFonts w:eastAsia="HiddenHorzOCR"/>
          <w:color w:val="000000" w:themeColor="text1"/>
          <w:szCs w:val="24"/>
        </w:rPr>
        <w:t>ed</w:t>
      </w:r>
      <w:r w:rsidRPr="00370E3E">
        <w:rPr>
          <w:rFonts w:eastAsia="HiddenHorzOCR"/>
          <w:color w:val="000000" w:themeColor="text1"/>
          <w:szCs w:val="24"/>
        </w:rPr>
        <w:t xml:space="preserve"> moderate psychomotor</w:t>
      </w:r>
      <w:r>
        <w:rPr>
          <w:rFonts w:eastAsia="HiddenHorzOCR"/>
          <w:color w:val="000000" w:themeColor="text1"/>
          <w:szCs w:val="24"/>
        </w:rPr>
        <w:t xml:space="preserve"> </w:t>
      </w:r>
      <w:r w:rsidRPr="00370E3E">
        <w:rPr>
          <w:rFonts w:eastAsia="HiddenHorzOCR"/>
          <w:color w:val="000000" w:themeColor="text1"/>
          <w:szCs w:val="24"/>
        </w:rPr>
        <w:t>retardation</w:t>
      </w:r>
      <w:r w:rsidR="00A3370E">
        <w:rPr>
          <w:rFonts w:eastAsia="HiddenHorzOCR"/>
          <w:color w:val="000000" w:themeColor="text1"/>
          <w:szCs w:val="24"/>
        </w:rPr>
        <w:t>,</w:t>
      </w:r>
      <w:r>
        <w:rPr>
          <w:rFonts w:eastAsia="HiddenHorzOCR"/>
          <w:color w:val="000000" w:themeColor="text1"/>
          <w:szCs w:val="24"/>
        </w:rPr>
        <w:t xml:space="preserve"> </w:t>
      </w:r>
      <w:r w:rsidRPr="00370E3E">
        <w:rPr>
          <w:rFonts w:eastAsia="HiddenHorzOCR"/>
          <w:color w:val="000000" w:themeColor="text1"/>
          <w:szCs w:val="24"/>
        </w:rPr>
        <w:t xml:space="preserve">affect </w:t>
      </w:r>
      <w:r w:rsidR="006F5E1A">
        <w:rPr>
          <w:rFonts w:eastAsia="HiddenHorzOCR"/>
          <w:color w:val="000000" w:themeColor="text1"/>
          <w:szCs w:val="24"/>
        </w:rPr>
        <w:t>was</w:t>
      </w:r>
      <w:r w:rsidRPr="00370E3E">
        <w:rPr>
          <w:rFonts w:eastAsia="HiddenHorzOCR"/>
          <w:color w:val="000000" w:themeColor="text1"/>
          <w:szCs w:val="24"/>
        </w:rPr>
        <w:t xml:space="preserve"> congruent and restricted with mixed depressive and anxious</w:t>
      </w:r>
      <w:r>
        <w:rPr>
          <w:rFonts w:eastAsia="HiddenHorzOCR"/>
          <w:color w:val="000000" w:themeColor="text1"/>
          <w:szCs w:val="24"/>
        </w:rPr>
        <w:t xml:space="preserve"> </w:t>
      </w:r>
      <w:r w:rsidRPr="00370E3E">
        <w:rPr>
          <w:rFonts w:eastAsia="HiddenHorzOCR"/>
          <w:color w:val="000000" w:themeColor="text1"/>
          <w:szCs w:val="24"/>
        </w:rPr>
        <w:t>features</w:t>
      </w:r>
      <w:r w:rsidR="00A3370E">
        <w:rPr>
          <w:rFonts w:eastAsia="HiddenHorzOCR"/>
          <w:color w:val="000000" w:themeColor="text1"/>
          <w:szCs w:val="24"/>
        </w:rPr>
        <w:t>,</w:t>
      </w:r>
      <w:r>
        <w:rPr>
          <w:rFonts w:eastAsia="HiddenHorzOCR"/>
          <w:color w:val="000000" w:themeColor="text1"/>
          <w:szCs w:val="24"/>
        </w:rPr>
        <w:t xml:space="preserve"> </w:t>
      </w:r>
      <w:r w:rsidR="006F5E1A">
        <w:rPr>
          <w:rFonts w:eastAsia="HiddenHorzOCR"/>
          <w:color w:val="000000" w:themeColor="text1"/>
          <w:szCs w:val="24"/>
        </w:rPr>
        <w:t>and</w:t>
      </w:r>
      <w:r w:rsidR="00A3370E" w:rsidRPr="00A3370E">
        <w:rPr>
          <w:rFonts w:eastAsia="HiddenHorzOCR"/>
          <w:color w:val="000000" w:themeColor="text1"/>
          <w:szCs w:val="24"/>
        </w:rPr>
        <w:t xml:space="preserve"> </w:t>
      </w:r>
      <w:r w:rsidR="00A3370E">
        <w:rPr>
          <w:rFonts w:eastAsia="HiddenHorzOCR"/>
          <w:color w:val="000000" w:themeColor="text1"/>
          <w:szCs w:val="24"/>
        </w:rPr>
        <w:t>j</w:t>
      </w:r>
      <w:r w:rsidR="00A3370E" w:rsidRPr="00370E3E">
        <w:rPr>
          <w:rFonts w:eastAsia="HiddenHorzOCR"/>
          <w:color w:val="000000" w:themeColor="text1"/>
          <w:szCs w:val="24"/>
        </w:rPr>
        <w:t>udgment</w:t>
      </w:r>
      <w:r w:rsidR="00A3370E">
        <w:rPr>
          <w:rFonts w:eastAsia="HiddenHorzOCR"/>
          <w:color w:val="000000" w:themeColor="text1"/>
          <w:szCs w:val="24"/>
        </w:rPr>
        <w:t xml:space="preserve"> was</w:t>
      </w:r>
      <w:r w:rsidR="006F5E1A">
        <w:rPr>
          <w:rFonts w:eastAsia="HiddenHorzOCR"/>
          <w:color w:val="000000" w:themeColor="text1"/>
          <w:szCs w:val="24"/>
        </w:rPr>
        <w:t xml:space="preserve"> improved </w:t>
      </w:r>
      <w:r w:rsidRPr="00370E3E">
        <w:rPr>
          <w:rFonts w:eastAsia="HiddenHorzOCR"/>
          <w:color w:val="000000" w:themeColor="text1"/>
          <w:szCs w:val="24"/>
        </w:rPr>
        <w:t xml:space="preserve">though </w:t>
      </w:r>
      <w:r w:rsidR="00A3370E">
        <w:rPr>
          <w:rFonts w:eastAsia="HiddenHorzOCR"/>
          <w:color w:val="000000" w:themeColor="text1"/>
          <w:szCs w:val="24"/>
        </w:rPr>
        <w:t xml:space="preserve">he </w:t>
      </w:r>
      <w:r w:rsidRPr="00370E3E">
        <w:rPr>
          <w:rFonts w:eastAsia="HiddenHorzOCR"/>
          <w:color w:val="000000" w:themeColor="text1"/>
          <w:szCs w:val="24"/>
        </w:rPr>
        <w:t xml:space="preserve">still </w:t>
      </w:r>
      <w:r w:rsidR="00A3370E">
        <w:rPr>
          <w:rFonts w:eastAsia="HiddenHorzOCR"/>
          <w:color w:val="000000" w:themeColor="text1"/>
          <w:szCs w:val="24"/>
        </w:rPr>
        <w:t xml:space="preserve">had </w:t>
      </w:r>
      <w:r w:rsidRPr="00370E3E">
        <w:rPr>
          <w:rFonts w:eastAsia="HiddenHorzOCR"/>
          <w:color w:val="000000" w:themeColor="text1"/>
          <w:szCs w:val="24"/>
        </w:rPr>
        <w:t>limited insight into his</w:t>
      </w:r>
      <w:r>
        <w:rPr>
          <w:rFonts w:eastAsia="HiddenHorzOCR"/>
          <w:color w:val="000000" w:themeColor="text1"/>
          <w:szCs w:val="24"/>
        </w:rPr>
        <w:t xml:space="preserve"> </w:t>
      </w:r>
      <w:r w:rsidRPr="00370E3E">
        <w:rPr>
          <w:rFonts w:eastAsia="HiddenHorzOCR"/>
          <w:color w:val="000000" w:themeColor="text1"/>
          <w:szCs w:val="24"/>
        </w:rPr>
        <w:t>illness</w:t>
      </w:r>
      <w:r w:rsidR="00706ED5">
        <w:rPr>
          <w:rFonts w:eastAsia="HiddenHorzOCR"/>
          <w:color w:val="000000" w:themeColor="text1"/>
          <w:szCs w:val="24"/>
        </w:rPr>
        <w:t xml:space="preserve">.  </w:t>
      </w:r>
      <w:r w:rsidRPr="00F64312">
        <w:rPr>
          <w:color w:val="auto"/>
          <w:szCs w:val="24"/>
        </w:rPr>
        <w:t xml:space="preserve">At the </w:t>
      </w:r>
      <w:r w:rsidR="001C4CAC">
        <w:rPr>
          <w:color w:val="auto"/>
          <w:szCs w:val="24"/>
        </w:rPr>
        <w:t>VA</w:t>
      </w:r>
      <w:r w:rsidRPr="00F64312">
        <w:rPr>
          <w:color w:val="auto"/>
          <w:szCs w:val="24"/>
        </w:rPr>
        <w:t xml:space="preserve"> Compensation and Pension (C&amp;P) exam</w:t>
      </w:r>
      <w:r w:rsidR="001C4CAC">
        <w:rPr>
          <w:color w:val="auto"/>
          <w:szCs w:val="24"/>
        </w:rPr>
        <w:t>,</w:t>
      </w:r>
      <w:r>
        <w:rPr>
          <w:color w:val="auto"/>
          <w:szCs w:val="24"/>
        </w:rPr>
        <w:t xml:space="preserve"> </w:t>
      </w:r>
      <w:r w:rsidR="00B80157">
        <w:rPr>
          <w:color w:val="auto"/>
          <w:szCs w:val="24"/>
        </w:rPr>
        <w:t>4 months after TDRL placement</w:t>
      </w:r>
      <w:r w:rsidR="001C4CAC">
        <w:rPr>
          <w:color w:val="auto"/>
          <w:szCs w:val="24"/>
        </w:rPr>
        <w:t>,</w:t>
      </w:r>
      <w:r w:rsidRPr="00F64312">
        <w:rPr>
          <w:color w:val="auto"/>
          <w:szCs w:val="24"/>
        </w:rPr>
        <w:t xml:space="preserve"> the CI reported</w:t>
      </w:r>
      <w:r w:rsidR="001C4CAC">
        <w:rPr>
          <w:color w:val="auto"/>
          <w:szCs w:val="24"/>
        </w:rPr>
        <w:t xml:space="preserve"> that</w:t>
      </w:r>
      <w:r w:rsidR="00B80157">
        <w:rPr>
          <w:color w:val="auto"/>
          <w:szCs w:val="24"/>
        </w:rPr>
        <w:t xml:space="preserve"> he was not referred for care and was no longer taking medications</w:t>
      </w:r>
      <w:r w:rsidR="00A3370E">
        <w:rPr>
          <w:color w:val="auto"/>
          <w:szCs w:val="24"/>
        </w:rPr>
        <w:t>,</w:t>
      </w:r>
      <w:r w:rsidR="008B2936">
        <w:rPr>
          <w:color w:val="auto"/>
          <w:szCs w:val="24"/>
        </w:rPr>
        <w:t xml:space="preserve"> was doing reasonably well</w:t>
      </w:r>
      <w:r w:rsidR="00A3370E">
        <w:rPr>
          <w:color w:val="auto"/>
          <w:szCs w:val="24"/>
        </w:rPr>
        <w:t>,</w:t>
      </w:r>
      <w:r w:rsidR="008B2936">
        <w:rPr>
          <w:color w:val="auto"/>
          <w:szCs w:val="24"/>
        </w:rPr>
        <w:t xml:space="preserve"> had depressive and sleep symptoms </w:t>
      </w:r>
      <w:r w:rsidR="00A3370E">
        <w:rPr>
          <w:color w:val="auto"/>
          <w:szCs w:val="24"/>
        </w:rPr>
        <w:t>but</w:t>
      </w:r>
      <w:r w:rsidR="008B2936">
        <w:rPr>
          <w:color w:val="auto"/>
          <w:szCs w:val="24"/>
        </w:rPr>
        <w:t xml:space="preserve"> no manic symptoms</w:t>
      </w:r>
      <w:r w:rsidR="00A3370E">
        <w:rPr>
          <w:color w:val="auto"/>
          <w:szCs w:val="24"/>
        </w:rPr>
        <w:t>,</w:t>
      </w:r>
      <w:r w:rsidR="008B2936">
        <w:rPr>
          <w:color w:val="auto"/>
          <w:szCs w:val="24"/>
        </w:rPr>
        <w:t xml:space="preserve"> </w:t>
      </w:r>
      <w:r w:rsidR="00A3370E">
        <w:rPr>
          <w:color w:val="auto"/>
          <w:szCs w:val="24"/>
        </w:rPr>
        <w:t xml:space="preserve">was </w:t>
      </w:r>
      <w:r w:rsidR="008B2936">
        <w:rPr>
          <w:color w:val="auto"/>
          <w:szCs w:val="24"/>
        </w:rPr>
        <w:t>employed as a pharmaceutical representative</w:t>
      </w:r>
      <w:r w:rsidR="00A3370E">
        <w:rPr>
          <w:color w:val="auto"/>
          <w:szCs w:val="24"/>
        </w:rPr>
        <w:t>,</w:t>
      </w:r>
      <w:r w:rsidR="008B2936">
        <w:rPr>
          <w:color w:val="auto"/>
          <w:szCs w:val="24"/>
        </w:rPr>
        <w:t xml:space="preserve"> was still married and denied alcohol or drug use.  </w:t>
      </w:r>
      <w:r w:rsidRPr="00F64312">
        <w:rPr>
          <w:color w:val="auto"/>
          <w:szCs w:val="24"/>
        </w:rPr>
        <w:t xml:space="preserve">The </w:t>
      </w:r>
      <w:r>
        <w:rPr>
          <w:color w:val="auto"/>
          <w:szCs w:val="24"/>
        </w:rPr>
        <w:t>C&amp;P</w:t>
      </w:r>
      <w:r w:rsidRPr="00F64312">
        <w:rPr>
          <w:color w:val="auto"/>
          <w:szCs w:val="24"/>
        </w:rPr>
        <w:t xml:space="preserve"> physical exam </w:t>
      </w:r>
      <w:r>
        <w:rPr>
          <w:color w:val="auto"/>
          <w:szCs w:val="24"/>
        </w:rPr>
        <w:t>demonstrated</w:t>
      </w:r>
      <w:r w:rsidR="00706ED5">
        <w:rPr>
          <w:color w:val="auto"/>
          <w:szCs w:val="24"/>
        </w:rPr>
        <w:t xml:space="preserve"> mild depressed affect, mild psychomotor retardation and mild anxiety otherwise the exam</w:t>
      </w:r>
      <w:r w:rsidR="002E2683">
        <w:rPr>
          <w:color w:val="auto"/>
          <w:szCs w:val="24"/>
        </w:rPr>
        <w:t xml:space="preserve"> had similar normal findings </w:t>
      </w:r>
      <w:r w:rsidR="00706ED5">
        <w:rPr>
          <w:color w:val="auto"/>
          <w:szCs w:val="24"/>
        </w:rPr>
        <w:t xml:space="preserve">as </w:t>
      </w:r>
      <w:r w:rsidR="002D638F">
        <w:rPr>
          <w:color w:val="auto"/>
          <w:szCs w:val="24"/>
        </w:rPr>
        <w:t>comparable</w:t>
      </w:r>
      <w:r w:rsidR="00706ED5">
        <w:rPr>
          <w:color w:val="auto"/>
          <w:szCs w:val="24"/>
        </w:rPr>
        <w:t xml:space="preserve"> to the MEB exam.  Neither exam documented a </w:t>
      </w:r>
      <w:r w:rsidR="00626CF1" w:rsidRPr="00B450EE">
        <w:rPr>
          <w:rFonts w:asciiTheme="minorHAnsi" w:hAnsiTheme="minorHAnsi"/>
          <w:color w:val="000000" w:themeColor="text1"/>
          <w:szCs w:val="24"/>
        </w:rPr>
        <w:t>Global Assessment of Functioning</w:t>
      </w:r>
      <w:r w:rsidR="00626CF1">
        <w:rPr>
          <w:color w:val="auto"/>
          <w:szCs w:val="24"/>
        </w:rPr>
        <w:t xml:space="preserve"> (</w:t>
      </w:r>
      <w:r w:rsidR="00706ED5">
        <w:rPr>
          <w:color w:val="auto"/>
          <w:szCs w:val="24"/>
        </w:rPr>
        <w:t>GAF</w:t>
      </w:r>
      <w:r w:rsidR="00626CF1">
        <w:rPr>
          <w:color w:val="auto"/>
          <w:szCs w:val="24"/>
        </w:rPr>
        <w:t>)</w:t>
      </w:r>
      <w:r w:rsidR="00706ED5">
        <w:rPr>
          <w:color w:val="auto"/>
          <w:szCs w:val="24"/>
        </w:rPr>
        <w:t>.</w:t>
      </w:r>
    </w:p>
    <w:p w:rsidR="002D638F" w:rsidRDefault="002D638F" w:rsidP="002D638F">
      <w:pPr>
        <w:jc w:val="both"/>
        <w:rPr>
          <w:color w:val="auto"/>
          <w:szCs w:val="24"/>
        </w:rPr>
      </w:pPr>
    </w:p>
    <w:p w:rsidR="002D638F" w:rsidRDefault="002D638F" w:rsidP="002D638F">
      <w:pPr>
        <w:jc w:val="both"/>
        <w:rPr>
          <w:color w:val="000000" w:themeColor="text1"/>
          <w:szCs w:val="24"/>
        </w:rPr>
      </w:pPr>
      <w:r>
        <w:rPr>
          <w:color w:val="auto"/>
          <w:szCs w:val="24"/>
        </w:rPr>
        <w:t>T</w:t>
      </w:r>
      <w:r w:rsidRPr="00F64312">
        <w:rPr>
          <w:color w:val="auto"/>
          <w:szCs w:val="24"/>
        </w:rPr>
        <w:t xml:space="preserve">he </w:t>
      </w:r>
      <w:r>
        <w:rPr>
          <w:color w:val="auto"/>
          <w:szCs w:val="24"/>
        </w:rPr>
        <w:t>TDRL interim</w:t>
      </w:r>
      <w:r w:rsidRPr="00F64312">
        <w:rPr>
          <w:color w:val="auto"/>
          <w:szCs w:val="24"/>
        </w:rPr>
        <w:t xml:space="preserve"> exam</w:t>
      </w:r>
      <w:r w:rsidR="00A3370E">
        <w:rPr>
          <w:color w:val="auto"/>
          <w:szCs w:val="24"/>
        </w:rPr>
        <w:t>,</w:t>
      </w:r>
      <w:r>
        <w:rPr>
          <w:color w:val="auto"/>
          <w:szCs w:val="24"/>
        </w:rPr>
        <w:t xml:space="preserve"> in July 2000</w:t>
      </w:r>
      <w:r w:rsidR="00A3370E">
        <w:rPr>
          <w:color w:val="auto"/>
          <w:szCs w:val="24"/>
        </w:rPr>
        <w:t>,</w:t>
      </w:r>
      <w:r>
        <w:rPr>
          <w:color w:val="auto"/>
          <w:szCs w:val="24"/>
        </w:rPr>
        <w:t xml:space="preserve"> the examiner documented</w:t>
      </w:r>
      <w:r w:rsidR="00A3370E">
        <w:rPr>
          <w:color w:val="auto"/>
          <w:szCs w:val="24"/>
        </w:rPr>
        <w:t>;</w:t>
      </w:r>
      <w:r>
        <w:rPr>
          <w:color w:val="auto"/>
          <w:szCs w:val="24"/>
        </w:rPr>
        <w:t xml:space="preserve"> the CI</w:t>
      </w:r>
      <w:r w:rsidR="00A3370E">
        <w:rPr>
          <w:color w:val="auto"/>
          <w:szCs w:val="24"/>
        </w:rPr>
        <w:t xml:space="preserve"> </w:t>
      </w:r>
      <w:r>
        <w:rPr>
          <w:color w:val="auto"/>
          <w:szCs w:val="24"/>
        </w:rPr>
        <w:t>discontinued his medication despite residual depressive and guilt symptoms</w:t>
      </w:r>
      <w:r w:rsidR="00A3370E">
        <w:rPr>
          <w:color w:val="auto"/>
          <w:szCs w:val="24"/>
        </w:rPr>
        <w:t>,</w:t>
      </w:r>
      <w:r>
        <w:rPr>
          <w:color w:val="auto"/>
          <w:szCs w:val="24"/>
        </w:rPr>
        <w:t xml:space="preserve"> lack</w:t>
      </w:r>
      <w:r w:rsidR="00BE734D">
        <w:rPr>
          <w:color w:val="auto"/>
          <w:szCs w:val="24"/>
        </w:rPr>
        <w:t>ed</w:t>
      </w:r>
      <w:r>
        <w:rPr>
          <w:color w:val="auto"/>
          <w:szCs w:val="24"/>
        </w:rPr>
        <w:t xml:space="preserve"> chronic care for his mental condition, continued employment with the p</w:t>
      </w:r>
      <w:r w:rsidR="00BE734D">
        <w:rPr>
          <w:color w:val="auto"/>
          <w:szCs w:val="24"/>
        </w:rPr>
        <w:t>harmaceutical industry, was in marital counseling</w:t>
      </w:r>
      <w:r w:rsidR="00A3370E">
        <w:rPr>
          <w:color w:val="auto"/>
          <w:szCs w:val="24"/>
        </w:rPr>
        <w:t>,</w:t>
      </w:r>
      <w:r w:rsidR="00BE734D">
        <w:rPr>
          <w:color w:val="auto"/>
          <w:szCs w:val="24"/>
        </w:rPr>
        <w:t xml:space="preserve"> and rated his mood at an “8” on a scale of 1-10 with his lowest being “3-4” in January.</w:t>
      </w:r>
      <w:r>
        <w:rPr>
          <w:color w:val="auto"/>
          <w:szCs w:val="24"/>
        </w:rPr>
        <w:t xml:space="preserve"> </w:t>
      </w:r>
      <w:r w:rsidR="00BE734D">
        <w:rPr>
          <w:color w:val="auto"/>
          <w:szCs w:val="24"/>
        </w:rPr>
        <w:t xml:space="preserve"> The exam </w:t>
      </w:r>
      <w:r>
        <w:rPr>
          <w:color w:val="auto"/>
          <w:szCs w:val="24"/>
        </w:rPr>
        <w:t>demonstrated</w:t>
      </w:r>
      <w:r w:rsidR="00A3370E">
        <w:rPr>
          <w:color w:val="auto"/>
          <w:szCs w:val="24"/>
        </w:rPr>
        <w:t>;</w:t>
      </w:r>
      <w:r>
        <w:rPr>
          <w:rFonts w:eastAsia="HiddenHorzOCR"/>
          <w:color w:val="000000" w:themeColor="text1"/>
          <w:szCs w:val="24"/>
        </w:rPr>
        <w:t xml:space="preserve"> </w:t>
      </w:r>
      <w:r w:rsidR="00BE734D">
        <w:rPr>
          <w:rFonts w:eastAsia="HiddenHorzOCR"/>
          <w:color w:val="000000" w:themeColor="text1"/>
          <w:szCs w:val="24"/>
        </w:rPr>
        <w:t xml:space="preserve">a </w:t>
      </w:r>
      <w:r>
        <w:rPr>
          <w:rFonts w:eastAsia="HiddenHorzOCR"/>
          <w:color w:val="000000" w:themeColor="text1"/>
          <w:szCs w:val="24"/>
        </w:rPr>
        <w:t>euthymic mood but mildly concerned</w:t>
      </w:r>
      <w:r w:rsidR="00A3370E">
        <w:rPr>
          <w:rFonts w:eastAsia="HiddenHorzOCR"/>
          <w:color w:val="000000" w:themeColor="text1"/>
          <w:szCs w:val="24"/>
        </w:rPr>
        <w:t>,</w:t>
      </w:r>
      <w:r>
        <w:rPr>
          <w:rFonts w:eastAsia="HiddenHorzOCR"/>
          <w:color w:val="000000" w:themeColor="text1"/>
          <w:szCs w:val="24"/>
        </w:rPr>
        <w:t xml:space="preserve"> affect was congruent, moderate restricted and stable</w:t>
      </w:r>
      <w:r w:rsidR="00A3370E">
        <w:rPr>
          <w:rFonts w:eastAsia="HiddenHorzOCR"/>
          <w:color w:val="000000" w:themeColor="text1"/>
          <w:szCs w:val="24"/>
        </w:rPr>
        <w:t>,</w:t>
      </w:r>
      <w:r>
        <w:rPr>
          <w:rFonts w:eastAsia="HiddenHorzOCR"/>
          <w:color w:val="000000" w:themeColor="text1"/>
          <w:szCs w:val="24"/>
        </w:rPr>
        <w:t xml:space="preserve"> fair judgment with partial insight</w:t>
      </w:r>
      <w:r w:rsidR="00BE734D">
        <w:rPr>
          <w:rFonts w:eastAsia="HiddenHorzOCR"/>
          <w:color w:val="000000" w:themeColor="text1"/>
          <w:szCs w:val="24"/>
        </w:rPr>
        <w:t xml:space="preserve"> and was otherwise normal</w:t>
      </w:r>
      <w:r>
        <w:rPr>
          <w:rFonts w:eastAsia="HiddenHorzOCR"/>
          <w:color w:val="000000" w:themeColor="text1"/>
          <w:szCs w:val="24"/>
        </w:rPr>
        <w:t xml:space="preserve">.  </w:t>
      </w:r>
    </w:p>
    <w:p w:rsidR="005E7744" w:rsidRPr="00F64312" w:rsidRDefault="005E7744" w:rsidP="005E7744">
      <w:pPr>
        <w:jc w:val="both"/>
        <w:rPr>
          <w:color w:val="auto"/>
          <w:szCs w:val="24"/>
        </w:rPr>
      </w:pPr>
    </w:p>
    <w:p w:rsidR="002E2683" w:rsidRDefault="00622D5E" w:rsidP="00833AEB">
      <w:pPr>
        <w:autoSpaceDE w:val="0"/>
        <w:autoSpaceDN w:val="0"/>
        <w:adjustRightInd w:val="0"/>
        <w:jc w:val="both"/>
        <w:rPr>
          <w:rFonts w:asciiTheme="minorHAnsi" w:hAnsiTheme="minorHAnsi"/>
          <w:color w:val="000000" w:themeColor="text1"/>
          <w:szCs w:val="24"/>
        </w:rPr>
      </w:pPr>
      <w:r w:rsidRPr="00F64312">
        <w:rPr>
          <w:color w:val="auto"/>
          <w:szCs w:val="24"/>
        </w:rPr>
        <w:t xml:space="preserve">At the </w:t>
      </w:r>
      <w:r>
        <w:rPr>
          <w:color w:val="auto"/>
          <w:szCs w:val="24"/>
        </w:rPr>
        <w:t>TDRL separation</w:t>
      </w:r>
      <w:r w:rsidRPr="00F64312">
        <w:rPr>
          <w:color w:val="auto"/>
          <w:szCs w:val="24"/>
        </w:rPr>
        <w:t xml:space="preserve"> exam</w:t>
      </w:r>
      <w:r>
        <w:rPr>
          <w:color w:val="auto"/>
          <w:szCs w:val="24"/>
        </w:rPr>
        <w:t xml:space="preserve"> in 2002</w:t>
      </w:r>
      <w:r w:rsidRPr="00F64312">
        <w:rPr>
          <w:color w:val="auto"/>
          <w:szCs w:val="24"/>
        </w:rPr>
        <w:t>, the CI reported</w:t>
      </w:r>
      <w:r>
        <w:rPr>
          <w:color w:val="000000" w:themeColor="text1"/>
          <w:szCs w:val="24"/>
        </w:rPr>
        <w:t xml:space="preserve">; he was doing quite well with no symptoms related to initial bipolar II disorder diagnosis, was planning on separating from wife due to spiritual differences, had maintained employment in the pharmaceutical industry which worked well with his illness allowing him independence, had feelings of guilt for not fulfilling his government contract, desired to work for the FBI or CIA; had hobbies building computers and taking care of animals, had friends but was not close to anyone, kept in close contact with family, and was involved in local civic groups.  </w:t>
      </w:r>
      <w:r w:rsidR="00475D4F">
        <w:rPr>
          <w:color w:val="000000" w:themeColor="text1"/>
          <w:szCs w:val="24"/>
        </w:rPr>
        <w:t xml:space="preserve">The examiner documented the CI had not </w:t>
      </w:r>
      <w:r w:rsidR="00475D4F" w:rsidRPr="00A3370E">
        <w:rPr>
          <w:color w:val="000000" w:themeColor="text1"/>
          <w:szCs w:val="24"/>
        </w:rPr>
        <w:t xml:space="preserve">taken medication since early 2000 and that the last </w:t>
      </w:r>
      <w:r w:rsidR="002E2683" w:rsidRPr="00A3370E">
        <w:rPr>
          <w:color w:val="000000" w:themeColor="text1"/>
          <w:szCs w:val="24"/>
        </w:rPr>
        <w:t>follow-up</w:t>
      </w:r>
      <w:r w:rsidR="00475D4F" w:rsidRPr="00A3370E">
        <w:rPr>
          <w:color w:val="000000" w:themeColor="text1"/>
          <w:szCs w:val="24"/>
        </w:rPr>
        <w:t xml:space="preserve"> for psychiatric care was in October of 2001.</w:t>
      </w:r>
      <w:r w:rsidR="00EE37B8" w:rsidRPr="00A3370E">
        <w:rPr>
          <w:color w:val="auto"/>
          <w:szCs w:val="24"/>
        </w:rPr>
        <w:t xml:space="preserve"> </w:t>
      </w:r>
      <w:r w:rsidR="00475D4F" w:rsidRPr="00A3370E">
        <w:rPr>
          <w:color w:val="auto"/>
          <w:szCs w:val="24"/>
        </w:rPr>
        <w:t xml:space="preserve"> </w:t>
      </w:r>
      <w:r w:rsidR="002D638F" w:rsidRPr="00A3370E">
        <w:rPr>
          <w:color w:val="auto"/>
          <w:szCs w:val="24"/>
        </w:rPr>
        <w:t>The examiner documented an exam was</w:t>
      </w:r>
      <w:r w:rsidR="00475D4F" w:rsidRPr="00A3370E">
        <w:rPr>
          <w:color w:val="auto"/>
          <w:szCs w:val="24"/>
        </w:rPr>
        <w:t xml:space="preserve"> </w:t>
      </w:r>
      <w:r w:rsidR="002D638F" w:rsidRPr="00A3370E">
        <w:rPr>
          <w:color w:val="auto"/>
          <w:szCs w:val="24"/>
        </w:rPr>
        <w:t>n</w:t>
      </w:r>
      <w:r w:rsidR="00475D4F" w:rsidRPr="00A3370E">
        <w:rPr>
          <w:color w:val="auto"/>
          <w:szCs w:val="24"/>
        </w:rPr>
        <w:t>ot indicated for the purpose of this evaluation</w:t>
      </w:r>
      <w:r w:rsidR="002D638F" w:rsidRPr="00A3370E">
        <w:rPr>
          <w:color w:val="auto"/>
          <w:szCs w:val="24"/>
        </w:rPr>
        <w:t xml:space="preserve">, </w:t>
      </w:r>
      <w:r w:rsidR="00475D4F" w:rsidRPr="00A3370E">
        <w:rPr>
          <w:rFonts w:eastAsia="HiddenHorzOCR"/>
          <w:color w:val="000000" w:themeColor="text1"/>
          <w:szCs w:val="24"/>
        </w:rPr>
        <w:lastRenderedPageBreak/>
        <w:t xml:space="preserve">diagnosed </w:t>
      </w:r>
      <w:r w:rsidR="00626CF1" w:rsidRPr="00A3370E">
        <w:rPr>
          <w:rFonts w:eastAsia="HiddenHorzOCR"/>
          <w:color w:val="000000" w:themeColor="text1"/>
          <w:szCs w:val="24"/>
        </w:rPr>
        <w:t>bipolar</w:t>
      </w:r>
      <w:r w:rsidR="00475D4F" w:rsidRPr="00A3370E">
        <w:rPr>
          <w:rFonts w:eastAsia="HiddenHorzOCR"/>
          <w:color w:val="000000" w:themeColor="text1"/>
          <w:szCs w:val="24"/>
        </w:rPr>
        <w:t xml:space="preserve"> II disorder, opined he was in near-full remission and assigned a GAF of 75</w:t>
      </w:r>
      <w:r w:rsidR="00EE37B8" w:rsidRPr="00A3370E">
        <w:rPr>
          <w:rFonts w:eastAsia="HiddenHorzOCR"/>
          <w:color w:val="000000" w:themeColor="text1"/>
          <w:szCs w:val="24"/>
        </w:rPr>
        <w:t>.</w:t>
      </w:r>
      <w:r w:rsidR="00475D4F">
        <w:rPr>
          <w:rFonts w:eastAsia="HiddenHorzOCR"/>
          <w:color w:val="000000" w:themeColor="text1"/>
          <w:szCs w:val="24"/>
        </w:rPr>
        <w:t xml:space="preserve">  </w:t>
      </w:r>
      <w:r w:rsidR="002E2683" w:rsidRPr="00F64312">
        <w:rPr>
          <w:color w:val="auto"/>
          <w:szCs w:val="24"/>
        </w:rPr>
        <w:t>At the C&amp;P exam</w:t>
      </w:r>
      <w:r w:rsidR="004F7C89">
        <w:rPr>
          <w:color w:val="auto"/>
          <w:szCs w:val="24"/>
        </w:rPr>
        <w:t>,</w:t>
      </w:r>
      <w:r w:rsidR="002E2683">
        <w:rPr>
          <w:color w:val="000000" w:themeColor="text1"/>
          <w:szCs w:val="24"/>
        </w:rPr>
        <w:t xml:space="preserve"> 11 </w:t>
      </w:r>
      <w:r w:rsidR="00626CF1">
        <w:rPr>
          <w:color w:val="000000" w:themeColor="text1"/>
          <w:szCs w:val="24"/>
        </w:rPr>
        <w:t>months</w:t>
      </w:r>
      <w:r w:rsidR="002E2683">
        <w:rPr>
          <w:color w:val="000000" w:themeColor="text1"/>
          <w:szCs w:val="24"/>
        </w:rPr>
        <w:t xml:space="preserve"> prior </w:t>
      </w:r>
      <w:r w:rsidR="009373FD">
        <w:rPr>
          <w:color w:val="000000" w:themeColor="text1"/>
          <w:szCs w:val="24"/>
        </w:rPr>
        <w:t xml:space="preserve">to </w:t>
      </w:r>
      <w:r w:rsidR="002E2683">
        <w:rPr>
          <w:color w:val="000000" w:themeColor="text1"/>
          <w:szCs w:val="24"/>
        </w:rPr>
        <w:t>separation (</w:t>
      </w:r>
      <w:r w:rsidR="00A3370E">
        <w:rPr>
          <w:color w:val="000000" w:themeColor="text1"/>
          <w:szCs w:val="24"/>
        </w:rPr>
        <w:t>m</w:t>
      </w:r>
      <w:r w:rsidR="002E2683">
        <w:rPr>
          <w:color w:val="000000" w:themeColor="text1"/>
          <w:szCs w:val="24"/>
        </w:rPr>
        <w:t>ost proximate to permanent separation),</w:t>
      </w:r>
      <w:r w:rsidR="002E2683" w:rsidRPr="002E2683">
        <w:rPr>
          <w:rFonts w:asciiTheme="minorHAnsi" w:hAnsiTheme="minorHAnsi"/>
          <w:color w:val="000000" w:themeColor="text1"/>
          <w:szCs w:val="24"/>
        </w:rPr>
        <w:t xml:space="preserve"> </w:t>
      </w:r>
      <w:r w:rsidR="002E2683">
        <w:rPr>
          <w:rFonts w:asciiTheme="minorHAnsi" w:hAnsiTheme="minorHAnsi"/>
          <w:color w:val="000000" w:themeColor="text1"/>
          <w:szCs w:val="24"/>
        </w:rPr>
        <w:t>the CI reported</w:t>
      </w:r>
      <w:r w:rsidR="00A3370E">
        <w:rPr>
          <w:rFonts w:asciiTheme="minorHAnsi" w:hAnsiTheme="minorHAnsi"/>
          <w:color w:val="000000" w:themeColor="text1"/>
          <w:szCs w:val="24"/>
        </w:rPr>
        <w:t>;</w:t>
      </w:r>
      <w:r w:rsidR="002E2683">
        <w:rPr>
          <w:rFonts w:asciiTheme="minorHAnsi" w:hAnsiTheme="minorHAnsi"/>
          <w:color w:val="000000" w:themeColor="text1"/>
          <w:szCs w:val="24"/>
        </w:rPr>
        <w:t xml:space="preserve"> he</w:t>
      </w:r>
      <w:r w:rsidR="002E2683" w:rsidRPr="00B450EE">
        <w:rPr>
          <w:rFonts w:asciiTheme="minorHAnsi" w:hAnsiTheme="minorHAnsi"/>
          <w:color w:val="000000" w:themeColor="text1"/>
          <w:szCs w:val="24"/>
        </w:rPr>
        <w:t xml:space="preserve"> no longer t</w:t>
      </w:r>
      <w:r w:rsidR="002E2683">
        <w:rPr>
          <w:rFonts w:asciiTheme="minorHAnsi" w:hAnsiTheme="minorHAnsi"/>
          <w:color w:val="000000" w:themeColor="text1"/>
          <w:szCs w:val="24"/>
        </w:rPr>
        <w:t>ook</w:t>
      </w:r>
      <w:r w:rsidR="002E2683" w:rsidRPr="00B450EE">
        <w:rPr>
          <w:rFonts w:asciiTheme="minorHAnsi" w:hAnsiTheme="minorHAnsi"/>
          <w:color w:val="000000" w:themeColor="text1"/>
          <w:szCs w:val="24"/>
        </w:rPr>
        <w:t xml:space="preserve"> medication</w:t>
      </w:r>
      <w:r w:rsidR="00A3370E">
        <w:rPr>
          <w:rFonts w:asciiTheme="minorHAnsi" w:hAnsiTheme="minorHAnsi"/>
          <w:color w:val="000000" w:themeColor="text1"/>
          <w:szCs w:val="24"/>
        </w:rPr>
        <w:t>,</w:t>
      </w:r>
      <w:r w:rsidR="002E2683">
        <w:rPr>
          <w:rFonts w:asciiTheme="minorHAnsi" w:hAnsiTheme="minorHAnsi"/>
          <w:color w:val="000000" w:themeColor="text1"/>
          <w:szCs w:val="24"/>
        </w:rPr>
        <w:t xml:space="preserve"> </w:t>
      </w:r>
      <w:r w:rsidR="002E2683" w:rsidRPr="00B450EE">
        <w:rPr>
          <w:rFonts w:asciiTheme="minorHAnsi" w:hAnsiTheme="minorHAnsi"/>
          <w:color w:val="000000" w:themeColor="text1"/>
          <w:szCs w:val="24"/>
        </w:rPr>
        <w:t xml:space="preserve">sleep, appetite, and concentration </w:t>
      </w:r>
      <w:r w:rsidR="002E2683">
        <w:rPr>
          <w:rFonts w:asciiTheme="minorHAnsi" w:hAnsiTheme="minorHAnsi"/>
          <w:color w:val="000000" w:themeColor="text1"/>
          <w:szCs w:val="24"/>
        </w:rPr>
        <w:t>were</w:t>
      </w:r>
      <w:r w:rsidR="002E2683" w:rsidRPr="00B450EE">
        <w:rPr>
          <w:rFonts w:asciiTheme="minorHAnsi" w:hAnsiTheme="minorHAnsi"/>
          <w:color w:val="000000" w:themeColor="text1"/>
          <w:szCs w:val="24"/>
        </w:rPr>
        <w:t xml:space="preserve"> good</w:t>
      </w:r>
      <w:r w:rsidR="00A3370E">
        <w:rPr>
          <w:rFonts w:asciiTheme="minorHAnsi" w:hAnsiTheme="minorHAnsi"/>
          <w:color w:val="000000" w:themeColor="text1"/>
          <w:szCs w:val="24"/>
        </w:rPr>
        <w:t>,</w:t>
      </w:r>
      <w:r w:rsidR="002E2683">
        <w:rPr>
          <w:rFonts w:asciiTheme="minorHAnsi" w:hAnsiTheme="minorHAnsi"/>
          <w:color w:val="000000" w:themeColor="text1"/>
          <w:szCs w:val="24"/>
        </w:rPr>
        <w:t xml:space="preserve"> he was</w:t>
      </w:r>
      <w:r w:rsidR="002E2683" w:rsidRPr="00B450EE">
        <w:rPr>
          <w:rFonts w:asciiTheme="minorHAnsi" w:hAnsiTheme="minorHAnsi"/>
          <w:color w:val="000000" w:themeColor="text1"/>
          <w:szCs w:val="24"/>
        </w:rPr>
        <w:t xml:space="preserve"> moody at times</w:t>
      </w:r>
      <w:r w:rsidR="002E2683">
        <w:rPr>
          <w:rFonts w:asciiTheme="minorHAnsi" w:hAnsiTheme="minorHAnsi"/>
          <w:color w:val="000000" w:themeColor="text1"/>
          <w:szCs w:val="24"/>
        </w:rPr>
        <w:t xml:space="preserve"> and </w:t>
      </w:r>
      <w:r w:rsidR="002E2683" w:rsidRPr="00B450EE">
        <w:rPr>
          <w:rFonts w:asciiTheme="minorHAnsi" w:hAnsiTheme="minorHAnsi"/>
          <w:color w:val="000000" w:themeColor="text1"/>
          <w:szCs w:val="24"/>
        </w:rPr>
        <w:t>denied panic attacks</w:t>
      </w:r>
      <w:r w:rsidR="00A3370E">
        <w:rPr>
          <w:rFonts w:asciiTheme="minorHAnsi" w:hAnsiTheme="minorHAnsi"/>
          <w:color w:val="000000" w:themeColor="text1"/>
          <w:szCs w:val="24"/>
        </w:rPr>
        <w:t>,</w:t>
      </w:r>
      <w:r w:rsidR="00626CF1">
        <w:rPr>
          <w:rFonts w:asciiTheme="minorHAnsi" w:hAnsiTheme="minorHAnsi"/>
          <w:color w:val="000000" w:themeColor="text1"/>
          <w:szCs w:val="24"/>
        </w:rPr>
        <w:t xml:space="preserve"> was</w:t>
      </w:r>
      <w:r w:rsidR="002E2683" w:rsidRPr="00B450EE">
        <w:rPr>
          <w:rFonts w:asciiTheme="minorHAnsi" w:hAnsiTheme="minorHAnsi"/>
          <w:color w:val="000000" w:themeColor="text1"/>
          <w:szCs w:val="24"/>
        </w:rPr>
        <w:t xml:space="preserve"> employed full time</w:t>
      </w:r>
      <w:r w:rsidR="002E2683">
        <w:rPr>
          <w:rFonts w:asciiTheme="minorHAnsi" w:hAnsiTheme="minorHAnsi"/>
          <w:color w:val="000000" w:themeColor="text1"/>
          <w:szCs w:val="24"/>
        </w:rPr>
        <w:t xml:space="preserve"> with same job since</w:t>
      </w:r>
      <w:r w:rsidR="004F7C89">
        <w:rPr>
          <w:rFonts w:asciiTheme="minorHAnsi" w:hAnsiTheme="minorHAnsi"/>
          <w:color w:val="000000" w:themeColor="text1"/>
          <w:szCs w:val="24"/>
        </w:rPr>
        <w:t xml:space="preserve"> </w:t>
      </w:r>
      <w:r w:rsidR="002E2683">
        <w:rPr>
          <w:rFonts w:asciiTheme="minorHAnsi" w:hAnsiTheme="minorHAnsi"/>
          <w:color w:val="000000" w:themeColor="text1"/>
          <w:szCs w:val="24"/>
        </w:rPr>
        <w:t>April 2000</w:t>
      </w:r>
      <w:r w:rsidR="00A3370E">
        <w:rPr>
          <w:rFonts w:asciiTheme="minorHAnsi" w:hAnsiTheme="minorHAnsi"/>
          <w:color w:val="000000" w:themeColor="text1"/>
          <w:szCs w:val="24"/>
        </w:rPr>
        <w:t>,</w:t>
      </w:r>
      <w:r w:rsidR="002E2683">
        <w:rPr>
          <w:rFonts w:asciiTheme="minorHAnsi" w:hAnsiTheme="minorHAnsi"/>
          <w:color w:val="000000" w:themeColor="text1"/>
          <w:szCs w:val="24"/>
        </w:rPr>
        <w:t xml:space="preserve"> </w:t>
      </w:r>
      <w:r w:rsidR="002E2683" w:rsidRPr="00B450EE">
        <w:rPr>
          <w:rFonts w:asciiTheme="minorHAnsi" w:hAnsiTheme="minorHAnsi"/>
          <w:color w:val="000000" w:themeColor="text1"/>
          <w:szCs w:val="24"/>
        </w:rPr>
        <w:t>provide</w:t>
      </w:r>
      <w:r w:rsidR="002E2683">
        <w:rPr>
          <w:rFonts w:asciiTheme="minorHAnsi" w:hAnsiTheme="minorHAnsi"/>
          <w:color w:val="000000" w:themeColor="text1"/>
          <w:szCs w:val="24"/>
        </w:rPr>
        <w:t>d</w:t>
      </w:r>
      <w:r w:rsidR="002E2683" w:rsidRPr="00B450EE">
        <w:rPr>
          <w:rFonts w:asciiTheme="minorHAnsi" w:hAnsiTheme="minorHAnsi"/>
          <w:color w:val="000000" w:themeColor="text1"/>
          <w:szCs w:val="24"/>
        </w:rPr>
        <w:t xml:space="preserve"> his own routine self-care</w:t>
      </w:r>
      <w:r w:rsidR="00A3370E">
        <w:rPr>
          <w:rFonts w:asciiTheme="minorHAnsi" w:hAnsiTheme="minorHAnsi"/>
          <w:color w:val="000000" w:themeColor="text1"/>
          <w:szCs w:val="24"/>
        </w:rPr>
        <w:t>,</w:t>
      </w:r>
      <w:r w:rsidR="002E2683">
        <w:rPr>
          <w:rFonts w:asciiTheme="minorHAnsi" w:hAnsiTheme="minorHAnsi"/>
          <w:color w:val="000000" w:themeColor="text1"/>
          <w:szCs w:val="24"/>
        </w:rPr>
        <w:t xml:space="preserve"> did</w:t>
      </w:r>
      <w:r w:rsidR="002E2683" w:rsidRPr="00B450EE">
        <w:rPr>
          <w:rFonts w:asciiTheme="minorHAnsi" w:hAnsiTheme="minorHAnsi"/>
          <w:color w:val="000000" w:themeColor="text1"/>
          <w:szCs w:val="24"/>
        </w:rPr>
        <w:t xml:space="preserve"> some chores around the</w:t>
      </w:r>
      <w:r w:rsidR="002E2683">
        <w:rPr>
          <w:rFonts w:asciiTheme="minorHAnsi" w:hAnsiTheme="minorHAnsi"/>
          <w:color w:val="000000" w:themeColor="text1"/>
          <w:szCs w:val="24"/>
        </w:rPr>
        <w:t xml:space="preserve"> </w:t>
      </w:r>
      <w:r w:rsidR="002E2683" w:rsidRPr="00B450EE">
        <w:rPr>
          <w:rFonts w:asciiTheme="minorHAnsi" w:hAnsiTheme="minorHAnsi"/>
          <w:color w:val="000000" w:themeColor="text1"/>
          <w:szCs w:val="24"/>
        </w:rPr>
        <w:t>house</w:t>
      </w:r>
      <w:r w:rsidR="00A3370E">
        <w:rPr>
          <w:rFonts w:asciiTheme="minorHAnsi" w:hAnsiTheme="minorHAnsi"/>
          <w:color w:val="000000" w:themeColor="text1"/>
          <w:szCs w:val="24"/>
        </w:rPr>
        <w:t>,</w:t>
      </w:r>
      <w:r w:rsidR="002E2683">
        <w:rPr>
          <w:rFonts w:asciiTheme="minorHAnsi" w:hAnsiTheme="minorHAnsi"/>
          <w:color w:val="000000" w:themeColor="text1"/>
          <w:szCs w:val="24"/>
        </w:rPr>
        <w:t xml:space="preserve"> had</w:t>
      </w:r>
      <w:r w:rsidR="002E2683" w:rsidRPr="00B450EE">
        <w:rPr>
          <w:rFonts w:asciiTheme="minorHAnsi" w:hAnsiTheme="minorHAnsi"/>
          <w:color w:val="000000" w:themeColor="text1"/>
          <w:szCs w:val="24"/>
        </w:rPr>
        <w:t xml:space="preserve"> some social relationships and </w:t>
      </w:r>
      <w:r w:rsidR="002E2683">
        <w:rPr>
          <w:rFonts w:asciiTheme="minorHAnsi" w:hAnsiTheme="minorHAnsi"/>
          <w:color w:val="000000" w:themeColor="text1"/>
          <w:szCs w:val="24"/>
        </w:rPr>
        <w:t>a</w:t>
      </w:r>
      <w:r w:rsidR="002E2683" w:rsidRPr="00B450EE">
        <w:rPr>
          <w:rFonts w:asciiTheme="minorHAnsi" w:hAnsiTheme="minorHAnsi"/>
          <w:color w:val="000000" w:themeColor="text1"/>
          <w:szCs w:val="24"/>
        </w:rPr>
        <w:t>dequate leisure and recreational pursuits.</w:t>
      </w:r>
      <w:r w:rsidR="002E2683">
        <w:rPr>
          <w:rFonts w:asciiTheme="minorHAnsi" w:hAnsiTheme="minorHAnsi"/>
          <w:color w:val="000000" w:themeColor="text1"/>
          <w:szCs w:val="24"/>
        </w:rPr>
        <w:t xml:space="preserve"> </w:t>
      </w:r>
      <w:r w:rsidR="002E2683" w:rsidRPr="00B450EE">
        <w:rPr>
          <w:rFonts w:asciiTheme="minorHAnsi" w:hAnsiTheme="minorHAnsi"/>
          <w:color w:val="000000" w:themeColor="text1"/>
          <w:szCs w:val="24"/>
        </w:rPr>
        <w:t xml:space="preserve"> </w:t>
      </w:r>
      <w:r w:rsidR="002E2683">
        <w:rPr>
          <w:color w:val="auto"/>
          <w:szCs w:val="24"/>
        </w:rPr>
        <w:t>T</w:t>
      </w:r>
      <w:r w:rsidR="002E2683" w:rsidRPr="00F64312">
        <w:rPr>
          <w:color w:val="auto"/>
          <w:szCs w:val="24"/>
        </w:rPr>
        <w:t>he C&amp;P exam</w:t>
      </w:r>
      <w:r w:rsidR="002E2683">
        <w:rPr>
          <w:color w:val="auto"/>
          <w:szCs w:val="24"/>
        </w:rPr>
        <w:t xml:space="preserve"> demonstrated</w:t>
      </w:r>
      <w:r w:rsidR="00626CF1">
        <w:rPr>
          <w:rFonts w:asciiTheme="minorHAnsi" w:hAnsiTheme="minorHAnsi"/>
          <w:color w:val="000000" w:themeColor="text1"/>
          <w:szCs w:val="24"/>
        </w:rPr>
        <w:t>:</w:t>
      </w:r>
      <w:r w:rsidR="002E2683" w:rsidRPr="00B450EE">
        <w:rPr>
          <w:rFonts w:asciiTheme="minorHAnsi" w:hAnsiTheme="minorHAnsi"/>
          <w:color w:val="000000" w:themeColor="text1"/>
          <w:szCs w:val="24"/>
        </w:rPr>
        <w:t xml:space="preserve"> </w:t>
      </w:r>
      <w:r w:rsidR="002E2683">
        <w:rPr>
          <w:rFonts w:asciiTheme="minorHAnsi" w:hAnsiTheme="minorHAnsi"/>
          <w:color w:val="000000" w:themeColor="text1"/>
          <w:szCs w:val="24"/>
        </w:rPr>
        <w:t xml:space="preserve"> </w:t>
      </w:r>
      <w:r w:rsidR="00626CF1" w:rsidRPr="00B450EE">
        <w:rPr>
          <w:rFonts w:asciiTheme="minorHAnsi" w:hAnsiTheme="minorHAnsi"/>
          <w:color w:val="000000" w:themeColor="text1"/>
          <w:szCs w:val="24"/>
        </w:rPr>
        <w:t xml:space="preserve">pleasant </w:t>
      </w:r>
      <w:r w:rsidR="00626CF1">
        <w:rPr>
          <w:rFonts w:asciiTheme="minorHAnsi" w:hAnsiTheme="minorHAnsi"/>
          <w:color w:val="000000" w:themeColor="text1"/>
          <w:szCs w:val="24"/>
        </w:rPr>
        <w:t xml:space="preserve">but tense </w:t>
      </w:r>
      <w:r w:rsidR="002E2683" w:rsidRPr="00B450EE">
        <w:rPr>
          <w:rFonts w:asciiTheme="minorHAnsi" w:hAnsiTheme="minorHAnsi"/>
          <w:color w:val="000000" w:themeColor="text1"/>
          <w:szCs w:val="24"/>
        </w:rPr>
        <w:t>mood</w:t>
      </w:r>
      <w:r w:rsidR="00A3370E">
        <w:rPr>
          <w:rFonts w:asciiTheme="minorHAnsi" w:hAnsiTheme="minorHAnsi"/>
          <w:color w:val="000000" w:themeColor="text1"/>
          <w:szCs w:val="24"/>
        </w:rPr>
        <w:t>,</w:t>
      </w:r>
      <w:r w:rsidR="002E2683" w:rsidRPr="00B450EE">
        <w:rPr>
          <w:rFonts w:asciiTheme="minorHAnsi" w:hAnsiTheme="minorHAnsi"/>
          <w:color w:val="000000" w:themeColor="text1"/>
          <w:szCs w:val="24"/>
        </w:rPr>
        <w:t xml:space="preserve"> </w:t>
      </w:r>
      <w:r w:rsidR="00626CF1" w:rsidRPr="00B450EE">
        <w:rPr>
          <w:rFonts w:asciiTheme="minorHAnsi" w:hAnsiTheme="minorHAnsi"/>
          <w:color w:val="000000" w:themeColor="text1"/>
          <w:szCs w:val="24"/>
        </w:rPr>
        <w:t xml:space="preserve">appropriate </w:t>
      </w:r>
      <w:r w:rsidR="002E2683" w:rsidRPr="00B450EE">
        <w:rPr>
          <w:rFonts w:asciiTheme="minorHAnsi" w:hAnsiTheme="minorHAnsi"/>
          <w:color w:val="000000" w:themeColor="text1"/>
          <w:szCs w:val="24"/>
        </w:rPr>
        <w:t>affect</w:t>
      </w:r>
      <w:r w:rsidR="00626CF1">
        <w:rPr>
          <w:rFonts w:asciiTheme="minorHAnsi" w:hAnsiTheme="minorHAnsi"/>
          <w:color w:val="000000" w:themeColor="text1"/>
          <w:szCs w:val="24"/>
        </w:rPr>
        <w:t xml:space="preserve"> and otherwise normal exam</w:t>
      </w:r>
      <w:r w:rsidR="002E2683" w:rsidRPr="00B450EE">
        <w:rPr>
          <w:rFonts w:asciiTheme="minorHAnsi" w:hAnsiTheme="minorHAnsi"/>
          <w:color w:val="000000" w:themeColor="text1"/>
          <w:szCs w:val="24"/>
        </w:rPr>
        <w:t>.</w:t>
      </w:r>
      <w:r w:rsidR="002E2683">
        <w:rPr>
          <w:rFonts w:asciiTheme="minorHAnsi" w:hAnsiTheme="minorHAnsi"/>
          <w:color w:val="000000" w:themeColor="text1"/>
          <w:szCs w:val="24"/>
        </w:rPr>
        <w:t xml:space="preserve"> </w:t>
      </w:r>
      <w:r w:rsidR="00C00B88">
        <w:rPr>
          <w:rFonts w:asciiTheme="minorHAnsi" w:hAnsiTheme="minorHAnsi"/>
          <w:color w:val="000000" w:themeColor="text1"/>
          <w:szCs w:val="24"/>
        </w:rPr>
        <w:t xml:space="preserve"> </w:t>
      </w:r>
      <w:r w:rsidR="00626CF1">
        <w:rPr>
          <w:rFonts w:asciiTheme="minorHAnsi" w:hAnsiTheme="minorHAnsi"/>
          <w:color w:val="000000" w:themeColor="text1"/>
          <w:szCs w:val="24"/>
        </w:rPr>
        <w:t>The examiner assigned a GAF of 70 and opined he had</w:t>
      </w:r>
      <w:r w:rsidR="002E2683" w:rsidRPr="00B450EE">
        <w:rPr>
          <w:rFonts w:asciiTheme="minorHAnsi" w:hAnsiTheme="minorHAnsi"/>
          <w:color w:val="000000" w:themeColor="text1"/>
          <w:szCs w:val="24"/>
        </w:rPr>
        <w:t xml:space="preserve"> some mild symptoms, but</w:t>
      </w:r>
      <w:r w:rsidR="002E2683">
        <w:rPr>
          <w:rFonts w:asciiTheme="minorHAnsi" w:hAnsiTheme="minorHAnsi"/>
          <w:color w:val="000000" w:themeColor="text1"/>
          <w:szCs w:val="24"/>
        </w:rPr>
        <w:t xml:space="preserve"> </w:t>
      </w:r>
      <w:r w:rsidR="002E2683" w:rsidRPr="00B450EE">
        <w:rPr>
          <w:rFonts w:asciiTheme="minorHAnsi" w:hAnsiTheme="minorHAnsi"/>
          <w:color w:val="000000" w:themeColor="text1"/>
          <w:szCs w:val="24"/>
        </w:rPr>
        <w:t xml:space="preserve">generally </w:t>
      </w:r>
      <w:r w:rsidR="00626CF1">
        <w:rPr>
          <w:rFonts w:asciiTheme="minorHAnsi" w:hAnsiTheme="minorHAnsi"/>
          <w:color w:val="000000" w:themeColor="text1"/>
          <w:szCs w:val="24"/>
        </w:rPr>
        <w:t xml:space="preserve">was </w:t>
      </w:r>
      <w:r w:rsidR="002E2683" w:rsidRPr="00B450EE">
        <w:rPr>
          <w:rFonts w:asciiTheme="minorHAnsi" w:hAnsiTheme="minorHAnsi"/>
          <w:color w:val="000000" w:themeColor="text1"/>
          <w:szCs w:val="24"/>
        </w:rPr>
        <w:t>functioning pretty well and ha</w:t>
      </w:r>
      <w:r w:rsidR="00626CF1">
        <w:rPr>
          <w:rFonts w:asciiTheme="minorHAnsi" w:hAnsiTheme="minorHAnsi"/>
          <w:color w:val="000000" w:themeColor="text1"/>
          <w:szCs w:val="24"/>
        </w:rPr>
        <w:t>d</w:t>
      </w:r>
      <w:r w:rsidR="002E2683" w:rsidRPr="00B450EE">
        <w:rPr>
          <w:rFonts w:asciiTheme="minorHAnsi" w:hAnsiTheme="minorHAnsi"/>
          <w:color w:val="000000" w:themeColor="text1"/>
          <w:szCs w:val="24"/>
        </w:rPr>
        <w:t xml:space="preserve"> meaningful interpersonal relationships.</w:t>
      </w:r>
      <w:r w:rsidR="00626CF1">
        <w:rPr>
          <w:rFonts w:asciiTheme="minorHAnsi" w:hAnsiTheme="minorHAnsi"/>
          <w:color w:val="000000" w:themeColor="text1"/>
          <w:szCs w:val="24"/>
        </w:rPr>
        <w:t xml:space="preserve">  </w:t>
      </w:r>
    </w:p>
    <w:p w:rsidR="00A3370E" w:rsidRDefault="005E7744" w:rsidP="005E7744">
      <w:pPr>
        <w:tabs>
          <w:tab w:val="left" w:pos="288"/>
          <w:tab w:val="left" w:pos="4752"/>
        </w:tabs>
        <w:jc w:val="both"/>
        <w:rPr>
          <w:rFonts w:cs="Times New Roman"/>
          <w:color w:val="auto"/>
        </w:rPr>
      </w:pPr>
      <w:r w:rsidRPr="00F64312">
        <w:rPr>
          <w:rFonts w:cs="Times New Roman"/>
          <w:color w:val="auto"/>
        </w:rPr>
        <w:t xml:space="preserve">The Board directs attention to its rating recommendation </w:t>
      </w:r>
      <w:r w:rsidR="00626CF1">
        <w:rPr>
          <w:rFonts w:cs="Times New Roman"/>
          <w:color w:val="auto"/>
        </w:rPr>
        <w:t xml:space="preserve">for both the </w:t>
      </w:r>
      <w:r w:rsidR="00C00B88">
        <w:rPr>
          <w:rFonts w:cs="Times New Roman"/>
          <w:color w:val="auto"/>
        </w:rPr>
        <w:t xml:space="preserve">time of placement on </w:t>
      </w:r>
      <w:r w:rsidR="00626CF1">
        <w:rPr>
          <w:rFonts w:cs="Times New Roman"/>
          <w:color w:val="auto"/>
        </w:rPr>
        <w:t xml:space="preserve">TDRL and at separation </w:t>
      </w:r>
      <w:r w:rsidRPr="00F64312">
        <w:rPr>
          <w:rFonts w:cs="Times New Roman"/>
          <w:color w:val="auto"/>
        </w:rPr>
        <w:t>based on the above evidence</w:t>
      </w:r>
      <w:r w:rsidR="00706ED5">
        <w:rPr>
          <w:rFonts w:cs="Times New Roman"/>
          <w:color w:val="auto"/>
        </w:rPr>
        <w:t>.</w:t>
      </w:r>
      <w:r w:rsidR="00C00B88">
        <w:rPr>
          <w:rFonts w:cs="Times New Roman"/>
          <w:color w:val="auto"/>
        </w:rPr>
        <w:t xml:space="preserve">  </w:t>
      </w:r>
      <w:r w:rsidRPr="007B6528">
        <w:rPr>
          <w:rFonts w:cs="Times New Roman"/>
          <w:color w:val="auto"/>
        </w:rPr>
        <w:t xml:space="preserve">The Board notes that both the MEB and VA exams </w:t>
      </w:r>
      <w:r w:rsidR="008842F9">
        <w:rPr>
          <w:rFonts w:cs="Times New Roman"/>
          <w:color w:val="auto"/>
        </w:rPr>
        <w:t xml:space="preserve">at the time of TDRL placement </w:t>
      </w:r>
      <w:r w:rsidRPr="007B6528">
        <w:rPr>
          <w:rFonts w:cs="Times New Roman"/>
          <w:color w:val="auto"/>
        </w:rPr>
        <w:t>were complete, well documented, and similar in terms of ratable data; and, therefore assigns them equal probative value</w:t>
      </w:r>
      <w:r w:rsidR="008842F9">
        <w:rPr>
          <w:rFonts w:cs="Times New Roman"/>
          <w:color w:val="auto"/>
        </w:rPr>
        <w:t xml:space="preserve"> for its TDRL recommendatio</w:t>
      </w:r>
      <w:r w:rsidR="00C00B88">
        <w:rPr>
          <w:rFonts w:cs="Times New Roman"/>
          <w:color w:val="auto"/>
        </w:rPr>
        <w:t xml:space="preserve">n.  </w:t>
      </w:r>
      <w:r w:rsidR="008842F9">
        <w:rPr>
          <w:rFonts w:cs="Times New Roman"/>
          <w:color w:val="auto"/>
        </w:rPr>
        <w:t xml:space="preserve">The Board </w:t>
      </w:r>
      <w:r w:rsidR="00A3370E">
        <w:rPr>
          <w:rFonts w:cs="Times New Roman"/>
          <w:color w:val="auto"/>
        </w:rPr>
        <w:t xml:space="preserve">however </w:t>
      </w:r>
      <w:r w:rsidR="008842F9">
        <w:rPr>
          <w:rFonts w:cs="Times New Roman"/>
          <w:color w:val="auto"/>
        </w:rPr>
        <w:t>notes the absence of an MEB mental status exam</w:t>
      </w:r>
      <w:r w:rsidR="000B46B7">
        <w:rPr>
          <w:rFonts w:cs="Times New Roman"/>
          <w:color w:val="auto"/>
        </w:rPr>
        <w:t xml:space="preserve"> (MSE)</w:t>
      </w:r>
      <w:r w:rsidR="008842F9">
        <w:rPr>
          <w:rFonts w:cs="Times New Roman"/>
          <w:color w:val="auto"/>
        </w:rPr>
        <w:t xml:space="preserve"> at the time of separation</w:t>
      </w:r>
      <w:r w:rsidR="00C00B88">
        <w:rPr>
          <w:rFonts w:cs="Times New Roman"/>
          <w:color w:val="auto"/>
        </w:rPr>
        <w:t xml:space="preserve">.  Further the Board notes the </w:t>
      </w:r>
      <w:r w:rsidR="00C00B88">
        <w:rPr>
          <w:rFonts w:asciiTheme="minorHAnsi" w:hAnsiTheme="minorHAnsi"/>
          <w:color w:val="000000" w:themeColor="text1"/>
          <w:szCs w:val="24"/>
        </w:rPr>
        <w:t xml:space="preserve">future psychiatric VA exam in 2008, a significant interval </w:t>
      </w:r>
      <w:r w:rsidR="00833AEB">
        <w:rPr>
          <w:color w:val="000000" w:themeColor="text1"/>
          <w:szCs w:val="24"/>
        </w:rPr>
        <w:t xml:space="preserve">approximately </w:t>
      </w:r>
      <w:r w:rsidR="00C00B88" w:rsidRPr="00833AEB">
        <w:rPr>
          <w:color w:val="000000" w:themeColor="text1"/>
          <w:szCs w:val="24"/>
        </w:rPr>
        <w:t>70</w:t>
      </w:r>
      <w:r w:rsidR="00833AEB">
        <w:rPr>
          <w:color w:val="000000" w:themeColor="text1"/>
          <w:szCs w:val="24"/>
        </w:rPr>
        <w:t xml:space="preserve"> </w:t>
      </w:r>
      <w:r w:rsidR="00C00B88" w:rsidRPr="00464474">
        <w:rPr>
          <w:color w:val="000000" w:themeColor="text1"/>
          <w:szCs w:val="24"/>
        </w:rPr>
        <w:t>mo</w:t>
      </w:r>
      <w:r w:rsidR="00C00B88">
        <w:rPr>
          <w:color w:val="000000" w:themeColor="text1"/>
          <w:szCs w:val="24"/>
        </w:rPr>
        <w:t>nths</w:t>
      </w:r>
      <w:r w:rsidR="00C00B88" w:rsidRPr="00464474">
        <w:rPr>
          <w:color w:val="000000" w:themeColor="text1"/>
          <w:szCs w:val="24"/>
        </w:rPr>
        <w:t xml:space="preserve"> after sep</w:t>
      </w:r>
      <w:r w:rsidR="00C00B88">
        <w:rPr>
          <w:color w:val="000000" w:themeColor="text1"/>
          <w:szCs w:val="24"/>
        </w:rPr>
        <w:t>aration</w:t>
      </w:r>
      <w:r w:rsidR="00C00B88">
        <w:rPr>
          <w:rFonts w:asciiTheme="minorHAnsi" w:hAnsiTheme="minorHAnsi"/>
          <w:color w:val="000000" w:themeColor="text1"/>
          <w:szCs w:val="24"/>
        </w:rPr>
        <w:t xml:space="preserve"> documented a significant worsening of his bipolar disorder however there were no other VA notes</w:t>
      </w:r>
      <w:r w:rsidR="00833AEB" w:rsidRPr="00833AEB">
        <w:rPr>
          <w:rFonts w:asciiTheme="minorHAnsi" w:hAnsiTheme="minorHAnsi"/>
          <w:color w:val="000000" w:themeColor="text1"/>
          <w:szCs w:val="24"/>
        </w:rPr>
        <w:t xml:space="preserve"> </w:t>
      </w:r>
      <w:r w:rsidR="00833AEB">
        <w:rPr>
          <w:rFonts w:asciiTheme="minorHAnsi" w:hAnsiTheme="minorHAnsi"/>
          <w:color w:val="000000" w:themeColor="text1"/>
          <w:szCs w:val="24"/>
        </w:rPr>
        <w:t>closer to separation</w:t>
      </w:r>
      <w:r w:rsidR="00C00B88">
        <w:rPr>
          <w:rFonts w:asciiTheme="minorHAnsi" w:hAnsiTheme="minorHAnsi"/>
          <w:color w:val="000000" w:themeColor="text1"/>
          <w:szCs w:val="24"/>
        </w:rPr>
        <w:t xml:space="preserve"> in evidence reflecting this interval worsening.  </w:t>
      </w:r>
      <w:r w:rsidR="00C00B88" w:rsidRPr="008842F9">
        <w:rPr>
          <w:rFonts w:asciiTheme="minorHAnsi" w:hAnsiTheme="minorHAnsi"/>
          <w:color w:val="000000" w:themeColor="text1"/>
          <w:szCs w:val="24"/>
        </w:rPr>
        <w:t xml:space="preserve">DoDI 6040.44, under which the Board operates, specifies a 12-month interval for special consideration to VA findings. </w:t>
      </w:r>
      <w:r w:rsidR="00C00B88">
        <w:rPr>
          <w:rFonts w:asciiTheme="minorHAnsi" w:hAnsiTheme="minorHAnsi"/>
          <w:color w:val="000000" w:themeColor="text1"/>
          <w:szCs w:val="24"/>
        </w:rPr>
        <w:t xml:space="preserve"> </w:t>
      </w:r>
      <w:r w:rsidR="00C00B88" w:rsidRPr="008842F9">
        <w:rPr>
          <w:rFonts w:asciiTheme="minorHAnsi" w:hAnsiTheme="minorHAnsi"/>
          <w:color w:val="000000" w:themeColor="text1"/>
          <w:szCs w:val="24"/>
        </w:rPr>
        <w:t xml:space="preserve">This does not mean that the VA information was disregarded, as it was a valuable source for clinical information and opinions relevant to the Board’s evaluation. </w:t>
      </w:r>
      <w:r w:rsidR="00C00B88">
        <w:rPr>
          <w:rFonts w:asciiTheme="minorHAnsi" w:hAnsiTheme="minorHAnsi"/>
          <w:color w:val="000000" w:themeColor="text1"/>
          <w:szCs w:val="24"/>
        </w:rPr>
        <w:t xml:space="preserve"> </w:t>
      </w:r>
      <w:r w:rsidR="00C00B88" w:rsidRPr="008842F9">
        <w:rPr>
          <w:rFonts w:asciiTheme="minorHAnsi" w:hAnsiTheme="minorHAnsi"/>
          <w:color w:val="000000" w:themeColor="text1"/>
          <w:szCs w:val="24"/>
        </w:rPr>
        <w:t xml:space="preserve">In matters germane to the severity and disability at the time of separation, however, the information in the </w:t>
      </w:r>
      <w:r w:rsidR="00C00B88">
        <w:rPr>
          <w:rFonts w:asciiTheme="minorHAnsi" w:hAnsiTheme="minorHAnsi"/>
          <w:color w:val="000000" w:themeColor="text1"/>
          <w:szCs w:val="24"/>
        </w:rPr>
        <w:t>C&amp;P exam</w:t>
      </w:r>
      <w:r w:rsidR="00C00B88" w:rsidRPr="008842F9">
        <w:rPr>
          <w:rFonts w:asciiTheme="minorHAnsi" w:hAnsiTheme="minorHAnsi"/>
          <w:color w:val="000000" w:themeColor="text1"/>
          <w:szCs w:val="24"/>
        </w:rPr>
        <w:t xml:space="preserve"> was assigned proportionately more probative value as a basis for the Board’s </w:t>
      </w:r>
      <w:r w:rsidR="00C00B88">
        <w:rPr>
          <w:rFonts w:asciiTheme="minorHAnsi" w:hAnsiTheme="minorHAnsi"/>
          <w:color w:val="000000" w:themeColor="text1"/>
          <w:szCs w:val="24"/>
        </w:rPr>
        <w:t xml:space="preserve">permanent </w:t>
      </w:r>
      <w:r w:rsidR="00C00B88" w:rsidRPr="008842F9">
        <w:rPr>
          <w:rFonts w:asciiTheme="minorHAnsi" w:hAnsiTheme="minorHAnsi"/>
          <w:color w:val="000000" w:themeColor="text1"/>
          <w:szCs w:val="24"/>
        </w:rPr>
        <w:t>rating recommendations</w:t>
      </w:r>
      <w:r w:rsidR="00C00B88">
        <w:rPr>
          <w:rFonts w:asciiTheme="minorHAnsi" w:hAnsiTheme="minorHAnsi"/>
          <w:color w:val="000000" w:themeColor="text1"/>
          <w:szCs w:val="24"/>
        </w:rPr>
        <w:t>.</w:t>
      </w:r>
      <w:r w:rsidR="00C00B88">
        <w:rPr>
          <w:rFonts w:cs="Times New Roman"/>
          <w:color w:val="auto"/>
        </w:rPr>
        <w:t xml:space="preserve">  </w:t>
      </w:r>
    </w:p>
    <w:p w:rsidR="00A3370E" w:rsidRDefault="00A3370E" w:rsidP="005E7744">
      <w:pPr>
        <w:tabs>
          <w:tab w:val="left" w:pos="288"/>
          <w:tab w:val="left" w:pos="4752"/>
        </w:tabs>
        <w:jc w:val="both"/>
        <w:rPr>
          <w:rFonts w:cs="Times New Roman"/>
          <w:color w:val="auto"/>
        </w:rPr>
      </w:pPr>
    </w:p>
    <w:p w:rsidR="008842F9" w:rsidRPr="001E07D8" w:rsidRDefault="005E7744" w:rsidP="005E7744">
      <w:pPr>
        <w:tabs>
          <w:tab w:val="left" w:pos="288"/>
          <w:tab w:val="left" w:pos="4752"/>
        </w:tabs>
        <w:jc w:val="both"/>
        <w:rPr>
          <w:rFonts w:cs="Times New Roman"/>
          <w:color w:val="auto"/>
        </w:rPr>
      </w:pPr>
      <w:r w:rsidRPr="001E07D8">
        <w:rPr>
          <w:rFonts w:cs="Times New Roman"/>
          <w:color w:val="auto"/>
        </w:rPr>
        <w:t xml:space="preserve">The PEB and VA chose </w:t>
      </w:r>
      <w:r w:rsidR="00C00B88">
        <w:rPr>
          <w:rFonts w:cs="Times New Roman"/>
          <w:color w:val="auto"/>
        </w:rPr>
        <w:t>the same</w:t>
      </w:r>
      <w:r w:rsidRPr="001E07D8">
        <w:rPr>
          <w:rFonts w:cs="Times New Roman"/>
          <w:color w:val="auto"/>
        </w:rPr>
        <w:t xml:space="preserve"> coding options for the condition</w:t>
      </w:r>
      <w:r w:rsidR="00A3370E">
        <w:rPr>
          <w:rFonts w:cs="Times New Roman"/>
          <w:color w:val="auto"/>
        </w:rPr>
        <w:t xml:space="preserve"> </w:t>
      </w:r>
      <w:r w:rsidR="00C00B88">
        <w:rPr>
          <w:rFonts w:cs="Times New Roman"/>
          <w:color w:val="auto"/>
        </w:rPr>
        <w:t>and assigned a rating IAW VASRD</w:t>
      </w:r>
      <w:r w:rsidR="00C00B88" w:rsidRPr="00C00B88">
        <w:rPr>
          <w:rFonts w:ascii="Times New Roman" w:hAnsi="Times New Roman" w:cs="Times New Roman"/>
          <w:color w:val="000000"/>
          <w:sz w:val="20"/>
        </w:rPr>
        <w:t xml:space="preserve"> </w:t>
      </w:r>
      <w:r w:rsidR="00C00B88" w:rsidRPr="00C00B88">
        <w:rPr>
          <w:rFonts w:cs="Times New Roman"/>
          <w:color w:val="auto"/>
        </w:rPr>
        <w:t xml:space="preserve">§4.130 </w:t>
      </w:r>
      <w:r w:rsidR="004F7C89">
        <w:rPr>
          <w:rFonts w:cs="Times New Roman"/>
          <w:color w:val="auto"/>
        </w:rPr>
        <w:t>s</w:t>
      </w:r>
      <w:r w:rsidR="00C00B88" w:rsidRPr="00C00B88">
        <w:rPr>
          <w:rFonts w:cs="Times New Roman"/>
          <w:color w:val="auto"/>
        </w:rPr>
        <w:t>chedule of ratings-mental disorders</w:t>
      </w:r>
      <w:r w:rsidR="00C00B88">
        <w:rPr>
          <w:rFonts w:cs="Times New Roman"/>
          <w:color w:val="auto"/>
        </w:rPr>
        <w:t>.</w:t>
      </w:r>
      <w:r w:rsidR="00C00B88" w:rsidRPr="00C00B88">
        <w:rPr>
          <w:rFonts w:cs="Times New Roman"/>
          <w:color w:val="auto"/>
        </w:rPr>
        <w:t xml:space="preserve"> </w:t>
      </w:r>
      <w:r w:rsidR="00C00B88">
        <w:rPr>
          <w:rFonts w:cs="Times New Roman"/>
          <w:color w:val="auto"/>
        </w:rPr>
        <w:t xml:space="preserve"> The PEB assigned a rating of 30% with placement on TDRL </w:t>
      </w:r>
      <w:r w:rsidR="007709AA">
        <w:rPr>
          <w:rFonts w:cs="Times New Roman"/>
          <w:color w:val="auto"/>
        </w:rPr>
        <w:t>for the</w:t>
      </w:r>
      <w:r w:rsidR="00C00B88">
        <w:rPr>
          <w:rFonts w:cs="Times New Roman"/>
          <w:color w:val="auto"/>
        </w:rPr>
        <w:t xml:space="preserve"> condition</w:t>
      </w:r>
      <w:r w:rsidR="007709AA">
        <w:rPr>
          <w:rFonts w:eastAsia="HiddenHorzOCR"/>
          <w:color w:val="000000" w:themeColor="text1"/>
          <w:szCs w:val="24"/>
        </w:rPr>
        <w:t xml:space="preserve"> was </w:t>
      </w:r>
      <w:r w:rsidR="007709AA" w:rsidRPr="00370E3E">
        <w:rPr>
          <w:rFonts w:eastAsia="HiddenHorzOCR"/>
          <w:color w:val="000000" w:themeColor="text1"/>
          <w:szCs w:val="24"/>
        </w:rPr>
        <w:t>moderate to severe without psychotic features</w:t>
      </w:r>
      <w:r w:rsidR="00C00B88">
        <w:rPr>
          <w:rFonts w:cs="Times New Roman"/>
          <w:color w:val="auto"/>
        </w:rPr>
        <w:t xml:space="preserve"> </w:t>
      </w:r>
      <w:r w:rsidR="007709AA">
        <w:rPr>
          <w:rFonts w:cs="Times New Roman"/>
          <w:color w:val="auto"/>
        </w:rPr>
        <w:t>and had</w:t>
      </w:r>
      <w:r w:rsidR="00C00B88">
        <w:rPr>
          <w:rFonts w:cs="Times New Roman"/>
          <w:color w:val="auto"/>
        </w:rPr>
        <w:t xml:space="preserve"> not stabilized to the point </w:t>
      </w:r>
      <w:r w:rsidR="007709AA">
        <w:rPr>
          <w:rFonts w:cs="Times New Roman"/>
          <w:color w:val="auto"/>
        </w:rPr>
        <w:t>that a</w:t>
      </w:r>
      <w:r w:rsidR="00C00B88">
        <w:rPr>
          <w:rFonts w:cs="Times New Roman"/>
          <w:color w:val="auto"/>
        </w:rPr>
        <w:t xml:space="preserve"> </w:t>
      </w:r>
      <w:r w:rsidR="00C00B88" w:rsidRPr="00370E3E">
        <w:rPr>
          <w:rFonts w:eastAsia="HiddenHorzOCR"/>
          <w:bCs/>
          <w:color w:val="000000" w:themeColor="text1"/>
          <w:szCs w:val="24"/>
        </w:rPr>
        <w:t xml:space="preserve">permanent degree of severity </w:t>
      </w:r>
      <w:r w:rsidR="00C00B88">
        <w:rPr>
          <w:rFonts w:eastAsia="HiddenHorzOCR"/>
          <w:bCs/>
          <w:color w:val="000000" w:themeColor="text1"/>
          <w:szCs w:val="24"/>
        </w:rPr>
        <w:t>could</w:t>
      </w:r>
      <w:r w:rsidR="00C00B88" w:rsidRPr="00370E3E">
        <w:rPr>
          <w:rFonts w:eastAsia="HiddenHorzOCR"/>
          <w:bCs/>
          <w:color w:val="000000" w:themeColor="text1"/>
          <w:szCs w:val="24"/>
        </w:rPr>
        <w:t xml:space="preserve"> be determined</w:t>
      </w:r>
      <w:r w:rsidR="007709AA">
        <w:rPr>
          <w:rFonts w:cs="Times New Roman"/>
          <w:color w:val="auto"/>
        </w:rPr>
        <w:t>.</w:t>
      </w:r>
      <w:r w:rsidR="00C00B88" w:rsidRPr="00370E3E">
        <w:rPr>
          <w:rFonts w:eastAsia="HiddenHorzOCR"/>
          <w:color w:val="000000" w:themeColor="text1"/>
          <w:szCs w:val="24"/>
        </w:rPr>
        <w:t xml:space="preserve">  </w:t>
      </w:r>
      <w:r w:rsidR="007709AA">
        <w:rPr>
          <w:rFonts w:eastAsia="HiddenHorzOCR"/>
          <w:color w:val="000000" w:themeColor="text1"/>
          <w:szCs w:val="24"/>
        </w:rPr>
        <w:t xml:space="preserve">The PEB assigned a permanent recommendation of 0% </w:t>
      </w:r>
      <w:r w:rsidR="007709AA">
        <w:rPr>
          <w:color w:val="000000" w:themeColor="text1"/>
          <w:szCs w:val="24"/>
        </w:rPr>
        <w:t>for</w:t>
      </w:r>
      <w:r w:rsidR="007709AA" w:rsidRPr="00D25D28">
        <w:rPr>
          <w:color w:val="000000" w:themeColor="text1"/>
          <w:szCs w:val="24"/>
        </w:rPr>
        <w:t xml:space="preserve"> </w:t>
      </w:r>
      <w:r w:rsidR="007709AA">
        <w:rPr>
          <w:color w:val="000000" w:themeColor="text1"/>
          <w:szCs w:val="24"/>
        </w:rPr>
        <w:t xml:space="preserve">full </w:t>
      </w:r>
      <w:r w:rsidR="00B0210E">
        <w:rPr>
          <w:color w:val="000000" w:themeColor="text1"/>
          <w:szCs w:val="24"/>
        </w:rPr>
        <w:t>sustained</w:t>
      </w:r>
      <w:r w:rsidR="007709AA">
        <w:rPr>
          <w:color w:val="000000" w:themeColor="text1"/>
          <w:szCs w:val="24"/>
        </w:rPr>
        <w:t xml:space="preserve"> remission of the condition and </w:t>
      </w:r>
      <w:r w:rsidR="00833AEB">
        <w:rPr>
          <w:color w:val="000000" w:themeColor="text1"/>
          <w:szCs w:val="24"/>
        </w:rPr>
        <w:t>further qualified</w:t>
      </w:r>
      <w:r w:rsidR="007709AA">
        <w:rPr>
          <w:color w:val="000000" w:themeColor="text1"/>
          <w:szCs w:val="24"/>
        </w:rPr>
        <w:t xml:space="preserve"> his i</w:t>
      </w:r>
      <w:r w:rsidR="007709AA" w:rsidRPr="00D25D28">
        <w:rPr>
          <w:color w:val="000000" w:themeColor="text1"/>
          <w:szCs w:val="24"/>
        </w:rPr>
        <w:t>ndustrial</w:t>
      </w:r>
      <w:r w:rsidR="007709AA">
        <w:rPr>
          <w:color w:val="000000" w:themeColor="text1"/>
          <w:szCs w:val="24"/>
        </w:rPr>
        <w:t xml:space="preserve"> </w:t>
      </w:r>
      <w:r w:rsidR="007709AA" w:rsidRPr="00D25D28">
        <w:rPr>
          <w:color w:val="000000" w:themeColor="text1"/>
          <w:szCs w:val="24"/>
        </w:rPr>
        <w:t xml:space="preserve">adaptability impairment </w:t>
      </w:r>
      <w:r w:rsidR="007709AA">
        <w:rPr>
          <w:color w:val="000000" w:themeColor="text1"/>
          <w:szCs w:val="24"/>
        </w:rPr>
        <w:t>as</w:t>
      </w:r>
      <w:r w:rsidR="007709AA" w:rsidRPr="00D25D28">
        <w:rPr>
          <w:color w:val="000000" w:themeColor="text1"/>
          <w:szCs w:val="24"/>
        </w:rPr>
        <w:t xml:space="preserve"> none</w:t>
      </w:r>
      <w:r w:rsidR="007709AA">
        <w:rPr>
          <w:color w:val="000000" w:themeColor="text1"/>
          <w:szCs w:val="24"/>
        </w:rPr>
        <w:t xml:space="preserve"> for he was working full-time</w:t>
      </w:r>
      <w:r w:rsidR="007709AA" w:rsidRPr="00D25D28">
        <w:rPr>
          <w:color w:val="000000" w:themeColor="text1"/>
          <w:szCs w:val="24"/>
        </w:rPr>
        <w:t>.</w:t>
      </w:r>
      <w:r w:rsidR="00833AEB">
        <w:rPr>
          <w:color w:val="000000" w:themeColor="text1"/>
          <w:szCs w:val="24"/>
        </w:rPr>
        <w:t xml:space="preserve">  </w:t>
      </w:r>
      <w:r w:rsidR="00833AEB">
        <w:rPr>
          <w:rFonts w:asciiTheme="minorHAnsi" w:hAnsiTheme="minorHAnsi"/>
          <w:color w:val="000000" w:themeColor="text1"/>
          <w:szCs w:val="24"/>
        </w:rPr>
        <w:t xml:space="preserve">The VA assigned a rating of 10% for </w:t>
      </w:r>
      <w:r w:rsidR="00833AEB" w:rsidRPr="00833AEB">
        <w:rPr>
          <w:rFonts w:asciiTheme="minorHAnsi" w:hAnsiTheme="minorHAnsi"/>
          <w:color w:val="000000" w:themeColor="text1"/>
          <w:szCs w:val="24"/>
        </w:rPr>
        <w:t>occupational and social impairment due to mild or transient symptoms</w:t>
      </w:r>
      <w:r w:rsidR="00833AEB">
        <w:rPr>
          <w:rFonts w:asciiTheme="minorHAnsi" w:hAnsiTheme="minorHAnsi"/>
          <w:color w:val="000000" w:themeColor="text1"/>
          <w:szCs w:val="24"/>
        </w:rPr>
        <w:t xml:space="preserve"> noting the absence of continuous medication and did not increase this rating to 30% till 2008</w:t>
      </w:r>
      <w:r w:rsidR="00B0210E">
        <w:rPr>
          <w:rFonts w:asciiTheme="minorHAnsi" w:hAnsiTheme="minorHAnsi"/>
          <w:color w:val="000000" w:themeColor="text1"/>
          <w:szCs w:val="24"/>
        </w:rPr>
        <w:t xml:space="preserve"> with worsening of his illness</w:t>
      </w:r>
      <w:r w:rsidR="00833AEB">
        <w:rPr>
          <w:rFonts w:asciiTheme="minorHAnsi" w:hAnsiTheme="minorHAnsi"/>
          <w:color w:val="000000" w:themeColor="text1"/>
          <w:szCs w:val="24"/>
        </w:rPr>
        <w:t>.</w:t>
      </w:r>
      <w:r w:rsidR="00A3370E">
        <w:rPr>
          <w:rFonts w:cs="Times New Roman"/>
          <w:color w:val="auto"/>
        </w:rPr>
        <w:t xml:space="preserve">  </w:t>
      </w:r>
      <w:r w:rsidR="00833AEB" w:rsidRPr="00D91551">
        <w:rPr>
          <w:rFonts w:cs="Times New Roman"/>
          <w:color w:val="auto"/>
        </w:rPr>
        <w:t>As regards to the TDRL rating recommendation, all members agreed that the §4.130 threshold for a 70% rating was not approached.  The deliberation settled on arguments for a 50% vs. a 30% vs. 10% permanent rating recommendation.  The Board noted the symptom description</w:t>
      </w:r>
      <w:r w:rsidR="000B46B7">
        <w:rPr>
          <w:rFonts w:cs="Times New Roman"/>
          <w:color w:val="auto"/>
        </w:rPr>
        <w:t xml:space="preserve"> </w:t>
      </w:r>
      <w:r w:rsidR="00833AEB" w:rsidRPr="00D91551">
        <w:rPr>
          <w:rFonts w:cs="Times New Roman"/>
          <w:color w:val="auto"/>
        </w:rPr>
        <w:t xml:space="preserve">and clinical course argue against a characterization of the severity as mild or transient, and it is clear that symptoms were not completely controlled on medication at the time of the MEB.  While the CI self-referred for treatment with multiple stressors, future evidence does </w:t>
      </w:r>
      <w:r w:rsidR="007A0C05" w:rsidRPr="00D91551">
        <w:rPr>
          <w:rFonts w:cs="Times New Roman"/>
          <w:color w:val="auto"/>
        </w:rPr>
        <w:t>provide</w:t>
      </w:r>
      <w:r w:rsidR="00833AEB" w:rsidRPr="00D91551">
        <w:rPr>
          <w:rFonts w:cs="Times New Roman"/>
          <w:color w:val="auto"/>
        </w:rPr>
        <w:t xml:space="preserve"> provide a correlation of acuity with degree of stress, and that element of the 10% description </w:t>
      </w:r>
      <w:r w:rsidR="007A0C05" w:rsidRPr="00D91551">
        <w:rPr>
          <w:rFonts w:cs="Times New Roman"/>
          <w:color w:val="auto"/>
        </w:rPr>
        <w:t xml:space="preserve">was </w:t>
      </w:r>
      <w:r w:rsidR="00833AEB" w:rsidRPr="00D91551">
        <w:rPr>
          <w:rFonts w:cs="Times New Roman"/>
          <w:color w:val="auto"/>
        </w:rPr>
        <w:t>relevant</w:t>
      </w:r>
      <w:r w:rsidR="007A0C05" w:rsidRPr="00D91551">
        <w:rPr>
          <w:rFonts w:cs="Times New Roman"/>
          <w:color w:val="auto"/>
        </w:rPr>
        <w:t xml:space="preserve"> at the time of permanent</w:t>
      </w:r>
      <w:r w:rsidR="000B46B7">
        <w:rPr>
          <w:rFonts w:cs="Times New Roman"/>
          <w:color w:val="auto"/>
        </w:rPr>
        <w:t xml:space="preserve"> separation</w:t>
      </w:r>
      <w:r w:rsidR="00833AEB" w:rsidRPr="00D91551">
        <w:rPr>
          <w:rFonts w:cs="Times New Roman"/>
          <w:color w:val="auto"/>
        </w:rPr>
        <w:t>.  The CI fit the 50% descriptor at the time of h</w:t>
      </w:r>
      <w:r w:rsidR="007A0C05" w:rsidRPr="00D91551">
        <w:rPr>
          <w:rFonts w:cs="Times New Roman"/>
          <w:color w:val="auto"/>
        </w:rPr>
        <w:t xml:space="preserve">is </w:t>
      </w:r>
      <w:r w:rsidR="00833AEB" w:rsidRPr="00D91551">
        <w:rPr>
          <w:rFonts w:cs="Times New Roman"/>
          <w:color w:val="auto"/>
        </w:rPr>
        <w:t>immediate referral</w:t>
      </w:r>
      <w:r w:rsidR="007A0C05" w:rsidRPr="00D91551">
        <w:rPr>
          <w:rFonts w:cs="Times New Roman"/>
          <w:color w:val="auto"/>
        </w:rPr>
        <w:t xml:space="preserve"> but </w:t>
      </w:r>
      <w:r w:rsidR="00833AEB" w:rsidRPr="00D91551">
        <w:rPr>
          <w:rFonts w:cs="Times New Roman"/>
          <w:color w:val="auto"/>
        </w:rPr>
        <w:t xml:space="preserve">after treatment </w:t>
      </w:r>
      <w:r w:rsidR="007A0C05" w:rsidRPr="00D91551">
        <w:rPr>
          <w:rFonts w:cs="Times New Roman"/>
          <w:color w:val="auto"/>
        </w:rPr>
        <w:t xml:space="preserve">he </w:t>
      </w:r>
      <w:r w:rsidR="00833AEB" w:rsidRPr="00D91551">
        <w:rPr>
          <w:rFonts w:cs="Times New Roman"/>
          <w:color w:val="auto"/>
        </w:rPr>
        <w:t xml:space="preserve">had resolution of </w:t>
      </w:r>
      <w:r w:rsidR="007A0C05" w:rsidRPr="00D91551">
        <w:rPr>
          <w:rFonts w:cs="Times New Roman"/>
          <w:color w:val="auto"/>
        </w:rPr>
        <w:t>his suicidal</w:t>
      </w:r>
      <w:r w:rsidR="00833AEB" w:rsidRPr="00D91551">
        <w:rPr>
          <w:rFonts w:cs="Times New Roman"/>
          <w:color w:val="auto"/>
        </w:rPr>
        <w:t xml:space="preserve"> ideations</w:t>
      </w:r>
      <w:r w:rsidR="007A0C05" w:rsidRPr="00D91551">
        <w:rPr>
          <w:rFonts w:cs="Times New Roman"/>
          <w:color w:val="auto"/>
        </w:rPr>
        <w:t xml:space="preserve"> and most of his symptoms</w:t>
      </w:r>
      <w:r w:rsidR="00833AEB" w:rsidRPr="00D91551">
        <w:rPr>
          <w:rFonts w:cs="Times New Roman"/>
          <w:color w:val="auto"/>
        </w:rPr>
        <w:t xml:space="preserve">.  </w:t>
      </w:r>
      <w:r w:rsidR="00833AEB" w:rsidRPr="00D91551">
        <w:rPr>
          <w:rFonts w:asciiTheme="minorHAnsi" w:hAnsiTheme="minorHAnsi"/>
          <w:color w:val="auto"/>
          <w:szCs w:val="24"/>
        </w:rPr>
        <w:t xml:space="preserve">When carefully considering the whole record IAW VASRD §4.2 (Interpretation of examination reports) in order to develop a consistent picture of the CI’s mental health condition </w:t>
      </w:r>
      <w:r w:rsidR="00833AEB" w:rsidRPr="00D91551">
        <w:rPr>
          <w:rFonts w:cs="Times New Roman"/>
          <w:color w:val="auto"/>
        </w:rPr>
        <w:t>the 30% description (“occupational and social impairment with occasional decrease in work efficiency and intermittent periods of inability to perform occupational tasks”) is a better fit</w:t>
      </w:r>
      <w:r w:rsidR="007A0C05" w:rsidRPr="00D91551">
        <w:rPr>
          <w:rFonts w:cs="Times New Roman"/>
          <w:color w:val="auto"/>
        </w:rPr>
        <w:t xml:space="preserve"> at the time of TDRL placement</w:t>
      </w:r>
      <w:r w:rsidR="00833AEB" w:rsidRPr="00D91551">
        <w:rPr>
          <w:rFonts w:cs="Times New Roman"/>
          <w:color w:val="auto"/>
        </w:rPr>
        <w:t>.  The occupational functioning in evidence is consistent with decreased efficiency, reliability and productivity</w:t>
      </w:r>
      <w:r w:rsidR="007A0C05" w:rsidRPr="00D91551">
        <w:rPr>
          <w:rFonts w:cs="Times New Roman"/>
          <w:color w:val="auto"/>
        </w:rPr>
        <w:t xml:space="preserve"> and he demonstrated moderate motor retardation, constricted affect and limited insight.</w:t>
      </w:r>
      <w:r w:rsidR="00833AEB" w:rsidRPr="00D91551">
        <w:rPr>
          <w:rFonts w:cs="Times New Roman"/>
          <w:color w:val="auto"/>
        </w:rPr>
        <w:t xml:space="preserve"> </w:t>
      </w:r>
      <w:r w:rsidR="007A0C05" w:rsidRPr="00D91551">
        <w:rPr>
          <w:rFonts w:cs="Times New Roman"/>
          <w:color w:val="auto"/>
        </w:rPr>
        <w:t xml:space="preserve"> His</w:t>
      </w:r>
      <w:r w:rsidR="00833AEB" w:rsidRPr="00D91551">
        <w:rPr>
          <w:rFonts w:cs="Times New Roman"/>
          <w:color w:val="auto"/>
        </w:rPr>
        <w:t xml:space="preserve"> occupational impairment </w:t>
      </w:r>
      <w:r w:rsidR="007A0C05" w:rsidRPr="00D91551">
        <w:rPr>
          <w:rFonts w:cs="Times New Roman"/>
          <w:color w:val="auto"/>
        </w:rPr>
        <w:t>and M</w:t>
      </w:r>
      <w:r w:rsidR="000B46B7">
        <w:rPr>
          <w:rFonts w:cs="Times New Roman"/>
          <w:color w:val="auto"/>
        </w:rPr>
        <w:t>SE improved 4 months after TDRL</w:t>
      </w:r>
      <w:r w:rsidR="004F7C89">
        <w:rPr>
          <w:rFonts w:cs="Times New Roman"/>
          <w:color w:val="auto"/>
        </w:rPr>
        <w:t>,</w:t>
      </w:r>
      <w:r w:rsidR="000B46B7">
        <w:rPr>
          <w:rFonts w:cs="Times New Roman"/>
          <w:color w:val="auto"/>
        </w:rPr>
        <w:t xml:space="preserve"> and at</w:t>
      </w:r>
      <w:r w:rsidR="00B0210E" w:rsidRPr="00D91551">
        <w:rPr>
          <w:bCs/>
          <w:color w:val="auto"/>
        </w:rPr>
        <w:t xml:space="preserve"> the interim and TDRL separation exams, </w:t>
      </w:r>
      <w:r w:rsidR="000B46B7">
        <w:rPr>
          <w:bCs/>
          <w:color w:val="auto"/>
        </w:rPr>
        <w:t xml:space="preserve">both </w:t>
      </w:r>
      <w:r w:rsidR="004F7C89">
        <w:rPr>
          <w:bCs/>
          <w:color w:val="auto"/>
        </w:rPr>
        <w:t>2</w:t>
      </w:r>
      <w:r w:rsidR="00B0210E" w:rsidRPr="00D91551">
        <w:rPr>
          <w:bCs/>
          <w:color w:val="auto"/>
        </w:rPr>
        <w:t xml:space="preserve"> years </w:t>
      </w:r>
      <w:r w:rsidR="00B0210E" w:rsidRPr="00D91551">
        <w:rPr>
          <w:bCs/>
          <w:color w:val="auto"/>
        </w:rPr>
        <w:lastRenderedPageBreak/>
        <w:t xml:space="preserve">apart, the CI was working full-time, not taking medications, demonstrated mild symptoms and </w:t>
      </w:r>
      <w:r w:rsidR="000B46B7">
        <w:rPr>
          <w:bCs/>
          <w:color w:val="auto"/>
        </w:rPr>
        <w:t xml:space="preserve">on </w:t>
      </w:r>
      <w:r w:rsidR="00B0210E" w:rsidRPr="00D91551">
        <w:rPr>
          <w:bCs/>
          <w:color w:val="auto"/>
        </w:rPr>
        <w:t>had meaningful relationships</w:t>
      </w:r>
      <w:r w:rsidR="00833AEB" w:rsidRPr="00D91551">
        <w:rPr>
          <w:rFonts w:cs="Times New Roman"/>
          <w:color w:val="auto"/>
        </w:rPr>
        <w:t>.</w:t>
      </w:r>
      <w:r w:rsidR="00B0210E" w:rsidRPr="00D91551">
        <w:rPr>
          <w:rFonts w:cs="Times New Roman"/>
          <w:color w:val="auto"/>
        </w:rPr>
        <w:t xml:space="preserve">  </w:t>
      </w:r>
      <w:r w:rsidR="000B46B7">
        <w:rPr>
          <w:rFonts w:cs="Times New Roman"/>
          <w:color w:val="auto"/>
        </w:rPr>
        <w:t>The C&amp;P exam, proximate to separation, did not</w:t>
      </w:r>
      <w:r w:rsidR="00483AA2" w:rsidRPr="00D91551">
        <w:rPr>
          <w:rFonts w:cs="Times New Roman"/>
          <w:color w:val="auto"/>
        </w:rPr>
        <w:t xml:space="preserve"> approach the 30% criteria</w:t>
      </w:r>
      <w:r w:rsidR="000B46B7">
        <w:rPr>
          <w:rFonts w:cs="Times New Roman"/>
          <w:color w:val="auto"/>
        </w:rPr>
        <w:t>.  Although the TDRL separation exam documented full remission, the Board</w:t>
      </w:r>
      <w:r w:rsidR="00483AA2" w:rsidRPr="00D91551">
        <w:rPr>
          <w:rFonts w:cs="Times New Roman"/>
          <w:color w:val="auto"/>
        </w:rPr>
        <w:t xml:space="preserve"> </w:t>
      </w:r>
      <w:r w:rsidR="000B46B7">
        <w:rPr>
          <w:rFonts w:cs="Times New Roman"/>
          <w:color w:val="auto"/>
        </w:rPr>
        <w:t>deliberated</w:t>
      </w:r>
      <w:r w:rsidR="00B0210E" w:rsidRPr="00D91551">
        <w:rPr>
          <w:rFonts w:cs="Times New Roman"/>
          <w:color w:val="auto"/>
        </w:rPr>
        <w:t xml:space="preserve"> the waxing and waning </w:t>
      </w:r>
      <w:r w:rsidR="000B46B7">
        <w:rPr>
          <w:rFonts w:cs="Times New Roman"/>
          <w:color w:val="auto"/>
        </w:rPr>
        <w:t xml:space="preserve">pathology </w:t>
      </w:r>
      <w:r w:rsidR="00B0210E" w:rsidRPr="00D91551">
        <w:rPr>
          <w:rFonts w:cs="Times New Roman"/>
          <w:color w:val="auto"/>
        </w:rPr>
        <w:t xml:space="preserve">of </w:t>
      </w:r>
      <w:r w:rsidR="000B46B7">
        <w:rPr>
          <w:rFonts w:cs="Times New Roman"/>
          <w:color w:val="auto"/>
        </w:rPr>
        <w:t>bipolar</w:t>
      </w:r>
      <w:r w:rsidR="00B0210E" w:rsidRPr="00D91551">
        <w:rPr>
          <w:rFonts w:cs="Times New Roman"/>
          <w:color w:val="auto"/>
        </w:rPr>
        <w:t xml:space="preserve"> disease</w:t>
      </w:r>
      <w:r w:rsidR="000B46B7">
        <w:rPr>
          <w:rFonts w:cs="Times New Roman"/>
          <w:color w:val="auto"/>
        </w:rPr>
        <w:t xml:space="preserve"> and</w:t>
      </w:r>
      <w:r w:rsidR="00B0210E" w:rsidRPr="00D91551">
        <w:rPr>
          <w:rFonts w:cs="Times New Roman"/>
          <w:color w:val="auto"/>
        </w:rPr>
        <w:t xml:space="preserve"> agreed</w:t>
      </w:r>
      <w:r w:rsidR="00483AA2" w:rsidRPr="00D91551">
        <w:rPr>
          <w:rFonts w:cs="Times New Roman"/>
          <w:color w:val="auto"/>
        </w:rPr>
        <w:t xml:space="preserve"> </w:t>
      </w:r>
      <w:r w:rsidR="000B46B7">
        <w:rPr>
          <w:rFonts w:cs="Times New Roman"/>
          <w:color w:val="auto"/>
        </w:rPr>
        <w:t>the</w:t>
      </w:r>
      <w:r w:rsidR="00483AA2" w:rsidRPr="00D91551">
        <w:rPr>
          <w:rFonts w:cs="Times New Roman"/>
          <w:color w:val="auto"/>
        </w:rPr>
        <w:t xml:space="preserve"> 10% rating</w:t>
      </w:r>
      <w:r w:rsidR="000B46B7">
        <w:rPr>
          <w:rFonts w:cs="Times New Roman"/>
          <w:color w:val="auto"/>
        </w:rPr>
        <w:t xml:space="preserve"> is the best fit at separation</w:t>
      </w:r>
      <w:r w:rsidR="00B0210E" w:rsidRPr="00D91551">
        <w:rPr>
          <w:rFonts w:cs="Times New Roman"/>
          <w:color w:val="auto"/>
        </w:rPr>
        <w:t>.</w:t>
      </w:r>
      <w:r w:rsidR="00833AEB" w:rsidRPr="00D91551">
        <w:rPr>
          <w:rFonts w:cs="Times New Roman"/>
          <w:color w:val="auto"/>
        </w:rPr>
        <w:t xml:space="preserve">  After due deliberation, considering the totality of the evidence and mindful of VASRD §4.3 (reasonable doubt), the Board recommends </w:t>
      </w:r>
      <w:r w:rsidR="00B0210E" w:rsidRPr="00D91551">
        <w:rPr>
          <w:rFonts w:cs="Times New Roman"/>
          <w:color w:val="auto"/>
        </w:rPr>
        <w:t xml:space="preserve">a 10% </w:t>
      </w:r>
      <w:r w:rsidR="00833AEB" w:rsidRPr="00D91551">
        <w:rPr>
          <w:rFonts w:cs="Times New Roman"/>
          <w:color w:val="auto"/>
        </w:rPr>
        <w:t xml:space="preserve">permanent disability rating for the </w:t>
      </w:r>
      <w:r w:rsidR="004F7C89">
        <w:rPr>
          <w:rFonts w:cs="Times New Roman"/>
          <w:color w:val="auto"/>
        </w:rPr>
        <w:t>b</w:t>
      </w:r>
      <w:r w:rsidR="00B0210E" w:rsidRPr="00D91551">
        <w:rPr>
          <w:rFonts w:cs="Times New Roman"/>
          <w:color w:val="auto"/>
        </w:rPr>
        <w:t xml:space="preserve">ipolar </w:t>
      </w:r>
      <w:r w:rsidR="004F7C89">
        <w:rPr>
          <w:rFonts w:cs="Times New Roman"/>
          <w:color w:val="auto"/>
        </w:rPr>
        <w:t>d</w:t>
      </w:r>
      <w:r w:rsidR="00B0210E" w:rsidRPr="00D91551">
        <w:rPr>
          <w:rFonts w:cs="Times New Roman"/>
          <w:color w:val="auto"/>
        </w:rPr>
        <w:t>isorder</w:t>
      </w:r>
      <w:r w:rsidR="00833AEB" w:rsidRPr="00D91551">
        <w:rPr>
          <w:rFonts w:cs="Times New Roman"/>
          <w:color w:val="auto"/>
        </w:rPr>
        <w:t>.</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F4F49" w:rsidRPr="00D91551" w:rsidRDefault="00C56FC8" w:rsidP="00C26B27">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83AA2" w:rsidRPr="00483AA2">
        <w:rPr>
          <w:rFonts w:eastAsia="Calibri" w:cs="Times New Roman"/>
          <w:color w:val="auto"/>
          <w:szCs w:val="24"/>
        </w:rPr>
        <w:t xml:space="preserve"> </w:t>
      </w:r>
      <w:r w:rsidR="00483AA2">
        <w:rPr>
          <w:rFonts w:eastAsia="Calibri" w:cs="Times New Roman"/>
          <w:color w:val="auto"/>
          <w:szCs w:val="24"/>
        </w:rPr>
        <w:t xml:space="preserve"> </w:t>
      </w:r>
      <w:r w:rsidR="00483AA2" w:rsidRPr="00F64312">
        <w:rPr>
          <w:rFonts w:eastAsia="Calibri" w:cs="Times New Roman"/>
          <w:color w:val="auto"/>
          <w:szCs w:val="24"/>
        </w:rPr>
        <w:t xml:space="preserve">As discussed above, PEB reliance </w:t>
      </w:r>
      <w:r w:rsidR="00483AA2" w:rsidRPr="000B46B7">
        <w:rPr>
          <w:rFonts w:eastAsia="Calibri" w:cs="Times New Roman"/>
          <w:color w:val="auto"/>
          <w:szCs w:val="24"/>
        </w:rPr>
        <w:t xml:space="preserve">on DoDI 1332.39 for rating </w:t>
      </w:r>
      <w:r w:rsidR="004F7C89">
        <w:rPr>
          <w:rFonts w:eastAsia="Calibri" w:cs="Times New Roman"/>
          <w:color w:val="auto"/>
          <w:szCs w:val="24"/>
        </w:rPr>
        <w:t>b</w:t>
      </w:r>
      <w:r w:rsidR="00483AA2" w:rsidRPr="000B46B7">
        <w:rPr>
          <w:rFonts w:eastAsia="Calibri" w:cs="Times New Roman"/>
          <w:color w:val="auto"/>
          <w:szCs w:val="24"/>
        </w:rPr>
        <w:t xml:space="preserve">ipolar </w:t>
      </w:r>
      <w:r w:rsidR="004F7C89">
        <w:rPr>
          <w:rFonts w:eastAsia="Calibri" w:cs="Times New Roman"/>
          <w:color w:val="auto"/>
          <w:szCs w:val="24"/>
        </w:rPr>
        <w:t>d</w:t>
      </w:r>
      <w:r w:rsidR="00483AA2" w:rsidRPr="000B46B7">
        <w:rPr>
          <w:rFonts w:eastAsia="Calibri" w:cs="Times New Roman"/>
          <w:color w:val="auto"/>
          <w:szCs w:val="24"/>
        </w:rPr>
        <w:t>isorder was operant in this case and the condition</w:t>
      </w:r>
      <w:r w:rsidR="00483AA2" w:rsidRPr="00F64312">
        <w:rPr>
          <w:rFonts w:eastAsia="Calibri" w:cs="Times New Roman"/>
          <w:color w:val="auto"/>
          <w:szCs w:val="24"/>
        </w:rPr>
        <w:t xml:space="preserve"> was adjudicated </w:t>
      </w:r>
      <w:r w:rsidR="00483AA2" w:rsidRPr="000B46B7">
        <w:rPr>
          <w:rFonts w:eastAsia="Calibri" w:cs="Times New Roman"/>
          <w:color w:val="auto"/>
          <w:szCs w:val="24"/>
        </w:rPr>
        <w:t xml:space="preserve">independently of that instruction by the Board.  In the matter of the </w:t>
      </w:r>
      <w:r w:rsidR="004F7C89">
        <w:rPr>
          <w:rFonts w:eastAsia="Calibri" w:cs="Times New Roman"/>
          <w:color w:val="auto"/>
          <w:szCs w:val="24"/>
        </w:rPr>
        <w:t>b</w:t>
      </w:r>
      <w:r w:rsidR="00483AA2" w:rsidRPr="000B46B7">
        <w:rPr>
          <w:rFonts w:eastAsia="Calibri" w:cs="Times New Roman"/>
          <w:color w:val="auto"/>
          <w:szCs w:val="24"/>
        </w:rPr>
        <w:t xml:space="preserve">ipolar </w:t>
      </w:r>
      <w:r w:rsidR="004F7C89">
        <w:rPr>
          <w:rFonts w:eastAsia="Calibri" w:cs="Times New Roman"/>
          <w:color w:val="auto"/>
          <w:szCs w:val="24"/>
        </w:rPr>
        <w:t>d</w:t>
      </w:r>
      <w:r w:rsidR="00483AA2" w:rsidRPr="000B46B7">
        <w:rPr>
          <w:rFonts w:eastAsia="Calibri" w:cs="Times New Roman"/>
          <w:color w:val="auto"/>
          <w:szCs w:val="24"/>
        </w:rPr>
        <w:t>isorder condition, the Board unanimously recommends a permanent disability rating of 10%, coded 9432 IAW VASRD §4.130.</w:t>
      </w:r>
      <w:r w:rsidR="00483AA2" w:rsidRPr="00F64312">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767004" w:rsidRDefault="00C56FC8" w:rsidP="00767004">
      <w:pPr>
        <w:jc w:val="both"/>
        <w:rPr>
          <w:rFonts w:eastAsia="Calibri" w:cs="Times New Roman"/>
          <w:color w:val="auto"/>
          <w:szCs w:val="24"/>
        </w:rPr>
      </w:pPr>
      <w:r w:rsidRPr="001F29F9">
        <w:rPr>
          <w:color w:val="000000" w:themeColor="text1"/>
          <w:szCs w:val="24"/>
          <w:u w:val="single"/>
        </w:rPr>
        <w:t>RECOMMENDATION</w:t>
      </w:r>
      <w:r w:rsidRPr="001F29F9">
        <w:rPr>
          <w:color w:val="000000" w:themeColor="text1"/>
          <w:szCs w:val="24"/>
        </w:rPr>
        <w:t>:</w:t>
      </w:r>
      <w:r w:rsidR="007709AA">
        <w:rPr>
          <w:color w:val="000000" w:themeColor="text1"/>
        </w:rPr>
        <w:t xml:space="preserve">  </w:t>
      </w:r>
      <w:r w:rsidR="00767004">
        <w:rPr>
          <w:rFonts w:eastAsia="Calibri" w:cs="Times New Roman"/>
          <w:color w:val="auto"/>
          <w:szCs w:val="24"/>
        </w:rPr>
        <w:t xml:space="preserve">The Board recommends that the CI’s prior determination be modified as follows, effective as of the date of his prior medical separation:  </w:t>
      </w:r>
    </w:p>
    <w:p w:rsidR="00DB0015" w:rsidRPr="001F29F9" w:rsidRDefault="00DB0015"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638"/>
        <w:gridCol w:w="1512"/>
      </w:tblGrid>
      <w:tr w:rsidR="009373FD" w:rsidRPr="001F29F9" w:rsidTr="00767004">
        <w:trPr>
          <w:trHeight w:val="440"/>
          <w:jc w:val="center"/>
        </w:trPr>
        <w:tc>
          <w:tcPr>
            <w:tcW w:w="4950" w:type="dxa"/>
            <w:shd w:val="clear" w:color="auto" w:fill="D9D9D9"/>
            <w:vAlign w:val="center"/>
          </w:tcPr>
          <w:p w:rsidR="009373FD" w:rsidRPr="00FB492C" w:rsidRDefault="009373FD" w:rsidP="00BF0E94">
            <w:pPr>
              <w:tabs>
                <w:tab w:val="left" w:pos="288"/>
                <w:tab w:val="left" w:pos="4752"/>
              </w:tabs>
              <w:rPr>
                <w:color w:val="000000" w:themeColor="text1"/>
                <w:szCs w:val="24"/>
              </w:rPr>
            </w:pPr>
            <w:r w:rsidRPr="00FB492C">
              <w:rPr>
                <w:b/>
                <w:color w:val="000000" w:themeColor="text1"/>
                <w:szCs w:val="24"/>
              </w:rPr>
              <w:t>UNFITTING CONDITION</w:t>
            </w:r>
          </w:p>
        </w:tc>
        <w:tc>
          <w:tcPr>
            <w:tcW w:w="1638" w:type="dxa"/>
            <w:shd w:val="clear" w:color="auto" w:fill="D9D9D9"/>
            <w:vAlign w:val="center"/>
          </w:tcPr>
          <w:p w:rsidR="009373FD" w:rsidRPr="00FB492C" w:rsidRDefault="009373FD" w:rsidP="00BF0E94">
            <w:pPr>
              <w:tabs>
                <w:tab w:val="left" w:pos="288"/>
                <w:tab w:val="left" w:pos="4752"/>
              </w:tabs>
              <w:rPr>
                <w:color w:val="000000" w:themeColor="text1"/>
                <w:szCs w:val="24"/>
              </w:rPr>
            </w:pPr>
            <w:r w:rsidRPr="00FB492C">
              <w:rPr>
                <w:color w:val="000000" w:themeColor="text1"/>
                <w:szCs w:val="24"/>
              </w:rPr>
              <w:t>VASRD CODE</w:t>
            </w:r>
          </w:p>
        </w:tc>
        <w:tc>
          <w:tcPr>
            <w:tcW w:w="1512" w:type="dxa"/>
            <w:shd w:val="pct15" w:color="auto" w:fill="auto"/>
            <w:vAlign w:val="center"/>
          </w:tcPr>
          <w:p w:rsidR="009373FD" w:rsidRPr="00FB492C" w:rsidRDefault="009373FD" w:rsidP="00BF0E94">
            <w:pPr>
              <w:tabs>
                <w:tab w:val="left" w:pos="288"/>
                <w:tab w:val="left" w:pos="4752"/>
              </w:tabs>
              <w:rPr>
                <w:color w:val="000000" w:themeColor="text1"/>
                <w:szCs w:val="24"/>
              </w:rPr>
            </w:pPr>
            <w:r w:rsidRPr="00FB492C">
              <w:rPr>
                <w:color w:val="000000" w:themeColor="text1"/>
                <w:szCs w:val="24"/>
              </w:rPr>
              <w:t>PERMANENT</w:t>
            </w:r>
          </w:p>
          <w:p w:rsidR="009373FD" w:rsidRPr="00FB492C" w:rsidRDefault="009373FD" w:rsidP="00BF0E94">
            <w:pPr>
              <w:tabs>
                <w:tab w:val="left" w:pos="288"/>
                <w:tab w:val="left" w:pos="4752"/>
              </w:tabs>
              <w:rPr>
                <w:color w:val="000000" w:themeColor="text1"/>
                <w:szCs w:val="24"/>
              </w:rPr>
            </w:pPr>
            <w:r w:rsidRPr="00FB492C">
              <w:rPr>
                <w:color w:val="000000" w:themeColor="text1"/>
                <w:szCs w:val="24"/>
              </w:rPr>
              <w:t>RATING</w:t>
            </w:r>
          </w:p>
        </w:tc>
      </w:tr>
      <w:tr w:rsidR="009373FD" w:rsidRPr="001F29F9" w:rsidTr="00767004">
        <w:trPr>
          <w:trHeight w:val="188"/>
          <w:jc w:val="center"/>
        </w:trPr>
        <w:tc>
          <w:tcPr>
            <w:tcW w:w="4950" w:type="dxa"/>
          </w:tcPr>
          <w:p w:rsidR="009373FD" w:rsidRPr="00FB492C" w:rsidRDefault="009373FD" w:rsidP="00D3349D">
            <w:pPr>
              <w:contextualSpacing/>
              <w:jc w:val="left"/>
              <w:rPr>
                <w:color w:val="000000" w:themeColor="text1"/>
                <w:szCs w:val="24"/>
              </w:rPr>
            </w:pPr>
            <w:r w:rsidRPr="00FB492C">
              <w:rPr>
                <w:color w:val="000000" w:themeColor="text1"/>
                <w:szCs w:val="24"/>
              </w:rPr>
              <w:t>Bipolar Disorder</w:t>
            </w:r>
          </w:p>
        </w:tc>
        <w:tc>
          <w:tcPr>
            <w:tcW w:w="1638" w:type="dxa"/>
            <w:tcBorders>
              <w:bottom w:val="single" w:sz="4" w:space="0" w:color="000000"/>
            </w:tcBorders>
            <w:vAlign w:val="center"/>
          </w:tcPr>
          <w:p w:rsidR="009373FD" w:rsidRPr="00FB492C" w:rsidRDefault="009373FD" w:rsidP="00D3349D">
            <w:pPr>
              <w:contextualSpacing/>
              <w:rPr>
                <w:color w:val="000000" w:themeColor="text1"/>
                <w:szCs w:val="24"/>
              </w:rPr>
            </w:pPr>
            <w:r w:rsidRPr="00FB492C">
              <w:rPr>
                <w:color w:val="000000" w:themeColor="text1"/>
                <w:szCs w:val="24"/>
              </w:rPr>
              <w:t>9432</w:t>
            </w:r>
          </w:p>
        </w:tc>
        <w:tc>
          <w:tcPr>
            <w:tcW w:w="1512" w:type="dxa"/>
            <w:tcBorders>
              <w:bottom w:val="single" w:sz="4" w:space="0" w:color="000000"/>
            </w:tcBorders>
            <w:vAlign w:val="center"/>
          </w:tcPr>
          <w:p w:rsidR="009373FD" w:rsidRPr="00FB492C" w:rsidRDefault="009373FD" w:rsidP="00626CF1">
            <w:pPr>
              <w:tabs>
                <w:tab w:val="left" w:pos="288"/>
                <w:tab w:val="left" w:pos="4752"/>
              </w:tabs>
              <w:rPr>
                <w:color w:val="000000" w:themeColor="text1"/>
                <w:szCs w:val="24"/>
              </w:rPr>
            </w:pPr>
            <w:r w:rsidRPr="00FB492C">
              <w:rPr>
                <w:color w:val="000000" w:themeColor="text1"/>
                <w:szCs w:val="24"/>
              </w:rPr>
              <w:t>10%</w:t>
            </w:r>
          </w:p>
        </w:tc>
      </w:tr>
      <w:tr w:rsidR="009373FD" w:rsidRPr="001F29F9" w:rsidTr="00767004">
        <w:tblPrEx>
          <w:tblLook w:val="0000"/>
        </w:tblPrEx>
        <w:trPr>
          <w:gridBefore w:val="1"/>
          <w:wBefore w:w="4950" w:type="dxa"/>
          <w:trHeight w:val="188"/>
          <w:jc w:val="center"/>
        </w:trPr>
        <w:tc>
          <w:tcPr>
            <w:tcW w:w="1638" w:type="dxa"/>
            <w:tcBorders>
              <w:left w:val="single" w:sz="4" w:space="0" w:color="auto"/>
            </w:tcBorders>
            <w:shd w:val="pct15" w:color="auto" w:fill="auto"/>
            <w:vAlign w:val="center"/>
          </w:tcPr>
          <w:p w:rsidR="009373FD" w:rsidRPr="00FB492C" w:rsidRDefault="009373FD" w:rsidP="00D3349D">
            <w:pPr>
              <w:tabs>
                <w:tab w:val="left" w:pos="288"/>
                <w:tab w:val="left" w:pos="4752"/>
              </w:tabs>
              <w:rPr>
                <w:b/>
                <w:color w:val="000000" w:themeColor="text1"/>
                <w:szCs w:val="24"/>
              </w:rPr>
            </w:pPr>
            <w:r w:rsidRPr="00FB492C">
              <w:rPr>
                <w:b/>
                <w:color w:val="000000" w:themeColor="text1"/>
                <w:szCs w:val="24"/>
              </w:rPr>
              <w:t>COMBINED</w:t>
            </w:r>
          </w:p>
        </w:tc>
        <w:tc>
          <w:tcPr>
            <w:tcW w:w="1512" w:type="dxa"/>
            <w:shd w:val="pct15" w:color="auto" w:fill="auto"/>
            <w:vAlign w:val="center"/>
          </w:tcPr>
          <w:p w:rsidR="009373FD" w:rsidRPr="00FB492C" w:rsidRDefault="009373FD" w:rsidP="00626CF1">
            <w:pPr>
              <w:tabs>
                <w:tab w:val="left" w:pos="288"/>
                <w:tab w:val="left" w:pos="4752"/>
              </w:tabs>
              <w:rPr>
                <w:b/>
                <w:color w:val="000000" w:themeColor="text1"/>
                <w:szCs w:val="24"/>
              </w:rPr>
            </w:pPr>
            <w:r w:rsidRPr="00FB492C">
              <w:rPr>
                <w:color w:val="000000" w:themeColor="text1"/>
                <w:szCs w:val="24"/>
              </w:rPr>
              <w:t>10%</w:t>
            </w:r>
          </w:p>
        </w:tc>
      </w:tr>
    </w:tbl>
    <w:p w:rsidR="005B1D09" w:rsidRDefault="005B1D09" w:rsidP="00BF0E94">
      <w:pPr>
        <w:pBdr>
          <w:bottom w:val="single" w:sz="12" w:space="1" w:color="auto"/>
        </w:pBdr>
        <w:tabs>
          <w:tab w:val="left" w:pos="288"/>
          <w:tab w:val="left" w:pos="4752"/>
        </w:tabs>
        <w:jc w:val="both"/>
        <w:rPr>
          <w:color w:val="000000" w:themeColor="text1"/>
        </w:rPr>
      </w:pPr>
    </w:p>
    <w:p w:rsidR="009373FD" w:rsidRDefault="009373FD" w:rsidP="00BF0E94">
      <w:pPr>
        <w:pBdr>
          <w:bottom w:val="single" w:sz="12" w:space="1" w:color="auto"/>
        </w:pBdr>
        <w:tabs>
          <w:tab w:val="left" w:pos="288"/>
          <w:tab w:val="left" w:pos="4752"/>
        </w:tabs>
        <w:jc w:val="both"/>
        <w:rPr>
          <w:color w:val="000000" w:themeColor="text1"/>
        </w:rPr>
      </w:pPr>
    </w:p>
    <w:p w:rsidR="009373FD" w:rsidRDefault="009373FD" w:rsidP="00BF0E94">
      <w:pPr>
        <w:pBdr>
          <w:bottom w:val="single" w:sz="12" w:space="1" w:color="auto"/>
        </w:pBdr>
        <w:tabs>
          <w:tab w:val="left" w:pos="288"/>
          <w:tab w:val="left" w:pos="4752"/>
        </w:tabs>
        <w:jc w:val="both"/>
        <w:rPr>
          <w:color w:val="000000" w:themeColor="text1"/>
        </w:rPr>
      </w:pPr>
    </w:p>
    <w:p w:rsidR="009373FD" w:rsidRDefault="009373FD" w:rsidP="00BF0E94">
      <w:pPr>
        <w:pBdr>
          <w:bottom w:val="single" w:sz="12" w:space="1" w:color="auto"/>
        </w:pBdr>
        <w:tabs>
          <w:tab w:val="left" w:pos="288"/>
          <w:tab w:val="left" w:pos="4752"/>
        </w:tabs>
        <w:jc w:val="both"/>
        <w:rPr>
          <w:color w:val="000000" w:themeColor="text1"/>
        </w:rPr>
      </w:pPr>
    </w:p>
    <w:p w:rsidR="009373FD" w:rsidRDefault="009373FD" w:rsidP="00BF0E94">
      <w:pPr>
        <w:pBdr>
          <w:bottom w:val="single" w:sz="12" w:space="1" w:color="auto"/>
        </w:pBdr>
        <w:tabs>
          <w:tab w:val="left" w:pos="288"/>
          <w:tab w:val="left" w:pos="4752"/>
        </w:tabs>
        <w:jc w:val="both"/>
        <w:rPr>
          <w:color w:val="000000" w:themeColor="text1"/>
        </w:rPr>
      </w:pPr>
    </w:p>
    <w:p w:rsidR="009373FD" w:rsidRPr="001F29F9" w:rsidRDefault="009373FD" w:rsidP="00BF0E94">
      <w:pPr>
        <w:pBdr>
          <w:bottom w:val="single" w:sz="12" w:space="1" w:color="auto"/>
        </w:pBdr>
        <w:tabs>
          <w:tab w:val="left" w:pos="288"/>
          <w:tab w:val="left" w:pos="4752"/>
        </w:tabs>
        <w:jc w:val="both"/>
        <w:rPr>
          <w:color w:val="000000" w:themeColor="text1"/>
        </w:rPr>
      </w:pPr>
      <w:bookmarkStart w:id="0" w:name="_GoBack"/>
      <w:bookmarkEnd w:id="0"/>
    </w:p>
    <w:p w:rsidR="005B1D09" w:rsidRPr="001F29F9" w:rsidRDefault="005B1D09" w:rsidP="002726F7">
      <w:pPr>
        <w:jc w:val="left"/>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7A5A1B">
        <w:rPr>
          <w:color w:val="000000" w:themeColor="text1"/>
          <w:szCs w:val="24"/>
        </w:rPr>
        <w:t>11013</w:t>
      </w:r>
      <w:r w:rsidR="004F7C8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Service Treatment </w:t>
      </w:r>
      <w:r w:rsidR="004F7C89">
        <w:rPr>
          <w:color w:val="000000" w:themeColor="text1"/>
        </w:rPr>
        <w:t>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4F7C89">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4225A3">
        <w:rPr>
          <w:color w:val="000000" w:themeColor="text1"/>
          <w:szCs w:val="24"/>
        </w:rPr>
        <w:t>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4225A3" w:rsidRDefault="002F195B" w:rsidP="005A260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4225A3" w:rsidRDefault="004225A3">
      <w:pPr>
        <w:rPr>
          <w:color w:val="000000" w:themeColor="text1"/>
          <w:szCs w:val="24"/>
        </w:rPr>
      </w:pPr>
      <w:r>
        <w:rPr>
          <w:color w:val="000000" w:themeColor="text1"/>
          <w:szCs w:val="24"/>
        </w:rPr>
        <w:br w:type="page"/>
      </w:r>
    </w:p>
    <w:p w:rsidR="004225A3" w:rsidRDefault="004225A3" w:rsidP="004225A3">
      <w:pPr>
        <w:sectPr w:rsidR="004225A3">
          <w:pgSz w:w="12240" w:h="15840"/>
          <w:pgMar w:top="2160" w:right="1440" w:bottom="1440" w:left="1440" w:header="720" w:footer="720" w:gutter="0"/>
          <w:cols w:space="720"/>
        </w:sectPr>
      </w:pPr>
    </w:p>
    <w:p w:rsidR="004225A3" w:rsidRDefault="004225A3" w:rsidP="004225A3">
      <w:pPr>
        <w:pStyle w:val="Header"/>
        <w:tabs>
          <w:tab w:val="left" w:pos="720"/>
        </w:tabs>
        <w:jc w:val="left"/>
      </w:pPr>
      <w:r>
        <w:lastRenderedPageBreak/>
        <w:t>SFMR-RB</w:t>
      </w:r>
      <w:r>
        <w:tab/>
      </w:r>
      <w:r>
        <w:tab/>
      </w:r>
      <w:r>
        <w:tab/>
      </w:r>
      <w:r>
        <w:tab/>
      </w:r>
      <w:r>
        <w:tab/>
      </w:r>
      <w:r>
        <w:tab/>
      </w:r>
      <w:r>
        <w:tab/>
      </w:r>
      <w:r>
        <w:tab/>
      </w:r>
      <w:r>
        <w:tab/>
      </w:r>
    </w:p>
    <w:p w:rsidR="004225A3" w:rsidRDefault="004225A3" w:rsidP="004225A3">
      <w:pPr>
        <w:pStyle w:val="Header"/>
        <w:tabs>
          <w:tab w:val="left" w:pos="720"/>
        </w:tabs>
        <w:jc w:val="left"/>
      </w:pPr>
    </w:p>
    <w:p w:rsidR="004225A3" w:rsidRDefault="004225A3" w:rsidP="004225A3">
      <w:pPr>
        <w:jc w:val="left"/>
      </w:pPr>
    </w:p>
    <w:p w:rsidR="004225A3" w:rsidRDefault="004225A3" w:rsidP="004225A3">
      <w:pPr>
        <w:jc w:val="left"/>
      </w:pPr>
      <w:r>
        <w:t xml:space="preserve">MEMORANDUM FOR Commander, US Army Physical Disability Agency </w:t>
      </w:r>
    </w:p>
    <w:p w:rsidR="004225A3" w:rsidRDefault="004225A3" w:rsidP="004225A3">
      <w:pPr>
        <w:jc w:val="left"/>
      </w:pPr>
      <w:r>
        <w:t xml:space="preserve">(TAPD-ZB </w:t>
      </w:r>
      <w:proofErr w:type="gramStart"/>
      <w:r>
        <w:t>/  )</w:t>
      </w:r>
      <w:proofErr w:type="gramEnd"/>
      <w:r>
        <w:t>, 2900 Crystal Drive, Suite 300, Arlington, VA  22202-3557</w:t>
      </w:r>
    </w:p>
    <w:p w:rsidR="004225A3" w:rsidRDefault="004225A3" w:rsidP="004225A3">
      <w:pPr>
        <w:jc w:val="left"/>
      </w:pPr>
    </w:p>
    <w:p w:rsidR="004225A3" w:rsidRDefault="004225A3" w:rsidP="004225A3">
      <w:pPr>
        <w:ind w:right="-180"/>
        <w:jc w:val="left"/>
      </w:pPr>
      <w:r>
        <w:t xml:space="preserve">SUBJECT:  Department of Defense Physical Disability Board of Review Recommendation </w:t>
      </w:r>
    </w:p>
    <w:p w:rsidR="004225A3" w:rsidRDefault="004225A3" w:rsidP="004225A3">
      <w:pPr>
        <w:pStyle w:val="Header"/>
        <w:tabs>
          <w:tab w:val="left" w:pos="720"/>
        </w:tabs>
        <w:jc w:val="left"/>
      </w:pPr>
      <w:proofErr w:type="gramStart"/>
      <w:r>
        <w:t>for</w:t>
      </w:r>
      <w:proofErr w:type="gramEnd"/>
      <w:r>
        <w:t xml:space="preserve"> XXXXXXXXXXXXXXXXXXXXXXXXX, AR20120012021 (PD201100903)</w:t>
      </w:r>
    </w:p>
    <w:p w:rsidR="004225A3" w:rsidRDefault="004225A3" w:rsidP="004225A3">
      <w:pPr>
        <w:pStyle w:val="Header"/>
        <w:tabs>
          <w:tab w:val="left" w:pos="720"/>
        </w:tabs>
        <w:jc w:val="left"/>
      </w:pPr>
    </w:p>
    <w:p w:rsidR="004225A3" w:rsidRDefault="004225A3" w:rsidP="004225A3">
      <w:pPr>
        <w:jc w:val="left"/>
      </w:pPr>
    </w:p>
    <w:p w:rsidR="004225A3" w:rsidRDefault="004225A3" w:rsidP="004225A3">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4225A3" w:rsidRDefault="004225A3" w:rsidP="004225A3">
      <w:pPr>
        <w:jc w:val="left"/>
      </w:pPr>
    </w:p>
    <w:p w:rsidR="004225A3" w:rsidRDefault="004225A3" w:rsidP="004225A3">
      <w:pPr>
        <w:jc w:val="left"/>
      </w:pPr>
      <w:r>
        <w:t xml:space="preserve">2.  I direct that all the Department of the Army records of the individual concerned be corrected accordingly no later than 120 days from the date of this memorandum.   </w:t>
      </w:r>
    </w:p>
    <w:p w:rsidR="004225A3" w:rsidRDefault="004225A3" w:rsidP="004225A3">
      <w:pPr>
        <w:jc w:val="left"/>
      </w:pPr>
    </w:p>
    <w:p w:rsidR="004225A3" w:rsidRDefault="004225A3" w:rsidP="004225A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225A3" w:rsidRDefault="004225A3" w:rsidP="004225A3">
      <w:pPr>
        <w:jc w:val="left"/>
      </w:pPr>
    </w:p>
    <w:p w:rsidR="004225A3" w:rsidRDefault="004225A3" w:rsidP="004225A3">
      <w:pPr>
        <w:jc w:val="left"/>
      </w:pPr>
      <w:r>
        <w:t xml:space="preserve"> BY ORDER OF THE SECRETARY OF THE ARMY:</w:t>
      </w:r>
    </w:p>
    <w:p w:rsidR="004225A3" w:rsidRDefault="004225A3" w:rsidP="004225A3">
      <w:pPr>
        <w:jc w:val="left"/>
      </w:pPr>
    </w:p>
    <w:p w:rsidR="004225A3" w:rsidRDefault="004225A3" w:rsidP="004225A3">
      <w:pPr>
        <w:jc w:val="left"/>
      </w:pPr>
    </w:p>
    <w:p w:rsidR="004225A3" w:rsidRDefault="004225A3" w:rsidP="004225A3">
      <w:pPr>
        <w:pStyle w:val="Header"/>
        <w:tabs>
          <w:tab w:val="left" w:pos="720"/>
        </w:tabs>
        <w:jc w:val="left"/>
      </w:pPr>
    </w:p>
    <w:p w:rsidR="004225A3" w:rsidRDefault="004225A3" w:rsidP="004225A3">
      <w:pPr>
        <w:jc w:val="left"/>
      </w:pPr>
    </w:p>
    <w:p w:rsidR="004225A3" w:rsidRDefault="004225A3" w:rsidP="004225A3">
      <w:pPr>
        <w:jc w:val="left"/>
      </w:pPr>
      <w:bookmarkStart w:id="1" w:name="OLE_LINK4"/>
      <w:bookmarkStart w:id="2" w:name="OLE_LINK3"/>
      <w:r>
        <w:t>Encl</w:t>
      </w:r>
      <w:r>
        <w:tab/>
      </w:r>
      <w:r>
        <w:tab/>
      </w:r>
      <w:r>
        <w:tab/>
      </w:r>
      <w:r>
        <w:tab/>
      </w:r>
      <w:r>
        <w:tab/>
      </w:r>
      <w:r>
        <w:tab/>
        <w:t xml:space="preserve">     XXXXXXXXXXXXXXXXXXXXX</w:t>
      </w:r>
    </w:p>
    <w:p w:rsidR="004225A3" w:rsidRDefault="004225A3" w:rsidP="004225A3">
      <w:pPr>
        <w:jc w:val="left"/>
      </w:pPr>
      <w:r>
        <w:tab/>
      </w:r>
      <w:r>
        <w:tab/>
      </w:r>
      <w:r>
        <w:tab/>
      </w:r>
      <w:r>
        <w:tab/>
      </w:r>
      <w:r>
        <w:tab/>
      </w:r>
      <w:r>
        <w:tab/>
        <w:t xml:space="preserve">     Deputy Assistant Secretary</w:t>
      </w:r>
    </w:p>
    <w:p w:rsidR="004225A3" w:rsidRDefault="004225A3" w:rsidP="004225A3">
      <w:pPr>
        <w:jc w:val="left"/>
      </w:pPr>
      <w:r>
        <w:tab/>
      </w:r>
      <w:r>
        <w:tab/>
      </w:r>
      <w:r>
        <w:tab/>
      </w:r>
      <w:r>
        <w:tab/>
      </w:r>
      <w:r>
        <w:tab/>
      </w:r>
      <w:r>
        <w:tab/>
        <w:t xml:space="preserve">         (Army Review Boards)</w:t>
      </w:r>
      <w:bookmarkEnd w:id="1"/>
      <w:bookmarkEnd w:id="2"/>
    </w:p>
    <w:p w:rsidR="004225A3" w:rsidRDefault="004225A3" w:rsidP="004225A3">
      <w:pPr>
        <w:jc w:val="left"/>
      </w:pPr>
    </w:p>
    <w:p w:rsidR="004225A3" w:rsidRDefault="004225A3" w:rsidP="004225A3">
      <w:pPr>
        <w:jc w:val="left"/>
      </w:pPr>
      <w:r>
        <w:t xml:space="preserve">CF: </w:t>
      </w:r>
    </w:p>
    <w:p w:rsidR="004225A3" w:rsidRDefault="004225A3" w:rsidP="004225A3">
      <w:pPr>
        <w:jc w:val="left"/>
      </w:pPr>
      <w:r>
        <w:t xml:space="preserve">(  ) </w:t>
      </w:r>
      <w:proofErr w:type="spellStart"/>
      <w:proofErr w:type="gramStart"/>
      <w:r>
        <w:t>DoD</w:t>
      </w:r>
      <w:proofErr w:type="spellEnd"/>
      <w:proofErr w:type="gramEnd"/>
      <w:r>
        <w:t xml:space="preserve"> PDBR</w:t>
      </w:r>
    </w:p>
    <w:p w:rsidR="004225A3" w:rsidRDefault="004225A3" w:rsidP="004225A3">
      <w:pPr>
        <w:jc w:val="left"/>
      </w:pPr>
      <w:r>
        <w:t>(  ) DVA</w:t>
      </w:r>
    </w:p>
    <w:p w:rsidR="00427C7F" w:rsidRDefault="00427C7F" w:rsidP="004225A3">
      <w:pPr>
        <w:tabs>
          <w:tab w:val="left" w:pos="0"/>
          <w:tab w:val="left" w:pos="4320"/>
        </w:tabs>
        <w:jc w:val="left"/>
        <w:rPr>
          <w:color w:val="000000" w:themeColor="text1"/>
          <w:szCs w:val="24"/>
        </w:rPr>
      </w:pPr>
    </w:p>
    <w:p w:rsidR="00EF6BEF" w:rsidRPr="00767004" w:rsidRDefault="00EF6BEF" w:rsidP="004225A3">
      <w:pPr>
        <w:jc w:val="left"/>
        <w:rPr>
          <w:color w:val="000000" w:themeColor="text1"/>
          <w:szCs w:val="24"/>
        </w:rPr>
      </w:pPr>
    </w:p>
    <w:sectPr w:rsidR="00EF6BEF" w:rsidRPr="00767004"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EB" w:rsidRDefault="009E18EB">
      <w:r>
        <w:separator/>
      </w:r>
    </w:p>
  </w:endnote>
  <w:endnote w:type="continuationSeparator" w:id="0">
    <w:p w:rsidR="009E18EB" w:rsidRDefault="009E18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0137096F-3A21-4821-BC37-D7494945F4F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833AEB" w:rsidRPr="00374247" w:rsidRDefault="00833AEB" w:rsidP="00374247">
        <w:pPr>
          <w:pStyle w:val="Footer"/>
          <w:ind w:firstLine="4320"/>
          <w:rPr>
            <w:color w:val="auto"/>
            <w:szCs w:val="24"/>
          </w:rPr>
        </w:pPr>
        <w:r w:rsidRPr="00374247">
          <w:rPr>
            <w:color w:val="auto"/>
            <w:szCs w:val="24"/>
          </w:rPr>
          <w:t xml:space="preserve">   </w:t>
        </w:r>
        <w:r w:rsidR="00295175" w:rsidRPr="00374247">
          <w:rPr>
            <w:color w:val="auto"/>
            <w:szCs w:val="24"/>
          </w:rPr>
          <w:fldChar w:fldCharType="begin"/>
        </w:r>
        <w:r w:rsidRPr="00374247">
          <w:rPr>
            <w:color w:val="auto"/>
            <w:szCs w:val="24"/>
          </w:rPr>
          <w:instrText xml:space="preserve"> PAGE   \* MERGEFORMAT </w:instrText>
        </w:r>
        <w:r w:rsidR="00295175" w:rsidRPr="00374247">
          <w:rPr>
            <w:color w:val="auto"/>
            <w:szCs w:val="24"/>
          </w:rPr>
          <w:fldChar w:fldCharType="separate"/>
        </w:r>
        <w:r w:rsidR="004225A3" w:rsidRPr="004225A3">
          <w:rPr>
            <w:noProof/>
            <w:color w:val="auto"/>
          </w:rPr>
          <w:t>5</w:t>
        </w:r>
        <w:r w:rsidR="00295175" w:rsidRPr="00374247">
          <w:rPr>
            <w:color w:val="auto"/>
            <w:szCs w:val="24"/>
          </w:rPr>
          <w:fldChar w:fldCharType="end"/>
        </w:r>
        <w:r w:rsidRPr="00374247">
          <w:rPr>
            <w:color w:val="auto"/>
            <w:szCs w:val="24"/>
          </w:rPr>
          <w:t xml:space="preserve">                                                           </w:t>
        </w:r>
        <w:r w:rsidRPr="007A5A1B">
          <w:rPr>
            <w:color w:val="auto"/>
            <w:szCs w:val="24"/>
          </w:rPr>
          <w:t>PD1100</w:t>
        </w:r>
        <w:r>
          <w:rPr>
            <w:color w:val="auto"/>
            <w:szCs w:val="24"/>
          </w:rPr>
          <w:t>903</w:t>
        </w:r>
      </w:p>
    </w:sdtContent>
  </w:sdt>
  <w:p w:rsidR="00833AEB" w:rsidRPr="00684CE6" w:rsidRDefault="00833AE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EB" w:rsidRDefault="009E18EB">
      <w:r>
        <w:separator/>
      </w:r>
    </w:p>
  </w:footnote>
  <w:footnote w:type="continuationSeparator" w:id="0">
    <w:p w:rsidR="009E18EB" w:rsidRDefault="009E1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1F09"/>
    <w:rsid w:val="000024F5"/>
    <w:rsid w:val="000059FA"/>
    <w:rsid w:val="00006186"/>
    <w:rsid w:val="00006F87"/>
    <w:rsid w:val="00007107"/>
    <w:rsid w:val="000071A8"/>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88B"/>
    <w:rsid w:val="00053D7C"/>
    <w:rsid w:val="000575C5"/>
    <w:rsid w:val="000577C9"/>
    <w:rsid w:val="00060FFD"/>
    <w:rsid w:val="00061D69"/>
    <w:rsid w:val="0006431E"/>
    <w:rsid w:val="000652EA"/>
    <w:rsid w:val="00065DE3"/>
    <w:rsid w:val="00065E21"/>
    <w:rsid w:val="000673ED"/>
    <w:rsid w:val="00067854"/>
    <w:rsid w:val="00070DED"/>
    <w:rsid w:val="00072433"/>
    <w:rsid w:val="00072B3E"/>
    <w:rsid w:val="000732DE"/>
    <w:rsid w:val="0007455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3A08"/>
    <w:rsid w:val="000A41E3"/>
    <w:rsid w:val="000A4BBA"/>
    <w:rsid w:val="000A4D0C"/>
    <w:rsid w:val="000A5071"/>
    <w:rsid w:val="000B0AD2"/>
    <w:rsid w:val="000B1022"/>
    <w:rsid w:val="000B2FB8"/>
    <w:rsid w:val="000B46B7"/>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346"/>
    <w:rsid w:val="000D6457"/>
    <w:rsid w:val="000D7D55"/>
    <w:rsid w:val="000E0993"/>
    <w:rsid w:val="000E1EAD"/>
    <w:rsid w:val="000E2E44"/>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3D2"/>
    <w:rsid w:val="0012453A"/>
    <w:rsid w:val="0012489B"/>
    <w:rsid w:val="00126CA4"/>
    <w:rsid w:val="001272AE"/>
    <w:rsid w:val="00130756"/>
    <w:rsid w:val="001315DD"/>
    <w:rsid w:val="0013525F"/>
    <w:rsid w:val="00135385"/>
    <w:rsid w:val="001360F2"/>
    <w:rsid w:val="00136204"/>
    <w:rsid w:val="001364D1"/>
    <w:rsid w:val="001374C7"/>
    <w:rsid w:val="00140FA4"/>
    <w:rsid w:val="00141BC9"/>
    <w:rsid w:val="001421FD"/>
    <w:rsid w:val="001425C8"/>
    <w:rsid w:val="00142EBA"/>
    <w:rsid w:val="00143B79"/>
    <w:rsid w:val="00145965"/>
    <w:rsid w:val="00150B8A"/>
    <w:rsid w:val="00150DCB"/>
    <w:rsid w:val="00151912"/>
    <w:rsid w:val="00151FD4"/>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277F"/>
    <w:rsid w:val="001732C4"/>
    <w:rsid w:val="001745DD"/>
    <w:rsid w:val="00174FDE"/>
    <w:rsid w:val="00174FE3"/>
    <w:rsid w:val="00176D63"/>
    <w:rsid w:val="00177659"/>
    <w:rsid w:val="001779E5"/>
    <w:rsid w:val="00180826"/>
    <w:rsid w:val="00181240"/>
    <w:rsid w:val="00181B83"/>
    <w:rsid w:val="001824DB"/>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97"/>
    <w:rsid w:val="001B60E0"/>
    <w:rsid w:val="001B755A"/>
    <w:rsid w:val="001B7C8C"/>
    <w:rsid w:val="001C00CB"/>
    <w:rsid w:val="001C051D"/>
    <w:rsid w:val="001C0688"/>
    <w:rsid w:val="001C181A"/>
    <w:rsid w:val="001C1877"/>
    <w:rsid w:val="001C2053"/>
    <w:rsid w:val="001C252F"/>
    <w:rsid w:val="001C28D1"/>
    <w:rsid w:val="001C3473"/>
    <w:rsid w:val="001C3547"/>
    <w:rsid w:val="001C4CAC"/>
    <w:rsid w:val="001C5BDA"/>
    <w:rsid w:val="001C5CFC"/>
    <w:rsid w:val="001C7231"/>
    <w:rsid w:val="001C7418"/>
    <w:rsid w:val="001C7EBE"/>
    <w:rsid w:val="001D0051"/>
    <w:rsid w:val="001D150B"/>
    <w:rsid w:val="001D169A"/>
    <w:rsid w:val="001D2224"/>
    <w:rsid w:val="001D31AA"/>
    <w:rsid w:val="001D37B9"/>
    <w:rsid w:val="001D3DC0"/>
    <w:rsid w:val="001D3EF1"/>
    <w:rsid w:val="001D4F88"/>
    <w:rsid w:val="001D64F3"/>
    <w:rsid w:val="001D68CF"/>
    <w:rsid w:val="001D6A8C"/>
    <w:rsid w:val="001D7A56"/>
    <w:rsid w:val="001E1218"/>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2D6A"/>
    <w:rsid w:val="00225080"/>
    <w:rsid w:val="00225196"/>
    <w:rsid w:val="00225CB4"/>
    <w:rsid w:val="00226B1A"/>
    <w:rsid w:val="00227F0B"/>
    <w:rsid w:val="0023049F"/>
    <w:rsid w:val="002310C3"/>
    <w:rsid w:val="002316F6"/>
    <w:rsid w:val="00232591"/>
    <w:rsid w:val="00232C9B"/>
    <w:rsid w:val="00232E73"/>
    <w:rsid w:val="00232F09"/>
    <w:rsid w:val="002335D5"/>
    <w:rsid w:val="002338CA"/>
    <w:rsid w:val="00233FE5"/>
    <w:rsid w:val="00234B3B"/>
    <w:rsid w:val="00234D98"/>
    <w:rsid w:val="00235AD0"/>
    <w:rsid w:val="00236018"/>
    <w:rsid w:val="002374C9"/>
    <w:rsid w:val="00241601"/>
    <w:rsid w:val="0024162D"/>
    <w:rsid w:val="0024174E"/>
    <w:rsid w:val="00242238"/>
    <w:rsid w:val="0024227D"/>
    <w:rsid w:val="00242D14"/>
    <w:rsid w:val="002432F4"/>
    <w:rsid w:val="00244920"/>
    <w:rsid w:val="00246860"/>
    <w:rsid w:val="002468D9"/>
    <w:rsid w:val="00246995"/>
    <w:rsid w:val="00246DFF"/>
    <w:rsid w:val="00246E89"/>
    <w:rsid w:val="0025183C"/>
    <w:rsid w:val="00252351"/>
    <w:rsid w:val="002528EC"/>
    <w:rsid w:val="00253EAA"/>
    <w:rsid w:val="0025430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26F7"/>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F7A"/>
    <w:rsid w:val="00292397"/>
    <w:rsid w:val="00292AB2"/>
    <w:rsid w:val="00292B82"/>
    <w:rsid w:val="00293DB6"/>
    <w:rsid w:val="00293FE8"/>
    <w:rsid w:val="00294437"/>
    <w:rsid w:val="00295175"/>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68C"/>
    <w:rsid w:val="002B6FA0"/>
    <w:rsid w:val="002B7710"/>
    <w:rsid w:val="002C0DEA"/>
    <w:rsid w:val="002C34F6"/>
    <w:rsid w:val="002C3B6D"/>
    <w:rsid w:val="002C3F59"/>
    <w:rsid w:val="002C5D9D"/>
    <w:rsid w:val="002C5F10"/>
    <w:rsid w:val="002C6B2D"/>
    <w:rsid w:val="002C6E5B"/>
    <w:rsid w:val="002C7E0C"/>
    <w:rsid w:val="002D0632"/>
    <w:rsid w:val="002D08F3"/>
    <w:rsid w:val="002D18B4"/>
    <w:rsid w:val="002D2058"/>
    <w:rsid w:val="002D231A"/>
    <w:rsid w:val="002D5330"/>
    <w:rsid w:val="002D5F57"/>
    <w:rsid w:val="002D638F"/>
    <w:rsid w:val="002D73D4"/>
    <w:rsid w:val="002D7787"/>
    <w:rsid w:val="002E1877"/>
    <w:rsid w:val="002E1C31"/>
    <w:rsid w:val="002E2683"/>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3688"/>
    <w:rsid w:val="00305856"/>
    <w:rsid w:val="00305867"/>
    <w:rsid w:val="0030678B"/>
    <w:rsid w:val="00306D16"/>
    <w:rsid w:val="00307595"/>
    <w:rsid w:val="00307DA6"/>
    <w:rsid w:val="00310CD7"/>
    <w:rsid w:val="00313C3A"/>
    <w:rsid w:val="00313D7A"/>
    <w:rsid w:val="003155FB"/>
    <w:rsid w:val="003210EC"/>
    <w:rsid w:val="00321318"/>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918"/>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3E"/>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096"/>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366"/>
    <w:rsid w:val="003C247E"/>
    <w:rsid w:val="003C294B"/>
    <w:rsid w:val="003C5046"/>
    <w:rsid w:val="003C5B54"/>
    <w:rsid w:val="003C6068"/>
    <w:rsid w:val="003C6A1A"/>
    <w:rsid w:val="003C7AEC"/>
    <w:rsid w:val="003D1E25"/>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C21"/>
    <w:rsid w:val="003E6214"/>
    <w:rsid w:val="003F070E"/>
    <w:rsid w:val="003F1206"/>
    <w:rsid w:val="003F2418"/>
    <w:rsid w:val="003F28DB"/>
    <w:rsid w:val="003F2EEE"/>
    <w:rsid w:val="003F58B0"/>
    <w:rsid w:val="003F776F"/>
    <w:rsid w:val="004007E9"/>
    <w:rsid w:val="00400810"/>
    <w:rsid w:val="00400D9F"/>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5A3"/>
    <w:rsid w:val="00422B75"/>
    <w:rsid w:val="00424612"/>
    <w:rsid w:val="0042528C"/>
    <w:rsid w:val="0042559B"/>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ED8"/>
    <w:rsid w:val="0045027B"/>
    <w:rsid w:val="004504E7"/>
    <w:rsid w:val="004514A7"/>
    <w:rsid w:val="00451550"/>
    <w:rsid w:val="00451F9D"/>
    <w:rsid w:val="00453167"/>
    <w:rsid w:val="0045361D"/>
    <w:rsid w:val="004543BC"/>
    <w:rsid w:val="00454F28"/>
    <w:rsid w:val="0045645D"/>
    <w:rsid w:val="0045707D"/>
    <w:rsid w:val="004574C6"/>
    <w:rsid w:val="00457743"/>
    <w:rsid w:val="004578BB"/>
    <w:rsid w:val="00457BCF"/>
    <w:rsid w:val="00457DCE"/>
    <w:rsid w:val="00460E3F"/>
    <w:rsid w:val="0046111A"/>
    <w:rsid w:val="00462F68"/>
    <w:rsid w:val="0046369B"/>
    <w:rsid w:val="004640E9"/>
    <w:rsid w:val="00464474"/>
    <w:rsid w:val="004647EB"/>
    <w:rsid w:val="00466CED"/>
    <w:rsid w:val="00466EB5"/>
    <w:rsid w:val="00467592"/>
    <w:rsid w:val="00467690"/>
    <w:rsid w:val="00467A14"/>
    <w:rsid w:val="004718E7"/>
    <w:rsid w:val="00472289"/>
    <w:rsid w:val="00472535"/>
    <w:rsid w:val="00475D4F"/>
    <w:rsid w:val="004761CC"/>
    <w:rsid w:val="004766C9"/>
    <w:rsid w:val="00480D4A"/>
    <w:rsid w:val="00481DA1"/>
    <w:rsid w:val="00483A2B"/>
    <w:rsid w:val="00483AA2"/>
    <w:rsid w:val="00484212"/>
    <w:rsid w:val="004848C3"/>
    <w:rsid w:val="00484BA9"/>
    <w:rsid w:val="0048599A"/>
    <w:rsid w:val="00486818"/>
    <w:rsid w:val="0049255F"/>
    <w:rsid w:val="004925E0"/>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13E"/>
    <w:rsid w:val="004D2AAB"/>
    <w:rsid w:val="004D3C7F"/>
    <w:rsid w:val="004D42CB"/>
    <w:rsid w:val="004D6E90"/>
    <w:rsid w:val="004D6F2B"/>
    <w:rsid w:val="004E0248"/>
    <w:rsid w:val="004E21A3"/>
    <w:rsid w:val="004E2474"/>
    <w:rsid w:val="004E32EA"/>
    <w:rsid w:val="004E3517"/>
    <w:rsid w:val="004E6866"/>
    <w:rsid w:val="004E72FA"/>
    <w:rsid w:val="004F0C58"/>
    <w:rsid w:val="004F3222"/>
    <w:rsid w:val="004F3639"/>
    <w:rsid w:val="004F3BFA"/>
    <w:rsid w:val="004F4E3C"/>
    <w:rsid w:val="004F5A1A"/>
    <w:rsid w:val="004F77A3"/>
    <w:rsid w:val="004F7C89"/>
    <w:rsid w:val="00500035"/>
    <w:rsid w:val="005000AB"/>
    <w:rsid w:val="00500120"/>
    <w:rsid w:val="00500EAF"/>
    <w:rsid w:val="00500F3C"/>
    <w:rsid w:val="005025EE"/>
    <w:rsid w:val="00503401"/>
    <w:rsid w:val="00503DDF"/>
    <w:rsid w:val="00505524"/>
    <w:rsid w:val="005058D5"/>
    <w:rsid w:val="00506688"/>
    <w:rsid w:val="00510588"/>
    <w:rsid w:val="0051074D"/>
    <w:rsid w:val="00510F9C"/>
    <w:rsid w:val="0051146C"/>
    <w:rsid w:val="0051220B"/>
    <w:rsid w:val="00512253"/>
    <w:rsid w:val="00512484"/>
    <w:rsid w:val="00514449"/>
    <w:rsid w:val="00515419"/>
    <w:rsid w:val="005157BD"/>
    <w:rsid w:val="00520F01"/>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3383"/>
    <w:rsid w:val="005345D6"/>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32EF"/>
    <w:rsid w:val="00555259"/>
    <w:rsid w:val="00555C66"/>
    <w:rsid w:val="005569EF"/>
    <w:rsid w:val="00556BDE"/>
    <w:rsid w:val="00560D57"/>
    <w:rsid w:val="00561B98"/>
    <w:rsid w:val="00562A94"/>
    <w:rsid w:val="00563FAD"/>
    <w:rsid w:val="005701C1"/>
    <w:rsid w:val="005703BF"/>
    <w:rsid w:val="00570754"/>
    <w:rsid w:val="005709F7"/>
    <w:rsid w:val="00570EAA"/>
    <w:rsid w:val="005710A9"/>
    <w:rsid w:val="00571218"/>
    <w:rsid w:val="005716B0"/>
    <w:rsid w:val="00571B11"/>
    <w:rsid w:val="00571D1B"/>
    <w:rsid w:val="00571DA3"/>
    <w:rsid w:val="005738F5"/>
    <w:rsid w:val="00573D34"/>
    <w:rsid w:val="00574A1B"/>
    <w:rsid w:val="00575963"/>
    <w:rsid w:val="00575EBE"/>
    <w:rsid w:val="00577DA1"/>
    <w:rsid w:val="0058039C"/>
    <w:rsid w:val="00580A63"/>
    <w:rsid w:val="00583379"/>
    <w:rsid w:val="0058417C"/>
    <w:rsid w:val="005854F9"/>
    <w:rsid w:val="00586EC6"/>
    <w:rsid w:val="00587DDE"/>
    <w:rsid w:val="00593043"/>
    <w:rsid w:val="00593DBD"/>
    <w:rsid w:val="00595B60"/>
    <w:rsid w:val="00595B63"/>
    <w:rsid w:val="00595BF0"/>
    <w:rsid w:val="00597E16"/>
    <w:rsid w:val="005A0B1D"/>
    <w:rsid w:val="005A1846"/>
    <w:rsid w:val="005A258C"/>
    <w:rsid w:val="005A260F"/>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D66"/>
    <w:rsid w:val="005D5E91"/>
    <w:rsid w:val="005D67EF"/>
    <w:rsid w:val="005E3064"/>
    <w:rsid w:val="005E54DC"/>
    <w:rsid w:val="005E65DC"/>
    <w:rsid w:val="005E6AEE"/>
    <w:rsid w:val="005E72B2"/>
    <w:rsid w:val="005E7744"/>
    <w:rsid w:val="005E79A0"/>
    <w:rsid w:val="005F097E"/>
    <w:rsid w:val="005F1115"/>
    <w:rsid w:val="005F1AB6"/>
    <w:rsid w:val="005F27F2"/>
    <w:rsid w:val="005F2B27"/>
    <w:rsid w:val="005F3567"/>
    <w:rsid w:val="005F3AFE"/>
    <w:rsid w:val="005F424D"/>
    <w:rsid w:val="005F55F5"/>
    <w:rsid w:val="005F5EC1"/>
    <w:rsid w:val="005F67A9"/>
    <w:rsid w:val="005F6B35"/>
    <w:rsid w:val="005F6B6D"/>
    <w:rsid w:val="005F73CA"/>
    <w:rsid w:val="006008F8"/>
    <w:rsid w:val="006036C2"/>
    <w:rsid w:val="00605AAB"/>
    <w:rsid w:val="00606BEB"/>
    <w:rsid w:val="0061014A"/>
    <w:rsid w:val="0061054B"/>
    <w:rsid w:val="006110FB"/>
    <w:rsid w:val="00612FB0"/>
    <w:rsid w:val="0061356D"/>
    <w:rsid w:val="00613E26"/>
    <w:rsid w:val="006148F4"/>
    <w:rsid w:val="00615641"/>
    <w:rsid w:val="00615A66"/>
    <w:rsid w:val="00616959"/>
    <w:rsid w:val="0062036E"/>
    <w:rsid w:val="006211D0"/>
    <w:rsid w:val="00621595"/>
    <w:rsid w:val="00622D5E"/>
    <w:rsid w:val="0062359D"/>
    <w:rsid w:val="00623634"/>
    <w:rsid w:val="00624D0C"/>
    <w:rsid w:val="00626A0F"/>
    <w:rsid w:val="00626CF1"/>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A0B"/>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614"/>
    <w:rsid w:val="00695DEF"/>
    <w:rsid w:val="00696476"/>
    <w:rsid w:val="00696C74"/>
    <w:rsid w:val="00697C9B"/>
    <w:rsid w:val="006A10FA"/>
    <w:rsid w:val="006A12E0"/>
    <w:rsid w:val="006A3933"/>
    <w:rsid w:val="006A40E6"/>
    <w:rsid w:val="006A516B"/>
    <w:rsid w:val="006A523F"/>
    <w:rsid w:val="006A5362"/>
    <w:rsid w:val="006A543A"/>
    <w:rsid w:val="006A5C07"/>
    <w:rsid w:val="006A75FA"/>
    <w:rsid w:val="006B07D5"/>
    <w:rsid w:val="006B1309"/>
    <w:rsid w:val="006B2565"/>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5E32"/>
    <w:rsid w:val="006D7854"/>
    <w:rsid w:val="006E06D1"/>
    <w:rsid w:val="006E122E"/>
    <w:rsid w:val="006E1313"/>
    <w:rsid w:val="006E2DC8"/>
    <w:rsid w:val="006E58CB"/>
    <w:rsid w:val="006E66A5"/>
    <w:rsid w:val="006E6B68"/>
    <w:rsid w:val="006E7356"/>
    <w:rsid w:val="006E77C8"/>
    <w:rsid w:val="006F0F9C"/>
    <w:rsid w:val="006F149D"/>
    <w:rsid w:val="006F1A46"/>
    <w:rsid w:val="006F45A0"/>
    <w:rsid w:val="006F4F06"/>
    <w:rsid w:val="006F5A4E"/>
    <w:rsid w:val="006F5D37"/>
    <w:rsid w:val="006F5E1A"/>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6C86"/>
    <w:rsid w:val="00706ED5"/>
    <w:rsid w:val="00707028"/>
    <w:rsid w:val="00707ECE"/>
    <w:rsid w:val="00710CE8"/>
    <w:rsid w:val="00711350"/>
    <w:rsid w:val="00711538"/>
    <w:rsid w:val="007116BC"/>
    <w:rsid w:val="00711961"/>
    <w:rsid w:val="00711CA6"/>
    <w:rsid w:val="007165CE"/>
    <w:rsid w:val="00716B6C"/>
    <w:rsid w:val="00717CEB"/>
    <w:rsid w:val="0072035D"/>
    <w:rsid w:val="00720968"/>
    <w:rsid w:val="00721705"/>
    <w:rsid w:val="00721B7A"/>
    <w:rsid w:val="00721D12"/>
    <w:rsid w:val="00721F8B"/>
    <w:rsid w:val="007236E0"/>
    <w:rsid w:val="007237CE"/>
    <w:rsid w:val="00724619"/>
    <w:rsid w:val="00724688"/>
    <w:rsid w:val="00724F57"/>
    <w:rsid w:val="00725BC5"/>
    <w:rsid w:val="007260A9"/>
    <w:rsid w:val="00726666"/>
    <w:rsid w:val="00726C1D"/>
    <w:rsid w:val="007272F1"/>
    <w:rsid w:val="00727565"/>
    <w:rsid w:val="0073062D"/>
    <w:rsid w:val="0073093B"/>
    <w:rsid w:val="0073254D"/>
    <w:rsid w:val="007340F3"/>
    <w:rsid w:val="007347BB"/>
    <w:rsid w:val="00735704"/>
    <w:rsid w:val="00736A49"/>
    <w:rsid w:val="007419A1"/>
    <w:rsid w:val="00741F9E"/>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67004"/>
    <w:rsid w:val="007709AA"/>
    <w:rsid w:val="00771043"/>
    <w:rsid w:val="0077272B"/>
    <w:rsid w:val="00773AF7"/>
    <w:rsid w:val="00774FFD"/>
    <w:rsid w:val="00780378"/>
    <w:rsid w:val="0078085E"/>
    <w:rsid w:val="00781BD4"/>
    <w:rsid w:val="00782562"/>
    <w:rsid w:val="007828B4"/>
    <w:rsid w:val="00784832"/>
    <w:rsid w:val="00784EA0"/>
    <w:rsid w:val="00785D77"/>
    <w:rsid w:val="00786111"/>
    <w:rsid w:val="007866A6"/>
    <w:rsid w:val="007868CC"/>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0C05"/>
    <w:rsid w:val="007A14A4"/>
    <w:rsid w:val="007A168F"/>
    <w:rsid w:val="007A2346"/>
    <w:rsid w:val="007A28E4"/>
    <w:rsid w:val="007A3BB3"/>
    <w:rsid w:val="007A3F91"/>
    <w:rsid w:val="007A3F9C"/>
    <w:rsid w:val="007A5A1B"/>
    <w:rsid w:val="007A5AD1"/>
    <w:rsid w:val="007A5B7B"/>
    <w:rsid w:val="007A65A9"/>
    <w:rsid w:val="007A7FD8"/>
    <w:rsid w:val="007B0128"/>
    <w:rsid w:val="007B0635"/>
    <w:rsid w:val="007B0A06"/>
    <w:rsid w:val="007B0B24"/>
    <w:rsid w:val="007B0F8B"/>
    <w:rsid w:val="007B1C83"/>
    <w:rsid w:val="007B255F"/>
    <w:rsid w:val="007B4181"/>
    <w:rsid w:val="007B5746"/>
    <w:rsid w:val="007B5C5C"/>
    <w:rsid w:val="007B6CE0"/>
    <w:rsid w:val="007B7B37"/>
    <w:rsid w:val="007B7C41"/>
    <w:rsid w:val="007C04E1"/>
    <w:rsid w:val="007C05C5"/>
    <w:rsid w:val="007C0715"/>
    <w:rsid w:val="007C0B04"/>
    <w:rsid w:val="007C11E9"/>
    <w:rsid w:val="007C238B"/>
    <w:rsid w:val="007C2802"/>
    <w:rsid w:val="007C3E5A"/>
    <w:rsid w:val="007C433E"/>
    <w:rsid w:val="007C4452"/>
    <w:rsid w:val="007C4B3C"/>
    <w:rsid w:val="007C4DB1"/>
    <w:rsid w:val="007C6046"/>
    <w:rsid w:val="007C605A"/>
    <w:rsid w:val="007C66EB"/>
    <w:rsid w:val="007C6F0C"/>
    <w:rsid w:val="007D0292"/>
    <w:rsid w:val="007D136C"/>
    <w:rsid w:val="007D1FCE"/>
    <w:rsid w:val="007D21AC"/>
    <w:rsid w:val="007D24B0"/>
    <w:rsid w:val="007D2A4D"/>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545"/>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7E0"/>
    <w:rsid w:val="00827B29"/>
    <w:rsid w:val="00827DB6"/>
    <w:rsid w:val="008304B2"/>
    <w:rsid w:val="00830999"/>
    <w:rsid w:val="00830D5E"/>
    <w:rsid w:val="00830F69"/>
    <w:rsid w:val="00831940"/>
    <w:rsid w:val="00832216"/>
    <w:rsid w:val="008324D9"/>
    <w:rsid w:val="00833418"/>
    <w:rsid w:val="0083387F"/>
    <w:rsid w:val="00833AEB"/>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8B"/>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2F9"/>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5F57"/>
    <w:rsid w:val="008A63A9"/>
    <w:rsid w:val="008A7073"/>
    <w:rsid w:val="008A79F0"/>
    <w:rsid w:val="008A7F7E"/>
    <w:rsid w:val="008B04DB"/>
    <w:rsid w:val="008B09B4"/>
    <w:rsid w:val="008B1B11"/>
    <w:rsid w:val="008B1DF4"/>
    <w:rsid w:val="008B27FD"/>
    <w:rsid w:val="008B2936"/>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20E"/>
    <w:rsid w:val="00914ADB"/>
    <w:rsid w:val="00917182"/>
    <w:rsid w:val="00920251"/>
    <w:rsid w:val="00920F84"/>
    <w:rsid w:val="00921CFD"/>
    <w:rsid w:val="00923B25"/>
    <w:rsid w:val="0092402E"/>
    <w:rsid w:val="009259BA"/>
    <w:rsid w:val="00926FCB"/>
    <w:rsid w:val="009303BB"/>
    <w:rsid w:val="00931020"/>
    <w:rsid w:val="0093108A"/>
    <w:rsid w:val="00931B6D"/>
    <w:rsid w:val="0093311A"/>
    <w:rsid w:val="009346D0"/>
    <w:rsid w:val="009369A6"/>
    <w:rsid w:val="009373FD"/>
    <w:rsid w:val="00937F57"/>
    <w:rsid w:val="0094031E"/>
    <w:rsid w:val="009419B4"/>
    <w:rsid w:val="00941A4C"/>
    <w:rsid w:val="00941F93"/>
    <w:rsid w:val="00942645"/>
    <w:rsid w:val="00943680"/>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AC8"/>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D2D"/>
    <w:rsid w:val="009A79BA"/>
    <w:rsid w:val="009B0F1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27C2"/>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18EB"/>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631D"/>
    <w:rsid w:val="00A26AD0"/>
    <w:rsid w:val="00A305AD"/>
    <w:rsid w:val="00A314AE"/>
    <w:rsid w:val="00A31FE2"/>
    <w:rsid w:val="00A32743"/>
    <w:rsid w:val="00A3370E"/>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3E39"/>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4976"/>
    <w:rsid w:val="00AA62FE"/>
    <w:rsid w:val="00AA73AF"/>
    <w:rsid w:val="00AB062D"/>
    <w:rsid w:val="00AB0A8A"/>
    <w:rsid w:val="00AB1754"/>
    <w:rsid w:val="00AB1F8D"/>
    <w:rsid w:val="00AB27DD"/>
    <w:rsid w:val="00AB38D4"/>
    <w:rsid w:val="00AB4BA4"/>
    <w:rsid w:val="00AB592E"/>
    <w:rsid w:val="00AB7F13"/>
    <w:rsid w:val="00AC0C1C"/>
    <w:rsid w:val="00AC1305"/>
    <w:rsid w:val="00AC37BE"/>
    <w:rsid w:val="00AC439D"/>
    <w:rsid w:val="00AC62CC"/>
    <w:rsid w:val="00AC713F"/>
    <w:rsid w:val="00AC7329"/>
    <w:rsid w:val="00AC7D96"/>
    <w:rsid w:val="00AD00E4"/>
    <w:rsid w:val="00AD067E"/>
    <w:rsid w:val="00AD168B"/>
    <w:rsid w:val="00AD1B4E"/>
    <w:rsid w:val="00AD2801"/>
    <w:rsid w:val="00AD31CD"/>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1688"/>
    <w:rsid w:val="00B0210E"/>
    <w:rsid w:val="00B02145"/>
    <w:rsid w:val="00B022DC"/>
    <w:rsid w:val="00B039C3"/>
    <w:rsid w:val="00B04562"/>
    <w:rsid w:val="00B0472F"/>
    <w:rsid w:val="00B0600E"/>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0EE"/>
    <w:rsid w:val="00B454AE"/>
    <w:rsid w:val="00B46D6A"/>
    <w:rsid w:val="00B50227"/>
    <w:rsid w:val="00B50510"/>
    <w:rsid w:val="00B50FBB"/>
    <w:rsid w:val="00B522CD"/>
    <w:rsid w:val="00B55143"/>
    <w:rsid w:val="00B553B2"/>
    <w:rsid w:val="00B555C8"/>
    <w:rsid w:val="00B55917"/>
    <w:rsid w:val="00B55D87"/>
    <w:rsid w:val="00B5646A"/>
    <w:rsid w:val="00B56F3D"/>
    <w:rsid w:val="00B57921"/>
    <w:rsid w:val="00B57E78"/>
    <w:rsid w:val="00B57EB8"/>
    <w:rsid w:val="00B609F6"/>
    <w:rsid w:val="00B60E75"/>
    <w:rsid w:val="00B61E71"/>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B21"/>
    <w:rsid w:val="00B771E0"/>
    <w:rsid w:val="00B7793B"/>
    <w:rsid w:val="00B77EE7"/>
    <w:rsid w:val="00B80157"/>
    <w:rsid w:val="00B80EDD"/>
    <w:rsid w:val="00B812BD"/>
    <w:rsid w:val="00B81964"/>
    <w:rsid w:val="00B82277"/>
    <w:rsid w:val="00B83F87"/>
    <w:rsid w:val="00B8478F"/>
    <w:rsid w:val="00B84F93"/>
    <w:rsid w:val="00B91676"/>
    <w:rsid w:val="00B9322B"/>
    <w:rsid w:val="00B93640"/>
    <w:rsid w:val="00B955D5"/>
    <w:rsid w:val="00B95833"/>
    <w:rsid w:val="00BA1824"/>
    <w:rsid w:val="00BA1A41"/>
    <w:rsid w:val="00BA2D98"/>
    <w:rsid w:val="00BA2F0C"/>
    <w:rsid w:val="00BA30D1"/>
    <w:rsid w:val="00BA30E1"/>
    <w:rsid w:val="00BA4609"/>
    <w:rsid w:val="00BA5BE2"/>
    <w:rsid w:val="00BA6A9C"/>
    <w:rsid w:val="00BA7F46"/>
    <w:rsid w:val="00BB0388"/>
    <w:rsid w:val="00BB05FC"/>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0317"/>
    <w:rsid w:val="00BD1844"/>
    <w:rsid w:val="00BD2A49"/>
    <w:rsid w:val="00BD3683"/>
    <w:rsid w:val="00BD40AB"/>
    <w:rsid w:val="00BD40DE"/>
    <w:rsid w:val="00BD6297"/>
    <w:rsid w:val="00BD6806"/>
    <w:rsid w:val="00BD6939"/>
    <w:rsid w:val="00BD7433"/>
    <w:rsid w:val="00BD7831"/>
    <w:rsid w:val="00BD7C10"/>
    <w:rsid w:val="00BD7F4E"/>
    <w:rsid w:val="00BE046F"/>
    <w:rsid w:val="00BE0DEB"/>
    <w:rsid w:val="00BE229C"/>
    <w:rsid w:val="00BE2AB8"/>
    <w:rsid w:val="00BE2FC1"/>
    <w:rsid w:val="00BE3142"/>
    <w:rsid w:val="00BE4039"/>
    <w:rsid w:val="00BE5619"/>
    <w:rsid w:val="00BE6365"/>
    <w:rsid w:val="00BE734D"/>
    <w:rsid w:val="00BF01B7"/>
    <w:rsid w:val="00BF0B7F"/>
    <w:rsid w:val="00BF0E94"/>
    <w:rsid w:val="00BF15B5"/>
    <w:rsid w:val="00BF2988"/>
    <w:rsid w:val="00BF3FB9"/>
    <w:rsid w:val="00BF4012"/>
    <w:rsid w:val="00BF4720"/>
    <w:rsid w:val="00BF4F49"/>
    <w:rsid w:val="00BF6759"/>
    <w:rsid w:val="00BF70A6"/>
    <w:rsid w:val="00BF7866"/>
    <w:rsid w:val="00BF7B4F"/>
    <w:rsid w:val="00BF7B63"/>
    <w:rsid w:val="00BF7F3C"/>
    <w:rsid w:val="00C005D4"/>
    <w:rsid w:val="00C00B88"/>
    <w:rsid w:val="00C0359D"/>
    <w:rsid w:val="00C038EC"/>
    <w:rsid w:val="00C03C21"/>
    <w:rsid w:val="00C03DEB"/>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4F0"/>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A04"/>
    <w:rsid w:val="00C43C2B"/>
    <w:rsid w:val="00C45B27"/>
    <w:rsid w:val="00C4652E"/>
    <w:rsid w:val="00C472C7"/>
    <w:rsid w:val="00C5019E"/>
    <w:rsid w:val="00C50C8C"/>
    <w:rsid w:val="00C51962"/>
    <w:rsid w:val="00C526E5"/>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38A"/>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97BAA"/>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168"/>
    <w:rsid w:val="00CD5653"/>
    <w:rsid w:val="00CD5E6D"/>
    <w:rsid w:val="00CD63C8"/>
    <w:rsid w:val="00CD76F8"/>
    <w:rsid w:val="00CD78A5"/>
    <w:rsid w:val="00CE02E8"/>
    <w:rsid w:val="00CE069E"/>
    <w:rsid w:val="00CE0DE0"/>
    <w:rsid w:val="00CE2CC2"/>
    <w:rsid w:val="00CE3722"/>
    <w:rsid w:val="00CE59D5"/>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2B46"/>
    <w:rsid w:val="00D2321B"/>
    <w:rsid w:val="00D23350"/>
    <w:rsid w:val="00D237E7"/>
    <w:rsid w:val="00D23DE4"/>
    <w:rsid w:val="00D25A5C"/>
    <w:rsid w:val="00D25D28"/>
    <w:rsid w:val="00D26873"/>
    <w:rsid w:val="00D27C99"/>
    <w:rsid w:val="00D31683"/>
    <w:rsid w:val="00D33452"/>
    <w:rsid w:val="00D3349D"/>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792A"/>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551"/>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6A21"/>
    <w:rsid w:val="00DD098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3FBB"/>
    <w:rsid w:val="00E2421B"/>
    <w:rsid w:val="00E242AF"/>
    <w:rsid w:val="00E24849"/>
    <w:rsid w:val="00E2536E"/>
    <w:rsid w:val="00E25A99"/>
    <w:rsid w:val="00E25B8A"/>
    <w:rsid w:val="00E25EDB"/>
    <w:rsid w:val="00E25EF8"/>
    <w:rsid w:val="00E2632B"/>
    <w:rsid w:val="00E26F75"/>
    <w:rsid w:val="00E27423"/>
    <w:rsid w:val="00E3077F"/>
    <w:rsid w:val="00E3153E"/>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6F98"/>
    <w:rsid w:val="00E57703"/>
    <w:rsid w:val="00E57ED4"/>
    <w:rsid w:val="00E57FED"/>
    <w:rsid w:val="00E6092F"/>
    <w:rsid w:val="00E61EE9"/>
    <w:rsid w:val="00E62049"/>
    <w:rsid w:val="00E629DA"/>
    <w:rsid w:val="00E63AA4"/>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2A1"/>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2D08"/>
    <w:rsid w:val="00EC337D"/>
    <w:rsid w:val="00EC38EF"/>
    <w:rsid w:val="00EC50C9"/>
    <w:rsid w:val="00EC58B4"/>
    <w:rsid w:val="00EC5BB2"/>
    <w:rsid w:val="00EC75AF"/>
    <w:rsid w:val="00ED05B0"/>
    <w:rsid w:val="00ED0F7A"/>
    <w:rsid w:val="00ED12F0"/>
    <w:rsid w:val="00ED17F7"/>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37B8"/>
    <w:rsid w:val="00EE48BB"/>
    <w:rsid w:val="00EE5E3C"/>
    <w:rsid w:val="00EE6FE0"/>
    <w:rsid w:val="00EE704A"/>
    <w:rsid w:val="00EE7840"/>
    <w:rsid w:val="00EF2E75"/>
    <w:rsid w:val="00EF4C74"/>
    <w:rsid w:val="00EF5268"/>
    <w:rsid w:val="00EF608E"/>
    <w:rsid w:val="00EF6BEF"/>
    <w:rsid w:val="00EF6C4A"/>
    <w:rsid w:val="00F0044B"/>
    <w:rsid w:val="00F00E60"/>
    <w:rsid w:val="00F01931"/>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DF2"/>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791"/>
    <w:rsid w:val="00F43D6C"/>
    <w:rsid w:val="00F46964"/>
    <w:rsid w:val="00F46F9A"/>
    <w:rsid w:val="00F470FD"/>
    <w:rsid w:val="00F50F30"/>
    <w:rsid w:val="00F5126A"/>
    <w:rsid w:val="00F5126E"/>
    <w:rsid w:val="00F516EF"/>
    <w:rsid w:val="00F51755"/>
    <w:rsid w:val="00F52702"/>
    <w:rsid w:val="00F531D9"/>
    <w:rsid w:val="00F54D8E"/>
    <w:rsid w:val="00F5580D"/>
    <w:rsid w:val="00F56EA1"/>
    <w:rsid w:val="00F60426"/>
    <w:rsid w:val="00F606D5"/>
    <w:rsid w:val="00F611B3"/>
    <w:rsid w:val="00F6196E"/>
    <w:rsid w:val="00F61CCC"/>
    <w:rsid w:val="00F624DD"/>
    <w:rsid w:val="00F629C0"/>
    <w:rsid w:val="00F63FC7"/>
    <w:rsid w:val="00F64AF6"/>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37D2"/>
    <w:rsid w:val="00F84D2E"/>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1AF7"/>
    <w:rsid w:val="00FB2493"/>
    <w:rsid w:val="00FB42B7"/>
    <w:rsid w:val="00FB4484"/>
    <w:rsid w:val="00FB492C"/>
    <w:rsid w:val="00FB593A"/>
    <w:rsid w:val="00FB6410"/>
    <w:rsid w:val="00FB6E82"/>
    <w:rsid w:val="00FB792E"/>
    <w:rsid w:val="00FB7CF0"/>
    <w:rsid w:val="00FC0042"/>
    <w:rsid w:val="00FC1E67"/>
    <w:rsid w:val="00FC2A13"/>
    <w:rsid w:val="00FC4284"/>
    <w:rsid w:val="00FC4576"/>
    <w:rsid w:val="00FC5FF5"/>
    <w:rsid w:val="00FC6285"/>
    <w:rsid w:val="00FC73BB"/>
    <w:rsid w:val="00FC78FB"/>
    <w:rsid w:val="00FC7DBC"/>
    <w:rsid w:val="00FD076A"/>
    <w:rsid w:val="00FD0AA0"/>
    <w:rsid w:val="00FD1D5A"/>
    <w:rsid w:val="00FD5059"/>
    <w:rsid w:val="00FD554D"/>
    <w:rsid w:val="00FD5670"/>
    <w:rsid w:val="00FD5BCC"/>
    <w:rsid w:val="00FD7B23"/>
    <w:rsid w:val="00FE2A48"/>
    <w:rsid w:val="00FE2DEF"/>
    <w:rsid w:val="00FE323C"/>
    <w:rsid w:val="00FE3A27"/>
    <w:rsid w:val="00FE5D0A"/>
    <w:rsid w:val="00FE6469"/>
    <w:rsid w:val="00FE7859"/>
    <w:rsid w:val="00FE7C6D"/>
    <w:rsid w:val="00FF05D0"/>
    <w:rsid w:val="00FF06CE"/>
    <w:rsid w:val="00FF0DC2"/>
    <w:rsid w:val="00FF0FF7"/>
    <w:rsid w:val="00FF1022"/>
    <w:rsid w:val="00FF10A2"/>
    <w:rsid w:val="00FF1438"/>
    <w:rsid w:val="00FF3A38"/>
    <w:rsid w:val="00FF3C25"/>
    <w:rsid w:val="00FF4129"/>
    <w:rsid w:val="00FF44E5"/>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4225A3"/>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39490497">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115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BED0-2251-4BC4-85F2-D49FFF6E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2871</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2012-07-05T12:07:00Z</cp:lastPrinted>
  <dcterms:created xsi:type="dcterms:W3CDTF">2012-07-18T16:56:00Z</dcterms:created>
  <dcterms:modified xsi:type="dcterms:W3CDTF">2012-07-18T16:56:00Z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