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2230A4">
      <w:pPr>
        <w:tabs>
          <w:tab w:val="left" w:pos="288"/>
          <w:tab w:val="right" w:pos="9360"/>
        </w:tabs>
        <w:jc w:val="both"/>
        <w:rPr>
          <w:caps/>
          <w:color w:val="000000" w:themeColor="text1"/>
        </w:rPr>
      </w:pPr>
      <w:r w:rsidRPr="001F29F9">
        <w:rPr>
          <w:caps/>
          <w:color w:val="000000" w:themeColor="text1"/>
        </w:rPr>
        <w:t xml:space="preserve">NAME:  </w:t>
      </w:r>
      <w:r w:rsidR="00FF4EC4">
        <w:rPr>
          <w:caps/>
          <w:color w:val="000000" w:themeColor="text1"/>
        </w:rPr>
        <w:t>XXXXXXXXXXXXXXX</w:t>
      </w:r>
      <w:r w:rsidR="000A4BF5">
        <w:rPr>
          <w:caps/>
          <w:color w:val="000000" w:themeColor="text1"/>
        </w:rPr>
        <w:t xml:space="preserve"> </w:t>
      </w:r>
      <w:r w:rsidRPr="001F29F9">
        <w:rPr>
          <w:caps/>
          <w:color w:val="000000" w:themeColor="text1"/>
        </w:rPr>
        <w:t xml:space="preserve">                </w:t>
      </w:r>
      <w:r w:rsidR="00146195">
        <w:rPr>
          <w:caps/>
          <w:color w:val="000000" w:themeColor="text1"/>
        </w:rPr>
        <w:t xml:space="preserve">                            </w:t>
      </w:r>
      <w:r w:rsidR="002230A4">
        <w:rPr>
          <w:caps/>
          <w:color w:val="000000" w:themeColor="text1"/>
        </w:rPr>
        <w:tab/>
      </w:r>
      <w:r w:rsidRPr="001F29F9">
        <w:rPr>
          <w:caps/>
          <w:color w:val="000000" w:themeColor="text1"/>
        </w:rPr>
        <w:t xml:space="preserve">BRANCH OF </w:t>
      </w:r>
      <w:r w:rsidRPr="0096073C">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96073C">
        <w:rPr>
          <w:caps/>
          <w:color w:val="000000" w:themeColor="text1"/>
        </w:rPr>
        <w:t>894</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96073C" w:rsidRPr="001F29F9">
        <w:rPr>
          <w:color w:val="000000" w:themeColor="text1"/>
        </w:rPr>
        <w:t>200</w:t>
      </w:r>
      <w:r w:rsidR="0096073C">
        <w:rPr>
          <w:color w:val="000000" w:themeColor="text1"/>
        </w:rPr>
        <w:t>21218</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F6786D">
        <w:rPr>
          <w:caps/>
          <w:color w:val="000000"/>
        </w:rPr>
        <w:t>0814</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Default="00AD2379" w:rsidP="00EE17D7">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96073C" w:rsidRPr="001F29F9">
        <w:rPr>
          <w:color w:val="000000" w:themeColor="text1"/>
          <w:szCs w:val="24"/>
        </w:rPr>
        <w:t>S</w:t>
      </w:r>
      <w:r w:rsidR="0096073C">
        <w:rPr>
          <w:color w:val="000000" w:themeColor="text1"/>
          <w:szCs w:val="24"/>
        </w:rPr>
        <w:t>S</w:t>
      </w:r>
      <w:r w:rsidR="0096073C" w:rsidRPr="001F29F9">
        <w:rPr>
          <w:color w:val="000000" w:themeColor="text1"/>
          <w:szCs w:val="24"/>
        </w:rPr>
        <w:t>G/E-</w:t>
      </w:r>
      <w:r w:rsidR="0096073C">
        <w:rPr>
          <w:color w:val="000000" w:themeColor="text1"/>
          <w:szCs w:val="24"/>
        </w:rPr>
        <w:t xml:space="preserve">6 </w:t>
      </w:r>
      <w:r w:rsidR="0096073C" w:rsidRPr="001F29F9">
        <w:rPr>
          <w:color w:val="000000" w:themeColor="text1"/>
          <w:szCs w:val="24"/>
        </w:rPr>
        <w:t>(</w:t>
      </w:r>
      <w:r w:rsidR="0096073C">
        <w:rPr>
          <w:color w:val="000000" w:themeColor="text1"/>
          <w:szCs w:val="24"/>
        </w:rPr>
        <w:t>11B</w:t>
      </w:r>
      <w:r w:rsidR="0096073C" w:rsidRPr="001F29F9">
        <w:rPr>
          <w:color w:val="000000" w:themeColor="text1"/>
          <w:szCs w:val="24"/>
        </w:rPr>
        <w:t>,</w:t>
      </w:r>
      <w:r w:rsidR="0096073C">
        <w:rPr>
          <w:color w:val="000000" w:themeColor="text1"/>
          <w:szCs w:val="24"/>
        </w:rPr>
        <w:t xml:space="preserve"> Infantry</w:t>
      </w:r>
      <w:r w:rsidR="0096073C" w:rsidRPr="001F29F9">
        <w:rPr>
          <w:color w:val="000000" w:themeColor="text1"/>
          <w:szCs w:val="24"/>
        </w:rPr>
        <w:t>)</w:t>
      </w:r>
      <w:r w:rsidR="00A70270">
        <w:rPr>
          <w:color w:val="000000"/>
        </w:rPr>
        <w:t xml:space="preserve"> </w:t>
      </w:r>
      <w:r w:rsidRPr="001F29F9">
        <w:rPr>
          <w:color w:val="000000"/>
        </w:rPr>
        <w:t xml:space="preserve">medically separated for </w:t>
      </w:r>
      <w:r w:rsidR="00261B7E">
        <w:rPr>
          <w:color w:val="000000"/>
        </w:rPr>
        <w:t xml:space="preserve">a </w:t>
      </w:r>
      <w:r w:rsidR="0096073C">
        <w:rPr>
          <w:color w:val="000000"/>
        </w:rPr>
        <w:t>bilateral knee</w:t>
      </w:r>
      <w:r w:rsidRPr="001F29F9">
        <w:rPr>
          <w:color w:val="000000"/>
        </w:rPr>
        <w:t xml:space="preserve"> </w:t>
      </w:r>
      <w:r w:rsidR="00261B7E">
        <w:rPr>
          <w:color w:val="000000"/>
        </w:rPr>
        <w:t>condition</w:t>
      </w:r>
      <w:r w:rsidRPr="001F29F9">
        <w:rPr>
          <w:color w:val="000000"/>
        </w:rPr>
        <w:t xml:space="preserve">. </w:t>
      </w:r>
      <w:r w:rsidR="00403BEE">
        <w:rPr>
          <w:color w:val="000000"/>
        </w:rPr>
        <w:t xml:space="preserve">He injured his right knee in 1990, suffered persistent pain, and ultimately developed left knee pain as well.  Surgical intervention was undertaken for the right knee, but the condition </w:t>
      </w:r>
      <w:r w:rsidR="00F566B7" w:rsidRPr="00EE17D7">
        <w:rPr>
          <w:color w:val="000000"/>
        </w:rPr>
        <w:t>could not be adequately rehabilitated to meet the physical requirements of his Military Occupational Specialty (MOS) or satis</w:t>
      </w:r>
      <w:r w:rsidR="009C12A1" w:rsidRPr="00EE17D7">
        <w:rPr>
          <w:color w:val="000000"/>
        </w:rPr>
        <w:t>fy physical fitness standards.</w:t>
      </w:r>
      <w:r w:rsidR="00F566B7" w:rsidRPr="00EE17D7">
        <w:rPr>
          <w:color w:val="000000"/>
        </w:rPr>
        <w:t xml:space="preserve"> </w:t>
      </w:r>
      <w:r w:rsidR="009C12A1" w:rsidRPr="00EE17D7">
        <w:rPr>
          <w:color w:val="000000"/>
        </w:rPr>
        <w:t xml:space="preserve"> He </w:t>
      </w:r>
      <w:r w:rsidR="00F566B7" w:rsidRPr="00EE17D7">
        <w:rPr>
          <w:color w:val="000000"/>
        </w:rPr>
        <w:t xml:space="preserve">was </w:t>
      </w:r>
      <w:r w:rsidR="00271871" w:rsidRPr="00EE17D7">
        <w:rPr>
          <w:color w:val="000000"/>
        </w:rPr>
        <w:t>consequently</w:t>
      </w:r>
      <w:r w:rsidR="009C12A1" w:rsidRPr="00EE17D7">
        <w:rPr>
          <w:color w:val="000000"/>
        </w:rPr>
        <w:t xml:space="preserve"> </w:t>
      </w:r>
      <w:r w:rsidR="00F566B7" w:rsidRPr="00EE17D7">
        <w:rPr>
          <w:color w:val="000000"/>
        </w:rPr>
        <w:t>issued a permanent L3 profile and</w:t>
      </w:r>
      <w:r w:rsidR="009C12A1" w:rsidRPr="00EE17D7">
        <w:rPr>
          <w:color w:val="000000"/>
        </w:rPr>
        <w:t xml:space="preserve"> </w:t>
      </w:r>
      <w:r w:rsidR="00F566B7" w:rsidRPr="00EE17D7">
        <w:rPr>
          <w:color w:val="000000"/>
        </w:rPr>
        <w:t xml:space="preserve">referred for a Medical Evaluation Board (MEB).  The </w:t>
      </w:r>
      <w:r w:rsidR="0096073C" w:rsidRPr="00EE17D7">
        <w:rPr>
          <w:color w:val="000000"/>
        </w:rPr>
        <w:t xml:space="preserve">bilateral knee </w:t>
      </w:r>
      <w:r w:rsidR="00F566B7" w:rsidRPr="00EE17D7">
        <w:rPr>
          <w:color w:val="000000"/>
        </w:rPr>
        <w:t xml:space="preserve">condition was forwarded to the Physical Evaluation Board (PEB) as medically unacceptable IAW AR 40-501.  </w:t>
      </w:r>
      <w:r w:rsidR="00AC3870" w:rsidRPr="00EE17D7">
        <w:rPr>
          <w:color w:val="000000"/>
        </w:rPr>
        <w:t xml:space="preserve">Also addressed by the MEB and submitted on the DA Form 3947 </w:t>
      </w:r>
      <w:r w:rsidR="000813D5" w:rsidRPr="00EE17D7">
        <w:rPr>
          <w:color w:val="000000"/>
        </w:rPr>
        <w:t>was a right shoulder condition, characterized as “mild rotator cuff impingement” and</w:t>
      </w:r>
      <w:r w:rsidR="00AC3870" w:rsidRPr="00EE17D7">
        <w:rPr>
          <w:color w:val="000000"/>
        </w:rPr>
        <w:t xml:space="preserve"> designated as medically </w:t>
      </w:r>
      <w:r w:rsidR="000813D5" w:rsidRPr="00EE17D7">
        <w:rPr>
          <w:color w:val="000000"/>
        </w:rPr>
        <w:t>acceptable.</w:t>
      </w:r>
      <w:r w:rsidR="00AC3870" w:rsidRPr="00EE17D7">
        <w:rPr>
          <w:color w:val="000000"/>
        </w:rPr>
        <w:t xml:space="preserve"> </w:t>
      </w:r>
      <w:r w:rsidR="000813D5" w:rsidRPr="00EE17D7">
        <w:rPr>
          <w:color w:val="000000"/>
        </w:rPr>
        <w:t xml:space="preserve"> </w:t>
      </w:r>
      <w:r w:rsidRPr="00EE17D7">
        <w:rPr>
          <w:color w:val="000000"/>
        </w:rPr>
        <w:t xml:space="preserve">The PEB adjudicated the </w:t>
      </w:r>
      <w:r w:rsidR="00EE17D7" w:rsidRPr="00EE17D7">
        <w:rPr>
          <w:color w:val="000000"/>
        </w:rPr>
        <w:t xml:space="preserve">bilateral knee </w:t>
      </w:r>
      <w:r w:rsidR="008530E3" w:rsidRPr="00EE17D7">
        <w:rPr>
          <w:color w:val="000000"/>
        </w:rPr>
        <w:t xml:space="preserve">condition as unfitting, rated </w:t>
      </w:r>
      <w:r w:rsidR="00EE17D7" w:rsidRPr="00EE17D7">
        <w:rPr>
          <w:color w:val="000000"/>
        </w:rPr>
        <w:t>1</w:t>
      </w:r>
      <w:r w:rsidRPr="00EE17D7">
        <w:rPr>
          <w:color w:val="000000"/>
        </w:rPr>
        <w:t xml:space="preserve">0%, </w:t>
      </w:r>
      <w:r w:rsidR="00FA24F2" w:rsidRPr="00EE17D7">
        <w:rPr>
          <w:color w:val="000000"/>
        </w:rPr>
        <w:t xml:space="preserve">referencing </w:t>
      </w:r>
      <w:r w:rsidRPr="00EE17D7">
        <w:rPr>
          <w:color w:val="000000"/>
        </w:rPr>
        <w:t xml:space="preserve">the </w:t>
      </w:r>
      <w:r w:rsidR="0065689C" w:rsidRPr="00EE17D7">
        <w:rPr>
          <w:color w:val="000000" w:themeColor="text1"/>
          <w:szCs w:val="24"/>
        </w:rPr>
        <w:t>US Army Physical Disability Agency (USAPDA) pain policy</w:t>
      </w:r>
      <w:r w:rsidR="00EE17D7" w:rsidRPr="00EE17D7">
        <w:rPr>
          <w:color w:val="000000" w:themeColor="text1"/>
          <w:szCs w:val="24"/>
        </w:rPr>
        <w:t>.</w:t>
      </w:r>
      <w:r w:rsidR="0065689C" w:rsidRPr="00EE17D7">
        <w:rPr>
          <w:color w:val="000000"/>
        </w:rPr>
        <w:t xml:space="preserve"> </w:t>
      </w:r>
      <w:r w:rsidR="00380601" w:rsidRPr="00EE17D7">
        <w:rPr>
          <w:color w:val="000000"/>
        </w:rPr>
        <w:t xml:space="preserve">  </w:t>
      </w:r>
      <w:r w:rsidR="00EE17D7" w:rsidRPr="00EE17D7">
        <w:rPr>
          <w:color w:val="000000"/>
        </w:rPr>
        <w:t>The shoulder condition</w:t>
      </w:r>
      <w:r w:rsidR="00380601" w:rsidRPr="00EE17D7">
        <w:rPr>
          <w:color w:val="000000"/>
        </w:rPr>
        <w:t xml:space="preserve"> </w:t>
      </w:r>
      <w:r w:rsidR="00EE17D7" w:rsidRPr="00EE17D7">
        <w:rPr>
          <w:color w:val="000000"/>
        </w:rPr>
        <w:t>was</w:t>
      </w:r>
      <w:r w:rsidR="00380601" w:rsidRPr="00EE17D7">
        <w:rPr>
          <w:color w:val="000000"/>
        </w:rPr>
        <w:t xml:space="preserve"> determined to be not unfitting.  </w:t>
      </w:r>
      <w:r w:rsidRPr="00EE17D7">
        <w:rPr>
          <w:color w:val="000000"/>
        </w:rPr>
        <w:t xml:space="preserve">The CI made no appeals, and was medically separated with </w:t>
      </w:r>
      <w:r w:rsidR="00261B7E" w:rsidRPr="00EE17D7">
        <w:rPr>
          <w:color w:val="000000"/>
        </w:rPr>
        <w:t>that</w:t>
      </w:r>
      <w:r w:rsidRPr="00EE17D7">
        <w:rPr>
          <w:color w:val="000000"/>
        </w:rPr>
        <w:t xml:space="preserve"> </w:t>
      </w:r>
      <w:r w:rsidR="006E154E" w:rsidRPr="00EE17D7">
        <w:rPr>
          <w:color w:val="000000"/>
        </w:rPr>
        <w:t xml:space="preserve">Service </w:t>
      </w:r>
      <w:r w:rsidRPr="00EE17D7">
        <w:rPr>
          <w:color w:val="000000"/>
        </w:rPr>
        <w:t>disability rating.</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2230A4">
        <w:rPr>
          <w:color w:val="000000"/>
        </w:rPr>
        <w:t xml:space="preserve"> </w:t>
      </w:r>
      <w:r w:rsidR="00CF72A3">
        <w:rPr>
          <w:color w:val="000000"/>
        </w:rPr>
        <w:t>The application does not elaborate any specific comments or requests.</w:t>
      </w:r>
      <w:r w:rsidR="00E74049">
        <w:rPr>
          <w:color w:val="000000" w:themeColor="text1"/>
        </w:rPr>
        <w:t xml:space="preserve"> </w:t>
      </w:r>
      <w:r w:rsidR="00913AEA">
        <w:rPr>
          <w:color w:val="000000" w:themeColor="text1"/>
        </w:rPr>
        <w:t xml:space="preserve"> </w:t>
      </w:r>
      <w:r w:rsidR="00F6786D">
        <w:rPr>
          <w:color w:val="000000" w:themeColor="text1"/>
        </w:rPr>
        <w:t>The CI</w:t>
      </w:r>
      <w:r w:rsidR="00EE17D7">
        <w:rPr>
          <w:color w:val="000000" w:themeColor="text1"/>
        </w:rPr>
        <w:t xml:space="preserve"> provides a </w:t>
      </w:r>
      <w:r w:rsidR="00913AEA">
        <w:rPr>
          <w:color w:val="000000" w:themeColor="text1"/>
        </w:rPr>
        <w:t xml:space="preserve">current </w:t>
      </w:r>
      <w:r w:rsidR="00EE17D7">
        <w:rPr>
          <w:color w:val="000000" w:themeColor="text1"/>
        </w:rPr>
        <w:t xml:space="preserve">list of conditions and ratings from the </w:t>
      </w:r>
      <w:r w:rsidR="00913AEA">
        <w:rPr>
          <w:color w:val="000000" w:themeColor="text1"/>
        </w:rPr>
        <w:t>VA</w:t>
      </w:r>
      <w:r w:rsidR="00EE17D7">
        <w:rPr>
          <w:color w:val="000000" w:themeColor="text1"/>
        </w:rPr>
        <w:t xml:space="preserve"> </w:t>
      </w:r>
      <w:r w:rsidR="00913AEA">
        <w:rPr>
          <w:color w:val="000000" w:themeColor="text1"/>
        </w:rPr>
        <w:t xml:space="preserve">which were either not identified or did not receive a compensable rating at the time of separation.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F61A0" w:rsidRPr="001F29F9" w:rsidRDefault="00F14638" w:rsidP="00913AEA">
      <w:pPr>
        <w:jc w:val="both"/>
        <w:rPr>
          <w:color w:val="000000"/>
        </w:rPr>
      </w:pPr>
      <w:r w:rsidRPr="006A714F">
        <w:rPr>
          <w:color w:val="auto"/>
          <w:u w:val="single"/>
        </w:rPr>
        <w:t>SCOPE OF REVIEW</w:t>
      </w:r>
      <w:r>
        <w:rPr>
          <w:color w:val="auto"/>
        </w:rPr>
        <w:t xml:space="preserve">:  </w:t>
      </w:r>
      <w:r w:rsidR="00913AEA" w:rsidRPr="00913AEA">
        <w:rPr>
          <w:color w:val="auto"/>
        </w:rPr>
        <w:t>The Board wishes to clarify that the scope of its review as defined in Department of Defense Instruction (DoDI)</w:t>
      </w:r>
      <w:r w:rsidR="00913AEA">
        <w:rPr>
          <w:color w:val="auto"/>
        </w:rPr>
        <w:t xml:space="preserve"> </w:t>
      </w:r>
      <w:r w:rsidR="00913AEA" w:rsidRPr="00913AEA">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2230A4">
        <w:rPr>
          <w:color w:val="auto"/>
        </w:rPr>
        <w:t>.</w:t>
      </w:r>
      <w:r w:rsidR="00913AEA" w:rsidRPr="00913AEA">
        <w:rPr>
          <w:color w:val="auto"/>
        </w:rPr>
        <w:t xml:space="preserve">”  The rating for the unfitting </w:t>
      </w:r>
      <w:r w:rsidR="00913AEA">
        <w:rPr>
          <w:color w:val="auto"/>
        </w:rPr>
        <w:t>bilateral knee</w:t>
      </w:r>
      <w:r w:rsidR="00913AEA" w:rsidRPr="00913AEA">
        <w:rPr>
          <w:color w:val="auto"/>
        </w:rPr>
        <w:t xml:space="preserve"> condition is addressed below;</w:t>
      </w:r>
      <w:r w:rsidR="00B21107">
        <w:rPr>
          <w:color w:val="auto"/>
        </w:rPr>
        <w:t xml:space="preserve"> the PEB’s fitness determination for the right shoulder condition was not requested for review;</w:t>
      </w:r>
      <w:r w:rsidR="00913AEA" w:rsidRPr="00913AEA">
        <w:rPr>
          <w:color w:val="auto"/>
        </w:rPr>
        <w:t xml:space="preserve"> and, no additional conditions are within the DoDI 6040.44 defined purview of the Board.  Any conditions or contention not requested in this application, or otherwise outside the Board’s defined scope of review, remain eligible for future consideration by the Army Board for the Correction of Military Records (ABCMR)</w:t>
      </w:r>
      <w:r w:rsidR="00913AEA">
        <w:rPr>
          <w:color w:val="auto"/>
        </w:rPr>
        <w:t>.</w:t>
      </w:r>
    </w:p>
    <w:p w:rsidR="00913AEA" w:rsidRPr="001F29F9" w:rsidRDefault="00913AEA" w:rsidP="00913AEA">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C318EC" w:rsidRPr="001F29F9" w:rsidRDefault="00C318EC" w:rsidP="00C318EC">
      <w:pPr>
        <w:jc w:val="left"/>
        <w:rPr>
          <w:color w:val="000000" w:themeColor="text1"/>
          <w:szCs w:val="28"/>
          <w:highlight w:val="magenta"/>
        </w:rPr>
      </w:pPr>
      <w:r w:rsidRPr="001F29F9">
        <w:rPr>
          <w:color w:val="000000" w:themeColor="text1"/>
          <w:u w:val="single"/>
        </w:rPr>
        <w:t>RATING COMPARISON</w:t>
      </w:r>
      <w:r w:rsidRPr="001F29F9">
        <w:rPr>
          <w:color w:val="000000" w:themeColor="text1"/>
        </w:rPr>
        <w:t>:</w:t>
      </w:r>
    </w:p>
    <w:p w:rsidR="00C318EC" w:rsidRPr="001F29F9" w:rsidRDefault="00C318EC" w:rsidP="00C318EC">
      <w:pPr>
        <w:rPr>
          <w:color w:val="000000" w:themeColor="text1"/>
        </w:rPr>
      </w:pPr>
    </w:p>
    <w:tbl>
      <w:tblPr>
        <w:tblStyle w:val="TableGrid"/>
        <w:tblpPr w:leftFromText="187" w:rightFromText="187" w:vertAnchor="text" w:tblpXSpec="center" w:tblpY="1"/>
        <w:tblOverlap w:val="never"/>
        <w:tblW w:w="9360" w:type="dxa"/>
        <w:tblLayout w:type="fixed"/>
        <w:tblLook w:val="04A0"/>
      </w:tblPr>
      <w:tblGrid>
        <w:gridCol w:w="2538"/>
        <w:gridCol w:w="702"/>
        <w:gridCol w:w="738"/>
        <w:gridCol w:w="2610"/>
        <w:gridCol w:w="1080"/>
        <w:gridCol w:w="702"/>
        <w:gridCol w:w="990"/>
      </w:tblGrid>
      <w:tr w:rsidR="00C318EC" w:rsidRPr="001F29F9" w:rsidTr="00167D06">
        <w:trPr>
          <w:trHeight w:val="233"/>
        </w:trPr>
        <w:tc>
          <w:tcPr>
            <w:tcW w:w="3978" w:type="dxa"/>
            <w:gridSpan w:val="3"/>
            <w:tcBorders>
              <w:right w:val="thinThickThinSmallGap" w:sz="24" w:space="0" w:color="auto"/>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Pr>
                <w:rFonts w:cs="Calibri"/>
                <w:b/>
                <w:color w:val="000000" w:themeColor="text1"/>
                <w:sz w:val="18"/>
                <w:szCs w:val="18"/>
              </w:rPr>
              <w:t xml:space="preserve">Service </w:t>
            </w:r>
            <w:r w:rsidRPr="001F29F9">
              <w:rPr>
                <w:rFonts w:cs="Calibri"/>
                <w:b/>
                <w:color w:val="000000" w:themeColor="text1"/>
                <w:sz w:val="18"/>
                <w:szCs w:val="18"/>
              </w:rPr>
              <w:t>PEB – Dated 200</w:t>
            </w:r>
            <w:r>
              <w:rPr>
                <w:rFonts w:cs="Calibri"/>
                <w:b/>
                <w:color w:val="000000" w:themeColor="text1"/>
                <w:sz w:val="18"/>
                <w:szCs w:val="18"/>
              </w:rPr>
              <w:t>20905</w:t>
            </w:r>
          </w:p>
        </w:tc>
        <w:tc>
          <w:tcPr>
            <w:tcW w:w="5382" w:type="dxa"/>
            <w:gridSpan w:val="4"/>
            <w:tcBorders>
              <w:left w:val="thinThickThinSmallGap" w:sz="24" w:space="0" w:color="auto"/>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6</w:t>
            </w:r>
            <w:r w:rsidRPr="001F29F9">
              <w:rPr>
                <w:rFonts w:cs="Calibri"/>
                <w:b/>
                <w:color w:val="000000" w:themeColor="text1"/>
                <w:sz w:val="18"/>
                <w:szCs w:val="18"/>
              </w:rPr>
              <w:t xml:space="preserve"> Mo. </w:t>
            </w:r>
            <w:r w:rsidRPr="00315B73">
              <w:rPr>
                <w:rFonts w:cs="Calibri"/>
                <w:b/>
                <w:color w:val="000000" w:themeColor="text1"/>
                <w:sz w:val="18"/>
                <w:szCs w:val="18"/>
              </w:rPr>
              <w:t>Pre</w:t>
            </w:r>
            <w:r>
              <w:rPr>
                <w:rFonts w:cs="Calibri"/>
                <w:b/>
                <w:color w:val="000000" w:themeColor="text1"/>
                <w:sz w:val="18"/>
                <w:szCs w:val="18"/>
              </w:rPr>
              <w:t>-</w:t>
            </w:r>
            <w:r w:rsidRPr="001F29F9">
              <w:rPr>
                <w:rFonts w:cs="Calibri"/>
                <w:b/>
                <w:color w:val="000000" w:themeColor="text1"/>
                <w:sz w:val="18"/>
                <w:szCs w:val="18"/>
              </w:rPr>
              <w:t>Separation) – All Effective 200</w:t>
            </w:r>
            <w:r>
              <w:rPr>
                <w:rFonts w:cs="Calibri"/>
                <w:b/>
                <w:color w:val="000000" w:themeColor="text1"/>
                <w:sz w:val="18"/>
                <w:szCs w:val="18"/>
              </w:rPr>
              <w:t>21219</w:t>
            </w:r>
          </w:p>
        </w:tc>
      </w:tr>
      <w:tr w:rsidR="00C318EC" w:rsidRPr="001F29F9" w:rsidTr="00C318EC">
        <w:trPr>
          <w:trHeight w:val="109"/>
        </w:trPr>
        <w:tc>
          <w:tcPr>
            <w:tcW w:w="2538" w:type="dxa"/>
            <w:tcBorders>
              <w:bottom w:val="single" w:sz="4" w:space="0" w:color="000000" w:themeColor="text1"/>
              <w:right w:val="single" w:sz="4" w:space="0" w:color="auto"/>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Condition</w:t>
            </w:r>
          </w:p>
        </w:tc>
        <w:tc>
          <w:tcPr>
            <w:tcW w:w="702" w:type="dxa"/>
            <w:tcBorders>
              <w:left w:val="single" w:sz="4" w:space="0" w:color="auto"/>
              <w:bottom w:val="single" w:sz="4" w:space="0" w:color="000000" w:themeColor="text1"/>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Code</w:t>
            </w:r>
          </w:p>
        </w:tc>
        <w:tc>
          <w:tcPr>
            <w:tcW w:w="738" w:type="dxa"/>
            <w:tcBorders>
              <w:bottom w:val="single" w:sz="4" w:space="0" w:color="000000" w:themeColor="text1"/>
              <w:right w:val="thinThickThinSmallGap" w:sz="24" w:space="0" w:color="auto"/>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Rating</w:t>
            </w:r>
          </w:p>
        </w:tc>
        <w:tc>
          <w:tcPr>
            <w:tcW w:w="2610" w:type="dxa"/>
            <w:tcBorders>
              <w:left w:val="thinThickThinSmallGap" w:sz="24" w:space="0" w:color="auto"/>
              <w:bottom w:val="single" w:sz="4" w:space="0" w:color="000000" w:themeColor="text1"/>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Exam</w:t>
            </w:r>
          </w:p>
        </w:tc>
      </w:tr>
      <w:tr w:rsidR="00C318EC" w:rsidRPr="001F29F9" w:rsidTr="00C318EC">
        <w:trPr>
          <w:trHeight w:val="66"/>
        </w:trPr>
        <w:tc>
          <w:tcPr>
            <w:tcW w:w="2538" w:type="dxa"/>
            <w:vMerge w:val="restart"/>
            <w:tcBorders>
              <w:right w:val="single" w:sz="4" w:space="0" w:color="auto"/>
            </w:tcBorders>
            <w:shd w:val="clear" w:color="auto" w:fill="FFFFFF" w:themeFill="background1"/>
            <w:vAlign w:val="center"/>
          </w:tcPr>
          <w:p w:rsidR="00C318EC" w:rsidRPr="001F29F9" w:rsidRDefault="00C318EC" w:rsidP="00167D06">
            <w:pPr>
              <w:spacing w:line="220" w:lineRule="exact"/>
              <w:contextualSpacing/>
              <w:jc w:val="left"/>
              <w:rPr>
                <w:rFonts w:cs="Calibri"/>
                <w:color w:val="000000" w:themeColor="text1"/>
                <w:sz w:val="18"/>
                <w:szCs w:val="18"/>
              </w:rPr>
            </w:pPr>
            <w:r>
              <w:rPr>
                <w:rFonts w:cs="Calibri"/>
                <w:color w:val="000000" w:themeColor="text1"/>
                <w:sz w:val="18"/>
                <w:szCs w:val="18"/>
              </w:rPr>
              <w:t>Chronic Bilateral Knee Pain</w:t>
            </w:r>
          </w:p>
        </w:tc>
        <w:tc>
          <w:tcPr>
            <w:tcW w:w="702" w:type="dxa"/>
            <w:vMerge w:val="restart"/>
            <w:tcBorders>
              <w:left w:val="single" w:sz="4" w:space="0" w:color="auto"/>
            </w:tcBorders>
            <w:shd w:val="clear" w:color="auto" w:fill="FFFFFF" w:themeFill="background1"/>
            <w:vAlign w:val="center"/>
          </w:tcPr>
          <w:p w:rsidR="00C318EC" w:rsidRPr="001F29F9" w:rsidRDefault="00C318EC" w:rsidP="00167D06">
            <w:pPr>
              <w:spacing w:line="180" w:lineRule="exact"/>
              <w:contextualSpacing/>
              <w:rPr>
                <w:rFonts w:cs="Calibri"/>
                <w:color w:val="000000" w:themeColor="text1"/>
                <w:sz w:val="18"/>
                <w:szCs w:val="18"/>
              </w:rPr>
            </w:pPr>
            <w:r>
              <w:rPr>
                <w:rFonts w:cs="Calibri"/>
                <w:color w:val="000000" w:themeColor="text1"/>
                <w:sz w:val="18"/>
                <w:szCs w:val="18"/>
              </w:rPr>
              <w:t>5099-5003</w:t>
            </w:r>
          </w:p>
        </w:tc>
        <w:tc>
          <w:tcPr>
            <w:tcW w:w="738" w:type="dxa"/>
            <w:vMerge w:val="restart"/>
            <w:tcBorders>
              <w:right w:val="thinThickThinSmallGap" w:sz="24" w:space="0" w:color="auto"/>
            </w:tcBorders>
            <w:shd w:val="clear" w:color="auto" w:fill="FFFFFF" w:themeFill="background1"/>
            <w:vAlign w:val="center"/>
          </w:tcPr>
          <w:p w:rsidR="00C318EC" w:rsidRPr="001F29F9" w:rsidRDefault="00C318EC" w:rsidP="00167D06">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610" w:type="dxa"/>
            <w:tcBorders>
              <w:left w:val="thinThickThinSmallGap" w:sz="24" w:space="0" w:color="auto"/>
              <w:bottom w:val="single" w:sz="4" w:space="0" w:color="auto"/>
            </w:tcBorders>
            <w:shd w:val="clear" w:color="auto" w:fill="FFFFFF" w:themeFill="background1"/>
            <w:vAlign w:val="center"/>
          </w:tcPr>
          <w:p w:rsidR="00C318EC" w:rsidRPr="001F29F9" w:rsidRDefault="00C318EC" w:rsidP="00167D06">
            <w:pPr>
              <w:spacing w:line="220" w:lineRule="exact"/>
              <w:contextualSpacing/>
              <w:jc w:val="left"/>
              <w:rPr>
                <w:rFonts w:cs="Calibri"/>
                <w:color w:val="000000" w:themeColor="text1"/>
                <w:sz w:val="18"/>
                <w:szCs w:val="18"/>
              </w:rPr>
            </w:pPr>
            <w:r>
              <w:rPr>
                <w:rFonts w:cs="Calibri"/>
                <w:color w:val="000000" w:themeColor="text1"/>
                <w:sz w:val="18"/>
                <w:szCs w:val="18"/>
              </w:rPr>
              <w:t>Surgical Residuals, R Knee</w:t>
            </w:r>
          </w:p>
        </w:tc>
        <w:tc>
          <w:tcPr>
            <w:tcW w:w="1080" w:type="dxa"/>
            <w:tcBorders>
              <w:bottom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Pr>
                <w:rFonts w:cs="Calibri"/>
                <w:color w:val="000000" w:themeColor="text1"/>
                <w:sz w:val="18"/>
                <w:szCs w:val="18"/>
              </w:rPr>
              <w:t>5299-5259</w:t>
            </w:r>
          </w:p>
        </w:tc>
        <w:tc>
          <w:tcPr>
            <w:tcW w:w="702" w:type="dxa"/>
            <w:tcBorders>
              <w:bottom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tcBorders>
              <w:bottom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20612</w:t>
            </w:r>
          </w:p>
        </w:tc>
      </w:tr>
      <w:tr w:rsidR="00C318EC" w:rsidRPr="001F29F9" w:rsidTr="00C318EC">
        <w:trPr>
          <w:trHeight w:val="66"/>
        </w:trPr>
        <w:tc>
          <w:tcPr>
            <w:tcW w:w="2538" w:type="dxa"/>
            <w:vMerge/>
            <w:tcBorders>
              <w:bottom w:val="single" w:sz="4" w:space="0" w:color="auto"/>
              <w:right w:val="single" w:sz="4" w:space="0" w:color="auto"/>
            </w:tcBorders>
            <w:shd w:val="clear" w:color="auto" w:fill="FFFFFF" w:themeFill="background1"/>
            <w:vAlign w:val="center"/>
          </w:tcPr>
          <w:p w:rsidR="00C318EC" w:rsidRDefault="00C318EC" w:rsidP="00167D06">
            <w:pPr>
              <w:spacing w:line="220" w:lineRule="exact"/>
              <w:contextualSpacing/>
              <w:jc w:val="left"/>
              <w:rPr>
                <w:rFonts w:cs="Calibri"/>
                <w:color w:val="000000" w:themeColor="text1"/>
                <w:sz w:val="18"/>
                <w:szCs w:val="18"/>
              </w:rPr>
            </w:pPr>
          </w:p>
        </w:tc>
        <w:tc>
          <w:tcPr>
            <w:tcW w:w="702" w:type="dxa"/>
            <w:vMerge/>
            <w:tcBorders>
              <w:left w:val="single" w:sz="4" w:space="0" w:color="auto"/>
              <w:bottom w:val="single" w:sz="4" w:space="0" w:color="auto"/>
            </w:tcBorders>
            <w:shd w:val="clear" w:color="auto" w:fill="FFFFFF" w:themeFill="background1"/>
            <w:vAlign w:val="center"/>
          </w:tcPr>
          <w:p w:rsidR="00C318EC" w:rsidRDefault="00C318EC" w:rsidP="00167D06">
            <w:pPr>
              <w:spacing w:line="220" w:lineRule="exact"/>
              <w:contextualSpacing/>
              <w:rPr>
                <w:rFonts w:cs="Calibri"/>
                <w:color w:val="000000" w:themeColor="text1"/>
                <w:sz w:val="18"/>
                <w:szCs w:val="18"/>
              </w:rPr>
            </w:pPr>
          </w:p>
        </w:tc>
        <w:tc>
          <w:tcPr>
            <w:tcW w:w="738" w:type="dxa"/>
            <w:vMerge/>
            <w:tcBorders>
              <w:bottom w:val="single" w:sz="4" w:space="0" w:color="auto"/>
              <w:right w:val="thinThickThinSmallGap" w:sz="24" w:space="0" w:color="auto"/>
            </w:tcBorders>
            <w:shd w:val="clear" w:color="auto" w:fill="FFFFFF" w:themeFill="background1"/>
            <w:vAlign w:val="center"/>
          </w:tcPr>
          <w:p w:rsidR="00C318EC" w:rsidRDefault="00C318EC" w:rsidP="00167D06">
            <w:pPr>
              <w:spacing w:line="220" w:lineRule="exact"/>
              <w:rPr>
                <w:rFonts w:cs="Calibri"/>
                <w:color w:val="000000" w:themeColor="text1"/>
                <w:sz w:val="18"/>
                <w:szCs w:val="18"/>
              </w:rPr>
            </w:pPr>
          </w:p>
        </w:tc>
        <w:tc>
          <w:tcPr>
            <w:tcW w:w="2610" w:type="dxa"/>
            <w:tcBorders>
              <w:top w:val="single" w:sz="4" w:space="0" w:color="auto"/>
              <w:left w:val="thinThickThinSmallGap" w:sz="24" w:space="0" w:color="auto"/>
              <w:bottom w:val="single" w:sz="4" w:space="0" w:color="auto"/>
            </w:tcBorders>
            <w:shd w:val="clear" w:color="auto" w:fill="FFFFFF" w:themeFill="background1"/>
            <w:vAlign w:val="center"/>
          </w:tcPr>
          <w:p w:rsidR="00C318EC" w:rsidRPr="001F29F9" w:rsidRDefault="00C318EC" w:rsidP="00167D06">
            <w:pPr>
              <w:spacing w:line="220" w:lineRule="exact"/>
              <w:contextualSpacing/>
              <w:jc w:val="left"/>
              <w:rPr>
                <w:rFonts w:cs="Calibri"/>
                <w:color w:val="000000" w:themeColor="text1"/>
                <w:sz w:val="18"/>
                <w:szCs w:val="18"/>
              </w:rPr>
            </w:pPr>
            <w:r>
              <w:rPr>
                <w:rFonts w:cs="Calibri"/>
                <w:color w:val="000000" w:themeColor="text1"/>
                <w:sz w:val="18"/>
                <w:szCs w:val="18"/>
              </w:rPr>
              <w:t>L Knee Pain</w:t>
            </w:r>
          </w:p>
        </w:tc>
        <w:tc>
          <w:tcPr>
            <w:tcW w:w="1080" w:type="dxa"/>
            <w:tcBorders>
              <w:top w:val="single" w:sz="4" w:space="0" w:color="auto"/>
              <w:bottom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Pr>
                <w:rFonts w:cs="Calibri"/>
                <w:color w:val="000000" w:themeColor="text1"/>
                <w:sz w:val="18"/>
                <w:szCs w:val="18"/>
              </w:rPr>
              <w:t>5257</w:t>
            </w:r>
          </w:p>
        </w:tc>
        <w:tc>
          <w:tcPr>
            <w:tcW w:w="702" w:type="dxa"/>
            <w:tcBorders>
              <w:top w:val="single" w:sz="4" w:space="0" w:color="auto"/>
              <w:bottom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tcBorders>
              <w:top w:val="single" w:sz="4" w:space="0" w:color="auto"/>
              <w:bottom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20612</w:t>
            </w:r>
          </w:p>
        </w:tc>
      </w:tr>
      <w:tr w:rsidR="00C318EC" w:rsidRPr="001F29F9" w:rsidTr="00C318EC">
        <w:trPr>
          <w:trHeight w:val="66"/>
        </w:trPr>
        <w:tc>
          <w:tcPr>
            <w:tcW w:w="2538" w:type="dxa"/>
            <w:tcBorders>
              <w:top w:val="single" w:sz="4" w:space="0" w:color="auto"/>
              <w:right w:val="single" w:sz="4" w:space="0" w:color="auto"/>
            </w:tcBorders>
            <w:shd w:val="clear" w:color="auto" w:fill="FFFFFF" w:themeFill="background1"/>
            <w:vAlign w:val="center"/>
          </w:tcPr>
          <w:p w:rsidR="00C318EC" w:rsidRPr="001F29F9" w:rsidRDefault="00C318EC" w:rsidP="00167D06">
            <w:pPr>
              <w:spacing w:line="220" w:lineRule="exact"/>
              <w:contextualSpacing/>
              <w:jc w:val="left"/>
              <w:rPr>
                <w:rFonts w:cs="Calibri"/>
                <w:color w:val="000000" w:themeColor="text1"/>
                <w:sz w:val="18"/>
                <w:szCs w:val="18"/>
              </w:rPr>
            </w:pPr>
            <w:r>
              <w:rPr>
                <w:rFonts w:cs="Calibri"/>
                <w:color w:val="000000" w:themeColor="text1"/>
                <w:sz w:val="18"/>
                <w:szCs w:val="18"/>
              </w:rPr>
              <w:t>Mild Impingement, R Shoulder</w:t>
            </w:r>
          </w:p>
        </w:tc>
        <w:tc>
          <w:tcPr>
            <w:tcW w:w="1440" w:type="dxa"/>
            <w:gridSpan w:val="2"/>
            <w:tcBorders>
              <w:top w:val="single" w:sz="4" w:space="0" w:color="auto"/>
              <w:left w:val="single" w:sz="4" w:space="0" w:color="auto"/>
              <w:right w:val="thinThickThinSmallGap" w:sz="24" w:space="0" w:color="auto"/>
            </w:tcBorders>
            <w:shd w:val="clear" w:color="auto" w:fill="FFFFFF" w:themeFill="background1"/>
            <w:vAlign w:val="center"/>
          </w:tcPr>
          <w:p w:rsidR="00C318EC" w:rsidRPr="001F29F9" w:rsidRDefault="00C318EC" w:rsidP="00167D06">
            <w:pPr>
              <w:spacing w:line="220" w:lineRule="exact"/>
              <w:rPr>
                <w:rFonts w:cs="Calibri"/>
                <w:color w:val="000000" w:themeColor="text1"/>
                <w:sz w:val="18"/>
                <w:szCs w:val="18"/>
              </w:rPr>
            </w:pPr>
            <w:r w:rsidRPr="001F29F9">
              <w:rPr>
                <w:rFonts w:cs="Calibri"/>
                <w:color w:val="000000" w:themeColor="text1"/>
                <w:sz w:val="18"/>
                <w:szCs w:val="18"/>
              </w:rPr>
              <w:t>Not Unfitting</w:t>
            </w:r>
          </w:p>
        </w:tc>
        <w:tc>
          <w:tcPr>
            <w:tcW w:w="2610" w:type="dxa"/>
            <w:tcBorders>
              <w:top w:val="single" w:sz="4" w:space="0" w:color="auto"/>
              <w:left w:val="thinThickThinSmallGap" w:sz="24" w:space="0" w:color="auto"/>
              <w:right w:val="single" w:sz="4" w:space="0" w:color="auto"/>
            </w:tcBorders>
            <w:shd w:val="clear" w:color="auto" w:fill="FFFFFF" w:themeFill="background1"/>
            <w:vAlign w:val="center"/>
          </w:tcPr>
          <w:p w:rsidR="00C318EC" w:rsidRPr="001F29F9" w:rsidRDefault="00C318EC" w:rsidP="00167D06">
            <w:pPr>
              <w:spacing w:line="220" w:lineRule="exact"/>
              <w:contextualSpacing/>
              <w:jc w:val="left"/>
              <w:rPr>
                <w:rFonts w:cs="Calibri"/>
                <w:color w:val="000000" w:themeColor="text1"/>
                <w:sz w:val="18"/>
                <w:szCs w:val="18"/>
              </w:rPr>
            </w:pPr>
            <w:r>
              <w:rPr>
                <w:rFonts w:cs="Calibri"/>
                <w:color w:val="000000" w:themeColor="text1"/>
                <w:sz w:val="18"/>
                <w:szCs w:val="18"/>
              </w:rPr>
              <w:t>Mild Impingement, R Shoulder</w:t>
            </w:r>
          </w:p>
        </w:tc>
        <w:tc>
          <w:tcPr>
            <w:tcW w:w="1080" w:type="dxa"/>
            <w:tcBorders>
              <w:top w:val="single" w:sz="4" w:space="0" w:color="auto"/>
              <w:left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Pr>
                <w:rFonts w:cs="Calibri"/>
                <w:color w:val="000000" w:themeColor="text1"/>
                <w:sz w:val="18"/>
                <w:szCs w:val="18"/>
              </w:rPr>
              <w:t>5299-5201</w:t>
            </w:r>
          </w:p>
        </w:tc>
        <w:tc>
          <w:tcPr>
            <w:tcW w:w="702" w:type="dxa"/>
            <w:tcBorders>
              <w:top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990" w:type="dxa"/>
            <w:tcBorders>
              <w:top w:val="single" w:sz="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20612</w:t>
            </w:r>
          </w:p>
        </w:tc>
      </w:tr>
      <w:tr w:rsidR="00C318EC" w:rsidRPr="001F29F9" w:rsidTr="00167D06">
        <w:trPr>
          <w:trHeight w:val="66"/>
        </w:trPr>
        <w:tc>
          <w:tcPr>
            <w:tcW w:w="3978" w:type="dxa"/>
            <w:gridSpan w:val="3"/>
            <w:tcBorders>
              <w:right w:val="thinThickThinSmallGap" w:sz="24" w:space="0" w:color="auto"/>
            </w:tcBorders>
            <w:shd w:val="clear" w:color="auto" w:fill="FFFFFF" w:themeFill="background1"/>
          </w:tcPr>
          <w:p w:rsidR="00C318EC" w:rsidRPr="001F29F9" w:rsidRDefault="00C318EC" w:rsidP="00167D06">
            <w:pPr>
              <w:tabs>
                <w:tab w:val="left" w:pos="685"/>
                <w:tab w:val="center" w:pos="1881"/>
              </w:tabs>
              <w:spacing w:line="220" w:lineRule="exact"/>
              <w:contextualSpacing/>
              <w:jc w:val="left"/>
              <w:rPr>
                <w:rFonts w:cs="Calibri"/>
                <w:color w:val="000000" w:themeColor="text1"/>
                <w:sz w:val="18"/>
                <w:szCs w:val="18"/>
              </w:rPr>
            </w:pPr>
            <w:r>
              <w:rPr>
                <w:rFonts w:cs="Calibri"/>
                <w:color w:val="000000" w:themeColor="text1"/>
                <w:sz w:val="18"/>
                <w:szCs w:val="18"/>
              </w:rPr>
              <w:tab/>
              <w:t>No Additional MEB/PEB Entries</w:t>
            </w:r>
          </w:p>
        </w:tc>
        <w:tc>
          <w:tcPr>
            <w:tcW w:w="4392" w:type="dxa"/>
            <w:gridSpan w:val="3"/>
            <w:tcBorders>
              <w:left w:val="thinThickThinSmallGap" w:sz="24" w:space="0" w:color="auto"/>
            </w:tcBorders>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 xml:space="preserve">2 Additional </w:t>
            </w:r>
            <w:r w:rsidRPr="001F29F9">
              <w:rPr>
                <w:rFonts w:cs="Calibri"/>
                <w:color w:val="000000" w:themeColor="text1"/>
                <w:sz w:val="18"/>
                <w:szCs w:val="18"/>
              </w:rPr>
              <w:t>/</w:t>
            </w:r>
            <w:r>
              <w:rPr>
                <w:rFonts w:cs="Calibri"/>
                <w:color w:val="000000" w:themeColor="text1"/>
                <w:sz w:val="18"/>
                <w:szCs w:val="18"/>
              </w:rPr>
              <w:t xml:space="preserve"> </w:t>
            </w:r>
            <w:r w:rsidRPr="001F29F9">
              <w:rPr>
                <w:rFonts w:cs="Calibri"/>
                <w:color w:val="000000" w:themeColor="text1"/>
                <w:sz w:val="18"/>
                <w:szCs w:val="18"/>
              </w:rPr>
              <w:t xml:space="preserve">Not Service Connected x </w:t>
            </w:r>
            <w:r>
              <w:rPr>
                <w:rFonts w:cs="Calibri"/>
                <w:color w:val="000000" w:themeColor="text1"/>
                <w:sz w:val="18"/>
                <w:szCs w:val="18"/>
              </w:rPr>
              <w:t>1 Additional</w:t>
            </w:r>
          </w:p>
        </w:tc>
        <w:tc>
          <w:tcPr>
            <w:tcW w:w="990" w:type="dxa"/>
            <w:shd w:val="clear" w:color="auto" w:fill="FFFFFF" w:themeFill="background1"/>
            <w:vAlign w:val="center"/>
          </w:tcPr>
          <w:p w:rsidR="00C318EC" w:rsidRPr="001F29F9" w:rsidRDefault="00C318EC" w:rsidP="00167D0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20612</w:t>
            </w:r>
          </w:p>
        </w:tc>
      </w:tr>
      <w:tr w:rsidR="00C318EC" w:rsidRPr="001F29F9" w:rsidTr="00167D06">
        <w:trPr>
          <w:trHeight w:val="242"/>
        </w:trPr>
        <w:tc>
          <w:tcPr>
            <w:tcW w:w="3978" w:type="dxa"/>
            <w:gridSpan w:val="3"/>
            <w:tcBorders>
              <w:right w:val="thinThickThinSmallGap" w:sz="24" w:space="0" w:color="auto"/>
            </w:tcBorders>
            <w:shd w:val="clear" w:color="auto" w:fill="D9D9D9" w:themeFill="background1" w:themeFillShade="D9"/>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382" w:type="dxa"/>
            <w:gridSpan w:val="4"/>
            <w:tcBorders>
              <w:left w:val="thinThickThinSmallGap" w:sz="24" w:space="0" w:color="auto"/>
            </w:tcBorders>
            <w:shd w:val="clear" w:color="auto" w:fill="D9D9D9" w:themeFill="background1" w:themeFillShade="D9"/>
          </w:tcPr>
          <w:p w:rsidR="00C318EC" w:rsidRPr="001F29F9" w:rsidRDefault="00C318EC" w:rsidP="00167D0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403BEE" w:rsidRDefault="00AD2379" w:rsidP="00403BEE">
      <w:pPr>
        <w:spacing w:line="240" w:lineRule="auto"/>
        <w:jc w:val="left"/>
        <w:rPr>
          <w:color w:val="000000"/>
          <w:u w:val="single"/>
        </w:rPr>
      </w:pPr>
      <w:r w:rsidRPr="001F29F9">
        <w:rPr>
          <w:color w:val="000000"/>
          <w:u w:val="single"/>
        </w:rPr>
        <w:t>ANALYSIS SUMMARY</w:t>
      </w:r>
      <w:r w:rsidRPr="001F29F9">
        <w:rPr>
          <w:color w:val="000000"/>
        </w:rPr>
        <w:t>:</w:t>
      </w:r>
      <w:r>
        <w:rPr>
          <w:color w:val="000000"/>
        </w:rPr>
        <w:t xml:space="preserve"> </w:t>
      </w:r>
      <w:r w:rsidR="00B24655">
        <w:rPr>
          <w:color w:val="000000"/>
        </w:rPr>
        <w:t xml:space="preserve"> </w:t>
      </w:r>
    </w:p>
    <w:p w:rsidR="00AD2379" w:rsidRPr="001F29F9" w:rsidRDefault="00AD2379" w:rsidP="00B22D42">
      <w:pPr>
        <w:jc w:val="both"/>
        <w:rPr>
          <w:color w:val="000000"/>
          <w:highlight w:val="yellow"/>
        </w:rPr>
      </w:pPr>
    </w:p>
    <w:p w:rsidR="00AD2379" w:rsidRDefault="00B24655" w:rsidP="00B22D42">
      <w:pPr>
        <w:jc w:val="both"/>
        <w:rPr>
          <w:color w:val="000000"/>
        </w:rPr>
      </w:pPr>
      <w:r>
        <w:rPr>
          <w:color w:val="000000"/>
          <w:u w:val="single"/>
        </w:rPr>
        <w:t>Bilateral Knee</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403BEE">
        <w:rPr>
          <w:color w:val="000000"/>
        </w:rPr>
        <w:t xml:space="preserve">The right knee was injured via a twisting mechanism during desert operations </w:t>
      </w:r>
      <w:r w:rsidR="00AF249A">
        <w:rPr>
          <w:color w:val="000000"/>
        </w:rPr>
        <w:t xml:space="preserve">in 1990, </w:t>
      </w:r>
      <w:r w:rsidR="00F6786D">
        <w:rPr>
          <w:color w:val="000000"/>
        </w:rPr>
        <w:t>resulting in persistent</w:t>
      </w:r>
      <w:r w:rsidR="00AF249A">
        <w:rPr>
          <w:color w:val="000000"/>
        </w:rPr>
        <w:t xml:space="preserve"> anterior knee pain </w:t>
      </w:r>
      <w:r w:rsidR="00F6786D">
        <w:rPr>
          <w:color w:val="000000"/>
        </w:rPr>
        <w:t>worsen over time</w:t>
      </w:r>
      <w:r w:rsidR="00AF249A">
        <w:rPr>
          <w:color w:val="000000"/>
        </w:rPr>
        <w:t>.  This failed to improve with physical therapy (PT) and other conservative measures.  Associated left knee pain, ascribed to gait dysfunction from the right knee, developed around 1997.  He underwent diagnostic arthrosc</w:t>
      </w:r>
      <w:r w:rsidR="00AF249A" w:rsidRPr="00AF249A">
        <w:rPr>
          <w:color w:val="000000"/>
        </w:rPr>
        <w:t xml:space="preserve">opy </w:t>
      </w:r>
      <w:r w:rsidR="00AF249A">
        <w:rPr>
          <w:color w:val="000000"/>
        </w:rPr>
        <w:t xml:space="preserve">of the right knee </w:t>
      </w:r>
      <w:r w:rsidR="00AF249A" w:rsidRPr="00AF249A">
        <w:rPr>
          <w:color w:val="000000"/>
        </w:rPr>
        <w:t>in March 1999</w:t>
      </w:r>
      <w:r w:rsidR="00AF249A">
        <w:rPr>
          <w:color w:val="000000"/>
        </w:rPr>
        <w:t xml:space="preserve">, with normal findings.  An arthroscopic </w:t>
      </w:r>
      <w:r w:rsidR="00AF249A" w:rsidRPr="00AF249A">
        <w:rPr>
          <w:color w:val="000000"/>
        </w:rPr>
        <w:t xml:space="preserve">lateral release </w:t>
      </w:r>
      <w:r w:rsidR="004F5567">
        <w:rPr>
          <w:color w:val="000000"/>
        </w:rPr>
        <w:t>was performed</w:t>
      </w:r>
      <w:r w:rsidR="00AF249A" w:rsidRPr="00AF249A">
        <w:rPr>
          <w:color w:val="000000"/>
        </w:rPr>
        <w:t xml:space="preserve"> on the right knee in May 2001</w:t>
      </w:r>
      <w:r w:rsidR="004F5567">
        <w:rPr>
          <w:color w:val="000000"/>
        </w:rPr>
        <w:t xml:space="preserve">, followed by a protracted course of PT.  </w:t>
      </w:r>
      <w:r w:rsidR="00385708">
        <w:rPr>
          <w:color w:val="000000"/>
        </w:rPr>
        <w:t xml:space="preserve">The narrative </w:t>
      </w:r>
      <w:r w:rsidR="00385708" w:rsidRPr="005B032D">
        <w:rPr>
          <w:color w:val="000000"/>
        </w:rPr>
        <w:t>summary (NARSUM)</w:t>
      </w:r>
      <w:r w:rsidR="00385708">
        <w:rPr>
          <w:color w:val="000000"/>
        </w:rPr>
        <w:t xml:space="preserve"> </w:t>
      </w:r>
      <w:r w:rsidR="006E4F87">
        <w:rPr>
          <w:color w:val="000000"/>
        </w:rPr>
        <w:t>documented “</w:t>
      </w:r>
      <w:r w:rsidR="006E4F87" w:rsidRPr="006E4F87">
        <w:rPr>
          <w:color w:val="000000"/>
        </w:rPr>
        <w:t>right greater than left anterior knee pain that is increased with prolonged sitting, standing, walking, kneeling, squatting, bending, stairs, and climbing on and off of military vehicles.</w:t>
      </w:r>
      <w:r w:rsidR="006E4F87">
        <w:rPr>
          <w:color w:val="000000"/>
        </w:rPr>
        <w:t>”</w:t>
      </w:r>
      <w:r w:rsidR="00385708">
        <w:rPr>
          <w:color w:val="000000"/>
        </w:rPr>
        <w:t xml:space="preserve"> </w:t>
      </w:r>
      <w:r w:rsidR="006E4F87">
        <w:rPr>
          <w:color w:val="000000"/>
        </w:rPr>
        <w:t xml:space="preserve"> The physical examination was comprehensive and noted only parapatellar tenderness (left &gt; right) and some crepitus with patellar grind.  </w:t>
      </w:r>
      <w:r w:rsidR="008E6B8C">
        <w:rPr>
          <w:color w:val="000000"/>
        </w:rPr>
        <w:t>T</w:t>
      </w:r>
      <w:r w:rsidR="008E6B8C" w:rsidRPr="008E6B8C">
        <w:rPr>
          <w:color w:val="000000"/>
        </w:rPr>
        <w:t>here was no tenderness or effusion; no signs of cartilage impingement; and, no ligamental laxity to stress maneuvers.</w:t>
      </w:r>
      <w:r w:rsidR="008E6B8C">
        <w:rPr>
          <w:color w:val="000000"/>
        </w:rPr>
        <w:t xml:space="preserve">  Active and passive range-of-motion </w:t>
      </w:r>
      <w:r w:rsidR="004A337B">
        <w:rPr>
          <w:color w:val="000000"/>
        </w:rPr>
        <w:t xml:space="preserve">(ROM) </w:t>
      </w:r>
      <w:r w:rsidR="008E6B8C">
        <w:rPr>
          <w:color w:val="000000"/>
        </w:rPr>
        <w:t>was essentially normal (135⁰ flexion/5⁰ extension</w:t>
      </w:r>
      <w:r w:rsidR="004A337B">
        <w:rPr>
          <w:color w:val="000000"/>
        </w:rPr>
        <w:t xml:space="preserve"> bilaterally</w:t>
      </w:r>
      <w:r w:rsidR="008E6B8C">
        <w:rPr>
          <w:color w:val="000000"/>
        </w:rPr>
        <w:t xml:space="preserve">); and, there was no notation of painful motion on this or other contemporary outpatient examinations.  At the </w:t>
      </w:r>
      <w:r w:rsidR="008E6B8C">
        <w:rPr>
          <w:color w:val="000000"/>
          <w:szCs w:val="24"/>
        </w:rPr>
        <w:t xml:space="preserve">VA </w:t>
      </w:r>
      <w:r w:rsidR="008E6B8C" w:rsidRPr="00CF0280">
        <w:rPr>
          <w:color w:val="000000"/>
          <w:szCs w:val="24"/>
        </w:rPr>
        <w:t>Compensation and Pension (C&amp;P)</w:t>
      </w:r>
      <w:r w:rsidR="008E6B8C">
        <w:rPr>
          <w:color w:val="000000"/>
          <w:szCs w:val="24"/>
        </w:rPr>
        <w:t xml:space="preserve"> evaluation (6 months </w:t>
      </w:r>
      <w:r w:rsidR="00F61FF7">
        <w:rPr>
          <w:color w:val="000000"/>
          <w:szCs w:val="24"/>
        </w:rPr>
        <w:t>pre</w:t>
      </w:r>
      <w:r w:rsidR="008E6B8C">
        <w:rPr>
          <w:color w:val="000000"/>
          <w:szCs w:val="24"/>
        </w:rPr>
        <w:t>-separation), each knee was addressed separately.  The right knee was noted to produce “</w:t>
      </w:r>
      <w:r w:rsidR="008E6B8C" w:rsidRPr="008E6B8C">
        <w:rPr>
          <w:color w:val="000000"/>
          <w:szCs w:val="24"/>
        </w:rPr>
        <w:t>pain on a constant daily basis with a limp with prolonged standing or walking.</w:t>
      </w:r>
      <w:r w:rsidR="008E6B8C">
        <w:rPr>
          <w:color w:val="000000"/>
          <w:szCs w:val="24"/>
        </w:rPr>
        <w:t xml:space="preserve">”  </w:t>
      </w:r>
      <w:r w:rsidR="001C4506">
        <w:rPr>
          <w:color w:val="000000"/>
          <w:szCs w:val="24"/>
        </w:rPr>
        <w:t>For the left knee, the VA examiner documented, “</w:t>
      </w:r>
      <w:r w:rsidR="002230A4">
        <w:rPr>
          <w:color w:val="000000"/>
          <w:szCs w:val="24"/>
        </w:rPr>
        <w:t>h</w:t>
      </w:r>
      <w:r w:rsidR="001C4506" w:rsidRPr="001C4506">
        <w:rPr>
          <w:color w:val="000000"/>
          <w:szCs w:val="24"/>
        </w:rPr>
        <w:t>e states that this is an aggravating condition and does not necessarily impact his ability to perform his normal duties.</w:t>
      </w:r>
      <w:r w:rsidR="001C4506">
        <w:rPr>
          <w:color w:val="000000"/>
          <w:szCs w:val="24"/>
        </w:rPr>
        <w:t>”  The VA physical exam was documented as “within normal limits including full ROM [</w:t>
      </w:r>
      <w:r w:rsidR="001C4506">
        <w:rPr>
          <w:color w:val="000000"/>
        </w:rPr>
        <w:t xml:space="preserve">140⁰ flexion/0⁰ extension </w:t>
      </w:r>
      <w:r w:rsidR="004A337B">
        <w:rPr>
          <w:color w:val="000000"/>
        </w:rPr>
        <w:t>bilaterally</w:t>
      </w:r>
      <w:r w:rsidR="00196DCB">
        <w:rPr>
          <w:color w:val="000000"/>
          <w:szCs w:val="24"/>
        </w:rPr>
        <w:t xml:space="preserve">], </w:t>
      </w:r>
      <w:r w:rsidR="001C4506">
        <w:rPr>
          <w:color w:val="000000"/>
          <w:szCs w:val="24"/>
        </w:rPr>
        <w:t xml:space="preserve">able to squat without difficulty.”  </w:t>
      </w:r>
      <w:r w:rsidR="00C446D0">
        <w:rPr>
          <w:color w:val="000000"/>
          <w:szCs w:val="24"/>
        </w:rPr>
        <w:t>Painf</w:t>
      </w:r>
      <w:r w:rsidR="00510520">
        <w:rPr>
          <w:color w:val="000000"/>
          <w:szCs w:val="24"/>
        </w:rPr>
        <w:t>ul motion was ex</w:t>
      </w:r>
      <w:r w:rsidR="00F6786D">
        <w:rPr>
          <w:color w:val="000000"/>
          <w:szCs w:val="24"/>
        </w:rPr>
        <w:t>c</w:t>
      </w:r>
      <w:r w:rsidR="00510520">
        <w:rPr>
          <w:color w:val="000000"/>
          <w:szCs w:val="24"/>
        </w:rPr>
        <w:t xml:space="preserve">luded.  </w:t>
      </w:r>
      <w:r w:rsidR="001C4506">
        <w:rPr>
          <w:color w:val="000000"/>
          <w:szCs w:val="24"/>
        </w:rPr>
        <w:t xml:space="preserve">Ligamental stress maneuvers were negative for laxity, and no effusions or positive signs for cartilage impingement were present.  </w:t>
      </w:r>
      <w:r w:rsidR="002230A4">
        <w:rPr>
          <w:color w:val="000000"/>
          <w:szCs w:val="24"/>
        </w:rPr>
        <w:t>All s</w:t>
      </w:r>
      <w:r w:rsidR="00E529F3">
        <w:rPr>
          <w:color w:val="000000"/>
          <w:szCs w:val="24"/>
        </w:rPr>
        <w:t xml:space="preserve">ervice and VA </w:t>
      </w:r>
      <w:r w:rsidR="00C50C75">
        <w:rPr>
          <w:color w:val="000000"/>
          <w:szCs w:val="24"/>
        </w:rPr>
        <w:t>X</w:t>
      </w:r>
      <w:r w:rsidR="00E529F3">
        <w:rPr>
          <w:color w:val="000000"/>
          <w:szCs w:val="24"/>
        </w:rPr>
        <w:t>-ray examinations were normal for both knees.</w:t>
      </w:r>
    </w:p>
    <w:p w:rsidR="00CF0280" w:rsidRDefault="00CF0280" w:rsidP="0069687C">
      <w:pPr>
        <w:jc w:val="both"/>
        <w:rPr>
          <w:color w:val="000000"/>
          <w:szCs w:val="24"/>
        </w:rPr>
      </w:pPr>
    </w:p>
    <w:p w:rsidR="008046AB" w:rsidRDefault="00AD2379" w:rsidP="000A6302">
      <w:pPr>
        <w:tabs>
          <w:tab w:val="left" w:pos="288"/>
          <w:tab w:val="left" w:pos="4752"/>
        </w:tabs>
        <w:jc w:val="both"/>
        <w:rPr>
          <w:rFonts w:cs="Times New Roman"/>
          <w:color w:val="auto"/>
        </w:rPr>
      </w:pPr>
      <w:r w:rsidRPr="009A7578">
        <w:rPr>
          <w:rFonts w:cs="Times New Roman"/>
          <w:color w:val="auto"/>
        </w:rPr>
        <w:t>The Board directs attenti</w:t>
      </w:r>
      <w:r w:rsidR="00782CC1">
        <w:rPr>
          <w:rFonts w:cs="Times New Roman"/>
          <w:color w:val="auto"/>
        </w:rPr>
        <w:t>on to its rating recommendation</w:t>
      </w:r>
      <w:r w:rsidR="00E529F3">
        <w:rPr>
          <w:rFonts w:cs="Times New Roman"/>
          <w:color w:val="auto"/>
        </w:rPr>
        <w:t>s</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C446D0" w:rsidRPr="00C446D0">
        <w:rPr>
          <w:rFonts w:cs="Times New Roman"/>
          <w:color w:val="auto"/>
        </w:rPr>
        <w:t>IAW VASRD §4.71a, the Board must consider separate ratings for PEB bilateral joint adjudications; although, separate fitness assessments must justify each</w:t>
      </w:r>
      <w:r w:rsidR="005B032D">
        <w:rPr>
          <w:rFonts w:cs="Times New Roman"/>
          <w:color w:val="auto"/>
        </w:rPr>
        <w:t xml:space="preserve"> </w:t>
      </w:r>
      <w:r w:rsidR="00C446D0" w:rsidRPr="00C446D0">
        <w:rPr>
          <w:rFonts w:cs="Times New Roman"/>
          <w:color w:val="auto"/>
        </w:rPr>
        <w:t>disability rating.</w:t>
      </w:r>
      <w:r w:rsidR="00E529F3">
        <w:rPr>
          <w:rFonts w:cs="Times New Roman"/>
          <w:color w:val="auto"/>
        </w:rPr>
        <w:t xml:space="preserve">  </w:t>
      </w:r>
      <w:r w:rsidR="00C446D0">
        <w:rPr>
          <w:rFonts w:cs="Times New Roman"/>
          <w:color w:val="auto"/>
        </w:rPr>
        <w:t>It is clear that the right knee was the primary source of the disability in this case; and, indeed, the VA could not service</w:t>
      </w:r>
      <w:r w:rsidR="00C50C75">
        <w:rPr>
          <w:rFonts w:cs="Times New Roman"/>
          <w:color w:val="auto"/>
        </w:rPr>
        <w:t>-</w:t>
      </w:r>
      <w:r w:rsidR="00C446D0">
        <w:rPr>
          <w:rFonts w:cs="Times New Roman"/>
          <w:color w:val="auto"/>
        </w:rPr>
        <w:t xml:space="preserve">connect the left knee condition for lack of documented diagnosis, treatment, or abnormality.  </w:t>
      </w:r>
      <w:r w:rsidR="00510520">
        <w:rPr>
          <w:rFonts w:cs="Times New Roman"/>
          <w:color w:val="auto"/>
        </w:rPr>
        <w:t xml:space="preserve">It remains, however, that both knees were considered to fail retention standards; both knees were implicated by the NARSUM; and, both were profiled.  Since the disability attendant to only the left knee cannot be isolated by the clinical evidence, or extricated from the fitness implications of the bilateral </w:t>
      </w:r>
      <w:r w:rsidR="000A6302">
        <w:rPr>
          <w:rFonts w:cs="Times New Roman"/>
          <w:color w:val="auto"/>
        </w:rPr>
        <w:t>limitations</w:t>
      </w:r>
      <w:r w:rsidR="00F6786D">
        <w:rPr>
          <w:rFonts w:cs="Times New Roman"/>
          <w:color w:val="auto"/>
        </w:rPr>
        <w:t>,</w:t>
      </w:r>
      <w:r w:rsidR="00510520">
        <w:rPr>
          <w:rFonts w:cs="Times New Roman"/>
          <w:color w:val="auto"/>
        </w:rPr>
        <w:t xml:space="preserve"> </w:t>
      </w:r>
      <w:r w:rsidR="000A6302">
        <w:rPr>
          <w:rFonts w:cs="Times New Roman"/>
          <w:color w:val="auto"/>
        </w:rPr>
        <w:t xml:space="preserve">Board members agreed that the left knee condition should be conceded as separately unfitting. </w:t>
      </w:r>
    </w:p>
    <w:p w:rsidR="00D3520E" w:rsidRDefault="00D3520E" w:rsidP="000A6302">
      <w:pPr>
        <w:tabs>
          <w:tab w:val="left" w:pos="288"/>
          <w:tab w:val="left" w:pos="4752"/>
        </w:tabs>
        <w:jc w:val="both"/>
        <w:rPr>
          <w:rFonts w:cs="Times New Roman"/>
          <w:color w:val="auto"/>
        </w:rPr>
      </w:pPr>
    </w:p>
    <w:p w:rsidR="005452F7" w:rsidRPr="00616197" w:rsidRDefault="000A6302" w:rsidP="00616197">
      <w:pPr>
        <w:tabs>
          <w:tab w:val="left" w:pos="288"/>
          <w:tab w:val="left" w:pos="4752"/>
        </w:tabs>
        <w:jc w:val="both"/>
        <w:rPr>
          <w:rFonts w:cs="Times New Roman"/>
          <w:color w:val="auto"/>
        </w:rPr>
      </w:pPr>
      <w:r>
        <w:rPr>
          <w:rFonts w:cs="Times New Roman"/>
          <w:color w:val="auto"/>
        </w:rPr>
        <w:t>Regarding rating of the right knee condition</w:t>
      </w:r>
      <w:r w:rsidR="008D0DD6">
        <w:rPr>
          <w:rFonts w:cs="Times New Roman"/>
          <w:color w:val="auto"/>
        </w:rPr>
        <w:t xml:space="preserve">, </w:t>
      </w:r>
      <w:r w:rsidR="00FE4A59">
        <w:rPr>
          <w:rFonts w:cs="Times New Roman"/>
          <w:color w:val="auto"/>
        </w:rPr>
        <w:t>there was no ROM limitation</w:t>
      </w:r>
      <w:r w:rsidR="008046AB">
        <w:rPr>
          <w:rFonts w:cs="Times New Roman"/>
          <w:color w:val="auto"/>
        </w:rPr>
        <w:t>,</w:t>
      </w:r>
      <w:r w:rsidR="00FE4A59">
        <w:rPr>
          <w:rFonts w:cs="Times New Roman"/>
          <w:color w:val="auto"/>
        </w:rPr>
        <w:t xml:space="preserve"> instability, locking or effusion which would achieve a rating higher than 10% under the available joint codes.  The PEB’s combined rating was coded analogously to 5003 (degenerative joint disease), and the VA rated analogously to 5259 (cartilage removal).  The latter is not a clinical fit.  Although literal §4.59 (painful motion) criteria were not supported to achieve a minimum compensable rating, the VA rating decision cited “</w:t>
      </w:r>
      <w:r w:rsidR="008046AB" w:rsidRPr="008046AB">
        <w:rPr>
          <w:rFonts w:cs="Times New Roman"/>
          <w:color w:val="auto"/>
        </w:rPr>
        <w:t>pain with impact and weight bearing activities</w:t>
      </w:r>
      <w:r w:rsidR="005B032D">
        <w:rPr>
          <w:rFonts w:cs="Times New Roman"/>
          <w:color w:val="auto"/>
        </w:rPr>
        <w:t>.</w:t>
      </w:r>
      <w:r w:rsidR="00FE4A59">
        <w:rPr>
          <w:rFonts w:cs="Times New Roman"/>
          <w:color w:val="auto"/>
        </w:rPr>
        <w:t>”</w:t>
      </w:r>
      <w:r w:rsidR="008046AB">
        <w:rPr>
          <w:rFonts w:cs="Times New Roman"/>
          <w:color w:val="auto"/>
        </w:rPr>
        <w:t xml:space="preserve">  </w:t>
      </w:r>
      <w:r w:rsidR="005B032D">
        <w:rPr>
          <w:rFonts w:cs="Times New Roman"/>
          <w:color w:val="auto"/>
        </w:rPr>
        <w:t>The Board agreed</w:t>
      </w:r>
      <w:r w:rsidR="008046AB">
        <w:rPr>
          <w:rFonts w:cs="Times New Roman"/>
          <w:color w:val="auto"/>
        </w:rPr>
        <w:t xml:space="preserve"> that, applicability of §4.59 notwithstanding, a minimum compensable rating (10%) was supported by </w:t>
      </w:r>
      <w:r w:rsidR="000848B5">
        <w:rPr>
          <w:rFonts w:cs="Times New Roman"/>
          <w:color w:val="auto"/>
        </w:rPr>
        <w:t xml:space="preserve">§4.40 (functional loss).  </w:t>
      </w:r>
      <w:r w:rsidR="000848B5">
        <w:rPr>
          <w:color w:val="000000"/>
          <w:szCs w:val="24"/>
        </w:rPr>
        <w:t xml:space="preserve">The </w:t>
      </w:r>
      <w:r w:rsidR="00C50C75">
        <w:rPr>
          <w:color w:val="000000"/>
          <w:szCs w:val="24"/>
        </w:rPr>
        <w:t>action o</w:t>
      </w:r>
      <w:r w:rsidR="000848B5">
        <w:rPr>
          <w:color w:val="000000"/>
          <w:szCs w:val="24"/>
        </w:rPr>
        <w:t>fficer recommended, and the Board concurred with, the analogous code 5099-</w:t>
      </w:r>
      <w:r w:rsidR="000848B5" w:rsidRPr="008D0DD6">
        <w:rPr>
          <w:rFonts w:cs="Times New Roman"/>
          <w:color w:val="auto"/>
        </w:rPr>
        <w:t>5010 (traumatic arthritis)</w:t>
      </w:r>
      <w:r w:rsidR="000848B5">
        <w:rPr>
          <w:color w:val="000000"/>
          <w:szCs w:val="24"/>
        </w:rPr>
        <w:t xml:space="preserve"> for its clinical compatibility.  </w:t>
      </w:r>
      <w:r w:rsidR="000848B5">
        <w:rPr>
          <w:rFonts w:cs="Times New Roman"/>
          <w:color w:val="auto"/>
        </w:rPr>
        <w:t xml:space="preserve">Regarding rating of the left knee condition, there was a lack of any documented evidence for painful motion; and, given the lack of any directed clinical entries, </w:t>
      </w:r>
      <w:r w:rsidR="00616197">
        <w:rPr>
          <w:rFonts w:cs="Times New Roman"/>
          <w:color w:val="auto"/>
        </w:rPr>
        <w:t xml:space="preserve">there was no supporting evidence </w:t>
      </w:r>
      <w:r w:rsidR="000848B5">
        <w:rPr>
          <w:rFonts w:cs="Times New Roman"/>
          <w:color w:val="auto"/>
        </w:rPr>
        <w:t xml:space="preserve">for </w:t>
      </w:r>
      <w:r w:rsidR="00616197">
        <w:rPr>
          <w:rFonts w:cs="Times New Roman"/>
          <w:color w:val="auto"/>
        </w:rPr>
        <w:t xml:space="preserve">substantiating functional loss.  </w:t>
      </w:r>
      <w:r w:rsidR="005B032D">
        <w:rPr>
          <w:rFonts w:cs="Times New Roman"/>
          <w:color w:val="auto"/>
        </w:rPr>
        <w:t xml:space="preserve">The Board </w:t>
      </w:r>
      <w:r w:rsidR="00616197">
        <w:rPr>
          <w:rFonts w:cs="Times New Roman"/>
          <w:color w:val="auto"/>
        </w:rPr>
        <w:t>could not therefore find a basis for recommending a separate compensable rating for the left knee condition.  It was agreed that the most compatible code was 5099-</w:t>
      </w:r>
      <w:r w:rsidR="00616197" w:rsidRPr="00616197">
        <w:rPr>
          <w:rFonts w:cs="Times New Roman"/>
          <w:color w:val="auto"/>
        </w:rPr>
        <w:t>5024 (tenosynovitis)</w:t>
      </w:r>
      <w:r w:rsidR="00616197">
        <w:rPr>
          <w:rFonts w:cs="Times New Roman"/>
          <w:color w:val="auto"/>
        </w:rPr>
        <w:t>.</w:t>
      </w:r>
      <w:r w:rsidR="00616197" w:rsidRPr="00616197">
        <w:rPr>
          <w:rFonts w:eastAsia="Calibri" w:cs="Times New Roman"/>
          <w:color w:val="auto"/>
          <w:szCs w:val="24"/>
        </w:rPr>
        <w:t xml:space="preserve"> </w:t>
      </w:r>
      <w:r w:rsidR="00616197">
        <w:rPr>
          <w:rFonts w:eastAsia="Calibri" w:cs="Times New Roman"/>
          <w:color w:val="auto"/>
          <w:szCs w:val="24"/>
        </w:rPr>
        <w:t xml:space="preserve"> </w:t>
      </w:r>
      <w:r w:rsidR="00616197" w:rsidRPr="00241B01">
        <w:rPr>
          <w:rFonts w:eastAsia="Calibri" w:cs="Times New Roman"/>
          <w:color w:val="auto"/>
          <w:szCs w:val="24"/>
        </w:rPr>
        <w:t>After due deliberation, considering all of the evidence and mindful of VASRD §4.3 (reasonabl</w:t>
      </w:r>
      <w:r w:rsidR="00616197">
        <w:rPr>
          <w:rFonts w:eastAsia="Calibri" w:cs="Times New Roman"/>
          <w:color w:val="auto"/>
          <w:szCs w:val="24"/>
        </w:rPr>
        <w:t xml:space="preserve">e doubt), the Board recommends </w:t>
      </w:r>
      <w:r w:rsidR="00616197">
        <w:rPr>
          <w:rFonts w:eastAsia="Calibri" w:cs="Times New Roman"/>
          <w:color w:val="auto"/>
          <w:szCs w:val="24"/>
        </w:rPr>
        <w:lastRenderedPageBreak/>
        <w:t>separate</w:t>
      </w:r>
      <w:r w:rsidR="005B032D">
        <w:rPr>
          <w:rFonts w:eastAsia="Calibri" w:cs="Times New Roman"/>
          <w:color w:val="auto"/>
          <w:szCs w:val="24"/>
        </w:rPr>
        <w:t xml:space="preserve"> </w:t>
      </w:r>
      <w:bookmarkStart w:id="0" w:name="_GoBack"/>
      <w:bookmarkEnd w:id="0"/>
      <w:r w:rsidR="00616197" w:rsidRPr="00241B01">
        <w:rPr>
          <w:rFonts w:eastAsia="Calibri" w:cs="Times New Roman"/>
          <w:color w:val="auto"/>
          <w:szCs w:val="24"/>
        </w:rPr>
        <w:t>disability rating</w:t>
      </w:r>
      <w:r w:rsidR="00616197">
        <w:rPr>
          <w:rFonts w:eastAsia="Calibri" w:cs="Times New Roman"/>
          <w:color w:val="auto"/>
          <w:szCs w:val="24"/>
        </w:rPr>
        <w:t>s of 10% for the right knee condition and 0% for the left knee condition.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324903" w:rsidRDefault="00AD2379" w:rsidP="00324903">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616197">
        <w:rPr>
          <w:rFonts w:cs="Times New Roman"/>
          <w:color w:val="auto"/>
        </w:rPr>
        <w:t xml:space="preserve"> </w:t>
      </w:r>
      <w:r w:rsidR="00241B01" w:rsidRPr="00241B01">
        <w:rPr>
          <w:rFonts w:eastAsia="Calibri" w:cs="Times New Roman"/>
          <w:color w:val="auto"/>
          <w:szCs w:val="24"/>
        </w:rPr>
        <w:t xml:space="preserve">As discussed above, PEB reliance on </w:t>
      </w:r>
      <w:r w:rsidR="00241B01" w:rsidRPr="005B032D">
        <w:rPr>
          <w:rFonts w:eastAsia="Calibri" w:cs="Times New Roman"/>
          <w:color w:val="auto"/>
          <w:szCs w:val="24"/>
        </w:rPr>
        <w:t>the USAPDA pain</w:t>
      </w:r>
      <w:r w:rsidR="00241B01" w:rsidRPr="00241B01">
        <w:rPr>
          <w:rFonts w:eastAsia="Calibri" w:cs="Times New Roman"/>
          <w:color w:val="auto"/>
          <w:szCs w:val="24"/>
        </w:rPr>
        <w:t xml:space="preserve"> policy for rating </w:t>
      </w:r>
      <w:r w:rsidR="00616197">
        <w:rPr>
          <w:rFonts w:eastAsia="Calibri" w:cs="Times New Roman"/>
          <w:color w:val="auto"/>
          <w:szCs w:val="24"/>
        </w:rPr>
        <w:t>the knee condition</w:t>
      </w:r>
      <w:r w:rsidR="00241B01" w:rsidRPr="00241B01">
        <w:rPr>
          <w:rFonts w:eastAsia="Calibri" w:cs="Times New Roman"/>
          <w:color w:val="auto"/>
          <w:szCs w:val="24"/>
        </w:rPr>
        <w:t xml:space="preserve"> was operant in this case and </w:t>
      </w:r>
      <w:r w:rsidR="001A3A20">
        <w:rPr>
          <w:rFonts w:eastAsia="Calibri" w:cs="Times New Roman"/>
          <w:color w:val="auto"/>
          <w:szCs w:val="24"/>
        </w:rPr>
        <w:t>it</w:t>
      </w:r>
      <w:r w:rsidR="00241B01" w:rsidRPr="00241B01">
        <w:rPr>
          <w:rFonts w:eastAsia="Calibri" w:cs="Times New Roman"/>
          <w:color w:val="auto"/>
          <w:szCs w:val="24"/>
        </w:rPr>
        <w:t xml:space="preserve"> was adjudicated independently of that policy by the Board. </w:t>
      </w:r>
      <w:r w:rsidR="00324903">
        <w:rPr>
          <w:rFonts w:eastAsia="Calibri" w:cs="Times New Roman"/>
          <w:color w:val="auto"/>
          <w:szCs w:val="24"/>
        </w:rPr>
        <w:t xml:space="preserve"> </w:t>
      </w:r>
      <w:r w:rsidR="00324903" w:rsidRPr="00324903">
        <w:rPr>
          <w:rFonts w:eastAsia="Calibri" w:cs="Times New Roman"/>
          <w:color w:val="auto"/>
          <w:szCs w:val="24"/>
        </w:rPr>
        <w:t xml:space="preserve">In the matter of the bilateral </w:t>
      </w:r>
      <w:r w:rsidR="00324903">
        <w:rPr>
          <w:rFonts w:eastAsia="Calibri" w:cs="Times New Roman"/>
          <w:color w:val="auto"/>
          <w:szCs w:val="24"/>
        </w:rPr>
        <w:t>knee</w:t>
      </w:r>
      <w:r w:rsidR="00324903" w:rsidRPr="00324903">
        <w:rPr>
          <w:rFonts w:eastAsia="Calibri" w:cs="Times New Roman"/>
          <w:color w:val="auto"/>
          <w:szCs w:val="24"/>
        </w:rPr>
        <w:t xml:space="preserve"> condition, the Board unanimously recommends that each joint be separately rated as follows:  an unfitting right </w:t>
      </w:r>
      <w:r w:rsidR="00324903">
        <w:rPr>
          <w:rFonts w:eastAsia="Calibri" w:cs="Times New Roman"/>
          <w:color w:val="auto"/>
          <w:szCs w:val="24"/>
        </w:rPr>
        <w:t>knee</w:t>
      </w:r>
      <w:r w:rsidR="00324903" w:rsidRPr="00324903">
        <w:rPr>
          <w:rFonts w:eastAsia="Calibri" w:cs="Times New Roman"/>
          <w:color w:val="auto"/>
          <w:szCs w:val="24"/>
        </w:rPr>
        <w:t xml:space="preserve"> condition coded </w:t>
      </w:r>
      <w:r w:rsidR="00324903">
        <w:rPr>
          <w:rFonts w:eastAsia="Calibri" w:cs="Times New Roman"/>
          <w:color w:val="auto"/>
          <w:szCs w:val="24"/>
        </w:rPr>
        <w:t>5099-5010</w:t>
      </w:r>
      <w:r w:rsidR="00324903" w:rsidRPr="00324903">
        <w:rPr>
          <w:rFonts w:eastAsia="Calibri" w:cs="Times New Roman"/>
          <w:color w:val="auto"/>
          <w:szCs w:val="24"/>
        </w:rPr>
        <w:t xml:space="preserve"> and rated </w:t>
      </w:r>
      <w:r w:rsidR="00324903">
        <w:rPr>
          <w:rFonts w:eastAsia="Calibri" w:cs="Times New Roman"/>
          <w:color w:val="auto"/>
          <w:szCs w:val="24"/>
        </w:rPr>
        <w:t>1</w:t>
      </w:r>
      <w:r w:rsidR="00324903" w:rsidRPr="00324903">
        <w:rPr>
          <w:rFonts w:eastAsia="Calibri" w:cs="Times New Roman"/>
          <w:color w:val="auto"/>
          <w:szCs w:val="24"/>
        </w:rPr>
        <w:t xml:space="preserve">0%, and an unfitting left </w:t>
      </w:r>
      <w:r w:rsidR="00324903">
        <w:rPr>
          <w:rFonts w:eastAsia="Calibri" w:cs="Times New Roman"/>
          <w:color w:val="auto"/>
          <w:szCs w:val="24"/>
        </w:rPr>
        <w:t>knee</w:t>
      </w:r>
      <w:r w:rsidR="00324903" w:rsidRPr="00324903">
        <w:rPr>
          <w:rFonts w:eastAsia="Calibri" w:cs="Times New Roman"/>
          <w:color w:val="auto"/>
          <w:szCs w:val="24"/>
        </w:rPr>
        <w:t xml:space="preserve"> condition, coded </w:t>
      </w:r>
      <w:r w:rsidR="00324903">
        <w:rPr>
          <w:rFonts w:eastAsia="Calibri" w:cs="Times New Roman"/>
          <w:color w:val="auto"/>
          <w:szCs w:val="24"/>
        </w:rPr>
        <w:t>5099-5024</w:t>
      </w:r>
      <w:r w:rsidR="00324903" w:rsidRPr="00324903">
        <w:rPr>
          <w:rFonts w:eastAsia="Calibri" w:cs="Times New Roman"/>
          <w:color w:val="auto"/>
          <w:szCs w:val="24"/>
        </w:rPr>
        <w:t xml:space="preserve"> and rated 0%, both IAW VASRD §4.71a.  </w:t>
      </w:r>
      <w:r w:rsidR="00324903"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324903" w:rsidRDefault="00AD2379" w:rsidP="00324903">
      <w:pPr>
        <w:jc w:val="both"/>
        <w:rPr>
          <w:rFonts w:eastAsia="Calibri" w:cs="Times New Roman"/>
          <w:color w:val="000080"/>
          <w:szCs w:val="24"/>
        </w:rPr>
      </w:pPr>
      <w:r w:rsidRPr="009A7578">
        <w:rPr>
          <w:color w:val="000000"/>
          <w:u w:val="single"/>
        </w:rPr>
        <w:t>RECOMMENDATION</w:t>
      </w:r>
      <w:r w:rsidRPr="009A7578">
        <w:rPr>
          <w:color w:val="000000"/>
        </w:rPr>
        <w:t xml:space="preserve">: </w:t>
      </w:r>
      <w:r w:rsidR="00324903" w:rsidRPr="00565636">
        <w:rPr>
          <w:rFonts w:eastAsia="Calibri" w:cs="Times New Roman"/>
          <w:color w:val="auto"/>
          <w:szCs w:val="24"/>
        </w:rPr>
        <w:t>The Board recommends that the CI’s prior determination be modified as follows, effective as of the date of his prior medical separation</w:t>
      </w:r>
      <w:r w:rsidR="00324903">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324903" w:rsidP="00BF0E94">
            <w:pPr>
              <w:tabs>
                <w:tab w:val="left" w:pos="288"/>
                <w:tab w:val="left" w:pos="4752"/>
              </w:tabs>
              <w:jc w:val="left"/>
              <w:rPr>
                <w:color w:val="000000"/>
              </w:rPr>
            </w:pPr>
            <w:r>
              <w:rPr>
                <w:color w:val="000000"/>
              </w:rPr>
              <w:t>Surgical Residuals, Right Knee</w:t>
            </w:r>
          </w:p>
        </w:tc>
        <w:tc>
          <w:tcPr>
            <w:tcW w:w="1530" w:type="dxa"/>
            <w:vAlign w:val="center"/>
          </w:tcPr>
          <w:p w:rsidR="00AD2379" w:rsidRPr="000D5DBE" w:rsidRDefault="00324903" w:rsidP="00BF0E94">
            <w:pPr>
              <w:tabs>
                <w:tab w:val="left" w:pos="288"/>
                <w:tab w:val="left" w:pos="4752"/>
              </w:tabs>
              <w:rPr>
                <w:color w:val="000000"/>
              </w:rPr>
            </w:pPr>
            <w:r>
              <w:rPr>
                <w:rFonts w:eastAsia="Calibri" w:cs="Times New Roman"/>
                <w:color w:val="auto"/>
                <w:szCs w:val="24"/>
              </w:rPr>
              <w:t>5099-5010</w:t>
            </w:r>
          </w:p>
        </w:tc>
        <w:tc>
          <w:tcPr>
            <w:tcW w:w="1026" w:type="dxa"/>
            <w:vAlign w:val="center"/>
          </w:tcPr>
          <w:p w:rsidR="00AD2379" w:rsidRPr="000D5DBE" w:rsidRDefault="00324903" w:rsidP="00BF0E94">
            <w:pPr>
              <w:tabs>
                <w:tab w:val="left" w:pos="288"/>
                <w:tab w:val="left" w:pos="4752"/>
              </w:tabs>
              <w:rPr>
                <w:color w:val="000000"/>
              </w:rPr>
            </w:pPr>
            <w:r>
              <w:rPr>
                <w:color w:val="000000"/>
              </w:rPr>
              <w:t>1</w:t>
            </w:r>
            <w:r w:rsidR="00AD2379" w:rsidRPr="000D5DBE">
              <w:rPr>
                <w:color w:val="000000"/>
              </w:rPr>
              <w:t>0%</w:t>
            </w:r>
          </w:p>
        </w:tc>
      </w:tr>
      <w:tr w:rsidR="00324903" w:rsidRPr="000D5DBE" w:rsidTr="00C42AED">
        <w:trPr>
          <w:jc w:val="center"/>
        </w:trPr>
        <w:tc>
          <w:tcPr>
            <w:tcW w:w="6768" w:type="dxa"/>
            <w:vAlign w:val="center"/>
          </w:tcPr>
          <w:p w:rsidR="00324903" w:rsidRDefault="00324903" w:rsidP="00324903">
            <w:pPr>
              <w:tabs>
                <w:tab w:val="left" w:pos="288"/>
                <w:tab w:val="left" w:pos="4752"/>
              </w:tabs>
              <w:jc w:val="left"/>
              <w:rPr>
                <w:color w:val="000000"/>
              </w:rPr>
            </w:pPr>
            <w:r>
              <w:rPr>
                <w:color w:val="000000"/>
              </w:rPr>
              <w:t>Left Knee Pain</w:t>
            </w:r>
          </w:p>
        </w:tc>
        <w:tc>
          <w:tcPr>
            <w:tcW w:w="1530" w:type="dxa"/>
            <w:vAlign w:val="center"/>
          </w:tcPr>
          <w:p w:rsidR="00324903" w:rsidRPr="000D5DBE" w:rsidRDefault="00324903" w:rsidP="00324903">
            <w:pPr>
              <w:tabs>
                <w:tab w:val="left" w:pos="288"/>
                <w:tab w:val="left" w:pos="4752"/>
              </w:tabs>
              <w:rPr>
                <w:color w:val="000000"/>
              </w:rPr>
            </w:pPr>
            <w:r>
              <w:rPr>
                <w:rFonts w:eastAsia="Calibri" w:cs="Times New Roman"/>
                <w:color w:val="auto"/>
                <w:szCs w:val="24"/>
              </w:rPr>
              <w:t>5099-5024</w:t>
            </w:r>
          </w:p>
        </w:tc>
        <w:tc>
          <w:tcPr>
            <w:tcW w:w="1026" w:type="dxa"/>
            <w:vAlign w:val="center"/>
          </w:tcPr>
          <w:p w:rsidR="00324903" w:rsidRPr="000D5DBE" w:rsidRDefault="00324903" w:rsidP="00324903">
            <w:pPr>
              <w:tabs>
                <w:tab w:val="left" w:pos="288"/>
                <w:tab w:val="left" w:pos="4752"/>
              </w:tabs>
              <w:rPr>
                <w:color w:val="000000"/>
              </w:rPr>
            </w:pPr>
            <w:r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324903"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w:t>
      </w:r>
      <w:r w:rsidRPr="0096073C">
        <w:rPr>
          <w:color w:val="000000"/>
        </w:rPr>
        <w:t>dated 2011</w:t>
      </w:r>
      <w:r w:rsidR="0096073C" w:rsidRPr="0096073C">
        <w:rPr>
          <w:color w:val="000000"/>
        </w:rPr>
        <w:t>1010</w:t>
      </w:r>
      <w:r w:rsidRPr="0096073C">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5B032D">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5B032D">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FF4EC4">
        <w:rPr>
          <w:color w:val="000000"/>
        </w:rPr>
        <w:t>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FF4EC4" w:rsidRDefault="00AD2379" w:rsidP="00BF0E94">
      <w:pPr>
        <w:tabs>
          <w:tab w:val="left" w:pos="0"/>
          <w:tab w:val="left" w:pos="4320"/>
        </w:tabs>
        <w:jc w:val="both"/>
        <w:rPr>
          <w:color w:val="000000"/>
        </w:rPr>
      </w:pPr>
      <w:r w:rsidRPr="001F29F9">
        <w:rPr>
          <w:color w:val="000000"/>
        </w:rPr>
        <w:tab/>
        <w:t xml:space="preserve">           Physical Disability Board of Review</w:t>
      </w:r>
    </w:p>
    <w:p w:rsidR="00FF4EC4" w:rsidRDefault="00FF4EC4">
      <w:pPr>
        <w:spacing w:line="240" w:lineRule="auto"/>
        <w:jc w:val="left"/>
        <w:rPr>
          <w:color w:val="000000"/>
        </w:rPr>
      </w:pPr>
      <w:r>
        <w:rPr>
          <w:color w:val="000000"/>
        </w:rPr>
        <w:br w:type="page"/>
      </w:r>
    </w:p>
    <w:p w:rsidR="00FF4EC4" w:rsidRDefault="00FF4EC4" w:rsidP="00FF4EC4">
      <w:pPr>
        <w:sectPr w:rsidR="00FF4EC4">
          <w:pgSz w:w="12240" w:h="15840"/>
          <w:pgMar w:top="2160" w:right="1440" w:bottom="1440" w:left="1440" w:header="720" w:footer="720" w:gutter="0"/>
          <w:cols w:space="720"/>
        </w:sectPr>
      </w:pPr>
    </w:p>
    <w:p w:rsidR="00FF4EC4" w:rsidRDefault="00FF4EC4" w:rsidP="00FF4EC4">
      <w:pPr>
        <w:pStyle w:val="Header"/>
        <w:tabs>
          <w:tab w:val="left" w:pos="720"/>
        </w:tabs>
        <w:jc w:val="left"/>
      </w:pPr>
      <w:r>
        <w:t>SFMR-RB</w:t>
      </w:r>
      <w:r>
        <w:tab/>
      </w:r>
      <w:r>
        <w:tab/>
      </w:r>
      <w:r>
        <w:tab/>
      </w:r>
      <w:r>
        <w:tab/>
      </w:r>
      <w:r>
        <w:tab/>
      </w:r>
      <w:r>
        <w:tab/>
      </w:r>
      <w:r>
        <w:tab/>
      </w:r>
      <w:r>
        <w:tab/>
      </w:r>
      <w:r>
        <w:tab/>
      </w:r>
    </w:p>
    <w:p w:rsidR="00FF4EC4" w:rsidRDefault="00FF4EC4" w:rsidP="00FF4EC4">
      <w:pPr>
        <w:pStyle w:val="Header"/>
        <w:tabs>
          <w:tab w:val="left" w:pos="720"/>
        </w:tabs>
        <w:jc w:val="left"/>
      </w:pPr>
    </w:p>
    <w:p w:rsidR="00FF4EC4" w:rsidRDefault="00FF4EC4" w:rsidP="00FF4EC4">
      <w:pPr>
        <w:jc w:val="left"/>
      </w:pPr>
    </w:p>
    <w:p w:rsidR="00FF4EC4" w:rsidRDefault="00FF4EC4" w:rsidP="00FF4EC4">
      <w:pPr>
        <w:jc w:val="left"/>
      </w:pPr>
      <w:r>
        <w:t xml:space="preserve">MEMORANDUM FOR Commander, US Army Physical Disability Agency </w:t>
      </w:r>
    </w:p>
    <w:p w:rsidR="00FF4EC4" w:rsidRDefault="00FF4EC4" w:rsidP="00FF4EC4">
      <w:pPr>
        <w:jc w:val="left"/>
      </w:pPr>
      <w:r>
        <w:t xml:space="preserve">(TAPD-ZB </w:t>
      </w:r>
      <w:proofErr w:type="gramStart"/>
      <w:r>
        <w:t>/  )</w:t>
      </w:r>
      <w:proofErr w:type="gramEnd"/>
      <w:r>
        <w:t>, 2900 Crystal Drive, Suite 300, Arlington, VA  22202</w:t>
      </w:r>
    </w:p>
    <w:p w:rsidR="00FF4EC4" w:rsidRDefault="00FF4EC4" w:rsidP="00FF4EC4">
      <w:pPr>
        <w:jc w:val="left"/>
      </w:pPr>
    </w:p>
    <w:p w:rsidR="00FF4EC4" w:rsidRDefault="00FF4EC4" w:rsidP="00FF4EC4">
      <w:pPr>
        <w:ind w:right="-180"/>
        <w:jc w:val="left"/>
      </w:pPr>
      <w:r>
        <w:t xml:space="preserve">SUBJECT:  Department of Defense Physical Disability Board of Review Recommendation </w:t>
      </w:r>
    </w:p>
    <w:p w:rsidR="00FF4EC4" w:rsidRDefault="00FF4EC4" w:rsidP="00FF4EC4">
      <w:pPr>
        <w:pStyle w:val="Header"/>
        <w:tabs>
          <w:tab w:val="left" w:pos="720"/>
        </w:tabs>
        <w:jc w:val="left"/>
      </w:pPr>
      <w:proofErr w:type="gramStart"/>
      <w:r>
        <w:t>for</w:t>
      </w:r>
      <w:proofErr w:type="gramEnd"/>
      <w:r>
        <w:t xml:space="preserve"> XXXXXXXXXXXXXXXXXXXX, AR20120015491 (PD201100894)</w:t>
      </w:r>
    </w:p>
    <w:p w:rsidR="00FF4EC4" w:rsidRDefault="00FF4EC4" w:rsidP="00FF4EC4">
      <w:pPr>
        <w:pStyle w:val="Header"/>
        <w:tabs>
          <w:tab w:val="left" w:pos="720"/>
        </w:tabs>
        <w:jc w:val="left"/>
      </w:pPr>
    </w:p>
    <w:p w:rsidR="00FF4EC4" w:rsidRDefault="00FF4EC4" w:rsidP="00FF4EC4">
      <w:pPr>
        <w:jc w:val="left"/>
      </w:pPr>
    </w:p>
    <w:p w:rsidR="00FF4EC4" w:rsidRDefault="00FF4EC4" w:rsidP="00FF4EC4">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FF4EC4" w:rsidRDefault="00FF4EC4" w:rsidP="00FF4EC4">
      <w:pPr>
        <w:jc w:val="left"/>
      </w:pPr>
    </w:p>
    <w:p w:rsidR="00FF4EC4" w:rsidRDefault="00FF4EC4" w:rsidP="00FF4EC4">
      <w:pPr>
        <w:jc w:val="left"/>
      </w:pPr>
      <w:r>
        <w:t xml:space="preserve">2.  I direct that all the Department of the Army records of the individual concerned be corrected accordingly no later than 120 days from the date of this memorandum.   </w:t>
      </w:r>
    </w:p>
    <w:p w:rsidR="00FF4EC4" w:rsidRDefault="00FF4EC4" w:rsidP="00FF4EC4">
      <w:pPr>
        <w:jc w:val="left"/>
      </w:pPr>
    </w:p>
    <w:p w:rsidR="00FF4EC4" w:rsidRDefault="00FF4EC4" w:rsidP="00FF4EC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F4EC4" w:rsidRDefault="00FF4EC4" w:rsidP="00FF4EC4">
      <w:pPr>
        <w:jc w:val="left"/>
      </w:pPr>
    </w:p>
    <w:p w:rsidR="00FF4EC4" w:rsidRDefault="00FF4EC4" w:rsidP="00FF4EC4">
      <w:pPr>
        <w:jc w:val="left"/>
      </w:pPr>
      <w:r>
        <w:t xml:space="preserve"> BY ORDER OF THE SECRETARY OF THE ARMY:</w:t>
      </w:r>
    </w:p>
    <w:p w:rsidR="00FF4EC4" w:rsidRDefault="00FF4EC4" w:rsidP="00FF4EC4">
      <w:pPr>
        <w:jc w:val="left"/>
      </w:pPr>
    </w:p>
    <w:p w:rsidR="00FF4EC4" w:rsidRDefault="00FF4EC4" w:rsidP="00FF4EC4">
      <w:pPr>
        <w:jc w:val="left"/>
      </w:pPr>
    </w:p>
    <w:p w:rsidR="00FF4EC4" w:rsidRDefault="00FF4EC4" w:rsidP="00FF4EC4">
      <w:pPr>
        <w:pStyle w:val="Header"/>
        <w:tabs>
          <w:tab w:val="left" w:pos="720"/>
        </w:tabs>
        <w:jc w:val="left"/>
      </w:pPr>
    </w:p>
    <w:p w:rsidR="00FF4EC4" w:rsidRDefault="00FF4EC4" w:rsidP="00FF4EC4">
      <w:pPr>
        <w:jc w:val="left"/>
      </w:pPr>
    </w:p>
    <w:p w:rsidR="00FF4EC4" w:rsidRDefault="00FF4EC4" w:rsidP="00FF4EC4">
      <w:pPr>
        <w:jc w:val="left"/>
      </w:pPr>
      <w:bookmarkStart w:id="1" w:name="OLE_LINK4"/>
      <w:bookmarkStart w:id="2" w:name="OLE_LINK3"/>
      <w:r>
        <w:t>Encl</w:t>
      </w:r>
      <w:r>
        <w:tab/>
      </w:r>
      <w:r>
        <w:tab/>
      </w:r>
      <w:r>
        <w:tab/>
      </w:r>
      <w:r>
        <w:tab/>
      </w:r>
      <w:r>
        <w:tab/>
      </w:r>
      <w:r>
        <w:tab/>
        <w:t xml:space="preserve">     XXXXXXXXXXXXXXXXXXXX</w:t>
      </w:r>
    </w:p>
    <w:p w:rsidR="00FF4EC4" w:rsidRDefault="00FF4EC4" w:rsidP="00FF4EC4">
      <w:pPr>
        <w:jc w:val="left"/>
      </w:pPr>
      <w:r>
        <w:tab/>
      </w:r>
      <w:r>
        <w:tab/>
      </w:r>
      <w:r>
        <w:tab/>
      </w:r>
      <w:r>
        <w:tab/>
      </w:r>
      <w:r>
        <w:tab/>
      </w:r>
      <w:r>
        <w:tab/>
        <w:t xml:space="preserve">     Deputy Assistant Secretary</w:t>
      </w:r>
    </w:p>
    <w:p w:rsidR="00FF4EC4" w:rsidRDefault="00FF4EC4" w:rsidP="00FF4EC4">
      <w:pPr>
        <w:jc w:val="left"/>
      </w:pPr>
      <w:r>
        <w:tab/>
      </w:r>
      <w:r>
        <w:tab/>
      </w:r>
      <w:r>
        <w:tab/>
      </w:r>
      <w:r>
        <w:tab/>
      </w:r>
      <w:r>
        <w:tab/>
      </w:r>
      <w:r>
        <w:tab/>
        <w:t xml:space="preserve">         (Army Review Boards)</w:t>
      </w:r>
      <w:bookmarkEnd w:id="1"/>
      <w:bookmarkEnd w:id="2"/>
    </w:p>
    <w:p w:rsidR="00FF4EC4" w:rsidRDefault="00FF4EC4" w:rsidP="00FF4EC4">
      <w:pPr>
        <w:jc w:val="left"/>
      </w:pPr>
    </w:p>
    <w:p w:rsidR="00FF4EC4" w:rsidRDefault="00FF4EC4" w:rsidP="00FF4EC4">
      <w:pPr>
        <w:jc w:val="left"/>
      </w:pPr>
      <w:r>
        <w:t xml:space="preserve">CF: </w:t>
      </w:r>
    </w:p>
    <w:p w:rsidR="00FF4EC4" w:rsidRDefault="00FF4EC4" w:rsidP="00FF4EC4">
      <w:pPr>
        <w:jc w:val="left"/>
      </w:pPr>
      <w:r>
        <w:t xml:space="preserve">(  ) </w:t>
      </w:r>
      <w:proofErr w:type="spellStart"/>
      <w:proofErr w:type="gramStart"/>
      <w:r>
        <w:t>DoD</w:t>
      </w:r>
      <w:proofErr w:type="spellEnd"/>
      <w:proofErr w:type="gramEnd"/>
      <w:r>
        <w:t xml:space="preserve"> PDBR</w:t>
      </w:r>
    </w:p>
    <w:p w:rsidR="00FF4EC4" w:rsidRDefault="00FF4EC4" w:rsidP="00FF4EC4">
      <w:pPr>
        <w:jc w:val="left"/>
      </w:pPr>
      <w:r>
        <w:t>(  ) DVA</w:t>
      </w:r>
    </w:p>
    <w:p w:rsidR="00AD2379" w:rsidRPr="001F29F9" w:rsidRDefault="00AD2379" w:rsidP="00BF0E94">
      <w:pPr>
        <w:tabs>
          <w:tab w:val="left" w:pos="0"/>
          <w:tab w:val="left" w:pos="4320"/>
        </w:tabs>
        <w:jc w:val="both"/>
        <w:rPr>
          <w:color w:val="000000"/>
        </w:rPr>
      </w:pPr>
    </w:p>
    <w:sectPr w:rsidR="00AD2379" w:rsidRPr="001F29F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C8" w:rsidRDefault="00CA01C8">
      <w:r>
        <w:separator/>
      </w:r>
    </w:p>
  </w:endnote>
  <w:endnote w:type="continuationSeparator" w:id="0">
    <w:p w:rsidR="00CA01C8" w:rsidRDefault="00CA0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784675" w:rsidRPr="00784675">
      <w:fldChar w:fldCharType="begin"/>
    </w:r>
    <w:r w:rsidR="0060686F">
      <w:instrText xml:space="preserve"> PAGE   \* MERGEFORMAT </w:instrText>
    </w:r>
    <w:r w:rsidR="00784675" w:rsidRPr="00784675">
      <w:fldChar w:fldCharType="separate"/>
    </w:r>
    <w:r w:rsidR="00FF4EC4" w:rsidRPr="00FF4EC4">
      <w:rPr>
        <w:noProof/>
        <w:color w:val="auto"/>
      </w:rPr>
      <w:t>4</w:t>
    </w:r>
    <w:r w:rsidR="00784675">
      <w:rPr>
        <w:noProof/>
        <w:color w:val="auto"/>
      </w:rPr>
      <w:fldChar w:fldCharType="end"/>
    </w:r>
    <w:r w:rsidRPr="00374247">
      <w:rPr>
        <w:color w:val="auto"/>
      </w:rPr>
      <w:t xml:space="preserve">                                                           </w:t>
    </w:r>
    <w:r w:rsidRPr="001D64F3">
      <w:rPr>
        <w:color w:val="auto"/>
      </w:rPr>
      <w:t>PD1</w:t>
    </w:r>
    <w:r w:rsidRPr="009369A6">
      <w:rPr>
        <w:color w:val="auto"/>
      </w:rPr>
      <w:t>100657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C8" w:rsidRDefault="00CA01C8">
      <w:r>
        <w:separator/>
      </w:r>
    </w:p>
  </w:footnote>
  <w:footnote w:type="continuationSeparator" w:id="0">
    <w:p w:rsidR="00CA01C8" w:rsidRDefault="00CA0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2B51"/>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270F5"/>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13D5"/>
    <w:rsid w:val="00082482"/>
    <w:rsid w:val="00082CA0"/>
    <w:rsid w:val="00083F73"/>
    <w:rsid w:val="000848B5"/>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4BF5"/>
    <w:rsid w:val="000A5071"/>
    <w:rsid w:val="000A6302"/>
    <w:rsid w:val="000B0AD2"/>
    <w:rsid w:val="000B0B48"/>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943"/>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619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DC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4506"/>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30A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903"/>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B06"/>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5E26"/>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1F8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EE"/>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4CF"/>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337B"/>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3222"/>
    <w:rsid w:val="004F3639"/>
    <w:rsid w:val="004F3BFA"/>
    <w:rsid w:val="004F4E3C"/>
    <w:rsid w:val="004F5567"/>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20"/>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32D"/>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542"/>
    <w:rsid w:val="005F67A9"/>
    <w:rsid w:val="005F6B6D"/>
    <w:rsid w:val="005F73CA"/>
    <w:rsid w:val="006002FE"/>
    <w:rsid w:val="006008F8"/>
    <w:rsid w:val="006030D3"/>
    <w:rsid w:val="006036C2"/>
    <w:rsid w:val="00605AAB"/>
    <w:rsid w:val="0060686F"/>
    <w:rsid w:val="00606BEB"/>
    <w:rsid w:val="00607AC8"/>
    <w:rsid w:val="0061010C"/>
    <w:rsid w:val="0061014A"/>
    <w:rsid w:val="0061054B"/>
    <w:rsid w:val="006110FB"/>
    <w:rsid w:val="006114BB"/>
    <w:rsid w:val="00612FB0"/>
    <w:rsid w:val="0061356D"/>
    <w:rsid w:val="00613E26"/>
    <w:rsid w:val="00615641"/>
    <w:rsid w:val="00615A66"/>
    <w:rsid w:val="00616197"/>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4145"/>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4F87"/>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7FD"/>
    <w:rsid w:val="00781BD4"/>
    <w:rsid w:val="00782562"/>
    <w:rsid w:val="007828B4"/>
    <w:rsid w:val="00782CC1"/>
    <w:rsid w:val="00784675"/>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6AB"/>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FC8"/>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DD6"/>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6B8C"/>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3AEA"/>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4ECE"/>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73C"/>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D22"/>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030"/>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49A"/>
    <w:rsid w:val="00AF25B2"/>
    <w:rsid w:val="00AF28DE"/>
    <w:rsid w:val="00AF41EE"/>
    <w:rsid w:val="00AF4A87"/>
    <w:rsid w:val="00AF4FA5"/>
    <w:rsid w:val="00AF5BB4"/>
    <w:rsid w:val="00AF6ECC"/>
    <w:rsid w:val="00B02145"/>
    <w:rsid w:val="00B022DC"/>
    <w:rsid w:val="00B04562"/>
    <w:rsid w:val="00B0472F"/>
    <w:rsid w:val="00B06930"/>
    <w:rsid w:val="00B0773A"/>
    <w:rsid w:val="00B077A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107"/>
    <w:rsid w:val="00B21F2F"/>
    <w:rsid w:val="00B22D42"/>
    <w:rsid w:val="00B23436"/>
    <w:rsid w:val="00B237F1"/>
    <w:rsid w:val="00B23F10"/>
    <w:rsid w:val="00B24328"/>
    <w:rsid w:val="00B24655"/>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39A7"/>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0BD5"/>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8EC"/>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46D0"/>
    <w:rsid w:val="00C45B27"/>
    <w:rsid w:val="00C4652E"/>
    <w:rsid w:val="00C472C7"/>
    <w:rsid w:val="00C5019E"/>
    <w:rsid w:val="00C50C75"/>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1C8"/>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1B5"/>
    <w:rsid w:val="00D26873"/>
    <w:rsid w:val="00D27C99"/>
    <w:rsid w:val="00D31683"/>
    <w:rsid w:val="00D33452"/>
    <w:rsid w:val="00D336C8"/>
    <w:rsid w:val="00D339E8"/>
    <w:rsid w:val="00D33FDD"/>
    <w:rsid w:val="00D3520E"/>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4E9A"/>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E7FC6"/>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27F9F"/>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29F3"/>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1CD7"/>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7D7"/>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1FF7"/>
    <w:rsid w:val="00F624DD"/>
    <w:rsid w:val="00F629C0"/>
    <w:rsid w:val="00F63FC7"/>
    <w:rsid w:val="00F65E1F"/>
    <w:rsid w:val="00F65ED5"/>
    <w:rsid w:val="00F6608B"/>
    <w:rsid w:val="00F6636A"/>
    <w:rsid w:val="00F667C5"/>
    <w:rsid w:val="00F6786D"/>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4A59"/>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4EC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6867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8E8E-49EA-453B-884D-0B93BABE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2012-08-22T12:25:00Z</cp:lastPrinted>
  <dcterms:created xsi:type="dcterms:W3CDTF">2012-09-13T16:12:00Z</dcterms:created>
  <dcterms:modified xsi:type="dcterms:W3CDTF">2012-09-13T16:12:00Z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