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3C53E8">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212927">
        <w:rPr>
          <w:caps/>
          <w:color w:val="000000" w:themeColor="text1"/>
        </w:rPr>
        <w:t>XXXXXXXXX</w:t>
      </w:r>
      <w:r w:rsidR="004216DA" w:rsidRPr="001F29F9">
        <w:rPr>
          <w:caps/>
          <w:color w:val="000000" w:themeColor="text1"/>
        </w:rPr>
        <w:t xml:space="preserve">             </w:t>
      </w:r>
      <w:r w:rsidR="00332DE3" w:rsidRPr="001F29F9">
        <w:rPr>
          <w:caps/>
          <w:color w:val="000000" w:themeColor="text1"/>
        </w:rPr>
        <w:t xml:space="preserve"> </w:t>
      </w:r>
      <w:r w:rsidR="004216DA" w:rsidRPr="001F29F9">
        <w:rPr>
          <w:caps/>
          <w:color w:val="000000" w:themeColor="text1"/>
        </w:rPr>
        <w:t xml:space="preserve">  </w:t>
      </w:r>
      <w:r w:rsidR="003C53E8">
        <w:rPr>
          <w:caps/>
          <w:color w:val="000000" w:themeColor="text1"/>
        </w:rPr>
        <w:tab/>
      </w:r>
      <w:r w:rsidR="00A1026A">
        <w:rPr>
          <w:caps/>
          <w:color w:val="000000" w:themeColor="text1"/>
        </w:rPr>
        <w:t xml:space="preserve">               </w:t>
      </w:r>
      <w:r w:rsidRPr="001F29F9">
        <w:rPr>
          <w:caps/>
          <w:color w:val="000000" w:themeColor="text1"/>
        </w:rPr>
        <w:t>BRANCH OF SERVICE</w:t>
      </w:r>
      <w:r w:rsidRPr="009636B6">
        <w:rPr>
          <w:caps/>
          <w:color w:val="000000" w:themeColor="text1"/>
        </w:rPr>
        <w:t xml:space="preserve">: </w:t>
      </w:r>
      <w:r w:rsidR="004C24C5" w:rsidRPr="009636B6">
        <w:rPr>
          <w:caps/>
          <w:color w:val="000000" w:themeColor="text1"/>
        </w:rPr>
        <w:t xml:space="preserve"> </w:t>
      </w:r>
      <w:r w:rsidR="00A37341" w:rsidRPr="009636B6">
        <w:rPr>
          <w:caps/>
          <w:color w:val="000000" w:themeColor="text1"/>
        </w:rPr>
        <w:t>MARINE CORPS</w:t>
      </w:r>
      <w:r w:rsidR="00332DE3" w:rsidRPr="009636B6">
        <w:rPr>
          <w:caps/>
          <w:color w:val="000000" w:themeColor="text1"/>
        </w:rPr>
        <w:t xml:space="preserve"> </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1F29F9">
        <w:rPr>
          <w:caps/>
          <w:color w:val="000000" w:themeColor="text1"/>
        </w:rPr>
        <w:t>C</w:t>
      </w:r>
      <w:r w:rsidR="00DE3AAD" w:rsidRPr="001F29F9">
        <w:rPr>
          <w:caps/>
          <w:color w:val="000000" w:themeColor="text1"/>
        </w:rPr>
        <w:t>ASE NUMBER:  PD</w:t>
      </w:r>
      <w:r w:rsidR="008F58E1" w:rsidRPr="001F29F9">
        <w:rPr>
          <w:caps/>
          <w:color w:val="000000" w:themeColor="text1"/>
        </w:rPr>
        <w:t>11</w:t>
      </w:r>
      <w:r w:rsidR="009636B6">
        <w:rPr>
          <w:caps/>
          <w:color w:val="000000" w:themeColor="text1"/>
        </w:rPr>
        <w:t>00893</w:t>
      </w:r>
      <w:r w:rsidR="00A37341">
        <w:rPr>
          <w:color w:val="000000" w:themeColor="text1"/>
        </w:rPr>
        <w:t xml:space="preserve">    </w:t>
      </w:r>
      <w:r w:rsidR="00DE3AAD" w:rsidRPr="001F29F9">
        <w:rPr>
          <w:color w:val="000000" w:themeColor="text1"/>
        </w:rPr>
        <w:t xml:space="preserve">         </w:t>
      </w:r>
      <w:r w:rsidR="00F83EB5">
        <w:rPr>
          <w:color w:val="000000" w:themeColor="text1"/>
        </w:rPr>
        <w:t xml:space="preserve">                   </w:t>
      </w:r>
      <w:r w:rsidR="005D5334">
        <w:rPr>
          <w:color w:val="000000" w:themeColor="text1"/>
        </w:rPr>
        <w:tab/>
      </w:r>
      <w:r w:rsidR="00A1026A">
        <w:rPr>
          <w:color w:val="000000" w:themeColor="text1"/>
        </w:rPr>
        <w:t xml:space="preserve">               </w:t>
      </w:r>
      <w:r w:rsidR="00DE3AAD" w:rsidRPr="001F29F9">
        <w:rPr>
          <w:color w:val="000000" w:themeColor="text1"/>
        </w:rPr>
        <w:t>SEPARATION DATE:  200</w:t>
      </w:r>
      <w:r w:rsidR="00A37341">
        <w:rPr>
          <w:color w:val="000000" w:themeColor="text1"/>
        </w:rPr>
        <w:t>31015</w:t>
      </w:r>
    </w:p>
    <w:p w:rsidR="0084089C" w:rsidRDefault="001B00E4" w:rsidP="00BF0E94">
      <w:pPr>
        <w:tabs>
          <w:tab w:val="left" w:pos="288"/>
          <w:tab w:val="left" w:pos="5130"/>
        </w:tabs>
        <w:jc w:val="both"/>
        <w:rPr>
          <w:caps/>
          <w:color w:val="000000" w:themeColor="text1"/>
        </w:rPr>
      </w:pPr>
      <w:r>
        <w:rPr>
          <w:caps/>
          <w:color w:val="000000" w:themeColor="text1"/>
        </w:rPr>
        <w:t>BOARD DATE:  2012</w:t>
      </w:r>
      <w:r w:rsidR="0084089C">
        <w:rPr>
          <w:caps/>
          <w:color w:val="000000" w:themeColor="text1"/>
        </w:rPr>
        <w:t>0409</w:t>
      </w:r>
    </w:p>
    <w:p w:rsidR="003C53E8" w:rsidRDefault="003C53E8" w:rsidP="003C53E8">
      <w:pPr>
        <w:pBdr>
          <w:bottom w:val="single" w:sz="12" w:space="1" w:color="auto"/>
        </w:pBdr>
        <w:tabs>
          <w:tab w:val="left" w:pos="288"/>
          <w:tab w:val="left" w:pos="4752"/>
        </w:tabs>
        <w:jc w:val="both"/>
        <w:rPr>
          <w:color w:val="000000" w:themeColor="text1"/>
        </w:rPr>
      </w:pPr>
    </w:p>
    <w:p w:rsidR="00A1026A" w:rsidRDefault="00A1026A" w:rsidP="00F571C3">
      <w:pPr>
        <w:tabs>
          <w:tab w:val="left" w:pos="288"/>
          <w:tab w:val="left" w:pos="4752"/>
        </w:tabs>
        <w:jc w:val="both"/>
        <w:rPr>
          <w:color w:val="000000" w:themeColor="text1"/>
        </w:rPr>
      </w:pPr>
    </w:p>
    <w:p w:rsidR="008266EB" w:rsidRPr="001F29F9" w:rsidRDefault="00FB0E80" w:rsidP="008266EB">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E322F7" w:rsidRPr="001F29F9">
        <w:rPr>
          <w:color w:val="000000" w:themeColor="text1"/>
          <w:szCs w:val="24"/>
        </w:rPr>
        <w:t>an active duty</w:t>
      </w:r>
      <w:r w:rsidR="006D4E0E" w:rsidRPr="001F29F9">
        <w:rPr>
          <w:color w:val="000000" w:themeColor="text1"/>
          <w:szCs w:val="24"/>
        </w:rPr>
        <w:t xml:space="preserve"> </w:t>
      </w:r>
      <w:r w:rsidR="00661BA2" w:rsidRPr="001F29F9">
        <w:rPr>
          <w:color w:val="000000" w:themeColor="text1"/>
          <w:szCs w:val="24"/>
        </w:rPr>
        <w:t>S</w:t>
      </w:r>
      <w:r w:rsidR="00A1026A">
        <w:rPr>
          <w:color w:val="000000" w:themeColor="text1"/>
          <w:szCs w:val="24"/>
        </w:rPr>
        <w:t>gt</w:t>
      </w:r>
      <w:r w:rsidR="00661BA2" w:rsidRPr="001F29F9">
        <w:rPr>
          <w:color w:val="000000" w:themeColor="text1"/>
          <w:szCs w:val="24"/>
        </w:rPr>
        <w:t>/E-5</w:t>
      </w:r>
      <w:r w:rsidR="00705C40" w:rsidRPr="001F29F9">
        <w:rPr>
          <w:color w:val="000000" w:themeColor="text1"/>
          <w:szCs w:val="24"/>
        </w:rPr>
        <w:t xml:space="preserve"> </w:t>
      </w:r>
      <w:r w:rsidR="00705C40" w:rsidRPr="00644A8D">
        <w:rPr>
          <w:color w:val="000000" w:themeColor="text1"/>
          <w:szCs w:val="24"/>
        </w:rPr>
        <w:t>(</w:t>
      </w:r>
      <w:r w:rsidR="00644A8D" w:rsidRPr="00644A8D">
        <w:rPr>
          <w:color w:val="000000" w:themeColor="text1"/>
          <w:szCs w:val="24"/>
        </w:rPr>
        <w:t>2847</w:t>
      </w:r>
      <w:r w:rsidR="00E24A16">
        <w:rPr>
          <w:color w:val="000000" w:themeColor="text1"/>
          <w:szCs w:val="24"/>
        </w:rPr>
        <w:t>/Telephone Systems</w:t>
      </w:r>
      <w:r w:rsidR="00644A8D" w:rsidRPr="00644A8D">
        <w:rPr>
          <w:color w:val="000000" w:themeColor="text1"/>
          <w:szCs w:val="24"/>
        </w:rPr>
        <w:t>/Personal Computer Intermediate Repairman</w:t>
      </w:r>
      <w:r w:rsidR="00E322F7" w:rsidRPr="001F29F9">
        <w:rPr>
          <w:color w:val="000000" w:themeColor="text1"/>
          <w:szCs w:val="24"/>
        </w:rPr>
        <w:t>)</w:t>
      </w:r>
      <w:r w:rsidR="00C75F3D" w:rsidRPr="001F29F9">
        <w:rPr>
          <w:color w:val="000000" w:themeColor="text1"/>
          <w:szCs w:val="24"/>
        </w:rPr>
        <w:t xml:space="preserve">, </w:t>
      </w:r>
      <w:r w:rsidR="002C6E5B" w:rsidRPr="001F29F9">
        <w:rPr>
          <w:color w:val="000000" w:themeColor="text1"/>
          <w:szCs w:val="24"/>
        </w:rPr>
        <w:t xml:space="preserve">medically separated for </w:t>
      </w:r>
      <w:r w:rsidR="00982F4F">
        <w:rPr>
          <w:color w:val="000000" w:themeColor="text1"/>
          <w:szCs w:val="24"/>
        </w:rPr>
        <w:t xml:space="preserve">bilateral chronic ankle instability.  </w:t>
      </w:r>
      <w:r w:rsidR="00A1026A">
        <w:rPr>
          <w:color w:val="000000" w:themeColor="text1"/>
          <w:szCs w:val="24"/>
        </w:rPr>
        <w:t>H</w:t>
      </w:r>
      <w:r w:rsidR="00DA3B23" w:rsidRPr="0003725D">
        <w:rPr>
          <w:color w:val="000000" w:themeColor="text1"/>
          <w:szCs w:val="24"/>
        </w:rPr>
        <w:t xml:space="preserve">e did not respond adequately to treatment and was unable to </w:t>
      </w:r>
      <w:r w:rsidR="00AA5A70">
        <w:rPr>
          <w:color w:val="000000" w:themeColor="text1"/>
          <w:szCs w:val="24"/>
        </w:rPr>
        <w:t>deploy</w:t>
      </w:r>
      <w:r w:rsidR="00DA3B23" w:rsidRPr="0003725D">
        <w:rPr>
          <w:color w:val="000000" w:themeColor="text1"/>
          <w:szCs w:val="24"/>
        </w:rPr>
        <w:t xml:space="preserve"> or meet physical fitness standards.  </w:t>
      </w:r>
      <w:r w:rsidR="00AA5A70">
        <w:rPr>
          <w:color w:val="000000" w:themeColor="text1"/>
          <w:szCs w:val="24"/>
        </w:rPr>
        <w:t xml:space="preserve">He did perform </w:t>
      </w:r>
      <w:r w:rsidR="00AA5A70" w:rsidRPr="0003725D">
        <w:rPr>
          <w:color w:val="000000" w:themeColor="text1"/>
          <w:szCs w:val="24"/>
        </w:rPr>
        <w:t>within his Military Occupational Specialty (MOS)</w:t>
      </w:r>
      <w:r w:rsidR="00AA5A70">
        <w:rPr>
          <w:color w:val="000000" w:themeColor="text1"/>
          <w:szCs w:val="24"/>
        </w:rPr>
        <w:t xml:space="preserve">. </w:t>
      </w:r>
      <w:r w:rsidR="00AA5A70" w:rsidRPr="0003725D">
        <w:rPr>
          <w:color w:val="000000" w:themeColor="text1"/>
          <w:szCs w:val="24"/>
        </w:rPr>
        <w:t xml:space="preserve"> </w:t>
      </w:r>
      <w:r w:rsidR="00DA3B23" w:rsidRPr="0003725D">
        <w:rPr>
          <w:color w:val="000000" w:themeColor="text1"/>
          <w:szCs w:val="24"/>
        </w:rPr>
        <w:t xml:space="preserve">He was placed on limited duty </w:t>
      </w:r>
      <w:r w:rsidR="001B00E4">
        <w:rPr>
          <w:color w:val="000000" w:themeColor="text1"/>
          <w:szCs w:val="24"/>
        </w:rPr>
        <w:t xml:space="preserve">(LIMDU) </w:t>
      </w:r>
      <w:r w:rsidR="00DA3B23" w:rsidRPr="0003725D">
        <w:rPr>
          <w:color w:val="000000" w:themeColor="text1"/>
          <w:szCs w:val="24"/>
        </w:rPr>
        <w:t>and underwent a Medical Evaluation Board (MEB).</w:t>
      </w:r>
      <w:r w:rsidR="008266EB" w:rsidRPr="0003725D">
        <w:rPr>
          <w:color w:val="000000" w:themeColor="text1"/>
          <w:szCs w:val="24"/>
        </w:rPr>
        <w:t xml:space="preserve">  Bilateral chronic ankle instability and recurrent fracture of clavicle” </w:t>
      </w:r>
      <w:r w:rsidR="000A33C8" w:rsidRPr="0003725D">
        <w:rPr>
          <w:color w:val="000000" w:themeColor="text1"/>
          <w:szCs w:val="24"/>
        </w:rPr>
        <w:t xml:space="preserve">were forwarded to the Physical Evaluation Board (PEB) as medically unacceptable IAW </w:t>
      </w:r>
      <w:r w:rsidR="00AB1F8D" w:rsidRPr="0003725D">
        <w:rPr>
          <w:color w:val="000000" w:themeColor="text1"/>
          <w:szCs w:val="24"/>
        </w:rPr>
        <w:t>SECNAVINST 1850.4E</w:t>
      </w:r>
      <w:r w:rsidR="008266EB" w:rsidRPr="0003725D">
        <w:rPr>
          <w:color w:val="000000" w:themeColor="text1"/>
          <w:szCs w:val="24"/>
        </w:rPr>
        <w:t xml:space="preserve">.  No other conditions appeared on the MEB’s submission.  Other conditions included in the Disability Evaluation System (DES) packet will be discussed below.  </w:t>
      </w:r>
      <w:r w:rsidR="00E24A16">
        <w:rPr>
          <w:color w:val="000000" w:themeColor="text1"/>
          <w:szCs w:val="24"/>
        </w:rPr>
        <w:t>The PEB</w:t>
      </w:r>
      <w:r w:rsidR="00842BAA" w:rsidRPr="0003725D">
        <w:rPr>
          <w:color w:val="000000" w:themeColor="text1"/>
          <w:szCs w:val="24"/>
        </w:rPr>
        <w:t xml:space="preserve"> adjudicated the </w:t>
      </w:r>
      <w:r w:rsidR="008266EB" w:rsidRPr="0003725D">
        <w:rPr>
          <w:color w:val="000000" w:themeColor="text1"/>
          <w:szCs w:val="24"/>
        </w:rPr>
        <w:t>bilateral ankle</w:t>
      </w:r>
      <w:r w:rsidR="00842BAA" w:rsidRPr="0003725D">
        <w:rPr>
          <w:color w:val="000000" w:themeColor="text1"/>
          <w:szCs w:val="24"/>
        </w:rPr>
        <w:t xml:space="preserve"> condition as unfitting, rated </w:t>
      </w:r>
      <w:r w:rsidR="008266EB" w:rsidRPr="0003725D">
        <w:rPr>
          <w:color w:val="000000" w:themeColor="text1"/>
          <w:szCs w:val="24"/>
        </w:rPr>
        <w:t>each</w:t>
      </w:r>
      <w:r w:rsidR="001B00E4">
        <w:rPr>
          <w:color w:val="000000" w:themeColor="text1"/>
          <w:szCs w:val="24"/>
        </w:rPr>
        <w:t xml:space="preserve"> ankle</w:t>
      </w:r>
      <w:r w:rsidR="001D7C8F">
        <w:rPr>
          <w:color w:val="000000" w:themeColor="text1"/>
          <w:szCs w:val="24"/>
        </w:rPr>
        <w:t xml:space="preserve"> </w:t>
      </w:r>
      <w:r w:rsidR="001D7C8F" w:rsidRPr="0003725D">
        <w:rPr>
          <w:color w:val="000000" w:themeColor="text1"/>
          <w:szCs w:val="24"/>
        </w:rPr>
        <w:t>10%</w:t>
      </w:r>
      <w:r w:rsidR="001B00E4">
        <w:rPr>
          <w:color w:val="000000" w:themeColor="text1"/>
          <w:szCs w:val="24"/>
        </w:rPr>
        <w:t>,</w:t>
      </w:r>
      <w:r w:rsidR="00842BAA" w:rsidRPr="0003725D">
        <w:rPr>
          <w:color w:val="000000" w:themeColor="text1"/>
          <w:szCs w:val="24"/>
        </w:rPr>
        <w:t xml:space="preserve"> an</w:t>
      </w:r>
      <w:r w:rsidR="001B00E4">
        <w:rPr>
          <w:color w:val="000000" w:themeColor="text1"/>
          <w:szCs w:val="24"/>
        </w:rPr>
        <w:t>d</w:t>
      </w:r>
      <w:r w:rsidR="00842BAA" w:rsidRPr="0003725D">
        <w:rPr>
          <w:color w:val="000000" w:themeColor="text1"/>
          <w:szCs w:val="24"/>
        </w:rPr>
        <w:t xml:space="preserve"> </w:t>
      </w:r>
      <w:r w:rsidR="001B00E4">
        <w:rPr>
          <w:color w:val="000000" w:themeColor="text1"/>
          <w:szCs w:val="24"/>
        </w:rPr>
        <w:t xml:space="preserve">rated </w:t>
      </w:r>
      <w:r w:rsidR="008266EB" w:rsidRPr="0003725D">
        <w:rPr>
          <w:color w:val="000000" w:themeColor="text1"/>
          <w:szCs w:val="24"/>
        </w:rPr>
        <w:t xml:space="preserve">the right shoulder </w:t>
      </w:r>
      <w:r w:rsidR="001B00E4">
        <w:rPr>
          <w:color w:val="000000" w:themeColor="text1"/>
          <w:szCs w:val="24"/>
        </w:rPr>
        <w:t>condition</w:t>
      </w:r>
      <w:r w:rsidR="00842BAA" w:rsidRPr="0003725D">
        <w:rPr>
          <w:color w:val="000000" w:themeColor="text1"/>
          <w:szCs w:val="24"/>
        </w:rPr>
        <w:t xml:space="preserve"> </w:t>
      </w:r>
      <w:r w:rsidR="00E24A16">
        <w:rPr>
          <w:color w:val="000000" w:themeColor="text1"/>
          <w:szCs w:val="24"/>
        </w:rPr>
        <w:t>c</w:t>
      </w:r>
      <w:r w:rsidR="00842BAA" w:rsidRPr="0003725D">
        <w:rPr>
          <w:color w:val="000000" w:themeColor="text1"/>
          <w:szCs w:val="24"/>
        </w:rPr>
        <w:t>at</w:t>
      </w:r>
      <w:r w:rsidR="00E24A16">
        <w:rPr>
          <w:color w:val="000000" w:themeColor="text1"/>
          <w:szCs w:val="24"/>
        </w:rPr>
        <w:t>egory</w:t>
      </w:r>
      <w:r w:rsidR="00842BAA" w:rsidRPr="0003725D">
        <w:rPr>
          <w:color w:val="000000" w:themeColor="text1"/>
          <w:szCs w:val="24"/>
        </w:rPr>
        <w:t xml:space="preserve"> III, </w:t>
      </w:r>
      <w:r w:rsidR="008266EB" w:rsidRPr="0003725D">
        <w:rPr>
          <w:color w:val="000000" w:themeColor="text1"/>
          <w:szCs w:val="24"/>
        </w:rPr>
        <w:t>(not separately unfitting and do</w:t>
      </w:r>
      <w:r w:rsidR="008B24A5">
        <w:rPr>
          <w:color w:val="000000" w:themeColor="text1"/>
          <w:szCs w:val="24"/>
        </w:rPr>
        <w:t>es</w:t>
      </w:r>
      <w:r w:rsidR="008266EB" w:rsidRPr="0003725D">
        <w:rPr>
          <w:color w:val="000000" w:themeColor="text1"/>
          <w:szCs w:val="24"/>
        </w:rPr>
        <w:t xml:space="preserve"> not contribute to the unfitting condition) with application of the Veterans Administration Schedule for Rating Disabilities (VASRD).</w:t>
      </w:r>
      <w:r w:rsidR="008266EB" w:rsidRPr="0003725D">
        <w:rPr>
          <w:color w:val="000000" w:themeColor="text1"/>
        </w:rPr>
        <w:t xml:space="preserve"> </w:t>
      </w:r>
      <w:r w:rsidR="001D7C8F">
        <w:rPr>
          <w:color w:val="000000" w:themeColor="text1"/>
        </w:rPr>
        <w:t xml:space="preserve"> </w:t>
      </w:r>
      <w:r w:rsidR="008266EB" w:rsidRPr="0003725D">
        <w:rPr>
          <w:color w:val="000000" w:themeColor="text1"/>
        </w:rPr>
        <w:t>The CI made no appeals, and was medically separated with a 20% combined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1F29F9" w:rsidRDefault="002C6E5B" w:rsidP="00BF0E94">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A37341" w:rsidRPr="00A37341">
        <w:t xml:space="preserve"> </w:t>
      </w:r>
      <w:r w:rsidR="00A37341">
        <w:t xml:space="preserve"> </w:t>
      </w:r>
      <w:r w:rsidR="00A37341" w:rsidRPr="009636B6">
        <w:rPr>
          <w:color w:val="auto"/>
        </w:rPr>
        <w:t xml:space="preserve">The CI </w:t>
      </w:r>
      <w:r w:rsidR="00A37341" w:rsidRPr="00AA5A70">
        <w:rPr>
          <w:color w:val="auto"/>
        </w:rPr>
        <w:t>states:  “The</w:t>
      </w:r>
      <w:r w:rsidR="00A37341" w:rsidRPr="00A37341">
        <w:rPr>
          <w:color w:val="000000" w:themeColor="text1"/>
        </w:rPr>
        <w:t xml:space="preserve"> Marine Corps separated me a 20%, while the VA rated me at 50%.  My VA disability exam was conducted while I was still on active du</w:t>
      </w:r>
      <w:r w:rsidR="00F83EB5">
        <w:rPr>
          <w:color w:val="000000" w:themeColor="text1"/>
        </w:rPr>
        <w:t>ty.  The Marine Corps should of</w:t>
      </w:r>
      <w:r w:rsidR="009636B6">
        <w:rPr>
          <w:color w:val="000000" w:themeColor="text1"/>
        </w:rPr>
        <w:t xml:space="preserve"> </w:t>
      </w:r>
      <w:r w:rsidR="00A37341" w:rsidRPr="00A37341">
        <w:rPr>
          <w:color w:val="000000" w:themeColor="text1"/>
        </w:rPr>
        <w:t>have incorporated my other present medical conditions into their rating</w:t>
      </w:r>
      <w:r w:rsidR="00F83EB5">
        <w:rPr>
          <w:color w:val="000000" w:themeColor="text1"/>
        </w:rPr>
        <w:t>.</w:t>
      </w:r>
      <w:r w:rsidR="00A37341" w:rsidRPr="00A37341">
        <w:rPr>
          <w:color w:val="000000" w:themeColor="text1"/>
        </w:rPr>
        <w:t>”</w:t>
      </w:r>
      <w:r w:rsidR="00F83EB5">
        <w:rPr>
          <w:color w:val="000000" w:themeColor="text1"/>
        </w:rPr>
        <w:t xml:space="preserve">  </w:t>
      </w:r>
      <w:r w:rsidR="00ED5284" w:rsidRPr="001F29F9">
        <w:rPr>
          <w:rFonts w:eastAsiaTheme="minorHAnsi"/>
          <w:color w:val="000000" w:themeColor="text1"/>
          <w:szCs w:val="24"/>
        </w:rPr>
        <w:t xml:space="preserve">He </w:t>
      </w:r>
      <w:r w:rsidR="001D7C8F">
        <w:rPr>
          <w:rFonts w:eastAsiaTheme="minorHAnsi"/>
          <w:color w:val="000000" w:themeColor="text1"/>
          <w:szCs w:val="24"/>
        </w:rPr>
        <w:t xml:space="preserve">further </w:t>
      </w:r>
      <w:r w:rsidR="00ED5284" w:rsidRPr="001F29F9">
        <w:rPr>
          <w:rFonts w:eastAsiaTheme="minorHAnsi"/>
          <w:color w:val="000000" w:themeColor="text1"/>
          <w:szCs w:val="24"/>
        </w:rPr>
        <w:t xml:space="preserve">elaborates </w:t>
      </w:r>
      <w:r w:rsidR="001D7C8F">
        <w:rPr>
          <w:rFonts w:eastAsiaTheme="minorHAnsi"/>
          <w:color w:val="000000" w:themeColor="text1"/>
          <w:szCs w:val="24"/>
        </w:rPr>
        <w:t>under item 14</w:t>
      </w:r>
      <w:r w:rsidR="00F83EB5">
        <w:rPr>
          <w:rFonts w:eastAsiaTheme="minorHAnsi"/>
          <w:color w:val="000000" w:themeColor="text1"/>
          <w:szCs w:val="24"/>
        </w:rPr>
        <w:t xml:space="preserve">: </w:t>
      </w:r>
      <w:r w:rsidR="001D7C8F">
        <w:rPr>
          <w:rFonts w:eastAsiaTheme="minorHAnsi"/>
          <w:color w:val="000000" w:themeColor="text1"/>
          <w:szCs w:val="24"/>
        </w:rPr>
        <w:t xml:space="preserve">“Marine Corps rated me for: bilateral Chronic Ankle instability (left and right) 10% each.  Department of VA also rated me for: Right shoulder limited range of motion 20%, </w:t>
      </w:r>
      <w:proofErr w:type="spellStart"/>
      <w:r w:rsidR="001D7C8F">
        <w:rPr>
          <w:rFonts w:eastAsiaTheme="minorHAnsi"/>
          <w:color w:val="000000" w:themeColor="text1"/>
          <w:szCs w:val="24"/>
        </w:rPr>
        <w:t>Lumbosacral</w:t>
      </w:r>
      <w:proofErr w:type="spellEnd"/>
      <w:r w:rsidR="001D7C8F">
        <w:rPr>
          <w:rFonts w:eastAsiaTheme="minorHAnsi"/>
          <w:color w:val="000000" w:themeColor="text1"/>
          <w:szCs w:val="24"/>
        </w:rPr>
        <w:t xml:space="preserve"> </w:t>
      </w:r>
      <w:proofErr w:type="spellStart"/>
      <w:r w:rsidR="001D7C8F">
        <w:rPr>
          <w:rFonts w:eastAsiaTheme="minorHAnsi"/>
          <w:color w:val="000000" w:themeColor="text1"/>
          <w:szCs w:val="24"/>
        </w:rPr>
        <w:t>strail</w:t>
      </w:r>
      <w:proofErr w:type="spellEnd"/>
      <w:r w:rsidR="001D7C8F">
        <w:rPr>
          <w:rFonts w:eastAsiaTheme="minorHAnsi"/>
          <w:color w:val="000000" w:themeColor="text1"/>
          <w:szCs w:val="24"/>
        </w:rPr>
        <w:t xml:space="preserve"> 10%, </w:t>
      </w:r>
      <w:proofErr w:type="spellStart"/>
      <w:r w:rsidR="001D7C8F">
        <w:rPr>
          <w:rFonts w:eastAsiaTheme="minorHAnsi"/>
          <w:color w:val="000000" w:themeColor="text1"/>
          <w:szCs w:val="24"/>
        </w:rPr>
        <w:t>Tennitus</w:t>
      </w:r>
      <w:proofErr w:type="spellEnd"/>
      <w:r w:rsidR="001D7C8F">
        <w:rPr>
          <w:rFonts w:eastAsiaTheme="minorHAnsi"/>
          <w:color w:val="000000" w:themeColor="text1"/>
          <w:szCs w:val="24"/>
        </w:rPr>
        <w:t xml:space="preserve"> 10%, Painful movement of right knee 0%, Left ear hearing loss 0% and </w:t>
      </w:r>
      <w:proofErr w:type="spellStart"/>
      <w:r w:rsidR="001D7C8F">
        <w:rPr>
          <w:rFonts w:eastAsiaTheme="minorHAnsi"/>
          <w:color w:val="000000" w:themeColor="text1"/>
          <w:szCs w:val="24"/>
        </w:rPr>
        <w:t>Gastroesophageal</w:t>
      </w:r>
      <w:proofErr w:type="spellEnd"/>
      <w:r w:rsidR="001D7C8F">
        <w:rPr>
          <w:rFonts w:eastAsiaTheme="minorHAnsi"/>
          <w:color w:val="000000" w:themeColor="text1"/>
          <w:szCs w:val="24"/>
        </w:rPr>
        <w:t xml:space="preserve"> reflux disease 0%</w:t>
      </w:r>
      <w:r w:rsidR="00E24A16">
        <w:rPr>
          <w:rFonts w:eastAsiaTheme="minorHAnsi"/>
          <w:color w:val="000000" w:themeColor="text1"/>
          <w:szCs w:val="24"/>
        </w:rPr>
        <w:t>.</w:t>
      </w:r>
      <w:r w:rsidR="001D7C8F">
        <w:rPr>
          <w:rFonts w:eastAsiaTheme="minorHAnsi"/>
          <w:color w:val="000000" w:themeColor="text1"/>
          <w:szCs w:val="24"/>
        </w:rPr>
        <w:t xml:space="preserve">”  </w:t>
      </w:r>
    </w:p>
    <w:p w:rsidR="004174F0" w:rsidRDefault="004174F0" w:rsidP="00BF0E94">
      <w:pPr>
        <w:pBdr>
          <w:bottom w:val="single" w:sz="12" w:space="1" w:color="auto"/>
        </w:pBdr>
        <w:tabs>
          <w:tab w:val="left" w:pos="288"/>
          <w:tab w:val="left" w:pos="4752"/>
        </w:tabs>
        <w:jc w:val="both"/>
        <w:rPr>
          <w:color w:val="000000" w:themeColor="text1"/>
        </w:rPr>
      </w:pPr>
    </w:p>
    <w:p w:rsidR="00A37341" w:rsidRDefault="00A37341" w:rsidP="00A37341">
      <w:pPr>
        <w:tabs>
          <w:tab w:val="left" w:pos="288"/>
          <w:tab w:val="left" w:pos="4752"/>
        </w:tabs>
        <w:jc w:val="both"/>
        <w:rPr>
          <w:color w:val="000000" w:themeColor="text1"/>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FE7C22">
      <w:pPr>
        <w:jc w:val="both"/>
        <w:rPr>
          <w:color w:val="000000" w:themeColor="text1"/>
        </w:rPr>
      </w:pPr>
    </w:p>
    <w:tbl>
      <w:tblPr>
        <w:tblStyle w:val="TableGrid"/>
        <w:tblpPr w:leftFromText="187" w:rightFromText="187" w:vertAnchor="text" w:tblpXSpec="center" w:tblpY="1"/>
        <w:tblOverlap w:val="never"/>
        <w:tblW w:w="9378" w:type="dxa"/>
        <w:tblLayout w:type="fixed"/>
        <w:tblLook w:val="04A0"/>
      </w:tblPr>
      <w:tblGrid>
        <w:gridCol w:w="2178"/>
        <w:gridCol w:w="1080"/>
        <w:gridCol w:w="900"/>
        <w:gridCol w:w="2322"/>
        <w:gridCol w:w="1080"/>
        <w:gridCol w:w="828"/>
        <w:gridCol w:w="990"/>
      </w:tblGrid>
      <w:tr w:rsidR="002B4E22" w:rsidRPr="001F29F9" w:rsidTr="00DE25FB">
        <w:trPr>
          <w:trHeight w:val="170"/>
        </w:trPr>
        <w:tc>
          <w:tcPr>
            <w:tcW w:w="4158" w:type="dxa"/>
            <w:gridSpan w:val="3"/>
            <w:tcBorders>
              <w:right w:val="thinThickThinSmallGap" w:sz="24" w:space="0" w:color="auto"/>
            </w:tcBorders>
            <w:shd w:val="clear" w:color="auto" w:fill="D9D9D9" w:themeFill="background1" w:themeFillShade="D9"/>
            <w:vAlign w:val="center"/>
          </w:tcPr>
          <w:p w:rsidR="002B4E22" w:rsidRPr="001F29F9" w:rsidRDefault="00B731E4" w:rsidP="00DE25FB">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Service PEB – Dated 200</w:t>
            </w:r>
            <w:r w:rsidR="00982F4F">
              <w:rPr>
                <w:rFonts w:ascii="Calibri" w:hAnsi="Calibri" w:cs="Calibri"/>
                <w:b/>
                <w:color w:val="000000" w:themeColor="text1"/>
                <w:sz w:val="18"/>
                <w:szCs w:val="18"/>
              </w:rPr>
              <w:t>30803</w:t>
            </w:r>
          </w:p>
        </w:tc>
        <w:tc>
          <w:tcPr>
            <w:tcW w:w="5220" w:type="dxa"/>
            <w:gridSpan w:val="4"/>
            <w:tcBorders>
              <w:left w:val="thinThickThinSmallGap" w:sz="24" w:space="0" w:color="auto"/>
            </w:tcBorders>
            <w:shd w:val="clear" w:color="auto" w:fill="D9D9D9" w:themeFill="background1" w:themeFillShade="D9"/>
            <w:vAlign w:val="center"/>
          </w:tcPr>
          <w:p w:rsidR="002B4E22" w:rsidRPr="001F29F9" w:rsidRDefault="002B4E22" w:rsidP="00DE25FB">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DE25FB">
              <w:rPr>
                <w:rFonts w:ascii="Calibri" w:hAnsi="Calibri" w:cs="Calibri"/>
                <w:b/>
                <w:color w:val="000000" w:themeColor="text1"/>
                <w:sz w:val="18"/>
                <w:szCs w:val="18"/>
              </w:rPr>
              <w:t>1</w:t>
            </w:r>
            <w:r w:rsidR="0079154B" w:rsidRPr="001F29F9">
              <w:rPr>
                <w:rFonts w:ascii="Calibri" w:hAnsi="Calibri" w:cs="Calibri"/>
                <w:b/>
                <w:color w:val="000000" w:themeColor="text1"/>
                <w:sz w:val="18"/>
                <w:szCs w:val="18"/>
              </w:rPr>
              <w:t xml:space="preserve"> </w:t>
            </w:r>
            <w:r w:rsidRPr="001F29F9">
              <w:rPr>
                <w:rFonts w:ascii="Calibri" w:hAnsi="Calibri" w:cs="Calibri"/>
                <w:b/>
                <w:color w:val="000000" w:themeColor="text1"/>
                <w:sz w:val="18"/>
                <w:szCs w:val="18"/>
              </w:rPr>
              <w:t>Mo</w:t>
            </w:r>
            <w:r w:rsidRPr="00DE25FB">
              <w:rPr>
                <w:rFonts w:ascii="Calibri" w:hAnsi="Calibri" w:cs="Calibri"/>
                <w:b/>
                <w:color w:val="000000" w:themeColor="text1"/>
                <w:sz w:val="18"/>
                <w:szCs w:val="18"/>
              </w:rPr>
              <w:t>. Pr</w:t>
            </w:r>
            <w:r w:rsidR="007272F1" w:rsidRPr="00DE25FB">
              <w:rPr>
                <w:rFonts w:ascii="Calibri" w:hAnsi="Calibri" w:cs="Calibri"/>
                <w:b/>
                <w:color w:val="000000" w:themeColor="text1"/>
                <w:sz w:val="18"/>
                <w:szCs w:val="18"/>
              </w:rPr>
              <w:t>e</w:t>
            </w:r>
            <w:r w:rsidR="00DE25FB" w:rsidRPr="00DE25FB">
              <w:rPr>
                <w:rFonts w:ascii="Calibri" w:hAnsi="Calibri" w:cs="Calibri"/>
                <w:b/>
                <w:color w:val="000000" w:themeColor="text1"/>
                <w:sz w:val="18"/>
                <w:szCs w:val="18"/>
              </w:rPr>
              <w:t>-</w:t>
            </w:r>
            <w:r w:rsidRPr="001F29F9">
              <w:rPr>
                <w:rFonts w:ascii="Calibri" w:hAnsi="Calibri" w:cs="Calibri"/>
                <w:b/>
                <w:color w:val="000000" w:themeColor="text1"/>
                <w:sz w:val="18"/>
                <w:szCs w:val="18"/>
              </w:rPr>
              <w:t xml:space="preserve">Separation) – All Effective </w:t>
            </w:r>
            <w:r w:rsidR="00A37341" w:rsidRPr="00A37341">
              <w:rPr>
                <w:rFonts w:ascii="Calibri" w:hAnsi="Calibri" w:cs="Calibri"/>
                <w:b/>
                <w:color w:val="000000" w:themeColor="text1"/>
                <w:sz w:val="18"/>
                <w:szCs w:val="18"/>
              </w:rPr>
              <w:t>2003101</w:t>
            </w:r>
            <w:r w:rsidR="00A37341">
              <w:rPr>
                <w:rFonts w:ascii="Calibri" w:hAnsi="Calibri" w:cs="Calibri"/>
                <w:b/>
                <w:color w:val="000000" w:themeColor="text1"/>
                <w:sz w:val="18"/>
                <w:szCs w:val="18"/>
              </w:rPr>
              <w:t>6</w:t>
            </w:r>
          </w:p>
        </w:tc>
      </w:tr>
      <w:tr w:rsidR="002B4E22" w:rsidRPr="001F29F9" w:rsidTr="00DE25FB">
        <w:trPr>
          <w:trHeight w:val="97"/>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DE25FB">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auto"/>
            </w:tcBorders>
            <w:shd w:val="clear" w:color="auto" w:fill="D9D9D9" w:themeFill="background1" w:themeFillShade="D9"/>
            <w:vAlign w:val="center"/>
          </w:tcPr>
          <w:p w:rsidR="002B4E22" w:rsidRPr="001F29F9" w:rsidRDefault="002B4E22" w:rsidP="00DE25FB">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00" w:type="dxa"/>
            <w:tcBorders>
              <w:bottom w:val="single" w:sz="4" w:space="0" w:color="auto"/>
              <w:right w:val="thinThickThinSmallGap" w:sz="24" w:space="0" w:color="auto"/>
            </w:tcBorders>
            <w:shd w:val="clear" w:color="auto" w:fill="D9D9D9" w:themeFill="background1" w:themeFillShade="D9"/>
            <w:vAlign w:val="center"/>
          </w:tcPr>
          <w:p w:rsidR="002B4E22" w:rsidRPr="001F29F9" w:rsidRDefault="002B4E22" w:rsidP="00DE25FB">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DE25FB">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1F29F9" w:rsidRDefault="002B4E22" w:rsidP="00DE25FB">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1F29F9" w:rsidRDefault="002B4E22" w:rsidP="00DE25FB">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DE25FB">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982F4F" w:rsidRPr="001F29F9" w:rsidTr="00DE25FB">
        <w:trPr>
          <w:trHeight w:val="220"/>
        </w:trPr>
        <w:tc>
          <w:tcPr>
            <w:tcW w:w="2178" w:type="dxa"/>
            <w:vMerge w:val="restart"/>
            <w:tcBorders>
              <w:right w:val="single" w:sz="4" w:space="0" w:color="auto"/>
            </w:tcBorders>
            <w:shd w:val="clear" w:color="auto" w:fill="FFFFFF" w:themeFill="background1"/>
            <w:vAlign w:val="center"/>
          </w:tcPr>
          <w:p w:rsidR="00982F4F" w:rsidRPr="001F29F9" w:rsidRDefault="00982F4F" w:rsidP="00F31265">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Bil</w:t>
            </w:r>
            <w:r w:rsidR="00F31265">
              <w:rPr>
                <w:rFonts w:ascii="Calibri" w:eastAsia="Times New Roman" w:hAnsi="Calibri" w:cs="Calibri"/>
                <w:color w:val="000000" w:themeColor="text1"/>
                <w:sz w:val="18"/>
                <w:szCs w:val="18"/>
              </w:rPr>
              <w:t>at</w:t>
            </w:r>
            <w:r>
              <w:rPr>
                <w:rFonts w:ascii="Calibri" w:eastAsia="Times New Roman" w:hAnsi="Calibri" w:cs="Calibri"/>
                <w:color w:val="000000" w:themeColor="text1"/>
                <w:sz w:val="18"/>
                <w:szCs w:val="18"/>
              </w:rPr>
              <w:t>e</w:t>
            </w:r>
            <w:r w:rsidR="00F31265">
              <w:rPr>
                <w:rFonts w:ascii="Calibri" w:eastAsia="Times New Roman" w:hAnsi="Calibri" w:cs="Calibri"/>
                <w:color w:val="000000" w:themeColor="text1"/>
                <w:sz w:val="18"/>
                <w:szCs w:val="18"/>
              </w:rPr>
              <w:t>r</w:t>
            </w:r>
            <w:r>
              <w:rPr>
                <w:rFonts w:ascii="Calibri" w:eastAsia="Times New Roman" w:hAnsi="Calibri" w:cs="Calibri"/>
                <w:color w:val="000000" w:themeColor="text1"/>
                <w:sz w:val="18"/>
                <w:szCs w:val="18"/>
              </w:rPr>
              <w:t xml:space="preserve">al Chronic </w:t>
            </w:r>
            <w:r w:rsidR="00DE25FB">
              <w:rPr>
                <w:rFonts w:ascii="Calibri" w:eastAsia="Times New Roman" w:hAnsi="Calibri" w:cs="Calibri"/>
                <w:color w:val="000000" w:themeColor="text1"/>
                <w:sz w:val="18"/>
                <w:szCs w:val="18"/>
              </w:rPr>
              <w:t>A</w:t>
            </w:r>
            <w:r>
              <w:rPr>
                <w:rFonts w:ascii="Calibri" w:eastAsia="Times New Roman" w:hAnsi="Calibri" w:cs="Calibri"/>
                <w:color w:val="000000" w:themeColor="text1"/>
                <w:sz w:val="18"/>
                <w:szCs w:val="18"/>
              </w:rPr>
              <w:t>nkle Instability</w:t>
            </w:r>
          </w:p>
        </w:tc>
        <w:tc>
          <w:tcPr>
            <w:tcW w:w="1080" w:type="dxa"/>
            <w:tcBorders>
              <w:left w:val="single" w:sz="4" w:space="0" w:color="auto"/>
              <w:bottom w:val="single" w:sz="4" w:space="0" w:color="auto"/>
            </w:tcBorders>
            <w:shd w:val="clear" w:color="auto" w:fill="FFFFFF" w:themeFill="background1"/>
            <w:vAlign w:val="center"/>
          </w:tcPr>
          <w:p w:rsidR="00982F4F" w:rsidRPr="001F29F9" w:rsidRDefault="00982F4F" w:rsidP="00DE25FB">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5299-5003</w:t>
            </w:r>
          </w:p>
        </w:tc>
        <w:tc>
          <w:tcPr>
            <w:tcW w:w="900" w:type="dxa"/>
            <w:tcBorders>
              <w:bottom w:val="single" w:sz="4" w:space="0" w:color="auto"/>
              <w:right w:val="thinThickThinSmallGap" w:sz="24" w:space="0" w:color="auto"/>
            </w:tcBorders>
            <w:shd w:val="clear" w:color="auto" w:fill="FFFFFF" w:themeFill="background1"/>
            <w:vAlign w:val="center"/>
          </w:tcPr>
          <w:p w:rsidR="00982F4F" w:rsidRPr="001F29F9" w:rsidRDefault="00982F4F" w:rsidP="00DE25FB">
            <w:pPr>
              <w:spacing w:line="180" w:lineRule="exac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2322" w:type="dxa"/>
            <w:tcBorders>
              <w:left w:val="thinThickThinSmallGap" w:sz="24" w:space="0" w:color="auto"/>
              <w:bottom w:val="single" w:sz="4" w:space="0" w:color="auto"/>
            </w:tcBorders>
            <w:shd w:val="clear" w:color="auto" w:fill="FFFFFF" w:themeFill="background1"/>
            <w:vAlign w:val="center"/>
          </w:tcPr>
          <w:p w:rsidR="00982F4F" w:rsidRPr="001F29F9" w:rsidRDefault="001D7C8F" w:rsidP="00DE25FB">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 xml:space="preserve">Chronic Instability R </w:t>
            </w:r>
            <w:r w:rsidR="00DE25FB">
              <w:rPr>
                <w:rFonts w:ascii="Calibri" w:eastAsia="Times New Roman" w:hAnsi="Calibri" w:cs="Calibri"/>
                <w:color w:val="000000" w:themeColor="text1"/>
                <w:sz w:val="18"/>
                <w:szCs w:val="18"/>
              </w:rPr>
              <w:t>Ankle</w:t>
            </w:r>
          </w:p>
        </w:tc>
        <w:tc>
          <w:tcPr>
            <w:tcW w:w="1080" w:type="dxa"/>
            <w:tcBorders>
              <w:bottom w:val="single" w:sz="4" w:space="0" w:color="auto"/>
            </w:tcBorders>
            <w:shd w:val="clear" w:color="auto" w:fill="FFFFFF" w:themeFill="background1"/>
            <w:vAlign w:val="center"/>
          </w:tcPr>
          <w:p w:rsidR="00982F4F" w:rsidRPr="001F29F9" w:rsidRDefault="00DE25FB" w:rsidP="00DE25FB">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5299-5271</w:t>
            </w:r>
          </w:p>
        </w:tc>
        <w:tc>
          <w:tcPr>
            <w:tcW w:w="828" w:type="dxa"/>
            <w:tcBorders>
              <w:bottom w:val="single" w:sz="4" w:space="0" w:color="auto"/>
            </w:tcBorders>
            <w:shd w:val="clear" w:color="auto" w:fill="FFFFFF" w:themeFill="background1"/>
            <w:vAlign w:val="center"/>
          </w:tcPr>
          <w:p w:rsidR="00982F4F" w:rsidRPr="001F29F9" w:rsidRDefault="00DE25FB" w:rsidP="00DE25FB">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tcBorders>
              <w:bottom w:val="single" w:sz="4" w:space="0" w:color="auto"/>
            </w:tcBorders>
            <w:shd w:val="clear" w:color="auto" w:fill="FFFFFF" w:themeFill="background1"/>
            <w:vAlign w:val="center"/>
          </w:tcPr>
          <w:p w:rsidR="00982F4F" w:rsidRPr="00F31265" w:rsidRDefault="00AA5A70" w:rsidP="00DE25FB">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MEB</w:t>
            </w:r>
          </w:p>
        </w:tc>
      </w:tr>
      <w:tr w:rsidR="00982F4F" w:rsidRPr="001F29F9" w:rsidTr="00DE25FB">
        <w:trPr>
          <w:trHeight w:val="128"/>
        </w:trPr>
        <w:tc>
          <w:tcPr>
            <w:tcW w:w="2178" w:type="dxa"/>
            <w:vMerge/>
            <w:tcBorders>
              <w:bottom w:val="single" w:sz="4" w:space="0" w:color="auto"/>
              <w:right w:val="single" w:sz="4" w:space="0" w:color="auto"/>
            </w:tcBorders>
            <w:shd w:val="clear" w:color="auto" w:fill="FFFFFF" w:themeFill="background1"/>
            <w:vAlign w:val="center"/>
          </w:tcPr>
          <w:p w:rsidR="00982F4F" w:rsidRDefault="00982F4F" w:rsidP="00DE25FB">
            <w:pPr>
              <w:spacing w:line="180" w:lineRule="exact"/>
              <w:contextualSpacing/>
              <w:jc w:val="left"/>
              <w:rPr>
                <w:rFonts w:cs="Calibri"/>
                <w:color w:val="000000" w:themeColor="text1"/>
                <w:sz w:val="18"/>
                <w:szCs w:val="18"/>
              </w:rPr>
            </w:pPr>
          </w:p>
        </w:tc>
        <w:tc>
          <w:tcPr>
            <w:tcW w:w="1080" w:type="dxa"/>
            <w:tcBorders>
              <w:top w:val="single" w:sz="4" w:space="0" w:color="auto"/>
              <w:left w:val="single" w:sz="4" w:space="0" w:color="auto"/>
            </w:tcBorders>
            <w:shd w:val="clear" w:color="auto" w:fill="FFFFFF" w:themeFill="background1"/>
            <w:vAlign w:val="center"/>
          </w:tcPr>
          <w:p w:rsidR="00982F4F" w:rsidRDefault="006772A3" w:rsidP="00DE25FB">
            <w:pPr>
              <w:spacing w:line="180" w:lineRule="exact"/>
              <w:contextualSpacing/>
              <w:rPr>
                <w:rFonts w:cs="Calibri"/>
                <w:color w:val="000000" w:themeColor="text1"/>
                <w:sz w:val="18"/>
                <w:szCs w:val="18"/>
              </w:rPr>
            </w:pPr>
            <w:r>
              <w:rPr>
                <w:rFonts w:cs="Calibri"/>
                <w:color w:val="000000" w:themeColor="text1"/>
                <w:sz w:val="18"/>
                <w:szCs w:val="18"/>
              </w:rPr>
              <w:t>5299-5003</w:t>
            </w:r>
          </w:p>
        </w:tc>
        <w:tc>
          <w:tcPr>
            <w:tcW w:w="900" w:type="dxa"/>
            <w:tcBorders>
              <w:top w:val="single" w:sz="4" w:space="0" w:color="auto"/>
              <w:right w:val="thinThickThinSmallGap" w:sz="24" w:space="0" w:color="auto"/>
            </w:tcBorders>
            <w:shd w:val="clear" w:color="auto" w:fill="FFFFFF" w:themeFill="background1"/>
            <w:vAlign w:val="center"/>
          </w:tcPr>
          <w:p w:rsidR="00982F4F" w:rsidRPr="001F29F9" w:rsidRDefault="00982F4F" w:rsidP="00DE25FB">
            <w:pPr>
              <w:spacing w:line="180" w:lineRule="exact"/>
              <w:rPr>
                <w:rFonts w:cs="Calibri"/>
                <w:color w:val="000000" w:themeColor="text1"/>
                <w:sz w:val="18"/>
                <w:szCs w:val="18"/>
              </w:rPr>
            </w:pPr>
            <w:r>
              <w:rPr>
                <w:rFonts w:cs="Calibri"/>
                <w:color w:val="000000" w:themeColor="text1"/>
                <w:sz w:val="18"/>
                <w:szCs w:val="18"/>
              </w:rPr>
              <w:t>10%</w:t>
            </w:r>
          </w:p>
        </w:tc>
        <w:tc>
          <w:tcPr>
            <w:tcW w:w="2322" w:type="dxa"/>
            <w:tcBorders>
              <w:top w:val="single" w:sz="4" w:space="0" w:color="auto"/>
              <w:left w:val="thinThickThinSmallGap" w:sz="24" w:space="0" w:color="auto"/>
            </w:tcBorders>
            <w:shd w:val="clear" w:color="auto" w:fill="FFFFFF" w:themeFill="background1"/>
            <w:vAlign w:val="center"/>
          </w:tcPr>
          <w:p w:rsidR="00982F4F" w:rsidRPr="001F29F9" w:rsidRDefault="001D7C8F" w:rsidP="001D7C8F">
            <w:pPr>
              <w:spacing w:line="180" w:lineRule="exact"/>
              <w:contextualSpacing/>
              <w:jc w:val="left"/>
              <w:rPr>
                <w:rFonts w:cs="Calibri"/>
                <w:color w:val="000000" w:themeColor="text1"/>
                <w:sz w:val="18"/>
                <w:szCs w:val="18"/>
              </w:rPr>
            </w:pPr>
            <w:r>
              <w:rPr>
                <w:rFonts w:cs="Calibri"/>
                <w:color w:val="000000" w:themeColor="text1"/>
                <w:sz w:val="18"/>
                <w:szCs w:val="18"/>
              </w:rPr>
              <w:t>Chronic Instability L</w:t>
            </w:r>
            <w:r w:rsidR="00DE25FB">
              <w:rPr>
                <w:rFonts w:cs="Calibri"/>
                <w:color w:val="000000" w:themeColor="text1"/>
                <w:sz w:val="18"/>
                <w:szCs w:val="18"/>
              </w:rPr>
              <w:t xml:space="preserve"> Ankle </w:t>
            </w:r>
          </w:p>
        </w:tc>
        <w:tc>
          <w:tcPr>
            <w:tcW w:w="1080" w:type="dxa"/>
            <w:tcBorders>
              <w:top w:val="single" w:sz="4" w:space="0" w:color="auto"/>
              <w:bottom w:val="single" w:sz="4" w:space="0" w:color="auto"/>
            </w:tcBorders>
            <w:shd w:val="clear" w:color="auto" w:fill="FFFFFF" w:themeFill="background1"/>
            <w:vAlign w:val="center"/>
          </w:tcPr>
          <w:p w:rsidR="00982F4F" w:rsidRPr="001F29F9" w:rsidRDefault="00DE25FB" w:rsidP="00DE25FB">
            <w:pPr>
              <w:spacing w:line="180" w:lineRule="exact"/>
              <w:contextualSpacing/>
              <w:rPr>
                <w:rFonts w:cs="Calibri"/>
                <w:color w:val="000000" w:themeColor="text1"/>
                <w:sz w:val="18"/>
                <w:szCs w:val="18"/>
              </w:rPr>
            </w:pPr>
            <w:r>
              <w:rPr>
                <w:rFonts w:cs="Calibri"/>
                <w:color w:val="000000" w:themeColor="text1"/>
                <w:sz w:val="18"/>
                <w:szCs w:val="18"/>
              </w:rPr>
              <w:t>5299-5271</w:t>
            </w:r>
          </w:p>
        </w:tc>
        <w:tc>
          <w:tcPr>
            <w:tcW w:w="828" w:type="dxa"/>
            <w:tcBorders>
              <w:top w:val="single" w:sz="4" w:space="0" w:color="auto"/>
              <w:bottom w:val="single" w:sz="4" w:space="0" w:color="auto"/>
            </w:tcBorders>
            <w:shd w:val="clear" w:color="auto" w:fill="FFFFFF" w:themeFill="background1"/>
            <w:vAlign w:val="center"/>
          </w:tcPr>
          <w:p w:rsidR="00982F4F" w:rsidRPr="001F29F9" w:rsidRDefault="00DE25FB" w:rsidP="00DE25FB">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tcBorders>
              <w:top w:val="single" w:sz="4" w:space="0" w:color="auto"/>
              <w:bottom w:val="single" w:sz="4" w:space="0" w:color="auto"/>
            </w:tcBorders>
            <w:shd w:val="clear" w:color="auto" w:fill="FFFFFF" w:themeFill="background1"/>
            <w:vAlign w:val="center"/>
          </w:tcPr>
          <w:p w:rsidR="00982F4F" w:rsidRPr="00F31265" w:rsidRDefault="00AA5A70" w:rsidP="00DE25FB">
            <w:pPr>
              <w:spacing w:line="180" w:lineRule="exact"/>
              <w:contextualSpacing/>
              <w:rPr>
                <w:rFonts w:cs="Calibri"/>
                <w:color w:val="000000" w:themeColor="text1"/>
                <w:sz w:val="18"/>
                <w:szCs w:val="18"/>
              </w:rPr>
            </w:pPr>
            <w:r>
              <w:rPr>
                <w:rFonts w:ascii="Calibri" w:eastAsia="Times New Roman" w:hAnsi="Calibri" w:cs="Calibri"/>
                <w:color w:val="000000" w:themeColor="text1"/>
                <w:sz w:val="18"/>
                <w:szCs w:val="18"/>
              </w:rPr>
              <w:t>MEB</w:t>
            </w:r>
          </w:p>
        </w:tc>
      </w:tr>
      <w:tr w:rsidR="00982F4F" w:rsidRPr="001F29F9" w:rsidTr="00DE25FB">
        <w:trPr>
          <w:trHeight w:val="106"/>
        </w:trPr>
        <w:tc>
          <w:tcPr>
            <w:tcW w:w="2178" w:type="dxa"/>
            <w:tcBorders>
              <w:right w:val="single" w:sz="4" w:space="0" w:color="auto"/>
            </w:tcBorders>
            <w:shd w:val="clear" w:color="auto" w:fill="FFFFFF" w:themeFill="background1"/>
            <w:vAlign w:val="center"/>
          </w:tcPr>
          <w:p w:rsidR="00982F4F" w:rsidRPr="001F29F9" w:rsidRDefault="001D7C8F" w:rsidP="00DE25FB">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R</w:t>
            </w:r>
            <w:r w:rsidR="00982F4F">
              <w:rPr>
                <w:rFonts w:ascii="Calibri" w:eastAsia="Times New Roman" w:hAnsi="Calibri" w:cs="Calibri"/>
                <w:color w:val="000000" w:themeColor="text1"/>
                <w:sz w:val="18"/>
                <w:szCs w:val="18"/>
              </w:rPr>
              <w:t xml:space="preserve"> Shoulder Limited ROM</w:t>
            </w:r>
          </w:p>
        </w:tc>
        <w:tc>
          <w:tcPr>
            <w:tcW w:w="1980" w:type="dxa"/>
            <w:gridSpan w:val="2"/>
            <w:tcBorders>
              <w:left w:val="single" w:sz="4" w:space="0" w:color="auto"/>
              <w:right w:val="thinThickThinSmallGap" w:sz="24" w:space="0" w:color="auto"/>
            </w:tcBorders>
            <w:shd w:val="clear" w:color="auto" w:fill="FFFFFF" w:themeFill="background1"/>
            <w:vAlign w:val="center"/>
          </w:tcPr>
          <w:p w:rsidR="00982F4F" w:rsidRPr="001F29F9" w:rsidRDefault="00982F4F" w:rsidP="00DE25FB">
            <w:pPr>
              <w:spacing w:line="180" w:lineRule="exac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Cat III</w:t>
            </w:r>
          </w:p>
        </w:tc>
        <w:tc>
          <w:tcPr>
            <w:tcW w:w="2322" w:type="dxa"/>
            <w:tcBorders>
              <w:left w:val="thinThickThinSmallGap" w:sz="24" w:space="0" w:color="auto"/>
              <w:right w:val="single" w:sz="4" w:space="0" w:color="auto"/>
            </w:tcBorders>
            <w:shd w:val="clear" w:color="auto" w:fill="FFFFFF" w:themeFill="background1"/>
            <w:vAlign w:val="center"/>
          </w:tcPr>
          <w:p w:rsidR="00982F4F" w:rsidRPr="001F29F9" w:rsidRDefault="00DE25FB" w:rsidP="001D7C8F">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 xml:space="preserve">Limited ROM Right Shoulder </w:t>
            </w:r>
          </w:p>
        </w:tc>
        <w:tc>
          <w:tcPr>
            <w:tcW w:w="1080" w:type="dxa"/>
            <w:tcBorders>
              <w:top w:val="single" w:sz="4" w:space="0" w:color="auto"/>
              <w:left w:val="single" w:sz="4" w:space="0" w:color="auto"/>
            </w:tcBorders>
            <w:shd w:val="clear" w:color="auto" w:fill="FFFFFF" w:themeFill="background1"/>
            <w:vAlign w:val="center"/>
          </w:tcPr>
          <w:p w:rsidR="00982F4F" w:rsidRPr="001F29F9" w:rsidRDefault="00DE25FB" w:rsidP="00DE25FB">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5201</w:t>
            </w:r>
          </w:p>
        </w:tc>
        <w:tc>
          <w:tcPr>
            <w:tcW w:w="828" w:type="dxa"/>
            <w:tcBorders>
              <w:top w:val="single" w:sz="4" w:space="0" w:color="auto"/>
            </w:tcBorders>
            <w:shd w:val="clear" w:color="auto" w:fill="FFFFFF" w:themeFill="background1"/>
            <w:vAlign w:val="center"/>
          </w:tcPr>
          <w:p w:rsidR="00982F4F" w:rsidRPr="001F29F9" w:rsidRDefault="00DE25FB" w:rsidP="00DE25FB">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w:t>
            </w:r>
          </w:p>
        </w:tc>
        <w:tc>
          <w:tcPr>
            <w:tcW w:w="990" w:type="dxa"/>
            <w:tcBorders>
              <w:top w:val="single" w:sz="4" w:space="0" w:color="auto"/>
            </w:tcBorders>
            <w:shd w:val="clear" w:color="auto" w:fill="FFFFFF" w:themeFill="background1"/>
            <w:vAlign w:val="center"/>
          </w:tcPr>
          <w:p w:rsidR="00982F4F" w:rsidRPr="00F31265" w:rsidRDefault="00AA5A70" w:rsidP="00DE25FB">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MEB</w:t>
            </w:r>
          </w:p>
        </w:tc>
      </w:tr>
      <w:tr w:rsidR="00DE25FB" w:rsidRPr="001F29F9" w:rsidTr="00DE25FB">
        <w:trPr>
          <w:trHeight w:val="97"/>
        </w:trPr>
        <w:tc>
          <w:tcPr>
            <w:tcW w:w="4158" w:type="dxa"/>
            <w:gridSpan w:val="3"/>
            <w:tcBorders>
              <w:bottom w:val="nil"/>
              <w:right w:val="thinThickThinSmallGap" w:sz="24" w:space="0" w:color="auto"/>
            </w:tcBorders>
            <w:shd w:val="clear" w:color="auto" w:fill="FFFFFF" w:themeFill="background1"/>
            <w:vAlign w:val="center"/>
          </w:tcPr>
          <w:p w:rsidR="00DE25FB" w:rsidRPr="001F29F9" w:rsidRDefault="00DE25FB" w:rsidP="00DE25FB">
            <w:pPr>
              <w:spacing w:line="18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DE25FB" w:rsidRPr="001F29F9" w:rsidRDefault="00DE25FB" w:rsidP="00DE25FB">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Lumbosacral Strain</w:t>
            </w:r>
          </w:p>
        </w:tc>
        <w:tc>
          <w:tcPr>
            <w:tcW w:w="1080" w:type="dxa"/>
            <w:tcBorders>
              <w:left w:val="single" w:sz="4" w:space="0" w:color="auto"/>
            </w:tcBorders>
            <w:shd w:val="clear" w:color="auto" w:fill="FFFFFF" w:themeFill="background1"/>
            <w:vAlign w:val="center"/>
          </w:tcPr>
          <w:p w:rsidR="00DE25FB" w:rsidRPr="001F29F9" w:rsidRDefault="00DE25FB" w:rsidP="00DE25FB">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5237</w:t>
            </w:r>
          </w:p>
        </w:tc>
        <w:tc>
          <w:tcPr>
            <w:tcW w:w="828" w:type="dxa"/>
            <w:shd w:val="clear" w:color="auto" w:fill="FFFFFF" w:themeFill="background1"/>
            <w:vAlign w:val="center"/>
          </w:tcPr>
          <w:p w:rsidR="00DE25FB" w:rsidRPr="001F29F9" w:rsidRDefault="00DE25FB" w:rsidP="00DE25FB">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DE25FB" w:rsidRPr="00F31265" w:rsidRDefault="00DE25FB" w:rsidP="00DE25FB">
            <w:pPr>
              <w:spacing w:line="180" w:lineRule="exact"/>
              <w:contextualSpacing/>
              <w:rPr>
                <w:rFonts w:ascii="Calibri" w:eastAsia="Times New Roman" w:hAnsi="Calibri" w:cs="Calibri"/>
                <w:color w:val="000000" w:themeColor="text1"/>
                <w:sz w:val="18"/>
                <w:szCs w:val="18"/>
              </w:rPr>
            </w:pPr>
            <w:r w:rsidRPr="00F31265">
              <w:rPr>
                <w:rFonts w:ascii="Calibri" w:eastAsia="Times New Roman" w:hAnsi="Calibri" w:cs="Calibri"/>
                <w:color w:val="000000" w:themeColor="text1"/>
                <w:sz w:val="18"/>
                <w:szCs w:val="18"/>
              </w:rPr>
              <w:t>20030909</w:t>
            </w:r>
          </w:p>
        </w:tc>
      </w:tr>
      <w:tr w:rsidR="00DE25FB" w:rsidRPr="001F29F9" w:rsidTr="001E77BA">
        <w:trPr>
          <w:trHeight w:val="178"/>
        </w:trPr>
        <w:tc>
          <w:tcPr>
            <w:tcW w:w="2178" w:type="dxa"/>
            <w:vMerge w:val="restart"/>
            <w:tcBorders>
              <w:top w:val="nil"/>
              <w:right w:val="nil"/>
            </w:tcBorders>
            <w:shd w:val="clear" w:color="auto" w:fill="FFFFFF" w:themeFill="background1"/>
            <w:vAlign w:val="center"/>
          </w:tcPr>
          <w:p w:rsidR="00DE25FB" w:rsidRPr="001F29F9" w:rsidRDefault="00DE25FB" w:rsidP="00DE25FB">
            <w:pPr>
              <w:spacing w:line="180" w:lineRule="exact"/>
              <w:contextualSpacing/>
              <w:jc w:val="left"/>
              <w:rPr>
                <w:rFonts w:ascii="Calibri" w:eastAsia="Times New Roman" w:hAnsi="Calibri" w:cs="Calibri"/>
                <w:color w:val="000000" w:themeColor="text1"/>
                <w:sz w:val="18"/>
                <w:szCs w:val="18"/>
              </w:rPr>
            </w:pPr>
          </w:p>
        </w:tc>
        <w:tc>
          <w:tcPr>
            <w:tcW w:w="1980" w:type="dxa"/>
            <w:gridSpan w:val="2"/>
            <w:tcBorders>
              <w:top w:val="nil"/>
              <w:left w:val="nil"/>
              <w:bottom w:val="nil"/>
              <w:right w:val="thinThickThinSmallGap" w:sz="24" w:space="0" w:color="auto"/>
            </w:tcBorders>
            <w:shd w:val="clear" w:color="auto" w:fill="FFFFFF" w:themeFill="background1"/>
            <w:vAlign w:val="center"/>
          </w:tcPr>
          <w:p w:rsidR="00DE25FB" w:rsidRPr="001F29F9" w:rsidRDefault="00DE25FB" w:rsidP="00DE25FB">
            <w:pPr>
              <w:spacing w:line="180" w:lineRule="exact"/>
              <w:contextualSpacing/>
              <w:rPr>
                <w:rFonts w:ascii="Calibri" w:eastAsia="Times New Roman" w:hAnsi="Calibri" w:cs="Calibri"/>
                <w:color w:val="000000" w:themeColor="text1"/>
                <w:sz w:val="18"/>
                <w:szCs w:val="18"/>
                <w:highlight w:val="yellow"/>
              </w:rPr>
            </w:pPr>
          </w:p>
        </w:tc>
        <w:tc>
          <w:tcPr>
            <w:tcW w:w="2322" w:type="dxa"/>
            <w:tcBorders>
              <w:left w:val="thinThickThinSmallGap" w:sz="24" w:space="0" w:color="auto"/>
              <w:right w:val="single" w:sz="4" w:space="0" w:color="auto"/>
            </w:tcBorders>
            <w:shd w:val="clear" w:color="auto" w:fill="FFFFFF" w:themeFill="background1"/>
            <w:vAlign w:val="center"/>
          </w:tcPr>
          <w:p w:rsidR="00DE25FB" w:rsidRPr="001F29F9" w:rsidRDefault="00DE25FB" w:rsidP="00DE25FB">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Tinnitus</w:t>
            </w:r>
          </w:p>
        </w:tc>
        <w:tc>
          <w:tcPr>
            <w:tcW w:w="1080" w:type="dxa"/>
            <w:tcBorders>
              <w:left w:val="single" w:sz="4" w:space="0" w:color="auto"/>
            </w:tcBorders>
            <w:shd w:val="clear" w:color="auto" w:fill="FFFFFF" w:themeFill="background1"/>
            <w:vAlign w:val="center"/>
          </w:tcPr>
          <w:p w:rsidR="00DE25FB" w:rsidRPr="001F29F9" w:rsidRDefault="00DE25FB" w:rsidP="00DE25FB">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6260</w:t>
            </w:r>
          </w:p>
        </w:tc>
        <w:tc>
          <w:tcPr>
            <w:tcW w:w="828" w:type="dxa"/>
            <w:shd w:val="clear" w:color="auto" w:fill="FFFFFF" w:themeFill="background1"/>
            <w:vAlign w:val="center"/>
          </w:tcPr>
          <w:p w:rsidR="00DE25FB" w:rsidRPr="001F29F9" w:rsidRDefault="00DE25FB" w:rsidP="00DE25FB">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DE25FB" w:rsidRPr="00F31265" w:rsidRDefault="00F31265" w:rsidP="00DE25FB">
            <w:pPr>
              <w:spacing w:line="180" w:lineRule="exact"/>
              <w:contextualSpacing/>
              <w:rPr>
                <w:rFonts w:ascii="Calibri" w:eastAsia="Times New Roman" w:hAnsi="Calibri" w:cs="Calibri"/>
                <w:color w:val="000000" w:themeColor="text1"/>
                <w:sz w:val="18"/>
                <w:szCs w:val="18"/>
              </w:rPr>
            </w:pPr>
            <w:r w:rsidRPr="00F31265">
              <w:rPr>
                <w:rFonts w:ascii="Calibri" w:eastAsia="Times New Roman" w:hAnsi="Calibri" w:cs="Calibri"/>
                <w:color w:val="000000" w:themeColor="text1"/>
                <w:sz w:val="18"/>
                <w:szCs w:val="18"/>
              </w:rPr>
              <w:t>20030903</w:t>
            </w:r>
          </w:p>
        </w:tc>
      </w:tr>
      <w:tr w:rsidR="00DE25FB" w:rsidRPr="001F29F9" w:rsidTr="001E77BA">
        <w:trPr>
          <w:trHeight w:val="70"/>
        </w:trPr>
        <w:tc>
          <w:tcPr>
            <w:tcW w:w="2178" w:type="dxa"/>
            <w:vMerge/>
            <w:tcBorders>
              <w:right w:val="nil"/>
            </w:tcBorders>
            <w:shd w:val="clear" w:color="auto" w:fill="FFFFFF" w:themeFill="background1"/>
            <w:vAlign w:val="center"/>
          </w:tcPr>
          <w:p w:rsidR="00DE25FB" w:rsidRPr="001F29F9" w:rsidRDefault="00DE25FB" w:rsidP="00DE25FB">
            <w:pPr>
              <w:spacing w:line="180" w:lineRule="exact"/>
              <w:contextualSpacing/>
              <w:jc w:val="left"/>
              <w:rPr>
                <w:rFonts w:ascii="Calibri" w:eastAsia="Times New Roman" w:hAnsi="Calibri" w:cs="Calibri"/>
                <w:color w:val="000000" w:themeColor="text1"/>
                <w:sz w:val="18"/>
                <w:szCs w:val="18"/>
              </w:rPr>
            </w:pPr>
          </w:p>
        </w:tc>
        <w:tc>
          <w:tcPr>
            <w:tcW w:w="1980" w:type="dxa"/>
            <w:gridSpan w:val="2"/>
            <w:tcBorders>
              <w:top w:val="nil"/>
              <w:left w:val="nil"/>
              <w:right w:val="thinThickThinSmallGap" w:sz="24" w:space="0" w:color="auto"/>
            </w:tcBorders>
            <w:shd w:val="clear" w:color="auto" w:fill="FFFFFF" w:themeFill="background1"/>
            <w:vAlign w:val="center"/>
          </w:tcPr>
          <w:p w:rsidR="00DE25FB" w:rsidRPr="001F29F9" w:rsidRDefault="00DE25FB" w:rsidP="00DE25FB">
            <w:pPr>
              <w:spacing w:line="180" w:lineRule="exact"/>
              <w:contextualSpacing/>
              <w:rPr>
                <w:rFonts w:ascii="Calibri" w:eastAsia="Times New Roman" w:hAnsi="Calibri"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DE25FB" w:rsidRPr="001F29F9" w:rsidRDefault="00DE25FB" w:rsidP="00DE25FB">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x </w:t>
            </w:r>
            <w:r>
              <w:rPr>
                <w:rFonts w:ascii="Calibri" w:hAnsi="Calibri" w:cs="Calibri"/>
                <w:color w:val="000000" w:themeColor="text1"/>
                <w:sz w:val="18"/>
                <w:szCs w:val="18"/>
              </w:rPr>
              <w:t>3</w:t>
            </w:r>
            <w:r w:rsidR="00E24A16">
              <w:rPr>
                <w:rFonts w:ascii="Calibri" w:hAnsi="Calibri" w:cs="Calibri"/>
                <w:color w:val="000000" w:themeColor="text1"/>
                <w:sz w:val="18"/>
                <w:szCs w:val="18"/>
              </w:rPr>
              <w:t>/Not Service-</w:t>
            </w:r>
            <w:r w:rsidRPr="001F29F9">
              <w:rPr>
                <w:rFonts w:ascii="Calibri" w:hAnsi="Calibri" w:cs="Calibri"/>
                <w:color w:val="000000" w:themeColor="text1"/>
                <w:sz w:val="18"/>
                <w:szCs w:val="18"/>
              </w:rPr>
              <w:t xml:space="preserve">Connected x </w:t>
            </w:r>
            <w:r>
              <w:rPr>
                <w:rFonts w:ascii="Calibri" w:hAnsi="Calibri" w:cs="Calibri"/>
                <w:color w:val="000000" w:themeColor="text1"/>
                <w:sz w:val="18"/>
                <w:szCs w:val="18"/>
              </w:rPr>
              <w:t>4</w:t>
            </w:r>
          </w:p>
        </w:tc>
        <w:tc>
          <w:tcPr>
            <w:tcW w:w="990" w:type="dxa"/>
            <w:shd w:val="clear" w:color="auto" w:fill="FFFFFF" w:themeFill="background1"/>
            <w:vAlign w:val="center"/>
          </w:tcPr>
          <w:p w:rsidR="00DE25FB" w:rsidRPr="001F29F9" w:rsidRDefault="00F31265" w:rsidP="00DE25FB">
            <w:pPr>
              <w:spacing w:line="180" w:lineRule="exact"/>
              <w:contextualSpacing/>
              <w:rPr>
                <w:rFonts w:ascii="Calibri" w:eastAsia="Times New Roman" w:hAnsi="Calibri" w:cs="Calibri"/>
                <w:color w:val="000000" w:themeColor="text1"/>
                <w:sz w:val="18"/>
                <w:szCs w:val="18"/>
                <w:highlight w:val="yellow"/>
              </w:rPr>
            </w:pPr>
            <w:r w:rsidRPr="00F31265">
              <w:rPr>
                <w:rFonts w:ascii="Calibri" w:eastAsia="Times New Roman" w:hAnsi="Calibri" w:cs="Calibri"/>
                <w:color w:val="000000" w:themeColor="text1"/>
                <w:sz w:val="18"/>
                <w:szCs w:val="18"/>
              </w:rPr>
              <w:t>20030909</w:t>
            </w:r>
          </w:p>
        </w:tc>
      </w:tr>
      <w:tr w:rsidR="007A65A9" w:rsidRPr="001F29F9" w:rsidTr="00DE25FB">
        <w:trPr>
          <w:trHeight w:val="124"/>
        </w:trPr>
        <w:tc>
          <w:tcPr>
            <w:tcW w:w="4158" w:type="dxa"/>
            <w:gridSpan w:val="3"/>
            <w:tcBorders>
              <w:right w:val="thinThickThinSmallGap" w:sz="24" w:space="0" w:color="auto"/>
            </w:tcBorders>
            <w:shd w:val="clear" w:color="auto" w:fill="D9D9D9" w:themeFill="background1" w:themeFillShade="D9"/>
            <w:vAlign w:val="center"/>
          </w:tcPr>
          <w:p w:rsidR="007A65A9" w:rsidRPr="001F29F9" w:rsidRDefault="007A65A9" w:rsidP="00DE25FB">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DE25FB">
              <w:rPr>
                <w:rFonts w:ascii="Calibri" w:hAnsi="Calibri" w:cs="Calibri"/>
                <w:b/>
                <w:color w:val="000000" w:themeColor="text1"/>
                <w:sz w:val="18"/>
                <w:szCs w:val="18"/>
              </w:rPr>
              <w:t>20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1F29F9" w:rsidRDefault="007A65A9" w:rsidP="00DE25FB">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DE25FB">
              <w:rPr>
                <w:rFonts w:ascii="Calibri" w:hAnsi="Calibri" w:cs="Calibri"/>
                <w:b/>
                <w:color w:val="000000" w:themeColor="text1"/>
                <w:sz w:val="18"/>
                <w:szCs w:val="18"/>
              </w:rPr>
              <w:t>5</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r>
    </w:tbl>
    <w:p w:rsidR="005445B4" w:rsidRPr="001F29F9" w:rsidRDefault="005445B4" w:rsidP="00BF0E94">
      <w:pPr>
        <w:pBdr>
          <w:bottom w:val="single" w:sz="12" w:space="1" w:color="auto"/>
        </w:pBdr>
        <w:tabs>
          <w:tab w:val="left" w:pos="288"/>
          <w:tab w:val="left" w:pos="4752"/>
        </w:tabs>
        <w:jc w:val="both"/>
        <w:rPr>
          <w:color w:val="000000" w:themeColor="text1"/>
        </w:rPr>
      </w:pPr>
    </w:p>
    <w:p w:rsidR="009369A6" w:rsidRPr="001F29F9" w:rsidRDefault="009369A6" w:rsidP="009369A6">
      <w:pPr>
        <w:rPr>
          <w:color w:val="000000" w:themeColor="text1"/>
          <w:szCs w:val="24"/>
          <w:u w:val="single"/>
        </w:rPr>
      </w:pPr>
    </w:p>
    <w:p w:rsidR="00F45037" w:rsidRPr="00F45037" w:rsidRDefault="002C6E5B" w:rsidP="00F45037">
      <w:pPr>
        <w:jc w:val="both"/>
        <w:rPr>
          <w:color w:val="000000" w:themeColor="text1"/>
          <w:szCs w:val="24"/>
        </w:rPr>
      </w:pPr>
      <w:r w:rsidRPr="001F29F9">
        <w:rPr>
          <w:color w:val="000000" w:themeColor="text1"/>
          <w:szCs w:val="24"/>
          <w:u w:val="single"/>
        </w:rPr>
        <w:t>ANALYSIS SUMMARY</w:t>
      </w:r>
      <w:r w:rsidRPr="001F29F9">
        <w:rPr>
          <w:color w:val="000000" w:themeColor="text1"/>
          <w:szCs w:val="24"/>
        </w:rPr>
        <w:t>:</w:t>
      </w:r>
      <w:r w:rsidR="00B505E9">
        <w:rPr>
          <w:color w:val="000000" w:themeColor="text1"/>
          <w:szCs w:val="24"/>
        </w:rPr>
        <w:t xml:space="preserve">  </w:t>
      </w:r>
      <w:r w:rsidR="00F45037" w:rsidRPr="00F45037">
        <w:rPr>
          <w:color w:val="000000" w:themeColor="text1"/>
          <w:szCs w:val="24"/>
        </w:rPr>
        <w:t>The DES is responsible for maintaining a fit and v</w:t>
      </w:r>
      <w:r w:rsidR="00E24A16">
        <w:rPr>
          <w:color w:val="000000" w:themeColor="text1"/>
          <w:szCs w:val="24"/>
        </w:rPr>
        <w:t xml:space="preserve">ital fighting force. While the </w:t>
      </w:r>
      <w:r w:rsidR="00F45037" w:rsidRPr="00F45037">
        <w:rPr>
          <w:color w:val="000000" w:themeColor="text1"/>
          <w:szCs w:val="24"/>
        </w:rPr>
        <w:t>DES considers all of the service member's medical conditions, compensation can only be offered for those medical conditions that cut short a service member’s career, and then only to the degree of severity present at the t</w:t>
      </w:r>
      <w:r w:rsidR="00E24A16">
        <w:rPr>
          <w:color w:val="000000" w:themeColor="text1"/>
          <w:szCs w:val="24"/>
        </w:rPr>
        <w:t xml:space="preserve">ime of final disposition.  The </w:t>
      </w:r>
      <w:r w:rsidR="00F45037" w:rsidRPr="00F45037">
        <w:rPr>
          <w:color w:val="000000" w:themeColor="text1"/>
          <w:szCs w:val="24"/>
        </w:rPr>
        <w:t>DES has neither the role nor the authority to compensate service members for anticipated future severity or potential complications of conditions resulting in medical separation nor for cond</w:t>
      </w:r>
      <w:r w:rsidR="00E24A16">
        <w:rPr>
          <w:color w:val="000000" w:themeColor="text1"/>
          <w:szCs w:val="24"/>
        </w:rPr>
        <w:t>itions determined to be service-</w:t>
      </w:r>
      <w:r w:rsidR="00F45037" w:rsidRPr="00F45037">
        <w:rPr>
          <w:color w:val="000000" w:themeColor="text1"/>
          <w:szCs w:val="24"/>
        </w:rPr>
        <w:t xml:space="preserve">connected by the </w:t>
      </w:r>
      <w:r w:rsidR="00E24A16">
        <w:rPr>
          <w:color w:val="000000" w:themeColor="text1"/>
          <w:szCs w:val="24"/>
        </w:rPr>
        <w:t>Department of Veterans’ Affairs (D</w:t>
      </w:r>
      <w:r w:rsidR="00F45037" w:rsidRPr="00F45037">
        <w:rPr>
          <w:color w:val="000000" w:themeColor="text1"/>
          <w:szCs w:val="24"/>
        </w:rPr>
        <w:t>VA</w:t>
      </w:r>
      <w:r w:rsidR="00E24A16">
        <w:rPr>
          <w:color w:val="000000" w:themeColor="text1"/>
          <w:szCs w:val="24"/>
        </w:rPr>
        <w:t>)</w:t>
      </w:r>
      <w:r w:rsidR="00F45037" w:rsidRPr="00F45037">
        <w:rPr>
          <w:color w:val="000000" w:themeColor="text1"/>
          <w:szCs w:val="24"/>
        </w:rPr>
        <w:t xml:space="preserve"> but not determined to be unfitting by the PEB.  However the </w:t>
      </w:r>
      <w:r w:rsidR="00E24A16">
        <w:rPr>
          <w:color w:val="000000" w:themeColor="text1"/>
          <w:szCs w:val="24"/>
        </w:rPr>
        <w:t>DVA</w:t>
      </w:r>
      <w:r w:rsidR="00F45037" w:rsidRPr="00F45037">
        <w:rPr>
          <w:color w:val="000000" w:themeColor="text1"/>
          <w:szCs w:val="24"/>
        </w:rPr>
        <w:t xml:space="preserve">, operating under a different set of laws (Title 38, United </w:t>
      </w:r>
      <w:r w:rsidR="00F45037" w:rsidRPr="00F45037">
        <w:rPr>
          <w:color w:val="000000" w:themeColor="text1"/>
          <w:szCs w:val="24"/>
        </w:rPr>
        <w:lastRenderedPageBreak/>
        <w:t>States Code), is empo</w:t>
      </w:r>
      <w:r w:rsidR="00E24A16">
        <w:rPr>
          <w:color w:val="000000" w:themeColor="text1"/>
          <w:szCs w:val="24"/>
        </w:rPr>
        <w:t>wered to compensate all service-</w:t>
      </w:r>
      <w:r w:rsidR="00F45037" w:rsidRPr="00F45037">
        <w:rPr>
          <w:color w:val="000000" w:themeColor="text1"/>
          <w:szCs w:val="24"/>
        </w:rPr>
        <w:t>connected conditions and to periodically re-evaluate said conditions fo</w:t>
      </w:r>
      <w:r w:rsidR="00E24A16">
        <w:rPr>
          <w:color w:val="000000" w:themeColor="text1"/>
          <w:szCs w:val="24"/>
        </w:rPr>
        <w:t>r the purpose of adjusting the V</w:t>
      </w:r>
      <w:r w:rsidR="00F45037" w:rsidRPr="00F45037">
        <w:rPr>
          <w:color w:val="000000" w:themeColor="text1"/>
          <w:szCs w:val="24"/>
        </w:rPr>
        <w:t>etera</w:t>
      </w:r>
      <w:r w:rsidR="00E24A16">
        <w:rPr>
          <w:color w:val="000000" w:themeColor="text1"/>
          <w:szCs w:val="24"/>
        </w:rPr>
        <w:t>n’s disability rating should the</w:t>
      </w:r>
      <w:r w:rsidR="00F45037" w:rsidRPr="00F45037">
        <w:rPr>
          <w:color w:val="000000" w:themeColor="text1"/>
          <w:szCs w:val="24"/>
        </w:rPr>
        <w:t xml:space="preserve"> degree of impairment vary over time.  The Board’s role is confined to the review of medical records and all evidence at hand to assess the fairness of PEB rating determinations, compared to VASRD standards, based on severity at the time of separation.  It must also judge the fairness of PEB fitness adjudications based on the fitness consequences of conditions as they existed at the time of separation.   The Board’s threshold for countering DES fitness determinations is higher than the VASRD §4.3 reasonable doubt standard used for its rating recommendations; but, remains adherent to the DoDI 6040.44 “fair and equitable” standard.  </w:t>
      </w:r>
    </w:p>
    <w:p w:rsidR="00A1026A" w:rsidRPr="001F29F9" w:rsidRDefault="00A1026A" w:rsidP="00BF0E94">
      <w:pPr>
        <w:jc w:val="left"/>
        <w:rPr>
          <w:color w:val="000000" w:themeColor="text1"/>
          <w:szCs w:val="24"/>
        </w:rPr>
      </w:pPr>
    </w:p>
    <w:p w:rsidR="00E24A16" w:rsidRDefault="00493F05" w:rsidP="005445B4">
      <w:pPr>
        <w:jc w:val="both"/>
        <w:rPr>
          <w:color w:val="000000" w:themeColor="text1"/>
          <w:szCs w:val="24"/>
        </w:rPr>
      </w:pPr>
      <w:r w:rsidRPr="00493F05">
        <w:rPr>
          <w:color w:val="000000" w:themeColor="text1"/>
          <w:szCs w:val="24"/>
          <w:u w:val="single"/>
        </w:rPr>
        <w:t>Bilateral Chronic Ankle Instability</w:t>
      </w:r>
      <w:r>
        <w:rPr>
          <w:color w:val="000000" w:themeColor="text1"/>
          <w:szCs w:val="24"/>
          <w:u w:val="single"/>
        </w:rPr>
        <w:t xml:space="preserve"> </w:t>
      </w:r>
      <w:r w:rsidR="003F2EEE" w:rsidRPr="00BD28EB">
        <w:rPr>
          <w:color w:val="000000" w:themeColor="text1"/>
          <w:szCs w:val="24"/>
          <w:u w:val="single"/>
        </w:rPr>
        <w:t>Condition</w:t>
      </w:r>
      <w:r w:rsidR="003F2EEE" w:rsidRPr="00BD28EB">
        <w:rPr>
          <w:color w:val="000000" w:themeColor="text1"/>
          <w:szCs w:val="24"/>
        </w:rPr>
        <w:t xml:space="preserve">.  </w:t>
      </w:r>
      <w:r w:rsidR="00D36FA6">
        <w:rPr>
          <w:color w:val="000000" w:themeColor="text1"/>
          <w:szCs w:val="24"/>
        </w:rPr>
        <w:t xml:space="preserve">The CI </w:t>
      </w:r>
      <w:r w:rsidR="00E24A16">
        <w:rPr>
          <w:color w:val="000000" w:themeColor="text1"/>
          <w:szCs w:val="24"/>
        </w:rPr>
        <w:t>had an 8</w:t>
      </w:r>
      <w:r w:rsidR="007C334E">
        <w:rPr>
          <w:color w:val="000000" w:themeColor="text1"/>
          <w:szCs w:val="24"/>
        </w:rPr>
        <w:t xml:space="preserve"> year history of ankle pain and instability </w:t>
      </w:r>
      <w:r w:rsidR="00D36FA6">
        <w:rPr>
          <w:color w:val="000000" w:themeColor="text1"/>
          <w:szCs w:val="24"/>
        </w:rPr>
        <w:t xml:space="preserve">associated with </w:t>
      </w:r>
      <w:r w:rsidR="007C334E">
        <w:rPr>
          <w:color w:val="000000" w:themeColor="text1"/>
          <w:szCs w:val="24"/>
        </w:rPr>
        <w:t xml:space="preserve">multiple, repeated bilateral </w:t>
      </w:r>
      <w:r w:rsidR="00D36FA6">
        <w:rPr>
          <w:color w:val="000000" w:themeColor="text1"/>
          <w:szCs w:val="24"/>
        </w:rPr>
        <w:t xml:space="preserve">ankle sprain </w:t>
      </w:r>
      <w:r w:rsidR="007C334E">
        <w:rPr>
          <w:color w:val="000000" w:themeColor="text1"/>
          <w:szCs w:val="24"/>
        </w:rPr>
        <w:t>injuries.</w:t>
      </w:r>
      <w:r w:rsidR="0084089C">
        <w:rPr>
          <w:color w:val="000000" w:themeColor="text1"/>
          <w:szCs w:val="24"/>
        </w:rPr>
        <w:t xml:space="preserve">  </w:t>
      </w:r>
      <w:r w:rsidR="00D36FA6">
        <w:rPr>
          <w:color w:val="000000" w:themeColor="text1"/>
          <w:szCs w:val="24"/>
        </w:rPr>
        <w:t>T</w:t>
      </w:r>
      <w:r w:rsidR="00D36FA6" w:rsidRPr="00D36FA6">
        <w:rPr>
          <w:color w:val="000000" w:themeColor="text1"/>
          <w:szCs w:val="24"/>
        </w:rPr>
        <w:t xml:space="preserve">he CI was placed on LIMDU </w:t>
      </w:r>
      <w:r w:rsidR="002138BD" w:rsidRPr="00D36FA6">
        <w:rPr>
          <w:color w:val="000000" w:themeColor="text1"/>
          <w:szCs w:val="24"/>
        </w:rPr>
        <w:t xml:space="preserve">in April 2002 when it was noted that he had a history of multiple ankle sprains bilaterally and was thought to have chronic ankle instability. </w:t>
      </w:r>
      <w:r w:rsidR="0084089C">
        <w:rPr>
          <w:color w:val="000000" w:themeColor="text1"/>
          <w:szCs w:val="24"/>
        </w:rPr>
        <w:t xml:space="preserve"> </w:t>
      </w:r>
      <w:r w:rsidR="002138BD" w:rsidRPr="00D36FA6">
        <w:rPr>
          <w:color w:val="000000" w:themeColor="text1"/>
          <w:szCs w:val="24"/>
        </w:rPr>
        <w:t xml:space="preserve">He was restricted to physical activity as tolerated and </w:t>
      </w:r>
      <w:r w:rsidR="00D36FA6">
        <w:rPr>
          <w:color w:val="000000" w:themeColor="text1"/>
          <w:szCs w:val="24"/>
        </w:rPr>
        <w:t xml:space="preserve">after a period of conservative treatment was </w:t>
      </w:r>
      <w:r w:rsidR="002138BD" w:rsidRPr="00D36FA6">
        <w:rPr>
          <w:color w:val="000000" w:themeColor="text1"/>
          <w:szCs w:val="24"/>
        </w:rPr>
        <w:t xml:space="preserve">returned to full duty </w:t>
      </w:r>
      <w:r w:rsidR="00E24A16">
        <w:rPr>
          <w:color w:val="000000" w:themeColor="text1"/>
          <w:szCs w:val="24"/>
        </w:rPr>
        <w:t>4</w:t>
      </w:r>
      <w:r w:rsidR="00D36FA6" w:rsidRPr="00D36FA6">
        <w:rPr>
          <w:color w:val="000000" w:themeColor="text1"/>
          <w:szCs w:val="24"/>
        </w:rPr>
        <w:t xml:space="preserve"> months later in </w:t>
      </w:r>
      <w:r w:rsidR="002138BD" w:rsidRPr="00D36FA6">
        <w:rPr>
          <w:color w:val="000000" w:themeColor="text1"/>
          <w:szCs w:val="24"/>
        </w:rPr>
        <w:t>August</w:t>
      </w:r>
      <w:r w:rsidR="00D36FA6" w:rsidRPr="00D36FA6">
        <w:rPr>
          <w:color w:val="000000" w:themeColor="text1"/>
          <w:szCs w:val="24"/>
        </w:rPr>
        <w:t xml:space="preserve"> 2002</w:t>
      </w:r>
      <w:r w:rsidR="007C334E" w:rsidRPr="00D36FA6">
        <w:rPr>
          <w:color w:val="000000" w:themeColor="text1"/>
          <w:szCs w:val="24"/>
        </w:rPr>
        <w:t>.</w:t>
      </w:r>
      <w:r w:rsidR="002138BD" w:rsidRPr="00D36FA6">
        <w:rPr>
          <w:color w:val="000000" w:themeColor="text1"/>
          <w:szCs w:val="24"/>
        </w:rPr>
        <w:t xml:space="preserve">  </w:t>
      </w:r>
      <w:r w:rsidR="002138BD">
        <w:rPr>
          <w:color w:val="000000" w:themeColor="text1"/>
          <w:szCs w:val="24"/>
        </w:rPr>
        <w:t>Symptoms persisted and he presented to orthopedics in</w:t>
      </w:r>
      <w:r w:rsidR="00E24A16">
        <w:rPr>
          <w:color w:val="000000" w:themeColor="text1"/>
          <w:szCs w:val="24"/>
        </w:rPr>
        <w:t xml:space="preserve"> </w:t>
      </w:r>
      <w:r w:rsidR="002138BD">
        <w:rPr>
          <w:color w:val="000000" w:themeColor="text1"/>
          <w:szCs w:val="24"/>
        </w:rPr>
        <w:t xml:space="preserve">May 2003 requesting a PEB for chronic bilateral ankle </w:t>
      </w:r>
      <w:r w:rsidR="00D36FA6">
        <w:rPr>
          <w:color w:val="000000" w:themeColor="text1"/>
          <w:szCs w:val="24"/>
        </w:rPr>
        <w:t xml:space="preserve">pain and </w:t>
      </w:r>
      <w:r w:rsidR="002138BD">
        <w:rPr>
          <w:color w:val="000000" w:themeColor="text1"/>
          <w:szCs w:val="24"/>
        </w:rPr>
        <w:t xml:space="preserve">instability.  </w:t>
      </w:r>
      <w:r w:rsidR="00D36FA6">
        <w:rPr>
          <w:color w:val="000000" w:themeColor="text1"/>
          <w:szCs w:val="24"/>
        </w:rPr>
        <w:t xml:space="preserve">On examination, there was evidence of bilateral ankle instability with </w:t>
      </w:r>
      <w:r w:rsidR="001F1362">
        <w:rPr>
          <w:color w:val="000000" w:themeColor="text1"/>
          <w:szCs w:val="24"/>
        </w:rPr>
        <w:t>anterior drawers test</w:t>
      </w:r>
      <w:r w:rsidR="00D36FA6">
        <w:rPr>
          <w:color w:val="000000" w:themeColor="text1"/>
          <w:szCs w:val="24"/>
        </w:rPr>
        <w:t xml:space="preserve">ing, and </w:t>
      </w:r>
      <w:r w:rsidR="001F1362">
        <w:rPr>
          <w:color w:val="000000" w:themeColor="text1"/>
          <w:szCs w:val="24"/>
        </w:rPr>
        <w:t>ankle tenderness along the medial aspect of both ankles</w:t>
      </w:r>
      <w:r w:rsidR="00D36FA6">
        <w:rPr>
          <w:color w:val="000000" w:themeColor="text1"/>
          <w:szCs w:val="24"/>
        </w:rPr>
        <w:t xml:space="preserve">. </w:t>
      </w:r>
      <w:r w:rsidR="001F1362">
        <w:rPr>
          <w:color w:val="000000" w:themeColor="text1"/>
          <w:szCs w:val="24"/>
        </w:rPr>
        <w:t xml:space="preserve"> Neurovascular exam was normal as was the overlying skin.  </w:t>
      </w:r>
      <w:r w:rsidR="00D36FA6">
        <w:rPr>
          <w:color w:val="000000" w:themeColor="text1"/>
          <w:szCs w:val="24"/>
        </w:rPr>
        <w:t xml:space="preserve">Primary care clinic examinations just prior to the orthopedic examination documented normal </w:t>
      </w:r>
      <w:r w:rsidR="00E24A16">
        <w:rPr>
          <w:color w:val="000000" w:themeColor="text1"/>
          <w:szCs w:val="24"/>
        </w:rPr>
        <w:t>range-of-</w:t>
      </w:r>
      <w:r w:rsidR="00D36FA6">
        <w:rPr>
          <w:color w:val="000000" w:themeColor="text1"/>
          <w:szCs w:val="24"/>
        </w:rPr>
        <w:t>motion</w:t>
      </w:r>
      <w:r w:rsidR="00E24A16">
        <w:rPr>
          <w:color w:val="000000" w:themeColor="text1"/>
          <w:szCs w:val="24"/>
        </w:rPr>
        <w:t xml:space="preserve"> (ROM)</w:t>
      </w:r>
      <w:r w:rsidR="00D36FA6">
        <w:rPr>
          <w:color w:val="000000" w:themeColor="text1"/>
          <w:szCs w:val="24"/>
        </w:rPr>
        <w:t>.</w:t>
      </w:r>
      <w:r w:rsidR="0084089C">
        <w:rPr>
          <w:color w:val="000000" w:themeColor="text1"/>
          <w:szCs w:val="24"/>
        </w:rPr>
        <w:t xml:space="preserve">  </w:t>
      </w:r>
      <w:r w:rsidR="00D36FA6">
        <w:rPr>
          <w:color w:val="000000" w:themeColor="text1"/>
          <w:szCs w:val="24"/>
        </w:rPr>
        <w:t>X-ray i</w:t>
      </w:r>
      <w:r w:rsidR="001F1362">
        <w:rPr>
          <w:color w:val="000000" w:themeColor="text1"/>
          <w:szCs w:val="24"/>
        </w:rPr>
        <w:t xml:space="preserve">maging showed </w:t>
      </w:r>
      <w:r w:rsidR="00D36FA6">
        <w:rPr>
          <w:color w:val="000000" w:themeColor="text1"/>
          <w:szCs w:val="24"/>
        </w:rPr>
        <w:t xml:space="preserve">bilateral </w:t>
      </w:r>
      <w:proofErr w:type="spellStart"/>
      <w:r w:rsidR="001F1362">
        <w:rPr>
          <w:color w:val="000000" w:themeColor="text1"/>
          <w:szCs w:val="24"/>
        </w:rPr>
        <w:t>talar</w:t>
      </w:r>
      <w:proofErr w:type="spellEnd"/>
      <w:r w:rsidR="001F1362">
        <w:rPr>
          <w:color w:val="000000" w:themeColor="text1"/>
          <w:szCs w:val="24"/>
        </w:rPr>
        <w:t xml:space="preserve"> tilt on stress views of the ankles.</w:t>
      </w:r>
      <w:r w:rsidR="00D36FA6">
        <w:rPr>
          <w:color w:val="000000" w:themeColor="text1"/>
          <w:szCs w:val="24"/>
        </w:rPr>
        <w:t xml:space="preserve">  It was </w:t>
      </w:r>
      <w:r w:rsidR="00D36FA6" w:rsidRPr="00D36FA6">
        <w:rPr>
          <w:color w:val="000000" w:themeColor="text1"/>
          <w:szCs w:val="24"/>
        </w:rPr>
        <w:t>opined that he would benefit</w:t>
      </w:r>
      <w:r w:rsidR="00D36FA6">
        <w:rPr>
          <w:color w:val="000000" w:themeColor="text1"/>
          <w:szCs w:val="24"/>
        </w:rPr>
        <w:t xml:space="preserve"> from bilateral surgical reconstructive stabilization procedures; however, he declined the surgery as there was no guarantee that he would not re-injure either ankle in the future and he thought it unlikely that he would be able to continue training </w:t>
      </w:r>
      <w:r w:rsidR="00D36FA6" w:rsidRPr="0003725D">
        <w:rPr>
          <w:color w:val="000000" w:themeColor="text1"/>
          <w:szCs w:val="24"/>
        </w:rPr>
        <w:t xml:space="preserve">at the level necessary to remain in the Marine Corps.  </w:t>
      </w:r>
    </w:p>
    <w:p w:rsidR="00E24A16" w:rsidRDefault="00E24A16" w:rsidP="005445B4">
      <w:pPr>
        <w:jc w:val="both"/>
        <w:rPr>
          <w:color w:val="000000" w:themeColor="text1"/>
          <w:szCs w:val="24"/>
        </w:rPr>
      </w:pPr>
    </w:p>
    <w:p w:rsidR="00D40F3B" w:rsidRPr="006B2337" w:rsidRDefault="005445B4" w:rsidP="005445B4">
      <w:pPr>
        <w:jc w:val="both"/>
        <w:rPr>
          <w:rFonts w:asciiTheme="minorHAnsi" w:hAnsiTheme="minorHAnsi" w:cs="Arial"/>
          <w:color w:val="000000"/>
          <w:szCs w:val="24"/>
        </w:rPr>
      </w:pPr>
      <w:r>
        <w:rPr>
          <w:rFonts w:asciiTheme="minorHAnsi" w:hAnsiTheme="minorHAnsi" w:cs="Times New Roman"/>
          <w:color w:val="auto"/>
          <w:szCs w:val="24"/>
        </w:rPr>
        <w:t>The Board also noted that the commander stated that the CI could not meet his full duty requirements as he could not participate in PT or deploy.  However, he met his in</w:t>
      </w:r>
      <w:r w:rsidR="008B24A5">
        <w:rPr>
          <w:rFonts w:asciiTheme="minorHAnsi" w:hAnsiTheme="minorHAnsi" w:cs="Times New Roman"/>
          <w:color w:val="auto"/>
          <w:szCs w:val="24"/>
        </w:rPr>
        <w:t>-</w:t>
      </w:r>
      <w:r>
        <w:rPr>
          <w:rFonts w:asciiTheme="minorHAnsi" w:hAnsiTheme="minorHAnsi" w:cs="Times New Roman"/>
          <w:color w:val="auto"/>
          <w:szCs w:val="24"/>
        </w:rPr>
        <w:t xml:space="preserve">garrison job requirements and the commander stated he observed the CI participate in numerous recreational sports including basketball, football and softball.  </w:t>
      </w:r>
      <w:r w:rsidR="006772A3">
        <w:rPr>
          <w:color w:val="000000" w:themeColor="text1"/>
          <w:szCs w:val="24"/>
        </w:rPr>
        <w:t xml:space="preserve">The VA </w:t>
      </w:r>
      <w:r w:rsidR="00E24A16">
        <w:rPr>
          <w:color w:val="000000" w:themeColor="text1"/>
          <w:szCs w:val="24"/>
        </w:rPr>
        <w:t>Compensation and P</w:t>
      </w:r>
      <w:r w:rsidR="006772A3">
        <w:rPr>
          <w:color w:val="000000" w:themeColor="text1"/>
          <w:szCs w:val="24"/>
        </w:rPr>
        <w:t>ension (C&amp;P) exam was on 9 September 2003, b</w:t>
      </w:r>
      <w:r w:rsidR="00272F3A">
        <w:rPr>
          <w:color w:val="000000" w:themeColor="text1"/>
          <w:szCs w:val="24"/>
        </w:rPr>
        <w:t>ut did not evaluate the ankles and</w:t>
      </w:r>
      <w:r w:rsidR="006772A3">
        <w:rPr>
          <w:color w:val="000000" w:themeColor="text1"/>
          <w:szCs w:val="24"/>
        </w:rPr>
        <w:t xml:space="preserve"> referred to the MEB exam.</w:t>
      </w:r>
      <w:r w:rsidR="00272F3A">
        <w:rPr>
          <w:color w:val="000000" w:themeColor="text1"/>
          <w:szCs w:val="24"/>
        </w:rPr>
        <w:t xml:space="preserve">  However the gait was documented as normal and strength of the lower extremities was normal.</w:t>
      </w:r>
      <w:r w:rsidR="006772A3">
        <w:rPr>
          <w:color w:val="000000" w:themeColor="text1"/>
          <w:szCs w:val="24"/>
        </w:rPr>
        <w:t xml:space="preserve">  </w:t>
      </w:r>
      <w:r w:rsidR="00AA5A70">
        <w:rPr>
          <w:color w:val="000000" w:themeColor="text1"/>
          <w:szCs w:val="24"/>
        </w:rPr>
        <w:t xml:space="preserve">There are no later VA evaluations in evidence.  </w:t>
      </w:r>
      <w:r w:rsidR="006772A3">
        <w:rPr>
          <w:rFonts w:asciiTheme="minorHAnsi" w:hAnsiTheme="minorHAnsi" w:cs="Times New Roman"/>
          <w:color w:val="auto"/>
          <w:szCs w:val="24"/>
        </w:rPr>
        <w:t>The PEB adjudicated the ankles at 10% each and coded both at 5299-5003, analogous to degenerative arthritis.</w:t>
      </w:r>
      <w:r w:rsidR="0084089C">
        <w:rPr>
          <w:rFonts w:asciiTheme="minorHAnsi" w:hAnsiTheme="minorHAnsi" w:cs="Times New Roman"/>
          <w:color w:val="auto"/>
          <w:szCs w:val="24"/>
        </w:rPr>
        <w:t xml:space="preserve">  </w:t>
      </w:r>
      <w:r w:rsidR="006772A3">
        <w:rPr>
          <w:rFonts w:asciiTheme="minorHAnsi" w:hAnsiTheme="minorHAnsi" w:cs="Times New Roman"/>
          <w:color w:val="auto"/>
          <w:szCs w:val="24"/>
        </w:rPr>
        <w:t xml:space="preserve">The VA also rated each ankle at 10%, but coded them 5299-5271, analogous to limited </w:t>
      </w:r>
      <w:r w:rsidR="00272F3A">
        <w:rPr>
          <w:rFonts w:asciiTheme="minorHAnsi" w:hAnsiTheme="minorHAnsi" w:cs="Times New Roman"/>
          <w:color w:val="auto"/>
          <w:szCs w:val="24"/>
        </w:rPr>
        <w:t>motion</w:t>
      </w:r>
      <w:r>
        <w:rPr>
          <w:rFonts w:asciiTheme="minorHAnsi" w:hAnsiTheme="minorHAnsi" w:cs="Times New Roman"/>
          <w:color w:val="auto"/>
          <w:szCs w:val="24"/>
        </w:rPr>
        <w:t>, noting moderate instability.</w:t>
      </w:r>
      <w:r w:rsidR="006772A3">
        <w:rPr>
          <w:rFonts w:asciiTheme="minorHAnsi" w:hAnsiTheme="minorHAnsi" w:cs="Times New Roman"/>
          <w:color w:val="auto"/>
          <w:szCs w:val="24"/>
        </w:rPr>
        <w:t xml:space="preserve">  </w:t>
      </w:r>
      <w:r w:rsidR="00D40F3B">
        <w:rPr>
          <w:rFonts w:asciiTheme="minorHAnsi" w:hAnsiTheme="minorHAnsi" w:cs="Times New Roman"/>
          <w:color w:val="auto"/>
          <w:szCs w:val="24"/>
        </w:rPr>
        <w:t xml:space="preserve">The Board considered the different coding options, but noted none offered an advantage to the CI over the PEB </w:t>
      </w:r>
      <w:r>
        <w:rPr>
          <w:rFonts w:asciiTheme="minorHAnsi" w:hAnsiTheme="minorHAnsi" w:cs="Times New Roman"/>
          <w:color w:val="auto"/>
          <w:szCs w:val="24"/>
        </w:rPr>
        <w:t xml:space="preserve">or VA </w:t>
      </w:r>
      <w:r w:rsidR="00D40F3B">
        <w:rPr>
          <w:rFonts w:asciiTheme="minorHAnsi" w:hAnsiTheme="minorHAnsi" w:cs="Times New Roman"/>
          <w:color w:val="auto"/>
          <w:szCs w:val="24"/>
        </w:rPr>
        <w:t xml:space="preserve">coding.  </w:t>
      </w:r>
      <w:r>
        <w:rPr>
          <w:rFonts w:asciiTheme="minorHAnsi" w:hAnsiTheme="minorHAnsi" w:cs="Times New Roman"/>
          <w:color w:val="auto"/>
          <w:szCs w:val="24"/>
        </w:rPr>
        <w:t xml:space="preserve">The Board concluded the preponderance of evidence does not support a rating higher than that adjudicated by the PEB.  </w:t>
      </w:r>
      <w:r w:rsidR="00D40F3B" w:rsidRPr="006B2337">
        <w:rPr>
          <w:rFonts w:asciiTheme="minorHAnsi" w:hAnsiTheme="minorHAnsi" w:cs="Arial"/>
          <w:color w:val="000000"/>
          <w:szCs w:val="24"/>
        </w:rPr>
        <w:t>After due deliberation in consideration of the totality of the evidence, the Board concluded that there was insufficient cause to recommend a change from the PEB</w:t>
      </w:r>
      <w:r w:rsidR="00783DAC">
        <w:rPr>
          <w:rFonts w:asciiTheme="minorHAnsi" w:hAnsiTheme="minorHAnsi" w:cs="Arial"/>
          <w:color w:val="000000"/>
          <w:szCs w:val="24"/>
        </w:rPr>
        <w:t xml:space="preserve"> fitness adjudication for the bilateral ankle</w:t>
      </w:r>
      <w:r w:rsidR="00D40F3B" w:rsidRPr="006B2337">
        <w:rPr>
          <w:rFonts w:asciiTheme="minorHAnsi" w:hAnsiTheme="minorHAnsi" w:cs="Arial"/>
          <w:color w:val="000000"/>
          <w:szCs w:val="24"/>
        </w:rPr>
        <w:t xml:space="preserve"> condition.</w:t>
      </w:r>
    </w:p>
    <w:p w:rsidR="006A37D9" w:rsidRDefault="006A37D9" w:rsidP="00F45037">
      <w:pPr>
        <w:tabs>
          <w:tab w:val="left" w:pos="288"/>
          <w:tab w:val="left" w:pos="4752"/>
        </w:tabs>
        <w:jc w:val="both"/>
        <w:rPr>
          <w:rFonts w:asciiTheme="minorHAnsi" w:hAnsiTheme="minorHAnsi" w:cs="Times New Roman"/>
          <w:color w:val="auto"/>
          <w:szCs w:val="24"/>
        </w:rPr>
      </w:pPr>
    </w:p>
    <w:p w:rsidR="008C3223" w:rsidRPr="001F29F9" w:rsidRDefault="004C60A3" w:rsidP="00F45037">
      <w:pPr>
        <w:jc w:val="both"/>
        <w:rPr>
          <w:color w:val="000000" w:themeColor="text1"/>
          <w:szCs w:val="24"/>
        </w:rPr>
      </w:pPr>
      <w:proofErr w:type="gramStart"/>
      <w:r w:rsidRPr="001F29F9">
        <w:rPr>
          <w:rFonts w:eastAsia="HiddenHorzOCR"/>
          <w:color w:val="000000" w:themeColor="text1"/>
          <w:szCs w:val="24"/>
          <w:u w:val="single"/>
        </w:rPr>
        <w:t>Ot</w:t>
      </w:r>
      <w:r w:rsidR="003604A5" w:rsidRPr="001F29F9">
        <w:rPr>
          <w:rFonts w:eastAsia="HiddenHorzOCR"/>
          <w:color w:val="000000" w:themeColor="text1"/>
          <w:szCs w:val="24"/>
          <w:u w:val="single"/>
        </w:rPr>
        <w:t xml:space="preserve">her </w:t>
      </w:r>
      <w:r w:rsidR="008F30F4" w:rsidRPr="001F29F9">
        <w:rPr>
          <w:rFonts w:eastAsia="HiddenHorzOCR"/>
          <w:color w:val="000000" w:themeColor="text1"/>
          <w:szCs w:val="24"/>
          <w:u w:val="single"/>
        </w:rPr>
        <w:t xml:space="preserve">PEB </w:t>
      </w:r>
      <w:r w:rsidR="003604A5" w:rsidRPr="001F29F9">
        <w:rPr>
          <w:rFonts w:eastAsia="HiddenHorzOCR"/>
          <w:color w:val="000000" w:themeColor="text1"/>
          <w:szCs w:val="24"/>
          <w:u w:val="single"/>
        </w:rPr>
        <w:t>Conditions</w:t>
      </w:r>
      <w:r w:rsidR="003604A5" w:rsidRPr="001F29F9">
        <w:rPr>
          <w:rFonts w:eastAsia="HiddenHorzOCR"/>
          <w:color w:val="000000" w:themeColor="text1"/>
          <w:szCs w:val="24"/>
        </w:rPr>
        <w:t>.</w:t>
      </w:r>
      <w:proofErr w:type="gramEnd"/>
      <w:r w:rsidR="002F2981" w:rsidRPr="001F29F9">
        <w:rPr>
          <w:rFonts w:eastAsia="HiddenHorzOCR"/>
          <w:color w:val="000000" w:themeColor="text1"/>
          <w:szCs w:val="24"/>
        </w:rPr>
        <w:t xml:space="preserve"> </w:t>
      </w:r>
      <w:r w:rsidR="003C5B54" w:rsidRPr="001F29F9">
        <w:rPr>
          <w:rFonts w:eastAsia="HiddenHorzOCR"/>
          <w:color w:val="000000" w:themeColor="text1"/>
          <w:szCs w:val="24"/>
        </w:rPr>
        <w:t xml:space="preserve"> </w:t>
      </w:r>
      <w:r w:rsidR="008C3223" w:rsidRPr="007C3963">
        <w:rPr>
          <w:color w:val="000000" w:themeColor="text1"/>
          <w:szCs w:val="24"/>
        </w:rPr>
        <w:t xml:space="preserve">The other condition forwarded by the MEB and adjudicated as </w:t>
      </w:r>
      <w:r w:rsidR="00E24A16">
        <w:rPr>
          <w:color w:val="000000" w:themeColor="text1"/>
          <w:szCs w:val="24"/>
        </w:rPr>
        <w:t>c</w:t>
      </w:r>
      <w:r w:rsidR="00783DAC">
        <w:rPr>
          <w:color w:val="000000" w:themeColor="text1"/>
          <w:szCs w:val="24"/>
        </w:rPr>
        <w:t xml:space="preserve">ategory III, </w:t>
      </w:r>
      <w:r w:rsidR="008C3223" w:rsidRPr="007C3963">
        <w:rPr>
          <w:color w:val="000000" w:themeColor="text1"/>
          <w:szCs w:val="24"/>
        </w:rPr>
        <w:t>not unfitting</w:t>
      </w:r>
      <w:r w:rsidR="00783DAC">
        <w:rPr>
          <w:color w:val="000000" w:themeColor="text1"/>
          <w:szCs w:val="24"/>
        </w:rPr>
        <w:t xml:space="preserve">, </w:t>
      </w:r>
      <w:r w:rsidR="008C3223" w:rsidRPr="007C3963">
        <w:rPr>
          <w:color w:val="000000" w:themeColor="text1"/>
          <w:szCs w:val="24"/>
        </w:rPr>
        <w:t>by the PEB w</w:t>
      </w:r>
      <w:r w:rsidR="00BD28EB" w:rsidRPr="007C3963">
        <w:rPr>
          <w:color w:val="000000" w:themeColor="text1"/>
          <w:szCs w:val="24"/>
        </w:rPr>
        <w:t>as</w:t>
      </w:r>
      <w:r w:rsidR="008C3223" w:rsidRPr="007C3963">
        <w:rPr>
          <w:color w:val="000000" w:themeColor="text1"/>
          <w:szCs w:val="24"/>
        </w:rPr>
        <w:t xml:space="preserve"> </w:t>
      </w:r>
      <w:r w:rsidR="00BD28EB" w:rsidRPr="007C3963">
        <w:rPr>
          <w:color w:val="000000" w:themeColor="text1"/>
          <w:szCs w:val="24"/>
        </w:rPr>
        <w:t xml:space="preserve">right shoulder limited </w:t>
      </w:r>
      <w:r w:rsidR="00E24A16">
        <w:rPr>
          <w:color w:val="000000" w:themeColor="text1"/>
          <w:szCs w:val="24"/>
        </w:rPr>
        <w:t>ROM</w:t>
      </w:r>
      <w:r w:rsidR="008C3223" w:rsidRPr="007C3963">
        <w:rPr>
          <w:color w:val="000000" w:themeColor="text1"/>
          <w:szCs w:val="24"/>
        </w:rPr>
        <w:t xml:space="preserve">.  </w:t>
      </w:r>
      <w:r w:rsidR="00BD28EB" w:rsidRPr="007C3963">
        <w:rPr>
          <w:color w:val="000000" w:themeColor="text1"/>
          <w:szCs w:val="24"/>
        </w:rPr>
        <w:t xml:space="preserve">This </w:t>
      </w:r>
      <w:r w:rsidR="008C3223" w:rsidRPr="007C3963">
        <w:rPr>
          <w:color w:val="000000" w:themeColor="text1"/>
          <w:szCs w:val="24"/>
        </w:rPr>
        <w:t>condition w</w:t>
      </w:r>
      <w:r w:rsidR="00BD28EB" w:rsidRPr="007C3963">
        <w:rPr>
          <w:color w:val="000000" w:themeColor="text1"/>
          <w:szCs w:val="24"/>
        </w:rPr>
        <w:t xml:space="preserve">as </w:t>
      </w:r>
      <w:r w:rsidR="008C3223" w:rsidRPr="007C3963">
        <w:rPr>
          <w:color w:val="000000" w:themeColor="text1"/>
          <w:szCs w:val="24"/>
        </w:rPr>
        <w:t xml:space="preserve">profiled, </w:t>
      </w:r>
      <w:r w:rsidR="00BD28EB" w:rsidRPr="007C3963">
        <w:rPr>
          <w:color w:val="000000" w:themeColor="text1"/>
          <w:szCs w:val="24"/>
        </w:rPr>
        <w:t xml:space="preserve">but not </w:t>
      </w:r>
      <w:r w:rsidR="008C3223" w:rsidRPr="007C3963">
        <w:rPr>
          <w:color w:val="000000" w:themeColor="text1"/>
          <w:szCs w:val="24"/>
        </w:rPr>
        <w:t xml:space="preserve">implicated in the non-medical assessment (NMA) or noted as failing retention standards.  </w:t>
      </w:r>
      <w:r w:rsidR="00783DAC">
        <w:rPr>
          <w:color w:val="000000" w:themeColor="text1"/>
          <w:szCs w:val="24"/>
        </w:rPr>
        <w:t>The Board notes that the</w:t>
      </w:r>
      <w:r w:rsidR="000E670A">
        <w:rPr>
          <w:color w:val="000000" w:themeColor="text1"/>
          <w:szCs w:val="24"/>
        </w:rPr>
        <w:t xml:space="preserve"> right dominant</w:t>
      </w:r>
      <w:r w:rsidR="00783DAC">
        <w:rPr>
          <w:color w:val="000000" w:themeColor="text1"/>
          <w:szCs w:val="24"/>
        </w:rPr>
        <w:t xml:space="preserve"> CI had </w:t>
      </w:r>
      <w:r w:rsidR="00F45037">
        <w:rPr>
          <w:color w:val="000000" w:themeColor="text1"/>
          <w:szCs w:val="24"/>
        </w:rPr>
        <w:t xml:space="preserve">incurred a mid-shaft </w:t>
      </w:r>
      <w:r w:rsidR="00783DAC">
        <w:rPr>
          <w:color w:val="000000" w:themeColor="text1"/>
          <w:szCs w:val="24"/>
        </w:rPr>
        <w:t>fracture</w:t>
      </w:r>
      <w:r w:rsidR="00F45037">
        <w:rPr>
          <w:color w:val="000000" w:themeColor="text1"/>
          <w:szCs w:val="24"/>
        </w:rPr>
        <w:t xml:space="preserve"> of </w:t>
      </w:r>
      <w:r w:rsidR="00E24A16">
        <w:rPr>
          <w:color w:val="000000" w:themeColor="text1"/>
          <w:szCs w:val="24"/>
        </w:rPr>
        <w:t>his clavicle less than 6</w:t>
      </w:r>
      <w:r w:rsidR="00783DAC">
        <w:rPr>
          <w:color w:val="000000" w:themeColor="text1"/>
          <w:szCs w:val="24"/>
        </w:rPr>
        <w:t xml:space="preserve"> months before the MEB orthopedic exam</w:t>
      </w:r>
      <w:r w:rsidR="00272F3A">
        <w:rPr>
          <w:color w:val="000000" w:themeColor="text1"/>
          <w:szCs w:val="24"/>
        </w:rPr>
        <w:t>ination</w:t>
      </w:r>
      <w:r w:rsidR="00272F3A" w:rsidRPr="00272F3A">
        <w:rPr>
          <w:color w:val="000000" w:themeColor="text1"/>
          <w:sz w:val="20"/>
        </w:rPr>
        <w:t>.</w:t>
      </w:r>
      <w:r w:rsidR="0084089C">
        <w:rPr>
          <w:color w:val="000000" w:themeColor="text1"/>
          <w:sz w:val="20"/>
        </w:rPr>
        <w:t xml:space="preserve">  </w:t>
      </w:r>
      <w:r w:rsidR="00783DAC">
        <w:rPr>
          <w:color w:val="000000" w:themeColor="text1"/>
          <w:szCs w:val="24"/>
        </w:rPr>
        <w:t xml:space="preserve">A 13 February 2003 </w:t>
      </w:r>
      <w:r w:rsidR="00272F3A">
        <w:rPr>
          <w:color w:val="000000" w:themeColor="text1"/>
          <w:szCs w:val="24"/>
        </w:rPr>
        <w:t xml:space="preserve">clinic </w:t>
      </w:r>
      <w:r w:rsidR="00783DAC">
        <w:rPr>
          <w:color w:val="000000" w:themeColor="text1"/>
          <w:szCs w:val="24"/>
        </w:rPr>
        <w:t xml:space="preserve">note documented </w:t>
      </w:r>
      <w:r w:rsidR="00272F3A">
        <w:rPr>
          <w:color w:val="000000" w:themeColor="text1"/>
          <w:szCs w:val="24"/>
        </w:rPr>
        <w:t xml:space="preserve">that there was no complaint of pain in the region of the fracture.  On examinations there was </w:t>
      </w:r>
      <w:r w:rsidR="00783DAC">
        <w:rPr>
          <w:color w:val="000000" w:themeColor="text1"/>
          <w:szCs w:val="24"/>
        </w:rPr>
        <w:t xml:space="preserve">full </w:t>
      </w:r>
      <w:r w:rsidR="00E24A16">
        <w:rPr>
          <w:color w:val="000000" w:themeColor="text1"/>
          <w:szCs w:val="24"/>
        </w:rPr>
        <w:t>ROM</w:t>
      </w:r>
      <w:r w:rsidR="00272F3A">
        <w:rPr>
          <w:color w:val="000000" w:themeColor="text1"/>
          <w:szCs w:val="24"/>
        </w:rPr>
        <w:t xml:space="preserve"> </w:t>
      </w:r>
      <w:r w:rsidR="00783DAC">
        <w:rPr>
          <w:color w:val="000000" w:themeColor="text1"/>
          <w:szCs w:val="24"/>
        </w:rPr>
        <w:t xml:space="preserve">of the right shoulder with equivocal tests for shoulder impingement. </w:t>
      </w:r>
      <w:r w:rsidR="00272F3A">
        <w:rPr>
          <w:color w:val="000000" w:themeColor="text1"/>
          <w:szCs w:val="24"/>
        </w:rPr>
        <w:t xml:space="preserve">There was no significant tenderness of the right clavicle.  X-rays showed good healing of the fracture.  </w:t>
      </w:r>
      <w:r w:rsidR="00F45037">
        <w:rPr>
          <w:color w:val="000000" w:themeColor="text1"/>
          <w:szCs w:val="24"/>
        </w:rPr>
        <w:t xml:space="preserve">The subsequent orthopedic examination documented </w:t>
      </w:r>
      <w:r w:rsidR="00E24A16">
        <w:rPr>
          <w:color w:val="000000" w:themeColor="text1"/>
          <w:szCs w:val="24"/>
        </w:rPr>
        <w:t>ROM</w:t>
      </w:r>
      <w:r w:rsidR="00F45037">
        <w:rPr>
          <w:color w:val="000000" w:themeColor="text1"/>
          <w:szCs w:val="24"/>
        </w:rPr>
        <w:t xml:space="preserve"> due to bursitis.  </w:t>
      </w:r>
      <w:r w:rsidR="000E670A">
        <w:rPr>
          <w:color w:val="000000" w:themeColor="text1"/>
          <w:szCs w:val="24"/>
        </w:rPr>
        <w:t xml:space="preserve">It was </w:t>
      </w:r>
      <w:r w:rsidR="00AA5A70">
        <w:rPr>
          <w:color w:val="000000" w:themeColor="text1"/>
          <w:szCs w:val="24"/>
        </w:rPr>
        <w:t xml:space="preserve">again </w:t>
      </w:r>
      <w:r w:rsidR="000E670A">
        <w:rPr>
          <w:color w:val="000000" w:themeColor="text1"/>
          <w:szCs w:val="24"/>
        </w:rPr>
        <w:t>noted that the commander specifically commented that the CI was able to play basketball</w:t>
      </w:r>
      <w:r w:rsidR="00B3781B">
        <w:rPr>
          <w:color w:val="000000" w:themeColor="text1"/>
          <w:szCs w:val="24"/>
        </w:rPr>
        <w:t>,</w:t>
      </w:r>
      <w:r w:rsidR="000E670A">
        <w:rPr>
          <w:color w:val="000000" w:themeColor="text1"/>
          <w:szCs w:val="24"/>
        </w:rPr>
        <w:t xml:space="preserve"> football</w:t>
      </w:r>
      <w:r w:rsidR="00B3781B">
        <w:rPr>
          <w:color w:val="000000" w:themeColor="text1"/>
          <w:szCs w:val="24"/>
        </w:rPr>
        <w:t xml:space="preserve">, and softball </w:t>
      </w:r>
      <w:r w:rsidR="000E670A">
        <w:rPr>
          <w:color w:val="000000" w:themeColor="text1"/>
          <w:szCs w:val="24"/>
        </w:rPr>
        <w:t xml:space="preserve">in the assessment dated </w:t>
      </w:r>
      <w:r w:rsidR="00E24A16">
        <w:rPr>
          <w:color w:val="000000" w:themeColor="text1"/>
          <w:szCs w:val="24"/>
        </w:rPr>
        <w:t>6</w:t>
      </w:r>
      <w:r w:rsidR="000E670A">
        <w:rPr>
          <w:color w:val="000000" w:themeColor="text1"/>
          <w:szCs w:val="24"/>
        </w:rPr>
        <w:t xml:space="preserve"> months after the re-injury.  </w:t>
      </w:r>
      <w:r w:rsidR="00F45037">
        <w:rPr>
          <w:color w:val="000000" w:themeColor="text1"/>
          <w:szCs w:val="24"/>
        </w:rPr>
        <w:t xml:space="preserve">This was </w:t>
      </w:r>
      <w:r w:rsidR="00F45037" w:rsidRPr="001F29F9">
        <w:rPr>
          <w:color w:val="000000" w:themeColor="text1"/>
          <w:szCs w:val="24"/>
        </w:rPr>
        <w:t xml:space="preserve">reviewed by the action officer and considered by the Board.  </w:t>
      </w:r>
      <w:r w:rsidR="008C3223" w:rsidRPr="001F29F9">
        <w:rPr>
          <w:color w:val="000000" w:themeColor="text1"/>
          <w:szCs w:val="24"/>
        </w:rPr>
        <w:t xml:space="preserve">There was no indication from </w:t>
      </w:r>
      <w:r w:rsidR="008C3223" w:rsidRPr="001F29F9">
        <w:rPr>
          <w:color w:val="000000" w:themeColor="text1"/>
          <w:szCs w:val="24"/>
        </w:rPr>
        <w:lastRenderedPageBreak/>
        <w:t>the record that</w:t>
      </w:r>
      <w:r w:rsidR="007C3963">
        <w:rPr>
          <w:color w:val="000000" w:themeColor="text1"/>
          <w:szCs w:val="24"/>
        </w:rPr>
        <w:t xml:space="preserve"> this co</w:t>
      </w:r>
      <w:r w:rsidR="008C3223" w:rsidRPr="001F29F9">
        <w:rPr>
          <w:color w:val="000000" w:themeColor="text1"/>
          <w:szCs w:val="24"/>
        </w:rPr>
        <w:t xml:space="preserve">ndition significantly interfered with satisfactory </w:t>
      </w:r>
      <w:r w:rsidR="0080588E" w:rsidRPr="001F29F9">
        <w:rPr>
          <w:color w:val="000000" w:themeColor="text1"/>
          <w:szCs w:val="24"/>
        </w:rPr>
        <w:t xml:space="preserve">duty </w:t>
      </w:r>
      <w:r w:rsidR="008C3223" w:rsidRPr="001F29F9">
        <w:rPr>
          <w:color w:val="000000" w:themeColor="text1"/>
          <w:szCs w:val="24"/>
        </w:rPr>
        <w:t>performance.  All evidence considered, there is not reasonable doubt in the CI’s favor supporting recharacterization of the PEB fitness adjudication for the stated condition.</w:t>
      </w:r>
    </w:p>
    <w:p w:rsidR="00EC337D" w:rsidRDefault="00EC337D" w:rsidP="00F45037">
      <w:pPr>
        <w:jc w:val="both"/>
        <w:rPr>
          <w:rFonts w:eastAsia="HiddenHorzOCR"/>
          <w:color w:val="000000" w:themeColor="text1"/>
          <w:szCs w:val="24"/>
        </w:rPr>
      </w:pPr>
    </w:p>
    <w:p w:rsidR="00D524E2" w:rsidRPr="001F29F9" w:rsidRDefault="00D524E2" w:rsidP="00F45037">
      <w:pPr>
        <w:jc w:val="both"/>
        <w:rPr>
          <w:color w:val="000000" w:themeColor="text1"/>
          <w:szCs w:val="24"/>
        </w:rPr>
      </w:pPr>
      <w:proofErr w:type="gramStart"/>
      <w:r w:rsidRPr="001F29F9">
        <w:rPr>
          <w:rFonts w:eastAsia="HiddenHorzOCR"/>
          <w:color w:val="000000" w:themeColor="text1"/>
          <w:szCs w:val="24"/>
          <w:u w:val="single"/>
        </w:rPr>
        <w:t>Other Contended Conditions</w:t>
      </w:r>
      <w:r w:rsidRPr="001F29F9">
        <w:rPr>
          <w:rFonts w:eastAsia="HiddenHorzOCR"/>
          <w:color w:val="000000" w:themeColor="text1"/>
          <w:szCs w:val="24"/>
        </w:rPr>
        <w:t>.</w:t>
      </w:r>
      <w:proofErr w:type="gramEnd"/>
      <w:r w:rsidRPr="001F29F9">
        <w:rPr>
          <w:rFonts w:eastAsia="HiddenHorzOCR"/>
          <w:color w:val="000000" w:themeColor="text1"/>
          <w:szCs w:val="24"/>
        </w:rPr>
        <w:t xml:space="preserve">  The CI’s application asserts that compensable ratings should be considered for </w:t>
      </w:r>
      <w:r>
        <w:rPr>
          <w:rFonts w:eastAsia="HiddenHorzOCR"/>
          <w:color w:val="000000" w:themeColor="text1"/>
          <w:szCs w:val="24"/>
        </w:rPr>
        <w:t>lumbosacral strain</w:t>
      </w:r>
      <w:r w:rsidR="000E670A">
        <w:rPr>
          <w:rFonts w:eastAsia="HiddenHorzOCR"/>
          <w:color w:val="000000" w:themeColor="text1"/>
          <w:szCs w:val="24"/>
        </w:rPr>
        <w:t>,</w:t>
      </w:r>
      <w:r>
        <w:rPr>
          <w:rFonts w:eastAsia="HiddenHorzOCR"/>
          <w:color w:val="000000" w:themeColor="text1"/>
          <w:szCs w:val="24"/>
        </w:rPr>
        <w:t xml:space="preserve"> tinnitus</w:t>
      </w:r>
      <w:r w:rsidR="000E670A">
        <w:rPr>
          <w:rFonts w:eastAsia="HiddenHorzOCR"/>
          <w:color w:val="000000" w:themeColor="text1"/>
          <w:szCs w:val="24"/>
        </w:rPr>
        <w:t>,</w:t>
      </w:r>
      <w:r>
        <w:rPr>
          <w:rFonts w:eastAsia="HiddenHorzOCR"/>
          <w:color w:val="000000" w:themeColor="text1"/>
          <w:szCs w:val="24"/>
        </w:rPr>
        <w:t xml:space="preserve"> painful movement of right knee</w:t>
      </w:r>
      <w:r w:rsidR="000E670A">
        <w:rPr>
          <w:rFonts w:eastAsia="HiddenHorzOCR"/>
          <w:color w:val="000000" w:themeColor="text1"/>
          <w:szCs w:val="24"/>
        </w:rPr>
        <w:t>,</w:t>
      </w:r>
      <w:r>
        <w:rPr>
          <w:rFonts w:eastAsia="HiddenHorzOCR"/>
          <w:color w:val="000000" w:themeColor="text1"/>
          <w:szCs w:val="24"/>
        </w:rPr>
        <w:t xml:space="preserve"> left ear hearing loss and </w:t>
      </w:r>
      <w:proofErr w:type="spellStart"/>
      <w:r w:rsidR="000E670A">
        <w:rPr>
          <w:rFonts w:eastAsia="HiddenHorzOCR"/>
          <w:color w:val="000000" w:themeColor="text1"/>
          <w:szCs w:val="24"/>
        </w:rPr>
        <w:t>gastroesophageal</w:t>
      </w:r>
      <w:proofErr w:type="spellEnd"/>
      <w:r w:rsidR="000E670A">
        <w:rPr>
          <w:rFonts w:eastAsia="HiddenHorzOCR"/>
          <w:color w:val="000000" w:themeColor="text1"/>
          <w:szCs w:val="24"/>
        </w:rPr>
        <w:t xml:space="preserve"> reflux disease</w:t>
      </w:r>
      <w:r w:rsidR="00E24A16">
        <w:rPr>
          <w:rFonts w:eastAsia="HiddenHorzOCR"/>
          <w:color w:val="000000" w:themeColor="text1"/>
          <w:szCs w:val="24"/>
        </w:rPr>
        <w:t xml:space="preserve"> (GERD)</w:t>
      </w:r>
      <w:r>
        <w:rPr>
          <w:rFonts w:eastAsia="HiddenHorzOCR"/>
          <w:color w:val="000000" w:themeColor="text1"/>
          <w:szCs w:val="24"/>
        </w:rPr>
        <w:t>.</w:t>
      </w:r>
      <w:r w:rsidR="0084089C">
        <w:rPr>
          <w:rFonts w:eastAsia="HiddenHorzOCR"/>
          <w:color w:val="000000" w:themeColor="text1"/>
          <w:szCs w:val="24"/>
        </w:rPr>
        <w:t xml:space="preserve">  </w:t>
      </w:r>
      <w:r w:rsidRPr="001F29F9">
        <w:rPr>
          <w:rFonts w:eastAsia="HiddenHorzOCR"/>
          <w:color w:val="000000" w:themeColor="text1"/>
          <w:szCs w:val="24"/>
        </w:rPr>
        <w:t>All</w:t>
      </w:r>
      <w:r w:rsidRPr="001F29F9">
        <w:rPr>
          <w:color w:val="000000" w:themeColor="text1"/>
        </w:rPr>
        <w:t xml:space="preserve"> </w:t>
      </w:r>
      <w:r w:rsidRPr="001F29F9">
        <w:rPr>
          <w:color w:val="000000" w:themeColor="text1"/>
          <w:szCs w:val="24"/>
        </w:rPr>
        <w:t>of these conditions were reviewed by the action officer and considered by the Board.</w:t>
      </w:r>
      <w:r w:rsidR="0084089C">
        <w:rPr>
          <w:color w:val="000000" w:themeColor="text1"/>
          <w:szCs w:val="24"/>
        </w:rPr>
        <w:t xml:space="preserve">  </w:t>
      </w:r>
      <w:r w:rsidR="0084089C" w:rsidRPr="00AC1D32">
        <w:rPr>
          <w:color w:val="000000" w:themeColor="text1"/>
          <w:szCs w:val="24"/>
        </w:rPr>
        <w:t xml:space="preserve">None of these conditions were clinically or occupationally </w:t>
      </w:r>
      <w:r w:rsidR="0084089C">
        <w:rPr>
          <w:color w:val="000000" w:themeColor="text1"/>
          <w:szCs w:val="24"/>
        </w:rPr>
        <w:t>significant</w:t>
      </w:r>
      <w:r w:rsidR="0084089C" w:rsidRPr="00AC1D32">
        <w:rPr>
          <w:color w:val="000000" w:themeColor="text1"/>
          <w:szCs w:val="24"/>
        </w:rPr>
        <w:t xml:space="preserve"> during the MEB period, none carried attached duty limitations,</w:t>
      </w:r>
      <w:r w:rsidR="0084089C">
        <w:rPr>
          <w:color w:val="000000" w:themeColor="text1"/>
          <w:szCs w:val="24"/>
        </w:rPr>
        <w:t xml:space="preserve"> and none was</w:t>
      </w:r>
      <w:r w:rsidR="0084089C" w:rsidRPr="00AC1D32">
        <w:rPr>
          <w:color w:val="000000" w:themeColor="text1"/>
          <w:szCs w:val="24"/>
        </w:rPr>
        <w:t xml:space="preserve"> implicated in the non-medical assessment.</w:t>
      </w:r>
      <w:r w:rsidR="0084089C">
        <w:rPr>
          <w:color w:val="000000" w:themeColor="text1"/>
          <w:szCs w:val="24"/>
        </w:rPr>
        <w:t xml:space="preserve"> </w:t>
      </w:r>
      <w:r w:rsidR="0084089C" w:rsidRPr="00AC1D32">
        <w:rPr>
          <w:color w:val="000000" w:themeColor="text1"/>
          <w:szCs w:val="24"/>
        </w:rPr>
        <w:t xml:space="preserve"> </w:t>
      </w:r>
      <w:r w:rsidR="0084089C">
        <w:rPr>
          <w:color w:val="000000" w:themeColor="text1"/>
          <w:szCs w:val="24"/>
        </w:rPr>
        <w:t>T</w:t>
      </w:r>
      <w:r w:rsidR="00B3781B">
        <w:rPr>
          <w:color w:val="000000" w:themeColor="text1"/>
          <w:szCs w:val="24"/>
        </w:rPr>
        <w:t xml:space="preserve">he commander specifically commented that the CI was able to play sports in the assessment dated 21 May 2003.  </w:t>
      </w:r>
      <w:r w:rsidRPr="001F29F9">
        <w:rPr>
          <w:color w:val="000000" w:themeColor="text1"/>
          <w:szCs w:val="24"/>
        </w:rPr>
        <w:t>There was no evidence for concluding that any of the conditions interfered with duty performance to a degree that could be argued as unfitting.  The Board determined therefore that none of the stated conditions were subject to service disability rating.</w:t>
      </w:r>
    </w:p>
    <w:p w:rsidR="007C3963" w:rsidRDefault="007C3963" w:rsidP="00F45037">
      <w:pPr>
        <w:jc w:val="both"/>
        <w:rPr>
          <w:color w:val="000000" w:themeColor="text1"/>
          <w:szCs w:val="24"/>
        </w:rPr>
      </w:pPr>
    </w:p>
    <w:p w:rsidR="00A02AA8" w:rsidRPr="001F29F9" w:rsidRDefault="00A02AA8" w:rsidP="00F45037">
      <w:pPr>
        <w:jc w:val="both"/>
        <w:rPr>
          <w:color w:val="000000" w:themeColor="text1"/>
          <w:szCs w:val="24"/>
        </w:rPr>
      </w:pPr>
      <w:r w:rsidRPr="001F29F9">
        <w:rPr>
          <w:color w:val="000000" w:themeColor="text1"/>
          <w:szCs w:val="24"/>
          <w:u w:val="single"/>
        </w:rPr>
        <w:t>Remaining Conditions</w:t>
      </w:r>
      <w:r w:rsidRPr="00AC1D32">
        <w:rPr>
          <w:color w:val="000000" w:themeColor="text1"/>
          <w:szCs w:val="24"/>
        </w:rPr>
        <w:t xml:space="preserve">.  Other conditions identified in the DES file were </w:t>
      </w:r>
      <w:r w:rsidR="007C3963" w:rsidRPr="00AC1D32">
        <w:rPr>
          <w:color w:val="000000" w:themeColor="text1"/>
          <w:szCs w:val="24"/>
        </w:rPr>
        <w:t xml:space="preserve">positive PPD converter </w:t>
      </w:r>
      <w:r w:rsidR="000E670A">
        <w:rPr>
          <w:color w:val="000000" w:themeColor="text1"/>
          <w:szCs w:val="24"/>
        </w:rPr>
        <w:t>treated with</w:t>
      </w:r>
      <w:r w:rsidR="007C3963" w:rsidRPr="00AC1D32">
        <w:rPr>
          <w:color w:val="000000" w:themeColor="text1"/>
          <w:szCs w:val="24"/>
        </w:rPr>
        <w:t xml:space="preserve"> INH</w:t>
      </w:r>
      <w:r w:rsidR="000E670A">
        <w:rPr>
          <w:color w:val="000000" w:themeColor="text1"/>
          <w:szCs w:val="24"/>
        </w:rPr>
        <w:t xml:space="preserve">, hypertension, left eye </w:t>
      </w:r>
      <w:proofErr w:type="spellStart"/>
      <w:r w:rsidR="000E670A">
        <w:rPr>
          <w:color w:val="000000" w:themeColor="text1"/>
          <w:szCs w:val="24"/>
        </w:rPr>
        <w:t>amblyopia</w:t>
      </w:r>
      <w:proofErr w:type="spellEnd"/>
      <w:r w:rsidR="000E670A">
        <w:rPr>
          <w:color w:val="000000" w:themeColor="text1"/>
          <w:szCs w:val="24"/>
        </w:rPr>
        <w:t>, and a history of head trauma</w:t>
      </w:r>
      <w:r w:rsidR="00D12C1F" w:rsidRPr="00AC1D32">
        <w:rPr>
          <w:color w:val="000000" w:themeColor="text1"/>
          <w:szCs w:val="24"/>
        </w:rPr>
        <w:t xml:space="preserve">.  </w:t>
      </w:r>
      <w:r w:rsidRPr="00AC1D32">
        <w:rPr>
          <w:color w:val="000000" w:themeColor="text1"/>
          <w:szCs w:val="24"/>
        </w:rPr>
        <w:t xml:space="preserve">Several additional non-acute conditions or medical complaints were also documented.  None of these conditions were clinically or occupationally </w:t>
      </w:r>
      <w:r w:rsidR="000E670A">
        <w:rPr>
          <w:color w:val="000000" w:themeColor="text1"/>
          <w:szCs w:val="24"/>
        </w:rPr>
        <w:t>significant</w:t>
      </w:r>
      <w:r w:rsidRPr="00AC1D32">
        <w:rPr>
          <w:color w:val="000000" w:themeColor="text1"/>
          <w:szCs w:val="24"/>
        </w:rPr>
        <w:t xml:space="preserve"> during the MEB period</w:t>
      </w:r>
      <w:r w:rsidR="0080588E" w:rsidRPr="00AC1D32">
        <w:rPr>
          <w:color w:val="000000" w:themeColor="text1"/>
          <w:szCs w:val="24"/>
        </w:rPr>
        <w:t>,</w:t>
      </w:r>
      <w:r w:rsidRPr="00AC1D32">
        <w:rPr>
          <w:color w:val="000000" w:themeColor="text1"/>
          <w:szCs w:val="24"/>
        </w:rPr>
        <w:t xml:space="preserve"> none carried attached duty limitations</w:t>
      </w:r>
      <w:r w:rsidR="0080588E" w:rsidRPr="00AC1D32">
        <w:rPr>
          <w:color w:val="000000" w:themeColor="text1"/>
          <w:szCs w:val="24"/>
        </w:rPr>
        <w:t>,</w:t>
      </w:r>
      <w:r w:rsidR="000E670A">
        <w:rPr>
          <w:color w:val="000000" w:themeColor="text1"/>
          <w:szCs w:val="24"/>
        </w:rPr>
        <w:t xml:space="preserve"> and none was</w:t>
      </w:r>
      <w:r w:rsidRPr="00AC1D32">
        <w:rPr>
          <w:color w:val="000000" w:themeColor="text1"/>
          <w:szCs w:val="24"/>
        </w:rPr>
        <w:t xml:space="preserve"> implicated in the</w:t>
      </w:r>
      <w:r w:rsidR="00E24A16">
        <w:rPr>
          <w:color w:val="000000" w:themeColor="text1"/>
          <w:szCs w:val="24"/>
        </w:rPr>
        <w:t xml:space="preserve"> NMA</w:t>
      </w:r>
      <w:r w:rsidRPr="00AC1D32">
        <w:rPr>
          <w:color w:val="000000" w:themeColor="text1"/>
          <w:szCs w:val="24"/>
        </w:rPr>
        <w:t>.</w:t>
      </w:r>
      <w:r w:rsidR="000E670A">
        <w:rPr>
          <w:color w:val="000000" w:themeColor="text1"/>
          <w:szCs w:val="24"/>
        </w:rPr>
        <w:t xml:space="preserve"> </w:t>
      </w:r>
      <w:r w:rsidRPr="00AC1D32">
        <w:rPr>
          <w:color w:val="000000" w:themeColor="text1"/>
          <w:szCs w:val="24"/>
        </w:rPr>
        <w:t xml:space="preserve"> These conditions were reviewed by the </w:t>
      </w:r>
      <w:r w:rsidR="0080588E" w:rsidRPr="00AC1D32">
        <w:rPr>
          <w:color w:val="000000" w:themeColor="text1"/>
          <w:szCs w:val="24"/>
        </w:rPr>
        <w:t xml:space="preserve">action officer </w:t>
      </w:r>
      <w:r w:rsidRPr="00AC1D32">
        <w:rPr>
          <w:color w:val="000000" w:themeColor="text1"/>
          <w:szCs w:val="24"/>
        </w:rPr>
        <w:t xml:space="preserve">and considered by the Board.  It was determined that none could be argued as unfitting and subject to separation rating.  </w:t>
      </w:r>
      <w:r w:rsidR="00D524E2">
        <w:rPr>
          <w:color w:val="000000" w:themeColor="text1"/>
          <w:szCs w:val="24"/>
        </w:rPr>
        <w:t>No</w:t>
      </w:r>
      <w:r w:rsidRPr="00AC1D32">
        <w:rPr>
          <w:color w:val="000000" w:themeColor="text1"/>
          <w:szCs w:val="24"/>
        </w:rPr>
        <w:t xml:space="preserve"> other </w:t>
      </w:r>
      <w:r w:rsidR="00D524E2">
        <w:rPr>
          <w:color w:val="000000" w:themeColor="text1"/>
          <w:szCs w:val="24"/>
        </w:rPr>
        <w:t xml:space="preserve">conditions or </w:t>
      </w:r>
      <w:r w:rsidRPr="00AC1D32">
        <w:rPr>
          <w:color w:val="000000" w:themeColor="text1"/>
          <w:szCs w:val="24"/>
        </w:rPr>
        <w:t xml:space="preserve">non-acute conditions were </w:t>
      </w:r>
      <w:r w:rsidR="00E24A16">
        <w:rPr>
          <w:color w:val="000000" w:themeColor="text1"/>
          <w:szCs w:val="24"/>
        </w:rPr>
        <w:t>service-</w:t>
      </w:r>
      <w:r w:rsidR="000E670A">
        <w:rPr>
          <w:color w:val="000000" w:themeColor="text1"/>
          <w:szCs w:val="24"/>
        </w:rPr>
        <w:t>connected</w:t>
      </w:r>
      <w:r w:rsidRPr="00AC1D32">
        <w:rPr>
          <w:color w:val="000000" w:themeColor="text1"/>
          <w:szCs w:val="24"/>
        </w:rPr>
        <w:t xml:space="preserve"> in the VA </w:t>
      </w:r>
      <w:r w:rsidR="000E670A">
        <w:rPr>
          <w:color w:val="000000" w:themeColor="text1"/>
          <w:szCs w:val="24"/>
        </w:rPr>
        <w:t xml:space="preserve">decision </w:t>
      </w:r>
      <w:r w:rsidRPr="00AC1D32">
        <w:rPr>
          <w:color w:val="000000" w:themeColor="text1"/>
          <w:szCs w:val="24"/>
        </w:rPr>
        <w:t xml:space="preserve">proximal to separation.  </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0E670A" w:rsidRPr="00E3004D" w:rsidRDefault="00C56FC8" w:rsidP="0084089C">
      <w:pPr>
        <w:jc w:val="both"/>
        <w:rPr>
          <w:rFonts w:cs="Calibri"/>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3C53E8" w:rsidRPr="003C53E8">
        <w:rPr>
          <w:rFonts w:asciiTheme="minorHAnsi" w:eastAsiaTheme="minorHAnsi" w:hAnsiTheme="minorHAnsi" w:cs="Times New Roman"/>
          <w:color w:val="auto"/>
          <w:szCs w:val="24"/>
        </w:rPr>
        <w:t xml:space="preserve">. </w:t>
      </w:r>
      <w:r w:rsidR="000E670A">
        <w:rPr>
          <w:rFonts w:asciiTheme="minorHAnsi" w:eastAsiaTheme="minorHAnsi" w:hAnsiTheme="minorHAnsi" w:cs="Times New Roman"/>
          <w:color w:val="auto"/>
          <w:szCs w:val="24"/>
        </w:rPr>
        <w:t xml:space="preserve"> </w:t>
      </w:r>
      <w:r w:rsidR="000E670A">
        <w:rPr>
          <w:rFonts w:cs="Arial"/>
          <w:color w:val="000000"/>
        </w:rPr>
        <w:t xml:space="preserve">In the matter of the bilateral ankle condition, the Board unanimously recommends no change from the PEB adjudication.  In the matter of the </w:t>
      </w:r>
      <w:r w:rsidR="000E670A">
        <w:rPr>
          <w:rFonts w:eastAsia="HiddenHorzOCR"/>
          <w:color w:val="auto"/>
          <w:szCs w:val="24"/>
        </w:rPr>
        <w:t>right shoulder condition</w:t>
      </w:r>
      <w:r w:rsidR="000E670A">
        <w:rPr>
          <w:rFonts w:cs="Arial"/>
          <w:color w:val="000000"/>
        </w:rPr>
        <w:t>, the Board unanimously recommends no change</w:t>
      </w:r>
      <w:r w:rsidR="00E24A16">
        <w:rPr>
          <w:rFonts w:cs="Arial"/>
          <w:color w:val="000000"/>
        </w:rPr>
        <w:t xml:space="preserve"> from the PEB adjudications as c</w:t>
      </w:r>
      <w:r w:rsidR="000E670A">
        <w:rPr>
          <w:rFonts w:cs="Arial"/>
          <w:color w:val="000000"/>
        </w:rPr>
        <w:t xml:space="preserve">ategory III, not separately unfitting nor contributing to the unfitting condition.  In the matter of the </w:t>
      </w:r>
      <w:r w:rsidR="000E670A" w:rsidRPr="001F29F9">
        <w:rPr>
          <w:rFonts w:eastAsia="HiddenHorzOCR"/>
          <w:color w:val="000000" w:themeColor="text1"/>
          <w:szCs w:val="24"/>
        </w:rPr>
        <w:t xml:space="preserve">for </w:t>
      </w:r>
      <w:r w:rsidR="000E670A">
        <w:rPr>
          <w:rFonts w:eastAsia="HiddenHorzOCR"/>
          <w:color w:val="000000" w:themeColor="text1"/>
          <w:szCs w:val="24"/>
        </w:rPr>
        <w:t xml:space="preserve">lumbosacral strain, tinnitus, painful movement of right knee, left ear hearing loss, </w:t>
      </w:r>
      <w:r w:rsidR="00E24A16">
        <w:rPr>
          <w:rFonts w:eastAsia="HiddenHorzOCR"/>
          <w:color w:val="000000" w:themeColor="text1"/>
          <w:szCs w:val="24"/>
        </w:rPr>
        <w:t>GERD</w:t>
      </w:r>
      <w:r w:rsidR="000E670A">
        <w:rPr>
          <w:rFonts w:eastAsia="HiddenHorzOCR"/>
          <w:color w:val="000000" w:themeColor="text1"/>
          <w:szCs w:val="24"/>
        </w:rPr>
        <w:t xml:space="preserve">, </w:t>
      </w:r>
      <w:r w:rsidR="000E670A" w:rsidRPr="00AC1D32">
        <w:rPr>
          <w:color w:val="000000" w:themeColor="text1"/>
          <w:szCs w:val="24"/>
        </w:rPr>
        <w:t xml:space="preserve">positive PPD converter </w:t>
      </w:r>
      <w:r w:rsidR="000E670A">
        <w:rPr>
          <w:color w:val="000000" w:themeColor="text1"/>
          <w:szCs w:val="24"/>
        </w:rPr>
        <w:t>treated with</w:t>
      </w:r>
      <w:r w:rsidR="000E670A" w:rsidRPr="00AC1D32">
        <w:rPr>
          <w:color w:val="000000" w:themeColor="text1"/>
          <w:szCs w:val="24"/>
        </w:rPr>
        <w:t xml:space="preserve"> INH</w:t>
      </w:r>
      <w:r w:rsidR="000E670A">
        <w:rPr>
          <w:color w:val="000000" w:themeColor="text1"/>
          <w:szCs w:val="24"/>
        </w:rPr>
        <w:t xml:space="preserve">, hypertension, left eye </w:t>
      </w:r>
      <w:proofErr w:type="spellStart"/>
      <w:r w:rsidR="000E670A">
        <w:rPr>
          <w:color w:val="000000" w:themeColor="text1"/>
          <w:szCs w:val="24"/>
        </w:rPr>
        <w:t>amblyopia</w:t>
      </w:r>
      <w:proofErr w:type="spellEnd"/>
      <w:r w:rsidR="000E670A">
        <w:rPr>
          <w:color w:val="000000" w:themeColor="text1"/>
          <w:szCs w:val="24"/>
        </w:rPr>
        <w:t>, and a history of head trauma</w:t>
      </w:r>
      <w:r w:rsidR="000E670A">
        <w:rPr>
          <w:rFonts w:cs="Arial"/>
          <w:color w:val="000000"/>
        </w:rPr>
        <w:t xml:space="preserve"> or any other condition eligible for Board consideration</w:t>
      </w:r>
      <w:r w:rsidR="000E670A" w:rsidRPr="00E3004D">
        <w:rPr>
          <w:rFonts w:cs="Arial"/>
          <w:color w:val="auto"/>
        </w:rPr>
        <w:t xml:space="preserve">, </w:t>
      </w:r>
      <w:r w:rsidR="000E670A" w:rsidRPr="00E3004D">
        <w:rPr>
          <w:rFonts w:cs="Calibri"/>
          <w:color w:val="auto"/>
          <w:szCs w:val="24"/>
        </w:rPr>
        <w:t>the Board unanimously agrees that it cannot recommend any findings of unfit for additional rating at separation.</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6B4AA2" w:rsidRPr="001F29F9" w:rsidRDefault="00C56FC8" w:rsidP="000E670A">
      <w:pPr>
        <w:jc w:val="left"/>
        <w:rPr>
          <w:color w:val="000000" w:themeColor="text1"/>
          <w:szCs w:val="24"/>
        </w:rPr>
      </w:pPr>
      <w:r w:rsidRPr="001F29F9">
        <w:rPr>
          <w:color w:val="000000" w:themeColor="text1"/>
          <w:szCs w:val="24"/>
          <w:u w:val="single"/>
        </w:rPr>
        <w:t>RECOMMENDATION</w:t>
      </w:r>
      <w:r w:rsidRPr="001F29F9">
        <w:rPr>
          <w:color w:val="000000" w:themeColor="text1"/>
          <w:szCs w:val="24"/>
        </w:rPr>
        <w:t>:</w:t>
      </w:r>
      <w:r w:rsidR="000E670A">
        <w:rPr>
          <w:color w:val="000000" w:themeColor="text1"/>
          <w:szCs w:val="24"/>
        </w:rPr>
        <w:t xml:space="preserve">  </w:t>
      </w:r>
      <w:r w:rsidRPr="001F29F9">
        <w:rPr>
          <w:color w:val="000000" w:themeColor="text1"/>
          <w:szCs w:val="24"/>
        </w:rPr>
        <w:t>The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there be no recharacterization of the CI’s disability and separation determination</w:t>
      </w:r>
      <w:r w:rsidR="008C3FD0" w:rsidRPr="001F29F9">
        <w:rPr>
          <w:color w:val="000000" w:themeColor="text1"/>
          <w:szCs w:val="24"/>
        </w:rPr>
        <w:t>,</w:t>
      </w:r>
      <w:r w:rsidR="00BD2A49" w:rsidRPr="001F29F9">
        <w:rPr>
          <w:color w:val="000000" w:themeColor="text1"/>
          <w:szCs w:val="24"/>
        </w:rPr>
        <w:t xml:space="preserve"> as follows:</w:t>
      </w:r>
      <w:r w:rsidR="003604A5" w:rsidRPr="001F29F9">
        <w:rPr>
          <w:color w:val="000000" w:themeColor="text1"/>
          <w:szCs w:val="24"/>
        </w:rPr>
        <w:t xml:space="preserve"> </w:t>
      </w:r>
    </w:p>
    <w:p w:rsidR="001E3FE1" w:rsidRPr="00AC1D32" w:rsidRDefault="001E3FE1" w:rsidP="00BF0E94">
      <w:pPr>
        <w:jc w:val="both"/>
        <w:rPr>
          <w:color w:val="000000" w:themeColor="text1"/>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8"/>
        <w:gridCol w:w="990"/>
        <w:gridCol w:w="2430"/>
        <w:gridCol w:w="1962"/>
      </w:tblGrid>
      <w:tr w:rsidR="004101B2" w:rsidRPr="00AC1D32" w:rsidTr="00A1026A">
        <w:trPr>
          <w:trHeight w:val="206"/>
          <w:jc w:val="center"/>
        </w:trPr>
        <w:tc>
          <w:tcPr>
            <w:tcW w:w="4878" w:type="dxa"/>
            <w:gridSpan w:val="2"/>
            <w:tcBorders>
              <w:right w:val="single" w:sz="4" w:space="0" w:color="auto"/>
            </w:tcBorders>
            <w:shd w:val="clear" w:color="auto" w:fill="D9D9D9"/>
            <w:vAlign w:val="center"/>
          </w:tcPr>
          <w:p w:rsidR="004101B2" w:rsidRPr="00AC1D32" w:rsidRDefault="004101B2" w:rsidP="00BF0E94">
            <w:pPr>
              <w:tabs>
                <w:tab w:val="left" w:pos="288"/>
                <w:tab w:val="left" w:pos="4752"/>
              </w:tabs>
              <w:rPr>
                <w:b/>
                <w:color w:val="000000" w:themeColor="text1"/>
                <w:szCs w:val="24"/>
              </w:rPr>
            </w:pPr>
            <w:r w:rsidRPr="00AC1D32">
              <w:rPr>
                <w:b/>
                <w:color w:val="000000" w:themeColor="text1"/>
                <w:szCs w:val="24"/>
              </w:rPr>
              <w:t>UNFITTING CONDITION</w:t>
            </w:r>
          </w:p>
        </w:tc>
        <w:tc>
          <w:tcPr>
            <w:tcW w:w="2430" w:type="dxa"/>
            <w:tcBorders>
              <w:left w:val="single" w:sz="4" w:space="0" w:color="auto"/>
            </w:tcBorders>
            <w:shd w:val="clear" w:color="auto" w:fill="D9D9D9"/>
            <w:vAlign w:val="center"/>
          </w:tcPr>
          <w:p w:rsidR="004101B2" w:rsidRPr="00AC1D32" w:rsidRDefault="004101B2" w:rsidP="00BF0E94">
            <w:pPr>
              <w:tabs>
                <w:tab w:val="left" w:pos="288"/>
                <w:tab w:val="left" w:pos="4752"/>
              </w:tabs>
              <w:rPr>
                <w:b/>
                <w:color w:val="000000" w:themeColor="text1"/>
                <w:szCs w:val="24"/>
              </w:rPr>
            </w:pPr>
            <w:r w:rsidRPr="00AC1D32">
              <w:rPr>
                <w:b/>
                <w:color w:val="000000" w:themeColor="text1"/>
                <w:szCs w:val="24"/>
              </w:rPr>
              <w:t>VASRD CODE</w:t>
            </w:r>
          </w:p>
        </w:tc>
        <w:tc>
          <w:tcPr>
            <w:tcW w:w="1962" w:type="dxa"/>
            <w:shd w:val="clear" w:color="auto" w:fill="D9D9D9"/>
            <w:vAlign w:val="center"/>
          </w:tcPr>
          <w:p w:rsidR="004101B2" w:rsidRPr="00AC1D32" w:rsidRDefault="004101B2" w:rsidP="00BF0E94">
            <w:pPr>
              <w:tabs>
                <w:tab w:val="left" w:pos="288"/>
                <w:tab w:val="left" w:pos="4752"/>
              </w:tabs>
              <w:rPr>
                <w:b/>
                <w:color w:val="000000" w:themeColor="text1"/>
                <w:szCs w:val="24"/>
              </w:rPr>
            </w:pPr>
            <w:r w:rsidRPr="00AC1D32">
              <w:rPr>
                <w:b/>
                <w:color w:val="000000" w:themeColor="text1"/>
                <w:szCs w:val="24"/>
              </w:rPr>
              <w:t>RATING</w:t>
            </w:r>
          </w:p>
        </w:tc>
      </w:tr>
      <w:tr w:rsidR="00F45037" w:rsidRPr="001F29F9" w:rsidTr="00A1026A">
        <w:trPr>
          <w:jc w:val="center"/>
        </w:trPr>
        <w:tc>
          <w:tcPr>
            <w:tcW w:w="4878" w:type="dxa"/>
            <w:gridSpan w:val="2"/>
            <w:vMerge w:val="restart"/>
            <w:tcBorders>
              <w:right w:val="single" w:sz="4" w:space="0" w:color="auto"/>
            </w:tcBorders>
            <w:vAlign w:val="center"/>
          </w:tcPr>
          <w:p w:rsidR="00F45037" w:rsidRPr="00AC1D32" w:rsidRDefault="00F45037" w:rsidP="00BF0E94">
            <w:pPr>
              <w:tabs>
                <w:tab w:val="left" w:pos="288"/>
                <w:tab w:val="left" w:pos="4752"/>
              </w:tabs>
              <w:jc w:val="left"/>
              <w:rPr>
                <w:color w:val="000000" w:themeColor="text1"/>
                <w:szCs w:val="24"/>
              </w:rPr>
            </w:pPr>
            <w:r>
              <w:rPr>
                <w:color w:val="000000" w:themeColor="text1"/>
                <w:szCs w:val="24"/>
              </w:rPr>
              <w:t>Bilateral chronic ankle instability</w:t>
            </w:r>
          </w:p>
        </w:tc>
        <w:tc>
          <w:tcPr>
            <w:tcW w:w="2430" w:type="dxa"/>
            <w:tcBorders>
              <w:left w:val="single" w:sz="4" w:space="0" w:color="auto"/>
            </w:tcBorders>
            <w:vAlign w:val="center"/>
          </w:tcPr>
          <w:p w:rsidR="00F45037" w:rsidRPr="00AC1D32" w:rsidRDefault="00F45037" w:rsidP="00BF0E94">
            <w:pPr>
              <w:tabs>
                <w:tab w:val="left" w:pos="288"/>
                <w:tab w:val="left" w:pos="4752"/>
              </w:tabs>
              <w:rPr>
                <w:color w:val="000000" w:themeColor="text1"/>
                <w:szCs w:val="24"/>
              </w:rPr>
            </w:pPr>
            <w:r>
              <w:rPr>
                <w:color w:val="000000" w:themeColor="text1"/>
                <w:szCs w:val="24"/>
              </w:rPr>
              <w:t>5299-5003</w:t>
            </w:r>
          </w:p>
        </w:tc>
        <w:tc>
          <w:tcPr>
            <w:tcW w:w="1962" w:type="dxa"/>
            <w:vAlign w:val="center"/>
          </w:tcPr>
          <w:p w:rsidR="00F45037" w:rsidRPr="001F29F9" w:rsidRDefault="00F45037" w:rsidP="00F45037">
            <w:pPr>
              <w:tabs>
                <w:tab w:val="left" w:pos="288"/>
                <w:tab w:val="left" w:pos="4752"/>
              </w:tabs>
              <w:rPr>
                <w:color w:val="000000" w:themeColor="text1"/>
                <w:szCs w:val="24"/>
              </w:rPr>
            </w:pPr>
            <w:r>
              <w:rPr>
                <w:color w:val="000000" w:themeColor="text1"/>
                <w:szCs w:val="24"/>
              </w:rPr>
              <w:t>1</w:t>
            </w:r>
            <w:r w:rsidRPr="00AC1D32">
              <w:rPr>
                <w:color w:val="000000" w:themeColor="text1"/>
                <w:szCs w:val="24"/>
              </w:rPr>
              <w:t>0%</w:t>
            </w:r>
          </w:p>
        </w:tc>
      </w:tr>
      <w:tr w:rsidR="00F45037" w:rsidRPr="001F29F9" w:rsidTr="00A1026A">
        <w:trPr>
          <w:jc w:val="center"/>
        </w:trPr>
        <w:tc>
          <w:tcPr>
            <w:tcW w:w="4878" w:type="dxa"/>
            <w:gridSpan w:val="2"/>
            <w:vMerge/>
            <w:tcBorders>
              <w:right w:val="single" w:sz="4" w:space="0" w:color="auto"/>
            </w:tcBorders>
            <w:vAlign w:val="center"/>
          </w:tcPr>
          <w:p w:rsidR="00F45037" w:rsidRDefault="00F45037" w:rsidP="00BF0E94">
            <w:pPr>
              <w:tabs>
                <w:tab w:val="left" w:pos="288"/>
                <w:tab w:val="left" w:pos="4752"/>
              </w:tabs>
              <w:jc w:val="left"/>
              <w:rPr>
                <w:color w:val="000000" w:themeColor="text1"/>
                <w:szCs w:val="24"/>
              </w:rPr>
            </w:pPr>
          </w:p>
        </w:tc>
        <w:tc>
          <w:tcPr>
            <w:tcW w:w="2430" w:type="dxa"/>
            <w:tcBorders>
              <w:left w:val="single" w:sz="4" w:space="0" w:color="auto"/>
            </w:tcBorders>
            <w:vAlign w:val="center"/>
          </w:tcPr>
          <w:p w:rsidR="00F45037" w:rsidRDefault="00F45037" w:rsidP="00BF0E94">
            <w:pPr>
              <w:tabs>
                <w:tab w:val="left" w:pos="288"/>
                <w:tab w:val="left" w:pos="4752"/>
              </w:tabs>
              <w:rPr>
                <w:color w:val="000000" w:themeColor="text1"/>
                <w:szCs w:val="24"/>
              </w:rPr>
            </w:pPr>
            <w:r>
              <w:rPr>
                <w:color w:val="000000" w:themeColor="text1"/>
                <w:szCs w:val="24"/>
              </w:rPr>
              <w:t>5299-5003</w:t>
            </w:r>
          </w:p>
        </w:tc>
        <w:tc>
          <w:tcPr>
            <w:tcW w:w="1962" w:type="dxa"/>
            <w:vAlign w:val="center"/>
          </w:tcPr>
          <w:p w:rsidR="00F45037" w:rsidRDefault="00F45037" w:rsidP="00BF0E94">
            <w:pPr>
              <w:tabs>
                <w:tab w:val="left" w:pos="288"/>
                <w:tab w:val="left" w:pos="4752"/>
              </w:tabs>
              <w:rPr>
                <w:color w:val="000000" w:themeColor="text1"/>
                <w:szCs w:val="24"/>
              </w:rPr>
            </w:pPr>
            <w:r>
              <w:rPr>
                <w:color w:val="000000" w:themeColor="text1"/>
                <w:szCs w:val="24"/>
              </w:rPr>
              <w:t>1</w:t>
            </w:r>
            <w:r w:rsidRPr="00AC1D32">
              <w:rPr>
                <w:color w:val="000000" w:themeColor="text1"/>
                <w:szCs w:val="24"/>
              </w:rPr>
              <w:t>0%</w:t>
            </w:r>
          </w:p>
        </w:tc>
      </w:tr>
      <w:tr w:rsidR="004101B2" w:rsidRPr="001F29F9" w:rsidTr="00A1026A">
        <w:tblPrEx>
          <w:tblLook w:val="0000"/>
        </w:tblPrEx>
        <w:trPr>
          <w:gridBefore w:val="1"/>
          <w:wBefore w:w="3888" w:type="dxa"/>
          <w:trHeight w:val="143"/>
          <w:jc w:val="center"/>
        </w:trPr>
        <w:tc>
          <w:tcPr>
            <w:tcW w:w="3420" w:type="dxa"/>
            <w:gridSpan w:val="2"/>
            <w:tcBorders>
              <w:left w:val="single" w:sz="4" w:space="0" w:color="auto"/>
              <w:bottom w:val="single" w:sz="4" w:space="0" w:color="auto"/>
            </w:tcBorders>
            <w:shd w:val="clear" w:color="auto" w:fill="D9D9D9" w:themeFill="background1" w:themeFillShade="D9"/>
            <w:vAlign w:val="center"/>
          </w:tcPr>
          <w:p w:rsidR="004101B2" w:rsidRPr="001F29F9" w:rsidRDefault="004101B2" w:rsidP="00BF0E94">
            <w:pPr>
              <w:tabs>
                <w:tab w:val="left" w:pos="288"/>
                <w:tab w:val="left" w:pos="4752"/>
              </w:tabs>
              <w:rPr>
                <w:b/>
                <w:color w:val="000000" w:themeColor="text1"/>
                <w:szCs w:val="24"/>
              </w:rPr>
            </w:pPr>
            <w:r w:rsidRPr="001F29F9">
              <w:rPr>
                <w:b/>
                <w:color w:val="000000" w:themeColor="text1"/>
                <w:szCs w:val="24"/>
              </w:rPr>
              <w:t>COMBINED (Incorporating BLF)</w:t>
            </w:r>
          </w:p>
        </w:tc>
        <w:tc>
          <w:tcPr>
            <w:tcW w:w="1962" w:type="dxa"/>
            <w:tcBorders>
              <w:bottom w:val="single" w:sz="4" w:space="0" w:color="000000"/>
            </w:tcBorders>
            <w:shd w:val="clear" w:color="auto" w:fill="D9D9D9" w:themeFill="background1" w:themeFillShade="D9"/>
            <w:vAlign w:val="center"/>
          </w:tcPr>
          <w:p w:rsidR="004101B2" w:rsidRPr="001F29F9" w:rsidRDefault="000E670A" w:rsidP="00BF0E94">
            <w:pPr>
              <w:tabs>
                <w:tab w:val="left" w:pos="288"/>
                <w:tab w:val="left" w:pos="4752"/>
              </w:tabs>
              <w:rPr>
                <w:b/>
                <w:color w:val="000000" w:themeColor="text1"/>
                <w:szCs w:val="24"/>
              </w:rPr>
            </w:pPr>
            <w:r w:rsidRPr="005445B4">
              <w:rPr>
                <w:b/>
                <w:color w:val="000000" w:themeColor="text1"/>
                <w:szCs w:val="24"/>
              </w:rPr>
              <w:t>2</w:t>
            </w:r>
            <w:r w:rsidR="00911490" w:rsidRPr="005445B4">
              <w:rPr>
                <w:b/>
                <w:color w:val="000000" w:themeColor="text1"/>
                <w:szCs w:val="24"/>
              </w:rPr>
              <w:t>0</w:t>
            </w:r>
            <w:r w:rsidR="004101B2" w:rsidRPr="001F29F9">
              <w:rPr>
                <w:b/>
                <w:color w:val="000000" w:themeColor="text1"/>
                <w:szCs w:val="24"/>
              </w:rPr>
              <w:t>%</w:t>
            </w:r>
          </w:p>
        </w:tc>
      </w:tr>
    </w:tbl>
    <w:p w:rsidR="00E24A16" w:rsidRDefault="00E24A16" w:rsidP="00BF0E94">
      <w:pPr>
        <w:tabs>
          <w:tab w:val="left" w:pos="288"/>
          <w:tab w:val="left" w:pos="4752"/>
        </w:tabs>
        <w:jc w:val="both"/>
        <w:rPr>
          <w:color w:val="000000" w:themeColor="text1"/>
        </w:rPr>
      </w:pPr>
    </w:p>
    <w:p w:rsidR="00E24A16" w:rsidRDefault="00E24A16" w:rsidP="00BF0E94">
      <w:pPr>
        <w:tabs>
          <w:tab w:val="left" w:pos="288"/>
          <w:tab w:val="left" w:pos="4752"/>
        </w:tabs>
        <w:jc w:val="both"/>
        <w:rPr>
          <w:color w:val="000000" w:themeColor="text1"/>
        </w:rPr>
      </w:pPr>
    </w:p>
    <w:p w:rsidR="00E24A16" w:rsidRDefault="00E24A16" w:rsidP="00BF0E94">
      <w:pPr>
        <w:tabs>
          <w:tab w:val="left" w:pos="288"/>
          <w:tab w:val="left" w:pos="4752"/>
        </w:tabs>
        <w:jc w:val="both"/>
        <w:rPr>
          <w:color w:val="000000" w:themeColor="text1"/>
        </w:rPr>
      </w:pPr>
    </w:p>
    <w:p w:rsidR="00E24A16" w:rsidRDefault="00E24A16" w:rsidP="00BF0E94">
      <w:pPr>
        <w:tabs>
          <w:tab w:val="left" w:pos="288"/>
          <w:tab w:val="left" w:pos="4752"/>
        </w:tabs>
        <w:jc w:val="both"/>
        <w:rPr>
          <w:color w:val="000000" w:themeColor="text1"/>
        </w:rPr>
      </w:pPr>
    </w:p>
    <w:p w:rsidR="00E24A16" w:rsidRDefault="00E24A16" w:rsidP="00BF0E94">
      <w:pPr>
        <w:tabs>
          <w:tab w:val="left" w:pos="288"/>
          <w:tab w:val="left" w:pos="4752"/>
        </w:tabs>
        <w:jc w:val="both"/>
        <w:rPr>
          <w:color w:val="000000" w:themeColor="text1"/>
        </w:rPr>
      </w:pPr>
    </w:p>
    <w:p w:rsidR="00E24A16" w:rsidRDefault="00E24A16" w:rsidP="00BF0E94">
      <w:pPr>
        <w:tabs>
          <w:tab w:val="left" w:pos="288"/>
          <w:tab w:val="left" w:pos="4752"/>
        </w:tabs>
        <w:jc w:val="both"/>
        <w:rPr>
          <w:color w:val="000000" w:themeColor="text1"/>
        </w:rPr>
      </w:pPr>
    </w:p>
    <w:p w:rsidR="00E24A16" w:rsidRDefault="00E24A16" w:rsidP="00BF0E94">
      <w:pPr>
        <w:tabs>
          <w:tab w:val="left" w:pos="288"/>
          <w:tab w:val="left" w:pos="4752"/>
        </w:tabs>
        <w:jc w:val="both"/>
        <w:rPr>
          <w:color w:val="000000" w:themeColor="text1"/>
        </w:rPr>
      </w:pPr>
    </w:p>
    <w:p w:rsidR="00E24A16" w:rsidRDefault="00E24A16" w:rsidP="00BF0E94">
      <w:pPr>
        <w:tabs>
          <w:tab w:val="left" w:pos="288"/>
          <w:tab w:val="left" w:pos="4752"/>
        </w:tabs>
        <w:jc w:val="both"/>
        <w:rPr>
          <w:color w:val="000000" w:themeColor="text1"/>
        </w:rPr>
      </w:pPr>
    </w:p>
    <w:p w:rsidR="00D91DA6" w:rsidRPr="001F29F9" w:rsidRDefault="00FB1725" w:rsidP="00BF0E94">
      <w:pPr>
        <w:tabs>
          <w:tab w:val="left" w:pos="288"/>
          <w:tab w:val="left" w:pos="4752"/>
        </w:tabs>
        <w:jc w:val="both"/>
        <w:rPr>
          <w:color w:val="000000" w:themeColor="text1"/>
        </w:rPr>
      </w:pPr>
      <w:r w:rsidRPr="001F29F9">
        <w:rPr>
          <w:color w:val="000000" w:themeColor="text1"/>
        </w:rPr>
        <w:lastRenderedPageBreak/>
        <w:t>The following documentary evidence was considered:</w:t>
      </w: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A37341">
        <w:rPr>
          <w:color w:val="000000" w:themeColor="text1"/>
          <w:szCs w:val="24"/>
        </w:rPr>
        <w:t>11010</w:t>
      </w:r>
      <w:r w:rsidRPr="001F29F9">
        <w:rPr>
          <w:color w:val="000000" w:themeColor="text1"/>
        </w:rPr>
        <w:t>, w/atchs.</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212927">
        <w:rPr>
          <w:color w:val="000000" w:themeColor="text1"/>
          <w:szCs w:val="24"/>
        </w:rPr>
        <w:t>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E3077F" w:rsidRPr="001F29F9"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DC1607" w:rsidRDefault="00DC1607" w:rsidP="00BF0E94">
      <w:pPr>
        <w:rPr>
          <w:color w:val="000000" w:themeColor="text1"/>
          <w:szCs w:val="24"/>
          <w:u w:val="single"/>
        </w:rPr>
      </w:pPr>
    </w:p>
    <w:p w:rsidR="00DC1607" w:rsidRPr="00DC1607" w:rsidRDefault="00DC1607" w:rsidP="00DC1607">
      <w:pPr>
        <w:jc w:val="left"/>
        <w:rPr>
          <w:color w:val="000000" w:themeColor="text1"/>
          <w:szCs w:val="24"/>
          <w:u w:val="single"/>
        </w:rPr>
      </w:pPr>
    </w:p>
    <w:p w:rsidR="00212927" w:rsidRDefault="00212927">
      <w:pPr>
        <w:rPr>
          <w:color w:val="000000" w:themeColor="text1"/>
          <w:szCs w:val="24"/>
          <w:highlight w:val="yellow"/>
        </w:rPr>
      </w:pPr>
      <w:r>
        <w:rPr>
          <w:color w:val="000000" w:themeColor="text1"/>
          <w:szCs w:val="24"/>
          <w:highlight w:val="yellow"/>
        </w:rPr>
        <w:br w:type="page"/>
      </w:r>
    </w:p>
    <w:p w:rsidR="00212927" w:rsidRDefault="00212927" w:rsidP="00212927">
      <w:pPr>
        <w:ind w:left="-360"/>
        <w:jc w:val="left"/>
        <w:rPr>
          <w:rFonts w:ascii="Courier New" w:hAnsi="Courier New" w:cs="Courier New"/>
          <w:color w:val="auto"/>
        </w:rPr>
      </w:pPr>
      <w:r>
        <w:rPr>
          <w:rFonts w:ascii="Courier New" w:hAnsi="Courier New" w:cs="Courier New"/>
          <w:color w:val="auto"/>
        </w:rPr>
        <w:lastRenderedPageBreak/>
        <w:t>MEMORANDUM FOR DIRECTOR, SECRETARY OF THE NAVY COUNCIL OF REVIEW</w:t>
      </w:r>
    </w:p>
    <w:p w:rsidR="00212927" w:rsidRDefault="00212927" w:rsidP="00212927">
      <w:pPr>
        <w:ind w:left="-360"/>
        <w:jc w:val="left"/>
        <w:rPr>
          <w:rFonts w:ascii="Courier New" w:hAnsi="Courier New" w:cs="Courier New"/>
          <w:color w:val="auto"/>
        </w:rPr>
      </w:pPr>
      <w:r>
        <w:rPr>
          <w:rFonts w:ascii="Courier New" w:hAnsi="Courier New" w:cs="Courier New"/>
          <w:color w:val="auto"/>
        </w:rPr>
        <w:t xml:space="preserve">               BOARDS </w:t>
      </w:r>
    </w:p>
    <w:p w:rsidR="00212927" w:rsidRDefault="00212927" w:rsidP="00212927">
      <w:pPr>
        <w:jc w:val="left"/>
        <w:rPr>
          <w:rFonts w:ascii="Courier New" w:hAnsi="Courier New" w:cs="Courier New"/>
          <w:color w:val="auto"/>
        </w:rPr>
      </w:pPr>
    </w:p>
    <w:p w:rsidR="00212927" w:rsidRDefault="00212927" w:rsidP="00212927">
      <w:pPr>
        <w:ind w:left="-360"/>
        <w:jc w:val="left"/>
        <w:rPr>
          <w:rFonts w:ascii="Courier New" w:hAnsi="Courier New" w:cs="Courier New"/>
          <w:color w:val="auto"/>
        </w:rPr>
      </w:pPr>
      <w:proofErr w:type="spellStart"/>
      <w:r>
        <w:rPr>
          <w:rFonts w:ascii="Courier New" w:hAnsi="Courier New" w:cs="Courier New"/>
          <w:color w:val="auto"/>
        </w:rPr>
        <w:t>Subj</w:t>
      </w:r>
      <w:proofErr w:type="spellEnd"/>
      <w:r>
        <w:rPr>
          <w:rFonts w:ascii="Courier New" w:hAnsi="Courier New" w:cs="Courier New"/>
          <w:color w:val="auto"/>
        </w:rPr>
        <w:t>:  PHYSICAL DISABILITY BOARD OF REVIEW (PDBR) RECOMMENDATIONS</w:t>
      </w:r>
    </w:p>
    <w:p w:rsidR="00212927" w:rsidRDefault="00212927" w:rsidP="00212927">
      <w:pPr>
        <w:jc w:val="left"/>
        <w:rPr>
          <w:rFonts w:ascii="Courier New" w:hAnsi="Courier New" w:cs="Courier New"/>
          <w:color w:val="auto"/>
        </w:rPr>
      </w:pPr>
      <w:r>
        <w:rPr>
          <w:rFonts w:ascii="Courier New" w:hAnsi="Courier New" w:cs="Courier New"/>
          <w:color w:val="auto"/>
        </w:rPr>
        <w:t xml:space="preserve"> </w:t>
      </w:r>
    </w:p>
    <w:p w:rsidR="00212927" w:rsidRDefault="00212927" w:rsidP="00212927">
      <w:pPr>
        <w:ind w:left="-360"/>
        <w:jc w:val="left"/>
        <w:rPr>
          <w:rFonts w:ascii="Courier New" w:hAnsi="Courier New" w:cs="Courier New"/>
          <w:color w:val="auto"/>
        </w:rPr>
      </w:pPr>
      <w:r>
        <w:rPr>
          <w:rFonts w:ascii="Courier New" w:hAnsi="Courier New" w:cs="Courier New"/>
          <w:color w:val="auto"/>
        </w:rPr>
        <w:t>Ref:   (a) DoDI 6040.44</w:t>
      </w:r>
    </w:p>
    <w:p w:rsidR="00212927" w:rsidRDefault="00212927" w:rsidP="00212927">
      <w:pPr>
        <w:ind w:left="-360"/>
        <w:jc w:val="left"/>
        <w:rPr>
          <w:rFonts w:ascii="Courier New" w:hAnsi="Courier New" w:cs="Courier New"/>
          <w:color w:val="auto"/>
        </w:rPr>
      </w:pPr>
      <w:r>
        <w:rPr>
          <w:rFonts w:ascii="Courier New" w:hAnsi="Courier New" w:cs="Courier New"/>
          <w:color w:val="auto"/>
        </w:rPr>
        <w:t xml:space="preserve">       (b) CORB </w:t>
      </w:r>
      <w:proofErr w:type="spellStart"/>
      <w:r>
        <w:rPr>
          <w:rFonts w:ascii="Courier New" w:hAnsi="Courier New" w:cs="Courier New"/>
          <w:color w:val="auto"/>
        </w:rPr>
        <w:t>ltr</w:t>
      </w:r>
      <w:proofErr w:type="spellEnd"/>
      <w:r>
        <w:rPr>
          <w:rFonts w:ascii="Courier New" w:hAnsi="Courier New" w:cs="Courier New"/>
          <w:color w:val="auto"/>
        </w:rPr>
        <w:t xml:space="preserve"> </w:t>
      </w:r>
      <w:proofErr w:type="spellStart"/>
      <w:r>
        <w:rPr>
          <w:rFonts w:ascii="Courier New" w:hAnsi="Courier New" w:cs="Courier New"/>
          <w:color w:val="auto"/>
        </w:rPr>
        <w:t>dtd</w:t>
      </w:r>
      <w:proofErr w:type="spellEnd"/>
      <w:r>
        <w:rPr>
          <w:rFonts w:ascii="Courier New" w:hAnsi="Courier New" w:cs="Courier New"/>
          <w:color w:val="auto"/>
        </w:rPr>
        <w:t xml:space="preserve"> 2 May 12</w:t>
      </w:r>
    </w:p>
    <w:p w:rsidR="00212927" w:rsidRDefault="00212927" w:rsidP="00212927">
      <w:pPr>
        <w:ind w:left="-540"/>
        <w:jc w:val="left"/>
        <w:rPr>
          <w:rFonts w:ascii="Courier New" w:hAnsi="Courier New" w:cs="Courier New"/>
          <w:color w:val="auto"/>
        </w:rPr>
      </w:pPr>
    </w:p>
    <w:p w:rsidR="00212927" w:rsidRDefault="00212927" w:rsidP="00212927">
      <w:pPr>
        <w:ind w:left="-360"/>
        <w:jc w:val="left"/>
        <w:rPr>
          <w:rFonts w:ascii="Courier New" w:hAnsi="Courier New" w:cs="Courier New"/>
          <w:color w:val="auto"/>
        </w:rPr>
      </w:pPr>
      <w:r>
        <w:rPr>
          <w:rFonts w:ascii="Courier New" w:hAnsi="Courier New" w:cs="Courier New"/>
          <w:color w:val="auto"/>
        </w:rPr>
        <w:t xml:space="preserve">      In accordance with reference (a), I have reviewed the cases forwarded by reference (b), and, for the reasons provided in their forwarding memorandum, approve the recommendations of the PDBR the following individual’s records not be corrected to reflect a change in either characterization of separation or in the disability rating previously assigned by the Department of the Navy’s Physical Evaluation Board:</w:t>
      </w:r>
    </w:p>
    <w:p w:rsidR="00212927" w:rsidRDefault="00212927" w:rsidP="00212927">
      <w:pPr>
        <w:ind w:left="1080"/>
        <w:jc w:val="left"/>
        <w:rPr>
          <w:rFonts w:ascii="Courier New" w:hAnsi="Courier New" w:cs="Courier New"/>
          <w:color w:val="auto"/>
        </w:rPr>
      </w:pPr>
    </w:p>
    <w:p w:rsidR="00212927" w:rsidRDefault="00212927" w:rsidP="00212927">
      <w:pPr>
        <w:ind w:left="720"/>
        <w:jc w:val="left"/>
        <w:rPr>
          <w:rFonts w:ascii="Courier New" w:hAnsi="Courier New" w:cs="Courier New"/>
          <w:color w:val="auto"/>
        </w:rPr>
      </w:pPr>
      <w:r>
        <w:rPr>
          <w:rFonts w:ascii="Courier New" w:hAnsi="Courier New" w:cs="Courier New"/>
          <w:color w:val="auto"/>
        </w:rPr>
        <w:t xml:space="preserve">-  XXXXXXXXXXXXXX former USMC   </w:t>
      </w:r>
    </w:p>
    <w:p w:rsidR="00212927" w:rsidRDefault="00212927" w:rsidP="00212927">
      <w:pPr>
        <w:ind w:left="720"/>
        <w:jc w:val="left"/>
        <w:rPr>
          <w:rFonts w:ascii="Courier New" w:hAnsi="Courier New" w:cs="Courier New"/>
          <w:color w:val="auto"/>
        </w:rPr>
      </w:pPr>
      <w:r>
        <w:rPr>
          <w:rFonts w:ascii="Courier New" w:hAnsi="Courier New" w:cs="Courier New"/>
          <w:color w:val="auto"/>
        </w:rPr>
        <w:t>-  XXXXXXXXXXXXXX former USMC</w:t>
      </w:r>
    </w:p>
    <w:p w:rsidR="00212927" w:rsidRDefault="00212927" w:rsidP="00212927">
      <w:pPr>
        <w:ind w:left="720"/>
        <w:jc w:val="left"/>
        <w:rPr>
          <w:rFonts w:ascii="Courier New" w:hAnsi="Courier New" w:cs="Courier New"/>
          <w:color w:val="auto"/>
        </w:rPr>
      </w:pPr>
      <w:r>
        <w:rPr>
          <w:rFonts w:ascii="Courier New" w:hAnsi="Courier New" w:cs="Courier New"/>
          <w:color w:val="auto"/>
        </w:rPr>
        <w:t xml:space="preserve">-  XXXXXXXXXXXXXX, former USN, </w:t>
      </w:r>
    </w:p>
    <w:p w:rsidR="00212927" w:rsidRDefault="00212927" w:rsidP="00212927">
      <w:pPr>
        <w:ind w:left="720"/>
        <w:jc w:val="left"/>
        <w:rPr>
          <w:rFonts w:ascii="Courier New" w:hAnsi="Courier New" w:cs="Courier New"/>
          <w:color w:val="auto"/>
        </w:rPr>
      </w:pPr>
      <w:r>
        <w:rPr>
          <w:rFonts w:ascii="Courier New" w:hAnsi="Courier New" w:cs="Courier New"/>
          <w:color w:val="auto"/>
        </w:rPr>
        <w:t xml:space="preserve">-  XXXXXXXXXXXXXX, former USN,  </w:t>
      </w:r>
    </w:p>
    <w:p w:rsidR="00212927" w:rsidRDefault="00212927" w:rsidP="00212927">
      <w:pPr>
        <w:ind w:left="720"/>
        <w:jc w:val="left"/>
        <w:rPr>
          <w:rFonts w:ascii="Courier New" w:hAnsi="Courier New" w:cs="Courier New"/>
          <w:color w:val="auto"/>
        </w:rPr>
      </w:pPr>
      <w:r>
        <w:rPr>
          <w:rFonts w:ascii="Courier New" w:hAnsi="Courier New" w:cs="Courier New"/>
          <w:color w:val="auto"/>
        </w:rPr>
        <w:t>-  XXXXXXXXXXXXXX former USMC</w:t>
      </w:r>
    </w:p>
    <w:p w:rsidR="00212927" w:rsidRDefault="00212927" w:rsidP="00212927">
      <w:pPr>
        <w:ind w:left="720"/>
        <w:jc w:val="left"/>
        <w:rPr>
          <w:rFonts w:ascii="Courier New" w:hAnsi="Courier New" w:cs="Courier New"/>
          <w:color w:val="auto"/>
        </w:rPr>
      </w:pPr>
      <w:r>
        <w:rPr>
          <w:rFonts w:ascii="Courier New" w:hAnsi="Courier New" w:cs="Courier New"/>
          <w:color w:val="auto"/>
        </w:rPr>
        <w:t xml:space="preserve">-  XXXXXXXXXXXXXX former USN,  </w:t>
      </w:r>
    </w:p>
    <w:p w:rsidR="00212927" w:rsidRDefault="00212927" w:rsidP="00212927">
      <w:pPr>
        <w:ind w:left="1080"/>
        <w:jc w:val="left"/>
        <w:rPr>
          <w:rFonts w:ascii="Courier New" w:hAnsi="Courier New" w:cs="Courier New"/>
          <w:color w:val="auto"/>
        </w:rPr>
      </w:pPr>
    </w:p>
    <w:p w:rsidR="00212927" w:rsidRDefault="00212927" w:rsidP="00212927">
      <w:pPr>
        <w:ind w:left="1080"/>
        <w:jc w:val="left"/>
        <w:rPr>
          <w:rFonts w:ascii="Courier New" w:hAnsi="Courier New" w:cs="Courier New"/>
          <w:color w:val="auto"/>
        </w:rPr>
      </w:pPr>
    </w:p>
    <w:p w:rsidR="00212927" w:rsidRDefault="00212927" w:rsidP="00212927">
      <w:pPr>
        <w:ind w:left="720"/>
        <w:jc w:val="left"/>
        <w:rPr>
          <w:rFonts w:ascii="Courier New" w:hAnsi="Courier New" w:cs="Courier New"/>
          <w:color w:val="auto"/>
        </w:rPr>
      </w:pPr>
    </w:p>
    <w:p w:rsidR="00212927" w:rsidRDefault="00212927" w:rsidP="00212927">
      <w:pPr>
        <w:jc w:val="left"/>
        <w:rPr>
          <w:rFonts w:ascii="Courier New" w:hAnsi="Courier New" w:cs="Courier New"/>
          <w:color w:val="auto"/>
        </w:rPr>
      </w:pPr>
      <w:r>
        <w:rPr>
          <w:rFonts w:ascii="Courier New" w:hAnsi="Courier New" w:cs="Courier New"/>
          <w:color w:val="auto"/>
        </w:rPr>
        <w:tab/>
      </w:r>
      <w:r>
        <w:rPr>
          <w:rFonts w:ascii="Courier New" w:hAnsi="Courier New" w:cs="Courier New"/>
          <w:color w:val="auto"/>
        </w:rPr>
        <w:tab/>
      </w:r>
      <w:r>
        <w:rPr>
          <w:rFonts w:ascii="Courier New" w:hAnsi="Courier New" w:cs="Courier New"/>
          <w:color w:val="auto"/>
        </w:rPr>
        <w:tab/>
      </w:r>
      <w:r>
        <w:rPr>
          <w:rFonts w:ascii="Courier New" w:hAnsi="Courier New" w:cs="Courier New"/>
          <w:color w:val="auto"/>
        </w:rPr>
        <w:tab/>
      </w:r>
      <w:r>
        <w:rPr>
          <w:rFonts w:ascii="Courier New" w:hAnsi="Courier New" w:cs="Courier New"/>
          <w:color w:val="auto"/>
        </w:rPr>
        <w:tab/>
      </w:r>
      <w:r>
        <w:rPr>
          <w:rFonts w:ascii="Courier New" w:hAnsi="Courier New" w:cs="Courier New"/>
          <w:color w:val="auto"/>
        </w:rPr>
        <w:tab/>
        <w:t xml:space="preserve">  XXXXXXXXXXXXXXX</w:t>
      </w:r>
    </w:p>
    <w:p w:rsidR="00212927" w:rsidRDefault="00212927" w:rsidP="00212927">
      <w:pPr>
        <w:jc w:val="left"/>
        <w:rPr>
          <w:rFonts w:ascii="Courier New" w:hAnsi="Courier New" w:cs="Courier New"/>
          <w:color w:val="auto"/>
        </w:rPr>
      </w:pPr>
      <w:r>
        <w:rPr>
          <w:rFonts w:ascii="Courier New" w:hAnsi="Courier New" w:cs="Courier New"/>
          <w:color w:val="auto"/>
        </w:rPr>
        <w:tab/>
        <w:t xml:space="preserve">     </w:t>
      </w:r>
      <w:r>
        <w:rPr>
          <w:rFonts w:ascii="Courier New" w:hAnsi="Courier New" w:cs="Courier New"/>
          <w:color w:val="auto"/>
        </w:rPr>
        <w:tab/>
      </w:r>
      <w:r>
        <w:rPr>
          <w:rFonts w:ascii="Courier New" w:hAnsi="Courier New" w:cs="Courier New"/>
          <w:color w:val="auto"/>
        </w:rPr>
        <w:tab/>
      </w:r>
      <w:r>
        <w:rPr>
          <w:rFonts w:ascii="Courier New" w:hAnsi="Courier New" w:cs="Courier New"/>
          <w:color w:val="auto"/>
        </w:rPr>
        <w:tab/>
      </w:r>
      <w:r>
        <w:rPr>
          <w:rFonts w:ascii="Courier New" w:hAnsi="Courier New" w:cs="Courier New"/>
          <w:color w:val="auto"/>
        </w:rPr>
        <w:tab/>
        <w:t xml:space="preserve">  Assistant General Counsel</w:t>
      </w:r>
    </w:p>
    <w:p w:rsidR="00212927" w:rsidRDefault="00212927" w:rsidP="00212927">
      <w:pPr>
        <w:jc w:val="left"/>
        <w:rPr>
          <w:rFonts w:ascii="Courier New" w:hAnsi="Courier New" w:cs="Courier New"/>
          <w:color w:val="auto"/>
        </w:rPr>
      </w:pPr>
      <w:r>
        <w:rPr>
          <w:rFonts w:ascii="Courier New" w:hAnsi="Courier New" w:cs="Courier New"/>
          <w:color w:val="auto"/>
        </w:rPr>
        <w:tab/>
      </w:r>
      <w:r>
        <w:rPr>
          <w:rFonts w:ascii="Courier New" w:hAnsi="Courier New" w:cs="Courier New"/>
          <w:color w:val="auto"/>
        </w:rPr>
        <w:tab/>
      </w:r>
      <w:r>
        <w:rPr>
          <w:rFonts w:ascii="Courier New" w:hAnsi="Courier New" w:cs="Courier New"/>
          <w:color w:val="auto"/>
        </w:rPr>
        <w:tab/>
      </w:r>
      <w:r>
        <w:rPr>
          <w:rFonts w:ascii="Courier New" w:hAnsi="Courier New" w:cs="Courier New"/>
          <w:color w:val="auto"/>
        </w:rPr>
        <w:tab/>
      </w:r>
      <w:r>
        <w:rPr>
          <w:rFonts w:ascii="Courier New" w:hAnsi="Courier New" w:cs="Courier New"/>
          <w:color w:val="auto"/>
        </w:rPr>
        <w:tab/>
      </w:r>
      <w:r>
        <w:rPr>
          <w:rFonts w:ascii="Courier New" w:hAnsi="Courier New" w:cs="Courier New"/>
          <w:color w:val="auto"/>
        </w:rPr>
        <w:tab/>
        <w:t xml:space="preserve">   (Manpower &amp; Reserve Affairs)</w:t>
      </w:r>
    </w:p>
    <w:p w:rsidR="0084089C" w:rsidRDefault="0084089C" w:rsidP="00DC1607">
      <w:pPr>
        <w:jc w:val="left"/>
        <w:rPr>
          <w:color w:val="000000" w:themeColor="text1"/>
          <w:szCs w:val="24"/>
          <w:highlight w:val="yellow"/>
        </w:rPr>
      </w:pPr>
    </w:p>
    <w:sectPr w:rsidR="0084089C"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21A" w:rsidRDefault="0030321A">
      <w:r>
        <w:separator/>
      </w:r>
    </w:p>
  </w:endnote>
  <w:endnote w:type="continuationSeparator" w:id="0">
    <w:p w:rsidR="0030321A" w:rsidRDefault="003032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272F3A" w:rsidRPr="00374247" w:rsidRDefault="00272F3A" w:rsidP="00374247">
        <w:pPr>
          <w:pStyle w:val="Footer"/>
          <w:ind w:firstLine="4320"/>
          <w:rPr>
            <w:color w:val="auto"/>
            <w:szCs w:val="24"/>
          </w:rPr>
        </w:pPr>
        <w:r w:rsidRPr="00374247">
          <w:rPr>
            <w:color w:val="auto"/>
            <w:szCs w:val="24"/>
          </w:rPr>
          <w:t xml:space="preserve">   </w:t>
        </w:r>
        <w:r w:rsidR="009250DA" w:rsidRPr="00374247">
          <w:rPr>
            <w:color w:val="auto"/>
            <w:szCs w:val="24"/>
          </w:rPr>
          <w:fldChar w:fldCharType="begin"/>
        </w:r>
        <w:r w:rsidRPr="00374247">
          <w:rPr>
            <w:color w:val="auto"/>
            <w:szCs w:val="24"/>
          </w:rPr>
          <w:instrText xml:space="preserve"> PAGE   \* MERGEFORMAT </w:instrText>
        </w:r>
        <w:r w:rsidR="009250DA" w:rsidRPr="00374247">
          <w:rPr>
            <w:color w:val="auto"/>
            <w:szCs w:val="24"/>
          </w:rPr>
          <w:fldChar w:fldCharType="separate"/>
        </w:r>
        <w:r w:rsidR="00212927" w:rsidRPr="00212927">
          <w:rPr>
            <w:noProof/>
            <w:color w:val="auto"/>
          </w:rPr>
          <w:t>4</w:t>
        </w:r>
        <w:r w:rsidR="009250DA"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100893</w:t>
        </w:r>
      </w:p>
    </w:sdtContent>
  </w:sdt>
  <w:p w:rsidR="00272F3A" w:rsidRPr="00684CE6" w:rsidRDefault="00272F3A">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21A" w:rsidRDefault="0030321A">
      <w:r>
        <w:separator/>
      </w:r>
    </w:p>
  </w:footnote>
  <w:footnote w:type="continuationSeparator" w:id="0">
    <w:p w:rsidR="0030321A" w:rsidRDefault="003032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5778"/>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072"/>
    <w:rsid w:val="00036E4B"/>
    <w:rsid w:val="0003725D"/>
    <w:rsid w:val="00037929"/>
    <w:rsid w:val="000379D0"/>
    <w:rsid w:val="00040458"/>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4C25"/>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670A"/>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32C4"/>
    <w:rsid w:val="001745DD"/>
    <w:rsid w:val="00174FDE"/>
    <w:rsid w:val="00174FE3"/>
    <w:rsid w:val="00176D63"/>
    <w:rsid w:val="00177659"/>
    <w:rsid w:val="0017788A"/>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96143"/>
    <w:rsid w:val="001A025E"/>
    <w:rsid w:val="001A08CD"/>
    <w:rsid w:val="001A0A1E"/>
    <w:rsid w:val="001A2182"/>
    <w:rsid w:val="001A323E"/>
    <w:rsid w:val="001A5320"/>
    <w:rsid w:val="001A5E62"/>
    <w:rsid w:val="001A6848"/>
    <w:rsid w:val="001A7538"/>
    <w:rsid w:val="001B00E4"/>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D7C8F"/>
    <w:rsid w:val="001E15C0"/>
    <w:rsid w:val="001E18E0"/>
    <w:rsid w:val="001E18E2"/>
    <w:rsid w:val="001E19D0"/>
    <w:rsid w:val="001E2A30"/>
    <w:rsid w:val="001E2FF1"/>
    <w:rsid w:val="001E3FE1"/>
    <w:rsid w:val="001E41FE"/>
    <w:rsid w:val="001E5B66"/>
    <w:rsid w:val="001E635C"/>
    <w:rsid w:val="001E77BA"/>
    <w:rsid w:val="001F0297"/>
    <w:rsid w:val="001F1362"/>
    <w:rsid w:val="001F29F9"/>
    <w:rsid w:val="001F6E0B"/>
    <w:rsid w:val="00200AA0"/>
    <w:rsid w:val="00202325"/>
    <w:rsid w:val="00202736"/>
    <w:rsid w:val="00203652"/>
    <w:rsid w:val="00204562"/>
    <w:rsid w:val="00205B4F"/>
    <w:rsid w:val="002060B6"/>
    <w:rsid w:val="002066B5"/>
    <w:rsid w:val="00210EAC"/>
    <w:rsid w:val="00211612"/>
    <w:rsid w:val="002119B6"/>
    <w:rsid w:val="00211D49"/>
    <w:rsid w:val="00212389"/>
    <w:rsid w:val="00212927"/>
    <w:rsid w:val="00212B40"/>
    <w:rsid w:val="002138BD"/>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2F3A"/>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321A"/>
    <w:rsid w:val="00305856"/>
    <w:rsid w:val="00305867"/>
    <w:rsid w:val="0030678B"/>
    <w:rsid w:val="00306D16"/>
    <w:rsid w:val="0030700A"/>
    <w:rsid w:val="00307595"/>
    <w:rsid w:val="00307DA6"/>
    <w:rsid w:val="00310CD7"/>
    <w:rsid w:val="00311BC5"/>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570A"/>
    <w:rsid w:val="0033601F"/>
    <w:rsid w:val="00336805"/>
    <w:rsid w:val="00337351"/>
    <w:rsid w:val="00341A54"/>
    <w:rsid w:val="00344A4F"/>
    <w:rsid w:val="00344D17"/>
    <w:rsid w:val="0034669F"/>
    <w:rsid w:val="003470C4"/>
    <w:rsid w:val="00351498"/>
    <w:rsid w:val="00352B22"/>
    <w:rsid w:val="00352CBF"/>
    <w:rsid w:val="00354547"/>
    <w:rsid w:val="003549F5"/>
    <w:rsid w:val="00355747"/>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2BDE"/>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124"/>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3F05"/>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B2"/>
    <w:rsid w:val="004C05CF"/>
    <w:rsid w:val="004C0776"/>
    <w:rsid w:val="004C102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0A"/>
    <w:rsid w:val="00534D42"/>
    <w:rsid w:val="005350A5"/>
    <w:rsid w:val="00536379"/>
    <w:rsid w:val="00537238"/>
    <w:rsid w:val="005400C5"/>
    <w:rsid w:val="005404CD"/>
    <w:rsid w:val="00540BE0"/>
    <w:rsid w:val="00540BEF"/>
    <w:rsid w:val="00542B34"/>
    <w:rsid w:val="00542C9A"/>
    <w:rsid w:val="005436C2"/>
    <w:rsid w:val="005442D4"/>
    <w:rsid w:val="005445B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1E18"/>
    <w:rsid w:val="005C3758"/>
    <w:rsid w:val="005C4334"/>
    <w:rsid w:val="005C4D72"/>
    <w:rsid w:val="005C50C1"/>
    <w:rsid w:val="005C62C2"/>
    <w:rsid w:val="005D2306"/>
    <w:rsid w:val="005D2562"/>
    <w:rsid w:val="005D2666"/>
    <w:rsid w:val="005D4548"/>
    <w:rsid w:val="005D4A74"/>
    <w:rsid w:val="005D533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3A33"/>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4A8D"/>
    <w:rsid w:val="00645046"/>
    <w:rsid w:val="0064527A"/>
    <w:rsid w:val="006454F4"/>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772A3"/>
    <w:rsid w:val="0068098E"/>
    <w:rsid w:val="006810BD"/>
    <w:rsid w:val="00682486"/>
    <w:rsid w:val="006833A7"/>
    <w:rsid w:val="00684CE6"/>
    <w:rsid w:val="00684E2B"/>
    <w:rsid w:val="006857A0"/>
    <w:rsid w:val="00687C7E"/>
    <w:rsid w:val="00687D3D"/>
    <w:rsid w:val="00687FA0"/>
    <w:rsid w:val="00690569"/>
    <w:rsid w:val="00690FDA"/>
    <w:rsid w:val="00691E61"/>
    <w:rsid w:val="00692180"/>
    <w:rsid w:val="006937C6"/>
    <w:rsid w:val="00693C5E"/>
    <w:rsid w:val="00693CEE"/>
    <w:rsid w:val="00694EEA"/>
    <w:rsid w:val="00695035"/>
    <w:rsid w:val="006955B4"/>
    <w:rsid w:val="00695DEF"/>
    <w:rsid w:val="00696476"/>
    <w:rsid w:val="00696C74"/>
    <w:rsid w:val="00697C9B"/>
    <w:rsid w:val="006A10FA"/>
    <w:rsid w:val="006A12E0"/>
    <w:rsid w:val="006A37D9"/>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531"/>
    <w:rsid w:val="006B67D9"/>
    <w:rsid w:val="006B6C14"/>
    <w:rsid w:val="006B7159"/>
    <w:rsid w:val="006B715E"/>
    <w:rsid w:val="006C1D6E"/>
    <w:rsid w:val="006C2EF6"/>
    <w:rsid w:val="006C3A68"/>
    <w:rsid w:val="006C3B08"/>
    <w:rsid w:val="006C559D"/>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6F6350"/>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3DAC"/>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97E9A"/>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34E"/>
    <w:rsid w:val="007C3963"/>
    <w:rsid w:val="007C3E5A"/>
    <w:rsid w:val="007C433E"/>
    <w:rsid w:val="007C4452"/>
    <w:rsid w:val="007C4B3C"/>
    <w:rsid w:val="007C4DB1"/>
    <w:rsid w:val="007C6046"/>
    <w:rsid w:val="007C605A"/>
    <w:rsid w:val="007C6F0C"/>
    <w:rsid w:val="007D0292"/>
    <w:rsid w:val="007D0724"/>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2121"/>
    <w:rsid w:val="007E2370"/>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17C50"/>
    <w:rsid w:val="008208C3"/>
    <w:rsid w:val="008220F1"/>
    <w:rsid w:val="0082340B"/>
    <w:rsid w:val="00823D6A"/>
    <w:rsid w:val="008266EB"/>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089C"/>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77E89"/>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4A5"/>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2A86"/>
    <w:rsid w:val="008D2F28"/>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0DA"/>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6B6"/>
    <w:rsid w:val="00963A7A"/>
    <w:rsid w:val="00966AFE"/>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2F4F"/>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6D6E"/>
    <w:rsid w:val="009A79BA"/>
    <w:rsid w:val="009B10F9"/>
    <w:rsid w:val="009B14D1"/>
    <w:rsid w:val="009B1534"/>
    <w:rsid w:val="009B4963"/>
    <w:rsid w:val="009B4A3B"/>
    <w:rsid w:val="009B4D61"/>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026A"/>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7341"/>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6B"/>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5A70"/>
    <w:rsid w:val="00AA73AF"/>
    <w:rsid w:val="00AB062D"/>
    <w:rsid w:val="00AB0A8A"/>
    <w:rsid w:val="00AB1754"/>
    <w:rsid w:val="00AB1F8D"/>
    <w:rsid w:val="00AB27DD"/>
    <w:rsid w:val="00AB4BA4"/>
    <w:rsid w:val="00AB592E"/>
    <w:rsid w:val="00AC0C1C"/>
    <w:rsid w:val="00AC1305"/>
    <w:rsid w:val="00AC1D32"/>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2"/>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83B"/>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81B"/>
    <w:rsid w:val="00B37F53"/>
    <w:rsid w:val="00B40A05"/>
    <w:rsid w:val="00B40A3E"/>
    <w:rsid w:val="00B427BB"/>
    <w:rsid w:val="00B43BA2"/>
    <w:rsid w:val="00B449EE"/>
    <w:rsid w:val="00B454AE"/>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86F1B"/>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2CD9"/>
    <w:rsid w:val="00BB45B5"/>
    <w:rsid w:val="00BB4DDE"/>
    <w:rsid w:val="00BB6064"/>
    <w:rsid w:val="00BB65CE"/>
    <w:rsid w:val="00BB7012"/>
    <w:rsid w:val="00BC04FF"/>
    <w:rsid w:val="00BC09D1"/>
    <w:rsid w:val="00BC1CF3"/>
    <w:rsid w:val="00BC2BE0"/>
    <w:rsid w:val="00BC3573"/>
    <w:rsid w:val="00BC5860"/>
    <w:rsid w:val="00BC7F82"/>
    <w:rsid w:val="00BD1844"/>
    <w:rsid w:val="00BD28EB"/>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6821"/>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82F"/>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485"/>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2C1F"/>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FA6"/>
    <w:rsid w:val="00D373F1"/>
    <w:rsid w:val="00D37567"/>
    <w:rsid w:val="00D40B1F"/>
    <w:rsid w:val="00D40D75"/>
    <w:rsid w:val="00D40F3B"/>
    <w:rsid w:val="00D43978"/>
    <w:rsid w:val="00D43CBD"/>
    <w:rsid w:val="00D449F0"/>
    <w:rsid w:val="00D462D7"/>
    <w:rsid w:val="00D46A33"/>
    <w:rsid w:val="00D5062C"/>
    <w:rsid w:val="00D50C8C"/>
    <w:rsid w:val="00D52393"/>
    <w:rsid w:val="00D523E4"/>
    <w:rsid w:val="00D524E2"/>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626C"/>
    <w:rsid w:val="00D67FD7"/>
    <w:rsid w:val="00D704E4"/>
    <w:rsid w:val="00D709E1"/>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B23"/>
    <w:rsid w:val="00DA3EC8"/>
    <w:rsid w:val="00DA40C1"/>
    <w:rsid w:val="00DA5564"/>
    <w:rsid w:val="00DA6B55"/>
    <w:rsid w:val="00DA6B97"/>
    <w:rsid w:val="00DA6CEE"/>
    <w:rsid w:val="00DB0015"/>
    <w:rsid w:val="00DB0359"/>
    <w:rsid w:val="00DB078A"/>
    <w:rsid w:val="00DB0ABB"/>
    <w:rsid w:val="00DB1D01"/>
    <w:rsid w:val="00DB2AAD"/>
    <w:rsid w:val="00DB44E2"/>
    <w:rsid w:val="00DB4A6D"/>
    <w:rsid w:val="00DB5941"/>
    <w:rsid w:val="00DB626D"/>
    <w:rsid w:val="00DB6365"/>
    <w:rsid w:val="00DB756C"/>
    <w:rsid w:val="00DC07B7"/>
    <w:rsid w:val="00DC0BF1"/>
    <w:rsid w:val="00DC1607"/>
    <w:rsid w:val="00DC17F2"/>
    <w:rsid w:val="00DC37D8"/>
    <w:rsid w:val="00DC4001"/>
    <w:rsid w:val="00DC41C3"/>
    <w:rsid w:val="00DC4A3C"/>
    <w:rsid w:val="00DC4FA4"/>
    <w:rsid w:val="00DC5B37"/>
    <w:rsid w:val="00DD286D"/>
    <w:rsid w:val="00DD2CAF"/>
    <w:rsid w:val="00DD3593"/>
    <w:rsid w:val="00DD64E0"/>
    <w:rsid w:val="00DD775C"/>
    <w:rsid w:val="00DD7BE0"/>
    <w:rsid w:val="00DE0C67"/>
    <w:rsid w:val="00DE25FB"/>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577A"/>
    <w:rsid w:val="00E06BBD"/>
    <w:rsid w:val="00E100E3"/>
    <w:rsid w:val="00E1012B"/>
    <w:rsid w:val="00E103C8"/>
    <w:rsid w:val="00E1085B"/>
    <w:rsid w:val="00E1308B"/>
    <w:rsid w:val="00E14581"/>
    <w:rsid w:val="00E14623"/>
    <w:rsid w:val="00E15539"/>
    <w:rsid w:val="00E16541"/>
    <w:rsid w:val="00E17B0D"/>
    <w:rsid w:val="00E17EC9"/>
    <w:rsid w:val="00E202F4"/>
    <w:rsid w:val="00E207C3"/>
    <w:rsid w:val="00E21386"/>
    <w:rsid w:val="00E2421B"/>
    <w:rsid w:val="00E242AF"/>
    <w:rsid w:val="00E24849"/>
    <w:rsid w:val="00E24A16"/>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2903"/>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265"/>
    <w:rsid w:val="00F3197A"/>
    <w:rsid w:val="00F32139"/>
    <w:rsid w:val="00F33CF0"/>
    <w:rsid w:val="00F33D56"/>
    <w:rsid w:val="00F34E08"/>
    <w:rsid w:val="00F41D91"/>
    <w:rsid w:val="00F41F52"/>
    <w:rsid w:val="00F41FA1"/>
    <w:rsid w:val="00F42363"/>
    <w:rsid w:val="00F427C4"/>
    <w:rsid w:val="00F43C73"/>
    <w:rsid w:val="00F43D6C"/>
    <w:rsid w:val="00F45037"/>
    <w:rsid w:val="00F46964"/>
    <w:rsid w:val="00F46F9A"/>
    <w:rsid w:val="00F470FD"/>
    <w:rsid w:val="00F50F30"/>
    <w:rsid w:val="00F5126A"/>
    <w:rsid w:val="00F5126E"/>
    <w:rsid w:val="00F516EF"/>
    <w:rsid w:val="00F51755"/>
    <w:rsid w:val="00F531D9"/>
    <w:rsid w:val="00F54D8E"/>
    <w:rsid w:val="00F5580D"/>
    <w:rsid w:val="00F56EA1"/>
    <w:rsid w:val="00F571C3"/>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3FF8"/>
    <w:rsid w:val="00F75C12"/>
    <w:rsid w:val="00F76D01"/>
    <w:rsid w:val="00F80B43"/>
    <w:rsid w:val="00F80C97"/>
    <w:rsid w:val="00F81C35"/>
    <w:rsid w:val="00F81E9C"/>
    <w:rsid w:val="00F82981"/>
    <w:rsid w:val="00F8311F"/>
    <w:rsid w:val="00F83248"/>
    <w:rsid w:val="00F83376"/>
    <w:rsid w:val="00F83EB5"/>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6D4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960845053">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A70FF-4E01-4750-BC92-2467CB7ED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1857</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2012-04-30T15:45:00Z</cp:lastPrinted>
  <dcterms:created xsi:type="dcterms:W3CDTF">2012-05-23T18:30:00Z</dcterms:created>
  <dcterms:modified xsi:type="dcterms:W3CDTF">2012-05-23T18:30:00Z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