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BE4424" w:rsidRDefault="00AD2379" w:rsidP="00D768AB">
      <w:pPr>
        <w:tabs>
          <w:tab w:val="left" w:pos="288"/>
          <w:tab w:val="left" w:pos="4770"/>
        </w:tabs>
        <w:rPr>
          <w:color w:val="auto"/>
        </w:rPr>
      </w:pPr>
      <w:r w:rsidRPr="00BE4424">
        <w:rPr>
          <w:color w:val="auto"/>
        </w:rPr>
        <w:t>RECORD OF PROCEEDINGS</w:t>
      </w:r>
    </w:p>
    <w:p w:rsidR="00AD2379" w:rsidRPr="00BE4424" w:rsidRDefault="00AD2379" w:rsidP="00BF0E94">
      <w:pPr>
        <w:tabs>
          <w:tab w:val="left" w:pos="288"/>
          <w:tab w:val="left" w:pos="4752"/>
        </w:tabs>
        <w:rPr>
          <w:color w:val="auto"/>
        </w:rPr>
      </w:pPr>
      <w:r w:rsidRPr="00BE4424">
        <w:rPr>
          <w:color w:val="auto"/>
        </w:rPr>
        <w:t>PHYSICAL DISABILITY BOARD OF REVIEW</w:t>
      </w:r>
    </w:p>
    <w:p w:rsidR="00AD2379" w:rsidRPr="00BE4424" w:rsidRDefault="00AD2379" w:rsidP="00BF0E94">
      <w:pPr>
        <w:tabs>
          <w:tab w:val="left" w:pos="288"/>
          <w:tab w:val="left" w:pos="4752"/>
        </w:tabs>
        <w:jc w:val="both"/>
        <w:rPr>
          <w:caps/>
          <w:color w:val="auto"/>
        </w:rPr>
      </w:pPr>
    </w:p>
    <w:p w:rsidR="0095270D" w:rsidRPr="00BE4424" w:rsidRDefault="0095270D" w:rsidP="00DD5558">
      <w:pPr>
        <w:tabs>
          <w:tab w:val="right" w:pos="9360"/>
        </w:tabs>
        <w:jc w:val="both"/>
        <w:rPr>
          <w:caps/>
          <w:color w:val="auto"/>
        </w:rPr>
      </w:pPr>
      <w:r w:rsidRPr="00BE4424">
        <w:rPr>
          <w:caps/>
          <w:color w:val="auto"/>
        </w:rPr>
        <w:t>NAME</w:t>
      </w:r>
      <w:r w:rsidR="00D768AB">
        <w:rPr>
          <w:caps/>
          <w:color w:val="auto"/>
        </w:rPr>
        <w:t>:</w:t>
      </w:r>
      <w:r w:rsidR="00DC33FD" w:rsidRPr="00BE4424">
        <w:rPr>
          <w:rFonts w:ascii="Times New Roman" w:hAnsi="Times New Roman" w:cs="Times New Roman"/>
          <w:color w:val="auto"/>
          <w:sz w:val="19"/>
          <w:szCs w:val="19"/>
        </w:rPr>
        <w:t xml:space="preserve"> </w:t>
      </w:r>
      <w:r w:rsidR="00444B0F">
        <w:rPr>
          <w:caps/>
          <w:color w:val="auto"/>
        </w:rPr>
        <w:t>XXXXXXXXXXXX</w:t>
      </w:r>
      <w:r w:rsidR="00785A72" w:rsidRPr="00BE4424">
        <w:rPr>
          <w:caps/>
          <w:color w:val="auto"/>
        </w:rPr>
        <w:t xml:space="preserve">                                         </w:t>
      </w:r>
      <w:r w:rsidR="00D768AB">
        <w:rPr>
          <w:caps/>
          <w:color w:val="auto"/>
        </w:rPr>
        <w:t xml:space="preserve">                         </w:t>
      </w:r>
      <w:r w:rsidR="00567BDF">
        <w:rPr>
          <w:caps/>
          <w:color w:val="auto"/>
        </w:rPr>
        <w:t xml:space="preserve">    </w:t>
      </w:r>
      <w:r w:rsidR="00D768AB">
        <w:rPr>
          <w:caps/>
          <w:color w:val="auto"/>
        </w:rPr>
        <w:t xml:space="preserve"> </w:t>
      </w:r>
      <w:r w:rsidRPr="00BE4424">
        <w:rPr>
          <w:caps/>
          <w:color w:val="auto"/>
        </w:rPr>
        <w:t>BRANCH OF SERVICE</w:t>
      </w:r>
      <w:r w:rsidR="008E1947" w:rsidRPr="00BE4424">
        <w:rPr>
          <w:caps/>
          <w:color w:val="auto"/>
        </w:rPr>
        <w:t>:</w:t>
      </w:r>
      <w:r w:rsidR="0018208F" w:rsidRPr="00BE4424">
        <w:rPr>
          <w:caps/>
          <w:color w:val="auto"/>
        </w:rPr>
        <w:t xml:space="preserve"> </w:t>
      </w:r>
      <w:r w:rsidR="00DF70F4" w:rsidRPr="00BE4424">
        <w:rPr>
          <w:caps/>
          <w:color w:val="auto"/>
        </w:rPr>
        <w:t xml:space="preserve">Army </w:t>
      </w:r>
    </w:p>
    <w:p w:rsidR="0095270D" w:rsidRPr="00BE4424" w:rsidRDefault="0095270D" w:rsidP="00DD5558">
      <w:pPr>
        <w:tabs>
          <w:tab w:val="right" w:pos="9360"/>
        </w:tabs>
        <w:jc w:val="both"/>
        <w:rPr>
          <w:color w:val="auto"/>
        </w:rPr>
      </w:pPr>
      <w:r w:rsidRPr="00BE4424">
        <w:rPr>
          <w:caps/>
          <w:color w:val="auto"/>
        </w:rPr>
        <w:t>CASE NUMBER:  PD1100</w:t>
      </w:r>
      <w:r w:rsidR="008E1947" w:rsidRPr="00BE4424">
        <w:rPr>
          <w:caps/>
          <w:color w:val="auto"/>
        </w:rPr>
        <w:t>891</w:t>
      </w:r>
      <w:r w:rsidR="00DD5558" w:rsidRPr="00BE4424">
        <w:rPr>
          <w:color w:val="auto"/>
        </w:rPr>
        <w:tab/>
      </w:r>
      <w:r w:rsidR="00785A72" w:rsidRPr="00BE4424">
        <w:rPr>
          <w:color w:val="auto"/>
        </w:rPr>
        <w:t xml:space="preserve">       </w:t>
      </w:r>
      <w:r w:rsidR="0018208F" w:rsidRPr="00BE4424">
        <w:rPr>
          <w:color w:val="auto"/>
        </w:rPr>
        <w:t>SE</w:t>
      </w:r>
      <w:r w:rsidRPr="00BE4424">
        <w:rPr>
          <w:color w:val="auto"/>
        </w:rPr>
        <w:t>PARATION DATE:  200</w:t>
      </w:r>
      <w:r w:rsidR="008E1947" w:rsidRPr="00BE4424">
        <w:rPr>
          <w:color w:val="auto"/>
        </w:rPr>
        <w:t>90627</w:t>
      </w:r>
    </w:p>
    <w:p w:rsidR="00AD2379" w:rsidRPr="00BE4424" w:rsidRDefault="0095270D" w:rsidP="0095270D">
      <w:pPr>
        <w:pBdr>
          <w:bottom w:val="single" w:sz="12" w:space="1" w:color="auto"/>
        </w:pBdr>
        <w:tabs>
          <w:tab w:val="left" w:pos="288"/>
          <w:tab w:val="left" w:pos="4752"/>
        </w:tabs>
        <w:jc w:val="both"/>
        <w:rPr>
          <w:rFonts w:cs="Times New Roman"/>
          <w:caps/>
          <w:color w:val="auto"/>
        </w:rPr>
      </w:pPr>
      <w:r w:rsidRPr="00BE4424">
        <w:rPr>
          <w:caps/>
          <w:color w:val="auto"/>
        </w:rPr>
        <w:t>BOARD DATE:  2012</w:t>
      </w:r>
      <w:r w:rsidR="00B7159D" w:rsidRPr="00BE4424">
        <w:rPr>
          <w:caps/>
          <w:color w:val="auto"/>
        </w:rPr>
        <w:t>0727</w:t>
      </w:r>
    </w:p>
    <w:p w:rsidR="0095270D" w:rsidRPr="00BE4424" w:rsidRDefault="0095270D" w:rsidP="0095270D">
      <w:pPr>
        <w:pBdr>
          <w:bottom w:val="single" w:sz="12" w:space="1" w:color="auto"/>
        </w:pBdr>
        <w:tabs>
          <w:tab w:val="left" w:pos="288"/>
          <w:tab w:val="left" w:pos="4752"/>
        </w:tabs>
        <w:jc w:val="both"/>
        <w:rPr>
          <w:color w:val="auto"/>
        </w:rPr>
      </w:pPr>
    </w:p>
    <w:p w:rsidR="00AD2379" w:rsidRPr="00BE4424" w:rsidRDefault="00AD2379" w:rsidP="00BF0E94">
      <w:pPr>
        <w:tabs>
          <w:tab w:val="left" w:pos="288"/>
          <w:tab w:val="left" w:pos="4752"/>
        </w:tabs>
        <w:jc w:val="both"/>
        <w:rPr>
          <w:color w:val="auto"/>
        </w:rPr>
      </w:pPr>
    </w:p>
    <w:p w:rsidR="000B1C9E" w:rsidRPr="00BE4424" w:rsidRDefault="00AD2379" w:rsidP="00BF0E94">
      <w:pPr>
        <w:tabs>
          <w:tab w:val="left" w:pos="288"/>
          <w:tab w:val="left" w:pos="4752"/>
        </w:tabs>
        <w:jc w:val="both"/>
        <w:rPr>
          <w:color w:val="auto"/>
          <w:szCs w:val="24"/>
        </w:rPr>
      </w:pPr>
      <w:r w:rsidRPr="00BE4424">
        <w:rPr>
          <w:color w:val="auto"/>
          <w:u w:val="single"/>
        </w:rPr>
        <w:t>SUMMARY OF CASE</w:t>
      </w:r>
      <w:r w:rsidRPr="00BE4424">
        <w:rPr>
          <w:color w:val="auto"/>
        </w:rPr>
        <w:t>:</w:t>
      </w:r>
      <w:r w:rsidR="00532B33" w:rsidRPr="00BE4424">
        <w:rPr>
          <w:color w:val="auto"/>
        </w:rPr>
        <w:t xml:space="preserve"> </w:t>
      </w:r>
      <w:r w:rsidRPr="00BE4424">
        <w:rPr>
          <w:color w:val="auto"/>
        </w:rPr>
        <w:t xml:space="preserve"> Data extracted from the available evidence of record reflects that this covered individual (CI) was </w:t>
      </w:r>
      <w:r w:rsidR="00A70270" w:rsidRPr="00BE4424">
        <w:rPr>
          <w:color w:val="auto"/>
        </w:rPr>
        <w:t>an active duty</w:t>
      </w:r>
      <w:r w:rsidRPr="00BE4424">
        <w:rPr>
          <w:color w:val="auto"/>
        </w:rPr>
        <w:t xml:space="preserve"> </w:t>
      </w:r>
      <w:r w:rsidR="0017172C" w:rsidRPr="00BE4424">
        <w:rPr>
          <w:color w:val="auto"/>
        </w:rPr>
        <w:t>S</w:t>
      </w:r>
      <w:r w:rsidR="006D663C" w:rsidRPr="00BE4424">
        <w:rPr>
          <w:color w:val="auto"/>
        </w:rPr>
        <w:t>PC</w:t>
      </w:r>
      <w:r w:rsidR="0017172C" w:rsidRPr="00BE4424">
        <w:rPr>
          <w:color w:val="auto"/>
        </w:rPr>
        <w:t>/E-</w:t>
      </w:r>
      <w:r w:rsidR="006D663C" w:rsidRPr="00BE4424">
        <w:rPr>
          <w:color w:val="auto"/>
        </w:rPr>
        <w:t>4</w:t>
      </w:r>
      <w:r w:rsidRPr="00BE4424">
        <w:rPr>
          <w:color w:val="auto"/>
        </w:rPr>
        <w:t xml:space="preserve"> (</w:t>
      </w:r>
      <w:r w:rsidR="006D663C" w:rsidRPr="00BE4424">
        <w:rPr>
          <w:color w:val="auto"/>
        </w:rPr>
        <w:t>92W10</w:t>
      </w:r>
      <w:r w:rsidR="00112F44" w:rsidRPr="00BE4424">
        <w:rPr>
          <w:color w:val="auto"/>
        </w:rPr>
        <w:t>/</w:t>
      </w:r>
      <w:r w:rsidR="0093071D" w:rsidRPr="00BE4424">
        <w:rPr>
          <w:color w:val="auto"/>
        </w:rPr>
        <w:t>Water Treatment Specialist</w:t>
      </w:r>
      <w:r w:rsidR="00A70270" w:rsidRPr="00BE4424">
        <w:rPr>
          <w:color w:val="auto"/>
        </w:rPr>
        <w:t>)</w:t>
      </w:r>
      <w:r w:rsidR="00565636" w:rsidRPr="00BE4424">
        <w:rPr>
          <w:color w:val="auto"/>
        </w:rPr>
        <w:t>,</w:t>
      </w:r>
      <w:r w:rsidR="00A70270" w:rsidRPr="00BE4424">
        <w:rPr>
          <w:color w:val="auto"/>
        </w:rPr>
        <w:t xml:space="preserve"> </w:t>
      </w:r>
      <w:r w:rsidRPr="00BE4424">
        <w:rPr>
          <w:color w:val="auto"/>
        </w:rPr>
        <w:t xml:space="preserve">medically separated for </w:t>
      </w:r>
      <w:r w:rsidR="0093071D" w:rsidRPr="00BE4424">
        <w:rPr>
          <w:color w:val="auto"/>
          <w:szCs w:val="24"/>
        </w:rPr>
        <w:t xml:space="preserve">chronic left foot </w:t>
      </w:r>
      <w:r w:rsidR="00785A72" w:rsidRPr="00BE4424">
        <w:rPr>
          <w:color w:val="auto"/>
          <w:szCs w:val="24"/>
        </w:rPr>
        <w:t xml:space="preserve">and </w:t>
      </w:r>
      <w:r w:rsidR="0093071D" w:rsidRPr="00BE4424">
        <w:rPr>
          <w:color w:val="auto"/>
          <w:szCs w:val="24"/>
        </w:rPr>
        <w:t>left knee pain</w:t>
      </w:r>
      <w:r w:rsidR="0021565F" w:rsidRPr="00BE4424">
        <w:rPr>
          <w:color w:val="auto"/>
          <w:szCs w:val="24"/>
        </w:rPr>
        <w:t>.</w:t>
      </w:r>
      <w:r w:rsidR="006D5E1E" w:rsidRPr="00BE4424">
        <w:rPr>
          <w:color w:val="auto"/>
          <w:szCs w:val="24"/>
        </w:rPr>
        <w:t xml:space="preserve">  </w:t>
      </w:r>
      <w:r w:rsidR="00EF5730" w:rsidRPr="00BE4424">
        <w:rPr>
          <w:color w:val="auto"/>
          <w:szCs w:val="24"/>
        </w:rPr>
        <w:t xml:space="preserve">The CI had onset of left foot pain in 2006 that recurred during recovery from left knee surgery in late 2007.  The left foot pain was treated to include surgery </w:t>
      </w:r>
      <w:r w:rsidR="00925587" w:rsidRPr="00BE4424">
        <w:rPr>
          <w:color w:val="auto"/>
          <w:szCs w:val="24"/>
        </w:rPr>
        <w:t xml:space="preserve">(instep fasciotomy release) </w:t>
      </w:r>
      <w:r w:rsidR="00EF5730" w:rsidRPr="00BE4424">
        <w:rPr>
          <w:color w:val="auto"/>
          <w:szCs w:val="24"/>
        </w:rPr>
        <w:t>when conservative therapies (orthotics, injections, shock wave treatments, physical therapy, etc.) were not effective.  The traumatic left knee injury</w:t>
      </w:r>
      <w:r w:rsidR="00925587" w:rsidRPr="00BE4424">
        <w:rPr>
          <w:color w:val="auto"/>
          <w:szCs w:val="24"/>
        </w:rPr>
        <w:t xml:space="preserve"> was treated with arthroscopic surgery to correct medial meniscal tear and fat pad excision.  The left foot and left knee could not be adequately rehabilitated and the CI did not improve adequately with treatment to meet the physical requirements of his Military</w:t>
      </w:r>
      <w:r w:rsidR="00925587" w:rsidRPr="00BE4424">
        <w:rPr>
          <w:color w:val="auto"/>
        </w:rPr>
        <w:t xml:space="preserve"> Occupational Specialty (MOS) or satisfy physical fitness standards.  He was issued a permanent L3 profile and referred for a Medical Evaluation Board (MEB).  </w:t>
      </w:r>
      <w:r w:rsidR="00B85760" w:rsidRPr="00BE4424">
        <w:rPr>
          <w:color w:val="auto"/>
          <w:szCs w:val="24"/>
        </w:rPr>
        <w:t>P</w:t>
      </w:r>
      <w:r w:rsidR="00905790" w:rsidRPr="00BE4424">
        <w:rPr>
          <w:color w:val="auto"/>
          <w:szCs w:val="24"/>
        </w:rPr>
        <w:t>lantar fascia release</w:t>
      </w:r>
      <w:r w:rsidR="00925587" w:rsidRPr="00BE4424">
        <w:rPr>
          <w:color w:val="auto"/>
          <w:szCs w:val="24"/>
        </w:rPr>
        <w:t xml:space="preserve"> and</w:t>
      </w:r>
      <w:r w:rsidR="00905790" w:rsidRPr="00BE4424">
        <w:rPr>
          <w:color w:val="auto"/>
          <w:szCs w:val="24"/>
        </w:rPr>
        <w:t xml:space="preserve"> </w:t>
      </w:r>
      <w:r w:rsidR="00B85760" w:rsidRPr="00BE4424">
        <w:rPr>
          <w:color w:val="auto"/>
          <w:szCs w:val="24"/>
        </w:rPr>
        <w:t xml:space="preserve">chronic </w:t>
      </w:r>
      <w:proofErr w:type="gramStart"/>
      <w:r w:rsidR="00B85760" w:rsidRPr="00BE4424">
        <w:rPr>
          <w:color w:val="auto"/>
          <w:szCs w:val="24"/>
        </w:rPr>
        <w:t>left</w:t>
      </w:r>
      <w:proofErr w:type="gramEnd"/>
      <w:r w:rsidR="00B85760" w:rsidRPr="00BE4424">
        <w:rPr>
          <w:color w:val="auto"/>
          <w:szCs w:val="24"/>
        </w:rPr>
        <w:t xml:space="preserve"> knee pain s/p arthroscopy </w:t>
      </w:r>
      <w:r w:rsidR="002143E5" w:rsidRPr="00BE4424">
        <w:rPr>
          <w:color w:val="auto"/>
        </w:rPr>
        <w:t>condition</w:t>
      </w:r>
      <w:r w:rsidR="0051594B" w:rsidRPr="00BE4424">
        <w:rPr>
          <w:color w:val="auto"/>
        </w:rPr>
        <w:t>s</w:t>
      </w:r>
      <w:r w:rsidR="00F566B7" w:rsidRPr="00BE4424">
        <w:rPr>
          <w:color w:val="auto"/>
        </w:rPr>
        <w:t xml:space="preserve"> </w:t>
      </w:r>
      <w:r w:rsidR="00925587" w:rsidRPr="00BE4424">
        <w:rPr>
          <w:color w:val="auto"/>
        </w:rPr>
        <w:t xml:space="preserve">were identified and forwarded by the MEB as not meeting retention standards.  </w:t>
      </w:r>
      <w:r w:rsidR="00905790" w:rsidRPr="00BE4424">
        <w:rPr>
          <w:color w:val="auto"/>
        </w:rPr>
        <w:t>Chronic low back pain</w:t>
      </w:r>
      <w:r w:rsidR="00D768AB">
        <w:rPr>
          <w:color w:val="auto"/>
        </w:rPr>
        <w:t xml:space="preserve"> (LBP)</w:t>
      </w:r>
      <w:r w:rsidR="00905790" w:rsidRPr="00BE4424">
        <w:rPr>
          <w:color w:val="auto"/>
        </w:rPr>
        <w:t xml:space="preserve">, </w:t>
      </w:r>
      <w:proofErr w:type="spellStart"/>
      <w:r w:rsidR="00905790" w:rsidRPr="00BE4424">
        <w:rPr>
          <w:color w:val="auto"/>
        </w:rPr>
        <w:t>turbinoplasty</w:t>
      </w:r>
      <w:proofErr w:type="spellEnd"/>
      <w:r w:rsidR="00905790" w:rsidRPr="00BE4424">
        <w:rPr>
          <w:color w:val="auto"/>
        </w:rPr>
        <w:t xml:space="preserve"> a</w:t>
      </w:r>
      <w:r w:rsidR="00785A72" w:rsidRPr="00BE4424">
        <w:rPr>
          <w:color w:val="auto"/>
        </w:rPr>
        <w:t>nd left ear PE</w:t>
      </w:r>
      <w:r w:rsidR="00905790" w:rsidRPr="00BE4424">
        <w:rPr>
          <w:color w:val="auto"/>
        </w:rPr>
        <w:t xml:space="preserve"> tube placement </w:t>
      </w:r>
      <w:r w:rsidR="00F566B7" w:rsidRPr="00BE4424">
        <w:rPr>
          <w:color w:val="auto"/>
        </w:rPr>
        <w:t xml:space="preserve">and </w:t>
      </w:r>
      <w:r w:rsidR="00905790" w:rsidRPr="00BE4424">
        <w:rPr>
          <w:color w:val="auto"/>
        </w:rPr>
        <w:t>tinnitus</w:t>
      </w:r>
      <w:r w:rsidR="00F566B7" w:rsidRPr="00BE4424">
        <w:rPr>
          <w:color w:val="auto"/>
        </w:rPr>
        <w:t xml:space="preserve"> </w:t>
      </w:r>
      <w:r w:rsidR="00B85760" w:rsidRPr="00BE4424">
        <w:rPr>
          <w:color w:val="auto"/>
        </w:rPr>
        <w:t>condition</w:t>
      </w:r>
      <w:r w:rsidR="00071F0D" w:rsidRPr="00BE4424">
        <w:rPr>
          <w:color w:val="auto"/>
        </w:rPr>
        <w:t>s, identified in the rating chart below, were identified and forwarded by the MEB</w:t>
      </w:r>
      <w:r w:rsidR="00785A72" w:rsidRPr="00BE4424">
        <w:rPr>
          <w:color w:val="auto"/>
        </w:rPr>
        <w:t xml:space="preserve"> as meeting retention standards</w:t>
      </w:r>
      <w:r w:rsidR="00F566B7" w:rsidRPr="00BE4424">
        <w:rPr>
          <w:color w:val="auto"/>
        </w:rPr>
        <w:t xml:space="preserve">.  </w:t>
      </w:r>
      <w:r w:rsidRPr="00BE4424">
        <w:rPr>
          <w:color w:val="auto"/>
        </w:rPr>
        <w:t xml:space="preserve">The PEB adjudicated the </w:t>
      </w:r>
      <w:r w:rsidR="00B85760" w:rsidRPr="00BE4424">
        <w:rPr>
          <w:color w:val="auto"/>
        </w:rPr>
        <w:t xml:space="preserve">left foot </w:t>
      </w:r>
      <w:r w:rsidR="00E46D90" w:rsidRPr="00BE4424">
        <w:rPr>
          <w:color w:val="auto"/>
        </w:rPr>
        <w:t xml:space="preserve">and </w:t>
      </w:r>
      <w:r w:rsidR="00B85760" w:rsidRPr="00BE4424">
        <w:rPr>
          <w:color w:val="auto"/>
        </w:rPr>
        <w:t xml:space="preserve">left knee </w:t>
      </w:r>
      <w:r w:rsidR="008530E3" w:rsidRPr="00BE4424">
        <w:rPr>
          <w:color w:val="auto"/>
        </w:rPr>
        <w:t>condition</w:t>
      </w:r>
      <w:r w:rsidR="000C647D" w:rsidRPr="00BE4424">
        <w:rPr>
          <w:color w:val="auto"/>
        </w:rPr>
        <w:t>s</w:t>
      </w:r>
      <w:r w:rsidR="008530E3" w:rsidRPr="00BE4424">
        <w:rPr>
          <w:color w:val="auto"/>
        </w:rPr>
        <w:t xml:space="preserve"> as unfitting, rated </w:t>
      </w:r>
      <w:r w:rsidR="00B85760" w:rsidRPr="00BE4424">
        <w:rPr>
          <w:color w:val="auto"/>
        </w:rPr>
        <w:t>10</w:t>
      </w:r>
      <w:r w:rsidRPr="00BE4424">
        <w:rPr>
          <w:color w:val="auto"/>
        </w:rPr>
        <w:t>%</w:t>
      </w:r>
      <w:r w:rsidR="00B85760" w:rsidRPr="00BE4424">
        <w:rPr>
          <w:color w:val="auto"/>
        </w:rPr>
        <w:t xml:space="preserve"> and 10</w:t>
      </w:r>
      <w:r w:rsidR="000C647D" w:rsidRPr="00BE4424">
        <w:rPr>
          <w:color w:val="auto"/>
        </w:rPr>
        <w:t>%</w:t>
      </w:r>
      <w:r w:rsidRPr="00BE4424">
        <w:rPr>
          <w:color w:val="auto"/>
        </w:rPr>
        <w:t xml:space="preserve">, </w:t>
      </w:r>
      <w:r w:rsidR="00785A72" w:rsidRPr="00BE4424">
        <w:rPr>
          <w:color w:val="auto"/>
        </w:rPr>
        <w:t xml:space="preserve">respectively, </w:t>
      </w:r>
      <w:r w:rsidR="00E46D90" w:rsidRPr="00BE4424">
        <w:rPr>
          <w:color w:val="auto"/>
        </w:rPr>
        <w:t xml:space="preserve">with application of the </w:t>
      </w:r>
      <w:r w:rsidRPr="00BE4424">
        <w:rPr>
          <w:color w:val="auto"/>
        </w:rPr>
        <w:t>Veteran</w:t>
      </w:r>
      <w:r w:rsidR="00BF72CA" w:rsidRPr="00BE4424">
        <w:rPr>
          <w:color w:val="auto"/>
        </w:rPr>
        <w:t>’</w:t>
      </w:r>
      <w:r w:rsidRPr="00BE4424">
        <w:rPr>
          <w:color w:val="auto"/>
        </w:rPr>
        <w:t>s A</w:t>
      </w:r>
      <w:r w:rsidR="00BF72CA" w:rsidRPr="00BE4424">
        <w:rPr>
          <w:color w:val="auto"/>
        </w:rPr>
        <w:t>ffairs</w:t>
      </w:r>
      <w:r w:rsidRPr="00BE4424">
        <w:rPr>
          <w:color w:val="auto"/>
        </w:rPr>
        <w:t xml:space="preserve"> Schedule for Rating Disabilities (VASRD)</w:t>
      </w:r>
      <w:r w:rsidR="00785A72" w:rsidRPr="00BE4424">
        <w:rPr>
          <w:color w:val="auto"/>
        </w:rPr>
        <w:t xml:space="preserve">.  </w:t>
      </w:r>
      <w:r w:rsidRPr="00BE4424">
        <w:rPr>
          <w:color w:val="auto"/>
        </w:rPr>
        <w:t xml:space="preserve">The CI made no appeals, and was medically separated with </w:t>
      </w:r>
      <w:r w:rsidR="00E40432" w:rsidRPr="00BE4424">
        <w:rPr>
          <w:color w:val="auto"/>
        </w:rPr>
        <w:t>a 20</w:t>
      </w:r>
      <w:r w:rsidR="0066684A" w:rsidRPr="00BE4424">
        <w:rPr>
          <w:color w:val="auto"/>
        </w:rPr>
        <w:t xml:space="preserve">% </w:t>
      </w:r>
      <w:r w:rsidRPr="00BE4424">
        <w:rPr>
          <w:color w:val="auto"/>
        </w:rPr>
        <w:t>disability rating.</w:t>
      </w:r>
      <w:r w:rsidR="00165C7B" w:rsidRPr="00BE4424">
        <w:rPr>
          <w:color w:val="auto"/>
        </w:rPr>
        <w:t xml:space="preserve">  </w:t>
      </w:r>
    </w:p>
    <w:p w:rsidR="00042978" w:rsidRPr="00BE4424" w:rsidRDefault="00042978" w:rsidP="00042978">
      <w:pPr>
        <w:pBdr>
          <w:bottom w:val="single" w:sz="12" w:space="1" w:color="auto"/>
        </w:pBdr>
        <w:tabs>
          <w:tab w:val="left" w:pos="288"/>
          <w:tab w:val="left" w:pos="4752"/>
        </w:tabs>
        <w:jc w:val="both"/>
        <w:rPr>
          <w:color w:val="auto"/>
        </w:rPr>
      </w:pPr>
    </w:p>
    <w:p w:rsidR="00042978" w:rsidRPr="00BE4424" w:rsidRDefault="00042978" w:rsidP="00042978">
      <w:pPr>
        <w:jc w:val="left"/>
        <w:rPr>
          <w:color w:val="auto"/>
          <w:u w:val="single"/>
        </w:rPr>
      </w:pPr>
    </w:p>
    <w:p w:rsidR="00E212DF" w:rsidRPr="00BE4424" w:rsidRDefault="00AD2379" w:rsidP="00B85760">
      <w:pPr>
        <w:tabs>
          <w:tab w:val="left" w:pos="288"/>
          <w:tab w:val="left" w:pos="4752"/>
        </w:tabs>
        <w:jc w:val="both"/>
        <w:rPr>
          <w:color w:val="auto"/>
        </w:rPr>
      </w:pPr>
      <w:r w:rsidRPr="00BE4424">
        <w:rPr>
          <w:color w:val="auto"/>
          <w:u w:val="single"/>
        </w:rPr>
        <w:t>CI CONTENTION</w:t>
      </w:r>
      <w:r w:rsidRPr="00BE4424">
        <w:rPr>
          <w:color w:val="auto"/>
        </w:rPr>
        <w:t>:</w:t>
      </w:r>
      <w:r w:rsidR="0066684A" w:rsidRPr="00BE4424">
        <w:rPr>
          <w:color w:val="auto"/>
        </w:rPr>
        <w:t xml:space="preserve"> </w:t>
      </w:r>
      <w:r w:rsidR="00B43C44" w:rsidRPr="00BE4424">
        <w:rPr>
          <w:color w:val="auto"/>
        </w:rPr>
        <w:t xml:space="preserve"> </w:t>
      </w:r>
      <w:r w:rsidR="002B7C34" w:rsidRPr="00BE4424">
        <w:rPr>
          <w:color w:val="auto"/>
        </w:rPr>
        <w:t>“</w:t>
      </w:r>
      <w:r w:rsidR="00B85760" w:rsidRPr="00BE4424">
        <w:rPr>
          <w:color w:val="auto"/>
        </w:rPr>
        <w:t xml:space="preserve">I was told that my back wasn't hurt long enough to get retirement. </w:t>
      </w:r>
      <w:r w:rsidR="00785A72" w:rsidRPr="00BE4424">
        <w:rPr>
          <w:color w:val="auto"/>
        </w:rPr>
        <w:t xml:space="preserve"> </w:t>
      </w:r>
      <w:proofErr w:type="gramStart"/>
      <w:r w:rsidR="00B85760" w:rsidRPr="00BE4424">
        <w:rPr>
          <w:color w:val="auto"/>
        </w:rPr>
        <w:t>When my x-rays show that I have problems with</w:t>
      </w:r>
      <w:r w:rsidR="002B7C34" w:rsidRPr="00BE4424">
        <w:rPr>
          <w:color w:val="auto"/>
        </w:rPr>
        <w:t xml:space="preserve"> my</w:t>
      </w:r>
      <w:r w:rsidR="00B85760" w:rsidRPr="00BE4424">
        <w:rPr>
          <w:color w:val="auto"/>
        </w:rPr>
        <w:t xml:space="preserve"> </w:t>
      </w:r>
      <w:r w:rsidR="002B7C34" w:rsidRPr="00BE4424">
        <w:rPr>
          <w:color w:val="auto"/>
        </w:rPr>
        <w:t>L-5</w:t>
      </w:r>
      <w:r w:rsidR="00B85760" w:rsidRPr="00BE4424">
        <w:rPr>
          <w:color w:val="auto"/>
        </w:rPr>
        <w:t xml:space="preserve"> and other discs.</w:t>
      </w:r>
      <w:proofErr w:type="gramEnd"/>
      <w:r w:rsidR="00B85760" w:rsidRPr="00BE4424">
        <w:rPr>
          <w:color w:val="auto"/>
        </w:rPr>
        <w:t xml:space="preserve"> </w:t>
      </w:r>
      <w:r w:rsidR="00785A72" w:rsidRPr="00BE4424">
        <w:rPr>
          <w:color w:val="auto"/>
        </w:rPr>
        <w:t xml:space="preserve"> </w:t>
      </w:r>
      <w:r w:rsidR="00B85760" w:rsidRPr="00BE4424">
        <w:rPr>
          <w:color w:val="auto"/>
        </w:rPr>
        <w:t>I</w:t>
      </w:r>
      <w:r w:rsidR="002B7C34" w:rsidRPr="00BE4424">
        <w:rPr>
          <w:color w:val="auto"/>
        </w:rPr>
        <w:t xml:space="preserve"> </w:t>
      </w:r>
      <w:r w:rsidR="00B85760" w:rsidRPr="00BE4424">
        <w:rPr>
          <w:color w:val="auto"/>
        </w:rPr>
        <w:t xml:space="preserve">just want a fair and honest opinion. </w:t>
      </w:r>
      <w:r w:rsidR="00394BE6" w:rsidRPr="00BE4424">
        <w:rPr>
          <w:color w:val="auto"/>
        </w:rPr>
        <w:t xml:space="preserve"> </w:t>
      </w:r>
      <w:r w:rsidR="00B85760" w:rsidRPr="00BE4424">
        <w:rPr>
          <w:color w:val="auto"/>
        </w:rPr>
        <w:t>I had almost eleven years</w:t>
      </w:r>
      <w:r w:rsidR="002B7C34" w:rsidRPr="00BE4424">
        <w:rPr>
          <w:color w:val="auto"/>
        </w:rPr>
        <w:t xml:space="preserve"> in,</w:t>
      </w:r>
      <w:r w:rsidR="00B85760" w:rsidRPr="00BE4424">
        <w:rPr>
          <w:color w:val="auto"/>
        </w:rPr>
        <w:t xml:space="preserve"> I didn't want to get out, </w:t>
      </w:r>
      <w:proofErr w:type="gramStart"/>
      <w:r w:rsidR="00B85760" w:rsidRPr="00BE4424">
        <w:rPr>
          <w:color w:val="auto"/>
        </w:rPr>
        <w:t>they</w:t>
      </w:r>
      <w:proofErr w:type="gramEnd"/>
      <w:r w:rsidR="00B85760" w:rsidRPr="00BE4424">
        <w:rPr>
          <w:color w:val="auto"/>
        </w:rPr>
        <w:t xml:space="preserve"> pushed for me to get out. </w:t>
      </w:r>
      <w:r w:rsidR="00785A72" w:rsidRPr="00BE4424">
        <w:rPr>
          <w:color w:val="auto"/>
        </w:rPr>
        <w:t xml:space="preserve"> </w:t>
      </w:r>
      <w:r w:rsidR="00B85760" w:rsidRPr="00BE4424">
        <w:rPr>
          <w:color w:val="auto"/>
        </w:rPr>
        <w:t xml:space="preserve">And I felt like I didn't get a fair shake on the deal. I even had to have another surgery on my left foot at </w:t>
      </w:r>
      <w:r w:rsidR="002B7C34" w:rsidRPr="00BE4424">
        <w:rPr>
          <w:color w:val="auto"/>
        </w:rPr>
        <w:t>the V</w:t>
      </w:r>
      <w:r w:rsidR="00B85760" w:rsidRPr="00BE4424">
        <w:rPr>
          <w:color w:val="auto"/>
        </w:rPr>
        <w:t>A Hospital.</w:t>
      </w:r>
      <w:r w:rsidR="002B7C34" w:rsidRPr="00BE4424">
        <w:rPr>
          <w:color w:val="auto"/>
        </w:rPr>
        <w:t>”</w:t>
      </w:r>
      <w:r w:rsidR="00785A72" w:rsidRPr="00BE4424">
        <w:rPr>
          <w:color w:val="auto"/>
        </w:rPr>
        <w:t xml:space="preserve">  </w:t>
      </w:r>
    </w:p>
    <w:p w:rsidR="004306E0" w:rsidRPr="00BE4424" w:rsidRDefault="004306E0" w:rsidP="00BF0E94">
      <w:pPr>
        <w:pBdr>
          <w:bottom w:val="single" w:sz="12" w:space="1" w:color="auto"/>
        </w:pBdr>
        <w:tabs>
          <w:tab w:val="left" w:pos="288"/>
          <w:tab w:val="left" w:pos="4752"/>
        </w:tabs>
        <w:jc w:val="both"/>
        <w:rPr>
          <w:color w:val="auto"/>
        </w:rPr>
      </w:pPr>
    </w:p>
    <w:p w:rsidR="007635A8" w:rsidRPr="00BE4424" w:rsidRDefault="007635A8" w:rsidP="007635A8">
      <w:pPr>
        <w:jc w:val="both"/>
        <w:rPr>
          <w:color w:val="auto"/>
          <w:u w:val="single"/>
        </w:rPr>
      </w:pPr>
    </w:p>
    <w:p w:rsidR="009239C0" w:rsidRPr="00BE4424" w:rsidRDefault="009239C0" w:rsidP="00DD5558">
      <w:pPr>
        <w:jc w:val="both"/>
        <w:rPr>
          <w:color w:val="auto"/>
          <w:u w:val="single"/>
        </w:rPr>
      </w:pPr>
      <w:r w:rsidRPr="00BE4424">
        <w:rPr>
          <w:color w:val="auto"/>
          <w:u w:val="single"/>
        </w:rPr>
        <w:t>SCOPE OF REVIEW</w:t>
      </w:r>
      <w:r w:rsidRPr="00BE4424">
        <w:rPr>
          <w:color w:val="auto"/>
        </w:rPr>
        <w:t>:  The Board wishes to clarify that the scope of its re</w:t>
      </w:r>
      <w:r w:rsidR="00AE2B85" w:rsidRPr="00BE4424">
        <w:rPr>
          <w:color w:val="auto"/>
        </w:rPr>
        <w:t>view as defined in DoDI 6040.44, Enclosure 3, paragraph 5.e</w:t>
      </w:r>
      <w:proofErr w:type="gramStart"/>
      <w:r w:rsidR="00AE2B85" w:rsidRPr="00BE4424">
        <w:rPr>
          <w:color w:val="auto"/>
        </w:rPr>
        <w:t>.(</w:t>
      </w:r>
      <w:proofErr w:type="gramEnd"/>
      <w:r w:rsidR="00AE2B85" w:rsidRPr="00BE4424">
        <w:rPr>
          <w:color w:val="auto"/>
        </w:rPr>
        <w:t>2)</w:t>
      </w:r>
      <w:r w:rsidRPr="00BE4424">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D768AB">
        <w:rPr>
          <w:color w:val="auto"/>
        </w:rPr>
        <w:t>.</w:t>
      </w:r>
      <w:r w:rsidRPr="00BE4424">
        <w:rPr>
          <w:color w:val="auto"/>
        </w:rPr>
        <w:t>”  The ratings for unfitting conditions will be reviewed in all cases</w:t>
      </w:r>
      <w:r w:rsidR="00CC47DA" w:rsidRPr="00BE4424">
        <w:rPr>
          <w:color w:val="auto"/>
        </w:rPr>
        <w:t>.</w:t>
      </w:r>
      <w:r w:rsidRPr="00BE4424">
        <w:rPr>
          <w:color w:val="auto"/>
        </w:rPr>
        <w:t xml:space="preserve"> </w:t>
      </w:r>
      <w:r w:rsidR="00B43C44" w:rsidRPr="00BE4424">
        <w:rPr>
          <w:color w:val="auto"/>
        </w:rPr>
        <w:t xml:space="preserve"> </w:t>
      </w:r>
      <w:r w:rsidRPr="00BE4424">
        <w:rPr>
          <w:color w:val="auto"/>
        </w:rPr>
        <w:t xml:space="preserve">The </w:t>
      </w:r>
      <w:r w:rsidR="008C6274" w:rsidRPr="00BE4424">
        <w:rPr>
          <w:color w:val="auto"/>
        </w:rPr>
        <w:t xml:space="preserve">chronic low back pain </w:t>
      </w:r>
      <w:r w:rsidRPr="00BE4424">
        <w:rPr>
          <w:color w:val="auto"/>
        </w:rPr>
        <w:t xml:space="preserve">condition requested for consideration and the unfitting </w:t>
      </w:r>
      <w:r w:rsidR="008C6274" w:rsidRPr="00BE4424">
        <w:rPr>
          <w:color w:val="auto"/>
          <w:szCs w:val="24"/>
        </w:rPr>
        <w:t xml:space="preserve">left foot, and left knee </w:t>
      </w:r>
      <w:r w:rsidRPr="00BE4424">
        <w:rPr>
          <w:color w:val="auto"/>
        </w:rPr>
        <w:t>conditions meet the criteria prescribed in DoDI 6040.44 for Board purview, and are accordingly addressed below.  Any conditions or contention not requested in this application, or otherwise outside the Board’s defined scope of review, remain eligible for future consideration by the Army Board for the Correction of Military Records (BCMR).</w:t>
      </w:r>
      <w:r w:rsidR="00B43C44" w:rsidRPr="00BE4424">
        <w:rPr>
          <w:color w:val="auto"/>
        </w:rPr>
        <w:t xml:space="preserve">  </w:t>
      </w:r>
    </w:p>
    <w:p w:rsidR="000B63CF" w:rsidRPr="00BE4424" w:rsidRDefault="000B63CF" w:rsidP="000B63CF">
      <w:pPr>
        <w:pBdr>
          <w:bottom w:val="single" w:sz="12" w:space="1" w:color="auto"/>
        </w:pBdr>
        <w:tabs>
          <w:tab w:val="left" w:pos="288"/>
          <w:tab w:val="left" w:pos="4752"/>
        </w:tabs>
        <w:jc w:val="both"/>
        <w:rPr>
          <w:color w:val="auto"/>
        </w:rPr>
      </w:pPr>
    </w:p>
    <w:p w:rsidR="009D159D" w:rsidRPr="00BE4424" w:rsidRDefault="009D159D" w:rsidP="00BF0E94">
      <w:pPr>
        <w:jc w:val="left"/>
        <w:rPr>
          <w:color w:val="auto"/>
          <w:u w:val="single"/>
        </w:rPr>
      </w:pPr>
    </w:p>
    <w:p w:rsidR="00AD2379" w:rsidRPr="00BE4424" w:rsidRDefault="001E02DB" w:rsidP="00BF0E94">
      <w:pPr>
        <w:jc w:val="left"/>
        <w:rPr>
          <w:color w:val="auto"/>
        </w:rPr>
      </w:pPr>
      <w:r w:rsidRPr="00BE4424">
        <w:rPr>
          <w:color w:val="auto"/>
          <w:u w:val="single"/>
        </w:rPr>
        <w:br w:type="page"/>
      </w:r>
      <w:r w:rsidR="00AD2379" w:rsidRPr="00BE4424">
        <w:rPr>
          <w:color w:val="auto"/>
          <w:u w:val="single"/>
        </w:rPr>
        <w:lastRenderedPageBreak/>
        <w:t>RATING COMPARISON</w:t>
      </w:r>
      <w:r w:rsidR="00AD2379" w:rsidRPr="00BE4424">
        <w:rPr>
          <w:color w:val="auto"/>
        </w:rPr>
        <w:t xml:space="preserve">: </w:t>
      </w:r>
      <w:r w:rsidR="00855E73" w:rsidRPr="00BE4424">
        <w:rPr>
          <w:color w:val="auto"/>
        </w:rPr>
        <w:t xml:space="preserve"> </w:t>
      </w:r>
    </w:p>
    <w:p w:rsidR="00F90376" w:rsidRPr="00BE4424" w:rsidRDefault="00F90376" w:rsidP="00F90376">
      <w:pPr>
        <w:jc w:val="both"/>
        <w:rPr>
          <w:color w:val="auto"/>
        </w:rPr>
      </w:pPr>
    </w:p>
    <w:tbl>
      <w:tblPr>
        <w:tblW w:w="9369" w:type="dxa"/>
        <w:jc w:val="center"/>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45"/>
        <w:gridCol w:w="900"/>
        <w:gridCol w:w="724"/>
        <w:gridCol w:w="2610"/>
        <w:gridCol w:w="1080"/>
        <w:gridCol w:w="720"/>
        <w:gridCol w:w="990"/>
      </w:tblGrid>
      <w:tr w:rsidR="00F90376" w:rsidRPr="00BE4424" w:rsidTr="00472D4A">
        <w:trPr>
          <w:trHeight w:val="170"/>
          <w:jc w:val="center"/>
        </w:trPr>
        <w:tc>
          <w:tcPr>
            <w:tcW w:w="3969" w:type="dxa"/>
            <w:gridSpan w:val="3"/>
            <w:tcBorders>
              <w:right w:val="thinThickThinSmallGap" w:sz="24" w:space="0" w:color="auto"/>
            </w:tcBorders>
            <w:shd w:val="clear" w:color="auto" w:fill="D9D9D9"/>
            <w:vAlign w:val="center"/>
          </w:tcPr>
          <w:p w:rsidR="00F90376" w:rsidRPr="00BE4424" w:rsidRDefault="00F90376" w:rsidP="005A7684">
            <w:pPr>
              <w:spacing w:line="180" w:lineRule="exact"/>
              <w:contextualSpacing/>
              <w:rPr>
                <w:b/>
                <w:color w:val="auto"/>
                <w:sz w:val="18"/>
                <w:szCs w:val="22"/>
              </w:rPr>
            </w:pPr>
            <w:r w:rsidRPr="00BE4424">
              <w:rPr>
                <w:rFonts w:cs="Times New Roman"/>
                <w:b/>
                <w:color w:val="auto"/>
                <w:sz w:val="18"/>
                <w:szCs w:val="22"/>
              </w:rPr>
              <w:t>Service PEB – Dated 200</w:t>
            </w:r>
            <w:r w:rsidR="005A7684" w:rsidRPr="00BE4424">
              <w:rPr>
                <w:rFonts w:cs="Times New Roman"/>
                <w:b/>
                <w:color w:val="auto"/>
                <w:sz w:val="18"/>
                <w:szCs w:val="22"/>
              </w:rPr>
              <w:t>90320</w:t>
            </w:r>
          </w:p>
        </w:tc>
        <w:tc>
          <w:tcPr>
            <w:tcW w:w="5400" w:type="dxa"/>
            <w:gridSpan w:val="4"/>
            <w:tcBorders>
              <w:left w:val="thinThickThinSmallGap" w:sz="24" w:space="0" w:color="auto"/>
            </w:tcBorders>
            <w:shd w:val="clear" w:color="auto" w:fill="D9D9D9"/>
            <w:vAlign w:val="center"/>
          </w:tcPr>
          <w:p w:rsidR="00F90376" w:rsidRPr="00BE4424" w:rsidRDefault="00F90376" w:rsidP="00C03A60">
            <w:pPr>
              <w:spacing w:line="180" w:lineRule="exact"/>
              <w:contextualSpacing/>
              <w:rPr>
                <w:b/>
                <w:color w:val="auto"/>
                <w:sz w:val="18"/>
                <w:szCs w:val="22"/>
              </w:rPr>
            </w:pPr>
            <w:r w:rsidRPr="00BE4424">
              <w:rPr>
                <w:rFonts w:cs="Times New Roman"/>
                <w:b/>
                <w:color w:val="auto"/>
                <w:sz w:val="18"/>
                <w:szCs w:val="22"/>
              </w:rPr>
              <w:t>VA (</w:t>
            </w:r>
            <w:r w:rsidR="00C03A60" w:rsidRPr="00BE4424">
              <w:rPr>
                <w:rFonts w:cs="Times New Roman"/>
                <w:b/>
                <w:color w:val="auto"/>
                <w:sz w:val="18"/>
                <w:szCs w:val="22"/>
              </w:rPr>
              <w:t>~1 Mo</w:t>
            </w:r>
            <w:r w:rsidRPr="00BE4424">
              <w:rPr>
                <w:rFonts w:cs="Times New Roman"/>
                <w:b/>
                <w:color w:val="auto"/>
                <w:sz w:val="18"/>
                <w:szCs w:val="22"/>
              </w:rPr>
              <w:t>. Post-Separation) – All Effective Date 200</w:t>
            </w:r>
            <w:r w:rsidR="00C03A60" w:rsidRPr="00BE4424">
              <w:rPr>
                <w:rFonts w:cs="Times New Roman"/>
                <w:b/>
                <w:color w:val="auto"/>
                <w:sz w:val="18"/>
                <w:szCs w:val="22"/>
              </w:rPr>
              <w:t>90628</w:t>
            </w:r>
          </w:p>
        </w:tc>
      </w:tr>
      <w:tr w:rsidR="00D26276" w:rsidRPr="00BE4424" w:rsidTr="009D159D">
        <w:trPr>
          <w:trHeight w:val="97"/>
          <w:jc w:val="center"/>
        </w:trPr>
        <w:tc>
          <w:tcPr>
            <w:tcW w:w="2345" w:type="dxa"/>
            <w:tcBorders>
              <w:bottom w:val="single" w:sz="4" w:space="0" w:color="000000"/>
              <w:right w:val="single" w:sz="4" w:space="0" w:color="auto"/>
            </w:tcBorders>
            <w:shd w:val="clear" w:color="auto" w:fill="D9D9D9"/>
            <w:vAlign w:val="center"/>
          </w:tcPr>
          <w:p w:rsidR="00F90376" w:rsidRPr="00BE4424" w:rsidRDefault="00F90376" w:rsidP="00472D4A">
            <w:pPr>
              <w:spacing w:line="180" w:lineRule="exact"/>
              <w:contextualSpacing/>
              <w:rPr>
                <w:b/>
                <w:color w:val="auto"/>
                <w:sz w:val="18"/>
                <w:szCs w:val="22"/>
              </w:rPr>
            </w:pPr>
            <w:r w:rsidRPr="00BE4424">
              <w:rPr>
                <w:rFonts w:cs="Times New Roman"/>
                <w:b/>
                <w:color w:val="auto"/>
                <w:sz w:val="18"/>
                <w:szCs w:val="22"/>
              </w:rPr>
              <w:t>Condition</w:t>
            </w:r>
          </w:p>
        </w:tc>
        <w:tc>
          <w:tcPr>
            <w:tcW w:w="900" w:type="dxa"/>
            <w:tcBorders>
              <w:left w:val="single" w:sz="4" w:space="0" w:color="auto"/>
              <w:bottom w:val="single" w:sz="4" w:space="0" w:color="000000"/>
            </w:tcBorders>
            <w:shd w:val="clear" w:color="auto" w:fill="D9D9D9"/>
            <w:vAlign w:val="center"/>
          </w:tcPr>
          <w:p w:rsidR="00F90376" w:rsidRPr="00BE4424" w:rsidRDefault="00F90376" w:rsidP="00472D4A">
            <w:pPr>
              <w:spacing w:line="180" w:lineRule="exact"/>
              <w:contextualSpacing/>
              <w:rPr>
                <w:b/>
                <w:color w:val="auto"/>
                <w:sz w:val="18"/>
                <w:szCs w:val="22"/>
              </w:rPr>
            </w:pPr>
            <w:r w:rsidRPr="00BE4424">
              <w:rPr>
                <w:rFonts w:cs="Times New Roman"/>
                <w:b/>
                <w:color w:val="auto"/>
                <w:sz w:val="18"/>
                <w:szCs w:val="22"/>
              </w:rPr>
              <w:t>Code</w:t>
            </w:r>
          </w:p>
        </w:tc>
        <w:tc>
          <w:tcPr>
            <w:tcW w:w="724" w:type="dxa"/>
            <w:tcBorders>
              <w:bottom w:val="single" w:sz="4" w:space="0" w:color="000000"/>
              <w:right w:val="thinThickThinSmallGap" w:sz="24" w:space="0" w:color="auto"/>
            </w:tcBorders>
            <w:shd w:val="clear" w:color="auto" w:fill="D9D9D9"/>
            <w:vAlign w:val="center"/>
          </w:tcPr>
          <w:p w:rsidR="00F90376" w:rsidRPr="00BE4424" w:rsidRDefault="00F90376" w:rsidP="00472D4A">
            <w:pPr>
              <w:spacing w:line="180" w:lineRule="exact"/>
              <w:contextualSpacing/>
              <w:rPr>
                <w:b/>
                <w:color w:val="auto"/>
                <w:sz w:val="18"/>
                <w:szCs w:val="22"/>
              </w:rPr>
            </w:pPr>
            <w:r w:rsidRPr="00BE4424">
              <w:rPr>
                <w:rFonts w:cs="Times New Roman"/>
                <w:b/>
                <w:color w:val="auto"/>
                <w:sz w:val="18"/>
                <w:szCs w:val="22"/>
              </w:rPr>
              <w:t>Rating</w:t>
            </w:r>
          </w:p>
        </w:tc>
        <w:tc>
          <w:tcPr>
            <w:tcW w:w="2610" w:type="dxa"/>
            <w:tcBorders>
              <w:left w:val="thinThickThinSmallGap" w:sz="24" w:space="0" w:color="auto"/>
              <w:bottom w:val="single" w:sz="4" w:space="0" w:color="000000"/>
            </w:tcBorders>
            <w:shd w:val="clear" w:color="auto" w:fill="D9D9D9"/>
            <w:vAlign w:val="center"/>
          </w:tcPr>
          <w:p w:rsidR="00F90376" w:rsidRPr="00BE4424" w:rsidRDefault="00F90376" w:rsidP="00472D4A">
            <w:pPr>
              <w:spacing w:line="180" w:lineRule="exact"/>
              <w:contextualSpacing/>
              <w:rPr>
                <w:b/>
                <w:color w:val="auto"/>
                <w:sz w:val="18"/>
                <w:szCs w:val="22"/>
              </w:rPr>
            </w:pPr>
            <w:r w:rsidRPr="00BE4424">
              <w:rPr>
                <w:rFonts w:cs="Times New Roman"/>
                <w:b/>
                <w:color w:val="auto"/>
                <w:sz w:val="18"/>
                <w:szCs w:val="22"/>
              </w:rPr>
              <w:t>Condition</w:t>
            </w:r>
          </w:p>
        </w:tc>
        <w:tc>
          <w:tcPr>
            <w:tcW w:w="1080" w:type="dxa"/>
            <w:tcBorders>
              <w:bottom w:val="single" w:sz="4" w:space="0" w:color="000000"/>
            </w:tcBorders>
            <w:shd w:val="clear" w:color="auto" w:fill="D9D9D9"/>
            <w:vAlign w:val="center"/>
          </w:tcPr>
          <w:p w:rsidR="00F90376" w:rsidRPr="00BE4424" w:rsidRDefault="00F90376" w:rsidP="00472D4A">
            <w:pPr>
              <w:spacing w:line="180" w:lineRule="exact"/>
              <w:contextualSpacing/>
              <w:rPr>
                <w:b/>
                <w:color w:val="auto"/>
                <w:sz w:val="18"/>
                <w:szCs w:val="22"/>
              </w:rPr>
            </w:pPr>
            <w:r w:rsidRPr="00BE4424">
              <w:rPr>
                <w:rFonts w:cs="Times New Roman"/>
                <w:b/>
                <w:color w:val="auto"/>
                <w:sz w:val="18"/>
                <w:szCs w:val="22"/>
              </w:rPr>
              <w:t>Code</w:t>
            </w:r>
          </w:p>
        </w:tc>
        <w:tc>
          <w:tcPr>
            <w:tcW w:w="720" w:type="dxa"/>
            <w:tcBorders>
              <w:bottom w:val="single" w:sz="4" w:space="0" w:color="000000"/>
            </w:tcBorders>
            <w:shd w:val="clear" w:color="auto" w:fill="D9D9D9"/>
            <w:vAlign w:val="center"/>
          </w:tcPr>
          <w:p w:rsidR="00F90376" w:rsidRPr="00BE4424" w:rsidRDefault="00F90376" w:rsidP="00472D4A">
            <w:pPr>
              <w:spacing w:line="180" w:lineRule="exact"/>
              <w:contextualSpacing/>
              <w:rPr>
                <w:b/>
                <w:color w:val="auto"/>
                <w:sz w:val="18"/>
                <w:szCs w:val="22"/>
              </w:rPr>
            </w:pPr>
            <w:r w:rsidRPr="00BE4424">
              <w:rPr>
                <w:rFonts w:cs="Times New Roman"/>
                <w:b/>
                <w:color w:val="auto"/>
                <w:sz w:val="18"/>
                <w:szCs w:val="22"/>
              </w:rPr>
              <w:t>Rating</w:t>
            </w:r>
          </w:p>
        </w:tc>
        <w:tc>
          <w:tcPr>
            <w:tcW w:w="990" w:type="dxa"/>
            <w:tcBorders>
              <w:bottom w:val="single" w:sz="4" w:space="0" w:color="000000"/>
            </w:tcBorders>
            <w:shd w:val="clear" w:color="auto" w:fill="D9D9D9"/>
            <w:vAlign w:val="center"/>
          </w:tcPr>
          <w:p w:rsidR="00F90376" w:rsidRPr="00BE4424" w:rsidRDefault="00F90376" w:rsidP="00472D4A">
            <w:pPr>
              <w:spacing w:line="180" w:lineRule="exact"/>
              <w:contextualSpacing/>
              <w:rPr>
                <w:b/>
                <w:color w:val="auto"/>
                <w:sz w:val="18"/>
                <w:szCs w:val="22"/>
              </w:rPr>
            </w:pPr>
            <w:r w:rsidRPr="00BE4424">
              <w:rPr>
                <w:rFonts w:cs="Times New Roman"/>
                <w:b/>
                <w:color w:val="auto"/>
                <w:sz w:val="18"/>
                <w:szCs w:val="22"/>
              </w:rPr>
              <w:t>Exam</w:t>
            </w:r>
          </w:p>
        </w:tc>
      </w:tr>
      <w:tr w:rsidR="00D26276" w:rsidRPr="00BE4424" w:rsidTr="009D159D">
        <w:trPr>
          <w:trHeight w:val="118"/>
          <w:jc w:val="center"/>
        </w:trPr>
        <w:tc>
          <w:tcPr>
            <w:tcW w:w="2345" w:type="dxa"/>
            <w:tcBorders>
              <w:right w:val="single" w:sz="4" w:space="0" w:color="auto"/>
            </w:tcBorders>
            <w:shd w:val="clear" w:color="auto" w:fill="FFFFFF"/>
            <w:vAlign w:val="center"/>
          </w:tcPr>
          <w:p w:rsidR="00F90376" w:rsidRPr="00BE4424" w:rsidRDefault="005A7684" w:rsidP="00472D4A">
            <w:pPr>
              <w:spacing w:line="180" w:lineRule="exact"/>
              <w:contextualSpacing/>
              <w:jc w:val="left"/>
              <w:rPr>
                <w:color w:val="auto"/>
                <w:sz w:val="18"/>
                <w:szCs w:val="22"/>
              </w:rPr>
            </w:pPr>
            <w:r w:rsidRPr="00BE4424">
              <w:rPr>
                <w:color w:val="auto"/>
                <w:sz w:val="18"/>
                <w:szCs w:val="22"/>
              </w:rPr>
              <w:t>Chronic Left Foot Pain Status Post Plantar Fascia Release</w:t>
            </w:r>
          </w:p>
        </w:tc>
        <w:tc>
          <w:tcPr>
            <w:tcW w:w="900" w:type="dxa"/>
            <w:tcBorders>
              <w:left w:val="single" w:sz="4" w:space="0" w:color="auto"/>
            </w:tcBorders>
            <w:shd w:val="clear" w:color="auto" w:fill="FFFFFF"/>
            <w:vAlign w:val="center"/>
          </w:tcPr>
          <w:p w:rsidR="00F90376" w:rsidRPr="00BE4424" w:rsidRDefault="005A7684" w:rsidP="005A7684">
            <w:pPr>
              <w:spacing w:line="180" w:lineRule="exact"/>
              <w:contextualSpacing/>
              <w:rPr>
                <w:color w:val="auto"/>
                <w:sz w:val="18"/>
                <w:szCs w:val="22"/>
              </w:rPr>
            </w:pPr>
            <w:r w:rsidRPr="00BE4424">
              <w:rPr>
                <w:bCs/>
                <w:iCs/>
                <w:color w:val="auto"/>
                <w:sz w:val="18"/>
                <w:szCs w:val="22"/>
              </w:rPr>
              <w:t>5299-5284</w:t>
            </w:r>
          </w:p>
        </w:tc>
        <w:tc>
          <w:tcPr>
            <w:tcW w:w="724" w:type="dxa"/>
            <w:tcBorders>
              <w:right w:val="thinThickThinSmallGap" w:sz="24" w:space="0" w:color="auto"/>
            </w:tcBorders>
            <w:shd w:val="clear" w:color="auto" w:fill="FFFFFF"/>
            <w:vAlign w:val="center"/>
          </w:tcPr>
          <w:p w:rsidR="00F90376" w:rsidRPr="00BE4424" w:rsidRDefault="005A7684" w:rsidP="00472D4A">
            <w:pPr>
              <w:spacing w:line="180" w:lineRule="exact"/>
              <w:rPr>
                <w:color w:val="auto"/>
                <w:sz w:val="18"/>
                <w:szCs w:val="22"/>
              </w:rPr>
            </w:pPr>
            <w:r w:rsidRPr="00BE4424">
              <w:rPr>
                <w:bCs/>
                <w:iCs/>
                <w:color w:val="auto"/>
                <w:sz w:val="18"/>
                <w:szCs w:val="22"/>
              </w:rPr>
              <w:t>10%</w:t>
            </w:r>
          </w:p>
        </w:tc>
        <w:tc>
          <w:tcPr>
            <w:tcW w:w="2610" w:type="dxa"/>
            <w:tcBorders>
              <w:left w:val="thinThickThinSmallGap" w:sz="24" w:space="0" w:color="auto"/>
            </w:tcBorders>
            <w:shd w:val="clear" w:color="auto" w:fill="FFFFFF"/>
            <w:vAlign w:val="center"/>
          </w:tcPr>
          <w:p w:rsidR="00F90376" w:rsidRPr="00BE4424" w:rsidRDefault="00E54C05" w:rsidP="00E54C05">
            <w:pPr>
              <w:spacing w:line="180" w:lineRule="exact"/>
              <w:contextualSpacing/>
              <w:jc w:val="left"/>
              <w:rPr>
                <w:color w:val="auto"/>
                <w:sz w:val="18"/>
                <w:szCs w:val="22"/>
              </w:rPr>
            </w:pPr>
            <w:r w:rsidRPr="00BE4424">
              <w:rPr>
                <w:color w:val="auto"/>
                <w:sz w:val="18"/>
                <w:szCs w:val="22"/>
              </w:rPr>
              <w:t>Left Foot Status Post Fasciotomy Release</w:t>
            </w:r>
          </w:p>
        </w:tc>
        <w:tc>
          <w:tcPr>
            <w:tcW w:w="1080" w:type="dxa"/>
            <w:shd w:val="clear" w:color="auto" w:fill="FFFFFF"/>
            <w:vAlign w:val="center"/>
          </w:tcPr>
          <w:p w:rsidR="00F90376" w:rsidRPr="00BE4424" w:rsidRDefault="00E54C05" w:rsidP="00472D4A">
            <w:pPr>
              <w:spacing w:line="180" w:lineRule="exact"/>
              <w:contextualSpacing/>
              <w:rPr>
                <w:color w:val="auto"/>
                <w:sz w:val="18"/>
                <w:szCs w:val="22"/>
              </w:rPr>
            </w:pPr>
            <w:r w:rsidRPr="00BE4424">
              <w:rPr>
                <w:color w:val="auto"/>
                <w:sz w:val="18"/>
                <w:szCs w:val="22"/>
              </w:rPr>
              <w:t>5276</w:t>
            </w:r>
          </w:p>
        </w:tc>
        <w:tc>
          <w:tcPr>
            <w:tcW w:w="720" w:type="dxa"/>
            <w:shd w:val="clear" w:color="auto" w:fill="FFFFFF"/>
            <w:vAlign w:val="center"/>
          </w:tcPr>
          <w:p w:rsidR="00F90376" w:rsidRPr="00BE4424" w:rsidRDefault="005A3835" w:rsidP="00472D4A">
            <w:pPr>
              <w:spacing w:line="180" w:lineRule="exact"/>
              <w:contextualSpacing/>
              <w:rPr>
                <w:color w:val="auto"/>
                <w:sz w:val="18"/>
                <w:szCs w:val="22"/>
              </w:rPr>
            </w:pPr>
            <w:r w:rsidRPr="00BE4424">
              <w:rPr>
                <w:rFonts w:cs="Times New Roman"/>
                <w:color w:val="auto"/>
                <w:sz w:val="18"/>
                <w:szCs w:val="22"/>
              </w:rPr>
              <w:t>1</w:t>
            </w:r>
            <w:r w:rsidR="00E54C05" w:rsidRPr="00BE4424">
              <w:rPr>
                <w:rFonts w:cs="Times New Roman"/>
                <w:color w:val="auto"/>
                <w:sz w:val="18"/>
                <w:szCs w:val="22"/>
              </w:rPr>
              <w:t>0%</w:t>
            </w:r>
            <w:r w:rsidRPr="00BE4424">
              <w:rPr>
                <w:rFonts w:cs="Times New Roman"/>
                <w:color w:val="auto"/>
                <w:sz w:val="18"/>
                <w:szCs w:val="22"/>
              </w:rPr>
              <w:t>*</w:t>
            </w:r>
          </w:p>
        </w:tc>
        <w:tc>
          <w:tcPr>
            <w:tcW w:w="990" w:type="dxa"/>
            <w:shd w:val="clear" w:color="auto" w:fill="FFFFFF"/>
            <w:vAlign w:val="center"/>
          </w:tcPr>
          <w:p w:rsidR="00F90376" w:rsidRPr="00BE4424" w:rsidRDefault="00A314B6" w:rsidP="00E56112">
            <w:pPr>
              <w:spacing w:line="180" w:lineRule="exact"/>
              <w:contextualSpacing/>
              <w:rPr>
                <w:color w:val="auto"/>
                <w:sz w:val="18"/>
                <w:szCs w:val="22"/>
              </w:rPr>
            </w:pPr>
            <w:r w:rsidRPr="00BE4424">
              <w:rPr>
                <w:rFonts w:cs="Times New Roman"/>
                <w:color w:val="auto"/>
                <w:sz w:val="18"/>
                <w:szCs w:val="22"/>
              </w:rPr>
              <w:t>20</w:t>
            </w:r>
            <w:r w:rsidR="00E56112" w:rsidRPr="00BE4424">
              <w:rPr>
                <w:rFonts w:cs="Times New Roman"/>
                <w:color w:val="auto"/>
                <w:sz w:val="18"/>
                <w:szCs w:val="22"/>
              </w:rPr>
              <w:t>101202</w:t>
            </w:r>
          </w:p>
        </w:tc>
      </w:tr>
      <w:tr w:rsidR="00D26276" w:rsidRPr="00BE4424" w:rsidTr="009D159D">
        <w:trPr>
          <w:trHeight w:val="118"/>
          <w:jc w:val="center"/>
        </w:trPr>
        <w:tc>
          <w:tcPr>
            <w:tcW w:w="2345" w:type="dxa"/>
            <w:tcBorders>
              <w:right w:val="single" w:sz="4" w:space="0" w:color="auto"/>
            </w:tcBorders>
            <w:shd w:val="clear" w:color="auto" w:fill="FFFFFF"/>
            <w:vAlign w:val="center"/>
          </w:tcPr>
          <w:p w:rsidR="0017172C" w:rsidRPr="00BE4424" w:rsidRDefault="005A7684" w:rsidP="00B9759B">
            <w:pPr>
              <w:spacing w:line="180" w:lineRule="exact"/>
              <w:contextualSpacing/>
              <w:jc w:val="left"/>
              <w:rPr>
                <w:rFonts w:cs="Times New Roman"/>
                <w:color w:val="auto"/>
                <w:sz w:val="18"/>
                <w:szCs w:val="22"/>
              </w:rPr>
            </w:pPr>
            <w:r w:rsidRPr="00BE4424">
              <w:rPr>
                <w:rFonts w:cs="Times New Roman"/>
                <w:color w:val="auto"/>
                <w:sz w:val="18"/>
                <w:szCs w:val="22"/>
              </w:rPr>
              <w:t xml:space="preserve">Chronic Left Knee Pain Status Post Arthroscopy To Correct Medial Meniscal-Tear </w:t>
            </w:r>
            <w:r w:rsidR="00B9759B">
              <w:rPr>
                <w:rFonts w:cs="Times New Roman"/>
                <w:color w:val="auto"/>
                <w:sz w:val="18"/>
                <w:szCs w:val="22"/>
              </w:rPr>
              <w:t>a</w:t>
            </w:r>
            <w:r w:rsidRPr="00BE4424">
              <w:rPr>
                <w:rFonts w:cs="Times New Roman"/>
                <w:color w:val="auto"/>
                <w:sz w:val="18"/>
                <w:szCs w:val="22"/>
              </w:rPr>
              <w:t>nd Fat Pad Excision</w:t>
            </w:r>
          </w:p>
        </w:tc>
        <w:tc>
          <w:tcPr>
            <w:tcW w:w="900" w:type="dxa"/>
            <w:tcBorders>
              <w:left w:val="single" w:sz="4" w:space="0" w:color="auto"/>
            </w:tcBorders>
            <w:shd w:val="clear" w:color="auto" w:fill="FFFFFF"/>
            <w:vAlign w:val="center"/>
          </w:tcPr>
          <w:p w:rsidR="0017172C" w:rsidRPr="00BE4424" w:rsidRDefault="005A7684" w:rsidP="005A7684">
            <w:pPr>
              <w:spacing w:line="180" w:lineRule="exact"/>
              <w:contextualSpacing/>
              <w:rPr>
                <w:rFonts w:cs="Times New Roman"/>
                <w:color w:val="auto"/>
                <w:sz w:val="18"/>
                <w:szCs w:val="22"/>
              </w:rPr>
            </w:pPr>
            <w:r w:rsidRPr="00BE4424">
              <w:rPr>
                <w:rFonts w:cs="Times New Roman"/>
                <w:bCs/>
                <w:iCs/>
                <w:color w:val="auto"/>
                <w:sz w:val="18"/>
                <w:szCs w:val="22"/>
              </w:rPr>
              <w:t>5099-5003</w:t>
            </w:r>
          </w:p>
        </w:tc>
        <w:tc>
          <w:tcPr>
            <w:tcW w:w="724" w:type="dxa"/>
            <w:tcBorders>
              <w:right w:val="thinThickThinSmallGap" w:sz="24" w:space="0" w:color="auto"/>
            </w:tcBorders>
            <w:shd w:val="clear" w:color="auto" w:fill="FFFFFF"/>
            <w:vAlign w:val="center"/>
          </w:tcPr>
          <w:p w:rsidR="0017172C" w:rsidRPr="00BE4424" w:rsidRDefault="005A7684" w:rsidP="00472D4A">
            <w:pPr>
              <w:spacing w:line="180" w:lineRule="exact"/>
              <w:rPr>
                <w:rFonts w:cs="Times New Roman"/>
                <w:color w:val="auto"/>
                <w:sz w:val="18"/>
                <w:szCs w:val="22"/>
              </w:rPr>
            </w:pPr>
            <w:r w:rsidRPr="00BE4424">
              <w:rPr>
                <w:bCs/>
                <w:iCs/>
                <w:color w:val="auto"/>
                <w:sz w:val="18"/>
                <w:szCs w:val="22"/>
              </w:rPr>
              <w:t>10%</w:t>
            </w:r>
          </w:p>
        </w:tc>
        <w:tc>
          <w:tcPr>
            <w:tcW w:w="2610" w:type="dxa"/>
            <w:tcBorders>
              <w:left w:val="thinThickThinSmallGap" w:sz="24" w:space="0" w:color="auto"/>
            </w:tcBorders>
            <w:shd w:val="clear" w:color="auto" w:fill="FFFFFF"/>
            <w:vAlign w:val="center"/>
          </w:tcPr>
          <w:p w:rsidR="0017172C" w:rsidRPr="00BE4424" w:rsidRDefault="00E54C05" w:rsidP="00472D4A">
            <w:pPr>
              <w:spacing w:line="180" w:lineRule="exact"/>
              <w:contextualSpacing/>
              <w:jc w:val="left"/>
              <w:rPr>
                <w:rFonts w:cs="Times New Roman"/>
                <w:color w:val="auto"/>
                <w:sz w:val="18"/>
                <w:szCs w:val="22"/>
              </w:rPr>
            </w:pPr>
            <w:r w:rsidRPr="00BE4424">
              <w:rPr>
                <w:rFonts w:cs="Times New Roman"/>
                <w:color w:val="auto"/>
                <w:sz w:val="18"/>
                <w:szCs w:val="22"/>
              </w:rPr>
              <w:t>Left Knee Status Post Arthroscopic Debridement</w:t>
            </w:r>
          </w:p>
        </w:tc>
        <w:tc>
          <w:tcPr>
            <w:tcW w:w="1080" w:type="dxa"/>
            <w:shd w:val="clear" w:color="auto" w:fill="FFFFFF"/>
            <w:vAlign w:val="center"/>
          </w:tcPr>
          <w:p w:rsidR="0017172C" w:rsidRPr="00BE4424" w:rsidRDefault="00E54C05" w:rsidP="00472D4A">
            <w:pPr>
              <w:spacing w:line="180" w:lineRule="exact"/>
              <w:contextualSpacing/>
              <w:rPr>
                <w:rFonts w:cs="Times New Roman"/>
                <w:color w:val="auto"/>
                <w:sz w:val="18"/>
                <w:szCs w:val="22"/>
              </w:rPr>
            </w:pPr>
            <w:r w:rsidRPr="00BE4424">
              <w:rPr>
                <w:rFonts w:cs="Times New Roman"/>
                <w:color w:val="auto"/>
                <w:sz w:val="18"/>
                <w:szCs w:val="22"/>
              </w:rPr>
              <w:t>5259</w:t>
            </w:r>
          </w:p>
        </w:tc>
        <w:tc>
          <w:tcPr>
            <w:tcW w:w="720" w:type="dxa"/>
            <w:shd w:val="clear" w:color="auto" w:fill="FFFFFF"/>
            <w:vAlign w:val="center"/>
          </w:tcPr>
          <w:p w:rsidR="0017172C" w:rsidRPr="00BE4424" w:rsidRDefault="00E54C05" w:rsidP="00472D4A">
            <w:pPr>
              <w:spacing w:line="180" w:lineRule="exact"/>
              <w:contextualSpacing/>
              <w:rPr>
                <w:rFonts w:cs="Times New Roman"/>
                <w:color w:val="auto"/>
                <w:sz w:val="18"/>
                <w:szCs w:val="22"/>
              </w:rPr>
            </w:pPr>
            <w:r w:rsidRPr="00BE4424">
              <w:rPr>
                <w:rFonts w:cs="Times New Roman"/>
                <w:color w:val="auto"/>
                <w:sz w:val="18"/>
                <w:szCs w:val="22"/>
              </w:rPr>
              <w:t>10%</w:t>
            </w:r>
          </w:p>
        </w:tc>
        <w:tc>
          <w:tcPr>
            <w:tcW w:w="990" w:type="dxa"/>
            <w:shd w:val="clear" w:color="auto" w:fill="FFFFFF"/>
            <w:vAlign w:val="center"/>
          </w:tcPr>
          <w:p w:rsidR="0017172C" w:rsidRPr="00BE4424" w:rsidRDefault="00AE0D70" w:rsidP="00472D4A">
            <w:pPr>
              <w:spacing w:line="180" w:lineRule="exact"/>
              <w:contextualSpacing/>
              <w:rPr>
                <w:rFonts w:cs="Times New Roman"/>
                <w:color w:val="auto"/>
                <w:sz w:val="18"/>
                <w:szCs w:val="22"/>
              </w:rPr>
            </w:pPr>
            <w:r w:rsidRPr="00BE4424">
              <w:rPr>
                <w:rFonts w:cs="Times New Roman"/>
                <w:color w:val="auto"/>
                <w:sz w:val="18"/>
                <w:szCs w:val="22"/>
              </w:rPr>
              <w:t>20090601</w:t>
            </w:r>
          </w:p>
        </w:tc>
      </w:tr>
      <w:tr w:rsidR="005A7684" w:rsidRPr="00BE4424" w:rsidTr="009D159D">
        <w:trPr>
          <w:trHeight w:val="118"/>
          <w:jc w:val="center"/>
        </w:trPr>
        <w:tc>
          <w:tcPr>
            <w:tcW w:w="2345" w:type="dxa"/>
            <w:tcBorders>
              <w:right w:val="single" w:sz="4" w:space="0" w:color="auto"/>
            </w:tcBorders>
            <w:shd w:val="clear" w:color="auto" w:fill="FFFFFF"/>
            <w:vAlign w:val="center"/>
          </w:tcPr>
          <w:p w:rsidR="005A7684" w:rsidRPr="00BE4424" w:rsidRDefault="005A7684" w:rsidP="00472D4A">
            <w:pPr>
              <w:spacing w:line="180" w:lineRule="exact"/>
              <w:contextualSpacing/>
              <w:jc w:val="left"/>
              <w:rPr>
                <w:rFonts w:cs="Times New Roman"/>
                <w:color w:val="auto"/>
                <w:sz w:val="18"/>
                <w:szCs w:val="22"/>
              </w:rPr>
            </w:pPr>
            <w:r w:rsidRPr="00BE4424">
              <w:rPr>
                <w:rFonts w:cs="Times New Roman"/>
                <w:color w:val="auto"/>
                <w:sz w:val="18"/>
                <w:szCs w:val="22"/>
              </w:rPr>
              <w:t>Chronic Low Back Pain</w:t>
            </w:r>
          </w:p>
        </w:tc>
        <w:tc>
          <w:tcPr>
            <w:tcW w:w="1624" w:type="dxa"/>
            <w:gridSpan w:val="2"/>
            <w:tcBorders>
              <w:left w:val="single" w:sz="4" w:space="0" w:color="auto"/>
              <w:right w:val="thinThickThinSmallGap" w:sz="24" w:space="0" w:color="auto"/>
            </w:tcBorders>
            <w:shd w:val="clear" w:color="auto" w:fill="FFFFFF"/>
            <w:vAlign w:val="center"/>
          </w:tcPr>
          <w:p w:rsidR="005A7684" w:rsidRPr="00BE4424" w:rsidRDefault="009D159D" w:rsidP="00472D4A">
            <w:pPr>
              <w:spacing w:line="180" w:lineRule="exact"/>
              <w:rPr>
                <w:rFonts w:cs="Times New Roman"/>
                <w:color w:val="auto"/>
                <w:sz w:val="18"/>
                <w:szCs w:val="22"/>
              </w:rPr>
            </w:pPr>
            <w:r w:rsidRPr="00BE4424">
              <w:rPr>
                <w:color w:val="auto"/>
                <w:sz w:val="18"/>
                <w:szCs w:val="22"/>
              </w:rPr>
              <w:t>Not unfitting</w:t>
            </w:r>
          </w:p>
        </w:tc>
        <w:tc>
          <w:tcPr>
            <w:tcW w:w="2610" w:type="dxa"/>
            <w:tcBorders>
              <w:left w:val="thinThickThinSmallGap" w:sz="24" w:space="0" w:color="auto"/>
            </w:tcBorders>
            <w:shd w:val="clear" w:color="auto" w:fill="FFFFFF"/>
            <w:vAlign w:val="center"/>
          </w:tcPr>
          <w:p w:rsidR="005A7684" w:rsidRPr="00BE4424" w:rsidRDefault="00E54C05" w:rsidP="00472D4A">
            <w:pPr>
              <w:spacing w:line="180" w:lineRule="exact"/>
              <w:contextualSpacing/>
              <w:jc w:val="left"/>
              <w:rPr>
                <w:rFonts w:cs="Times New Roman"/>
                <w:color w:val="auto"/>
                <w:sz w:val="18"/>
                <w:szCs w:val="22"/>
              </w:rPr>
            </w:pPr>
            <w:r w:rsidRPr="00BE4424">
              <w:rPr>
                <w:rFonts w:cs="Times New Roman"/>
                <w:color w:val="auto"/>
                <w:sz w:val="18"/>
                <w:szCs w:val="22"/>
              </w:rPr>
              <w:t>Low Back Strain</w:t>
            </w:r>
          </w:p>
        </w:tc>
        <w:tc>
          <w:tcPr>
            <w:tcW w:w="1080" w:type="dxa"/>
            <w:shd w:val="clear" w:color="auto" w:fill="FFFFFF"/>
            <w:vAlign w:val="center"/>
          </w:tcPr>
          <w:p w:rsidR="005A7684" w:rsidRPr="00BE4424" w:rsidRDefault="00E54C05" w:rsidP="00472D4A">
            <w:pPr>
              <w:spacing w:line="180" w:lineRule="exact"/>
              <w:contextualSpacing/>
              <w:rPr>
                <w:rFonts w:cs="Times New Roman"/>
                <w:color w:val="auto"/>
                <w:sz w:val="18"/>
                <w:szCs w:val="22"/>
              </w:rPr>
            </w:pPr>
            <w:r w:rsidRPr="00BE4424">
              <w:rPr>
                <w:rFonts w:cs="Times New Roman"/>
                <w:color w:val="auto"/>
                <w:sz w:val="18"/>
                <w:szCs w:val="22"/>
              </w:rPr>
              <w:t>5237</w:t>
            </w:r>
          </w:p>
        </w:tc>
        <w:tc>
          <w:tcPr>
            <w:tcW w:w="720" w:type="dxa"/>
            <w:shd w:val="clear" w:color="auto" w:fill="FFFFFF"/>
            <w:vAlign w:val="center"/>
          </w:tcPr>
          <w:p w:rsidR="005A7684" w:rsidRPr="00BE4424" w:rsidRDefault="00E54C05" w:rsidP="00472D4A">
            <w:pPr>
              <w:spacing w:line="180" w:lineRule="exact"/>
              <w:contextualSpacing/>
              <w:rPr>
                <w:rFonts w:cs="Times New Roman"/>
                <w:color w:val="auto"/>
                <w:sz w:val="18"/>
                <w:szCs w:val="22"/>
              </w:rPr>
            </w:pPr>
            <w:r w:rsidRPr="00BE4424">
              <w:rPr>
                <w:rFonts w:cs="Times New Roman"/>
                <w:color w:val="auto"/>
                <w:sz w:val="18"/>
                <w:szCs w:val="22"/>
              </w:rPr>
              <w:t>10%</w:t>
            </w:r>
          </w:p>
        </w:tc>
        <w:tc>
          <w:tcPr>
            <w:tcW w:w="990" w:type="dxa"/>
            <w:shd w:val="clear" w:color="auto" w:fill="FFFFFF"/>
            <w:vAlign w:val="center"/>
          </w:tcPr>
          <w:p w:rsidR="005A7684" w:rsidRPr="00BE4424" w:rsidRDefault="00AE0D70" w:rsidP="00472D4A">
            <w:pPr>
              <w:spacing w:line="180" w:lineRule="exact"/>
              <w:contextualSpacing/>
              <w:rPr>
                <w:rFonts w:cs="Times New Roman"/>
                <w:color w:val="auto"/>
                <w:sz w:val="18"/>
                <w:szCs w:val="22"/>
              </w:rPr>
            </w:pPr>
            <w:r w:rsidRPr="00BE4424">
              <w:rPr>
                <w:rFonts w:cs="Times New Roman"/>
                <w:color w:val="auto"/>
                <w:sz w:val="18"/>
                <w:szCs w:val="22"/>
              </w:rPr>
              <w:t>20090601</w:t>
            </w:r>
          </w:p>
        </w:tc>
      </w:tr>
      <w:tr w:rsidR="0044728D" w:rsidRPr="00BE4424" w:rsidTr="009D159D">
        <w:trPr>
          <w:trHeight w:val="118"/>
          <w:jc w:val="center"/>
        </w:trPr>
        <w:tc>
          <w:tcPr>
            <w:tcW w:w="2345" w:type="dxa"/>
            <w:vMerge w:val="restart"/>
            <w:tcBorders>
              <w:right w:val="single" w:sz="4" w:space="0" w:color="auto"/>
            </w:tcBorders>
            <w:shd w:val="clear" w:color="auto" w:fill="FFFFFF"/>
            <w:vAlign w:val="center"/>
          </w:tcPr>
          <w:p w:rsidR="0044728D" w:rsidRPr="00BE4424" w:rsidRDefault="00B9759B" w:rsidP="009D159D">
            <w:pPr>
              <w:spacing w:line="180" w:lineRule="exact"/>
              <w:contextualSpacing/>
              <w:jc w:val="left"/>
              <w:rPr>
                <w:rFonts w:cs="Times New Roman"/>
                <w:color w:val="auto"/>
                <w:sz w:val="18"/>
                <w:szCs w:val="22"/>
              </w:rPr>
            </w:pPr>
            <w:proofErr w:type="spellStart"/>
            <w:r>
              <w:rPr>
                <w:rFonts w:cs="Times New Roman"/>
                <w:color w:val="auto"/>
                <w:sz w:val="18"/>
                <w:szCs w:val="22"/>
              </w:rPr>
              <w:t>Turbinoplasty</w:t>
            </w:r>
            <w:proofErr w:type="spellEnd"/>
            <w:r>
              <w:rPr>
                <w:rFonts w:cs="Times New Roman"/>
                <w:color w:val="auto"/>
                <w:sz w:val="18"/>
                <w:szCs w:val="22"/>
              </w:rPr>
              <w:t xml:space="preserve"> a</w:t>
            </w:r>
            <w:r w:rsidR="0044728D" w:rsidRPr="00BE4424">
              <w:rPr>
                <w:rFonts w:cs="Times New Roman"/>
                <w:color w:val="auto"/>
                <w:sz w:val="18"/>
                <w:szCs w:val="22"/>
              </w:rPr>
              <w:t>nd Left Ear P</w:t>
            </w:r>
            <w:r w:rsidR="009D159D" w:rsidRPr="00BE4424">
              <w:rPr>
                <w:rFonts w:cs="Times New Roman"/>
                <w:color w:val="auto"/>
                <w:sz w:val="18"/>
                <w:szCs w:val="22"/>
              </w:rPr>
              <w:t>E</w:t>
            </w:r>
            <w:r w:rsidR="0044728D" w:rsidRPr="00BE4424">
              <w:rPr>
                <w:rFonts w:cs="Times New Roman"/>
                <w:color w:val="auto"/>
                <w:sz w:val="18"/>
                <w:szCs w:val="22"/>
              </w:rPr>
              <w:t xml:space="preserve"> Tube Placement</w:t>
            </w:r>
          </w:p>
        </w:tc>
        <w:tc>
          <w:tcPr>
            <w:tcW w:w="1624" w:type="dxa"/>
            <w:gridSpan w:val="2"/>
            <w:vMerge w:val="restart"/>
            <w:tcBorders>
              <w:left w:val="single" w:sz="4" w:space="0" w:color="auto"/>
              <w:right w:val="thinThickThinSmallGap" w:sz="24" w:space="0" w:color="auto"/>
            </w:tcBorders>
            <w:shd w:val="clear" w:color="auto" w:fill="FFFFFF"/>
            <w:vAlign w:val="center"/>
          </w:tcPr>
          <w:p w:rsidR="0044728D" w:rsidRPr="00BE4424" w:rsidRDefault="009D159D" w:rsidP="00472D4A">
            <w:pPr>
              <w:spacing w:line="180" w:lineRule="exact"/>
              <w:rPr>
                <w:rFonts w:cs="Times New Roman"/>
                <w:color w:val="auto"/>
                <w:sz w:val="18"/>
                <w:szCs w:val="22"/>
              </w:rPr>
            </w:pPr>
            <w:r w:rsidRPr="00BE4424">
              <w:rPr>
                <w:color w:val="auto"/>
                <w:sz w:val="18"/>
                <w:szCs w:val="22"/>
              </w:rPr>
              <w:t>Not unfitting</w:t>
            </w:r>
          </w:p>
        </w:tc>
        <w:tc>
          <w:tcPr>
            <w:tcW w:w="2610" w:type="dxa"/>
            <w:tcBorders>
              <w:left w:val="thinThickThinSmallGap" w:sz="24" w:space="0" w:color="auto"/>
            </w:tcBorders>
            <w:shd w:val="clear" w:color="auto" w:fill="FFFFFF"/>
            <w:vAlign w:val="center"/>
          </w:tcPr>
          <w:p w:rsidR="0044728D" w:rsidRPr="00BE4424" w:rsidRDefault="0044728D" w:rsidP="00472D4A">
            <w:pPr>
              <w:spacing w:line="180" w:lineRule="exact"/>
              <w:contextualSpacing/>
              <w:jc w:val="left"/>
              <w:rPr>
                <w:rFonts w:cs="Times New Roman"/>
                <w:color w:val="auto"/>
                <w:sz w:val="18"/>
                <w:szCs w:val="22"/>
              </w:rPr>
            </w:pPr>
            <w:r w:rsidRPr="00BE4424">
              <w:rPr>
                <w:rFonts w:cs="Times New Roman"/>
                <w:color w:val="auto"/>
                <w:sz w:val="18"/>
                <w:szCs w:val="22"/>
              </w:rPr>
              <w:t xml:space="preserve">Nasal </w:t>
            </w:r>
            <w:proofErr w:type="spellStart"/>
            <w:r w:rsidRPr="00BE4424">
              <w:rPr>
                <w:rFonts w:cs="Times New Roman"/>
                <w:color w:val="auto"/>
                <w:sz w:val="18"/>
                <w:szCs w:val="22"/>
              </w:rPr>
              <w:t>Turbinoplasty</w:t>
            </w:r>
            <w:proofErr w:type="spellEnd"/>
          </w:p>
        </w:tc>
        <w:tc>
          <w:tcPr>
            <w:tcW w:w="1080" w:type="dxa"/>
            <w:shd w:val="clear" w:color="auto" w:fill="FFFFFF"/>
            <w:vAlign w:val="center"/>
          </w:tcPr>
          <w:p w:rsidR="0044728D" w:rsidRPr="00BE4424" w:rsidRDefault="0044728D" w:rsidP="00472D4A">
            <w:pPr>
              <w:spacing w:line="180" w:lineRule="exact"/>
              <w:contextualSpacing/>
              <w:rPr>
                <w:rFonts w:cs="Times New Roman"/>
                <w:color w:val="auto"/>
                <w:sz w:val="18"/>
                <w:szCs w:val="22"/>
              </w:rPr>
            </w:pPr>
            <w:r w:rsidRPr="00BE4424">
              <w:rPr>
                <w:rFonts w:cs="Times New Roman"/>
                <w:color w:val="auto"/>
                <w:sz w:val="18"/>
                <w:szCs w:val="22"/>
              </w:rPr>
              <w:t>6502</w:t>
            </w:r>
          </w:p>
        </w:tc>
        <w:tc>
          <w:tcPr>
            <w:tcW w:w="720" w:type="dxa"/>
            <w:shd w:val="clear" w:color="auto" w:fill="FFFFFF"/>
            <w:vAlign w:val="center"/>
          </w:tcPr>
          <w:p w:rsidR="0044728D" w:rsidRPr="00BE4424" w:rsidRDefault="0044728D" w:rsidP="00472D4A">
            <w:pPr>
              <w:spacing w:line="180" w:lineRule="exact"/>
              <w:contextualSpacing/>
              <w:rPr>
                <w:rFonts w:cs="Times New Roman"/>
                <w:color w:val="auto"/>
                <w:sz w:val="18"/>
                <w:szCs w:val="22"/>
              </w:rPr>
            </w:pPr>
            <w:r w:rsidRPr="00BE4424">
              <w:rPr>
                <w:rFonts w:cs="Times New Roman"/>
                <w:color w:val="auto"/>
                <w:sz w:val="18"/>
                <w:szCs w:val="22"/>
              </w:rPr>
              <w:t>0%</w:t>
            </w:r>
          </w:p>
        </w:tc>
        <w:tc>
          <w:tcPr>
            <w:tcW w:w="990" w:type="dxa"/>
            <w:shd w:val="clear" w:color="auto" w:fill="FFFFFF"/>
            <w:vAlign w:val="center"/>
          </w:tcPr>
          <w:p w:rsidR="0044728D" w:rsidRPr="00BE4424" w:rsidRDefault="00E56112" w:rsidP="00472D4A">
            <w:pPr>
              <w:spacing w:line="180" w:lineRule="exact"/>
              <w:contextualSpacing/>
              <w:rPr>
                <w:rFonts w:cs="Times New Roman"/>
                <w:color w:val="auto"/>
                <w:sz w:val="18"/>
                <w:szCs w:val="22"/>
              </w:rPr>
            </w:pPr>
            <w:r w:rsidRPr="00BE4424">
              <w:rPr>
                <w:rFonts w:cs="Times New Roman"/>
                <w:color w:val="auto"/>
                <w:sz w:val="18"/>
                <w:szCs w:val="22"/>
              </w:rPr>
              <w:t>20090514</w:t>
            </w:r>
          </w:p>
        </w:tc>
      </w:tr>
      <w:tr w:rsidR="0044728D" w:rsidRPr="00BE4424" w:rsidTr="009D159D">
        <w:trPr>
          <w:trHeight w:val="118"/>
          <w:jc w:val="center"/>
        </w:trPr>
        <w:tc>
          <w:tcPr>
            <w:tcW w:w="2345" w:type="dxa"/>
            <w:vMerge/>
            <w:tcBorders>
              <w:right w:val="single" w:sz="4" w:space="0" w:color="auto"/>
            </w:tcBorders>
            <w:shd w:val="clear" w:color="auto" w:fill="FFFFFF"/>
            <w:vAlign w:val="center"/>
          </w:tcPr>
          <w:p w:rsidR="0044728D" w:rsidRPr="00BE4424" w:rsidRDefault="0044728D" w:rsidP="00472D4A">
            <w:pPr>
              <w:spacing w:line="180" w:lineRule="exact"/>
              <w:contextualSpacing/>
              <w:jc w:val="left"/>
              <w:rPr>
                <w:rFonts w:cs="Times New Roman"/>
                <w:color w:val="auto"/>
                <w:sz w:val="18"/>
                <w:szCs w:val="22"/>
              </w:rPr>
            </w:pPr>
          </w:p>
        </w:tc>
        <w:tc>
          <w:tcPr>
            <w:tcW w:w="1624" w:type="dxa"/>
            <w:gridSpan w:val="2"/>
            <w:vMerge/>
            <w:tcBorders>
              <w:left w:val="single" w:sz="4" w:space="0" w:color="auto"/>
              <w:right w:val="thinThickThinSmallGap" w:sz="24" w:space="0" w:color="auto"/>
            </w:tcBorders>
            <w:shd w:val="clear" w:color="auto" w:fill="FFFFFF"/>
            <w:vAlign w:val="center"/>
          </w:tcPr>
          <w:p w:rsidR="0044728D" w:rsidRPr="00BE4424" w:rsidRDefault="0044728D" w:rsidP="00472D4A">
            <w:pPr>
              <w:spacing w:line="180" w:lineRule="exact"/>
              <w:rPr>
                <w:color w:val="auto"/>
                <w:sz w:val="18"/>
                <w:szCs w:val="22"/>
              </w:rPr>
            </w:pPr>
          </w:p>
        </w:tc>
        <w:tc>
          <w:tcPr>
            <w:tcW w:w="2610" w:type="dxa"/>
            <w:tcBorders>
              <w:left w:val="thinThickThinSmallGap" w:sz="24" w:space="0" w:color="auto"/>
            </w:tcBorders>
            <w:shd w:val="clear" w:color="auto" w:fill="FFFFFF"/>
            <w:vAlign w:val="center"/>
          </w:tcPr>
          <w:p w:rsidR="0044728D" w:rsidRPr="00BE4424" w:rsidRDefault="0044728D" w:rsidP="00472D4A">
            <w:pPr>
              <w:spacing w:line="180" w:lineRule="exact"/>
              <w:contextualSpacing/>
              <w:jc w:val="left"/>
              <w:rPr>
                <w:rFonts w:cs="Times New Roman"/>
                <w:color w:val="auto"/>
                <w:sz w:val="18"/>
                <w:szCs w:val="22"/>
              </w:rPr>
            </w:pPr>
            <w:r w:rsidRPr="00BE4424">
              <w:rPr>
                <w:rFonts w:cs="Times New Roman"/>
                <w:color w:val="auto"/>
                <w:sz w:val="18"/>
                <w:szCs w:val="22"/>
              </w:rPr>
              <w:t>Eustachian Tube Dysfunction</w:t>
            </w:r>
          </w:p>
        </w:tc>
        <w:tc>
          <w:tcPr>
            <w:tcW w:w="1080" w:type="dxa"/>
            <w:shd w:val="clear" w:color="auto" w:fill="FFFFFF"/>
            <w:vAlign w:val="center"/>
          </w:tcPr>
          <w:p w:rsidR="0044728D" w:rsidRPr="00BE4424" w:rsidRDefault="0044728D" w:rsidP="00472D4A">
            <w:pPr>
              <w:spacing w:line="180" w:lineRule="exact"/>
              <w:contextualSpacing/>
              <w:rPr>
                <w:rFonts w:cs="Times New Roman"/>
                <w:color w:val="auto"/>
                <w:sz w:val="18"/>
                <w:szCs w:val="22"/>
              </w:rPr>
            </w:pPr>
            <w:r w:rsidRPr="00BE4424">
              <w:rPr>
                <w:rFonts w:cs="Times New Roman"/>
                <w:color w:val="auto"/>
                <w:sz w:val="18"/>
                <w:szCs w:val="22"/>
              </w:rPr>
              <w:t>6201</w:t>
            </w:r>
          </w:p>
        </w:tc>
        <w:tc>
          <w:tcPr>
            <w:tcW w:w="720" w:type="dxa"/>
            <w:shd w:val="clear" w:color="auto" w:fill="FFFFFF"/>
            <w:vAlign w:val="center"/>
          </w:tcPr>
          <w:p w:rsidR="0044728D" w:rsidRPr="00BE4424" w:rsidRDefault="0044728D" w:rsidP="00472D4A">
            <w:pPr>
              <w:spacing w:line="180" w:lineRule="exact"/>
              <w:contextualSpacing/>
              <w:rPr>
                <w:rFonts w:cs="Times New Roman"/>
                <w:color w:val="auto"/>
                <w:sz w:val="18"/>
                <w:szCs w:val="22"/>
              </w:rPr>
            </w:pPr>
            <w:r w:rsidRPr="00BE4424">
              <w:rPr>
                <w:rFonts w:cs="Times New Roman"/>
                <w:color w:val="auto"/>
                <w:sz w:val="18"/>
                <w:szCs w:val="22"/>
              </w:rPr>
              <w:t>0%</w:t>
            </w:r>
          </w:p>
        </w:tc>
        <w:tc>
          <w:tcPr>
            <w:tcW w:w="990" w:type="dxa"/>
            <w:shd w:val="clear" w:color="auto" w:fill="FFFFFF"/>
            <w:vAlign w:val="center"/>
          </w:tcPr>
          <w:p w:rsidR="0044728D" w:rsidRPr="00BE4424" w:rsidRDefault="009D159D" w:rsidP="00472D4A">
            <w:pPr>
              <w:spacing w:line="180" w:lineRule="exact"/>
              <w:contextualSpacing/>
              <w:rPr>
                <w:rFonts w:cs="Times New Roman"/>
                <w:color w:val="auto"/>
                <w:sz w:val="18"/>
                <w:szCs w:val="22"/>
              </w:rPr>
            </w:pPr>
            <w:r w:rsidRPr="00BE4424">
              <w:rPr>
                <w:rFonts w:cs="Times New Roman"/>
                <w:color w:val="auto"/>
                <w:sz w:val="18"/>
                <w:szCs w:val="22"/>
              </w:rPr>
              <w:t>20090514</w:t>
            </w:r>
          </w:p>
        </w:tc>
      </w:tr>
      <w:tr w:rsidR="00E54C05" w:rsidRPr="00BE4424" w:rsidTr="009D159D">
        <w:trPr>
          <w:trHeight w:val="118"/>
          <w:jc w:val="center"/>
        </w:trPr>
        <w:tc>
          <w:tcPr>
            <w:tcW w:w="2345" w:type="dxa"/>
            <w:tcBorders>
              <w:right w:val="single" w:sz="4" w:space="0" w:color="auto"/>
            </w:tcBorders>
            <w:shd w:val="clear" w:color="auto" w:fill="FFFFFF"/>
            <w:vAlign w:val="center"/>
          </w:tcPr>
          <w:p w:rsidR="00E54C05" w:rsidRPr="00BE4424" w:rsidRDefault="00E54C05" w:rsidP="00B26B34">
            <w:pPr>
              <w:spacing w:line="180" w:lineRule="exact"/>
              <w:contextualSpacing/>
              <w:jc w:val="left"/>
              <w:rPr>
                <w:color w:val="auto"/>
                <w:sz w:val="18"/>
                <w:szCs w:val="22"/>
              </w:rPr>
            </w:pPr>
            <w:r w:rsidRPr="00BE4424">
              <w:rPr>
                <w:color w:val="auto"/>
                <w:sz w:val="18"/>
                <w:szCs w:val="22"/>
              </w:rPr>
              <w:t>Tinnitus</w:t>
            </w:r>
          </w:p>
        </w:tc>
        <w:tc>
          <w:tcPr>
            <w:tcW w:w="1624" w:type="dxa"/>
            <w:gridSpan w:val="2"/>
            <w:tcBorders>
              <w:left w:val="single" w:sz="4" w:space="0" w:color="auto"/>
              <w:right w:val="thinThickThinSmallGap" w:sz="24" w:space="0" w:color="auto"/>
            </w:tcBorders>
            <w:shd w:val="clear" w:color="auto" w:fill="FFFFFF"/>
            <w:vAlign w:val="center"/>
          </w:tcPr>
          <w:p w:rsidR="00E54C05" w:rsidRPr="00BE4424" w:rsidRDefault="009D159D" w:rsidP="00B26B34">
            <w:pPr>
              <w:spacing w:line="180" w:lineRule="exact"/>
              <w:contextualSpacing/>
              <w:rPr>
                <w:color w:val="auto"/>
                <w:sz w:val="18"/>
                <w:szCs w:val="22"/>
              </w:rPr>
            </w:pPr>
            <w:r w:rsidRPr="00BE4424">
              <w:rPr>
                <w:color w:val="auto"/>
                <w:sz w:val="18"/>
                <w:szCs w:val="22"/>
              </w:rPr>
              <w:t>Not unfitting</w:t>
            </w:r>
          </w:p>
        </w:tc>
        <w:tc>
          <w:tcPr>
            <w:tcW w:w="2610" w:type="dxa"/>
            <w:tcBorders>
              <w:left w:val="thinThickThinSmallGap" w:sz="24" w:space="0" w:color="auto"/>
            </w:tcBorders>
            <w:shd w:val="clear" w:color="auto" w:fill="FFFFFF"/>
            <w:vAlign w:val="center"/>
          </w:tcPr>
          <w:p w:rsidR="00E54C05" w:rsidRPr="00BE4424" w:rsidRDefault="00E54C05" w:rsidP="00472D4A">
            <w:pPr>
              <w:spacing w:line="180" w:lineRule="exact"/>
              <w:contextualSpacing/>
              <w:jc w:val="left"/>
              <w:rPr>
                <w:rFonts w:cs="Times New Roman"/>
                <w:color w:val="auto"/>
                <w:sz w:val="18"/>
                <w:szCs w:val="22"/>
              </w:rPr>
            </w:pPr>
            <w:r w:rsidRPr="00BE4424">
              <w:rPr>
                <w:rFonts w:cs="Times New Roman"/>
                <w:color w:val="auto"/>
                <w:sz w:val="18"/>
                <w:szCs w:val="22"/>
              </w:rPr>
              <w:t>Tinnitus</w:t>
            </w:r>
          </w:p>
        </w:tc>
        <w:tc>
          <w:tcPr>
            <w:tcW w:w="1080" w:type="dxa"/>
            <w:shd w:val="clear" w:color="auto" w:fill="FFFFFF"/>
            <w:vAlign w:val="center"/>
          </w:tcPr>
          <w:p w:rsidR="00E54C05" w:rsidRPr="00BE4424" w:rsidRDefault="00E54C05" w:rsidP="00472D4A">
            <w:pPr>
              <w:spacing w:line="180" w:lineRule="exact"/>
              <w:contextualSpacing/>
              <w:rPr>
                <w:rFonts w:cs="Times New Roman"/>
                <w:color w:val="auto"/>
                <w:sz w:val="18"/>
                <w:szCs w:val="22"/>
              </w:rPr>
            </w:pPr>
            <w:r w:rsidRPr="00BE4424">
              <w:rPr>
                <w:rFonts w:cs="Times New Roman"/>
                <w:color w:val="auto"/>
                <w:sz w:val="18"/>
                <w:szCs w:val="22"/>
              </w:rPr>
              <w:t>6260</w:t>
            </w:r>
          </w:p>
        </w:tc>
        <w:tc>
          <w:tcPr>
            <w:tcW w:w="720" w:type="dxa"/>
            <w:shd w:val="clear" w:color="auto" w:fill="FFFFFF"/>
            <w:vAlign w:val="center"/>
          </w:tcPr>
          <w:p w:rsidR="00E54C05" w:rsidRPr="00BE4424" w:rsidRDefault="00E54C05" w:rsidP="00472D4A">
            <w:pPr>
              <w:spacing w:line="180" w:lineRule="exact"/>
              <w:contextualSpacing/>
              <w:rPr>
                <w:rFonts w:cs="Times New Roman"/>
                <w:color w:val="auto"/>
                <w:sz w:val="18"/>
                <w:szCs w:val="22"/>
              </w:rPr>
            </w:pPr>
            <w:r w:rsidRPr="00BE4424">
              <w:rPr>
                <w:rFonts w:cs="Times New Roman"/>
                <w:color w:val="auto"/>
                <w:sz w:val="18"/>
                <w:szCs w:val="22"/>
              </w:rPr>
              <w:t>10%</w:t>
            </w:r>
          </w:p>
        </w:tc>
        <w:tc>
          <w:tcPr>
            <w:tcW w:w="990" w:type="dxa"/>
            <w:shd w:val="clear" w:color="auto" w:fill="FFFFFF"/>
            <w:vAlign w:val="center"/>
          </w:tcPr>
          <w:p w:rsidR="00E54C05" w:rsidRPr="00BE4424" w:rsidRDefault="00E56112" w:rsidP="00472D4A">
            <w:pPr>
              <w:spacing w:line="180" w:lineRule="exact"/>
              <w:contextualSpacing/>
              <w:rPr>
                <w:rFonts w:cs="Times New Roman"/>
                <w:color w:val="auto"/>
                <w:sz w:val="18"/>
                <w:szCs w:val="22"/>
              </w:rPr>
            </w:pPr>
            <w:r w:rsidRPr="00BE4424">
              <w:rPr>
                <w:rFonts w:cs="Times New Roman"/>
                <w:color w:val="auto"/>
                <w:sz w:val="18"/>
                <w:szCs w:val="22"/>
              </w:rPr>
              <w:t>20090514</w:t>
            </w:r>
          </w:p>
        </w:tc>
      </w:tr>
      <w:tr w:rsidR="009D159D" w:rsidRPr="00BE4424" w:rsidTr="00224870">
        <w:trPr>
          <w:trHeight w:val="118"/>
          <w:jc w:val="center"/>
        </w:trPr>
        <w:tc>
          <w:tcPr>
            <w:tcW w:w="3969" w:type="dxa"/>
            <w:gridSpan w:val="3"/>
            <w:vMerge w:val="restart"/>
            <w:tcBorders>
              <w:right w:val="thinThickThinSmallGap" w:sz="24" w:space="0" w:color="auto"/>
            </w:tcBorders>
            <w:shd w:val="clear" w:color="auto" w:fill="FFFFFF"/>
            <w:vAlign w:val="center"/>
          </w:tcPr>
          <w:p w:rsidR="009D159D" w:rsidRPr="00BE4424" w:rsidRDefault="009D159D" w:rsidP="00472D4A">
            <w:pPr>
              <w:spacing w:line="180" w:lineRule="exact"/>
              <w:contextualSpacing/>
              <w:rPr>
                <w:color w:val="auto"/>
                <w:sz w:val="18"/>
                <w:szCs w:val="22"/>
              </w:rPr>
            </w:pPr>
            <w:r w:rsidRPr="00BE4424">
              <w:rPr>
                <w:color w:val="auto"/>
                <w:sz w:val="18"/>
                <w:szCs w:val="18"/>
              </w:rPr>
              <w:t>↓No Additional MEB/PEB Entries↓</w:t>
            </w:r>
          </w:p>
        </w:tc>
        <w:tc>
          <w:tcPr>
            <w:tcW w:w="2610" w:type="dxa"/>
            <w:tcBorders>
              <w:left w:val="thinThickThinSmallGap" w:sz="24" w:space="0" w:color="auto"/>
            </w:tcBorders>
            <w:shd w:val="clear" w:color="auto" w:fill="FFFFFF"/>
            <w:vAlign w:val="center"/>
          </w:tcPr>
          <w:p w:rsidR="009D159D" w:rsidRPr="00BE4424" w:rsidRDefault="009D159D" w:rsidP="009D159D">
            <w:pPr>
              <w:spacing w:line="180" w:lineRule="exact"/>
              <w:contextualSpacing/>
              <w:jc w:val="left"/>
              <w:rPr>
                <w:rFonts w:cs="Times New Roman"/>
                <w:color w:val="auto"/>
                <w:sz w:val="18"/>
                <w:szCs w:val="22"/>
              </w:rPr>
            </w:pPr>
            <w:r w:rsidRPr="00BE4424">
              <w:rPr>
                <w:rFonts w:cs="Times New Roman"/>
                <w:color w:val="auto"/>
                <w:sz w:val="18"/>
                <w:szCs w:val="22"/>
              </w:rPr>
              <w:t>Residual Right Lower Quadrant Status Post Appendectomy</w:t>
            </w:r>
          </w:p>
        </w:tc>
        <w:tc>
          <w:tcPr>
            <w:tcW w:w="1080" w:type="dxa"/>
            <w:shd w:val="clear" w:color="auto" w:fill="FFFFFF"/>
            <w:vAlign w:val="center"/>
          </w:tcPr>
          <w:p w:rsidR="009D159D" w:rsidRPr="00BE4424" w:rsidRDefault="009D159D" w:rsidP="00472D4A">
            <w:pPr>
              <w:spacing w:line="180" w:lineRule="exact"/>
              <w:contextualSpacing/>
              <w:rPr>
                <w:rFonts w:cs="Times New Roman"/>
                <w:color w:val="auto"/>
                <w:sz w:val="18"/>
                <w:szCs w:val="22"/>
              </w:rPr>
            </w:pPr>
            <w:r w:rsidRPr="00BE4424">
              <w:rPr>
                <w:rFonts w:cs="Times New Roman"/>
                <w:color w:val="auto"/>
                <w:sz w:val="18"/>
                <w:szCs w:val="22"/>
              </w:rPr>
              <w:t>7804</w:t>
            </w:r>
          </w:p>
        </w:tc>
        <w:tc>
          <w:tcPr>
            <w:tcW w:w="720" w:type="dxa"/>
            <w:shd w:val="clear" w:color="auto" w:fill="FFFFFF"/>
            <w:vAlign w:val="center"/>
          </w:tcPr>
          <w:p w:rsidR="009D159D" w:rsidRPr="00BE4424" w:rsidRDefault="009D159D" w:rsidP="00472D4A">
            <w:pPr>
              <w:spacing w:line="180" w:lineRule="exact"/>
              <w:contextualSpacing/>
              <w:rPr>
                <w:rFonts w:cs="Times New Roman"/>
                <w:color w:val="auto"/>
                <w:sz w:val="18"/>
                <w:szCs w:val="22"/>
              </w:rPr>
            </w:pPr>
            <w:r w:rsidRPr="00BE4424">
              <w:rPr>
                <w:rFonts w:cs="Times New Roman"/>
                <w:color w:val="auto"/>
                <w:sz w:val="18"/>
                <w:szCs w:val="22"/>
              </w:rPr>
              <w:t>10%</w:t>
            </w:r>
          </w:p>
        </w:tc>
        <w:tc>
          <w:tcPr>
            <w:tcW w:w="990" w:type="dxa"/>
            <w:shd w:val="clear" w:color="auto" w:fill="FFFFFF"/>
            <w:vAlign w:val="center"/>
          </w:tcPr>
          <w:p w:rsidR="009D159D" w:rsidRPr="00BE4424" w:rsidRDefault="009D159D" w:rsidP="00472D4A">
            <w:pPr>
              <w:spacing w:line="180" w:lineRule="exact"/>
              <w:contextualSpacing/>
              <w:rPr>
                <w:rFonts w:cs="Times New Roman"/>
                <w:color w:val="auto"/>
                <w:sz w:val="18"/>
                <w:szCs w:val="22"/>
              </w:rPr>
            </w:pPr>
            <w:r w:rsidRPr="00BE4424">
              <w:rPr>
                <w:rFonts w:cs="Times New Roman"/>
                <w:color w:val="auto"/>
                <w:sz w:val="18"/>
                <w:szCs w:val="22"/>
              </w:rPr>
              <w:t>20090601</w:t>
            </w:r>
          </w:p>
        </w:tc>
      </w:tr>
      <w:tr w:rsidR="009D159D" w:rsidRPr="00BE4424" w:rsidTr="00224870">
        <w:trPr>
          <w:trHeight w:val="118"/>
          <w:jc w:val="center"/>
        </w:trPr>
        <w:tc>
          <w:tcPr>
            <w:tcW w:w="3969" w:type="dxa"/>
            <w:gridSpan w:val="3"/>
            <w:vMerge/>
            <w:tcBorders>
              <w:right w:val="thinThickThinSmallGap" w:sz="24" w:space="0" w:color="auto"/>
            </w:tcBorders>
            <w:shd w:val="clear" w:color="auto" w:fill="FFFFFF"/>
            <w:vAlign w:val="center"/>
          </w:tcPr>
          <w:p w:rsidR="009D159D" w:rsidRPr="00BE4424" w:rsidRDefault="009D159D" w:rsidP="00472D4A">
            <w:pPr>
              <w:spacing w:line="180" w:lineRule="exact"/>
              <w:contextualSpacing/>
              <w:rPr>
                <w:color w:val="auto"/>
                <w:sz w:val="18"/>
                <w:szCs w:val="22"/>
              </w:rPr>
            </w:pPr>
          </w:p>
        </w:tc>
        <w:tc>
          <w:tcPr>
            <w:tcW w:w="2610" w:type="dxa"/>
            <w:tcBorders>
              <w:left w:val="thinThickThinSmallGap" w:sz="24" w:space="0" w:color="auto"/>
            </w:tcBorders>
            <w:shd w:val="clear" w:color="auto" w:fill="FFFFFF"/>
            <w:vAlign w:val="center"/>
          </w:tcPr>
          <w:p w:rsidR="009D159D" w:rsidRPr="00BE4424" w:rsidRDefault="00B43C44" w:rsidP="0044728D">
            <w:pPr>
              <w:spacing w:line="180" w:lineRule="exact"/>
              <w:contextualSpacing/>
              <w:jc w:val="left"/>
              <w:rPr>
                <w:rFonts w:cs="Times New Roman"/>
                <w:color w:val="auto"/>
                <w:sz w:val="18"/>
                <w:szCs w:val="22"/>
              </w:rPr>
            </w:pPr>
            <w:r w:rsidRPr="00BE4424">
              <w:rPr>
                <w:rFonts w:cs="Times New Roman"/>
                <w:color w:val="auto"/>
                <w:sz w:val="18"/>
                <w:szCs w:val="22"/>
              </w:rPr>
              <w:t>GERD</w:t>
            </w:r>
          </w:p>
        </w:tc>
        <w:tc>
          <w:tcPr>
            <w:tcW w:w="1080" w:type="dxa"/>
            <w:shd w:val="clear" w:color="auto" w:fill="FFFFFF"/>
            <w:vAlign w:val="center"/>
          </w:tcPr>
          <w:p w:rsidR="009D159D" w:rsidRPr="00BE4424" w:rsidRDefault="009D159D" w:rsidP="00472D4A">
            <w:pPr>
              <w:spacing w:line="180" w:lineRule="exact"/>
              <w:contextualSpacing/>
              <w:rPr>
                <w:rFonts w:cs="Times New Roman"/>
                <w:color w:val="auto"/>
                <w:sz w:val="18"/>
                <w:szCs w:val="22"/>
              </w:rPr>
            </w:pPr>
            <w:r w:rsidRPr="00BE4424">
              <w:rPr>
                <w:rFonts w:cs="Times New Roman"/>
                <w:color w:val="auto"/>
                <w:sz w:val="18"/>
                <w:szCs w:val="22"/>
              </w:rPr>
              <w:t>7399-7346</w:t>
            </w:r>
          </w:p>
        </w:tc>
        <w:tc>
          <w:tcPr>
            <w:tcW w:w="720" w:type="dxa"/>
            <w:shd w:val="clear" w:color="auto" w:fill="FFFFFF"/>
            <w:vAlign w:val="center"/>
          </w:tcPr>
          <w:p w:rsidR="009D159D" w:rsidRPr="00BE4424" w:rsidRDefault="00B43C44" w:rsidP="00472D4A">
            <w:pPr>
              <w:spacing w:line="180" w:lineRule="exact"/>
              <w:contextualSpacing/>
              <w:rPr>
                <w:rFonts w:cs="Times New Roman"/>
                <w:color w:val="auto"/>
                <w:sz w:val="18"/>
                <w:szCs w:val="22"/>
              </w:rPr>
            </w:pPr>
            <w:r w:rsidRPr="00BE4424">
              <w:rPr>
                <w:rFonts w:cs="Times New Roman"/>
                <w:color w:val="auto"/>
                <w:sz w:val="18"/>
                <w:szCs w:val="22"/>
              </w:rPr>
              <w:t>10%*</w:t>
            </w:r>
          </w:p>
        </w:tc>
        <w:tc>
          <w:tcPr>
            <w:tcW w:w="990" w:type="dxa"/>
            <w:shd w:val="clear" w:color="auto" w:fill="FFFFFF"/>
            <w:vAlign w:val="center"/>
          </w:tcPr>
          <w:p w:rsidR="009D159D" w:rsidRPr="00BE4424" w:rsidRDefault="009D159D" w:rsidP="00472D4A">
            <w:pPr>
              <w:spacing w:line="180" w:lineRule="exact"/>
              <w:contextualSpacing/>
              <w:rPr>
                <w:rFonts w:cs="Times New Roman"/>
                <w:color w:val="auto"/>
                <w:sz w:val="18"/>
                <w:szCs w:val="22"/>
              </w:rPr>
            </w:pPr>
            <w:r w:rsidRPr="00BE4424">
              <w:rPr>
                <w:rFonts w:cs="Times New Roman"/>
                <w:color w:val="auto"/>
                <w:sz w:val="18"/>
                <w:szCs w:val="22"/>
              </w:rPr>
              <w:t>20101202</w:t>
            </w:r>
          </w:p>
        </w:tc>
      </w:tr>
      <w:tr w:rsidR="009D159D" w:rsidRPr="00BE4424" w:rsidTr="00472D4A">
        <w:trPr>
          <w:trHeight w:val="172"/>
          <w:jc w:val="center"/>
        </w:trPr>
        <w:tc>
          <w:tcPr>
            <w:tcW w:w="3969" w:type="dxa"/>
            <w:gridSpan w:val="3"/>
            <w:vMerge/>
            <w:tcBorders>
              <w:right w:val="thinThickThinSmallGap" w:sz="24" w:space="0" w:color="auto"/>
            </w:tcBorders>
            <w:shd w:val="clear" w:color="auto" w:fill="FFFFFF"/>
            <w:vAlign w:val="center"/>
          </w:tcPr>
          <w:p w:rsidR="009D159D" w:rsidRPr="00BE4424" w:rsidRDefault="009D159D" w:rsidP="00472D4A">
            <w:pPr>
              <w:spacing w:line="180" w:lineRule="exact"/>
              <w:contextualSpacing/>
              <w:rPr>
                <w:color w:val="auto"/>
                <w:sz w:val="18"/>
                <w:szCs w:val="22"/>
              </w:rPr>
            </w:pPr>
          </w:p>
        </w:tc>
        <w:tc>
          <w:tcPr>
            <w:tcW w:w="4410" w:type="dxa"/>
            <w:gridSpan w:val="3"/>
            <w:tcBorders>
              <w:left w:val="thinThickThinSmallGap" w:sz="24" w:space="0" w:color="auto"/>
            </w:tcBorders>
            <w:shd w:val="clear" w:color="auto" w:fill="FFFFFF"/>
            <w:vAlign w:val="center"/>
          </w:tcPr>
          <w:p w:rsidR="009D159D" w:rsidRPr="00BE4424" w:rsidRDefault="009D159D" w:rsidP="00472D4A">
            <w:pPr>
              <w:spacing w:line="180" w:lineRule="exact"/>
              <w:contextualSpacing/>
              <w:rPr>
                <w:color w:val="auto"/>
                <w:sz w:val="18"/>
                <w:szCs w:val="22"/>
              </w:rPr>
            </w:pPr>
            <w:r w:rsidRPr="00BE4424">
              <w:rPr>
                <w:rFonts w:cs="Times New Roman"/>
                <w:color w:val="auto"/>
                <w:sz w:val="18"/>
                <w:szCs w:val="22"/>
              </w:rPr>
              <w:t>0% X 6 / Not Service-Connected x 14</w:t>
            </w:r>
          </w:p>
        </w:tc>
        <w:tc>
          <w:tcPr>
            <w:tcW w:w="990" w:type="dxa"/>
            <w:shd w:val="clear" w:color="auto" w:fill="FFFFFF"/>
            <w:vAlign w:val="center"/>
          </w:tcPr>
          <w:p w:rsidR="009D159D" w:rsidRPr="00BE4424" w:rsidRDefault="00B43C44" w:rsidP="00472D4A">
            <w:pPr>
              <w:spacing w:line="180" w:lineRule="exact"/>
              <w:contextualSpacing/>
              <w:rPr>
                <w:color w:val="auto"/>
                <w:sz w:val="18"/>
                <w:szCs w:val="22"/>
              </w:rPr>
            </w:pPr>
            <w:r w:rsidRPr="00BE4424">
              <w:rPr>
                <w:rFonts w:cs="Times New Roman"/>
                <w:color w:val="auto"/>
                <w:sz w:val="18"/>
                <w:szCs w:val="22"/>
              </w:rPr>
              <w:t>20090514</w:t>
            </w:r>
          </w:p>
        </w:tc>
      </w:tr>
      <w:tr w:rsidR="00E54C05" w:rsidRPr="00BE4424" w:rsidTr="00472D4A">
        <w:trPr>
          <w:trHeight w:val="124"/>
          <w:jc w:val="center"/>
        </w:trPr>
        <w:tc>
          <w:tcPr>
            <w:tcW w:w="3969" w:type="dxa"/>
            <w:gridSpan w:val="3"/>
            <w:tcBorders>
              <w:right w:val="thinThickThinSmallGap" w:sz="24" w:space="0" w:color="auto"/>
            </w:tcBorders>
            <w:shd w:val="clear" w:color="auto" w:fill="D9D9D9"/>
          </w:tcPr>
          <w:p w:rsidR="00E54C05" w:rsidRPr="00BE4424" w:rsidRDefault="00E54C05" w:rsidP="00472D4A">
            <w:pPr>
              <w:spacing w:line="180" w:lineRule="exact"/>
              <w:contextualSpacing/>
              <w:rPr>
                <w:b/>
                <w:color w:val="auto"/>
                <w:sz w:val="18"/>
                <w:szCs w:val="22"/>
              </w:rPr>
            </w:pPr>
            <w:r w:rsidRPr="00BE4424">
              <w:rPr>
                <w:rFonts w:cs="Times New Roman"/>
                <w:b/>
                <w:color w:val="auto"/>
                <w:sz w:val="18"/>
                <w:szCs w:val="22"/>
              </w:rPr>
              <w:t>Combined:  20%</w:t>
            </w:r>
          </w:p>
        </w:tc>
        <w:tc>
          <w:tcPr>
            <w:tcW w:w="5400" w:type="dxa"/>
            <w:gridSpan w:val="4"/>
            <w:tcBorders>
              <w:left w:val="thinThickThinSmallGap" w:sz="24" w:space="0" w:color="auto"/>
            </w:tcBorders>
            <w:shd w:val="clear" w:color="auto" w:fill="D9D9D9"/>
          </w:tcPr>
          <w:p w:rsidR="00E54C05" w:rsidRPr="00BE4424" w:rsidRDefault="00E54C05" w:rsidP="00472D4A">
            <w:pPr>
              <w:spacing w:line="180" w:lineRule="exact"/>
              <w:contextualSpacing/>
              <w:rPr>
                <w:b/>
                <w:color w:val="auto"/>
                <w:sz w:val="18"/>
                <w:szCs w:val="22"/>
              </w:rPr>
            </w:pPr>
            <w:r w:rsidRPr="00BE4424">
              <w:rPr>
                <w:rFonts w:cs="Times New Roman"/>
                <w:b/>
                <w:color w:val="auto"/>
                <w:sz w:val="18"/>
                <w:szCs w:val="22"/>
              </w:rPr>
              <w:t xml:space="preserve">Combined:  </w:t>
            </w:r>
            <w:r w:rsidR="00712DF6" w:rsidRPr="00BE4424">
              <w:rPr>
                <w:rFonts w:cs="Times New Roman"/>
                <w:b/>
                <w:color w:val="auto"/>
                <w:sz w:val="18"/>
                <w:szCs w:val="22"/>
              </w:rPr>
              <w:t>5</w:t>
            </w:r>
            <w:r w:rsidR="00C03A60" w:rsidRPr="00BE4424">
              <w:rPr>
                <w:rFonts w:cs="Times New Roman"/>
                <w:b/>
                <w:color w:val="auto"/>
                <w:sz w:val="18"/>
                <w:szCs w:val="22"/>
              </w:rPr>
              <w:t>0</w:t>
            </w:r>
            <w:r w:rsidRPr="00BE4424">
              <w:rPr>
                <w:rFonts w:cs="Times New Roman"/>
                <w:b/>
                <w:color w:val="auto"/>
                <w:sz w:val="18"/>
                <w:szCs w:val="22"/>
              </w:rPr>
              <w:t>%</w:t>
            </w:r>
            <w:r w:rsidR="00712DF6" w:rsidRPr="00BE4424">
              <w:rPr>
                <w:rFonts w:cs="Times New Roman"/>
                <w:b/>
                <w:color w:val="auto"/>
                <w:sz w:val="18"/>
                <w:szCs w:val="22"/>
              </w:rPr>
              <w:t>*</w:t>
            </w:r>
          </w:p>
        </w:tc>
      </w:tr>
    </w:tbl>
    <w:p w:rsidR="00F90376" w:rsidRPr="00BE4424" w:rsidRDefault="00F90376" w:rsidP="00165C7B">
      <w:pPr>
        <w:pBdr>
          <w:bottom w:val="single" w:sz="12" w:space="1" w:color="auto"/>
        </w:pBdr>
        <w:tabs>
          <w:tab w:val="left" w:pos="288"/>
          <w:tab w:val="left" w:pos="4752"/>
        </w:tabs>
        <w:spacing w:line="180" w:lineRule="exact"/>
        <w:jc w:val="both"/>
        <w:rPr>
          <w:color w:val="auto"/>
          <w:sz w:val="18"/>
          <w:szCs w:val="18"/>
        </w:rPr>
      </w:pPr>
      <w:r w:rsidRPr="00BE4424">
        <w:rPr>
          <w:color w:val="auto"/>
          <w:sz w:val="18"/>
          <w:szCs w:val="18"/>
        </w:rPr>
        <w:t>*</w:t>
      </w:r>
      <w:r w:rsidR="00B43C44" w:rsidRPr="00BE4424">
        <w:rPr>
          <w:color w:val="auto"/>
          <w:sz w:val="18"/>
          <w:szCs w:val="18"/>
        </w:rPr>
        <w:t>Left foot, 5276 and GERD, 7346 each i</w:t>
      </w:r>
      <w:r w:rsidR="005A3835" w:rsidRPr="00BE4424">
        <w:rPr>
          <w:color w:val="auto"/>
          <w:sz w:val="18"/>
          <w:szCs w:val="18"/>
        </w:rPr>
        <w:t xml:space="preserve">nitially </w:t>
      </w:r>
      <w:r w:rsidR="00B43C44" w:rsidRPr="00BE4424">
        <w:rPr>
          <w:color w:val="auto"/>
          <w:sz w:val="18"/>
          <w:szCs w:val="18"/>
        </w:rPr>
        <w:t xml:space="preserve">rated </w:t>
      </w:r>
      <w:r w:rsidR="005A3835" w:rsidRPr="00BE4424">
        <w:rPr>
          <w:color w:val="auto"/>
          <w:sz w:val="18"/>
          <w:szCs w:val="18"/>
        </w:rPr>
        <w:t xml:space="preserve">0% </w:t>
      </w:r>
      <w:r w:rsidR="00B43C44" w:rsidRPr="00BE4424">
        <w:rPr>
          <w:color w:val="auto"/>
          <w:sz w:val="18"/>
          <w:szCs w:val="18"/>
        </w:rPr>
        <w:t xml:space="preserve">(combined 30%), </w:t>
      </w:r>
      <w:r w:rsidR="005A3835" w:rsidRPr="00BE4424">
        <w:rPr>
          <w:color w:val="auto"/>
          <w:sz w:val="18"/>
          <w:szCs w:val="18"/>
        </w:rPr>
        <w:t xml:space="preserve">then later increased to 10% </w:t>
      </w:r>
      <w:r w:rsidR="00B43C44" w:rsidRPr="00BE4424">
        <w:rPr>
          <w:color w:val="auto"/>
          <w:sz w:val="18"/>
          <w:szCs w:val="18"/>
        </w:rPr>
        <w:t xml:space="preserve">each </w:t>
      </w:r>
      <w:r w:rsidR="005A3835" w:rsidRPr="00BE4424">
        <w:rPr>
          <w:color w:val="auto"/>
          <w:sz w:val="18"/>
          <w:szCs w:val="18"/>
        </w:rPr>
        <w:t>with effective date</w:t>
      </w:r>
      <w:r w:rsidR="00B43C44" w:rsidRPr="00BE4424">
        <w:rPr>
          <w:color w:val="auto"/>
          <w:sz w:val="18"/>
          <w:szCs w:val="18"/>
        </w:rPr>
        <w:t xml:space="preserve"> 20090628 (combined 50%)</w:t>
      </w:r>
      <w:r w:rsidR="00712DF6" w:rsidRPr="00BE4424">
        <w:rPr>
          <w:color w:val="auto"/>
          <w:sz w:val="18"/>
          <w:szCs w:val="18"/>
        </w:rPr>
        <w:t xml:space="preserve">.  </w:t>
      </w:r>
    </w:p>
    <w:p w:rsidR="00F90376" w:rsidRPr="00BE4424" w:rsidRDefault="00F90376" w:rsidP="00F90376">
      <w:pPr>
        <w:pBdr>
          <w:bottom w:val="single" w:sz="12" w:space="1" w:color="auto"/>
        </w:pBdr>
        <w:tabs>
          <w:tab w:val="left" w:pos="288"/>
          <w:tab w:val="left" w:pos="4752"/>
        </w:tabs>
        <w:jc w:val="both"/>
        <w:rPr>
          <w:color w:val="auto"/>
        </w:rPr>
      </w:pPr>
    </w:p>
    <w:p w:rsidR="00AD2379" w:rsidRPr="00BE4424" w:rsidRDefault="00AD2379" w:rsidP="00165C7B">
      <w:pPr>
        <w:jc w:val="both"/>
        <w:rPr>
          <w:color w:val="auto"/>
        </w:rPr>
      </w:pPr>
    </w:p>
    <w:p w:rsidR="00AD2379" w:rsidRPr="00BE4424" w:rsidRDefault="00AD2379" w:rsidP="00726F84">
      <w:pPr>
        <w:jc w:val="both"/>
        <w:rPr>
          <w:color w:val="auto"/>
        </w:rPr>
      </w:pPr>
      <w:r w:rsidRPr="00BE4424">
        <w:rPr>
          <w:color w:val="auto"/>
          <w:u w:val="single"/>
        </w:rPr>
        <w:t>ANALYSIS SUMMARY</w:t>
      </w:r>
      <w:r w:rsidRPr="00BE4424">
        <w:rPr>
          <w:color w:val="auto"/>
        </w:rPr>
        <w:t>:</w:t>
      </w:r>
      <w:r w:rsidR="00896C01" w:rsidRPr="00BE4424">
        <w:rPr>
          <w:color w:val="auto"/>
        </w:rPr>
        <w:t xml:space="preserve"> </w:t>
      </w:r>
      <w:r w:rsidRPr="00BE4424">
        <w:rPr>
          <w:color w:val="auto"/>
        </w:rPr>
        <w:t xml:space="preserve"> </w:t>
      </w:r>
      <w:r w:rsidR="00925587" w:rsidRPr="00BE4424">
        <w:rPr>
          <w:color w:val="auto"/>
        </w:rPr>
        <w:t>The Board acknowledges the CI’s contention that suggests ratings should have been conferred for other conditions documented at the time of separation.  The Board wishes to clarify that it i</w:t>
      </w:r>
      <w:r w:rsidR="00D768AB">
        <w:rPr>
          <w:color w:val="auto"/>
        </w:rPr>
        <w:t>s subject to the same laws for</w:t>
      </w:r>
      <w:r w:rsidR="00925587" w:rsidRPr="00BE4424">
        <w:rPr>
          <w:color w:val="auto"/>
        </w:rPr>
        <w:t xml:space="preserve"> disability entitlements as those under which the </w:t>
      </w:r>
      <w:r w:rsidR="00D768AB">
        <w:rPr>
          <w:color w:val="auto"/>
        </w:rPr>
        <w:t xml:space="preserve">Disability Evaluation System (DES) operates.  While the </w:t>
      </w:r>
      <w:r w:rsidR="00925587" w:rsidRPr="00BE4424">
        <w:rPr>
          <w:color w:val="auto"/>
        </w:rPr>
        <w:t>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D768AB">
        <w:rPr>
          <w:color w:val="auto"/>
        </w:rPr>
        <w:t>s’</w:t>
      </w:r>
      <w:r w:rsidR="00925587" w:rsidRPr="00BE4424">
        <w:rPr>
          <w:color w:val="auto"/>
        </w:rPr>
        <w:t xml:space="preserve"> Affairs (DVA), operating under a different set of laws (Title 38, United States Code), is </w:t>
      </w:r>
      <w:r w:rsidR="00D768AB">
        <w:rPr>
          <w:color w:val="auto"/>
        </w:rPr>
        <w:t>empowered to compensate service-</w:t>
      </w:r>
      <w:r w:rsidR="00925587" w:rsidRPr="00BE4424">
        <w:rPr>
          <w:color w:val="auto"/>
        </w:rPr>
        <w:t xml:space="preserve">connected conditions and to periodically re-evaluate said conditions for the purpose of adjusting the </w:t>
      </w:r>
      <w:r w:rsidR="00D768AB">
        <w:rPr>
          <w:color w:val="auto"/>
        </w:rPr>
        <w:t>V</w:t>
      </w:r>
      <w:r w:rsidR="00925587" w:rsidRPr="00BE4424">
        <w:rPr>
          <w:color w:val="auto"/>
        </w:rPr>
        <w:t xml:space="preserve">eteran’s disability rating should </w:t>
      </w:r>
      <w:r w:rsidR="00D768AB">
        <w:rPr>
          <w:color w:val="auto"/>
        </w:rPr>
        <w:t>the</w:t>
      </w:r>
      <w:r w:rsidR="00925587" w:rsidRPr="00BE4424">
        <w:rPr>
          <w:color w:val="auto"/>
        </w:rPr>
        <w:t xml:space="preserve"> degree of impairment vary over time.  The Board utilizes </w:t>
      </w:r>
      <w:r w:rsidR="00D768AB">
        <w:rPr>
          <w:color w:val="auto"/>
        </w:rPr>
        <w:t>D</w:t>
      </w:r>
      <w:r w:rsidR="00925587" w:rsidRPr="00BE4424">
        <w:rPr>
          <w:color w:val="auto"/>
        </w:rPr>
        <w:t>VA evidence proximal to separation in arriving at its recommendations;</w:t>
      </w:r>
      <w:r w:rsidR="00D768AB">
        <w:rPr>
          <w:color w:val="auto"/>
        </w:rPr>
        <w:t xml:space="preserve"> and, DoDI 6040.44 defines a 12-</w:t>
      </w:r>
      <w:r w:rsidR="00925587" w:rsidRPr="00BE4424">
        <w:rPr>
          <w:color w:val="auto"/>
        </w:rPr>
        <w:t xml:space="preserve">month interval for special consideration to post-separation evidence.  The Board’s authority as defined in DoDI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  </w:t>
      </w:r>
    </w:p>
    <w:p w:rsidR="00AD2379" w:rsidRPr="00BE4424" w:rsidRDefault="00AD2379" w:rsidP="00B22D42">
      <w:pPr>
        <w:jc w:val="both"/>
        <w:rPr>
          <w:color w:val="auto"/>
        </w:rPr>
      </w:pPr>
    </w:p>
    <w:p w:rsidR="009D159D" w:rsidRPr="00BE4424" w:rsidRDefault="004E13FB" w:rsidP="009D159D">
      <w:pPr>
        <w:jc w:val="both"/>
        <w:rPr>
          <w:color w:val="auto"/>
          <w:szCs w:val="24"/>
        </w:rPr>
      </w:pPr>
      <w:proofErr w:type="gramStart"/>
      <w:r w:rsidRPr="00BE4424">
        <w:rPr>
          <w:color w:val="auto"/>
          <w:u w:val="single"/>
        </w:rPr>
        <w:t xml:space="preserve">Left Foot </w:t>
      </w:r>
      <w:r w:rsidR="00AD2379" w:rsidRPr="00BE4424">
        <w:rPr>
          <w:color w:val="auto"/>
          <w:u w:val="single"/>
        </w:rPr>
        <w:t>Condition</w:t>
      </w:r>
      <w:r w:rsidR="00AD2379" w:rsidRPr="00BE4424">
        <w:rPr>
          <w:color w:val="auto"/>
        </w:rPr>
        <w:t>.</w:t>
      </w:r>
      <w:proofErr w:type="gramEnd"/>
      <w:r w:rsidR="00AD2379" w:rsidRPr="00BE4424">
        <w:rPr>
          <w:color w:val="auto"/>
        </w:rPr>
        <w:t xml:space="preserve"> </w:t>
      </w:r>
      <w:r w:rsidR="00385708" w:rsidRPr="00BE4424">
        <w:rPr>
          <w:color w:val="auto"/>
        </w:rPr>
        <w:t xml:space="preserve"> </w:t>
      </w:r>
      <w:r w:rsidR="00925587" w:rsidRPr="00BE4424">
        <w:rPr>
          <w:color w:val="auto"/>
        </w:rPr>
        <w:t xml:space="preserve">The PEB condition was described as </w:t>
      </w:r>
      <w:r w:rsidR="00B9759B">
        <w:rPr>
          <w:color w:val="auto"/>
          <w:szCs w:val="24"/>
        </w:rPr>
        <w:t>c</w:t>
      </w:r>
      <w:r w:rsidR="00925587" w:rsidRPr="00BE4424">
        <w:rPr>
          <w:color w:val="auto"/>
          <w:szCs w:val="24"/>
        </w:rPr>
        <w:t>hronic left foot pain status post plantar fascia release</w:t>
      </w:r>
      <w:r w:rsidR="00925587" w:rsidRPr="00BE4424">
        <w:rPr>
          <w:color w:val="auto"/>
        </w:rPr>
        <w:t xml:space="preserve">.  </w:t>
      </w:r>
      <w:r w:rsidR="00550353" w:rsidRPr="00BE4424">
        <w:rPr>
          <w:color w:val="auto"/>
          <w:szCs w:val="24"/>
        </w:rPr>
        <w:t xml:space="preserve">At the MEB exam, the CI reported left foot and heel pain with walking and prolonged standing.  He was using orthotics and could not accomplish the alternate fitness testing walk of 2.5 miles.  </w:t>
      </w:r>
      <w:r w:rsidR="009D159D" w:rsidRPr="00BE4424">
        <w:rPr>
          <w:color w:val="auto"/>
          <w:szCs w:val="24"/>
        </w:rPr>
        <w:t>The MEB physical exam noted</w:t>
      </w:r>
      <w:r w:rsidR="00D62B8B" w:rsidRPr="00BE4424">
        <w:rPr>
          <w:color w:val="auto"/>
          <w:szCs w:val="24"/>
        </w:rPr>
        <w:t xml:space="preserve"> </w:t>
      </w:r>
      <w:r w:rsidR="00550353" w:rsidRPr="00BE4424">
        <w:rPr>
          <w:color w:val="auto"/>
          <w:szCs w:val="24"/>
        </w:rPr>
        <w:t xml:space="preserve">a mildly antalgic gait favoring the left heel.  Motor and sensory exams were normal and the CI was able to heel walk, toe walk and perform single leg calf raises without difficulty.  There was tenderness to palpation along the medial tibiae bilaterally.  </w:t>
      </w:r>
    </w:p>
    <w:p w:rsidR="009D159D" w:rsidRPr="00BE4424" w:rsidRDefault="009D159D" w:rsidP="009D159D">
      <w:pPr>
        <w:jc w:val="both"/>
        <w:rPr>
          <w:color w:val="auto"/>
          <w:szCs w:val="24"/>
        </w:rPr>
      </w:pPr>
    </w:p>
    <w:p w:rsidR="009D159D" w:rsidRPr="00BE4424" w:rsidRDefault="009D159D" w:rsidP="009D159D">
      <w:pPr>
        <w:jc w:val="both"/>
        <w:rPr>
          <w:color w:val="auto"/>
          <w:szCs w:val="24"/>
        </w:rPr>
      </w:pPr>
      <w:r w:rsidRPr="00BE4424">
        <w:rPr>
          <w:color w:val="auto"/>
          <w:szCs w:val="24"/>
        </w:rPr>
        <w:t xml:space="preserve">At the </w:t>
      </w:r>
      <w:r w:rsidR="00567BDF">
        <w:rPr>
          <w:color w:val="auto"/>
          <w:szCs w:val="24"/>
        </w:rPr>
        <w:t xml:space="preserve">pre-separation </w:t>
      </w:r>
      <w:r w:rsidRPr="00BE4424">
        <w:rPr>
          <w:color w:val="auto"/>
          <w:szCs w:val="24"/>
        </w:rPr>
        <w:t>VA Compensation and Pension (C&amp;P) exam</w:t>
      </w:r>
      <w:r w:rsidR="00567BDF">
        <w:rPr>
          <w:color w:val="auto"/>
          <w:szCs w:val="24"/>
        </w:rPr>
        <w:t>,</w:t>
      </w:r>
      <w:r w:rsidRPr="00BE4424">
        <w:rPr>
          <w:color w:val="auto"/>
          <w:szCs w:val="24"/>
        </w:rPr>
        <w:t xml:space="preserve"> the CI reported</w:t>
      </w:r>
      <w:r w:rsidR="00F9547D" w:rsidRPr="00BE4424">
        <w:rPr>
          <w:color w:val="auto"/>
          <w:szCs w:val="24"/>
        </w:rPr>
        <w:t xml:space="preserve"> pain </w:t>
      </w:r>
      <w:r w:rsidR="000D4F81" w:rsidRPr="00BE4424">
        <w:rPr>
          <w:color w:val="auto"/>
          <w:szCs w:val="24"/>
        </w:rPr>
        <w:t xml:space="preserve">every other day with prolonged walking.  He used gel inserts and had no instability of the foot.  Limitations were no running and no standing or walking greater than 30 minutes.  Exam indicated </w:t>
      </w:r>
      <w:r w:rsidR="00550353" w:rsidRPr="00BE4424">
        <w:rPr>
          <w:color w:val="auto"/>
          <w:szCs w:val="24"/>
        </w:rPr>
        <w:t xml:space="preserve">tenderness to palpation of the plantar surface with normal foot alignment.  Sensory and motor exams were normal.  The VA rated this exam at 0%.  VA </w:t>
      </w:r>
      <w:r w:rsidR="008E4FFB" w:rsidRPr="00BE4424">
        <w:rPr>
          <w:color w:val="auto"/>
          <w:szCs w:val="24"/>
        </w:rPr>
        <w:t xml:space="preserve">treatment </w:t>
      </w:r>
      <w:r w:rsidR="00550353" w:rsidRPr="00BE4424">
        <w:rPr>
          <w:color w:val="auto"/>
          <w:szCs w:val="24"/>
        </w:rPr>
        <w:t xml:space="preserve">records indicated </w:t>
      </w:r>
      <w:r w:rsidR="00D768AB">
        <w:rPr>
          <w:color w:val="auto"/>
          <w:szCs w:val="24"/>
        </w:rPr>
        <w:t xml:space="preserve">left foot surgery in May 2010, </w:t>
      </w:r>
      <w:r w:rsidR="008E4FFB" w:rsidRPr="00BE4424">
        <w:rPr>
          <w:color w:val="auto"/>
        </w:rPr>
        <w:t xml:space="preserve">11 months </w:t>
      </w:r>
      <w:r w:rsidR="00D768AB">
        <w:rPr>
          <w:color w:val="auto"/>
        </w:rPr>
        <w:t xml:space="preserve">after </w:t>
      </w:r>
      <w:r w:rsidR="008E4FFB" w:rsidRPr="00BE4424">
        <w:rPr>
          <w:color w:val="auto"/>
        </w:rPr>
        <w:t>separation</w:t>
      </w:r>
      <w:r w:rsidR="00D768AB">
        <w:rPr>
          <w:color w:val="auto"/>
        </w:rPr>
        <w:t>,</w:t>
      </w:r>
      <w:r w:rsidR="008E4FFB" w:rsidRPr="00BE4424">
        <w:rPr>
          <w:color w:val="auto"/>
        </w:rPr>
        <w:t xml:space="preserve"> with treatment notes indicating possible nerve entrapment causing pain.  A C&amp;P exam</w:t>
      </w:r>
      <w:r w:rsidR="00567BDF">
        <w:rPr>
          <w:color w:val="auto"/>
        </w:rPr>
        <w:t xml:space="preserve"> was performed </w:t>
      </w:r>
      <w:r w:rsidR="00D768AB">
        <w:rPr>
          <w:color w:val="auto"/>
        </w:rPr>
        <w:t>in</w:t>
      </w:r>
      <w:r w:rsidR="008E4FFB" w:rsidRPr="00BE4424">
        <w:rPr>
          <w:color w:val="auto"/>
        </w:rPr>
        <w:t xml:space="preserve"> December 2010</w:t>
      </w:r>
      <w:r w:rsidR="00D768AB">
        <w:rPr>
          <w:color w:val="auto"/>
        </w:rPr>
        <w:t>,</w:t>
      </w:r>
      <w:r w:rsidR="008E4FFB" w:rsidRPr="00BE4424">
        <w:rPr>
          <w:color w:val="auto"/>
        </w:rPr>
        <w:t xml:space="preserve"> which </w:t>
      </w:r>
      <w:r w:rsidR="008E4FFB" w:rsidRPr="00BE4424">
        <w:rPr>
          <w:color w:val="auto"/>
        </w:rPr>
        <w:lastRenderedPageBreak/>
        <w:t xml:space="preserve">met the 10% rating criteria and </w:t>
      </w:r>
      <w:r w:rsidR="00567BDF">
        <w:rPr>
          <w:color w:val="auto"/>
        </w:rPr>
        <w:t xml:space="preserve">a </w:t>
      </w:r>
      <w:r w:rsidR="008E4FFB" w:rsidRPr="00BE4424">
        <w:rPr>
          <w:color w:val="auto"/>
        </w:rPr>
        <w:t xml:space="preserve">10% </w:t>
      </w:r>
      <w:r w:rsidR="00567BDF">
        <w:rPr>
          <w:color w:val="auto"/>
        </w:rPr>
        <w:t xml:space="preserve">rating was awarded </w:t>
      </w:r>
      <w:r w:rsidR="008E4FFB" w:rsidRPr="00BE4424">
        <w:rPr>
          <w:color w:val="auto"/>
        </w:rPr>
        <w:t xml:space="preserve">retroactive to the date of separation, based on the CI’s appeal.  </w:t>
      </w:r>
    </w:p>
    <w:p w:rsidR="000D4F81" w:rsidRPr="00BE4424" w:rsidRDefault="000D4F81" w:rsidP="009D159D">
      <w:pPr>
        <w:jc w:val="both"/>
        <w:rPr>
          <w:color w:val="auto"/>
          <w:szCs w:val="24"/>
        </w:rPr>
      </w:pPr>
    </w:p>
    <w:p w:rsidR="009D159D" w:rsidRPr="00BE4424" w:rsidRDefault="009D159D" w:rsidP="002D172F">
      <w:pPr>
        <w:tabs>
          <w:tab w:val="left" w:pos="288"/>
          <w:tab w:val="left" w:pos="4752"/>
        </w:tabs>
        <w:jc w:val="both"/>
        <w:rPr>
          <w:rFonts w:eastAsia="Calibri" w:cs="Times New Roman"/>
          <w:color w:val="auto"/>
          <w:szCs w:val="24"/>
        </w:rPr>
      </w:pPr>
      <w:r w:rsidRPr="00BE4424">
        <w:rPr>
          <w:rFonts w:cs="Times New Roman"/>
          <w:color w:val="auto"/>
        </w:rPr>
        <w:t xml:space="preserve">The Board directs attention to its rating recommendation based on the above evidence.  </w:t>
      </w:r>
      <w:r w:rsidR="00F9547D" w:rsidRPr="00BE4424">
        <w:rPr>
          <w:color w:val="auto"/>
        </w:rPr>
        <w:t xml:space="preserve">The PEB and the VA chose different coding for the </w:t>
      </w:r>
      <w:r w:rsidR="008E4FFB" w:rsidRPr="00BE4424">
        <w:rPr>
          <w:color w:val="auto"/>
        </w:rPr>
        <w:t>left foot</w:t>
      </w:r>
      <w:r w:rsidR="00F9547D" w:rsidRPr="00BE4424">
        <w:rPr>
          <w:color w:val="auto"/>
        </w:rPr>
        <w:t xml:space="preserve"> condition, but arrived at the same 10% rating.  The PEB coded analogous to 5284, foot injuries, other and rated 10%</w:t>
      </w:r>
      <w:r w:rsidR="008E4FFB" w:rsidRPr="00BE4424">
        <w:rPr>
          <w:color w:val="auto"/>
        </w:rPr>
        <w:t xml:space="preserve"> (</w:t>
      </w:r>
      <w:r w:rsidR="00D768AB">
        <w:rPr>
          <w:color w:val="auto"/>
        </w:rPr>
        <w:t>m</w:t>
      </w:r>
      <w:r w:rsidR="008E4FFB" w:rsidRPr="00BE4424">
        <w:rPr>
          <w:color w:val="auto"/>
        </w:rPr>
        <w:t>oderate)</w:t>
      </w:r>
      <w:r w:rsidR="00F9547D" w:rsidRPr="00BE4424">
        <w:rPr>
          <w:color w:val="auto"/>
        </w:rPr>
        <w:t xml:space="preserve">; the VA coded as 5276 for </w:t>
      </w:r>
      <w:r w:rsidR="00B9759B">
        <w:rPr>
          <w:color w:val="auto"/>
        </w:rPr>
        <w:t>f</w:t>
      </w:r>
      <w:r w:rsidR="008E4FFB" w:rsidRPr="00BE4424">
        <w:rPr>
          <w:color w:val="auto"/>
        </w:rPr>
        <w:t>latfoot, acquired (</w:t>
      </w:r>
      <w:r w:rsidR="00D768AB">
        <w:rPr>
          <w:color w:val="auto"/>
        </w:rPr>
        <w:t>m</w:t>
      </w:r>
      <w:r w:rsidR="008E4FFB" w:rsidRPr="00BE4424">
        <w:rPr>
          <w:color w:val="auto"/>
        </w:rPr>
        <w:t>oderate; following surgery</w:t>
      </w:r>
      <w:r w:rsidR="00D768AB">
        <w:rPr>
          <w:color w:val="auto"/>
        </w:rPr>
        <w:t xml:space="preserve"> after separation</w:t>
      </w:r>
      <w:r w:rsidR="008E4FFB" w:rsidRPr="00BE4424">
        <w:rPr>
          <w:color w:val="auto"/>
        </w:rPr>
        <w:t>)</w:t>
      </w:r>
      <w:r w:rsidR="00F9547D" w:rsidRPr="00BE4424">
        <w:rPr>
          <w:color w:val="auto"/>
        </w:rPr>
        <w:t xml:space="preserve"> and rated 10%.  </w:t>
      </w:r>
      <w:r w:rsidRPr="00BE4424">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F9547D" w:rsidRPr="00BE4424">
        <w:rPr>
          <w:rFonts w:eastAsia="Calibri" w:cs="Times New Roman"/>
          <w:color w:val="auto"/>
          <w:szCs w:val="24"/>
        </w:rPr>
        <w:t>left foot</w:t>
      </w:r>
      <w:r w:rsidRPr="00BE4424">
        <w:rPr>
          <w:rFonts w:eastAsia="Calibri" w:cs="Times New Roman"/>
          <w:color w:val="auto"/>
          <w:szCs w:val="24"/>
        </w:rPr>
        <w:t xml:space="preserve"> condition.  </w:t>
      </w:r>
    </w:p>
    <w:p w:rsidR="009D159D" w:rsidRPr="00BE4424" w:rsidRDefault="009D159D" w:rsidP="009D159D">
      <w:pPr>
        <w:tabs>
          <w:tab w:val="left" w:pos="288"/>
          <w:tab w:val="left" w:pos="4752"/>
        </w:tabs>
        <w:jc w:val="left"/>
        <w:rPr>
          <w:rFonts w:cs="Times New Roman"/>
          <w:color w:val="auto"/>
        </w:rPr>
      </w:pPr>
    </w:p>
    <w:p w:rsidR="0069687C" w:rsidRPr="00BE4424" w:rsidRDefault="004E13FB" w:rsidP="00D62B8B">
      <w:pPr>
        <w:tabs>
          <w:tab w:val="left" w:pos="288"/>
          <w:tab w:val="left" w:pos="4752"/>
        </w:tabs>
        <w:jc w:val="both"/>
        <w:rPr>
          <w:color w:val="auto"/>
          <w:szCs w:val="24"/>
        </w:rPr>
      </w:pPr>
      <w:proofErr w:type="gramStart"/>
      <w:r w:rsidRPr="00BE4424">
        <w:rPr>
          <w:color w:val="auto"/>
          <w:szCs w:val="24"/>
          <w:u w:val="single"/>
        </w:rPr>
        <w:t xml:space="preserve">Left Knee </w:t>
      </w:r>
      <w:r w:rsidRPr="00BE4424">
        <w:rPr>
          <w:color w:val="auto"/>
          <w:u w:val="single"/>
        </w:rPr>
        <w:t>Condition</w:t>
      </w:r>
      <w:r w:rsidRPr="00BE4424">
        <w:rPr>
          <w:color w:val="auto"/>
        </w:rPr>
        <w:t>.</w:t>
      </w:r>
      <w:proofErr w:type="gramEnd"/>
      <w:r w:rsidRPr="00BE4424">
        <w:rPr>
          <w:color w:val="auto"/>
        </w:rPr>
        <w:t xml:space="preserve">  </w:t>
      </w:r>
      <w:r w:rsidR="00CC63D7" w:rsidRPr="00BE4424">
        <w:rPr>
          <w:color w:val="auto"/>
        </w:rPr>
        <w:t xml:space="preserve">The PEB condition was described as </w:t>
      </w:r>
      <w:r w:rsidR="00CC63D7" w:rsidRPr="00BE4424">
        <w:rPr>
          <w:color w:val="auto"/>
          <w:szCs w:val="24"/>
        </w:rPr>
        <w:t xml:space="preserve">chronic left knee pain status post arthroscopy to correct medial meniscal-tear and fat pad excision.  </w:t>
      </w:r>
      <w:r w:rsidR="0069687C" w:rsidRPr="00BE4424">
        <w:rPr>
          <w:color w:val="auto"/>
          <w:szCs w:val="24"/>
        </w:rPr>
        <w:t xml:space="preserve">There were </w:t>
      </w:r>
      <w:r w:rsidR="006866D2" w:rsidRPr="00BE4424">
        <w:rPr>
          <w:color w:val="auto"/>
          <w:szCs w:val="24"/>
        </w:rPr>
        <w:t>two</w:t>
      </w:r>
      <w:r w:rsidR="00D768AB">
        <w:rPr>
          <w:color w:val="auto"/>
          <w:szCs w:val="24"/>
        </w:rPr>
        <w:t xml:space="preserve"> goniometric range-of-</w:t>
      </w:r>
      <w:r w:rsidR="0069687C" w:rsidRPr="00BE4424">
        <w:rPr>
          <w:color w:val="auto"/>
          <w:szCs w:val="24"/>
        </w:rPr>
        <w:t>motion (ROM) evaluations in evidence, with documentation of additional ratable criteria, which the Board weighed in arriving at its rating recommendation; as summarized in the chart below.</w:t>
      </w:r>
      <w:r w:rsidR="00165C7B" w:rsidRPr="00BE4424">
        <w:rPr>
          <w:color w:val="auto"/>
          <w:szCs w:val="24"/>
        </w:rPr>
        <w:t xml:space="preserve">  </w:t>
      </w:r>
    </w:p>
    <w:p w:rsidR="00B7159D" w:rsidRPr="00BE4424" w:rsidRDefault="00B7159D" w:rsidP="00D62B8B">
      <w:pPr>
        <w:tabs>
          <w:tab w:val="left" w:pos="288"/>
          <w:tab w:val="left" w:pos="4752"/>
        </w:tabs>
        <w:jc w:val="both"/>
        <w:rPr>
          <w:color w:val="auto"/>
          <w:szCs w:val="24"/>
        </w:rPr>
      </w:pPr>
    </w:p>
    <w:tbl>
      <w:tblPr>
        <w:tblW w:w="7379" w:type="dxa"/>
        <w:jc w:val="center"/>
        <w:tblInd w:w="-1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47"/>
        <w:gridCol w:w="2792"/>
        <w:gridCol w:w="2340"/>
      </w:tblGrid>
      <w:tr w:rsidR="00B7159D" w:rsidRPr="00BE4424" w:rsidTr="00B7159D">
        <w:trPr>
          <w:trHeight w:val="359"/>
          <w:jc w:val="center"/>
        </w:trPr>
        <w:tc>
          <w:tcPr>
            <w:tcW w:w="2247" w:type="dxa"/>
            <w:tcBorders>
              <w:top w:val="single" w:sz="4" w:space="0" w:color="000000"/>
              <w:left w:val="single" w:sz="4" w:space="0" w:color="000000"/>
              <w:right w:val="single" w:sz="4" w:space="0" w:color="000000"/>
            </w:tcBorders>
            <w:shd w:val="clear" w:color="auto" w:fill="D9D9D9"/>
            <w:vAlign w:val="center"/>
            <w:hideMark/>
          </w:tcPr>
          <w:p w:rsidR="00B7159D" w:rsidRPr="00BE4424" w:rsidRDefault="00B7159D" w:rsidP="002D172F">
            <w:pPr>
              <w:spacing w:line="220" w:lineRule="exact"/>
              <w:rPr>
                <w:rFonts w:eastAsia="Calibri"/>
                <w:color w:val="auto"/>
                <w:sz w:val="22"/>
                <w:szCs w:val="18"/>
              </w:rPr>
            </w:pPr>
            <w:r w:rsidRPr="00BE4424">
              <w:rPr>
                <w:color w:val="auto"/>
                <w:sz w:val="22"/>
                <w:szCs w:val="18"/>
              </w:rPr>
              <w:t>Left Knee ROM</w:t>
            </w:r>
          </w:p>
        </w:tc>
        <w:tc>
          <w:tcPr>
            <w:tcW w:w="2792" w:type="dxa"/>
            <w:tcBorders>
              <w:top w:val="single" w:sz="4" w:space="0" w:color="000000"/>
              <w:left w:val="single" w:sz="4" w:space="0" w:color="000000"/>
              <w:right w:val="single" w:sz="4" w:space="0" w:color="000000"/>
            </w:tcBorders>
            <w:shd w:val="clear" w:color="auto" w:fill="D9D9D9"/>
            <w:vAlign w:val="center"/>
            <w:hideMark/>
          </w:tcPr>
          <w:p w:rsidR="00B7159D" w:rsidRPr="00BE4424" w:rsidRDefault="00B7159D" w:rsidP="00B7159D">
            <w:pPr>
              <w:spacing w:line="220" w:lineRule="exact"/>
              <w:contextualSpacing/>
              <w:rPr>
                <w:rFonts w:eastAsia="Calibri"/>
                <w:color w:val="auto"/>
                <w:sz w:val="22"/>
                <w:szCs w:val="18"/>
              </w:rPr>
            </w:pPr>
            <w:r w:rsidRPr="00BE4424">
              <w:rPr>
                <w:rFonts w:eastAsia="Calibri"/>
                <w:color w:val="auto"/>
                <w:sz w:val="22"/>
                <w:szCs w:val="18"/>
              </w:rPr>
              <w:t>MEB ~5 Mos. Pre-Sep</w:t>
            </w:r>
          </w:p>
        </w:tc>
        <w:tc>
          <w:tcPr>
            <w:tcW w:w="2340" w:type="dxa"/>
            <w:tcBorders>
              <w:top w:val="single" w:sz="4" w:space="0" w:color="000000"/>
              <w:left w:val="single" w:sz="4" w:space="0" w:color="000000"/>
              <w:right w:val="single" w:sz="4" w:space="0" w:color="000000"/>
            </w:tcBorders>
            <w:shd w:val="clear" w:color="auto" w:fill="D9D9D9"/>
            <w:vAlign w:val="center"/>
            <w:hideMark/>
          </w:tcPr>
          <w:p w:rsidR="00B7159D" w:rsidRPr="00BE4424" w:rsidRDefault="00B7159D" w:rsidP="00B7159D">
            <w:pPr>
              <w:spacing w:line="220" w:lineRule="exact"/>
              <w:contextualSpacing/>
              <w:rPr>
                <w:rFonts w:eastAsia="Calibri"/>
                <w:color w:val="auto"/>
                <w:sz w:val="22"/>
                <w:szCs w:val="18"/>
              </w:rPr>
            </w:pPr>
            <w:r w:rsidRPr="00BE4424">
              <w:rPr>
                <w:rFonts w:eastAsia="Calibri"/>
                <w:color w:val="auto"/>
                <w:sz w:val="22"/>
                <w:szCs w:val="18"/>
              </w:rPr>
              <w:t>VA</w:t>
            </w:r>
            <w:r w:rsidRPr="00BE4424">
              <w:rPr>
                <w:rFonts w:eastAsia="Cambria"/>
                <w:color w:val="auto"/>
                <w:sz w:val="22"/>
                <w:szCs w:val="18"/>
              </w:rPr>
              <w:t xml:space="preserve"> C&amp;P </w:t>
            </w:r>
            <w:r w:rsidRPr="00BE4424">
              <w:rPr>
                <w:rFonts w:eastAsia="Calibri"/>
                <w:color w:val="auto"/>
                <w:sz w:val="22"/>
                <w:szCs w:val="18"/>
              </w:rPr>
              <w:t>~1 Mo. Pre-Sep</w:t>
            </w:r>
          </w:p>
        </w:tc>
      </w:tr>
      <w:tr w:rsidR="0095538E" w:rsidRPr="00BE4424" w:rsidTr="002D172F">
        <w:trPr>
          <w:jc w:val="center"/>
        </w:trPr>
        <w:tc>
          <w:tcPr>
            <w:tcW w:w="2247" w:type="dxa"/>
            <w:tcBorders>
              <w:top w:val="single" w:sz="4" w:space="0" w:color="000000"/>
              <w:left w:val="single" w:sz="4" w:space="0" w:color="000000"/>
              <w:bottom w:val="single" w:sz="4" w:space="0" w:color="000000"/>
              <w:right w:val="single" w:sz="4" w:space="0" w:color="000000"/>
            </w:tcBorders>
            <w:vAlign w:val="center"/>
            <w:hideMark/>
          </w:tcPr>
          <w:p w:rsidR="0095538E" w:rsidRPr="00BE4424" w:rsidRDefault="0095538E" w:rsidP="002D172F">
            <w:pPr>
              <w:spacing w:line="220" w:lineRule="exact"/>
              <w:contextualSpacing/>
              <w:rPr>
                <w:color w:val="auto"/>
                <w:sz w:val="22"/>
                <w:szCs w:val="18"/>
              </w:rPr>
            </w:pPr>
            <w:r w:rsidRPr="00BE4424">
              <w:rPr>
                <w:color w:val="auto"/>
                <w:sz w:val="22"/>
                <w:szCs w:val="18"/>
              </w:rPr>
              <w:t>Flexion (140⁰ Normal)</w:t>
            </w:r>
          </w:p>
        </w:tc>
        <w:tc>
          <w:tcPr>
            <w:tcW w:w="2792" w:type="dxa"/>
            <w:tcBorders>
              <w:top w:val="single" w:sz="4" w:space="0" w:color="000000"/>
              <w:left w:val="single" w:sz="4" w:space="0" w:color="000000"/>
              <w:bottom w:val="single" w:sz="4" w:space="0" w:color="000000"/>
              <w:right w:val="single" w:sz="4" w:space="0" w:color="000000"/>
            </w:tcBorders>
            <w:vAlign w:val="center"/>
            <w:hideMark/>
          </w:tcPr>
          <w:p w:rsidR="0095538E" w:rsidRPr="00BE4424" w:rsidRDefault="0095538E" w:rsidP="002D172F">
            <w:pPr>
              <w:spacing w:line="220" w:lineRule="exact"/>
              <w:rPr>
                <w:rFonts w:eastAsia="Calibri"/>
                <w:color w:val="auto"/>
                <w:sz w:val="22"/>
                <w:szCs w:val="18"/>
              </w:rPr>
            </w:pPr>
            <w:r w:rsidRPr="00BE4424">
              <w:rPr>
                <w:rFonts w:eastAsia="Calibri"/>
                <w:color w:val="auto"/>
                <w:sz w:val="22"/>
                <w:szCs w:val="18"/>
              </w:rPr>
              <w:t>110⁰, 114⁰,110⁰</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95538E" w:rsidRPr="00BE4424" w:rsidRDefault="0095538E" w:rsidP="002D172F">
            <w:pPr>
              <w:spacing w:line="220" w:lineRule="exact"/>
              <w:rPr>
                <w:rFonts w:eastAsia="Calibri"/>
                <w:color w:val="auto"/>
                <w:sz w:val="22"/>
                <w:szCs w:val="18"/>
              </w:rPr>
            </w:pPr>
            <w:r w:rsidRPr="00BE4424">
              <w:rPr>
                <w:rFonts w:eastAsia="Calibri"/>
                <w:color w:val="auto"/>
                <w:sz w:val="22"/>
                <w:szCs w:val="18"/>
              </w:rPr>
              <w:t>140⁰</w:t>
            </w:r>
          </w:p>
        </w:tc>
      </w:tr>
      <w:tr w:rsidR="0095538E" w:rsidRPr="00BE4424" w:rsidTr="002D172F">
        <w:trPr>
          <w:jc w:val="center"/>
        </w:trPr>
        <w:tc>
          <w:tcPr>
            <w:tcW w:w="2247" w:type="dxa"/>
            <w:tcBorders>
              <w:top w:val="single" w:sz="4" w:space="0" w:color="000000"/>
              <w:left w:val="single" w:sz="4" w:space="0" w:color="000000"/>
              <w:bottom w:val="single" w:sz="4" w:space="0" w:color="000000"/>
              <w:right w:val="single" w:sz="4" w:space="0" w:color="000000"/>
            </w:tcBorders>
            <w:vAlign w:val="center"/>
            <w:hideMark/>
          </w:tcPr>
          <w:p w:rsidR="0095538E" w:rsidRPr="00BE4424" w:rsidRDefault="0095538E" w:rsidP="002D172F">
            <w:pPr>
              <w:spacing w:line="220" w:lineRule="exact"/>
              <w:contextualSpacing/>
              <w:rPr>
                <w:color w:val="auto"/>
                <w:sz w:val="22"/>
                <w:szCs w:val="18"/>
              </w:rPr>
            </w:pPr>
            <w:r w:rsidRPr="00BE4424">
              <w:rPr>
                <w:color w:val="auto"/>
                <w:sz w:val="22"/>
                <w:szCs w:val="18"/>
              </w:rPr>
              <w:t>Extension (0⁰ Normal)</w:t>
            </w:r>
          </w:p>
        </w:tc>
        <w:tc>
          <w:tcPr>
            <w:tcW w:w="2792" w:type="dxa"/>
            <w:tcBorders>
              <w:top w:val="single" w:sz="4" w:space="0" w:color="000000"/>
              <w:left w:val="single" w:sz="4" w:space="0" w:color="000000"/>
              <w:bottom w:val="single" w:sz="4" w:space="0" w:color="000000"/>
              <w:right w:val="single" w:sz="4" w:space="0" w:color="000000"/>
            </w:tcBorders>
            <w:vAlign w:val="center"/>
            <w:hideMark/>
          </w:tcPr>
          <w:p w:rsidR="0095538E" w:rsidRPr="00BE4424" w:rsidRDefault="0095538E" w:rsidP="002D172F">
            <w:pPr>
              <w:spacing w:line="220" w:lineRule="exact"/>
              <w:rPr>
                <w:rFonts w:eastAsia="Calibri"/>
                <w:color w:val="auto"/>
                <w:sz w:val="22"/>
                <w:szCs w:val="18"/>
              </w:rPr>
            </w:pPr>
            <w:r w:rsidRPr="00BE4424">
              <w:rPr>
                <w:rFonts w:eastAsia="Calibri"/>
                <w:color w:val="auto"/>
                <w:sz w:val="22"/>
                <w:szCs w:val="18"/>
              </w:rPr>
              <w:t>3⁰, 3⁰, 3⁰</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95538E" w:rsidRPr="00BE4424" w:rsidRDefault="0095538E" w:rsidP="002D172F">
            <w:pPr>
              <w:spacing w:line="220" w:lineRule="exact"/>
              <w:rPr>
                <w:rFonts w:eastAsia="Calibri"/>
                <w:color w:val="auto"/>
                <w:sz w:val="22"/>
                <w:szCs w:val="18"/>
              </w:rPr>
            </w:pPr>
            <w:r w:rsidRPr="00BE4424">
              <w:rPr>
                <w:rFonts w:eastAsia="Calibri"/>
                <w:color w:val="auto"/>
                <w:sz w:val="22"/>
                <w:szCs w:val="18"/>
              </w:rPr>
              <w:t>0⁰</w:t>
            </w:r>
          </w:p>
        </w:tc>
      </w:tr>
      <w:tr w:rsidR="0095538E" w:rsidRPr="00BE4424" w:rsidTr="002D172F">
        <w:trPr>
          <w:jc w:val="center"/>
        </w:trPr>
        <w:tc>
          <w:tcPr>
            <w:tcW w:w="2247" w:type="dxa"/>
            <w:tcBorders>
              <w:top w:val="single" w:sz="4" w:space="0" w:color="000000"/>
              <w:left w:val="single" w:sz="4" w:space="0" w:color="000000"/>
              <w:bottom w:val="single" w:sz="4" w:space="0" w:color="000000"/>
              <w:right w:val="single" w:sz="4" w:space="0" w:color="000000"/>
            </w:tcBorders>
            <w:vAlign w:val="center"/>
            <w:hideMark/>
          </w:tcPr>
          <w:p w:rsidR="0095538E" w:rsidRPr="00BE4424" w:rsidRDefault="0095538E" w:rsidP="002D172F">
            <w:pPr>
              <w:tabs>
                <w:tab w:val="left" w:pos="288"/>
                <w:tab w:val="left" w:pos="4752"/>
              </w:tabs>
              <w:spacing w:line="220" w:lineRule="exact"/>
              <w:rPr>
                <w:rFonts w:eastAsia="Cambria"/>
                <w:color w:val="auto"/>
                <w:sz w:val="22"/>
                <w:szCs w:val="18"/>
              </w:rPr>
            </w:pPr>
            <w:r w:rsidRPr="00BE4424">
              <w:rPr>
                <w:rFonts w:eastAsia="Cambria"/>
                <w:color w:val="auto"/>
                <w:sz w:val="22"/>
                <w:szCs w:val="18"/>
              </w:rPr>
              <w:t>Comment</w:t>
            </w:r>
          </w:p>
        </w:tc>
        <w:tc>
          <w:tcPr>
            <w:tcW w:w="2792" w:type="dxa"/>
            <w:tcBorders>
              <w:top w:val="single" w:sz="4" w:space="0" w:color="000000"/>
              <w:left w:val="single" w:sz="4" w:space="0" w:color="000000"/>
              <w:bottom w:val="single" w:sz="4" w:space="0" w:color="000000"/>
              <w:right w:val="single" w:sz="4" w:space="0" w:color="000000"/>
            </w:tcBorders>
            <w:vAlign w:val="center"/>
          </w:tcPr>
          <w:p w:rsidR="0095538E" w:rsidRPr="00BE4424" w:rsidRDefault="0095538E" w:rsidP="002D172F">
            <w:pPr>
              <w:spacing w:line="220" w:lineRule="exact"/>
              <w:contextualSpacing/>
              <w:rPr>
                <w:rFonts w:eastAsia="Calibri"/>
                <w:color w:val="auto"/>
                <w:sz w:val="22"/>
                <w:szCs w:val="18"/>
              </w:rPr>
            </w:pPr>
            <w:r w:rsidRPr="00BE4424">
              <w:rPr>
                <w:rFonts w:eastAsia="Calibri"/>
                <w:color w:val="auto"/>
                <w:sz w:val="22"/>
                <w:szCs w:val="18"/>
              </w:rPr>
              <w:t>Tender over medial knee; pain with patellar grind; no instability</w:t>
            </w:r>
          </w:p>
        </w:tc>
        <w:tc>
          <w:tcPr>
            <w:tcW w:w="2340" w:type="dxa"/>
            <w:tcBorders>
              <w:top w:val="single" w:sz="4" w:space="0" w:color="000000"/>
              <w:left w:val="single" w:sz="4" w:space="0" w:color="000000"/>
              <w:bottom w:val="single" w:sz="4" w:space="0" w:color="000000"/>
              <w:right w:val="single" w:sz="4" w:space="0" w:color="000000"/>
            </w:tcBorders>
            <w:vAlign w:val="center"/>
          </w:tcPr>
          <w:p w:rsidR="0095538E" w:rsidRPr="00BE4424" w:rsidRDefault="0095538E" w:rsidP="002D172F">
            <w:pPr>
              <w:spacing w:line="220" w:lineRule="exact"/>
              <w:contextualSpacing/>
              <w:rPr>
                <w:rFonts w:eastAsia="Calibri"/>
                <w:color w:val="auto"/>
                <w:sz w:val="22"/>
                <w:szCs w:val="18"/>
              </w:rPr>
            </w:pPr>
            <w:r w:rsidRPr="00BE4424">
              <w:rPr>
                <w:rFonts w:eastAsia="Calibri"/>
                <w:color w:val="auto"/>
                <w:sz w:val="22"/>
                <w:szCs w:val="18"/>
              </w:rPr>
              <w:t>Normal gait; painful motion</w:t>
            </w:r>
            <w:r w:rsidR="005B48A3" w:rsidRPr="00BE4424">
              <w:rPr>
                <w:rFonts w:eastAsia="Calibri"/>
                <w:color w:val="auto"/>
                <w:sz w:val="22"/>
                <w:szCs w:val="18"/>
              </w:rPr>
              <w:t>, tender; painful McMurray</w:t>
            </w:r>
          </w:p>
        </w:tc>
      </w:tr>
      <w:tr w:rsidR="0095538E" w:rsidRPr="00BE4424" w:rsidTr="002D172F">
        <w:trPr>
          <w:jc w:val="center"/>
        </w:trPr>
        <w:tc>
          <w:tcPr>
            <w:tcW w:w="2247" w:type="dxa"/>
            <w:tcBorders>
              <w:top w:val="single" w:sz="4" w:space="0" w:color="000000"/>
              <w:left w:val="single" w:sz="4" w:space="0" w:color="000000"/>
              <w:bottom w:val="single" w:sz="4" w:space="0" w:color="000000"/>
              <w:right w:val="single" w:sz="4" w:space="0" w:color="000000"/>
            </w:tcBorders>
            <w:vAlign w:val="center"/>
            <w:hideMark/>
          </w:tcPr>
          <w:p w:rsidR="0095538E" w:rsidRPr="00BE4424" w:rsidRDefault="0095538E" w:rsidP="002D172F">
            <w:pPr>
              <w:tabs>
                <w:tab w:val="left" w:pos="288"/>
                <w:tab w:val="left" w:pos="4752"/>
              </w:tabs>
              <w:spacing w:line="220" w:lineRule="exact"/>
              <w:rPr>
                <w:rFonts w:eastAsia="Cambria"/>
                <w:color w:val="auto"/>
                <w:sz w:val="22"/>
                <w:szCs w:val="18"/>
              </w:rPr>
            </w:pPr>
            <w:r w:rsidRPr="00BE4424">
              <w:rPr>
                <w:rFonts w:eastAsia="Cambria"/>
                <w:color w:val="auto"/>
                <w:sz w:val="22"/>
                <w:szCs w:val="18"/>
              </w:rPr>
              <w:t>§4.71a Rating</w:t>
            </w:r>
          </w:p>
        </w:tc>
        <w:tc>
          <w:tcPr>
            <w:tcW w:w="2792" w:type="dxa"/>
            <w:tcBorders>
              <w:top w:val="single" w:sz="4" w:space="0" w:color="000000"/>
              <w:left w:val="single" w:sz="4" w:space="0" w:color="000000"/>
              <w:bottom w:val="single" w:sz="4" w:space="0" w:color="000000"/>
              <w:right w:val="single" w:sz="4" w:space="0" w:color="000000"/>
            </w:tcBorders>
            <w:vAlign w:val="center"/>
            <w:hideMark/>
          </w:tcPr>
          <w:p w:rsidR="0095538E" w:rsidRPr="00BE4424" w:rsidRDefault="0095538E" w:rsidP="002D172F">
            <w:pPr>
              <w:spacing w:line="220" w:lineRule="exact"/>
              <w:contextualSpacing/>
              <w:rPr>
                <w:rFonts w:eastAsia="Calibri"/>
                <w:color w:val="auto"/>
                <w:sz w:val="22"/>
                <w:szCs w:val="18"/>
              </w:rPr>
            </w:pPr>
            <w:r w:rsidRPr="00BE4424">
              <w:rPr>
                <w:rFonts w:eastAsia="Calibri"/>
                <w:color w:val="auto"/>
                <w:sz w:val="22"/>
                <w:szCs w:val="18"/>
              </w:rPr>
              <w:t>10%</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95538E" w:rsidRPr="00BE4424" w:rsidRDefault="00EF5730" w:rsidP="002D172F">
            <w:pPr>
              <w:spacing w:line="220" w:lineRule="exact"/>
              <w:contextualSpacing/>
              <w:rPr>
                <w:rFonts w:eastAsia="Calibri"/>
                <w:color w:val="auto"/>
                <w:sz w:val="22"/>
                <w:szCs w:val="18"/>
              </w:rPr>
            </w:pPr>
            <w:r w:rsidRPr="00BE4424">
              <w:rPr>
                <w:rFonts w:eastAsia="Calibri"/>
                <w:color w:val="auto"/>
                <w:sz w:val="22"/>
                <w:szCs w:val="18"/>
              </w:rPr>
              <w:t>10</w:t>
            </w:r>
            <w:r w:rsidR="0095538E" w:rsidRPr="00BE4424">
              <w:rPr>
                <w:rFonts w:eastAsia="Calibri"/>
                <w:color w:val="auto"/>
                <w:sz w:val="22"/>
                <w:szCs w:val="18"/>
              </w:rPr>
              <w:t>%</w:t>
            </w:r>
          </w:p>
        </w:tc>
      </w:tr>
    </w:tbl>
    <w:p w:rsidR="008C1A8A" w:rsidRPr="00BE4424" w:rsidRDefault="008C1A8A" w:rsidP="0069687C">
      <w:pPr>
        <w:jc w:val="both"/>
        <w:rPr>
          <w:color w:val="auto"/>
          <w:szCs w:val="24"/>
        </w:rPr>
      </w:pPr>
    </w:p>
    <w:p w:rsidR="00CF0280" w:rsidRPr="00BE4424" w:rsidRDefault="00D62B8B" w:rsidP="0069687C">
      <w:pPr>
        <w:jc w:val="both"/>
        <w:rPr>
          <w:color w:val="auto"/>
          <w:szCs w:val="24"/>
        </w:rPr>
      </w:pPr>
      <w:r w:rsidRPr="00BE4424">
        <w:rPr>
          <w:color w:val="auto"/>
          <w:szCs w:val="24"/>
        </w:rPr>
        <w:t xml:space="preserve">At the MEB exam, the CI reported recurrent left knee locking and pain with flares.  He denied recurrent buckling of the knee.  </w:t>
      </w:r>
      <w:r w:rsidR="00CF0280" w:rsidRPr="00BE4424">
        <w:rPr>
          <w:color w:val="auto"/>
          <w:szCs w:val="24"/>
        </w:rPr>
        <w:t>The MEB physical exam noted</w:t>
      </w:r>
      <w:r w:rsidRPr="00BE4424">
        <w:rPr>
          <w:color w:val="auto"/>
          <w:szCs w:val="24"/>
        </w:rPr>
        <w:t xml:space="preserve"> pain-limited ROM as charted above, with tenderness, patellar grind, and no indications of instability.  </w:t>
      </w:r>
    </w:p>
    <w:p w:rsidR="00B039DD" w:rsidRPr="00BE4424" w:rsidRDefault="00B039DD" w:rsidP="0069687C">
      <w:pPr>
        <w:jc w:val="both"/>
        <w:rPr>
          <w:color w:val="auto"/>
          <w:szCs w:val="24"/>
        </w:rPr>
      </w:pPr>
    </w:p>
    <w:p w:rsidR="005B48A3" w:rsidRPr="00BE4424" w:rsidRDefault="00CF0280" w:rsidP="005B48A3">
      <w:pPr>
        <w:jc w:val="both"/>
        <w:rPr>
          <w:color w:val="auto"/>
          <w:szCs w:val="24"/>
        </w:rPr>
      </w:pPr>
      <w:r w:rsidRPr="00BE4424">
        <w:rPr>
          <w:color w:val="auto"/>
          <w:szCs w:val="24"/>
        </w:rPr>
        <w:t xml:space="preserve">At the VA </w:t>
      </w:r>
      <w:r w:rsidR="00D768AB">
        <w:rPr>
          <w:color w:val="auto"/>
          <w:szCs w:val="24"/>
        </w:rPr>
        <w:t>C&amp;P</w:t>
      </w:r>
      <w:r w:rsidRPr="00BE4424">
        <w:rPr>
          <w:color w:val="auto"/>
          <w:szCs w:val="24"/>
        </w:rPr>
        <w:t xml:space="preserve"> exam, the CI reported</w:t>
      </w:r>
      <w:r w:rsidR="00D62B8B" w:rsidRPr="00BE4424">
        <w:rPr>
          <w:color w:val="auto"/>
          <w:szCs w:val="24"/>
        </w:rPr>
        <w:t xml:space="preserve"> constant sharp knee pain</w:t>
      </w:r>
      <w:r w:rsidR="005B48A3" w:rsidRPr="00BE4424">
        <w:rPr>
          <w:color w:val="auto"/>
          <w:szCs w:val="24"/>
        </w:rPr>
        <w:t xml:space="preserve"> and limitations of activities including “cannot stand greater than </w:t>
      </w:r>
      <w:r w:rsidR="008550E8">
        <w:rPr>
          <w:color w:val="auto"/>
          <w:szCs w:val="24"/>
        </w:rPr>
        <w:t>15</w:t>
      </w:r>
      <w:r w:rsidR="005B48A3" w:rsidRPr="00BE4424">
        <w:rPr>
          <w:color w:val="auto"/>
          <w:szCs w:val="24"/>
        </w:rPr>
        <w:t xml:space="preserve"> minutes” or running or squatting.  The exam indicated full ROM with pain, tenderness and a painful McMurray test without mention of click or instability.  </w:t>
      </w:r>
    </w:p>
    <w:p w:rsidR="005B48A3" w:rsidRPr="00BE4424" w:rsidRDefault="005B48A3" w:rsidP="005B48A3">
      <w:pPr>
        <w:jc w:val="both"/>
        <w:rPr>
          <w:color w:val="auto"/>
          <w:szCs w:val="24"/>
        </w:rPr>
      </w:pPr>
    </w:p>
    <w:p w:rsidR="00626902" w:rsidRPr="00BE4424" w:rsidRDefault="00AD2379" w:rsidP="00241B01">
      <w:pPr>
        <w:jc w:val="both"/>
        <w:rPr>
          <w:rFonts w:eastAsia="Calibri" w:cs="Times New Roman"/>
          <w:color w:val="auto"/>
          <w:szCs w:val="24"/>
        </w:rPr>
      </w:pPr>
      <w:r w:rsidRPr="00BE4424">
        <w:rPr>
          <w:rFonts w:cs="Times New Roman"/>
          <w:color w:val="auto"/>
        </w:rPr>
        <w:t>The Board directs attenti</w:t>
      </w:r>
      <w:r w:rsidR="00782CC1" w:rsidRPr="00BE4424">
        <w:rPr>
          <w:rFonts w:cs="Times New Roman"/>
          <w:color w:val="auto"/>
        </w:rPr>
        <w:t>on to its rating recommendation</w:t>
      </w:r>
      <w:r w:rsidRPr="00BE4424">
        <w:rPr>
          <w:rFonts w:cs="Times New Roman"/>
          <w:color w:val="auto"/>
        </w:rPr>
        <w:t xml:space="preserve"> </w:t>
      </w:r>
      <w:r w:rsidR="00B13A51" w:rsidRPr="00BE4424">
        <w:rPr>
          <w:rFonts w:cs="Times New Roman"/>
          <w:color w:val="auto"/>
        </w:rPr>
        <w:t>based on the above evidence</w:t>
      </w:r>
      <w:r w:rsidRPr="00BE4424">
        <w:rPr>
          <w:rFonts w:cs="Times New Roman"/>
          <w:color w:val="auto"/>
        </w:rPr>
        <w:t>.</w:t>
      </w:r>
      <w:r w:rsidR="00165C7B" w:rsidRPr="00BE4424">
        <w:rPr>
          <w:rFonts w:cs="Times New Roman"/>
          <w:color w:val="auto"/>
        </w:rPr>
        <w:t xml:space="preserve">  </w:t>
      </w:r>
      <w:r w:rsidR="005B48A3" w:rsidRPr="00BE4424">
        <w:rPr>
          <w:rFonts w:cs="Times New Roman"/>
          <w:color w:val="auto"/>
        </w:rPr>
        <w:t xml:space="preserve">There was no evidence of incapacitating episodes.  </w:t>
      </w:r>
      <w:r w:rsidR="005B48A3" w:rsidRPr="00BE4424">
        <w:rPr>
          <w:rFonts w:eastAsia="HiddenHorzOCR"/>
          <w:color w:val="auto"/>
          <w:szCs w:val="24"/>
        </w:rPr>
        <w:t xml:space="preserve">The PEB and the VA chose different coding for the knee </w:t>
      </w:r>
      <w:r w:rsidR="005B48A3" w:rsidRPr="00BE4424">
        <w:rPr>
          <w:color w:val="auto"/>
          <w:szCs w:val="24"/>
        </w:rPr>
        <w:t>condition, but arrived at the same 10% rating.  The PEB coded analogous to degenerative arthritis and ra</w:t>
      </w:r>
      <w:r w:rsidR="00B9759B">
        <w:rPr>
          <w:color w:val="auto"/>
          <w:szCs w:val="24"/>
        </w:rPr>
        <w:t>ted 10%; the VA coded 5259 for c</w:t>
      </w:r>
      <w:r w:rsidR="005B48A3" w:rsidRPr="00BE4424">
        <w:rPr>
          <w:color w:val="auto"/>
          <w:szCs w:val="24"/>
        </w:rPr>
        <w:t xml:space="preserve">artilage, semilunar, removal of, symptomatic, and rated 10%.  </w:t>
      </w:r>
      <w:r w:rsidR="00F9547D" w:rsidRPr="00BE4424">
        <w:rPr>
          <w:color w:val="auto"/>
          <w:szCs w:val="24"/>
        </w:rPr>
        <w:t>T</w:t>
      </w:r>
      <w:r w:rsidR="005B48A3" w:rsidRPr="00BE4424">
        <w:rPr>
          <w:color w:val="auto"/>
          <w:szCs w:val="24"/>
        </w:rPr>
        <w:t>he VA coding would be ideal</w:t>
      </w:r>
      <w:r w:rsidR="00F9547D" w:rsidRPr="00BE4424">
        <w:rPr>
          <w:color w:val="auto"/>
          <w:szCs w:val="24"/>
        </w:rPr>
        <w:t xml:space="preserve">, since the CI did not have any radiographic evidence of degenerative arthritis; however, the PEB analogous coding is also correct and provides the same rating outcome.  Although the </w:t>
      </w:r>
      <w:r w:rsidR="00D768AB">
        <w:rPr>
          <w:color w:val="auto"/>
          <w:szCs w:val="24"/>
        </w:rPr>
        <w:t>narrative summary (</w:t>
      </w:r>
      <w:r w:rsidR="00F9547D" w:rsidRPr="00BE4424">
        <w:rPr>
          <w:color w:val="auto"/>
          <w:szCs w:val="24"/>
        </w:rPr>
        <w:t>NARSUM</w:t>
      </w:r>
      <w:r w:rsidR="00D768AB">
        <w:rPr>
          <w:color w:val="auto"/>
          <w:szCs w:val="24"/>
        </w:rPr>
        <w:t>)</w:t>
      </w:r>
      <w:r w:rsidR="00F9547D" w:rsidRPr="00BE4424">
        <w:rPr>
          <w:color w:val="auto"/>
          <w:szCs w:val="24"/>
        </w:rPr>
        <w:t xml:space="preserve"> indicated “occasional locking</w:t>
      </w:r>
      <w:r w:rsidR="00D768AB">
        <w:rPr>
          <w:color w:val="auto"/>
          <w:szCs w:val="24"/>
        </w:rPr>
        <w:t>,</w:t>
      </w:r>
      <w:r w:rsidR="00F9547D" w:rsidRPr="00BE4424">
        <w:rPr>
          <w:color w:val="auto"/>
          <w:szCs w:val="24"/>
        </w:rPr>
        <w:t>” there was no mention of locking at the VA exam and t</w:t>
      </w:r>
      <w:r w:rsidR="00F9547D" w:rsidRPr="00BE4424">
        <w:rPr>
          <w:rFonts w:cs="Times New Roman"/>
          <w:color w:val="auto"/>
        </w:rPr>
        <w:t xml:space="preserve">he record did not support dislocations or frequent episodes of “locking,” pain, and effusion into the joint.  </w:t>
      </w:r>
      <w:r w:rsidR="005B48A3" w:rsidRPr="00BE4424">
        <w:rPr>
          <w:color w:val="auto"/>
          <w:szCs w:val="24"/>
        </w:rPr>
        <w:t xml:space="preserve">There is no route to rating higher than 10% under any applicable code and no coexistent pathology which would merit additional rating for the right knee condition under a separate code.  Thus, the PEB choice of VASRD code </w:t>
      </w:r>
      <w:r w:rsidR="00F9547D" w:rsidRPr="00BE4424">
        <w:rPr>
          <w:color w:val="auto"/>
          <w:szCs w:val="24"/>
        </w:rPr>
        <w:t>provided</w:t>
      </w:r>
      <w:r w:rsidR="005B48A3" w:rsidRPr="00BE4424">
        <w:rPr>
          <w:color w:val="auto"/>
          <w:szCs w:val="24"/>
        </w:rPr>
        <w:t xml:space="preserve"> the highest achievable rating IAW VASRD §4.71a.  </w:t>
      </w:r>
      <w:r w:rsidR="00626902" w:rsidRPr="00BE4424">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F9547D" w:rsidRPr="00BE4424">
        <w:rPr>
          <w:rFonts w:eastAsia="Calibri" w:cs="Times New Roman"/>
          <w:color w:val="auto"/>
          <w:szCs w:val="24"/>
        </w:rPr>
        <w:t>left knee</w:t>
      </w:r>
      <w:r w:rsidR="00626902" w:rsidRPr="00BE4424">
        <w:rPr>
          <w:rFonts w:eastAsia="Calibri" w:cs="Times New Roman"/>
          <w:color w:val="auto"/>
          <w:szCs w:val="24"/>
        </w:rPr>
        <w:t xml:space="preserve"> condition.</w:t>
      </w:r>
      <w:r w:rsidR="00165C7B" w:rsidRPr="00BE4424">
        <w:rPr>
          <w:rFonts w:eastAsia="Calibri" w:cs="Times New Roman"/>
          <w:color w:val="auto"/>
          <w:szCs w:val="24"/>
        </w:rPr>
        <w:t xml:space="preserve">  </w:t>
      </w:r>
    </w:p>
    <w:p w:rsidR="00241B01" w:rsidRPr="00BE4424" w:rsidRDefault="00241B01" w:rsidP="0069687C">
      <w:pPr>
        <w:tabs>
          <w:tab w:val="left" w:pos="288"/>
          <w:tab w:val="left" w:pos="4752"/>
        </w:tabs>
        <w:jc w:val="left"/>
        <w:rPr>
          <w:rFonts w:cs="Times New Roman"/>
          <w:color w:val="auto"/>
        </w:rPr>
      </w:pPr>
    </w:p>
    <w:p w:rsidR="003863E9" w:rsidRPr="00BE4424" w:rsidRDefault="006B690F" w:rsidP="003863E9">
      <w:pPr>
        <w:jc w:val="both"/>
        <w:rPr>
          <w:color w:val="auto"/>
        </w:rPr>
      </w:pPr>
      <w:proofErr w:type="gramStart"/>
      <w:r w:rsidRPr="00BE4424">
        <w:rPr>
          <w:rFonts w:eastAsia="HiddenHorzOCR"/>
          <w:color w:val="auto"/>
          <w:u w:val="single"/>
        </w:rPr>
        <w:lastRenderedPageBreak/>
        <w:t xml:space="preserve">Contended </w:t>
      </w:r>
      <w:r w:rsidR="00AD2379" w:rsidRPr="00BE4424">
        <w:rPr>
          <w:rFonts w:eastAsia="HiddenHorzOCR"/>
          <w:color w:val="auto"/>
          <w:u w:val="single"/>
        </w:rPr>
        <w:t>PEB Conditions</w:t>
      </w:r>
      <w:r w:rsidR="00AD2379" w:rsidRPr="00BE4424">
        <w:rPr>
          <w:rFonts w:eastAsia="HiddenHorzOCR"/>
          <w:color w:val="auto"/>
        </w:rPr>
        <w:t>.</w:t>
      </w:r>
      <w:proofErr w:type="gramEnd"/>
      <w:r w:rsidR="0001281C" w:rsidRPr="00BE4424">
        <w:rPr>
          <w:rFonts w:eastAsia="HiddenHorzOCR"/>
          <w:color w:val="auto"/>
        </w:rPr>
        <w:t xml:space="preserve">  </w:t>
      </w:r>
      <w:r w:rsidR="003863E9" w:rsidRPr="00BE4424">
        <w:rPr>
          <w:rFonts w:eastAsia="Calibri" w:cs="Times New Roman"/>
          <w:color w:val="auto"/>
          <w:szCs w:val="24"/>
        </w:rPr>
        <w:t xml:space="preserve">The contended condition adjudicated as </w:t>
      </w:r>
      <w:r w:rsidR="001C545A" w:rsidRPr="00BE4424">
        <w:rPr>
          <w:rFonts w:eastAsia="Calibri" w:cs="Times New Roman"/>
          <w:color w:val="auto"/>
          <w:szCs w:val="24"/>
        </w:rPr>
        <w:t xml:space="preserve">not </w:t>
      </w:r>
      <w:r w:rsidR="003863E9" w:rsidRPr="00BE4424">
        <w:rPr>
          <w:rFonts w:eastAsia="Calibri" w:cs="Times New Roman"/>
          <w:color w:val="auto"/>
          <w:szCs w:val="24"/>
        </w:rPr>
        <w:t xml:space="preserve">unfitting by the PEB </w:t>
      </w:r>
      <w:r w:rsidR="009D159D" w:rsidRPr="00BE4424">
        <w:rPr>
          <w:rFonts w:eastAsia="Calibri" w:cs="Times New Roman"/>
          <w:color w:val="auto"/>
          <w:szCs w:val="24"/>
        </w:rPr>
        <w:t xml:space="preserve">was </w:t>
      </w:r>
      <w:r w:rsidR="00EA7501" w:rsidRPr="00BE4424">
        <w:rPr>
          <w:rFonts w:eastAsia="Calibri" w:cs="Times New Roman"/>
          <w:color w:val="auto"/>
          <w:szCs w:val="24"/>
        </w:rPr>
        <w:t xml:space="preserve">chronic </w:t>
      </w:r>
      <w:r w:rsidR="00D768AB">
        <w:rPr>
          <w:rFonts w:eastAsia="Calibri" w:cs="Times New Roman"/>
          <w:color w:val="auto"/>
          <w:szCs w:val="24"/>
        </w:rPr>
        <w:t>LBP</w:t>
      </w:r>
      <w:r w:rsidR="003863E9" w:rsidRPr="00BE4424">
        <w:rPr>
          <w:rFonts w:eastAsia="Calibri" w:cs="Times New Roman"/>
          <w:color w:val="auto"/>
          <w:szCs w:val="24"/>
        </w:rPr>
        <w:t xml:space="preserve">. </w:t>
      </w:r>
      <w:r w:rsidR="002D172F" w:rsidRPr="00BE4424">
        <w:rPr>
          <w:rFonts w:eastAsia="Calibri" w:cs="Times New Roman"/>
          <w:color w:val="auto"/>
          <w:szCs w:val="24"/>
        </w:rPr>
        <w:t xml:space="preserve"> </w:t>
      </w:r>
      <w:r w:rsidR="003863E9" w:rsidRPr="00BE4424">
        <w:rPr>
          <w:rFonts w:eastAsia="Calibri" w:cs="Times New Roman"/>
          <w:color w:val="auto"/>
          <w:szCs w:val="24"/>
        </w:rPr>
        <w:t xml:space="preserve">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  </w:t>
      </w:r>
      <w:r w:rsidR="002D172F" w:rsidRPr="00BE4424">
        <w:rPr>
          <w:rFonts w:eastAsia="Calibri" w:cs="Times New Roman"/>
          <w:color w:val="auto"/>
          <w:szCs w:val="24"/>
        </w:rPr>
        <w:t xml:space="preserve">The back condition was specified in the commander’s statement (in addition to the left foot and left knee conditions) as interfering with performance of duty with an inability to stand more than 10 minutes.  The CI’s L3 profile did not mention the back, but restrictions for the left foot and left knee may have provided shelter for or compounded and disability attributable to the back condition.  The NASRUM and MEB indicated the back condition met retention standards.  </w:t>
      </w:r>
      <w:r w:rsidR="002D172F" w:rsidRPr="00BE4424">
        <w:rPr>
          <w:color w:val="auto"/>
        </w:rPr>
        <w:t xml:space="preserve">The back condition was </w:t>
      </w:r>
      <w:r w:rsidR="003863E9" w:rsidRPr="00BE4424">
        <w:rPr>
          <w:color w:val="auto"/>
        </w:rPr>
        <w:t xml:space="preserve">reviewed by the </w:t>
      </w:r>
      <w:r w:rsidR="00DF3B06" w:rsidRPr="00BE4424">
        <w:rPr>
          <w:color w:val="auto"/>
        </w:rPr>
        <w:t>a</w:t>
      </w:r>
      <w:r w:rsidR="003863E9" w:rsidRPr="00BE4424">
        <w:rPr>
          <w:color w:val="auto"/>
        </w:rPr>
        <w:t xml:space="preserve">ction </w:t>
      </w:r>
      <w:r w:rsidR="00DF3B06" w:rsidRPr="00BE4424">
        <w:rPr>
          <w:color w:val="auto"/>
        </w:rPr>
        <w:t>o</w:t>
      </w:r>
      <w:r w:rsidR="003863E9" w:rsidRPr="00BE4424">
        <w:rPr>
          <w:color w:val="auto"/>
        </w:rPr>
        <w:t xml:space="preserve">fficer and considered by the Board.  </w:t>
      </w:r>
    </w:p>
    <w:p w:rsidR="002D172F" w:rsidRPr="00BE4424" w:rsidRDefault="002D172F" w:rsidP="003863E9">
      <w:pPr>
        <w:jc w:val="both"/>
        <w:rPr>
          <w:color w:val="auto"/>
        </w:rPr>
      </w:pPr>
    </w:p>
    <w:p w:rsidR="005D5A1B" w:rsidRPr="00BE4424" w:rsidRDefault="002D172F" w:rsidP="003863E9">
      <w:pPr>
        <w:jc w:val="both"/>
        <w:rPr>
          <w:rFonts w:eastAsia="Calibri" w:cs="Times New Roman"/>
          <w:color w:val="auto"/>
          <w:szCs w:val="24"/>
        </w:rPr>
      </w:pPr>
      <w:r w:rsidRPr="00BE4424">
        <w:rPr>
          <w:color w:val="auto"/>
        </w:rPr>
        <w:t>The MEB</w:t>
      </w:r>
      <w:r w:rsidR="000E08A5" w:rsidRPr="00BE4424">
        <w:rPr>
          <w:color w:val="auto"/>
        </w:rPr>
        <w:t>,</w:t>
      </w:r>
      <w:r w:rsidRPr="00BE4424">
        <w:rPr>
          <w:color w:val="auto"/>
        </w:rPr>
        <w:t xml:space="preserve"> </w:t>
      </w:r>
      <w:r w:rsidR="00BA3BAC" w:rsidRPr="00BE4424">
        <w:rPr>
          <w:color w:val="auto"/>
        </w:rPr>
        <w:t>performed 5 months pr</w:t>
      </w:r>
      <w:r w:rsidR="00D768AB">
        <w:rPr>
          <w:color w:val="auto"/>
        </w:rPr>
        <w:t xml:space="preserve">ior to </w:t>
      </w:r>
      <w:r w:rsidR="00BA3BAC" w:rsidRPr="00BE4424">
        <w:rPr>
          <w:color w:val="auto"/>
        </w:rPr>
        <w:t xml:space="preserve">separation, </w:t>
      </w:r>
      <w:r w:rsidRPr="00BE4424">
        <w:rPr>
          <w:color w:val="auto"/>
        </w:rPr>
        <w:t xml:space="preserve">indicated </w:t>
      </w:r>
      <w:r w:rsidR="00BA3BAC" w:rsidRPr="00BE4424">
        <w:rPr>
          <w:color w:val="auto"/>
        </w:rPr>
        <w:t xml:space="preserve">non-traumatic, </w:t>
      </w:r>
      <w:r w:rsidRPr="00BE4424">
        <w:rPr>
          <w:color w:val="auto"/>
        </w:rPr>
        <w:t xml:space="preserve">non-radiating </w:t>
      </w:r>
      <w:r w:rsidRPr="00BE4424">
        <w:rPr>
          <w:rFonts w:eastAsia="Calibri" w:cs="Times New Roman"/>
          <w:color w:val="auto"/>
          <w:szCs w:val="24"/>
        </w:rPr>
        <w:t>back pain</w:t>
      </w:r>
      <w:r w:rsidR="00BA3BAC" w:rsidRPr="00BE4424">
        <w:rPr>
          <w:rFonts w:eastAsia="Calibri" w:cs="Times New Roman"/>
          <w:color w:val="auto"/>
          <w:szCs w:val="24"/>
        </w:rPr>
        <w:t xml:space="preserve"> beginning </w:t>
      </w:r>
      <w:r w:rsidRPr="00BE4424">
        <w:rPr>
          <w:rFonts w:eastAsia="Calibri" w:cs="Times New Roman"/>
          <w:color w:val="auto"/>
          <w:szCs w:val="24"/>
        </w:rPr>
        <w:t>in 2008</w:t>
      </w:r>
      <w:r w:rsidR="00B7159D" w:rsidRPr="00BE4424">
        <w:rPr>
          <w:rFonts w:eastAsia="Calibri" w:cs="Times New Roman"/>
          <w:color w:val="auto"/>
          <w:szCs w:val="24"/>
        </w:rPr>
        <w:t>.</w:t>
      </w:r>
      <w:r w:rsidR="00753D9E" w:rsidRPr="00BE4424">
        <w:rPr>
          <w:rFonts w:eastAsia="Calibri" w:cs="Times New Roman"/>
          <w:color w:val="auto"/>
          <w:szCs w:val="24"/>
        </w:rPr>
        <w:t xml:space="preserve">  </w:t>
      </w:r>
      <w:r w:rsidR="00BA3BAC" w:rsidRPr="00BE4424">
        <w:rPr>
          <w:rFonts w:eastAsia="Calibri" w:cs="Times New Roman"/>
          <w:color w:val="auto"/>
          <w:szCs w:val="24"/>
        </w:rPr>
        <w:t xml:space="preserve">Two months of </w:t>
      </w:r>
      <w:r w:rsidRPr="00BE4424">
        <w:rPr>
          <w:rFonts w:eastAsia="Calibri" w:cs="Times New Roman"/>
          <w:color w:val="auto"/>
          <w:szCs w:val="24"/>
        </w:rPr>
        <w:t>physical therapy</w:t>
      </w:r>
      <w:r w:rsidR="00BA3BAC" w:rsidRPr="00BE4424">
        <w:rPr>
          <w:rFonts w:eastAsia="Calibri" w:cs="Times New Roman"/>
          <w:color w:val="auto"/>
          <w:szCs w:val="24"/>
        </w:rPr>
        <w:t xml:space="preserve"> provided little pain relief and he was being managed with muscle relaxers and non-steroidal anti-inflammatory drugs and self care.  </w:t>
      </w:r>
      <w:r w:rsidRPr="00BE4424">
        <w:rPr>
          <w:rFonts w:eastAsia="Calibri" w:cs="Times New Roman"/>
          <w:color w:val="auto"/>
          <w:szCs w:val="24"/>
        </w:rPr>
        <w:t>Imaging</w:t>
      </w:r>
      <w:r w:rsidR="00BA3BAC" w:rsidRPr="00BE4424">
        <w:rPr>
          <w:rFonts w:eastAsia="Calibri" w:cs="Times New Roman"/>
          <w:color w:val="auto"/>
          <w:szCs w:val="24"/>
        </w:rPr>
        <w:t xml:space="preserve"> showed mild kyphosis of the t</w:t>
      </w:r>
      <w:r w:rsidRPr="00BE4424">
        <w:rPr>
          <w:rFonts w:eastAsia="Calibri" w:cs="Times New Roman"/>
          <w:color w:val="auto"/>
          <w:szCs w:val="24"/>
        </w:rPr>
        <w:t xml:space="preserve">horacic spine, </w:t>
      </w:r>
      <w:r w:rsidR="00BA3BAC" w:rsidRPr="00BE4424">
        <w:rPr>
          <w:rFonts w:eastAsia="Calibri" w:cs="Times New Roman"/>
          <w:color w:val="auto"/>
          <w:szCs w:val="24"/>
        </w:rPr>
        <w:t xml:space="preserve">with </w:t>
      </w:r>
      <w:r w:rsidRPr="00BE4424">
        <w:rPr>
          <w:rFonts w:eastAsia="Calibri" w:cs="Times New Roman"/>
          <w:color w:val="auto"/>
          <w:szCs w:val="24"/>
        </w:rPr>
        <w:t xml:space="preserve">no significant degenerative or </w:t>
      </w:r>
      <w:r w:rsidR="00BA3BAC" w:rsidRPr="00BE4424">
        <w:rPr>
          <w:rFonts w:eastAsia="Calibri" w:cs="Times New Roman"/>
          <w:color w:val="auto"/>
          <w:szCs w:val="24"/>
        </w:rPr>
        <w:t xml:space="preserve">disc </w:t>
      </w:r>
      <w:r w:rsidRPr="00BE4424">
        <w:rPr>
          <w:rFonts w:eastAsia="Calibri" w:cs="Times New Roman"/>
          <w:color w:val="auto"/>
          <w:szCs w:val="24"/>
        </w:rPr>
        <w:t>disease</w:t>
      </w:r>
      <w:r w:rsidR="00BA3BAC" w:rsidRPr="00BE4424">
        <w:rPr>
          <w:rFonts w:eastAsia="Calibri" w:cs="Times New Roman"/>
          <w:color w:val="auto"/>
          <w:szCs w:val="24"/>
        </w:rPr>
        <w:t xml:space="preserve">. </w:t>
      </w:r>
      <w:r w:rsidRPr="00BE4424">
        <w:rPr>
          <w:rFonts w:eastAsia="Calibri" w:cs="Times New Roman"/>
          <w:color w:val="auto"/>
          <w:szCs w:val="24"/>
        </w:rPr>
        <w:t xml:space="preserve"> </w:t>
      </w:r>
      <w:r w:rsidR="005D5A1B" w:rsidRPr="00BE4424">
        <w:rPr>
          <w:rFonts w:eastAsia="Calibri" w:cs="Times New Roman"/>
          <w:color w:val="auto"/>
          <w:szCs w:val="24"/>
        </w:rPr>
        <w:t xml:space="preserve">There was partial sacralization of L5.  </w:t>
      </w:r>
      <w:r w:rsidR="00BA3BAC" w:rsidRPr="00BE4424">
        <w:rPr>
          <w:rFonts w:eastAsia="Calibri" w:cs="Times New Roman"/>
          <w:color w:val="auto"/>
          <w:szCs w:val="24"/>
        </w:rPr>
        <w:t xml:space="preserve">Exam indicated painful forward flexion to 90⁰ (normal 90⁰) with pain-limited combined thoracolumbar ROM of 215⁰ (normal 240⁰).  There was mild bilateral paraspinal muscle spasm with mild tenderness to palpation.  </w:t>
      </w:r>
      <w:r w:rsidR="005D5A1B" w:rsidRPr="00BE4424">
        <w:rPr>
          <w:rFonts w:eastAsia="Calibri" w:cs="Times New Roman"/>
          <w:color w:val="auto"/>
          <w:szCs w:val="24"/>
        </w:rPr>
        <w:t xml:space="preserve">There was mildly antalgic gait favoring the left heel.  Straight leg </w:t>
      </w:r>
      <w:proofErr w:type="gramStart"/>
      <w:r w:rsidR="005D5A1B" w:rsidRPr="00BE4424">
        <w:rPr>
          <w:rFonts w:eastAsia="Calibri" w:cs="Times New Roman"/>
          <w:color w:val="auto"/>
          <w:szCs w:val="24"/>
        </w:rPr>
        <w:t>raising</w:t>
      </w:r>
      <w:proofErr w:type="gramEnd"/>
      <w:r w:rsidR="005D5A1B" w:rsidRPr="00BE4424">
        <w:rPr>
          <w:rFonts w:eastAsia="Calibri" w:cs="Times New Roman"/>
          <w:color w:val="auto"/>
          <w:szCs w:val="24"/>
        </w:rPr>
        <w:t xml:space="preserve"> was negative and there were no non-physiologic findings.  </w:t>
      </w:r>
      <w:r w:rsidR="00753D9E" w:rsidRPr="00BE4424">
        <w:rPr>
          <w:rFonts w:eastAsia="Calibri" w:cs="Times New Roman"/>
          <w:color w:val="auto"/>
          <w:szCs w:val="24"/>
        </w:rPr>
        <w:t>There were approximately 12 treatment notes for the back condition from June 2008 to separation; four notes indicated paraspinal muscle spasm</w:t>
      </w:r>
      <w:r w:rsidR="00335C55" w:rsidRPr="00BE4424">
        <w:rPr>
          <w:rFonts w:eastAsia="Calibri" w:cs="Times New Roman"/>
          <w:color w:val="auto"/>
          <w:szCs w:val="24"/>
        </w:rPr>
        <w:t xml:space="preserve">, and 2 indicated abnormal gait or abnormal spinal contour with the spasm.  </w:t>
      </w:r>
    </w:p>
    <w:p w:rsidR="00335C55" w:rsidRPr="00BE4424" w:rsidRDefault="00335C55" w:rsidP="003863E9">
      <w:pPr>
        <w:jc w:val="both"/>
        <w:rPr>
          <w:rFonts w:eastAsia="Calibri" w:cs="Times New Roman"/>
          <w:color w:val="auto"/>
          <w:szCs w:val="24"/>
        </w:rPr>
      </w:pPr>
    </w:p>
    <w:p w:rsidR="003863E9" w:rsidRPr="00BE4424" w:rsidRDefault="00753D9E" w:rsidP="003863E9">
      <w:pPr>
        <w:jc w:val="both"/>
        <w:rPr>
          <w:rFonts w:eastAsia="Calibri" w:cs="Times New Roman"/>
          <w:color w:val="auto"/>
          <w:szCs w:val="24"/>
        </w:rPr>
      </w:pPr>
      <w:r w:rsidRPr="00BE4424">
        <w:rPr>
          <w:rFonts w:eastAsia="Calibri" w:cs="Times New Roman"/>
          <w:color w:val="auto"/>
          <w:szCs w:val="24"/>
        </w:rPr>
        <w:t>At t</w:t>
      </w:r>
      <w:r w:rsidR="00BA3BAC" w:rsidRPr="00BE4424">
        <w:rPr>
          <w:rFonts w:eastAsia="Calibri" w:cs="Times New Roman"/>
          <w:color w:val="auto"/>
          <w:szCs w:val="24"/>
        </w:rPr>
        <w:t>he VA C&amp;P exam</w:t>
      </w:r>
      <w:r w:rsidR="00D768AB">
        <w:rPr>
          <w:rFonts w:eastAsia="Calibri" w:cs="Times New Roman"/>
          <w:color w:val="auto"/>
          <w:szCs w:val="24"/>
        </w:rPr>
        <w:t xml:space="preserve">, </w:t>
      </w:r>
      <w:r w:rsidRPr="00BE4424">
        <w:rPr>
          <w:rFonts w:eastAsia="Calibri" w:cs="Times New Roman"/>
          <w:color w:val="auto"/>
          <w:szCs w:val="24"/>
        </w:rPr>
        <w:t xml:space="preserve">the CI reported constant lumbar pain with “no associated features or symptoms.”  He stated he could not walk greater than 30 minutes and had difficulty with bending activities and could not run.  Exam </w:t>
      </w:r>
      <w:r w:rsidR="00BA3BAC" w:rsidRPr="00BE4424">
        <w:rPr>
          <w:rFonts w:eastAsia="Calibri" w:cs="Times New Roman"/>
          <w:color w:val="auto"/>
          <w:szCs w:val="24"/>
        </w:rPr>
        <w:t>documented full</w:t>
      </w:r>
      <w:r w:rsidRPr="00BE4424">
        <w:rPr>
          <w:rFonts w:eastAsia="Calibri" w:cs="Times New Roman"/>
          <w:color w:val="auto"/>
          <w:szCs w:val="24"/>
        </w:rPr>
        <w:t>, but</w:t>
      </w:r>
      <w:r w:rsidR="00BA3BAC" w:rsidRPr="00BE4424">
        <w:rPr>
          <w:rFonts w:eastAsia="Calibri" w:cs="Times New Roman"/>
          <w:color w:val="auto"/>
          <w:szCs w:val="24"/>
        </w:rPr>
        <w:t xml:space="preserve"> painful ROM with </w:t>
      </w:r>
      <w:r w:rsidRPr="00BE4424">
        <w:rPr>
          <w:rFonts w:eastAsia="Calibri" w:cs="Times New Roman"/>
          <w:color w:val="auto"/>
          <w:szCs w:val="24"/>
        </w:rPr>
        <w:t xml:space="preserve">back </w:t>
      </w:r>
      <w:r w:rsidR="00BA3BAC" w:rsidRPr="00BE4424">
        <w:rPr>
          <w:rFonts w:eastAsia="Calibri" w:cs="Times New Roman"/>
          <w:color w:val="auto"/>
          <w:szCs w:val="24"/>
        </w:rPr>
        <w:t>tenderness</w:t>
      </w:r>
      <w:r w:rsidRPr="00BE4424">
        <w:rPr>
          <w:rFonts w:eastAsia="Calibri" w:cs="Times New Roman"/>
          <w:color w:val="auto"/>
          <w:szCs w:val="24"/>
        </w:rPr>
        <w:t xml:space="preserve"> without muscle spasm</w:t>
      </w:r>
      <w:r w:rsidR="00BA3BAC" w:rsidRPr="00BE4424">
        <w:rPr>
          <w:rFonts w:eastAsia="Calibri" w:cs="Times New Roman"/>
          <w:color w:val="auto"/>
          <w:szCs w:val="24"/>
        </w:rPr>
        <w:t xml:space="preserve">.  Gait and sensory/motor exams were normal.  </w:t>
      </w:r>
      <w:r w:rsidR="001E02DB" w:rsidRPr="00BE4424">
        <w:rPr>
          <w:rFonts w:eastAsia="Calibri" w:cs="Times New Roman"/>
          <w:color w:val="auto"/>
          <w:szCs w:val="24"/>
        </w:rPr>
        <w:t xml:space="preserve">Radiographs (CAT </w:t>
      </w:r>
      <w:r w:rsidR="00D768AB">
        <w:rPr>
          <w:rFonts w:eastAsia="Calibri" w:cs="Times New Roman"/>
          <w:color w:val="auto"/>
          <w:szCs w:val="24"/>
        </w:rPr>
        <w:t>s</w:t>
      </w:r>
      <w:r w:rsidR="001E02DB" w:rsidRPr="00BE4424">
        <w:rPr>
          <w:rFonts w:eastAsia="Calibri" w:cs="Times New Roman"/>
          <w:color w:val="auto"/>
          <w:szCs w:val="24"/>
        </w:rPr>
        <w:t xml:space="preserve">can) </w:t>
      </w:r>
      <w:r w:rsidR="009F3DB4" w:rsidRPr="00BE4424">
        <w:rPr>
          <w:rFonts w:eastAsia="Calibri" w:cs="Times New Roman"/>
          <w:color w:val="auto"/>
          <w:szCs w:val="24"/>
        </w:rPr>
        <w:t>accomplished 29 months after separation</w:t>
      </w:r>
      <w:r w:rsidR="001E02DB" w:rsidRPr="00BE4424">
        <w:rPr>
          <w:rFonts w:eastAsia="Calibri" w:cs="Times New Roman"/>
          <w:color w:val="auto"/>
          <w:szCs w:val="24"/>
        </w:rPr>
        <w:t xml:space="preserve"> indicated a mild to moderate disc protrusion at L4-L5 indenting the thecal sac, but not encroaching on the nerve roots.  </w:t>
      </w:r>
    </w:p>
    <w:p w:rsidR="002D172F" w:rsidRPr="00BE4424" w:rsidRDefault="002D172F" w:rsidP="003863E9">
      <w:pPr>
        <w:jc w:val="both"/>
        <w:rPr>
          <w:rFonts w:eastAsia="Calibri" w:cs="Times New Roman"/>
          <w:color w:val="auto"/>
          <w:szCs w:val="24"/>
        </w:rPr>
      </w:pPr>
    </w:p>
    <w:p w:rsidR="003863E9" w:rsidRPr="00BE4424" w:rsidRDefault="00335C55" w:rsidP="00335C55">
      <w:pPr>
        <w:tabs>
          <w:tab w:val="left" w:pos="288"/>
          <w:tab w:val="left" w:pos="4752"/>
        </w:tabs>
        <w:jc w:val="both"/>
        <w:rPr>
          <w:rFonts w:cs="Times New Roman"/>
          <w:color w:val="auto"/>
        </w:rPr>
      </w:pPr>
      <w:r w:rsidRPr="00BE4424">
        <w:rPr>
          <w:rFonts w:cs="Times New Roman"/>
          <w:color w:val="auto"/>
        </w:rPr>
        <w:t>The Board directs attention to its fitness and rating recommendation based on the above evidence.  The VA exam</w:t>
      </w:r>
      <w:r w:rsidR="00D768AB">
        <w:rPr>
          <w:rFonts w:cs="Times New Roman"/>
          <w:color w:val="auto"/>
        </w:rPr>
        <w:t xml:space="preserve"> </w:t>
      </w:r>
      <w:r w:rsidRPr="00BE4424">
        <w:rPr>
          <w:rFonts w:cs="Times New Roman"/>
          <w:color w:val="auto"/>
        </w:rPr>
        <w:t xml:space="preserve">indicated some improvement of the CI’s back condition.  </w:t>
      </w:r>
      <w:r w:rsidRPr="00BE4424">
        <w:rPr>
          <w:rFonts w:eastAsia="Calibri" w:cs="Times New Roman"/>
          <w:color w:val="auto"/>
          <w:szCs w:val="24"/>
        </w:rPr>
        <w:t xml:space="preserve">Although it is possible that the back condition in combination with the left knee and left foot condition could have risen to the level of being unfitting; the duration of the </w:t>
      </w:r>
      <w:r w:rsidR="00D768AB">
        <w:rPr>
          <w:rFonts w:eastAsia="Calibri" w:cs="Times New Roman"/>
          <w:color w:val="auto"/>
          <w:szCs w:val="24"/>
        </w:rPr>
        <w:t>LBP</w:t>
      </w:r>
      <w:r w:rsidRPr="00BE4424">
        <w:rPr>
          <w:rFonts w:eastAsia="Calibri" w:cs="Times New Roman"/>
          <w:color w:val="auto"/>
          <w:szCs w:val="24"/>
        </w:rPr>
        <w:t xml:space="preserve">, underlying back pathology and weight of the evidence was not sufficient to indicate a preponderance of the evidence that it should have been determined to be unfitting at the time of separation.  </w:t>
      </w:r>
      <w:r w:rsidR="003863E9" w:rsidRPr="00BE4424">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contended </w:t>
      </w:r>
      <w:r w:rsidR="00D768AB">
        <w:rPr>
          <w:rFonts w:eastAsia="Calibri" w:cs="Times New Roman"/>
          <w:color w:val="auto"/>
          <w:szCs w:val="24"/>
        </w:rPr>
        <w:t>LBP</w:t>
      </w:r>
      <w:r w:rsidRPr="00BE4424">
        <w:rPr>
          <w:rFonts w:eastAsia="Calibri" w:cs="Times New Roman"/>
          <w:color w:val="auto"/>
          <w:szCs w:val="24"/>
        </w:rPr>
        <w:t xml:space="preserve"> condition</w:t>
      </w:r>
      <w:r w:rsidR="003863E9" w:rsidRPr="00BE4424">
        <w:rPr>
          <w:rFonts w:eastAsia="Calibri" w:cs="Times New Roman"/>
          <w:color w:val="auto"/>
          <w:szCs w:val="24"/>
        </w:rPr>
        <w:t>; and, therefore, no additional disability ratings can be recommended.</w:t>
      </w:r>
      <w:r w:rsidR="009D159D" w:rsidRPr="00BE4424">
        <w:rPr>
          <w:rFonts w:eastAsia="Calibri" w:cs="Times New Roman"/>
          <w:color w:val="auto"/>
          <w:szCs w:val="24"/>
        </w:rPr>
        <w:t xml:space="preserve">  </w:t>
      </w:r>
    </w:p>
    <w:p w:rsidR="003863E9" w:rsidRPr="00BE4424" w:rsidRDefault="003863E9" w:rsidP="003863E9">
      <w:pPr>
        <w:pBdr>
          <w:bottom w:val="single" w:sz="12" w:space="1" w:color="auto"/>
        </w:pBdr>
        <w:tabs>
          <w:tab w:val="left" w:pos="288"/>
          <w:tab w:val="left" w:pos="4752"/>
        </w:tabs>
        <w:jc w:val="both"/>
        <w:rPr>
          <w:color w:val="auto"/>
        </w:rPr>
      </w:pPr>
    </w:p>
    <w:p w:rsidR="00AD2379" w:rsidRPr="00BE4424" w:rsidRDefault="00AD2379" w:rsidP="006364ED">
      <w:pPr>
        <w:jc w:val="left"/>
        <w:rPr>
          <w:color w:val="auto"/>
        </w:rPr>
      </w:pPr>
    </w:p>
    <w:p w:rsidR="00417BED" w:rsidRPr="00BE4424" w:rsidRDefault="00AD2379" w:rsidP="00417BED">
      <w:pPr>
        <w:jc w:val="both"/>
        <w:rPr>
          <w:rFonts w:eastAsia="Calibri" w:cs="Times New Roman"/>
          <w:color w:val="auto"/>
          <w:szCs w:val="24"/>
        </w:rPr>
      </w:pPr>
      <w:r w:rsidRPr="00BE4424">
        <w:rPr>
          <w:color w:val="auto"/>
          <w:u w:val="single"/>
        </w:rPr>
        <w:t>BOARD FINDINGS</w:t>
      </w:r>
      <w:r w:rsidRPr="00BE4424">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BE4424">
        <w:rPr>
          <w:rFonts w:cs="Times New Roman"/>
          <w:color w:val="auto"/>
        </w:rPr>
        <w:t>.</w:t>
      </w:r>
      <w:r w:rsidR="006B690F" w:rsidRPr="00BE4424">
        <w:rPr>
          <w:rFonts w:cs="Times New Roman"/>
          <w:color w:val="auto"/>
        </w:rPr>
        <w:t xml:space="preserve">  </w:t>
      </w:r>
      <w:r w:rsidRPr="00BE4424">
        <w:rPr>
          <w:rFonts w:cs="Times New Roman"/>
          <w:color w:val="auto"/>
        </w:rPr>
        <w:t>The Board did not surmise from the record or PEB ruling in this case that any prerogatives outside the VASRD were exercised.</w:t>
      </w:r>
      <w:r w:rsidR="006B690F" w:rsidRPr="00BE4424">
        <w:rPr>
          <w:rFonts w:cs="Times New Roman"/>
          <w:color w:val="auto"/>
        </w:rPr>
        <w:t xml:space="preserve">  </w:t>
      </w:r>
      <w:r w:rsidR="00560F12" w:rsidRPr="00BE4424">
        <w:rPr>
          <w:rFonts w:eastAsia="Calibri" w:cs="Times New Roman"/>
          <w:color w:val="auto"/>
          <w:szCs w:val="24"/>
        </w:rPr>
        <w:t xml:space="preserve">In the matter of the </w:t>
      </w:r>
      <w:r w:rsidR="001E57BA" w:rsidRPr="00BE4424">
        <w:rPr>
          <w:rFonts w:eastAsia="Calibri" w:cs="Times New Roman"/>
          <w:color w:val="auto"/>
          <w:szCs w:val="24"/>
        </w:rPr>
        <w:t>left foot and left knee</w:t>
      </w:r>
      <w:r w:rsidR="00560F12" w:rsidRPr="00BE4424">
        <w:rPr>
          <w:rFonts w:eastAsia="Calibri" w:cs="Times New Roman"/>
          <w:color w:val="auto"/>
          <w:szCs w:val="24"/>
        </w:rPr>
        <w:t xml:space="preserve"> condition</w:t>
      </w:r>
      <w:r w:rsidR="001E57BA" w:rsidRPr="00BE4424">
        <w:rPr>
          <w:rFonts w:eastAsia="Calibri" w:cs="Times New Roman"/>
          <w:color w:val="auto"/>
          <w:szCs w:val="24"/>
        </w:rPr>
        <w:t>s</w:t>
      </w:r>
      <w:r w:rsidR="00560F12" w:rsidRPr="00BE4424">
        <w:rPr>
          <w:rFonts w:eastAsia="Calibri" w:cs="Times New Roman"/>
          <w:color w:val="auto"/>
          <w:szCs w:val="24"/>
        </w:rPr>
        <w:t xml:space="preserve"> and IAW VASRD §4.71a, the Board unanimously recommends no change in the PEB adjudication</w:t>
      </w:r>
      <w:r w:rsidR="001E57BA" w:rsidRPr="00BE4424">
        <w:rPr>
          <w:rFonts w:eastAsia="Calibri" w:cs="Times New Roman"/>
          <w:color w:val="auto"/>
          <w:szCs w:val="24"/>
        </w:rPr>
        <w:t>s</w:t>
      </w:r>
      <w:r w:rsidR="00560F12" w:rsidRPr="00BE4424">
        <w:rPr>
          <w:rFonts w:eastAsia="Calibri" w:cs="Times New Roman"/>
          <w:color w:val="auto"/>
          <w:szCs w:val="24"/>
        </w:rPr>
        <w:t>.</w:t>
      </w:r>
      <w:r w:rsidR="006B690F" w:rsidRPr="00BE4424">
        <w:rPr>
          <w:rFonts w:eastAsia="Calibri" w:cs="Times New Roman"/>
          <w:color w:val="auto"/>
          <w:szCs w:val="24"/>
        </w:rPr>
        <w:t xml:space="preserve">  </w:t>
      </w:r>
      <w:r w:rsidR="00560F12" w:rsidRPr="00BE4424">
        <w:rPr>
          <w:rFonts w:eastAsia="Calibri" w:cs="Times New Roman"/>
          <w:color w:val="auto"/>
          <w:szCs w:val="24"/>
        </w:rPr>
        <w:t xml:space="preserve">In the matter of the contended </w:t>
      </w:r>
      <w:r w:rsidR="001E57BA" w:rsidRPr="00BE4424">
        <w:rPr>
          <w:rFonts w:eastAsia="Calibri" w:cs="Times New Roman"/>
          <w:color w:val="auto"/>
          <w:szCs w:val="24"/>
        </w:rPr>
        <w:t>back</w:t>
      </w:r>
      <w:r w:rsidR="00560F12" w:rsidRPr="00BE4424">
        <w:rPr>
          <w:rFonts w:eastAsia="Calibri" w:cs="Times New Roman"/>
          <w:color w:val="auto"/>
          <w:szCs w:val="24"/>
        </w:rPr>
        <w:t xml:space="preserve"> condition, the Board unanimously </w:t>
      </w:r>
      <w:r w:rsidR="00417BED" w:rsidRPr="00BE4424">
        <w:rPr>
          <w:rFonts w:eastAsia="Calibri" w:cs="Times New Roman"/>
          <w:color w:val="auto"/>
          <w:szCs w:val="24"/>
        </w:rPr>
        <w:t xml:space="preserve">recommends no change from the PEB </w:t>
      </w:r>
      <w:r w:rsidR="00417BED" w:rsidRPr="00BE4424">
        <w:rPr>
          <w:rFonts w:eastAsia="Calibri" w:cs="Times New Roman"/>
          <w:color w:val="auto"/>
          <w:szCs w:val="24"/>
        </w:rPr>
        <w:lastRenderedPageBreak/>
        <w:t>determination as not unfitting.</w:t>
      </w:r>
      <w:r w:rsidR="00165C7B" w:rsidRPr="00BE4424">
        <w:rPr>
          <w:rFonts w:eastAsia="Calibri" w:cs="Times New Roman"/>
          <w:color w:val="auto"/>
          <w:szCs w:val="24"/>
        </w:rPr>
        <w:t xml:space="preserve">  </w:t>
      </w:r>
      <w:r w:rsidR="00417BED" w:rsidRPr="00BE4424">
        <w:rPr>
          <w:rFonts w:eastAsia="Calibri" w:cs="Times New Roman"/>
          <w:color w:val="auto"/>
          <w:szCs w:val="24"/>
        </w:rPr>
        <w:t>There were no other conditions within the Board’s scope of review for consideration.</w:t>
      </w:r>
      <w:r w:rsidR="00165C7B" w:rsidRPr="00BE4424">
        <w:rPr>
          <w:rFonts w:eastAsia="Calibri" w:cs="Times New Roman"/>
          <w:color w:val="auto"/>
          <w:szCs w:val="24"/>
        </w:rPr>
        <w:t xml:space="preserve">  </w:t>
      </w:r>
    </w:p>
    <w:p w:rsidR="00AD2379" w:rsidRPr="00BE4424" w:rsidRDefault="00AD2379" w:rsidP="00BF0E94">
      <w:pPr>
        <w:pBdr>
          <w:bottom w:val="single" w:sz="12" w:space="1" w:color="auto"/>
        </w:pBdr>
        <w:tabs>
          <w:tab w:val="left" w:pos="288"/>
          <w:tab w:val="left" w:pos="4752"/>
        </w:tabs>
        <w:jc w:val="both"/>
        <w:rPr>
          <w:color w:val="auto"/>
        </w:rPr>
      </w:pPr>
    </w:p>
    <w:p w:rsidR="00AD2379" w:rsidRPr="00BE4424" w:rsidRDefault="00AD2379" w:rsidP="006364ED">
      <w:pPr>
        <w:jc w:val="left"/>
        <w:rPr>
          <w:color w:val="auto"/>
        </w:rPr>
      </w:pPr>
    </w:p>
    <w:p w:rsidR="00AD2379" w:rsidRPr="00BE4424" w:rsidRDefault="00BE4424" w:rsidP="00B22D42">
      <w:pPr>
        <w:jc w:val="left"/>
        <w:rPr>
          <w:color w:val="auto"/>
        </w:rPr>
      </w:pPr>
      <w:r w:rsidRPr="00BE4424">
        <w:rPr>
          <w:color w:val="auto"/>
          <w:u w:val="single"/>
        </w:rPr>
        <w:br w:type="page"/>
      </w:r>
      <w:r w:rsidR="00AD2379" w:rsidRPr="00BE4424">
        <w:rPr>
          <w:color w:val="auto"/>
          <w:u w:val="single"/>
        </w:rPr>
        <w:lastRenderedPageBreak/>
        <w:t>RECOMMENDATION</w:t>
      </w:r>
      <w:r w:rsidR="00AD2379" w:rsidRPr="00BE4424">
        <w:rPr>
          <w:color w:val="auto"/>
        </w:rPr>
        <w:t xml:space="preserve">: </w:t>
      </w:r>
      <w:r w:rsidR="006B690F" w:rsidRPr="00BE4424">
        <w:rPr>
          <w:color w:val="auto"/>
        </w:rPr>
        <w:t xml:space="preserve"> </w:t>
      </w:r>
      <w:r w:rsidR="00AD2379" w:rsidRPr="00BE4424">
        <w:rPr>
          <w:color w:val="auto"/>
        </w:rPr>
        <w:t>The Board, therefore, recommends that there be no recharacterization of the CI’s disability and separation determination, as follows:</w:t>
      </w:r>
      <w:r w:rsidR="006B690F" w:rsidRPr="00BE4424">
        <w:rPr>
          <w:color w:val="auto"/>
        </w:rPr>
        <w:t xml:space="preserve">  </w:t>
      </w:r>
    </w:p>
    <w:p w:rsidR="00AD2379" w:rsidRPr="00BE4424"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BE4424" w:rsidTr="006B690F">
        <w:trPr>
          <w:trHeight w:val="233"/>
          <w:jc w:val="center"/>
        </w:trPr>
        <w:tc>
          <w:tcPr>
            <w:tcW w:w="6768" w:type="dxa"/>
            <w:shd w:val="clear" w:color="auto" w:fill="D9D9D9"/>
            <w:vAlign w:val="center"/>
          </w:tcPr>
          <w:p w:rsidR="00AD2379" w:rsidRPr="00BE4424" w:rsidRDefault="00AD2379" w:rsidP="006B690F">
            <w:pPr>
              <w:tabs>
                <w:tab w:val="left" w:pos="288"/>
                <w:tab w:val="left" w:pos="4752"/>
              </w:tabs>
              <w:rPr>
                <w:b/>
                <w:color w:val="auto"/>
              </w:rPr>
            </w:pPr>
            <w:r w:rsidRPr="00BE4424">
              <w:rPr>
                <w:b/>
                <w:color w:val="auto"/>
              </w:rPr>
              <w:t>UNFITTING CONDITION</w:t>
            </w:r>
          </w:p>
        </w:tc>
        <w:tc>
          <w:tcPr>
            <w:tcW w:w="1530" w:type="dxa"/>
            <w:shd w:val="clear" w:color="auto" w:fill="D9D9D9"/>
            <w:vAlign w:val="center"/>
          </w:tcPr>
          <w:p w:rsidR="00AD2379" w:rsidRPr="00BE4424" w:rsidRDefault="00AD2379" w:rsidP="006B690F">
            <w:pPr>
              <w:tabs>
                <w:tab w:val="left" w:pos="288"/>
                <w:tab w:val="left" w:pos="4752"/>
              </w:tabs>
              <w:rPr>
                <w:b/>
                <w:color w:val="auto"/>
              </w:rPr>
            </w:pPr>
            <w:r w:rsidRPr="00BE4424">
              <w:rPr>
                <w:b/>
                <w:color w:val="auto"/>
              </w:rPr>
              <w:t>VASRD CODE</w:t>
            </w:r>
          </w:p>
        </w:tc>
        <w:tc>
          <w:tcPr>
            <w:tcW w:w="1026" w:type="dxa"/>
            <w:shd w:val="clear" w:color="auto" w:fill="D9D9D9"/>
            <w:vAlign w:val="center"/>
          </w:tcPr>
          <w:p w:rsidR="00AD2379" w:rsidRPr="00BE4424" w:rsidRDefault="00AD2379" w:rsidP="006B690F">
            <w:pPr>
              <w:tabs>
                <w:tab w:val="left" w:pos="288"/>
                <w:tab w:val="left" w:pos="4752"/>
              </w:tabs>
              <w:rPr>
                <w:b/>
                <w:color w:val="auto"/>
              </w:rPr>
            </w:pPr>
            <w:r w:rsidRPr="00BE4424">
              <w:rPr>
                <w:b/>
                <w:color w:val="auto"/>
              </w:rPr>
              <w:t>RATING</w:t>
            </w:r>
          </w:p>
        </w:tc>
      </w:tr>
      <w:tr w:rsidR="001E02DB" w:rsidRPr="00BE4424" w:rsidTr="006B690F">
        <w:trPr>
          <w:jc w:val="center"/>
        </w:trPr>
        <w:tc>
          <w:tcPr>
            <w:tcW w:w="6768" w:type="dxa"/>
            <w:vAlign w:val="center"/>
          </w:tcPr>
          <w:p w:rsidR="001E02DB" w:rsidRPr="00BE4424" w:rsidRDefault="001E02DB" w:rsidP="001E02DB">
            <w:pPr>
              <w:tabs>
                <w:tab w:val="left" w:pos="288"/>
                <w:tab w:val="left" w:pos="4752"/>
              </w:tabs>
              <w:jc w:val="left"/>
              <w:rPr>
                <w:color w:val="auto"/>
              </w:rPr>
            </w:pPr>
            <w:r w:rsidRPr="00BE4424">
              <w:rPr>
                <w:color w:val="auto"/>
              </w:rPr>
              <w:t>Chronic Left Foot Pain Status Post Plantar Fascia Release</w:t>
            </w:r>
          </w:p>
        </w:tc>
        <w:tc>
          <w:tcPr>
            <w:tcW w:w="1530" w:type="dxa"/>
            <w:vAlign w:val="center"/>
          </w:tcPr>
          <w:p w:rsidR="001E02DB" w:rsidRPr="00BE4424" w:rsidRDefault="001E02DB" w:rsidP="001E02DB">
            <w:pPr>
              <w:tabs>
                <w:tab w:val="left" w:pos="288"/>
                <w:tab w:val="left" w:pos="4752"/>
              </w:tabs>
              <w:rPr>
                <w:color w:val="auto"/>
              </w:rPr>
            </w:pPr>
            <w:r w:rsidRPr="00BE4424">
              <w:rPr>
                <w:color w:val="auto"/>
              </w:rPr>
              <w:t>5299-5284</w:t>
            </w:r>
          </w:p>
        </w:tc>
        <w:tc>
          <w:tcPr>
            <w:tcW w:w="1026" w:type="dxa"/>
            <w:vAlign w:val="center"/>
          </w:tcPr>
          <w:p w:rsidR="001E02DB" w:rsidRPr="00BE4424" w:rsidRDefault="001E02DB" w:rsidP="001E02DB">
            <w:pPr>
              <w:tabs>
                <w:tab w:val="left" w:pos="288"/>
                <w:tab w:val="left" w:pos="4752"/>
              </w:tabs>
              <w:rPr>
                <w:color w:val="auto"/>
              </w:rPr>
            </w:pPr>
            <w:r w:rsidRPr="00BE4424">
              <w:rPr>
                <w:color w:val="auto"/>
              </w:rPr>
              <w:t>10%</w:t>
            </w:r>
          </w:p>
        </w:tc>
      </w:tr>
      <w:tr w:rsidR="001E02DB" w:rsidRPr="00BE4424" w:rsidTr="006B690F">
        <w:trPr>
          <w:jc w:val="center"/>
        </w:trPr>
        <w:tc>
          <w:tcPr>
            <w:tcW w:w="6768" w:type="dxa"/>
            <w:vAlign w:val="center"/>
          </w:tcPr>
          <w:p w:rsidR="001E02DB" w:rsidRPr="00BE4424" w:rsidRDefault="001E02DB" w:rsidP="001E02DB">
            <w:pPr>
              <w:tabs>
                <w:tab w:val="left" w:pos="288"/>
                <w:tab w:val="left" w:pos="4752"/>
              </w:tabs>
              <w:jc w:val="left"/>
              <w:rPr>
                <w:color w:val="auto"/>
              </w:rPr>
            </w:pPr>
            <w:r w:rsidRPr="00BE4424">
              <w:rPr>
                <w:color w:val="auto"/>
              </w:rPr>
              <w:t>Chronic Left Knee Pain Status Post Arthroscopy To Correct Medial Meniscal-Tear And Fat Pad Excision</w:t>
            </w:r>
          </w:p>
        </w:tc>
        <w:tc>
          <w:tcPr>
            <w:tcW w:w="1530" w:type="dxa"/>
            <w:vAlign w:val="center"/>
          </w:tcPr>
          <w:p w:rsidR="001E02DB" w:rsidRPr="00BE4424" w:rsidRDefault="001E02DB" w:rsidP="001E02DB">
            <w:pPr>
              <w:tabs>
                <w:tab w:val="left" w:pos="288"/>
                <w:tab w:val="left" w:pos="4752"/>
              </w:tabs>
              <w:rPr>
                <w:color w:val="auto"/>
              </w:rPr>
            </w:pPr>
            <w:r w:rsidRPr="00BE4424">
              <w:rPr>
                <w:color w:val="auto"/>
              </w:rPr>
              <w:t>5099-5003</w:t>
            </w:r>
          </w:p>
        </w:tc>
        <w:tc>
          <w:tcPr>
            <w:tcW w:w="1026" w:type="dxa"/>
            <w:vAlign w:val="center"/>
          </w:tcPr>
          <w:p w:rsidR="001E02DB" w:rsidRPr="00BE4424" w:rsidRDefault="001E02DB" w:rsidP="001E02DB">
            <w:pPr>
              <w:tabs>
                <w:tab w:val="left" w:pos="288"/>
                <w:tab w:val="left" w:pos="4752"/>
              </w:tabs>
              <w:rPr>
                <w:color w:val="auto"/>
              </w:rPr>
            </w:pPr>
            <w:r w:rsidRPr="00BE4424">
              <w:rPr>
                <w:color w:val="auto"/>
              </w:rPr>
              <w:t>10%</w:t>
            </w:r>
          </w:p>
        </w:tc>
      </w:tr>
      <w:tr w:rsidR="00AD2379" w:rsidRPr="00BE4424"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BE4424" w:rsidRDefault="00AD2379" w:rsidP="006B690F">
            <w:pPr>
              <w:tabs>
                <w:tab w:val="left" w:pos="288"/>
                <w:tab w:val="left" w:pos="4752"/>
              </w:tabs>
              <w:rPr>
                <w:b/>
                <w:color w:val="auto"/>
              </w:rPr>
            </w:pPr>
            <w:r w:rsidRPr="00BE4424">
              <w:rPr>
                <w:b/>
                <w:color w:val="auto"/>
              </w:rPr>
              <w:t>COMBINED</w:t>
            </w:r>
          </w:p>
        </w:tc>
        <w:tc>
          <w:tcPr>
            <w:tcW w:w="1026" w:type="dxa"/>
            <w:shd w:val="clear" w:color="auto" w:fill="D9D9D9"/>
            <w:vAlign w:val="center"/>
          </w:tcPr>
          <w:p w:rsidR="00AD2379" w:rsidRPr="00BE4424" w:rsidRDefault="001E02DB" w:rsidP="006B690F">
            <w:pPr>
              <w:tabs>
                <w:tab w:val="left" w:pos="288"/>
                <w:tab w:val="left" w:pos="4752"/>
              </w:tabs>
              <w:rPr>
                <w:b/>
                <w:color w:val="auto"/>
              </w:rPr>
            </w:pPr>
            <w:r w:rsidRPr="00BE4424">
              <w:rPr>
                <w:b/>
                <w:color w:val="auto"/>
              </w:rPr>
              <w:t>2</w:t>
            </w:r>
            <w:r w:rsidR="00AD2379" w:rsidRPr="00BE4424">
              <w:rPr>
                <w:b/>
                <w:color w:val="auto"/>
              </w:rPr>
              <w:t>0%</w:t>
            </w:r>
          </w:p>
        </w:tc>
      </w:tr>
    </w:tbl>
    <w:p w:rsidR="00AD2379" w:rsidRPr="00BE4424" w:rsidRDefault="00AD2379" w:rsidP="006B690F">
      <w:pPr>
        <w:pBdr>
          <w:bottom w:val="single" w:sz="12" w:space="1" w:color="auto"/>
        </w:pBdr>
        <w:tabs>
          <w:tab w:val="left" w:pos="288"/>
          <w:tab w:val="left" w:pos="4752"/>
        </w:tabs>
        <w:jc w:val="both"/>
        <w:rPr>
          <w:color w:val="auto"/>
        </w:rPr>
      </w:pPr>
    </w:p>
    <w:p w:rsidR="00AD2379" w:rsidRPr="00BE4424" w:rsidRDefault="00AD2379" w:rsidP="006B690F">
      <w:pPr>
        <w:jc w:val="both"/>
        <w:rPr>
          <w:color w:val="auto"/>
        </w:rPr>
      </w:pPr>
    </w:p>
    <w:p w:rsidR="00AD2379" w:rsidRPr="00BE4424" w:rsidRDefault="00AD2379" w:rsidP="006B690F">
      <w:pPr>
        <w:tabs>
          <w:tab w:val="left" w:pos="288"/>
          <w:tab w:val="left" w:pos="4752"/>
        </w:tabs>
        <w:jc w:val="both"/>
        <w:rPr>
          <w:color w:val="auto"/>
        </w:rPr>
      </w:pPr>
      <w:r w:rsidRPr="00BE4424">
        <w:rPr>
          <w:color w:val="auto"/>
        </w:rPr>
        <w:t>The following documentary evidence was considered:</w:t>
      </w:r>
    </w:p>
    <w:p w:rsidR="005144A7" w:rsidRPr="00BE4424" w:rsidRDefault="005144A7" w:rsidP="006B690F">
      <w:pPr>
        <w:tabs>
          <w:tab w:val="left" w:pos="288"/>
          <w:tab w:val="left" w:pos="4752"/>
        </w:tabs>
        <w:jc w:val="both"/>
        <w:rPr>
          <w:color w:val="auto"/>
        </w:rPr>
      </w:pPr>
    </w:p>
    <w:p w:rsidR="00AD2379" w:rsidRPr="00BE4424" w:rsidRDefault="00AD2379" w:rsidP="006B690F">
      <w:pPr>
        <w:tabs>
          <w:tab w:val="left" w:pos="288"/>
          <w:tab w:val="left" w:pos="4752"/>
        </w:tabs>
        <w:jc w:val="both"/>
        <w:rPr>
          <w:color w:val="auto"/>
        </w:rPr>
      </w:pPr>
      <w:r w:rsidRPr="00BE4424">
        <w:rPr>
          <w:color w:val="auto"/>
        </w:rPr>
        <w:t>Exhibit A.  DD Form 294, dated 20</w:t>
      </w:r>
      <w:r w:rsidR="006866D2" w:rsidRPr="00BE4424">
        <w:rPr>
          <w:color w:val="auto"/>
        </w:rPr>
        <w:t>110926</w:t>
      </w:r>
      <w:r w:rsidR="00ED7820" w:rsidRPr="00BE4424">
        <w:rPr>
          <w:color w:val="auto"/>
        </w:rPr>
        <w:t>, w/atchs</w:t>
      </w:r>
    </w:p>
    <w:p w:rsidR="00AD2379" w:rsidRPr="00BE4424" w:rsidRDefault="00AD2379" w:rsidP="006B690F">
      <w:pPr>
        <w:tabs>
          <w:tab w:val="left" w:pos="288"/>
          <w:tab w:val="left" w:pos="4752"/>
        </w:tabs>
        <w:jc w:val="both"/>
        <w:rPr>
          <w:color w:val="auto"/>
        </w:rPr>
      </w:pPr>
      <w:r w:rsidRPr="00BE4424">
        <w:rPr>
          <w:color w:val="auto"/>
        </w:rPr>
        <w:t>Exhib</w:t>
      </w:r>
      <w:r w:rsidR="00ED7820" w:rsidRPr="00BE4424">
        <w:rPr>
          <w:color w:val="auto"/>
        </w:rPr>
        <w:t>it B.  Service Treatment Record</w:t>
      </w:r>
    </w:p>
    <w:p w:rsidR="00AD2379" w:rsidRPr="00BE4424" w:rsidRDefault="00AD2379" w:rsidP="006B690F">
      <w:pPr>
        <w:tabs>
          <w:tab w:val="left" w:pos="288"/>
          <w:tab w:val="left" w:pos="4752"/>
        </w:tabs>
        <w:jc w:val="both"/>
        <w:rPr>
          <w:color w:val="auto"/>
        </w:rPr>
      </w:pPr>
      <w:r w:rsidRPr="00BE4424">
        <w:rPr>
          <w:color w:val="auto"/>
        </w:rPr>
        <w:t>Exhibit C.  Department of Veterans</w:t>
      </w:r>
      <w:r w:rsidR="00ED7820" w:rsidRPr="00BE4424">
        <w:rPr>
          <w:color w:val="auto"/>
        </w:rPr>
        <w:t>’ Affairs Treatment Record</w:t>
      </w:r>
    </w:p>
    <w:p w:rsidR="00AD2379" w:rsidRPr="00BE4424" w:rsidRDefault="00AD2379" w:rsidP="006B690F">
      <w:pPr>
        <w:tabs>
          <w:tab w:val="left" w:pos="288"/>
          <w:tab w:val="left" w:pos="4752"/>
        </w:tabs>
        <w:jc w:val="both"/>
        <w:rPr>
          <w:color w:val="auto"/>
        </w:rPr>
      </w:pPr>
    </w:p>
    <w:p w:rsidR="00AD2379" w:rsidRPr="00BE4424" w:rsidRDefault="00AD2379" w:rsidP="006B690F">
      <w:pPr>
        <w:tabs>
          <w:tab w:val="left" w:pos="288"/>
          <w:tab w:val="left" w:pos="4752"/>
        </w:tabs>
        <w:jc w:val="both"/>
        <w:rPr>
          <w:color w:val="auto"/>
        </w:rPr>
      </w:pPr>
    </w:p>
    <w:p w:rsidR="00AD2379" w:rsidRPr="00BE4424" w:rsidRDefault="00AD2379" w:rsidP="006B690F">
      <w:pPr>
        <w:tabs>
          <w:tab w:val="left" w:pos="288"/>
          <w:tab w:val="left" w:pos="4752"/>
        </w:tabs>
        <w:jc w:val="both"/>
        <w:rPr>
          <w:color w:val="auto"/>
        </w:rPr>
      </w:pPr>
    </w:p>
    <w:p w:rsidR="00AD2379" w:rsidRPr="00BE4424" w:rsidRDefault="00AD2379" w:rsidP="006B690F">
      <w:pPr>
        <w:tabs>
          <w:tab w:val="left" w:pos="288"/>
          <w:tab w:val="left" w:pos="4752"/>
        </w:tabs>
        <w:jc w:val="both"/>
        <w:rPr>
          <w:color w:val="auto"/>
        </w:rPr>
      </w:pPr>
    </w:p>
    <w:p w:rsidR="00AD2379" w:rsidRPr="00BE4424" w:rsidRDefault="00AD2379" w:rsidP="006B690F">
      <w:pPr>
        <w:tabs>
          <w:tab w:val="left" w:pos="0"/>
          <w:tab w:val="left" w:pos="4320"/>
        </w:tabs>
        <w:jc w:val="both"/>
        <w:rPr>
          <w:color w:val="auto"/>
        </w:rPr>
      </w:pPr>
      <w:r w:rsidRPr="00BE4424">
        <w:rPr>
          <w:color w:val="auto"/>
        </w:rPr>
        <w:tab/>
        <w:t xml:space="preserve">           </w:t>
      </w:r>
      <w:r w:rsidR="00444B0F">
        <w:rPr>
          <w:color w:val="auto"/>
        </w:rPr>
        <w:t>XXXXXXXXXXXXXXXX</w:t>
      </w:r>
    </w:p>
    <w:p w:rsidR="00AD2379" w:rsidRPr="00BE4424" w:rsidRDefault="00AD2379" w:rsidP="006B690F">
      <w:pPr>
        <w:tabs>
          <w:tab w:val="left" w:pos="0"/>
          <w:tab w:val="left" w:pos="4320"/>
        </w:tabs>
        <w:jc w:val="both"/>
        <w:rPr>
          <w:color w:val="auto"/>
        </w:rPr>
      </w:pPr>
      <w:r w:rsidRPr="00BE4424">
        <w:rPr>
          <w:color w:val="auto"/>
        </w:rPr>
        <w:tab/>
        <w:t xml:space="preserve">           President</w:t>
      </w:r>
    </w:p>
    <w:p w:rsidR="00444B0F" w:rsidRDefault="00AD2379" w:rsidP="00BF0E94">
      <w:pPr>
        <w:tabs>
          <w:tab w:val="left" w:pos="0"/>
          <w:tab w:val="left" w:pos="4320"/>
        </w:tabs>
        <w:jc w:val="both"/>
        <w:rPr>
          <w:color w:val="auto"/>
        </w:rPr>
      </w:pPr>
      <w:r w:rsidRPr="00BE4424">
        <w:rPr>
          <w:color w:val="auto"/>
        </w:rPr>
        <w:tab/>
        <w:t xml:space="preserve">           Physical Disability Board of Review</w:t>
      </w:r>
    </w:p>
    <w:p w:rsidR="00444B0F" w:rsidRDefault="00444B0F" w:rsidP="00444B0F">
      <w:pPr>
        <w:sectPr w:rsidR="00444B0F">
          <w:pgSz w:w="12240" w:h="15840"/>
          <w:pgMar w:top="2160" w:right="1440" w:bottom="1440" w:left="1440" w:header="720" w:footer="720" w:gutter="0"/>
          <w:cols w:space="720"/>
        </w:sectPr>
      </w:pPr>
    </w:p>
    <w:p w:rsidR="00444B0F" w:rsidRDefault="00444B0F" w:rsidP="00444B0F">
      <w:pPr>
        <w:pStyle w:val="Header"/>
        <w:tabs>
          <w:tab w:val="left" w:pos="720"/>
        </w:tabs>
        <w:jc w:val="left"/>
      </w:pPr>
      <w:r>
        <w:lastRenderedPageBreak/>
        <w:t>SFMR-RB</w:t>
      </w:r>
      <w:r>
        <w:tab/>
      </w:r>
      <w:r>
        <w:tab/>
      </w:r>
      <w:r>
        <w:tab/>
      </w:r>
      <w:r>
        <w:tab/>
      </w:r>
      <w:r>
        <w:tab/>
      </w:r>
      <w:r>
        <w:tab/>
      </w:r>
      <w:r>
        <w:tab/>
      </w:r>
      <w:r>
        <w:tab/>
      </w:r>
      <w:r>
        <w:tab/>
      </w:r>
    </w:p>
    <w:p w:rsidR="00444B0F" w:rsidRDefault="00444B0F" w:rsidP="00444B0F">
      <w:pPr>
        <w:pStyle w:val="Header"/>
        <w:tabs>
          <w:tab w:val="left" w:pos="720"/>
        </w:tabs>
        <w:jc w:val="left"/>
      </w:pPr>
    </w:p>
    <w:p w:rsidR="00444B0F" w:rsidRDefault="00444B0F" w:rsidP="00444B0F">
      <w:pPr>
        <w:jc w:val="left"/>
      </w:pPr>
    </w:p>
    <w:p w:rsidR="00444B0F" w:rsidRDefault="00444B0F" w:rsidP="00444B0F">
      <w:pPr>
        <w:jc w:val="left"/>
      </w:pPr>
      <w:r>
        <w:t xml:space="preserve">MEMORANDUM FOR Commander, US Army Physical Disability Agency </w:t>
      </w:r>
    </w:p>
    <w:p w:rsidR="00444B0F" w:rsidRDefault="00444B0F" w:rsidP="00444B0F">
      <w:pPr>
        <w:jc w:val="left"/>
      </w:pPr>
      <w:r>
        <w:t xml:space="preserve">(TAPD-ZB </w:t>
      </w:r>
      <w:proofErr w:type="gramStart"/>
      <w:r>
        <w:t>/  )</w:t>
      </w:r>
      <w:proofErr w:type="gramEnd"/>
      <w:r>
        <w:t>, 2900 Crystal Drive, Suite 300, Arlington, VA  22202</w:t>
      </w:r>
    </w:p>
    <w:p w:rsidR="00444B0F" w:rsidRDefault="00444B0F" w:rsidP="00444B0F">
      <w:pPr>
        <w:jc w:val="left"/>
      </w:pPr>
    </w:p>
    <w:p w:rsidR="00444B0F" w:rsidRDefault="00444B0F" w:rsidP="00444B0F">
      <w:pPr>
        <w:ind w:right="-180"/>
        <w:jc w:val="left"/>
      </w:pPr>
      <w:r>
        <w:t>SUBJECT:  Department of Defense Physical Disability Board of Review Recommendation for XXXXXXXXXXXXXXXXXXXXXXXXXXX, AR20120014287 (PD201100891)</w:t>
      </w:r>
    </w:p>
    <w:p w:rsidR="00444B0F" w:rsidRDefault="00444B0F" w:rsidP="00444B0F">
      <w:pPr>
        <w:pStyle w:val="Header"/>
        <w:tabs>
          <w:tab w:val="left" w:pos="720"/>
        </w:tabs>
        <w:jc w:val="left"/>
      </w:pPr>
    </w:p>
    <w:p w:rsidR="00444B0F" w:rsidRDefault="00444B0F" w:rsidP="00444B0F">
      <w:pPr>
        <w:jc w:val="left"/>
      </w:pPr>
    </w:p>
    <w:p w:rsidR="00444B0F" w:rsidRDefault="00444B0F" w:rsidP="00444B0F">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444B0F" w:rsidRDefault="00444B0F" w:rsidP="00444B0F">
      <w:pPr>
        <w:jc w:val="left"/>
      </w:pPr>
      <w:r>
        <w:t>This decision is final.  The individual concerned, counsel (if any), and any Members of Congress who have shown interest in this application have been notified of this decision by mail.</w:t>
      </w:r>
    </w:p>
    <w:p w:rsidR="00444B0F" w:rsidRDefault="00444B0F" w:rsidP="00444B0F">
      <w:pPr>
        <w:jc w:val="left"/>
      </w:pPr>
    </w:p>
    <w:p w:rsidR="00444B0F" w:rsidRDefault="00444B0F" w:rsidP="00444B0F">
      <w:pPr>
        <w:jc w:val="left"/>
      </w:pPr>
      <w:r>
        <w:t>BY ORDER OF THE SECRETARY OF THE ARMY:</w:t>
      </w:r>
    </w:p>
    <w:p w:rsidR="00444B0F" w:rsidRDefault="00444B0F" w:rsidP="00444B0F">
      <w:pPr>
        <w:jc w:val="left"/>
      </w:pPr>
    </w:p>
    <w:p w:rsidR="00444B0F" w:rsidRDefault="00444B0F" w:rsidP="00444B0F">
      <w:pPr>
        <w:jc w:val="left"/>
      </w:pPr>
    </w:p>
    <w:p w:rsidR="00444B0F" w:rsidRDefault="00444B0F" w:rsidP="00444B0F">
      <w:pPr>
        <w:pStyle w:val="Header"/>
        <w:tabs>
          <w:tab w:val="left" w:pos="720"/>
        </w:tabs>
        <w:jc w:val="left"/>
      </w:pPr>
    </w:p>
    <w:p w:rsidR="00444B0F" w:rsidRDefault="00444B0F" w:rsidP="00444B0F">
      <w:pPr>
        <w:jc w:val="left"/>
      </w:pPr>
    </w:p>
    <w:p w:rsidR="00444B0F" w:rsidRDefault="00444B0F" w:rsidP="00444B0F">
      <w:pPr>
        <w:jc w:val="left"/>
      </w:pPr>
      <w:bookmarkStart w:id="0" w:name="OLE_LINK4"/>
      <w:bookmarkStart w:id="1" w:name="OLE_LINK3"/>
      <w:r>
        <w:t>Encl</w:t>
      </w:r>
      <w:r>
        <w:tab/>
      </w:r>
      <w:r>
        <w:tab/>
      </w:r>
      <w:r>
        <w:tab/>
      </w:r>
      <w:r>
        <w:tab/>
      </w:r>
      <w:r>
        <w:tab/>
      </w:r>
      <w:r>
        <w:tab/>
        <w:t xml:space="preserve">     XXXXXXXXXXXXXXXXXXXXXX</w:t>
      </w:r>
    </w:p>
    <w:p w:rsidR="00444B0F" w:rsidRDefault="00444B0F" w:rsidP="00444B0F">
      <w:pPr>
        <w:jc w:val="left"/>
      </w:pPr>
      <w:r>
        <w:tab/>
      </w:r>
      <w:r>
        <w:tab/>
      </w:r>
      <w:r>
        <w:tab/>
      </w:r>
      <w:r>
        <w:tab/>
      </w:r>
      <w:r>
        <w:tab/>
      </w:r>
      <w:r>
        <w:tab/>
        <w:t xml:space="preserve">     Deputy Assistant Secretary</w:t>
      </w:r>
    </w:p>
    <w:p w:rsidR="00444B0F" w:rsidRDefault="00444B0F" w:rsidP="00444B0F">
      <w:pPr>
        <w:jc w:val="left"/>
      </w:pPr>
      <w:r>
        <w:tab/>
      </w:r>
      <w:r>
        <w:tab/>
      </w:r>
      <w:r>
        <w:tab/>
      </w:r>
      <w:r>
        <w:tab/>
      </w:r>
      <w:r>
        <w:tab/>
      </w:r>
      <w:r>
        <w:tab/>
        <w:t xml:space="preserve">         (Army Review Boards)</w:t>
      </w:r>
      <w:bookmarkEnd w:id="0"/>
      <w:bookmarkEnd w:id="1"/>
    </w:p>
    <w:p w:rsidR="00444B0F" w:rsidRDefault="00444B0F" w:rsidP="00444B0F">
      <w:pPr>
        <w:jc w:val="left"/>
      </w:pPr>
    </w:p>
    <w:p w:rsidR="00444B0F" w:rsidRDefault="00444B0F" w:rsidP="00444B0F">
      <w:pPr>
        <w:jc w:val="left"/>
      </w:pPr>
      <w:r>
        <w:t xml:space="preserve">CF: </w:t>
      </w:r>
    </w:p>
    <w:p w:rsidR="00444B0F" w:rsidRDefault="00444B0F" w:rsidP="00444B0F">
      <w:pPr>
        <w:jc w:val="left"/>
      </w:pPr>
      <w:r>
        <w:t xml:space="preserve">(  ) </w:t>
      </w:r>
      <w:proofErr w:type="spellStart"/>
      <w:proofErr w:type="gramStart"/>
      <w:r>
        <w:t>DoD</w:t>
      </w:r>
      <w:proofErr w:type="spellEnd"/>
      <w:proofErr w:type="gramEnd"/>
      <w:r>
        <w:t xml:space="preserve"> PDBR</w:t>
      </w:r>
    </w:p>
    <w:p w:rsidR="00444B0F" w:rsidRDefault="00444B0F" w:rsidP="00444B0F">
      <w:pPr>
        <w:jc w:val="left"/>
      </w:pPr>
      <w:r>
        <w:t>(  ) DVA</w:t>
      </w:r>
    </w:p>
    <w:p w:rsidR="00444B0F" w:rsidRDefault="00444B0F" w:rsidP="00444B0F"/>
    <w:p w:rsidR="00AD2379" w:rsidRPr="00BE4424" w:rsidRDefault="00AD2379" w:rsidP="00BF0E94">
      <w:pPr>
        <w:tabs>
          <w:tab w:val="left" w:pos="0"/>
          <w:tab w:val="left" w:pos="4320"/>
        </w:tabs>
        <w:jc w:val="both"/>
        <w:rPr>
          <w:color w:val="auto"/>
        </w:rPr>
      </w:pPr>
    </w:p>
    <w:sectPr w:rsidR="00AD2379" w:rsidRPr="00BE4424"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C7E" w:rsidRDefault="00871C7E">
      <w:r>
        <w:separator/>
      </w:r>
    </w:p>
  </w:endnote>
  <w:endnote w:type="continuationSeparator" w:id="0">
    <w:p w:rsidR="00871C7E" w:rsidRDefault="00871C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58" w:rsidRPr="00374247" w:rsidRDefault="00DD5558" w:rsidP="00726F84">
    <w:pPr>
      <w:pStyle w:val="Footer"/>
      <w:ind w:firstLine="4320"/>
      <w:rPr>
        <w:color w:val="auto"/>
      </w:rPr>
    </w:pPr>
    <w:r w:rsidRPr="00374247">
      <w:rPr>
        <w:color w:val="auto"/>
      </w:rPr>
      <w:t xml:space="preserve">   </w:t>
    </w:r>
    <w:fldSimple w:instr=" PAGE   \* MERGEFORMAT ">
      <w:r w:rsidR="00444B0F" w:rsidRPr="00444B0F">
        <w:rPr>
          <w:noProof/>
          <w:color w:val="auto"/>
        </w:rPr>
        <w:t>5</w:t>
      </w:r>
    </w:fldSimple>
    <w:r w:rsidRPr="00374247">
      <w:rPr>
        <w:color w:val="auto"/>
      </w:rPr>
      <w:t xml:space="preserve">                                                           </w:t>
    </w:r>
    <w:r w:rsidR="00AB6F30" w:rsidRPr="006866D2">
      <w:rPr>
        <w:color w:val="auto"/>
      </w:rPr>
      <w:t>PD11</w:t>
    </w:r>
    <w:r w:rsidRPr="006866D2">
      <w:rPr>
        <w:color w:val="auto"/>
      </w:rPr>
      <w:t>00</w:t>
    </w:r>
    <w:r w:rsidR="006866D2" w:rsidRPr="006866D2">
      <w:rPr>
        <w:color w:val="auto"/>
      </w:rPr>
      <w:t>891</w:t>
    </w:r>
  </w:p>
  <w:p w:rsidR="00DD5558" w:rsidRPr="00684CE6" w:rsidRDefault="00DD555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C7E" w:rsidRDefault="00871C7E">
      <w:r>
        <w:separator/>
      </w:r>
    </w:p>
  </w:footnote>
  <w:footnote w:type="continuationSeparator" w:id="0">
    <w:p w:rsidR="00871C7E" w:rsidRDefault="00871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47DF"/>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158C"/>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4F81"/>
    <w:rsid w:val="000D5DBE"/>
    <w:rsid w:val="000D6457"/>
    <w:rsid w:val="000D7BE3"/>
    <w:rsid w:val="000D7D55"/>
    <w:rsid w:val="000E08A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1CE"/>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27457"/>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9F9"/>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02DB"/>
    <w:rsid w:val="001E15C0"/>
    <w:rsid w:val="001E18E0"/>
    <w:rsid w:val="001E18E2"/>
    <w:rsid w:val="001E19D0"/>
    <w:rsid w:val="001E2A30"/>
    <w:rsid w:val="001E2FF1"/>
    <w:rsid w:val="001E3FE1"/>
    <w:rsid w:val="001E41FE"/>
    <w:rsid w:val="001E4989"/>
    <w:rsid w:val="001E57BA"/>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4870"/>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68A4"/>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A78D8"/>
    <w:rsid w:val="002B0204"/>
    <w:rsid w:val="002B03B2"/>
    <w:rsid w:val="002B0749"/>
    <w:rsid w:val="002B0763"/>
    <w:rsid w:val="002B2645"/>
    <w:rsid w:val="002B2D0B"/>
    <w:rsid w:val="002B303A"/>
    <w:rsid w:val="002B32E9"/>
    <w:rsid w:val="002B4E22"/>
    <w:rsid w:val="002B6FA0"/>
    <w:rsid w:val="002B7710"/>
    <w:rsid w:val="002B7C34"/>
    <w:rsid w:val="002C0910"/>
    <w:rsid w:val="002C0DEA"/>
    <w:rsid w:val="002C34F6"/>
    <w:rsid w:val="002C3B6D"/>
    <w:rsid w:val="002C3F59"/>
    <w:rsid w:val="002C5D9D"/>
    <w:rsid w:val="002C5F10"/>
    <w:rsid w:val="002C6E5B"/>
    <w:rsid w:val="002D08F3"/>
    <w:rsid w:val="002D172F"/>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87B"/>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5C55"/>
    <w:rsid w:val="0033601F"/>
    <w:rsid w:val="00336805"/>
    <w:rsid w:val="00337351"/>
    <w:rsid w:val="00340A4A"/>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BE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3348"/>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0F"/>
    <w:rsid w:val="00444B93"/>
    <w:rsid w:val="00444F80"/>
    <w:rsid w:val="00445599"/>
    <w:rsid w:val="00446018"/>
    <w:rsid w:val="0044728D"/>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1748"/>
    <w:rsid w:val="00462F68"/>
    <w:rsid w:val="00463478"/>
    <w:rsid w:val="0046369B"/>
    <w:rsid w:val="00463781"/>
    <w:rsid w:val="0046387B"/>
    <w:rsid w:val="004640E9"/>
    <w:rsid w:val="00464744"/>
    <w:rsid w:val="004647EB"/>
    <w:rsid w:val="00465230"/>
    <w:rsid w:val="00466CED"/>
    <w:rsid w:val="00466EB5"/>
    <w:rsid w:val="00467592"/>
    <w:rsid w:val="00467690"/>
    <w:rsid w:val="00467A14"/>
    <w:rsid w:val="004718E7"/>
    <w:rsid w:val="00472289"/>
    <w:rsid w:val="00472535"/>
    <w:rsid w:val="00472C97"/>
    <w:rsid w:val="00472D4A"/>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0731"/>
    <w:rsid w:val="004E13FB"/>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16EC1"/>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353"/>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67BDF"/>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708"/>
    <w:rsid w:val="005A0B1D"/>
    <w:rsid w:val="005A1846"/>
    <w:rsid w:val="005A258C"/>
    <w:rsid w:val="005A3560"/>
    <w:rsid w:val="005A3835"/>
    <w:rsid w:val="005A3E54"/>
    <w:rsid w:val="005A464E"/>
    <w:rsid w:val="005A62FC"/>
    <w:rsid w:val="005A6C99"/>
    <w:rsid w:val="005A7684"/>
    <w:rsid w:val="005A7D5D"/>
    <w:rsid w:val="005B0040"/>
    <w:rsid w:val="005B011A"/>
    <w:rsid w:val="005B0283"/>
    <w:rsid w:val="005B1ADA"/>
    <w:rsid w:val="005B1D09"/>
    <w:rsid w:val="005B1D8F"/>
    <w:rsid w:val="005B1E94"/>
    <w:rsid w:val="005B45F7"/>
    <w:rsid w:val="005B48A3"/>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A1B"/>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A3"/>
    <w:rsid w:val="00653AB2"/>
    <w:rsid w:val="00653D2D"/>
    <w:rsid w:val="0065435E"/>
    <w:rsid w:val="00654551"/>
    <w:rsid w:val="00654F91"/>
    <w:rsid w:val="006555E7"/>
    <w:rsid w:val="00655CCC"/>
    <w:rsid w:val="006560B6"/>
    <w:rsid w:val="0065689C"/>
    <w:rsid w:val="00656A41"/>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66D2"/>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663C"/>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08F"/>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2DF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220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3D9E"/>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A72"/>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0E8"/>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C7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1A8A"/>
    <w:rsid w:val="008C22F3"/>
    <w:rsid w:val="008C3223"/>
    <w:rsid w:val="008C3FD0"/>
    <w:rsid w:val="008C4F01"/>
    <w:rsid w:val="008C5152"/>
    <w:rsid w:val="008C6274"/>
    <w:rsid w:val="008C710E"/>
    <w:rsid w:val="008D1484"/>
    <w:rsid w:val="008D29E7"/>
    <w:rsid w:val="008D5104"/>
    <w:rsid w:val="008D75F4"/>
    <w:rsid w:val="008D795D"/>
    <w:rsid w:val="008D7B07"/>
    <w:rsid w:val="008E0D8F"/>
    <w:rsid w:val="008E0F4E"/>
    <w:rsid w:val="008E1947"/>
    <w:rsid w:val="008E1E94"/>
    <w:rsid w:val="008E2D99"/>
    <w:rsid w:val="008E30D4"/>
    <w:rsid w:val="008E38B0"/>
    <w:rsid w:val="008E3C90"/>
    <w:rsid w:val="008E4A60"/>
    <w:rsid w:val="008E4FFB"/>
    <w:rsid w:val="008E6F84"/>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790"/>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587"/>
    <w:rsid w:val="009259BA"/>
    <w:rsid w:val="00926451"/>
    <w:rsid w:val="00926C0A"/>
    <w:rsid w:val="00926FCB"/>
    <w:rsid w:val="009303BB"/>
    <w:rsid w:val="0093071D"/>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38E"/>
    <w:rsid w:val="00955E45"/>
    <w:rsid w:val="009576BC"/>
    <w:rsid w:val="00957899"/>
    <w:rsid w:val="00957927"/>
    <w:rsid w:val="00960357"/>
    <w:rsid w:val="0096168C"/>
    <w:rsid w:val="00961840"/>
    <w:rsid w:val="009625E3"/>
    <w:rsid w:val="00962681"/>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07A"/>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6810"/>
    <w:rsid w:val="009A6FC8"/>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59D"/>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3DB4"/>
    <w:rsid w:val="009F43E2"/>
    <w:rsid w:val="009F491F"/>
    <w:rsid w:val="009F4BF1"/>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514"/>
    <w:rsid w:val="00AB062D"/>
    <w:rsid w:val="00AB08F5"/>
    <w:rsid w:val="00AB0A8A"/>
    <w:rsid w:val="00AB1754"/>
    <w:rsid w:val="00AB1F8D"/>
    <w:rsid w:val="00AB27DD"/>
    <w:rsid w:val="00AB3383"/>
    <w:rsid w:val="00AB4BA4"/>
    <w:rsid w:val="00AB592E"/>
    <w:rsid w:val="00AB6F30"/>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0D70"/>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0611"/>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B3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3C44"/>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159D"/>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85760"/>
    <w:rsid w:val="00B91676"/>
    <w:rsid w:val="00B9322B"/>
    <w:rsid w:val="00B93640"/>
    <w:rsid w:val="00B94023"/>
    <w:rsid w:val="00B955D5"/>
    <w:rsid w:val="00B95833"/>
    <w:rsid w:val="00B9759B"/>
    <w:rsid w:val="00BA1824"/>
    <w:rsid w:val="00BA2D98"/>
    <w:rsid w:val="00BA2F0C"/>
    <w:rsid w:val="00BA30D1"/>
    <w:rsid w:val="00BA30E1"/>
    <w:rsid w:val="00BA3BAC"/>
    <w:rsid w:val="00BA4609"/>
    <w:rsid w:val="00BA5BE2"/>
    <w:rsid w:val="00BA60FC"/>
    <w:rsid w:val="00BA6A9C"/>
    <w:rsid w:val="00BA6D0D"/>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424"/>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A60"/>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2C9"/>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EAD"/>
    <w:rsid w:val="00CB758D"/>
    <w:rsid w:val="00CB7A3E"/>
    <w:rsid w:val="00CB7FF7"/>
    <w:rsid w:val="00CC0D0E"/>
    <w:rsid w:val="00CC1253"/>
    <w:rsid w:val="00CC19B3"/>
    <w:rsid w:val="00CC2044"/>
    <w:rsid w:val="00CC39D2"/>
    <w:rsid w:val="00CC47DA"/>
    <w:rsid w:val="00CC55D6"/>
    <w:rsid w:val="00CC59B4"/>
    <w:rsid w:val="00CC63D7"/>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3E57"/>
    <w:rsid w:val="00D14BAE"/>
    <w:rsid w:val="00D15107"/>
    <w:rsid w:val="00D1648B"/>
    <w:rsid w:val="00D16819"/>
    <w:rsid w:val="00D17DD9"/>
    <w:rsid w:val="00D20AC0"/>
    <w:rsid w:val="00D21A0F"/>
    <w:rsid w:val="00D229E7"/>
    <w:rsid w:val="00D2321B"/>
    <w:rsid w:val="00D23350"/>
    <w:rsid w:val="00D237E7"/>
    <w:rsid w:val="00D23DE4"/>
    <w:rsid w:val="00D25A5C"/>
    <w:rsid w:val="00D26276"/>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B8B"/>
    <w:rsid w:val="00D62D5C"/>
    <w:rsid w:val="00D63577"/>
    <w:rsid w:val="00D67FD7"/>
    <w:rsid w:val="00D704E4"/>
    <w:rsid w:val="00D71A04"/>
    <w:rsid w:val="00D72410"/>
    <w:rsid w:val="00D73D53"/>
    <w:rsid w:val="00D7402C"/>
    <w:rsid w:val="00D7408A"/>
    <w:rsid w:val="00D74261"/>
    <w:rsid w:val="00D7441B"/>
    <w:rsid w:val="00D74D38"/>
    <w:rsid w:val="00D75589"/>
    <w:rsid w:val="00D768AB"/>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33FD"/>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2791"/>
    <w:rsid w:val="00E3369B"/>
    <w:rsid w:val="00E362D2"/>
    <w:rsid w:val="00E36D76"/>
    <w:rsid w:val="00E40432"/>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119F"/>
    <w:rsid w:val="00E523FB"/>
    <w:rsid w:val="00E53460"/>
    <w:rsid w:val="00E54846"/>
    <w:rsid w:val="00E548FA"/>
    <w:rsid w:val="00E54C05"/>
    <w:rsid w:val="00E55CD9"/>
    <w:rsid w:val="00E56112"/>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A7501"/>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005"/>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5730"/>
    <w:rsid w:val="00EF608E"/>
    <w:rsid w:val="00EF6C4A"/>
    <w:rsid w:val="00F0044B"/>
    <w:rsid w:val="00F00E60"/>
    <w:rsid w:val="00F020E5"/>
    <w:rsid w:val="00F02F9F"/>
    <w:rsid w:val="00F03525"/>
    <w:rsid w:val="00F039A8"/>
    <w:rsid w:val="00F0424D"/>
    <w:rsid w:val="00F04957"/>
    <w:rsid w:val="00F053F0"/>
    <w:rsid w:val="00F05807"/>
    <w:rsid w:val="00F06451"/>
    <w:rsid w:val="00F06C8F"/>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85CF7"/>
    <w:rsid w:val="00F90376"/>
    <w:rsid w:val="00F908D5"/>
    <w:rsid w:val="00F912A0"/>
    <w:rsid w:val="00F913B9"/>
    <w:rsid w:val="00F91B14"/>
    <w:rsid w:val="00F93C74"/>
    <w:rsid w:val="00F93DCC"/>
    <w:rsid w:val="00F93EA6"/>
    <w:rsid w:val="00F9435D"/>
    <w:rsid w:val="00F9547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iPriority="0"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link w:val="Footer"/>
    <w:uiPriority w:val="99"/>
    <w:rsid w:val="000379D0"/>
    <w:rPr>
      <w:rFonts w:cs="Times New Roman"/>
      <w:color w:val="008080"/>
      <w:sz w:val="24"/>
    </w:rPr>
  </w:style>
  <w:style w:type="character" w:styleId="PageNumber">
    <w:name w:val="page number"/>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link w:val="BodyText3"/>
    <w:uiPriority w:val="99"/>
    <w:semiHidden/>
    <w:rsid w:val="003F44FD"/>
    <w:rPr>
      <w:rFonts w:cs="Times New Roman"/>
      <w:color w:val="008080"/>
      <w:sz w:val="16"/>
    </w:rPr>
  </w:style>
  <w:style w:type="paragraph" w:styleId="PlainText">
    <w:name w:val="Plain Text"/>
    <w:basedOn w:val="Normal"/>
    <w:link w:val="PlainTextChar"/>
    <w:rsid w:val="00D91DA6"/>
    <w:rPr>
      <w:rFonts w:ascii="Consolas" w:hAnsi="Consolas"/>
      <w:color w:val="auto"/>
      <w:sz w:val="21"/>
      <w:szCs w:val="21"/>
    </w:rPr>
  </w:style>
  <w:style w:type="character" w:customStyle="1" w:styleId="PlainTextChar">
    <w:name w:val="Plain Text Char"/>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uiPriority w:val="99"/>
    <w:rsid w:val="004766C9"/>
    <w:rPr>
      <w:rFonts w:cs="Times New Roman"/>
    </w:rPr>
  </w:style>
  <w:style w:type="character" w:styleId="CommentReference">
    <w:name w:val="annotation reference"/>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link w:val="CommentSubject"/>
    <w:uiPriority w:val="99"/>
    <w:rsid w:val="0046111A"/>
    <w:rPr>
      <w:rFonts w:cs="Times New Roman"/>
      <w:b/>
      <w:bCs/>
      <w:color w:val="008080"/>
      <w:sz w:val="20"/>
    </w:rPr>
  </w:style>
  <w:style w:type="character" w:styleId="Hyperlink">
    <w:name w:val="Hyperlink"/>
    <w:uiPriority w:val="99"/>
    <w:rsid w:val="00750E3A"/>
    <w:rPr>
      <w:rFonts w:cs="Times New Roman"/>
      <w:color w:val="0000FF"/>
      <w:u w:val="single"/>
    </w:rPr>
  </w:style>
  <w:style w:type="character" w:styleId="FollowedHyperlink">
    <w:name w:val="FollowedHyperlink"/>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5300854">
      <w:bodyDiv w:val="1"/>
      <w:marLeft w:val="0"/>
      <w:marRight w:val="0"/>
      <w:marTop w:val="0"/>
      <w:marBottom w:val="0"/>
      <w:divBdr>
        <w:top w:val="none" w:sz="0" w:space="0" w:color="auto"/>
        <w:left w:val="none" w:sz="0" w:space="0" w:color="auto"/>
        <w:bottom w:val="none" w:sz="0" w:space="0" w:color="auto"/>
        <w:right w:val="none" w:sz="0" w:space="0" w:color="auto"/>
      </w:divBdr>
    </w:div>
    <w:div w:id="239875242">
      <w:bodyDiv w:val="1"/>
      <w:marLeft w:val="0"/>
      <w:marRight w:val="0"/>
      <w:marTop w:val="0"/>
      <w:marBottom w:val="0"/>
      <w:divBdr>
        <w:top w:val="none" w:sz="0" w:space="0" w:color="auto"/>
        <w:left w:val="none" w:sz="0" w:space="0" w:color="auto"/>
        <w:bottom w:val="none" w:sz="0" w:space="0" w:color="auto"/>
        <w:right w:val="none" w:sz="0" w:space="0" w:color="auto"/>
      </w:divBdr>
    </w:div>
    <w:div w:id="1912303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6CD52-264E-46EB-B33D-A2D58E23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2012-08-08T13:41:00Z</cp:lastPrinted>
  <dcterms:created xsi:type="dcterms:W3CDTF">2012-09-05T19:30:00Z</dcterms:created>
  <dcterms:modified xsi:type="dcterms:W3CDTF">2012-09-05T19:30:00Z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