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057AE7" w:rsidRDefault="00F629C0" w:rsidP="00BF0E94">
      <w:pPr>
        <w:tabs>
          <w:tab w:val="left" w:pos="288"/>
          <w:tab w:val="left" w:pos="4752"/>
          <w:tab w:val="left" w:pos="5130"/>
          <w:tab w:val="left" w:pos="9270"/>
        </w:tabs>
        <w:jc w:val="both"/>
        <w:rPr>
          <w:caps/>
          <w:color w:val="auto"/>
        </w:rPr>
      </w:pPr>
      <w:r w:rsidRPr="001F29F9">
        <w:rPr>
          <w:caps/>
          <w:color w:val="000000" w:themeColor="text1"/>
        </w:rPr>
        <w:t xml:space="preserve">NAME:  </w:t>
      </w:r>
      <w:r w:rsidR="006B3474">
        <w:rPr>
          <w:caps/>
          <w:color w:val="000000" w:themeColor="text1"/>
        </w:rPr>
        <w:t>XXXXXXXXXXXXXXXX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057AE7">
        <w:rPr>
          <w:caps/>
          <w:color w:val="000000" w:themeColor="text1"/>
        </w:rPr>
        <w:t xml:space="preserve">                                   </w:t>
      </w:r>
      <w:r w:rsidR="00243B4B">
        <w:rPr>
          <w:caps/>
          <w:color w:val="000000" w:themeColor="text1"/>
        </w:rPr>
        <w:t xml:space="preserve">    </w:t>
      </w:r>
      <w:r w:rsidR="004F732E">
        <w:rPr>
          <w:caps/>
          <w:color w:val="000000" w:themeColor="text1"/>
        </w:rPr>
        <w:t xml:space="preserve">     </w:t>
      </w:r>
      <w:r w:rsidRPr="001F29F9">
        <w:rPr>
          <w:caps/>
          <w:color w:val="000000" w:themeColor="text1"/>
        </w:rPr>
        <w:t>BRANCH OF SERVICE</w:t>
      </w:r>
      <w:r w:rsidRPr="00057AE7">
        <w:rPr>
          <w:caps/>
          <w:color w:val="000000" w:themeColor="text1"/>
        </w:rPr>
        <w:t xml:space="preserve">: </w:t>
      </w:r>
      <w:r w:rsidR="004C24C5" w:rsidRPr="00057AE7">
        <w:rPr>
          <w:caps/>
          <w:color w:val="000000" w:themeColor="text1"/>
        </w:rPr>
        <w:t xml:space="preserve"> </w:t>
      </w:r>
      <w:r w:rsidR="00332DE3" w:rsidRPr="00057AE7">
        <w:rPr>
          <w:caps/>
          <w:color w:val="000000" w:themeColor="text1"/>
        </w:rPr>
        <w:t>Arm</w:t>
      </w:r>
      <w:r w:rsidR="004F732E">
        <w:rPr>
          <w:caps/>
          <w:color w:val="000000" w:themeColor="text1"/>
        </w:rPr>
        <w:t>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057AE7">
        <w:rPr>
          <w:caps/>
          <w:color w:val="000000" w:themeColor="text1"/>
        </w:rPr>
        <w:t>00</w:t>
      </w:r>
      <w:r w:rsidR="00057AE7">
        <w:rPr>
          <w:caps/>
          <w:color w:val="000000" w:themeColor="text1"/>
        </w:rPr>
        <w:t>890</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243B4B">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057AE7">
        <w:rPr>
          <w:color w:val="000000" w:themeColor="text1"/>
        </w:rPr>
        <w:t>70927</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341021">
        <w:rPr>
          <w:caps/>
          <w:color w:val="000000" w:themeColor="text1"/>
        </w:rPr>
        <w:t>2</w:t>
      </w:r>
      <w:r w:rsidR="0087307F">
        <w:rPr>
          <w:caps/>
          <w:color w:val="000000" w:themeColor="text1"/>
        </w:rPr>
        <w:t>0705</w:t>
      </w:r>
    </w:p>
    <w:p w:rsidR="000B7917" w:rsidRPr="001F29F9" w:rsidRDefault="000B7917" w:rsidP="000B7917">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B212B1">
        <w:rPr>
          <w:color w:val="000000" w:themeColor="text1"/>
          <w:szCs w:val="24"/>
        </w:rPr>
        <w:t xml:space="preserve"> 1LT/O-2</w:t>
      </w:r>
      <w:r w:rsidR="00705C40" w:rsidRPr="001F29F9">
        <w:rPr>
          <w:color w:val="000000" w:themeColor="text1"/>
          <w:szCs w:val="24"/>
        </w:rPr>
        <w:t xml:space="preserve"> (</w:t>
      </w:r>
      <w:r w:rsidR="00B212B1">
        <w:rPr>
          <w:color w:val="000000" w:themeColor="text1"/>
          <w:szCs w:val="24"/>
        </w:rPr>
        <w:t>88A</w:t>
      </w:r>
      <w:r w:rsidR="00FF570D">
        <w:rPr>
          <w:color w:val="000000" w:themeColor="text1"/>
          <w:szCs w:val="24"/>
        </w:rPr>
        <w:t>/T</w:t>
      </w:r>
      <w:r w:rsidR="00B212B1">
        <w:rPr>
          <w:color w:val="000000" w:themeColor="text1"/>
          <w:szCs w:val="24"/>
        </w:rPr>
        <w:t>ransportation Corps Officer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B212B1">
        <w:rPr>
          <w:color w:val="000000" w:themeColor="text1"/>
          <w:szCs w:val="24"/>
        </w:rPr>
        <w:t xml:space="preserve"> </w:t>
      </w:r>
      <w:r w:rsidR="00FF570D">
        <w:rPr>
          <w:color w:val="000000" w:themeColor="text1"/>
          <w:szCs w:val="24"/>
        </w:rPr>
        <w:t xml:space="preserve">chronic left (non-dominant) shoulder pain and chronic low back </w:t>
      </w:r>
      <w:r w:rsidR="00FF570D" w:rsidRPr="00695F68">
        <w:rPr>
          <w:color w:val="000000" w:themeColor="text1"/>
          <w:szCs w:val="24"/>
        </w:rPr>
        <w:t>pain</w:t>
      </w:r>
      <w:r w:rsidR="004F732E">
        <w:rPr>
          <w:color w:val="000000" w:themeColor="text1"/>
          <w:szCs w:val="24"/>
        </w:rPr>
        <w:t xml:space="preserve"> (LBP)</w:t>
      </w:r>
      <w:r w:rsidR="00C75F3D" w:rsidRPr="00695F68">
        <w:rPr>
          <w:color w:val="000000" w:themeColor="text1"/>
          <w:szCs w:val="24"/>
        </w:rPr>
        <w:t>.</w:t>
      </w:r>
      <w:r w:rsidR="00FF570D" w:rsidRPr="00695F68">
        <w:rPr>
          <w:color w:val="000000" w:themeColor="text1"/>
          <w:szCs w:val="24"/>
        </w:rPr>
        <w:t xml:space="preserve"> </w:t>
      </w:r>
      <w:r w:rsidR="001D26E1">
        <w:rPr>
          <w:color w:val="000000" w:themeColor="text1"/>
          <w:szCs w:val="24"/>
        </w:rPr>
        <w:t xml:space="preserve"> </w:t>
      </w:r>
      <w:r w:rsidR="00643C8F" w:rsidRPr="00695F68">
        <w:rPr>
          <w:color w:val="000000" w:themeColor="text1"/>
          <w:szCs w:val="24"/>
        </w:rPr>
        <w:t xml:space="preserve">He did </w:t>
      </w:r>
      <w:r w:rsidR="00643C8F" w:rsidRPr="001F29F9">
        <w:rPr>
          <w:color w:val="000000" w:themeColor="text1"/>
          <w:szCs w:val="24"/>
        </w:rPr>
        <w:t>not respond adequately to treatment and was unable to perform within his</w:t>
      </w:r>
      <w:r w:rsidR="00695F68">
        <w:rPr>
          <w:color w:val="000000" w:themeColor="text1"/>
          <w:szCs w:val="24"/>
        </w:rPr>
        <w:t xml:space="preserve"> </w:t>
      </w:r>
      <w:r w:rsidR="00695F68" w:rsidRPr="00695F68">
        <w:rPr>
          <w:color w:val="000000" w:themeColor="text1"/>
          <w:szCs w:val="24"/>
        </w:rPr>
        <w:t xml:space="preserve">Military Occupational Specialty (MOS) </w:t>
      </w:r>
      <w:r w:rsidR="00643C8F" w:rsidRPr="00695F68">
        <w:rPr>
          <w:color w:val="000000" w:themeColor="text1"/>
          <w:szCs w:val="24"/>
        </w:rPr>
        <w:t>or me</w:t>
      </w:r>
      <w:r w:rsidR="00C927B8">
        <w:rPr>
          <w:color w:val="000000" w:themeColor="text1"/>
          <w:szCs w:val="24"/>
        </w:rPr>
        <w:t>et physical fitness standards.</w:t>
      </w:r>
      <w:r w:rsidR="00E90F1C">
        <w:rPr>
          <w:color w:val="000000" w:themeColor="text1"/>
          <w:szCs w:val="24"/>
        </w:rPr>
        <w:t xml:space="preserve">  </w:t>
      </w:r>
      <w:r w:rsidR="00643C8F" w:rsidRPr="00695F68">
        <w:rPr>
          <w:color w:val="000000" w:themeColor="text1"/>
          <w:szCs w:val="24"/>
        </w:rPr>
        <w:t>He was issued a per</w:t>
      </w:r>
      <w:r w:rsidR="00643C8F" w:rsidRPr="00B212B1">
        <w:rPr>
          <w:color w:val="000000" w:themeColor="text1"/>
          <w:szCs w:val="24"/>
        </w:rPr>
        <w:t xml:space="preserve">manent </w:t>
      </w:r>
      <w:r w:rsidR="00B212B1">
        <w:rPr>
          <w:color w:val="000000" w:themeColor="text1"/>
          <w:szCs w:val="24"/>
        </w:rPr>
        <w:t>U3/L4</w:t>
      </w:r>
      <w:r w:rsidR="00643C8F" w:rsidRPr="00B212B1">
        <w:rPr>
          <w:color w:val="000000" w:themeColor="text1"/>
          <w:szCs w:val="24"/>
        </w:rPr>
        <w:t xml:space="preserve"> profile</w:t>
      </w:r>
      <w:r w:rsidR="00B212B1">
        <w:rPr>
          <w:color w:val="000000" w:themeColor="text1"/>
          <w:szCs w:val="24"/>
        </w:rPr>
        <w:t xml:space="preserve"> </w:t>
      </w:r>
      <w:r w:rsidR="00643C8F" w:rsidRPr="001F29F9">
        <w:rPr>
          <w:color w:val="000000" w:themeColor="text1"/>
          <w:szCs w:val="24"/>
        </w:rPr>
        <w:t>and underwent a Medical Evaluation Board (MEB).</w:t>
      </w:r>
      <w:r w:rsidR="00C927B8">
        <w:rPr>
          <w:color w:val="000000" w:themeColor="text1"/>
          <w:szCs w:val="24"/>
        </w:rPr>
        <w:t xml:space="preserve"> </w:t>
      </w:r>
      <w:r w:rsidR="00E90F1C">
        <w:rPr>
          <w:color w:val="000000" w:themeColor="text1"/>
          <w:szCs w:val="24"/>
        </w:rPr>
        <w:t xml:space="preserve"> </w:t>
      </w:r>
      <w:r w:rsidR="00695F68">
        <w:rPr>
          <w:color w:val="000000" w:themeColor="text1"/>
          <w:szCs w:val="24"/>
        </w:rPr>
        <w:t xml:space="preserve">Chronic </w:t>
      </w:r>
      <w:r w:rsidR="004F732E">
        <w:rPr>
          <w:color w:val="000000" w:themeColor="text1"/>
          <w:szCs w:val="24"/>
        </w:rPr>
        <w:t xml:space="preserve">LBP </w:t>
      </w:r>
      <w:r w:rsidR="00695F68">
        <w:rPr>
          <w:color w:val="000000" w:themeColor="text1"/>
          <w:szCs w:val="24"/>
        </w:rPr>
        <w:t>and chronic left shoulder pain</w:t>
      </w:r>
      <w:r w:rsidR="00695F68" w:rsidRPr="001F29F9">
        <w:rPr>
          <w:color w:val="000000" w:themeColor="text1"/>
          <w:szCs w:val="24"/>
        </w:rPr>
        <w:t xml:space="preserve"> </w:t>
      </w:r>
      <w:r w:rsidR="00695F68" w:rsidRPr="00B212B1">
        <w:rPr>
          <w:color w:val="000000" w:themeColor="text1"/>
          <w:szCs w:val="24"/>
        </w:rPr>
        <w:t>were</w:t>
      </w:r>
      <w:r w:rsidR="00695F68" w:rsidRPr="001F29F9">
        <w:rPr>
          <w:color w:val="000000" w:themeColor="text1"/>
          <w:szCs w:val="24"/>
        </w:rPr>
        <w:t xml:space="preserve"> forwarded to the</w:t>
      </w:r>
      <w:r w:rsidR="000A33C8" w:rsidRPr="001F29F9">
        <w:rPr>
          <w:color w:val="000000" w:themeColor="text1"/>
          <w:szCs w:val="24"/>
        </w:rPr>
        <w:t xml:space="preserve"> Physical Evaluation Board (PEB) as medically unacceptable IAW </w:t>
      </w:r>
      <w:r w:rsidR="000A33C8" w:rsidRPr="00B212B1">
        <w:rPr>
          <w:color w:val="000000" w:themeColor="text1"/>
          <w:szCs w:val="24"/>
        </w:rPr>
        <w:t>AR 40-501</w:t>
      </w:r>
      <w:r w:rsidR="00B212B1">
        <w:rPr>
          <w:color w:val="000000" w:themeColor="text1"/>
          <w:szCs w:val="24"/>
        </w:rPr>
        <w:t>.</w:t>
      </w:r>
      <w:r w:rsidR="00C927B8">
        <w:rPr>
          <w:color w:val="000000" w:themeColor="text1"/>
          <w:szCs w:val="24"/>
        </w:rPr>
        <w:t xml:space="preserve"> </w:t>
      </w:r>
      <w:r w:rsidR="00E90F1C">
        <w:rPr>
          <w:color w:val="000000" w:themeColor="text1"/>
          <w:szCs w:val="24"/>
        </w:rPr>
        <w:t xml:space="preserve"> </w:t>
      </w:r>
      <w:r w:rsidR="00B212B1" w:rsidRPr="00B212B1">
        <w:rPr>
          <w:color w:val="000000" w:themeColor="text1"/>
          <w:szCs w:val="24"/>
        </w:rPr>
        <w:t>Three</w:t>
      </w:r>
      <w:r w:rsidR="009C5C56" w:rsidRPr="00B212B1">
        <w:rPr>
          <w:color w:val="000000" w:themeColor="text1"/>
          <w:szCs w:val="24"/>
        </w:rPr>
        <w:t xml:space="preserve"> </w:t>
      </w:r>
      <w:r w:rsidR="00954E5B" w:rsidRPr="001F29F9">
        <w:rPr>
          <w:color w:val="000000" w:themeColor="text1"/>
          <w:szCs w:val="24"/>
        </w:rPr>
        <w:t>other condition</w:t>
      </w:r>
      <w:r w:rsidR="00954E5B" w:rsidRPr="00B212B1">
        <w:rPr>
          <w:color w:val="000000" w:themeColor="text1"/>
          <w:szCs w:val="24"/>
        </w:rPr>
        <w:t>s</w:t>
      </w:r>
      <w:r w:rsidR="00954E5B" w:rsidRPr="001F29F9">
        <w:rPr>
          <w:color w:val="000000" w:themeColor="text1"/>
          <w:szCs w:val="24"/>
        </w:rPr>
        <w:t xml:space="preserve">, as identified in the rating chart below, </w:t>
      </w:r>
      <w:r w:rsidR="00954E5B" w:rsidRPr="00B212B1">
        <w:rPr>
          <w:color w:val="000000" w:themeColor="text1"/>
          <w:szCs w:val="24"/>
        </w:rPr>
        <w:t>were</w:t>
      </w:r>
      <w:r w:rsidR="00954E5B" w:rsidRPr="001F29F9">
        <w:rPr>
          <w:color w:val="000000" w:themeColor="text1"/>
          <w:szCs w:val="24"/>
        </w:rPr>
        <w:t xml:space="preserve"> forwarded on the </w:t>
      </w:r>
      <w:r w:rsidR="00B04562" w:rsidRPr="001F29F9">
        <w:rPr>
          <w:color w:val="000000" w:themeColor="text1"/>
          <w:szCs w:val="24"/>
        </w:rPr>
        <w:t xml:space="preserve">MEB submission </w:t>
      </w:r>
      <w:r w:rsidR="00954E5B" w:rsidRPr="001F29F9">
        <w:rPr>
          <w:color w:val="000000" w:themeColor="text1"/>
          <w:szCs w:val="24"/>
        </w:rPr>
        <w:t>as medically acceptable conditions</w:t>
      </w:r>
      <w:r w:rsidR="00B04562" w:rsidRPr="001F29F9">
        <w:rPr>
          <w:color w:val="000000" w:themeColor="text1"/>
          <w:szCs w:val="24"/>
        </w:rPr>
        <w:t>.</w:t>
      </w:r>
      <w:r w:rsidR="009C4755">
        <w:rPr>
          <w:color w:val="000000" w:themeColor="text1"/>
          <w:szCs w:val="24"/>
        </w:rPr>
        <w:t xml:space="preserve"> </w:t>
      </w:r>
      <w:r w:rsidR="00E90F1C">
        <w:rPr>
          <w:color w:val="000000" w:themeColor="text1"/>
          <w:szCs w:val="24"/>
        </w:rPr>
        <w:t xml:space="preserve"> </w:t>
      </w:r>
      <w:r w:rsidR="009C4755">
        <w:rPr>
          <w:color w:val="000000" w:themeColor="text1"/>
          <w:szCs w:val="24"/>
        </w:rPr>
        <w:t xml:space="preserve">An initial </w:t>
      </w:r>
      <w:r w:rsidR="009C4755" w:rsidRPr="001F29F9">
        <w:rPr>
          <w:color w:val="000000" w:themeColor="text1"/>
          <w:szCs w:val="24"/>
        </w:rPr>
        <w:t xml:space="preserve">PEB </w:t>
      </w:r>
      <w:r w:rsidR="009C4755">
        <w:rPr>
          <w:color w:val="000000" w:themeColor="text1"/>
          <w:szCs w:val="24"/>
        </w:rPr>
        <w:t xml:space="preserve">determined each condition was unfitting and rated </w:t>
      </w:r>
      <w:r w:rsidR="00611E83">
        <w:rPr>
          <w:color w:val="000000" w:themeColor="text1"/>
          <w:szCs w:val="24"/>
        </w:rPr>
        <w:t xml:space="preserve">each </w:t>
      </w:r>
      <w:r w:rsidR="009C4755">
        <w:rPr>
          <w:color w:val="000000" w:themeColor="text1"/>
          <w:szCs w:val="24"/>
        </w:rPr>
        <w:t xml:space="preserve">at 0%. </w:t>
      </w:r>
      <w:r w:rsidR="00E90F1C">
        <w:rPr>
          <w:color w:val="000000" w:themeColor="text1"/>
          <w:szCs w:val="24"/>
        </w:rPr>
        <w:t xml:space="preserve"> </w:t>
      </w:r>
      <w:r w:rsidR="004F732E">
        <w:rPr>
          <w:color w:val="000000" w:themeColor="text1"/>
          <w:szCs w:val="24"/>
        </w:rPr>
        <w:t>However, after range-of-</w:t>
      </w:r>
      <w:r w:rsidR="009C4755">
        <w:rPr>
          <w:color w:val="000000" w:themeColor="text1"/>
          <w:szCs w:val="24"/>
        </w:rPr>
        <w:t>motion (ROM) measurements from physical therapy wer</w:t>
      </w:r>
      <w:r w:rsidR="004F732E">
        <w:rPr>
          <w:color w:val="000000" w:themeColor="text1"/>
          <w:szCs w:val="24"/>
        </w:rPr>
        <w:t xml:space="preserve">e submitted, a Reconsideration </w:t>
      </w:r>
      <w:r w:rsidR="009C4755">
        <w:rPr>
          <w:color w:val="000000" w:themeColor="text1"/>
          <w:szCs w:val="24"/>
        </w:rPr>
        <w:t>PEB</w:t>
      </w:r>
      <w:r w:rsidR="00842BAA" w:rsidRPr="001F29F9">
        <w:rPr>
          <w:color w:val="000000" w:themeColor="text1"/>
          <w:szCs w:val="24"/>
        </w:rPr>
        <w:t xml:space="preserve"> </w:t>
      </w:r>
      <w:r w:rsidR="004F732E">
        <w:rPr>
          <w:color w:val="000000" w:themeColor="text1"/>
          <w:szCs w:val="24"/>
        </w:rPr>
        <w:t xml:space="preserve">(RPEB) </w:t>
      </w:r>
      <w:r w:rsidR="00842BAA" w:rsidRPr="001F29F9">
        <w:rPr>
          <w:color w:val="000000" w:themeColor="text1"/>
          <w:szCs w:val="24"/>
        </w:rPr>
        <w:t xml:space="preserve">adjudicated the </w:t>
      </w:r>
      <w:r w:rsidR="00534499" w:rsidRPr="008A52BC">
        <w:rPr>
          <w:color w:val="000000" w:themeColor="text1"/>
          <w:szCs w:val="24"/>
        </w:rPr>
        <w:t xml:space="preserve">chronic left shoulder </w:t>
      </w:r>
      <w:r w:rsidR="00695F68" w:rsidRPr="008A52BC">
        <w:rPr>
          <w:color w:val="000000" w:themeColor="text1"/>
          <w:szCs w:val="24"/>
        </w:rPr>
        <w:t xml:space="preserve">pain condition and chronic </w:t>
      </w:r>
      <w:r w:rsidR="004F732E">
        <w:rPr>
          <w:color w:val="000000" w:themeColor="text1"/>
          <w:szCs w:val="24"/>
        </w:rPr>
        <w:t>LBP</w:t>
      </w:r>
      <w:r w:rsidR="00842BAA" w:rsidRPr="008A52BC">
        <w:rPr>
          <w:color w:val="000000" w:themeColor="text1"/>
          <w:szCs w:val="24"/>
        </w:rPr>
        <w:t xml:space="preserve"> condition as unfitting, rated </w:t>
      </w:r>
      <w:r w:rsidR="008A52BC" w:rsidRPr="008A52BC">
        <w:rPr>
          <w:color w:val="000000" w:themeColor="text1"/>
          <w:szCs w:val="24"/>
        </w:rPr>
        <w:t>10</w:t>
      </w:r>
      <w:r w:rsidR="00842BAA" w:rsidRPr="008A52BC">
        <w:rPr>
          <w:color w:val="000000" w:themeColor="text1"/>
          <w:szCs w:val="24"/>
        </w:rPr>
        <w:t xml:space="preserve">% and </w:t>
      </w:r>
      <w:r w:rsidR="008A52BC" w:rsidRPr="008A52BC">
        <w:rPr>
          <w:color w:val="000000" w:themeColor="text1"/>
          <w:szCs w:val="24"/>
        </w:rPr>
        <w:t>0</w:t>
      </w:r>
      <w:r w:rsidR="00842BAA" w:rsidRPr="008A52BC">
        <w:rPr>
          <w:color w:val="000000" w:themeColor="text1"/>
          <w:szCs w:val="24"/>
        </w:rPr>
        <w:t xml:space="preserve">% </w:t>
      </w:r>
      <w:r w:rsidR="00842BAA" w:rsidRPr="00695F68">
        <w:rPr>
          <w:color w:val="000000" w:themeColor="text1"/>
          <w:szCs w:val="24"/>
        </w:rPr>
        <w:t xml:space="preserve">respectively; </w:t>
      </w:r>
      <w:r w:rsidR="00842BAA" w:rsidRPr="001F29F9">
        <w:rPr>
          <w:color w:val="000000" w:themeColor="text1"/>
          <w:szCs w:val="24"/>
        </w:rPr>
        <w:t xml:space="preserve">with application of </w:t>
      </w:r>
      <w:r w:rsidR="00842BAA" w:rsidRPr="008A52BC">
        <w:rPr>
          <w:color w:val="000000" w:themeColor="text1"/>
          <w:szCs w:val="24"/>
        </w:rPr>
        <w:t>the Veterans Administration Schedule for Rating Di</w:t>
      </w:r>
      <w:r w:rsidR="009F15D1">
        <w:rPr>
          <w:color w:val="000000" w:themeColor="text1"/>
          <w:szCs w:val="24"/>
        </w:rPr>
        <w:t>sabilities (VASRD)</w:t>
      </w:r>
      <w:r w:rsidR="00842BAA" w:rsidRPr="001F29F9">
        <w:rPr>
          <w:color w:val="000000" w:themeColor="text1"/>
          <w:szCs w:val="24"/>
        </w:rPr>
        <w:t>.</w:t>
      </w:r>
      <w:r w:rsidR="00C927B8">
        <w:rPr>
          <w:color w:val="000000" w:themeColor="text1"/>
          <w:szCs w:val="24"/>
        </w:rPr>
        <w:t xml:space="preserve"> </w:t>
      </w:r>
      <w:r w:rsidR="00E90F1C">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w:t>
      </w:r>
      <w:r w:rsidR="009C4755">
        <w:rPr>
          <w:color w:val="000000" w:themeColor="text1"/>
        </w:rPr>
        <w:t>further appeals</w:t>
      </w:r>
      <w:r w:rsidR="00190E48" w:rsidRPr="001F29F9">
        <w:rPr>
          <w:color w:val="000000" w:themeColor="text1"/>
        </w:rPr>
        <w:t xml:space="preserve"> </w:t>
      </w:r>
      <w:r w:rsidR="00B20624" w:rsidRPr="001F29F9">
        <w:rPr>
          <w:color w:val="000000" w:themeColor="text1"/>
        </w:rPr>
        <w:t xml:space="preserve">and was medically separated with a </w:t>
      </w:r>
      <w:r w:rsidR="008A52BC">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9D5A48" w:rsidRPr="0087307F" w:rsidRDefault="002C6E5B" w:rsidP="00F81D8A">
      <w:pPr>
        <w:autoSpaceDE w:val="0"/>
        <w:autoSpaceDN w:val="0"/>
        <w:adjustRightInd w:val="0"/>
        <w:jc w:val="both"/>
        <w:rPr>
          <w:rFonts w:asciiTheme="minorHAnsi" w:hAnsiTheme="minorHAnsi"/>
          <w:color w:val="000000" w:themeColor="text1"/>
          <w:szCs w:val="24"/>
        </w:rPr>
      </w:pPr>
      <w:r w:rsidRPr="0087307F">
        <w:rPr>
          <w:color w:val="000000" w:themeColor="text1"/>
          <w:u w:val="single"/>
        </w:rPr>
        <w:t>CI CONTENTION</w:t>
      </w:r>
      <w:r w:rsidRPr="0087307F">
        <w:rPr>
          <w:color w:val="000000" w:themeColor="text1"/>
        </w:rPr>
        <w:t>:</w:t>
      </w:r>
      <w:r w:rsidR="008A52BC" w:rsidRPr="0087307F">
        <w:rPr>
          <w:color w:val="000000" w:themeColor="text1"/>
        </w:rPr>
        <w:t xml:space="preserve">  “</w:t>
      </w:r>
      <w:r w:rsidR="008A52BC" w:rsidRPr="0087307F">
        <w:rPr>
          <w:rFonts w:asciiTheme="minorHAnsi" w:hAnsiTheme="minorHAnsi"/>
          <w:color w:val="000000" w:themeColor="text1"/>
          <w:szCs w:val="24"/>
        </w:rPr>
        <w:t xml:space="preserve">Chronic </w:t>
      </w:r>
      <w:r w:rsidR="004F732E">
        <w:rPr>
          <w:rFonts w:asciiTheme="minorHAnsi" w:hAnsiTheme="minorHAnsi"/>
          <w:color w:val="000000" w:themeColor="text1"/>
          <w:szCs w:val="24"/>
        </w:rPr>
        <w:t>LBP</w:t>
      </w:r>
      <w:r w:rsidR="008A52BC" w:rsidRPr="0087307F">
        <w:rPr>
          <w:rFonts w:asciiTheme="minorHAnsi" w:hAnsiTheme="minorHAnsi"/>
          <w:color w:val="000000" w:themeColor="text1"/>
          <w:szCs w:val="24"/>
        </w:rPr>
        <w:t xml:space="preserve"> suffered while deployed to OIF was rated for no mechanical loss of motion which I suffer from and has now progressed to shooting pain down my legs with tingling and limited mobility.  Combined with the restricted motion in my left shoulder, my quality of life is poor making jobs I was trained for in the military impossible to keep</w:t>
      </w:r>
      <w:r w:rsidR="00D4250C" w:rsidRPr="0087307F">
        <w:rPr>
          <w:rFonts w:asciiTheme="minorHAnsi" w:hAnsiTheme="minorHAnsi"/>
          <w:color w:val="000000" w:themeColor="text1"/>
          <w:szCs w:val="24"/>
        </w:rPr>
        <w:t>.</w:t>
      </w:r>
      <w:r w:rsidR="008A52BC" w:rsidRPr="0087307F">
        <w:rPr>
          <w:rFonts w:asciiTheme="minorHAnsi" w:hAnsiTheme="minorHAnsi"/>
          <w:color w:val="000000" w:themeColor="text1"/>
          <w:szCs w:val="24"/>
        </w:rPr>
        <w:t>”</w:t>
      </w:r>
    </w:p>
    <w:p w:rsidR="004174F0" w:rsidRPr="0087307F" w:rsidRDefault="004174F0" w:rsidP="00BF0E94">
      <w:pPr>
        <w:pBdr>
          <w:bottom w:val="single" w:sz="12" w:space="1" w:color="auto"/>
        </w:pBdr>
        <w:tabs>
          <w:tab w:val="left" w:pos="288"/>
          <w:tab w:val="left" w:pos="4752"/>
        </w:tabs>
        <w:jc w:val="both"/>
        <w:rPr>
          <w:color w:val="000000" w:themeColor="text1"/>
        </w:rPr>
      </w:pPr>
    </w:p>
    <w:p w:rsidR="004174F0" w:rsidRPr="0087307F" w:rsidRDefault="004174F0" w:rsidP="00BF0E94">
      <w:pPr>
        <w:tabs>
          <w:tab w:val="left" w:pos="288"/>
          <w:tab w:val="left" w:pos="4752"/>
        </w:tabs>
        <w:jc w:val="both"/>
        <w:rPr>
          <w:color w:val="000000" w:themeColor="text1"/>
        </w:rPr>
      </w:pPr>
    </w:p>
    <w:p w:rsidR="009D5A48" w:rsidRPr="00514400" w:rsidRDefault="009D5A48" w:rsidP="009D5A48">
      <w:pPr>
        <w:jc w:val="both"/>
        <w:rPr>
          <w:color w:val="auto"/>
        </w:rPr>
      </w:pPr>
      <w:r w:rsidRPr="0087307F">
        <w:rPr>
          <w:color w:val="auto"/>
          <w:u w:val="single"/>
        </w:rPr>
        <w:t>SCOPE OF REVIEW</w:t>
      </w:r>
      <w:r w:rsidRPr="0087307F">
        <w:rPr>
          <w:color w:val="auto"/>
        </w:rPr>
        <w:t>:  The Board wishes to clarify that the scope of its review as defined in DoDI 6040.44, Enclosure 3, paragraph 5.e</w:t>
      </w:r>
      <w:proofErr w:type="gramStart"/>
      <w:r w:rsidRPr="0087307F">
        <w:rPr>
          <w:color w:val="auto"/>
        </w:rPr>
        <w:t>.(</w:t>
      </w:r>
      <w:proofErr w:type="gramEnd"/>
      <w:r w:rsidRPr="0087307F">
        <w:rPr>
          <w:color w:val="auto"/>
        </w:rPr>
        <w:t>2) is limited to those conditions which were determined by the PEB to be specifically unfitting for continued military service; or, when requested by the CI, those condition(s) “identified but not determined to be unfitting by the PEB.”</w:t>
      </w:r>
      <w:r w:rsidR="00E90F1C">
        <w:rPr>
          <w:color w:val="auto"/>
        </w:rPr>
        <w:t xml:space="preserve"> </w:t>
      </w:r>
      <w:r w:rsidR="00C927B8">
        <w:rPr>
          <w:color w:val="auto"/>
        </w:rPr>
        <w:t xml:space="preserve"> </w:t>
      </w:r>
      <w:r w:rsidRPr="0087307F">
        <w:rPr>
          <w:color w:val="auto"/>
        </w:rPr>
        <w:t xml:space="preserve">The ratings for unfitting conditions </w:t>
      </w:r>
      <w:r w:rsidR="00C927B8">
        <w:rPr>
          <w:color w:val="auto"/>
        </w:rPr>
        <w:t>will be reviewed in all cases.</w:t>
      </w:r>
      <w:r w:rsidR="00E90F1C">
        <w:rPr>
          <w:color w:val="auto"/>
        </w:rPr>
        <w:t xml:space="preserve"> </w:t>
      </w:r>
      <w:r w:rsidR="00C927B8">
        <w:rPr>
          <w:color w:val="auto"/>
        </w:rPr>
        <w:t xml:space="preserve"> </w:t>
      </w:r>
      <w:r w:rsidRPr="0087307F">
        <w:rPr>
          <w:color w:val="auto"/>
        </w:rPr>
        <w:t>Any conditions or contention not requested in this application, or otherwise outside the Board’s defined scope of review, remain eligible for future consideration by the Army Board for the Correction of Military Records (BCMR).</w:t>
      </w:r>
    </w:p>
    <w:p w:rsidR="009D5A48" w:rsidRPr="00F64312" w:rsidRDefault="009D5A48" w:rsidP="009D5A48">
      <w:pPr>
        <w:pBdr>
          <w:bottom w:val="single" w:sz="12" w:space="1" w:color="auto"/>
        </w:pBdr>
        <w:tabs>
          <w:tab w:val="left" w:pos="288"/>
          <w:tab w:val="left" w:pos="4752"/>
        </w:tabs>
        <w:jc w:val="both"/>
        <w:rPr>
          <w:color w:val="auto"/>
        </w:rPr>
      </w:pPr>
    </w:p>
    <w:p w:rsidR="009D5A48" w:rsidRPr="00F64312" w:rsidRDefault="009D5A48" w:rsidP="009D5A48">
      <w:pPr>
        <w:jc w:val="both"/>
        <w:rPr>
          <w:color w:val="auto"/>
          <w:u w:val="single"/>
        </w:rPr>
      </w:pPr>
    </w:p>
    <w:p w:rsidR="009D5A48" w:rsidRDefault="009D5A48">
      <w:pPr>
        <w:rPr>
          <w:color w:val="000000" w:themeColor="text1"/>
          <w:u w:val="single"/>
        </w:rPr>
      </w:pPr>
      <w:r>
        <w:rPr>
          <w:color w:val="000000" w:themeColor="text1"/>
          <w:u w:val="single"/>
        </w:rPr>
        <w:br w:type="page"/>
      </w: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247430">
      <w:pPr>
        <w:jc w:val="left"/>
        <w:rPr>
          <w:color w:val="000000" w:themeColor="text1"/>
        </w:rPr>
      </w:pPr>
    </w:p>
    <w:tbl>
      <w:tblPr>
        <w:tblStyle w:val="TableGrid"/>
        <w:tblpPr w:leftFromText="187" w:rightFromText="187" w:vertAnchor="text" w:tblpXSpec="center" w:tblpY="1"/>
        <w:tblOverlap w:val="never"/>
        <w:tblW w:w="10008" w:type="dxa"/>
        <w:tblLayout w:type="fixed"/>
        <w:tblLook w:val="04A0"/>
      </w:tblPr>
      <w:tblGrid>
        <w:gridCol w:w="2177"/>
        <w:gridCol w:w="721"/>
        <w:gridCol w:w="900"/>
        <w:gridCol w:w="3240"/>
        <w:gridCol w:w="1260"/>
        <w:gridCol w:w="720"/>
        <w:gridCol w:w="990"/>
      </w:tblGrid>
      <w:tr w:rsidR="002B4E22" w:rsidRPr="00956474" w:rsidTr="00363664">
        <w:trPr>
          <w:trHeight w:val="233"/>
        </w:trPr>
        <w:tc>
          <w:tcPr>
            <w:tcW w:w="3798" w:type="dxa"/>
            <w:gridSpan w:val="3"/>
            <w:tcBorders>
              <w:right w:val="thinThickThinSmallGap" w:sz="24" w:space="0" w:color="auto"/>
            </w:tcBorders>
            <w:shd w:val="clear" w:color="auto" w:fill="D9D9D9" w:themeFill="background1" w:themeFillShade="D9"/>
            <w:vAlign w:val="center"/>
          </w:tcPr>
          <w:p w:rsidR="002B4E22" w:rsidRPr="001F29F9" w:rsidRDefault="00B731E4" w:rsidP="00C324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w:t>
            </w:r>
            <w:r w:rsidR="008A52BC">
              <w:rPr>
                <w:rFonts w:ascii="Calibri" w:hAnsi="Calibri" w:cs="Calibri"/>
                <w:b/>
                <w:color w:val="000000" w:themeColor="text1"/>
                <w:sz w:val="18"/>
                <w:szCs w:val="18"/>
              </w:rPr>
              <w:t xml:space="preserve"> Reconsideration</w:t>
            </w:r>
            <w:r w:rsidRPr="001F29F9">
              <w:rPr>
                <w:rFonts w:ascii="Calibri" w:hAnsi="Calibri" w:cs="Calibri"/>
                <w:b/>
                <w:color w:val="000000" w:themeColor="text1"/>
                <w:sz w:val="18"/>
                <w:szCs w:val="18"/>
              </w:rPr>
              <w:t xml:space="preserve"> – Dated 200</w:t>
            </w:r>
            <w:r w:rsidR="008A52BC">
              <w:rPr>
                <w:rFonts w:ascii="Calibri" w:hAnsi="Calibri" w:cs="Calibri"/>
                <w:b/>
                <w:color w:val="000000" w:themeColor="text1"/>
                <w:sz w:val="18"/>
                <w:szCs w:val="18"/>
              </w:rPr>
              <w:t>70713</w:t>
            </w:r>
          </w:p>
        </w:tc>
        <w:tc>
          <w:tcPr>
            <w:tcW w:w="6210" w:type="dxa"/>
            <w:gridSpan w:val="4"/>
            <w:tcBorders>
              <w:left w:val="thinThickThinSmallGap" w:sz="24" w:space="0" w:color="auto"/>
            </w:tcBorders>
            <w:shd w:val="clear" w:color="auto" w:fill="D9D9D9" w:themeFill="background1" w:themeFillShade="D9"/>
            <w:vAlign w:val="center"/>
          </w:tcPr>
          <w:p w:rsidR="002B4E22" w:rsidRPr="001F29F9" w:rsidRDefault="002B4E22" w:rsidP="00C324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CC12AD">
              <w:rPr>
                <w:rFonts w:ascii="Calibri" w:hAnsi="Calibri" w:cs="Calibri"/>
                <w:b/>
                <w:color w:val="000000" w:themeColor="text1"/>
                <w:sz w:val="18"/>
                <w:szCs w:val="18"/>
              </w:rPr>
              <w:t>&lt;</w:t>
            </w:r>
            <w:r w:rsidR="00F01A6C">
              <w:rPr>
                <w:rFonts w:ascii="Calibri" w:hAnsi="Calibri" w:cs="Calibri"/>
                <w:b/>
                <w:color w:val="000000" w:themeColor="text1"/>
                <w:sz w:val="18"/>
                <w:szCs w:val="18"/>
              </w:rPr>
              <w:t>1</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F01A6C">
              <w:rPr>
                <w:rFonts w:ascii="Calibri" w:hAnsi="Calibri" w:cs="Calibri"/>
                <w:b/>
                <w:color w:val="000000" w:themeColor="text1"/>
                <w:sz w:val="18"/>
                <w:szCs w:val="18"/>
              </w:rPr>
              <w:t>Pr</w:t>
            </w:r>
            <w:r w:rsidR="007272F1" w:rsidRPr="00F01A6C">
              <w:rPr>
                <w:rFonts w:ascii="Calibri" w:hAnsi="Calibri" w:cs="Calibri"/>
                <w:b/>
                <w:color w:val="000000" w:themeColor="text1"/>
                <w:sz w:val="18"/>
                <w:szCs w:val="18"/>
              </w:rPr>
              <w:t>e</w:t>
            </w:r>
            <w:r w:rsidR="00F01A6C">
              <w:rPr>
                <w:rFonts w:ascii="Calibri" w:hAnsi="Calibri" w:cs="Calibri"/>
                <w:b/>
                <w:color w:val="000000" w:themeColor="text1"/>
                <w:sz w:val="18"/>
                <w:szCs w:val="18"/>
              </w:rPr>
              <w:t>-</w:t>
            </w:r>
            <w:r w:rsidRPr="001F29F9">
              <w:rPr>
                <w:rFonts w:ascii="Calibri" w:hAnsi="Calibri" w:cs="Calibri"/>
                <w:b/>
                <w:color w:val="000000" w:themeColor="text1"/>
                <w:sz w:val="18"/>
                <w:szCs w:val="18"/>
              </w:rPr>
              <w:t xml:space="preserve">Separation) – All Effective Date </w:t>
            </w:r>
            <w:r w:rsidR="002D08F3" w:rsidRPr="001F29F9">
              <w:rPr>
                <w:rFonts w:ascii="Calibri" w:hAnsi="Calibri" w:cs="Calibri"/>
                <w:b/>
                <w:color w:val="000000" w:themeColor="text1"/>
                <w:sz w:val="18"/>
                <w:szCs w:val="18"/>
              </w:rPr>
              <w:t>200</w:t>
            </w:r>
            <w:r w:rsidR="00F01A6C">
              <w:rPr>
                <w:rFonts w:ascii="Calibri" w:hAnsi="Calibri" w:cs="Calibri"/>
                <w:b/>
                <w:color w:val="000000" w:themeColor="text1"/>
                <w:sz w:val="18"/>
                <w:szCs w:val="18"/>
              </w:rPr>
              <w:t>70929</w:t>
            </w:r>
          </w:p>
        </w:tc>
      </w:tr>
      <w:tr w:rsidR="002B4E22" w:rsidRPr="00956474" w:rsidTr="00363664">
        <w:trPr>
          <w:trHeight w:val="548"/>
        </w:trPr>
        <w:tc>
          <w:tcPr>
            <w:tcW w:w="2177"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C324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1"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C324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C324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324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C324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260" w:type="dxa"/>
            <w:tcBorders>
              <w:bottom w:val="single" w:sz="4" w:space="0" w:color="000000" w:themeColor="text1"/>
            </w:tcBorders>
            <w:shd w:val="clear" w:color="auto" w:fill="D9D9D9" w:themeFill="background1" w:themeFillShade="D9"/>
            <w:vAlign w:val="center"/>
          </w:tcPr>
          <w:p w:rsidR="002B4E22" w:rsidRPr="001F29F9" w:rsidRDefault="002B4E22" w:rsidP="00C324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C324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C324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0A078C" w:rsidRPr="00956474" w:rsidTr="00363664">
        <w:trPr>
          <w:trHeight w:val="287"/>
        </w:trPr>
        <w:tc>
          <w:tcPr>
            <w:tcW w:w="2177" w:type="dxa"/>
            <w:tcBorders>
              <w:right w:val="single" w:sz="4" w:space="0" w:color="auto"/>
            </w:tcBorders>
            <w:shd w:val="clear" w:color="auto" w:fill="FFFFFF" w:themeFill="background1"/>
            <w:vAlign w:val="center"/>
          </w:tcPr>
          <w:p w:rsidR="000A078C" w:rsidRDefault="000A078C" w:rsidP="00B25FE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Chronic </w:t>
            </w:r>
            <w:r w:rsidR="00B25FE3">
              <w:rPr>
                <w:rFonts w:ascii="Calibri" w:eastAsia="Times New Roman" w:hAnsi="Calibri" w:cs="Calibri"/>
                <w:color w:val="000000" w:themeColor="text1"/>
                <w:sz w:val="18"/>
                <w:szCs w:val="18"/>
              </w:rPr>
              <w:t xml:space="preserve">Left </w:t>
            </w:r>
            <w:r>
              <w:rPr>
                <w:rFonts w:ascii="Calibri" w:eastAsia="Times New Roman" w:hAnsi="Calibri" w:cs="Calibri"/>
                <w:color w:val="000000" w:themeColor="text1"/>
                <w:sz w:val="18"/>
                <w:szCs w:val="18"/>
              </w:rPr>
              <w:t>Shoulder Pain</w:t>
            </w:r>
          </w:p>
          <w:p w:rsidR="00B25FE3" w:rsidRPr="001F29F9" w:rsidRDefault="00B25FE3" w:rsidP="00B25FE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(Non-dominant)</w:t>
            </w:r>
          </w:p>
        </w:tc>
        <w:tc>
          <w:tcPr>
            <w:tcW w:w="721" w:type="dxa"/>
            <w:tcBorders>
              <w:left w:val="single" w:sz="4" w:space="0" w:color="auto"/>
            </w:tcBorders>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5201</w:t>
            </w:r>
          </w:p>
        </w:tc>
        <w:tc>
          <w:tcPr>
            <w:tcW w:w="900" w:type="dxa"/>
            <w:tcBorders>
              <w:right w:val="thinThickThinSmallGap" w:sz="24" w:space="0" w:color="auto"/>
            </w:tcBorders>
            <w:shd w:val="clear" w:color="auto" w:fill="FFFFFF" w:themeFill="background1"/>
            <w:vAlign w:val="center"/>
          </w:tcPr>
          <w:p w:rsidR="000A078C" w:rsidRPr="001F29F9" w:rsidRDefault="000A078C" w:rsidP="00C324CF">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3240" w:type="dxa"/>
            <w:tcBorders>
              <w:left w:val="thinThickThinSmallGap" w:sz="24" w:space="0" w:color="auto"/>
            </w:tcBorders>
            <w:shd w:val="clear" w:color="auto" w:fill="FFFFFF" w:themeFill="background1"/>
            <w:vAlign w:val="center"/>
          </w:tcPr>
          <w:p w:rsidR="000A078C" w:rsidRPr="001F29F9" w:rsidRDefault="004C5539" w:rsidP="00C324C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Acromioclavicular</w:t>
            </w:r>
            <w:r w:rsidR="000A078C">
              <w:rPr>
                <w:rFonts w:ascii="Calibri" w:eastAsia="Times New Roman" w:hAnsi="Calibri" w:cs="Calibri"/>
                <w:color w:val="000000" w:themeColor="text1"/>
                <w:sz w:val="18"/>
                <w:szCs w:val="18"/>
              </w:rPr>
              <w:t xml:space="preserve"> Hypertrophy with Impingement and Minimal Tendinopathy Left Shoulder (Dominant)</w:t>
            </w:r>
          </w:p>
        </w:tc>
        <w:tc>
          <w:tcPr>
            <w:tcW w:w="1260" w:type="dxa"/>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5299-5203</w:t>
            </w:r>
          </w:p>
        </w:tc>
        <w:tc>
          <w:tcPr>
            <w:tcW w:w="720" w:type="dxa"/>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r w:rsidR="00506D58">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highlight w:val="yellow"/>
              </w:rPr>
            </w:pPr>
            <w:r w:rsidRPr="00F01A6C">
              <w:rPr>
                <w:rFonts w:ascii="Calibri" w:eastAsia="Times New Roman" w:hAnsi="Calibri" w:cs="Calibri"/>
                <w:color w:val="000000" w:themeColor="text1"/>
                <w:sz w:val="18"/>
                <w:szCs w:val="18"/>
              </w:rPr>
              <w:t>20070920</w:t>
            </w:r>
          </w:p>
        </w:tc>
      </w:tr>
      <w:tr w:rsidR="000A078C" w:rsidRPr="00956474" w:rsidTr="00363664">
        <w:trPr>
          <w:trHeight w:val="287"/>
        </w:trPr>
        <w:tc>
          <w:tcPr>
            <w:tcW w:w="2177" w:type="dxa"/>
            <w:tcBorders>
              <w:right w:val="single" w:sz="4" w:space="0" w:color="auto"/>
            </w:tcBorders>
            <w:shd w:val="clear" w:color="auto" w:fill="FFFFFF" w:themeFill="background1"/>
            <w:vAlign w:val="center"/>
          </w:tcPr>
          <w:p w:rsidR="000A078C" w:rsidRPr="001F29F9" w:rsidRDefault="000A078C" w:rsidP="00C324C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Chronic Low Back Pain</w:t>
            </w:r>
          </w:p>
        </w:tc>
        <w:tc>
          <w:tcPr>
            <w:tcW w:w="721" w:type="dxa"/>
            <w:tcBorders>
              <w:left w:val="single" w:sz="4" w:space="0" w:color="auto"/>
            </w:tcBorders>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0A078C" w:rsidRPr="001F29F9" w:rsidRDefault="000A078C" w:rsidP="00C324CF">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3240" w:type="dxa"/>
            <w:tcBorders>
              <w:left w:val="thinThickThinSmallGap" w:sz="24" w:space="0" w:color="auto"/>
              <w:right w:val="single" w:sz="4" w:space="0" w:color="auto"/>
            </w:tcBorders>
            <w:shd w:val="clear" w:color="auto" w:fill="FFFFFF" w:themeFill="background1"/>
            <w:vAlign w:val="center"/>
          </w:tcPr>
          <w:p w:rsidR="000A078C" w:rsidRPr="001F29F9" w:rsidRDefault="000A078C" w:rsidP="00C324C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Moderate Spinal Canal Stenosis, Board-Based Disk Bulging and Small Central Disk Protrusion and Facet Degenerative Changes of the Lumbar Spine</w:t>
            </w:r>
          </w:p>
        </w:tc>
        <w:tc>
          <w:tcPr>
            <w:tcW w:w="1260" w:type="dxa"/>
            <w:tcBorders>
              <w:left w:val="single" w:sz="4" w:space="0" w:color="auto"/>
            </w:tcBorders>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5237</w:t>
            </w:r>
          </w:p>
        </w:tc>
        <w:tc>
          <w:tcPr>
            <w:tcW w:w="720" w:type="dxa"/>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r w:rsidR="00506D58">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highlight w:val="yellow"/>
              </w:rPr>
            </w:pPr>
            <w:r w:rsidRPr="00F01A6C">
              <w:rPr>
                <w:rFonts w:ascii="Calibri" w:eastAsia="Times New Roman" w:hAnsi="Calibri" w:cs="Calibri"/>
                <w:color w:val="000000" w:themeColor="text1"/>
                <w:sz w:val="18"/>
                <w:szCs w:val="18"/>
              </w:rPr>
              <w:t>20070920</w:t>
            </w:r>
          </w:p>
        </w:tc>
      </w:tr>
      <w:tr w:rsidR="004C5539" w:rsidRPr="00956474" w:rsidTr="00363664">
        <w:trPr>
          <w:trHeight w:val="287"/>
        </w:trPr>
        <w:tc>
          <w:tcPr>
            <w:tcW w:w="2177" w:type="dxa"/>
            <w:vMerge w:val="restart"/>
            <w:tcBorders>
              <w:right w:val="single" w:sz="4" w:space="0" w:color="auto"/>
            </w:tcBorders>
            <w:shd w:val="clear" w:color="auto" w:fill="FFFFFF" w:themeFill="background1"/>
            <w:vAlign w:val="center"/>
          </w:tcPr>
          <w:p w:rsidR="004C5539" w:rsidRPr="001F29F9" w:rsidRDefault="004C5539" w:rsidP="00C324C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Re</w:t>
            </w:r>
            <w:r w:rsidR="00B25FE3">
              <w:rPr>
                <w:rFonts w:ascii="Calibri" w:eastAsia="Times New Roman" w:hAnsi="Calibri" w:cs="Calibri"/>
                <w:color w:val="000000" w:themeColor="text1"/>
                <w:sz w:val="18"/>
                <w:szCs w:val="18"/>
              </w:rPr>
              <w:t>tropatellar Pain Syndrome</w:t>
            </w:r>
            <w:r>
              <w:rPr>
                <w:rFonts w:ascii="Calibri" w:eastAsia="Times New Roman" w:hAnsi="Calibri" w:cs="Calibri"/>
                <w:color w:val="000000" w:themeColor="text1"/>
                <w:sz w:val="18"/>
                <w:szCs w:val="18"/>
              </w:rPr>
              <w:t xml:space="preserve"> Bilateral</w:t>
            </w:r>
          </w:p>
        </w:tc>
        <w:tc>
          <w:tcPr>
            <w:tcW w:w="1621" w:type="dxa"/>
            <w:gridSpan w:val="2"/>
            <w:vMerge w:val="restart"/>
            <w:tcBorders>
              <w:left w:val="single" w:sz="4" w:space="0" w:color="auto"/>
              <w:right w:val="thinThickThinSmallGap" w:sz="24" w:space="0" w:color="auto"/>
            </w:tcBorders>
            <w:shd w:val="clear" w:color="auto" w:fill="FFFFFF" w:themeFill="background1"/>
            <w:vAlign w:val="center"/>
          </w:tcPr>
          <w:p w:rsidR="004C5539" w:rsidRPr="001F29F9" w:rsidRDefault="004C5539" w:rsidP="00C324CF">
            <w:pPr>
              <w:spacing w:line="180" w:lineRule="exact"/>
              <w:contextualSpacing/>
              <w:rPr>
                <w:rFonts w:ascii="Calibri" w:eastAsia="Times New Roman" w:hAnsi="Calibri" w:cs="Calibri"/>
                <w:color w:val="000000" w:themeColor="text1"/>
                <w:sz w:val="18"/>
                <w:szCs w:val="18"/>
                <w:highlight w:val="yellow"/>
              </w:rPr>
            </w:pPr>
            <w:r w:rsidRPr="00F01A6C">
              <w:rPr>
                <w:rFonts w:ascii="Calibri" w:eastAsia="Times New Roman" w:hAnsi="Calibri" w:cs="Calibri"/>
                <w:color w:val="000000" w:themeColor="text1"/>
                <w:sz w:val="18"/>
                <w:szCs w:val="18"/>
              </w:rPr>
              <w:t>Not Unfitting</w:t>
            </w:r>
          </w:p>
        </w:tc>
        <w:tc>
          <w:tcPr>
            <w:tcW w:w="3240" w:type="dxa"/>
            <w:tcBorders>
              <w:left w:val="thinThickThinSmallGap" w:sz="24" w:space="0" w:color="auto"/>
              <w:right w:val="single" w:sz="4" w:space="0" w:color="auto"/>
            </w:tcBorders>
            <w:shd w:val="clear" w:color="auto" w:fill="FFFFFF" w:themeFill="background1"/>
            <w:vAlign w:val="center"/>
          </w:tcPr>
          <w:p w:rsidR="004C5539" w:rsidRPr="001F29F9" w:rsidRDefault="004C5539" w:rsidP="00C324C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Retropatellar Pain Syndrome Right Knee</w:t>
            </w:r>
          </w:p>
        </w:tc>
        <w:tc>
          <w:tcPr>
            <w:tcW w:w="1260" w:type="dxa"/>
            <w:tcBorders>
              <w:left w:val="single" w:sz="4" w:space="0" w:color="auto"/>
            </w:tcBorders>
            <w:shd w:val="clear" w:color="auto" w:fill="FFFFFF" w:themeFill="background1"/>
            <w:vAlign w:val="center"/>
          </w:tcPr>
          <w:p w:rsidR="004C5539" w:rsidRPr="001F29F9" w:rsidRDefault="004C5539"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5099-5014</w:t>
            </w:r>
          </w:p>
        </w:tc>
        <w:tc>
          <w:tcPr>
            <w:tcW w:w="720" w:type="dxa"/>
            <w:shd w:val="clear" w:color="auto" w:fill="FFFFFF" w:themeFill="background1"/>
            <w:vAlign w:val="center"/>
          </w:tcPr>
          <w:p w:rsidR="004C5539" w:rsidRPr="001F29F9" w:rsidRDefault="004C5539"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4C5539" w:rsidRPr="001F29F9" w:rsidRDefault="004C5539" w:rsidP="00C324CF">
            <w:pPr>
              <w:spacing w:line="180" w:lineRule="exact"/>
              <w:contextualSpacing/>
              <w:rPr>
                <w:rFonts w:ascii="Calibri" w:eastAsia="Times New Roman" w:hAnsi="Calibri" w:cs="Calibri"/>
                <w:color w:val="000000" w:themeColor="text1"/>
                <w:sz w:val="18"/>
                <w:szCs w:val="18"/>
                <w:highlight w:val="yellow"/>
              </w:rPr>
            </w:pPr>
            <w:r w:rsidRPr="00F01A6C">
              <w:rPr>
                <w:rFonts w:ascii="Calibri" w:eastAsia="Times New Roman" w:hAnsi="Calibri" w:cs="Calibri"/>
                <w:color w:val="000000" w:themeColor="text1"/>
                <w:sz w:val="18"/>
                <w:szCs w:val="18"/>
              </w:rPr>
              <w:t>20070920</w:t>
            </w:r>
          </w:p>
        </w:tc>
      </w:tr>
      <w:tr w:rsidR="004C5539" w:rsidRPr="00956474" w:rsidTr="00363664">
        <w:trPr>
          <w:trHeight w:val="287"/>
        </w:trPr>
        <w:tc>
          <w:tcPr>
            <w:tcW w:w="2177" w:type="dxa"/>
            <w:vMerge/>
            <w:tcBorders>
              <w:right w:val="single" w:sz="4" w:space="0" w:color="auto"/>
            </w:tcBorders>
            <w:shd w:val="clear" w:color="auto" w:fill="FFFFFF" w:themeFill="background1"/>
            <w:vAlign w:val="center"/>
          </w:tcPr>
          <w:p w:rsidR="004C5539" w:rsidRDefault="004C5539" w:rsidP="00C324CF">
            <w:pPr>
              <w:spacing w:line="180" w:lineRule="exact"/>
              <w:contextualSpacing/>
              <w:jc w:val="left"/>
              <w:rPr>
                <w:rFonts w:cs="Calibri"/>
                <w:color w:val="000000" w:themeColor="text1"/>
                <w:sz w:val="18"/>
                <w:szCs w:val="18"/>
              </w:rPr>
            </w:pPr>
          </w:p>
        </w:tc>
        <w:tc>
          <w:tcPr>
            <w:tcW w:w="1621" w:type="dxa"/>
            <w:gridSpan w:val="2"/>
            <w:vMerge/>
            <w:tcBorders>
              <w:left w:val="single" w:sz="4" w:space="0" w:color="auto"/>
              <w:right w:val="thinThickThinSmallGap" w:sz="24" w:space="0" w:color="auto"/>
            </w:tcBorders>
            <w:shd w:val="clear" w:color="auto" w:fill="FFFFFF" w:themeFill="background1"/>
            <w:vAlign w:val="center"/>
          </w:tcPr>
          <w:p w:rsidR="004C5539" w:rsidRPr="00F01A6C" w:rsidRDefault="004C5539" w:rsidP="00C324CF">
            <w:pPr>
              <w:spacing w:line="180" w:lineRule="exact"/>
              <w:contextualSpacing/>
              <w:rPr>
                <w:rFonts w:cs="Calibri"/>
                <w:color w:val="000000" w:themeColor="text1"/>
                <w:sz w:val="18"/>
                <w:szCs w:val="18"/>
              </w:rPr>
            </w:pPr>
          </w:p>
        </w:tc>
        <w:tc>
          <w:tcPr>
            <w:tcW w:w="3240" w:type="dxa"/>
            <w:tcBorders>
              <w:left w:val="thinThickThinSmallGap" w:sz="24" w:space="0" w:color="auto"/>
              <w:right w:val="single" w:sz="4" w:space="0" w:color="auto"/>
            </w:tcBorders>
            <w:shd w:val="clear" w:color="auto" w:fill="FFFFFF" w:themeFill="background1"/>
            <w:vAlign w:val="center"/>
          </w:tcPr>
          <w:p w:rsidR="004C5539" w:rsidRDefault="004C5539" w:rsidP="00C324CF">
            <w:pPr>
              <w:spacing w:line="180" w:lineRule="exact"/>
              <w:contextualSpacing/>
              <w:jc w:val="left"/>
              <w:rPr>
                <w:rFonts w:cs="Calibri"/>
                <w:color w:val="000000" w:themeColor="text1"/>
                <w:sz w:val="18"/>
                <w:szCs w:val="18"/>
              </w:rPr>
            </w:pPr>
            <w:r>
              <w:rPr>
                <w:rFonts w:cs="Calibri"/>
                <w:color w:val="000000" w:themeColor="text1"/>
                <w:sz w:val="18"/>
                <w:szCs w:val="18"/>
              </w:rPr>
              <w:t>Retropatellar Pain Syndrome Left Knee</w:t>
            </w:r>
          </w:p>
        </w:tc>
        <w:tc>
          <w:tcPr>
            <w:tcW w:w="1260" w:type="dxa"/>
            <w:tcBorders>
              <w:left w:val="single" w:sz="4" w:space="0" w:color="auto"/>
            </w:tcBorders>
            <w:shd w:val="clear" w:color="auto" w:fill="FFFFFF" w:themeFill="background1"/>
            <w:vAlign w:val="center"/>
          </w:tcPr>
          <w:p w:rsidR="004C5539" w:rsidRPr="001F29F9" w:rsidRDefault="004C5539" w:rsidP="00C324CF">
            <w:pPr>
              <w:spacing w:line="180" w:lineRule="exact"/>
              <w:contextualSpacing/>
              <w:rPr>
                <w:rFonts w:cs="Calibri"/>
                <w:color w:val="000000" w:themeColor="text1"/>
                <w:sz w:val="18"/>
                <w:szCs w:val="18"/>
              </w:rPr>
            </w:pPr>
            <w:r>
              <w:rPr>
                <w:rFonts w:cs="Calibri"/>
                <w:color w:val="000000" w:themeColor="text1"/>
                <w:sz w:val="18"/>
                <w:szCs w:val="18"/>
              </w:rPr>
              <w:t>5099-5014</w:t>
            </w:r>
          </w:p>
        </w:tc>
        <w:tc>
          <w:tcPr>
            <w:tcW w:w="720" w:type="dxa"/>
            <w:shd w:val="clear" w:color="auto" w:fill="FFFFFF" w:themeFill="background1"/>
            <w:vAlign w:val="center"/>
          </w:tcPr>
          <w:p w:rsidR="004C5539" w:rsidRPr="001F29F9" w:rsidRDefault="004C5539" w:rsidP="00C324CF">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4C5539" w:rsidRPr="001F29F9" w:rsidRDefault="004C5539" w:rsidP="00C324CF">
            <w:pPr>
              <w:spacing w:line="180" w:lineRule="exact"/>
              <w:contextualSpacing/>
              <w:rPr>
                <w:rFonts w:cs="Calibri"/>
                <w:color w:val="000000" w:themeColor="text1"/>
                <w:sz w:val="18"/>
                <w:szCs w:val="18"/>
                <w:highlight w:val="yellow"/>
              </w:rPr>
            </w:pPr>
            <w:r w:rsidRPr="00F01A6C">
              <w:rPr>
                <w:rFonts w:ascii="Calibri" w:eastAsia="Times New Roman" w:hAnsi="Calibri" w:cs="Calibri"/>
                <w:color w:val="000000" w:themeColor="text1"/>
                <w:sz w:val="18"/>
                <w:szCs w:val="18"/>
              </w:rPr>
              <w:t>20070920</w:t>
            </w:r>
          </w:p>
        </w:tc>
      </w:tr>
      <w:tr w:rsidR="000A078C" w:rsidRPr="00956474" w:rsidTr="00363664">
        <w:trPr>
          <w:trHeight w:val="287"/>
        </w:trPr>
        <w:tc>
          <w:tcPr>
            <w:tcW w:w="2177" w:type="dxa"/>
            <w:tcBorders>
              <w:right w:val="single" w:sz="4" w:space="0" w:color="auto"/>
            </w:tcBorders>
            <w:shd w:val="clear" w:color="auto" w:fill="FFFFFF" w:themeFill="background1"/>
            <w:vAlign w:val="center"/>
          </w:tcPr>
          <w:p w:rsidR="000A078C" w:rsidRPr="001F29F9" w:rsidRDefault="000A078C" w:rsidP="00C324C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Hypertension</w:t>
            </w:r>
          </w:p>
        </w:tc>
        <w:tc>
          <w:tcPr>
            <w:tcW w:w="1621" w:type="dxa"/>
            <w:gridSpan w:val="2"/>
            <w:tcBorders>
              <w:left w:val="single" w:sz="4" w:space="0" w:color="auto"/>
              <w:right w:val="thinThickThinSmallGap" w:sz="24" w:space="0" w:color="auto"/>
            </w:tcBorders>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highlight w:val="yellow"/>
              </w:rPr>
            </w:pPr>
            <w:r w:rsidRPr="00F01A6C">
              <w:rPr>
                <w:rFonts w:ascii="Calibri" w:eastAsia="Times New Roman" w:hAnsi="Calibri" w:cs="Calibri"/>
                <w:color w:val="000000" w:themeColor="text1"/>
                <w:sz w:val="18"/>
                <w:szCs w:val="18"/>
              </w:rPr>
              <w:t>Not Unfitting</w:t>
            </w:r>
          </w:p>
        </w:tc>
        <w:tc>
          <w:tcPr>
            <w:tcW w:w="3240" w:type="dxa"/>
            <w:tcBorders>
              <w:left w:val="thinThickThinSmallGap" w:sz="24" w:space="0" w:color="auto"/>
              <w:right w:val="single" w:sz="4" w:space="0" w:color="auto"/>
            </w:tcBorders>
            <w:shd w:val="clear" w:color="auto" w:fill="FFFFFF" w:themeFill="background1"/>
            <w:vAlign w:val="center"/>
          </w:tcPr>
          <w:p w:rsidR="000A078C" w:rsidRPr="001F29F9" w:rsidRDefault="000A078C" w:rsidP="00C324C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Hypertension</w:t>
            </w:r>
          </w:p>
        </w:tc>
        <w:tc>
          <w:tcPr>
            <w:tcW w:w="1260" w:type="dxa"/>
            <w:tcBorders>
              <w:left w:val="single" w:sz="4" w:space="0" w:color="auto"/>
            </w:tcBorders>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7101</w:t>
            </w:r>
          </w:p>
        </w:tc>
        <w:tc>
          <w:tcPr>
            <w:tcW w:w="720" w:type="dxa"/>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highlight w:val="yellow"/>
              </w:rPr>
            </w:pPr>
            <w:r w:rsidRPr="000A078C">
              <w:rPr>
                <w:rFonts w:ascii="Calibri" w:eastAsia="Times New Roman" w:hAnsi="Calibri" w:cs="Calibri"/>
                <w:color w:val="000000" w:themeColor="text1"/>
                <w:sz w:val="18"/>
                <w:szCs w:val="18"/>
              </w:rPr>
              <w:t>20070920</w:t>
            </w:r>
          </w:p>
        </w:tc>
      </w:tr>
      <w:tr w:rsidR="00C324CF" w:rsidRPr="00956474" w:rsidTr="00363664">
        <w:trPr>
          <w:trHeight w:val="287"/>
        </w:trPr>
        <w:tc>
          <w:tcPr>
            <w:tcW w:w="2177" w:type="dxa"/>
            <w:tcBorders>
              <w:right w:val="single" w:sz="4" w:space="0" w:color="auto"/>
            </w:tcBorders>
            <w:shd w:val="clear" w:color="auto" w:fill="FFFFFF" w:themeFill="background1"/>
            <w:vAlign w:val="center"/>
          </w:tcPr>
          <w:p w:rsidR="00C324CF" w:rsidRPr="001F29F9" w:rsidRDefault="00C324CF" w:rsidP="00C324C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Hypercholesterolemia</w:t>
            </w:r>
          </w:p>
        </w:tc>
        <w:tc>
          <w:tcPr>
            <w:tcW w:w="1621" w:type="dxa"/>
            <w:gridSpan w:val="2"/>
            <w:tcBorders>
              <w:left w:val="single" w:sz="4" w:space="0" w:color="auto"/>
              <w:right w:val="thinThickThinSmallGap" w:sz="24" w:space="0" w:color="auto"/>
            </w:tcBorders>
            <w:shd w:val="clear" w:color="auto" w:fill="FFFFFF" w:themeFill="background1"/>
            <w:vAlign w:val="center"/>
          </w:tcPr>
          <w:p w:rsidR="00C324CF" w:rsidRPr="001F29F9" w:rsidRDefault="00C324CF" w:rsidP="00C324CF">
            <w:pPr>
              <w:spacing w:line="180" w:lineRule="exact"/>
              <w:contextualSpacing/>
              <w:rPr>
                <w:rFonts w:ascii="Calibri" w:eastAsia="Times New Roman" w:hAnsi="Calibri" w:cs="Calibri"/>
                <w:color w:val="000000" w:themeColor="text1"/>
                <w:sz w:val="18"/>
                <w:szCs w:val="18"/>
              </w:rPr>
            </w:pPr>
            <w:r w:rsidRPr="00F01A6C">
              <w:rPr>
                <w:rFonts w:ascii="Calibri" w:eastAsia="Times New Roman" w:hAnsi="Calibri" w:cs="Calibri"/>
                <w:color w:val="000000" w:themeColor="text1"/>
                <w:sz w:val="18"/>
                <w:szCs w:val="18"/>
              </w:rPr>
              <w:t>Not Unfitting</w:t>
            </w:r>
          </w:p>
        </w:tc>
        <w:tc>
          <w:tcPr>
            <w:tcW w:w="3240" w:type="dxa"/>
            <w:tcBorders>
              <w:left w:val="thinThickThinSmallGap" w:sz="24" w:space="0" w:color="auto"/>
              <w:right w:val="single" w:sz="4" w:space="0" w:color="auto"/>
            </w:tcBorders>
            <w:shd w:val="clear" w:color="auto" w:fill="FFFFFF" w:themeFill="background1"/>
            <w:vAlign w:val="center"/>
          </w:tcPr>
          <w:p w:rsidR="00C324CF" w:rsidRPr="001F29F9" w:rsidRDefault="00C324CF" w:rsidP="00C324C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Hyperlipidemia</w:t>
            </w:r>
          </w:p>
        </w:tc>
        <w:tc>
          <w:tcPr>
            <w:tcW w:w="1260" w:type="dxa"/>
            <w:tcBorders>
              <w:left w:val="single" w:sz="4" w:space="0" w:color="auto"/>
              <w:right w:val="single" w:sz="4" w:space="0" w:color="auto"/>
            </w:tcBorders>
            <w:shd w:val="clear" w:color="auto" w:fill="FFFFFF" w:themeFill="background1"/>
            <w:vAlign w:val="center"/>
          </w:tcPr>
          <w:p w:rsidR="00C324CF" w:rsidRPr="001F29F9" w:rsidRDefault="00C324CF" w:rsidP="00C324CF">
            <w:pPr>
              <w:spacing w:line="180" w:lineRule="exact"/>
              <w:contextualSpacing/>
              <w:rPr>
                <w:rFonts w:ascii="Calibri" w:eastAsia="Times New Roman" w:hAnsi="Calibri" w:cs="Calibri"/>
                <w:color w:val="000000" w:themeColor="text1"/>
                <w:sz w:val="18"/>
                <w:szCs w:val="18"/>
                <w:highlight w:val="yellow"/>
              </w:rPr>
            </w:pPr>
            <w:r w:rsidRPr="00C324CF">
              <w:rPr>
                <w:rFonts w:ascii="Calibri" w:eastAsia="Times New Roman" w:hAnsi="Calibri" w:cs="Calibri"/>
                <w:color w:val="000000" w:themeColor="text1"/>
                <w:sz w:val="18"/>
                <w:szCs w:val="18"/>
              </w:rPr>
              <w:t>7099-7005</w:t>
            </w:r>
          </w:p>
        </w:tc>
        <w:tc>
          <w:tcPr>
            <w:tcW w:w="720" w:type="dxa"/>
            <w:tcBorders>
              <w:left w:val="single" w:sz="4" w:space="0" w:color="auto"/>
              <w:right w:val="single" w:sz="4" w:space="0" w:color="auto"/>
            </w:tcBorders>
            <w:shd w:val="clear" w:color="auto" w:fill="FFFFFF" w:themeFill="background1"/>
            <w:vAlign w:val="center"/>
          </w:tcPr>
          <w:p w:rsidR="00C324CF" w:rsidRPr="001F29F9" w:rsidRDefault="00C324CF" w:rsidP="00C324CF">
            <w:pPr>
              <w:spacing w:line="180" w:lineRule="exact"/>
              <w:contextualSpacing/>
              <w:rPr>
                <w:rFonts w:cs="Calibri"/>
                <w:color w:val="000000" w:themeColor="text1"/>
                <w:sz w:val="18"/>
                <w:szCs w:val="18"/>
                <w:highlight w:val="yellow"/>
              </w:rPr>
            </w:pPr>
            <w:r w:rsidRPr="00C324CF">
              <w:rPr>
                <w:rFonts w:ascii="Calibri" w:eastAsia="Times New Roman" w:hAnsi="Calibri" w:cs="Calibri"/>
                <w:color w:val="000000" w:themeColor="text1"/>
                <w:sz w:val="18"/>
                <w:szCs w:val="18"/>
              </w:rPr>
              <w:t>NSC</w:t>
            </w:r>
          </w:p>
        </w:tc>
        <w:tc>
          <w:tcPr>
            <w:tcW w:w="990" w:type="dxa"/>
            <w:tcBorders>
              <w:left w:val="single" w:sz="4" w:space="0" w:color="auto"/>
            </w:tcBorders>
            <w:shd w:val="clear" w:color="auto" w:fill="FFFFFF" w:themeFill="background1"/>
            <w:vAlign w:val="center"/>
          </w:tcPr>
          <w:p w:rsidR="00C324CF" w:rsidRPr="001F29F9" w:rsidRDefault="00C324CF" w:rsidP="00C324CF">
            <w:pPr>
              <w:spacing w:line="180" w:lineRule="exact"/>
              <w:contextualSpacing/>
              <w:rPr>
                <w:rFonts w:cs="Calibri"/>
                <w:color w:val="000000" w:themeColor="text1"/>
                <w:sz w:val="18"/>
                <w:szCs w:val="18"/>
                <w:highlight w:val="yellow"/>
              </w:rPr>
            </w:pPr>
            <w:r w:rsidRPr="00C324CF">
              <w:rPr>
                <w:rFonts w:cs="Calibri"/>
                <w:color w:val="000000" w:themeColor="text1"/>
                <w:sz w:val="18"/>
                <w:szCs w:val="18"/>
              </w:rPr>
              <w:t>20070920</w:t>
            </w:r>
          </w:p>
        </w:tc>
      </w:tr>
      <w:tr w:rsidR="000A078C" w:rsidRPr="00956474" w:rsidTr="00363664">
        <w:trPr>
          <w:trHeight w:val="260"/>
        </w:trPr>
        <w:tc>
          <w:tcPr>
            <w:tcW w:w="3798" w:type="dxa"/>
            <w:gridSpan w:val="3"/>
            <w:tcBorders>
              <w:right w:val="thinThickThinSmallGap" w:sz="24" w:space="0" w:color="auto"/>
            </w:tcBorders>
            <w:shd w:val="clear" w:color="auto" w:fill="FFFFFF" w:themeFill="background1"/>
          </w:tcPr>
          <w:p w:rsidR="000A078C" w:rsidRPr="001F29F9" w:rsidRDefault="000A078C" w:rsidP="00C324CF">
            <w:pPr>
              <w:spacing w:line="240" w:lineRule="auto"/>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5220" w:type="dxa"/>
            <w:gridSpan w:val="3"/>
            <w:tcBorders>
              <w:left w:val="thinThickThinSmallGap" w:sz="24" w:space="0" w:color="auto"/>
            </w:tcBorders>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sidR="00B25FE3">
              <w:rPr>
                <w:rFonts w:ascii="Calibri" w:hAnsi="Calibri" w:cs="Calibri"/>
                <w:color w:val="000000" w:themeColor="text1"/>
                <w:sz w:val="18"/>
                <w:szCs w:val="18"/>
              </w:rPr>
              <w:t>3</w:t>
            </w:r>
            <w:r w:rsidR="004F732E">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sidR="00B25FE3">
              <w:rPr>
                <w:rFonts w:ascii="Calibri" w:hAnsi="Calibri" w:cs="Calibri"/>
                <w:color w:val="000000" w:themeColor="text1"/>
                <w:sz w:val="18"/>
                <w:szCs w:val="18"/>
              </w:rPr>
              <w:t>4</w:t>
            </w:r>
          </w:p>
        </w:tc>
        <w:tc>
          <w:tcPr>
            <w:tcW w:w="990" w:type="dxa"/>
            <w:shd w:val="clear" w:color="auto" w:fill="FFFFFF" w:themeFill="background1"/>
            <w:vAlign w:val="center"/>
          </w:tcPr>
          <w:p w:rsidR="000A078C" w:rsidRPr="001F29F9" w:rsidRDefault="000A078C" w:rsidP="00C324CF">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70920</w:t>
            </w:r>
          </w:p>
        </w:tc>
      </w:tr>
      <w:tr w:rsidR="000A078C" w:rsidRPr="00956474" w:rsidTr="00363664">
        <w:trPr>
          <w:trHeight w:val="343"/>
        </w:trPr>
        <w:tc>
          <w:tcPr>
            <w:tcW w:w="3798" w:type="dxa"/>
            <w:gridSpan w:val="3"/>
            <w:tcBorders>
              <w:right w:val="thinThickThinSmallGap" w:sz="24" w:space="0" w:color="auto"/>
            </w:tcBorders>
            <w:shd w:val="clear" w:color="auto" w:fill="D9D9D9" w:themeFill="background1" w:themeFillShade="D9"/>
            <w:vAlign w:val="center"/>
          </w:tcPr>
          <w:p w:rsidR="000A078C" w:rsidRPr="001F29F9" w:rsidRDefault="000A078C" w:rsidP="009F15D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6210" w:type="dxa"/>
            <w:gridSpan w:val="4"/>
            <w:tcBorders>
              <w:left w:val="thinThickThinSmallGap" w:sz="24" w:space="0" w:color="auto"/>
            </w:tcBorders>
            <w:shd w:val="clear" w:color="auto" w:fill="D9D9D9" w:themeFill="background1" w:themeFillShade="D9"/>
            <w:vAlign w:val="center"/>
          </w:tcPr>
          <w:p w:rsidR="000A078C" w:rsidRPr="001F29F9" w:rsidRDefault="000A078C" w:rsidP="009F15D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4</w:t>
            </w:r>
            <w:r w:rsidRPr="001F29F9">
              <w:rPr>
                <w:rFonts w:ascii="Calibri" w:hAnsi="Calibri" w:cs="Calibri"/>
                <w:b/>
                <w:color w:val="000000" w:themeColor="text1"/>
                <w:sz w:val="18"/>
                <w:szCs w:val="18"/>
              </w:rPr>
              <w:t>0%</w:t>
            </w:r>
            <w:r w:rsidR="00506D58">
              <w:rPr>
                <w:rFonts w:ascii="Calibri" w:hAnsi="Calibri" w:cs="Calibri"/>
                <w:b/>
                <w:color w:val="000000" w:themeColor="text1"/>
                <w:sz w:val="18"/>
                <w:szCs w:val="18"/>
              </w:rPr>
              <w:t>**</w:t>
            </w:r>
          </w:p>
        </w:tc>
      </w:tr>
    </w:tbl>
    <w:p w:rsidR="00A97CD9" w:rsidRDefault="00506D58" w:rsidP="00372B82">
      <w:pPr>
        <w:pBdr>
          <w:bottom w:val="single" w:sz="12" w:space="1" w:color="auto"/>
        </w:pBdr>
        <w:tabs>
          <w:tab w:val="left" w:pos="288"/>
          <w:tab w:val="left" w:pos="4752"/>
        </w:tabs>
        <w:spacing w:line="200" w:lineRule="exact"/>
        <w:jc w:val="both"/>
        <w:rPr>
          <w:color w:val="000000" w:themeColor="text1"/>
          <w:sz w:val="20"/>
        </w:rPr>
      </w:pPr>
      <w:r>
        <w:rPr>
          <w:color w:val="000000" w:themeColor="text1"/>
          <w:sz w:val="20"/>
        </w:rPr>
        <w:t>*Increased to 20% effective 20110406.</w:t>
      </w:r>
    </w:p>
    <w:p w:rsidR="00506D58" w:rsidRPr="00506D58" w:rsidRDefault="00506D58" w:rsidP="00372B82">
      <w:pPr>
        <w:pBdr>
          <w:bottom w:val="single" w:sz="12" w:space="1" w:color="auto"/>
        </w:pBdr>
        <w:tabs>
          <w:tab w:val="left" w:pos="288"/>
          <w:tab w:val="left" w:pos="4752"/>
        </w:tabs>
        <w:spacing w:line="200" w:lineRule="exact"/>
        <w:jc w:val="both"/>
        <w:rPr>
          <w:color w:val="000000" w:themeColor="text1"/>
          <w:sz w:val="20"/>
        </w:rPr>
      </w:pPr>
      <w:r>
        <w:rPr>
          <w:color w:val="000000" w:themeColor="text1"/>
          <w:sz w:val="20"/>
        </w:rPr>
        <w:t>**Increased to 60% effective 20110406 when 5299-5203 and 5237 increased to 20% each and addition of 8520 Right Lower Extremity neuropathy at 10% effective 20110406.</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Default="009369A6" w:rsidP="00E92398">
      <w:pPr>
        <w:jc w:val="left"/>
        <w:rPr>
          <w:color w:val="000000" w:themeColor="text1"/>
        </w:rPr>
      </w:pPr>
    </w:p>
    <w:p w:rsidR="009D5A48" w:rsidRPr="00F64312" w:rsidRDefault="002C6E5B" w:rsidP="009D5A48">
      <w:pPr>
        <w:jc w:val="both"/>
        <w:rPr>
          <w:color w:val="auto"/>
        </w:rPr>
      </w:pPr>
      <w:r w:rsidRPr="001F29F9">
        <w:rPr>
          <w:color w:val="000000" w:themeColor="text1"/>
          <w:szCs w:val="24"/>
          <w:u w:val="single"/>
        </w:rPr>
        <w:t>ANALYSIS SUMMARY</w:t>
      </w:r>
      <w:r w:rsidRPr="001F29F9">
        <w:rPr>
          <w:color w:val="000000" w:themeColor="text1"/>
          <w:szCs w:val="24"/>
        </w:rPr>
        <w:t>:</w:t>
      </w:r>
      <w:r w:rsidR="009D5A48">
        <w:rPr>
          <w:color w:val="000000" w:themeColor="text1"/>
          <w:szCs w:val="24"/>
        </w:rPr>
        <w:t xml:space="preserve">  </w:t>
      </w:r>
      <w:r w:rsidR="009D5A48" w:rsidRPr="009A376C">
        <w:rPr>
          <w:color w:val="auto"/>
        </w:rPr>
        <w:t xml:space="preserve">The Board acknowledges the sentiment expressed in the CI’s application, i.e., that </w:t>
      </w:r>
      <w:r w:rsidR="009D5A48" w:rsidRPr="00CF6BB6">
        <w:rPr>
          <w:color w:val="auto"/>
        </w:rPr>
        <w:t xml:space="preserve">the gravity of his condition and predictable consequences merit consideration for a higher separation rating. </w:t>
      </w:r>
      <w:r w:rsidR="00151C2B">
        <w:rPr>
          <w:color w:val="auto"/>
        </w:rPr>
        <w:t xml:space="preserve"> </w:t>
      </w:r>
      <w:r w:rsidR="009D5A48" w:rsidRPr="00CF6BB6">
        <w:rPr>
          <w:color w:val="auto"/>
        </w:rPr>
        <w:t xml:space="preserve">The Board wishes to clarify that it is subject to the same laws for disability entitlements as those under which the Disability Evaluation System (DES) operates. </w:t>
      </w:r>
      <w:r w:rsidR="00151C2B">
        <w:rPr>
          <w:color w:val="auto"/>
        </w:rPr>
        <w:t xml:space="preserve"> </w:t>
      </w:r>
      <w:r w:rsidR="009D5A48" w:rsidRPr="00CF6BB6">
        <w:rPr>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151C2B">
        <w:rPr>
          <w:color w:val="auto"/>
        </w:rPr>
        <w:t xml:space="preserve"> </w:t>
      </w:r>
      <w:r w:rsidR="009D5A48" w:rsidRPr="00CF6BB6">
        <w:rPr>
          <w:color w:val="auto"/>
        </w:rPr>
        <w:t>However the Department of Veteran</w:t>
      </w:r>
      <w:r w:rsidR="004F732E">
        <w:rPr>
          <w:color w:val="auto"/>
        </w:rPr>
        <w:t>s’</w:t>
      </w:r>
      <w:r w:rsidR="009D5A48" w:rsidRPr="00CF6BB6">
        <w:rPr>
          <w:color w:val="auto"/>
        </w:rPr>
        <w:t xml:space="preserve"> Affairs (DVA), operating under a different set of laws (Title 38, United States Code), is empo</w:t>
      </w:r>
      <w:r w:rsidR="004F732E">
        <w:rPr>
          <w:color w:val="auto"/>
        </w:rPr>
        <w:t>wered to compensate all service-</w:t>
      </w:r>
      <w:r w:rsidR="009D5A48" w:rsidRPr="00CF6BB6">
        <w:rPr>
          <w:color w:val="auto"/>
        </w:rPr>
        <w:t>connected conditions and to periodically</w:t>
      </w:r>
      <w:r w:rsidR="009D5A48" w:rsidRPr="009A376C">
        <w:rPr>
          <w:color w:val="auto"/>
        </w:rPr>
        <w:t xml:space="preserve"> reevaluate said conditions for the purpose of adjusting the </w:t>
      </w:r>
      <w:r w:rsidR="004F732E">
        <w:rPr>
          <w:color w:val="auto"/>
        </w:rPr>
        <w:t>V</w:t>
      </w:r>
      <w:r w:rsidR="009D5A48" w:rsidRPr="009A376C">
        <w:rPr>
          <w:color w:val="auto"/>
        </w:rPr>
        <w:t xml:space="preserve">eteran’s disability rating should </w:t>
      </w:r>
      <w:r w:rsidR="004F732E">
        <w:rPr>
          <w:color w:val="auto"/>
        </w:rPr>
        <w:t>the</w:t>
      </w:r>
      <w:r w:rsidR="009D5A48" w:rsidRPr="009A376C">
        <w:rPr>
          <w:color w:val="auto"/>
        </w:rPr>
        <w:t xml:space="preserve"> degree of impairment vary over time.</w:t>
      </w:r>
      <w:r w:rsidR="009D5A48">
        <w:rPr>
          <w:color w:val="auto"/>
        </w:rPr>
        <w:t xml:space="preserve"> </w:t>
      </w:r>
      <w:r w:rsidR="00151C2B">
        <w:rPr>
          <w:color w:val="auto"/>
        </w:rPr>
        <w:t xml:space="preserve"> </w:t>
      </w:r>
      <w:r w:rsidR="009D5A48" w:rsidRPr="009A376C">
        <w:rPr>
          <w:color w:val="auto"/>
        </w:rPr>
        <w:t xml:space="preserve">The Board utilizes </w:t>
      </w:r>
      <w:r w:rsidR="004F732E">
        <w:rPr>
          <w:color w:val="auto"/>
        </w:rPr>
        <w:t>D</w:t>
      </w:r>
      <w:r w:rsidR="009D5A48" w:rsidRPr="009A376C">
        <w:rPr>
          <w:color w:val="auto"/>
        </w:rPr>
        <w:t xml:space="preserve">VA evidence proximal to separation in arriving at its recommendations; and, DoDI 6040.44 defines a 12-month interval for special consideration to post-separation evidence. </w:t>
      </w:r>
      <w:r w:rsidR="00151C2B">
        <w:rPr>
          <w:color w:val="auto"/>
        </w:rPr>
        <w:t xml:space="preserve"> </w:t>
      </w:r>
      <w:r w:rsidR="009D5A48" w:rsidRPr="009A376C">
        <w:rPr>
          <w:color w:val="auto"/>
        </w:rPr>
        <w:t xml:space="preserve">The Board’s authority as defined in DoDI 6040.44, however, resides in evaluating the fairness of DES fitness determinations and rating decisions for disability at the time of separation. </w:t>
      </w:r>
      <w:r w:rsidR="00151C2B">
        <w:rPr>
          <w:color w:val="auto"/>
        </w:rPr>
        <w:t xml:space="preserve"> </w:t>
      </w:r>
      <w:r w:rsidR="009D5A48" w:rsidRPr="009A376C">
        <w:rPr>
          <w:color w:val="auto"/>
        </w:rPr>
        <w:t>Post-separation evidence therefore is probative only to the extent that it reasonably reflects the disability and fitness implications at the time of separation.</w:t>
      </w:r>
    </w:p>
    <w:p w:rsidR="002F6AD8" w:rsidRPr="001F29F9" w:rsidRDefault="002F6AD8" w:rsidP="00BF0E94">
      <w:pPr>
        <w:jc w:val="left"/>
        <w:rPr>
          <w:color w:val="000000" w:themeColor="text1"/>
          <w:szCs w:val="24"/>
          <w:u w:val="single"/>
        </w:rPr>
      </w:pPr>
    </w:p>
    <w:p w:rsidR="00A96597" w:rsidRPr="0087307F" w:rsidRDefault="00256F02" w:rsidP="00617E4F">
      <w:pPr>
        <w:contextualSpacing/>
        <w:jc w:val="both"/>
        <w:rPr>
          <w:color w:val="000000" w:themeColor="text1"/>
          <w:szCs w:val="24"/>
        </w:rPr>
      </w:pPr>
      <w:proofErr w:type="gramStart"/>
      <w:r w:rsidRPr="00256F02">
        <w:rPr>
          <w:rFonts w:asciiTheme="minorHAnsi" w:hAnsiTheme="minorHAnsi"/>
          <w:color w:val="000000" w:themeColor="text1"/>
          <w:szCs w:val="24"/>
          <w:u w:val="single"/>
        </w:rPr>
        <w:t xml:space="preserve">Chronic Left Shoulder </w:t>
      </w:r>
      <w:r w:rsidRPr="0087307F">
        <w:rPr>
          <w:rFonts w:asciiTheme="minorHAnsi" w:hAnsiTheme="minorHAnsi"/>
          <w:color w:val="000000" w:themeColor="text1"/>
          <w:szCs w:val="24"/>
          <w:u w:val="single"/>
        </w:rPr>
        <w:t xml:space="preserve">Pain </w:t>
      </w:r>
      <w:r w:rsidR="003F2EEE" w:rsidRPr="0087307F">
        <w:rPr>
          <w:rFonts w:asciiTheme="minorHAnsi" w:hAnsiTheme="minorHAnsi"/>
          <w:color w:val="000000" w:themeColor="text1"/>
          <w:szCs w:val="24"/>
          <w:u w:val="single"/>
        </w:rPr>
        <w:t>Condition</w:t>
      </w:r>
      <w:r w:rsidRPr="0087307F">
        <w:rPr>
          <w:color w:val="000000" w:themeColor="text1"/>
          <w:szCs w:val="24"/>
        </w:rPr>
        <w:t>.</w:t>
      </w:r>
      <w:proofErr w:type="gramEnd"/>
      <w:r w:rsidR="00CF6BB6" w:rsidRPr="0087307F">
        <w:rPr>
          <w:color w:val="000000" w:themeColor="text1"/>
          <w:szCs w:val="24"/>
        </w:rPr>
        <w:t xml:space="preserve"> </w:t>
      </w:r>
      <w:r w:rsidR="00FE3A45" w:rsidRPr="0087307F">
        <w:rPr>
          <w:color w:val="000000" w:themeColor="text1"/>
          <w:szCs w:val="24"/>
        </w:rPr>
        <w:t>The CI injured his left shoulder in February 2005 during Officer Candidate School (OCS) when he fell to the ground with a 35 pound weapon.</w:t>
      </w:r>
      <w:r w:rsidR="00D323BC">
        <w:rPr>
          <w:color w:val="000000" w:themeColor="text1"/>
          <w:szCs w:val="24"/>
        </w:rPr>
        <w:t xml:space="preserve"> </w:t>
      </w:r>
      <w:r w:rsidR="00FE3A45" w:rsidRPr="0087307F">
        <w:rPr>
          <w:color w:val="000000" w:themeColor="text1"/>
          <w:szCs w:val="24"/>
        </w:rPr>
        <w:t xml:space="preserve"> The MEB </w:t>
      </w:r>
      <w:r w:rsidR="004F732E">
        <w:rPr>
          <w:color w:val="000000" w:themeColor="text1"/>
          <w:szCs w:val="24"/>
        </w:rPr>
        <w:t>n</w:t>
      </w:r>
      <w:r w:rsidR="00FE3A45" w:rsidRPr="0087307F">
        <w:rPr>
          <w:color w:val="000000" w:themeColor="text1"/>
          <w:szCs w:val="24"/>
        </w:rPr>
        <w:t xml:space="preserve">arrative </w:t>
      </w:r>
      <w:r w:rsidR="004F732E">
        <w:rPr>
          <w:color w:val="000000" w:themeColor="text1"/>
          <w:szCs w:val="24"/>
        </w:rPr>
        <w:t>s</w:t>
      </w:r>
      <w:r w:rsidR="00FE3A45" w:rsidRPr="0087307F">
        <w:rPr>
          <w:color w:val="000000" w:themeColor="text1"/>
          <w:szCs w:val="24"/>
        </w:rPr>
        <w:t xml:space="preserve">ummary (NARSUM) completed </w:t>
      </w:r>
      <w:r w:rsidR="004F732E">
        <w:rPr>
          <w:color w:val="000000" w:themeColor="text1"/>
          <w:szCs w:val="24"/>
        </w:rPr>
        <w:t xml:space="preserve">on 8 June </w:t>
      </w:r>
      <w:r w:rsidR="00FE3A45" w:rsidRPr="0087307F">
        <w:rPr>
          <w:color w:val="000000" w:themeColor="text1"/>
          <w:szCs w:val="24"/>
        </w:rPr>
        <w:t>2007</w:t>
      </w:r>
      <w:r w:rsidR="004F732E">
        <w:rPr>
          <w:color w:val="000000" w:themeColor="text1"/>
          <w:szCs w:val="24"/>
        </w:rPr>
        <w:t>,</w:t>
      </w:r>
      <w:r w:rsidR="00FE3A45" w:rsidRPr="0087307F">
        <w:rPr>
          <w:color w:val="000000" w:themeColor="text1"/>
          <w:szCs w:val="24"/>
        </w:rPr>
        <w:t xml:space="preserve"> noted his shoulder pain was exacerbated by minor physical activities and was described as throbbing, nagging, and constant. </w:t>
      </w:r>
      <w:r w:rsidR="00D323BC">
        <w:rPr>
          <w:color w:val="000000" w:themeColor="text1"/>
          <w:szCs w:val="24"/>
        </w:rPr>
        <w:t xml:space="preserve"> </w:t>
      </w:r>
      <w:r w:rsidR="00FE3A45" w:rsidRPr="0087307F">
        <w:rPr>
          <w:color w:val="000000" w:themeColor="text1"/>
          <w:szCs w:val="24"/>
        </w:rPr>
        <w:t xml:space="preserve">His pain </w:t>
      </w:r>
      <w:r w:rsidR="00220C45">
        <w:rPr>
          <w:color w:val="000000" w:themeColor="text1"/>
          <w:szCs w:val="24"/>
        </w:rPr>
        <w:t>continued</w:t>
      </w:r>
      <w:r w:rsidR="00FE3A45" w:rsidRPr="0087307F">
        <w:rPr>
          <w:color w:val="000000" w:themeColor="text1"/>
          <w:szCs w:val="24"/>
        </w:rPr>
        <w:t xml:space="preserve"> despite treatment with nonsteroidal anti-inflammatory medications, Tramadol, and narcotic pain medications in addition to physical therapy. </w:t>
      </w:r>
      <w:r w:rsidR="00D323BC">
        <w:rPr>
          <w:color w:val="000000" w:themeColor="text1"/>
          <w:szCs w:val="24"/>
        </w:rPr>
        <w:t xml:space="preserve"> </w:t>
      </w:r>
      <w:r w:rsidR="004F732E">
        <w:rPr>
          <w:color w:val="000000" w:themeColor="text1"/>
          <w:szCs w:val="24"/>
        </w:rPr>
        <w:t>A magnetic resonance imaging</w:t>
      </w:r>
      <w:r w:rsidR="00D323BC">
        <w:rPr>
          <w:color w:val="000000" w:themeColor="text1"/>
          <w:szCs w:val="24"/>
        </w:rPr>
        <w:t xml:space="preserve"> </w:t>
      </w:r>
      <w:r w:rsidR="004F732E">
        <w:rPr>
          <w:color w:val="000000" w:themeColor="text1"/>
          <w:szCs w:val="24"/>
        </w:rPr>
        <w:t>(</w:t>
      </w:r>
      <w:r w:rsidR="00A96597" w:rsidRPr="0087307F">
        <w:rPr>
          <w:color w:val="000000" w:themeColor="text1"/>
          <w:szCs w:val="24"/>
        </w:rPr>
        <w:t>MRI</w:t>
      </w:r>
      <w:r w:rsidR="004F732E">
        <w:rPr>
          <w:color w:val="000000" w:themeColor="text1"/>
          <w:szCs w:val="24"/>
        </w:rPr>
        <w:t>)</w:t>
      </w:r>
      <w:r w:rsidR="00A96597" w:rsidRPr="0087307F">
        <w:rPr>
          <w:color w:val="000000" w:themeColor="text1"/>
          <w:szCs w:val="24"/>
        </w:rPr>
        <w:t xml:space="preserve"> was obtained in August 2005 when the shoulder pain persisted despite physical therapy. </w:t>
      </w:r>
      <w:r w:rsidR="00D323BC">
        <w:rPr>
          <w:color w:val="000000" w:themeColor="text1"/>
          <w:szCs w:val="24"/>
        </w:rPr>
        <w:t xml:space="preserve"> </w:t>
      </w:r>
      <w:r w:rsidR="00A96597" w:rsidRPr="0087307F">
        <w:rPr>
          <w:color w:val="000000" w:themeColor="text1"/>
          <w:szCs w:val="24"/>
        </w:rPr>
        <w:t xml:space="preserve">This study documented severe tendinopathy of the supraspinatus tendon extending to the conjoined tendon as well as AC joint hypertrophy and edema. </w:t>
      </w:r>
      <w:r w:rsidR="00D323BC">
        <w:rPr>
          <w:color w:val="000000" w:themeColor="text1"/>
          <w:szCs w:val="24"/>
        </w:rPr>
        <w:t xml:space="preserve"> </w:t>
      </w:r>
      <w:r w:rsidR="00A96597" w:rsidRPr="0087307F">
        <w:rPr>
          <w:color w:val="000000" w:themeColor="text1"/>
          <w:szCs w:val="24"/>
        </w:rPr>
        <w:t>No clear evidenc</w:t>
      </w:r>
      <w:r w:rsidR="004F732E">
        <w:rPr>
          <w:color w:val="000000" w:themeColor="text1"/>
          <w:szCs w:val="24"/>
        </w:rPr>
        <w:t>e of a labral tear was noted.  A</w:t>
      </w:r>
      <w:r w:rsidR="00A96597" w:rsidRPr="0087307F">
        <w:rPr>
          <w:color w:val="000000" w:themeColor="text1"/>
          <w:szCs w:val="24"/>
        </w:rPr>
        <w:t xml:space="preserve"> second MRI study completed in January 2007 noted minimal acromioclavicular hypertrophy</w:t>
      </w:r>
      <w:r w:rsidR="00A96597">
        <w:rPr>
          <w:color w:val="000000" w:themeColor="text1"/>
          <w:szCs w:val="24"/>
        </w:rPr>
        <w:t xml:space="preserve"> and lateral outlet </w:t>
      </w:r>
      <w:r w:rsidR="00A96597" w:rsidRPr="0087307F">
        <w:rPr>
          <w:color w:val="000000" w:themeColor="text1"/>
          <w:szCs w:val="24"/>
        </w:rPr>
        <w:t>impingement with minimal tendinopathy.</w:t>
      </w:r>
      <w:r w:rsidR="00D323BC">
        <w:rPr>
          <w:color w:val="000000" w:themeColor="text1"/>
          <w:szCs w:val="24"/>
        </w:rPr>
        <w:t xml:space="preserve"> </w:t>
      </w:r>
      <w:r w:rsidR="00A96597" w:rsidRPr="0087307F">
        <w:rPr>
          <w:color w:val="000000" w:themeColor="text1"/>
          <w:szCs w:val="24"/>
        </w:rPr>
        <w:t xml:space="preserve"> No tear or osteochondral lesion was noted. </w:t>
      </w:r>
      <w:r w:rsidR="00D323BC">
        <w:rPr>
          <w:color w:val="000000" w:themeColor="text1"/>
          <w:szCs w:val="24"/>
        </w:rPr>
        <w:t xml:space="preserve"> </w:t>
      </w:r>
      <w:r w:rsidR="00A96597" w:rsidRPr="0087307F">
        <w:rPr>
          <w:color w:val="000000" w:themeColor="text1"/>
          <w:szCs w:val="24"/>
        </w:rPr>
        <w:t xml:space="preserve">Orthopedic consultation was obtained in May 2007 </w:t>
      </w:r>
      <w:r w:rsidR="00A96597" w:rsidRPr="0087307F">
        <w:rPr>
          <w:color w:val="000000" w:themeColor="text1"/>
          <w:szCs w:val="24"/>
        </w:rPr>
        <w:lastRenderedPageBreak/>
        <w:t>and while surgical treatment was discussed, the CI and the surgeon decided to try steroid injections first. An outpatient visit note from May 2007 documents a steroid injection was giv</w:t>
      </w:r>
      <w:r w:rsidR="00644F2B" w:rsidRPr="0087307F">
        <w:rPr>
          <w:color w:val="000000" w:themeColor="text1"/>
          <w:szCs w:val="24"/>
        </w:rPr>
        <w:t xml:space="preserve">en that resulted in more than 80% relief before leaving </w:t>
      </w:r>
      <w:r w:rsidR="00372B82" w:rsidRPr="0087307F">
        <w:rPr>
          <w:color w:val="000000" w:themeColor="text1"/>
          <w:szCs w:val="24"/>
        </w:rPr>
        <w:t xml:space="preserve">the </w:t>
      </w:r>
      <w:r w:rsidR="00644F2B" w:rsidRPr="0087307F">
        <w:rPr>
          <w:color w:val="000000" w:themeColor="text1"/>
          <w:szCs w:val="24"/>
        </w:rPr>
        <w:t xml:space="preserve">clinic. </w:t>
      </w:r>
      <w:r w:rsidR="00D323BC">
        <w:rPr>
          <w:color w:val="000000" w:themeColor="text1"/>
          <w:szCs w:val="24"/>
        </w:rPr>
        <w:t xml:space="preserve"> </w:t>
      </w:r>
      <w:r w:rsidR="00644F2B" w:rsidRPr="0087307F">
        <w:rPr>
          <w:color w:val="000000" w:themeColor="text1"/>
          <w:szCs w:val="24"/>
        </w:rPr>
        <w:t xml:space="preserve">No further follow-up visits are in the record available for review. </w:t>
      </w:r>
      <w:r w:rsidR="004F732E">
        <w:rPr>
          <w:color w:val="000000" w:themeColor="text1"/>
          <w:szCs w:val="24"/>
        </w:rPr>
        <w:t xml:space="preserve"> </w:t>
      </w:r>
      <w:r w:rsidR="00644F2B" w:rsidRPr="0087307F">
        <w:rPr>
          <w:color w:val="000000" w:themeColor="text1"/>
          <w:szCs w:val="24"/>
        </w:rPr>
        <w:t xml:space="preserve">At the time of the NARSUM in early June 2007, the left shoulder pain had returned. </w:t>
      </w:r>
      <w:r w:rsidR="00D323BC">
        <w:rPr>
          <w:color w:val="000000" w:themeColor="text1"/>
          <w:szCs w:val="24"/>
        </w:rPr>
        <w:t xml:space="preserve"> </w:t>
      </w:r>
      <w:r w:rsidR="00644F2B" w:rsidRPr="0087307F">
        <w:rPr>
          <w:color w:val="000000" w:themeColor="text1"/>
          <w:szCs w:val="24"/>
        </w:rPr>
        <w:t>The CI was issued a permanent U3 profile</w:t>
      </w:r>
      <w:r w:rsidR="00732A48">
        <w:rPr>
          <w:color w:val="000000" w:themeColor="text1"/>
          <w:szCs w:val="24"/>
        </w:rPr>
        <w:t xml:space="preserve"> and the MEB was completed</w:t>
      </w:r>
      <w:r w:rsidR="00644F2B" w:rsidRPr="0087307F">
        <w:rPr>
          <w:color w:val="000000" w:themeColor="text1"/>
          <w:szCs w:val="24"/>
        </w:rPr>
        <w:t>.</w:t>
      </w:r>
    </w:p>
    <w:p w:rsidR="00644F2B" w:rsidRPr="0087307F" w:rsidRDefault="00644F2B" w:rsidP="00617E4F">
      <w:pPr>
        <w:contextualSpacing/>
        <w:jc w:val="both"/>
        <w:rPr>
          <w:color w:val="000000" w:themeColor="text1"/>
          <w:szCs w:val="24"/>
        </w:rPr>
      </w:pPr>
    </w:p>
    <w:p w:rsidR="00644F2B" w:rsidRPr="0087307F" w:rsidRDefault="00644F2B" w:rsidP="00617E4F">
      <w:pPr>
        <w:contextualSpacing/>
        <w:jc w:val="both"/>
        <w:rPr>
          <w:color w:val="000000" w:themeColor="text1"/>
          <w:szCs w:val="24"/>
        </w:rPr>
      </w:pPr>
      <w:r w:rsidRPr="0087307F">
        <w:rPr>
          <w:color w:val="000000" w:themeColor="text1"/>
          <w:szCs w:val="24"/>
        </w:rPr>
        <w:t>A VA Compe</w:t>
      </w:r>
      <w:r w:rsidR="00732A48">
        <w:rPr>
          <w:color w:val="000000" w:themeColor="text1"/>
          <w:szCs w:val="24"/>
        </w:rPr>
        <w:t>nsation and P</w:t>
      </w:r>
      <w:r w:rsidRPr="0087307F">
        <w:rPr>
          <w:color w:val="000000" w:themeColor="text1"/>
          <w:szCs w:val="24"/>
        </w:rPr>
        <w:t xml:space="preserve">ension (C&amp;P) examination completed </w:t>
      </w:r>
      <w:r w:rsidR="004F732E">
        <w:rPr>
          <w:color w:val="000000" w:themeColor="text1"/>
          <w:szCs w:val="24"/>
        </w:rPr>
        <w:t xml:space="preserve">on 20 September </w:t>
      </w:r>
      <w:r w:rsidRPr="0087307F">
        <w:rPr>
          <w:color w:val="000000" w:themeColor="text1"/>
          <w:szCs w:val="24"/>
        </w:rPr>
        <w:t xml:space="preserve">2007, approximately </w:t>
      </w:r>
      <w:r w:rsidR="004F732E">
        <w:rPr>
          <w:color w:val="000000" w:themeColor="text1"/>
          <w:szCs w:val="24"/>
        </w:rPr>
        <w:t>a</w:t>
      </w:r>
      <w:r w:rsidRPr="0087307F">
        <w:rPr>
          <w:color w:val="000000" w:themeColor="text1"/>
          <w:szCs w:val="24"/>
        </w:rPr>
        <w:t xml:space="preserve"> week prior to separation, reported a similar clinical history.</w:t>
      </w:r>
      <w:r w:rsidR="00D323BC">
        <w:rPr>
          <w:color w:val="000000" w:themeColor="text1"/>
          <w:szCs w:val="24"/>
        </w:rPr>
        <w:t xml:space="preserve"> </w:t>
      </w:r>
      <w:r w:rsidRPr="0087307F">
        <w:rPr>
          <w:color w:val="000000" w:themeColor="text1"/>
          <w:szCs w:val="24"/>
        </w:rPr>
        <w:t xml:space="preserve"> It also included information about an initial Toradol injection and treatment with a sling. He was unable to perform push-ups and </w:t>
      </w:r>
      <w:r w:rsidR="00732A48">
        <w:rPr>
          <w:color w:val="000000" w:themeColor="text1"/>
          <w:szCs w:val="24"/>
        </w:rPr>
        <w:t xml:space="preserve">was </w:t>
      </w:r>
      <w:r w:rsidRPr="0087307F">
        <w:rPr>
          <w:color w:val="000000" w:themeColor="text1"/>
          <w:szCs w:val="24"/>
        </w:rPr>
        <w:t xml:space="preserve">noted to have adhesions. </w:t>
      </w:r>
      <w:r w:rsidR="00D323BC">
        <w:rPr>
          <w:color w:val="000000" w:themeColor="text1"/>
          <w:szCs w:val="24"/>
        </w:rPr>
        <w:t xml:space="preserve"> </w:t>
      </w:r>
      <w:r w:rsidRPr="0087307F">
        <w:rPr>
          <w:color w:val="000000" w:themeColor="text1"/>
          <w:szCs w:val="24"/>
        </w:rPr>
        <w:t>The V</w:t>
      </w:r>
      <w:r w:rsidR="00895752" w:rsidRPr="0087307F">
        <w:rPr>
          <w:color w:val="000000" w:themeColor="text1"/>
          <w:szCs w:val="24"/>
        </w:rPr>
        <w:t>A</w:t>
      </w:r>
      <w:r w:rsidRPr="0087307F">
        <w:rPr>
          <w:color w:val="000000" w:themeColor="text1"/>
          <w:szCs w:val="24"/>
        </w:rPr>
        <w:t xml:space="preserve"> examiner opined that with repetitive </w:t>
      </w:r>
      <w:r w:rsidR="006F400B" w:rsidRPr="0087307F">
        <w:rPr>
          <w:color w:val="000000" w:themeColor="text1"/>
          <w:szCs w:val="24"/>
        </w:rPr>
        <w:t>use and motion, the CI would develop mild to moderate physical limitation that would be mostly manifested by pain and might also be manifested by lack of endurance.</w:t>
      </w:r>
      <w:r w:rsidR="00D323BC">
        <w:rPr>
          <w:color w:val="000000" w:themeColor="text1"/>
          <w:szCs w:val="24"/>
        </w:rPr>
        <w:t xml:space="preserve"> </w:t>
      </w:r>
      <w:r w:rsidR="00895752" w:rsidRPr="0087307F">
        <w:rPr>
          <w:color w:val="000000" w:themeColor="text1"/>
          <w:szCs w:val="24"/>
        </w:rPr>
        <w:t xml:space="preserve"> The examiner noted mild acromioclavicular hypertrophy with impingement and minimal tendinopathy with residuals of pain and stiffness of the left shoulder as the diagnosis.</w:t>
      </w:r>
    </w:p>
    <w:p w:rsidR="00A96597" w:rsidRPr="0087307F" w:rsidRDefault="00A96597" w:rsidP="00617E4F">
      <w:pPr>
        <w:contextualSpacing/>
        <w:jc w:val="both"/>
        <w:rPr>
          <w:color w:val="000000" w:themeColor="text1"/>
          <w:szCs w:val="24"/>
        </w:rPr>
      </w:pPr>
    </w:p>
    <w:p w:rsidR="00FE3A45" w:rsidRPr="0087307F" w:rsidRDefault="00FE3A45" w:rsidP="00617E4F">
      <w:pPr>
        <w:contextualSpacing/>
        <w:jc w:val="both"/>
        <w:rPr>
          <w:color w:val="000000" w:themeColor="text1"/>
          <w:szCs w:val="24"/>
        </w:rPr>
      </w:pPr>
      <w:r w:rsidRPr="0087307F">
        <w:rPr>
          <w:color w:val="000000" w:themeColor="text1"/>
          <w:szCs w:val="24"/>
        </w:rPr>
        <w:t xml:space="preserve">Pertinent physical examination findings including </w:t>
      </w:r>
      <w:r w:rsidR="004F732E">
        <w:rPr>
          <w:color w:val="000000" w:themeColor="text1"/>
          <w:szCs w:val="24"/>
        </w:rPr>
        <w:t>ROM</w:t>
      </w:r>
      <w:r w:rsidRPr="0087307F">
        <w:rPr>
          <w:color w:val="000000" w:themeColor="text1"/>
          <w:szCs w:val="24"/>
        </w:rPr>
        <w:t xml:space="preserve"> measurements are noted in the chart below. </w:t>
      </w:r>
      <w:r w:rsidR="00D323BC">
        <w:rPr>
          <w:color w:val="000000" w:themeColor="text1"/>
          <w:szCs w:val="24"/>
        </w:rPr>
        <w:t xml:space="preserve"> </w:t>
      </w:r>
      <w:r w:rsidRPr="0087307F">
        <w:rPr>
          <w:color w:val="000000" w:themeColor="text1"/>
          <w:szCs w:val="24"/>
        </w:rPr>
        <w:t>While the NARSUM exam included ROM values, the examiner acknowledged in an addendum that he had not used a goniometer</w:t>
      </w:r>
      <w:r w:rsidR="00363664">
        <w:rPr>
          <w:color w:val="000000" w:themeColor="text1"/>
          <w:szCs w:val="24"/>
        </w:rPr>
        <w:t>,</w:t>
      </w:r>
      <w:r w:rsidRPr="0087307F">
        <w:rPr>
          <w:color w:val="000000" w:themeColor="text1"/>
          <w:szCs w:val="24"/>
        </w:rPr>
        <w:t xml:space="preserve"> but had visually estimated the values. </w:t>
      </w:r>
      <w:r w:rsidR="00D323BC">
        <w:rPr>
          <w:color w:val="000000" w:themeColor="text1"/>
          <w:szCs w:val="24"/>
        </w:rPr>
        <w:t xml:space="preserve"> </w:t>
      </w:r>
      <w:r w:rsidRPr="0087307F">
        <w:rPr>
          <w:color w:val="000000" w:themeColor="text1"/>
          <w:szCs w:val="24"/>
        </w:rPr>
        <w:t>Therefore</w:t>
      </w:r>
      <w:r w:rsidR="00372B82" w:rsidRPr="0087307F">
        <w:rPr>
          <w:color w:val="000000" w:themeColor="text1"/>
          <w:szCs w:val="24"/>
        </w:rPr>
        <w:t>,</w:t>
      </w:r>
      <w:r w:rsidRPr="0087307F">
        <w:rPr>
          <w:color w:val="000000" w:themeColor="text1"/>
          <w:szCs w:val="24"/>
        </w:rPr>
        <w:t xml:space="preserve"> the</w:t>
      </w:r>
      <w:r w:rsidR="00372B82" w:rsidRPr="0087307F">
        <w:rPr>
          <w:color w:val="000000" w:themeColor="text1"/>
          <w:szCs w:val="24"/>
        </w:rPr>
        <w:t>se</w:t>
      </w:r>
      <w:r w:rsidRPr="0087307F">
        <w:rPr>
          <w:color w:val="000000" w:themeColor="text1"/>
          <w:szCs w:val="24"/>
        </w:rPr>
        <w:t xml:space="preserve"> values are not included in the chart. </w:t>
      </w:r>
      <w:r w:rsidR="00430C32">
        <w:rPr>
          <w:color w:val="000000" w:themeColor="text1"/>
          <w:szCs w:val="24"/>
        </w:rPr>
        <w:t xml:space="preserve"> </w:t>
      </w:r>
      <w:r w:rsidRPr="0087307F">
        <w:rPr>
          <w:color w:val="000000" w:themeColor="text1"/>
          <w:szCs w:val="24"/>
        </w:rPr>
        <w:t xml:space="preserve">The ROM measurements obtained by physical therapy in June 2007 were noted to have been done with a goniometer and these are included in the chart below. </w:t>
      </w:r>
    </w:p>
    <w:p w:rsidR="00FE3A45" w:rsidRPr="0087307F" w:rsidRDefault="00FE3A45" w:rsidP="00617E4F">
      <w:pPr>
        <w:contextualSpacing/>
        <w:jc w:val="both"/>
        <w:rPr>
          <w:color w:val="000000" w:themeColor="text1"/>
          <w:szCs w:val="24"/>
        </w:rPr>
      </w:pPr>
    </w:p>
    <w:p w:rsidR="00615A66" w:rsidRDefault="00A57C35" w:rsidP="00617E4F">
      <w:pPr>
        <w:contextualSpacing/>
        <w:jc w:val="both"/>
        <w:rPr>
          <w:color w:val="000000" w:themeColor="text1"/>
          <w:szCs w:val="24"/>
        </w:rPr>
      </w:pPr>
      <w:r w:rsidRPr="0087307F">
        <w:rPr>
          <w:color w:val="000000" w:themeColor="text1"/>
          <w:szCs w:val="24"/>
        </w:rPr>
        <w:t xml:space="preserve">There were </w:t>
      </w:r>
      <w:r w:rsidR="003679E4" w:rsidRPr="0087307F">
        <w:rPr>
          <w:color w:val="000000" w:themeColor="text1"/>
          <w:szCs w:val="24"/>
        </w:rPr>
        <w:t>two</w:t>
      </w:r>
      <w:r w:rsidRPr="0087307F">
        <w:rPr>
          <w:color w:val="000000" w:themeColor="text1"/>
          <w:szCs w:val="24"/>
        </w:rPr>
        <w:t xml:space="preserve"> </w:t>
      </w:r>
      <w:r w:rsidR="004F732E">
        <w:rPr>
          <w:color w:val="000000" w:themeColor="text1"/>
          <w:szCs w:val="24"/>
        </w:rPr>
        <w:t>ROM</w:t>
      </w:r>
      <w:r w:rsidRPr="00845541">
        <w:rPr>
          <w:color w:val="000000" w:themeColor="text1"/>
          <w:szCs w:val="24"/>
        </w:rPr>
        <w:t xml:space="preserve"> evaluations in evidence, with documentation of additional ratable criteria, which the Board weighed in arriving at its rating recommendation</w:t>
      </w:r>
      <w:r w:rsidRPr="001F29F9">
        <w:rPr>
          <w:color w:val="000000" w:themeColor="text1"/>
          <w:szCs w:val="24"/>
        </w:rPr>
        <w:t>.</w:t>
      </w:r>
    </w:p>
    <w:p w:rsidR="00256F02" w:rsidRDefault="00256F02" w:rsidP="00617E4F">
      <w:pPr>
        <w:jc w:val="both"/>
        <w:rPr>
          <w:color w:val="000000" w:themeColor="text1"/>
          <w:szCs w:val="24"/>
        </w:rPr>
      </w:pPr>
    </w:p>
    <w:tbl>
      <w:tblPr>
        <w:tblpPr w:leftFromText="180" w:rightFromText="180" w:vertAnchor="text" w:tblpXSpec="center" w:tblpY="1"/>
        <w:tblOverlap w:val="never"/>
        <w:tblW w:w="9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2"/>
        <w:gridCol w:w="2280"/>
        <w:gridCol w:w="2730"/>
        <w:gridCol w:w="2610"/>
      </w:tblGrid>
      <w:tr w:rsidR="006470F3" w:rsidRPr="00992116" w:rsidTr="005968F8">
        <w:tc>
          <w:tcPr>
            <w:tcW w:w="9372" w:type="dxa"/>
            <w:gridSpan w:val="4"/>
            <w:shd w:val="clear" w:color="auto" w:fill="D9D9D9" w:themeFill="background1" w:themeFillShade="D9"/>
            <w:vAlign w:val="center"/>
          </w:tcPr>
          <w:p w:rsidR="006470F3" w:rsidRPr="001F29F9" w:rsidRDefault="006470F3" w:rsidP="00B64292">
            <w:pPr>
              <w:contextualSpacing/>
              <w:rPr>
                <w:rFonts w:eastAsia="Calibri"/>
                <w:color w:val="000000" w:themeColor="text1"/>
                <w:sz w:val="18"/>
                <w:szCs w:val="18"/>
              </w:rPr>
            </w:pPr>
            <w:r>
              <w:rPr>
                <w:rFonts w:eastAsia="Calibri"/>
                <w:color w:val="000000" w:themeColor="text1"/>
                <w:sz w:val="18"/>
                <w:szCs w:val="18"/>
              </w:rPr>
              <w:t>Date of Separation:  September 27, 2007</w:t>
            </w:r>
          </w:p>
        </w:tc>
      </w:tr>
      <w:tr w:rsidR="006470F3" w:rsidRPr="00992116" w:rsidTr="005968F8">
        <w:tc>
          <w:tcPr>
            <w:tcW w:w="1752" w:type="dxa"/>
            <w:shd w:val="clear" w:color="auto" w:fill="D9D9D9" w:themeFill="background1" w:themeFillShade="D9"/>
            <w:vAlign w:val="center"/>
          </w:tcPr>
          <w:p w:rsidR="006470F3" w:rsidRPr="001F29F9" w:rsidRDefault="006470F3" w:rsidP="007E6D0E">
            <w:pPr>
              <w:contextualSpacing/>
              <w:rPr>
                <w:rFonts w:eastAsia="Calibri"/>
                <w:color w:val="000000" w:themeColor="text1"/>
                <w:sz w:val="18"/>
                <w:szCs w:val="18"/>
              </w:rPr>
            </w:pPr>
            <w:r>
              <w:rPr>
                <w:rFonts w:eastAsia="Calibri"/>
                <w:color w:val="000000" w:themeColor="text1"/>
                <w:sz w:val="18"/>
                <w:szCs w:val="18"/>
              </w:rPr>
              <w:t xml:space="preserve">ROM – Left </w:t>
            </w:r>
            <w:r w:rsidRPr="001F29F9">
              <w:rPr>
                <w:rFonts w:eastAsia="Calibri"/>
                <w:color w:val="000000" w:themeColor="text1"/>
                <w:sz w:val="18"/>
                <w:szCs w:val="18"/>
              </w:rPr>
              <w:t>Shoulder</w:t>
            </w:r>
          </w:p>
        </w:tc>
        <w:tc>
          <w:tcPr>
            <w:tcW w:w="2280" w:type="dxa"/>
            <w:shd w:val="clear" w:color="auto" w:fill="D9D9D9" w:themeFill="background1" w:themeFillShade="D9"/>
            <w:vAlign w:val="center"/>
          </w:tcPr>
          <w:p w:rsidR="006470F3" w:rsidRDefault="006470F3" w:rsidP="00B64292">
            <w:pPr>
              <w:contextualSpacing/>
              <w:rPr>
                <w:rFonts w:eastAsia="Calibri"/>
                <w:color w:val="000000" w:themeColor="text1"/>
                <w:sz w:val="18"/>
                <w:szCs w:val="18"/>
              </w:rPr>
            </w:pPr>
            <w:r>
              <w:rPr>
                <w:rFonts w:eastAsia="Calibri"/>
                <w:color w:val="000000" w:themeColor="text1"/>
                <w:sz w:val="18"/>
                <w:szCs w:val="18"/>
              </w:rPr>
              <w:t xml:space="preserve">ME </w:t>
            </w:r>
            <w:r w:rsidRPr="001F29F9">
              <w:rPr>
                <w:rFonts w:eastAsia="Calibri"/>
                <w:color w:val="000000" w:themeColor="text1"/>
                <w:sz w:val="18"/>
                <w:szCs w:val="18"/>
              </w:rPr>
              <w:t xml:space="preserve">PT </w:t>
            </w:r>
            <w:r>
              <w:rPr>
                <w:rFonts w:eastAsia="Calibri"/>
                <w:color w:val="000000" w:themeColor="text1"/>
                <w:sz w:val="18"/>
                <w:szCs w:val="18"/>
              </w:rPr>
              <w:t>Exam, p. 3</w:t>
            </w:r>
            <w:r w:rsidR="00E54F94">
              <w:rPr>
                <w:rFonts w:eastAsia="Calibri"/>
                <w:color w:val="000000" w:themeColor="text1"/>
                <w:sz w:val="18"/>
                <w:szCs w:val="18"/>
              </w:rPr>
              <w:t>7</w:t>
            </w:r>
          </w:p>
          <w:p w:rsidR="006470F3" w:rsidRPr="001F29F9" w:rsidRDefault="006470F3" w:rsidP="00B64292">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w:t>
            </w:r>
            <w:r w:rsidR="0003009B">
              <w:rPr>
                <w:rFonts w:eastAsia="Calibri"/>
                <w:color w:val="000000" w:themeColor="text1"/>
                <w:sz w:val="18"/>
                <w:szCs w:val="18"/>
              </w:rPr>
              <w:t>4</w:t>
            </w:r>
            <w:r w:rsidR="00CF6BB6">
              <w:rPr>
                <w:rFonts w:eastAsia="Calibri"/>
                <w:color w:val="000000" w:themeColor="text1"/>
                <w:sz w:val="18"/>
                <w:szCs w:val="18"/>
              </w:rPr>
              <w:t xml:space="preserve"> Months</w:t>
            </w:r>
            <w:r w:rsidRPr="001F29F9">
              <w:rPr>
                <w:rFonts w:eastAsia="Calibri"/>
                <w:color w:val="000000" w:themeColor="text1"/>
                <w:sz w:val="18"/>
                <w:szCs w:val="18"/>
              </w:rPr>
              <w:t xml:space="preserve"> Pre-Sep</w:t>
            </w:r>
            <w:r w:rsidR="00CF6BB6">
              <w:rPr>
                <w:rFonts w:eastAsia="Calibri"/>
                <w:color w:val="000000" w:themeColor="text1"/>
                <w:sz w:val="18"/>
                <w:szCs w:val="18"/>
              </w:rPr>
              <w:t>aration</w:t>
            </w:r>
          </w:p>
          <w:p w:rsidR="006470F3" w:rsidRPr="001F29F9" w:rsidRDefault="006470F3" w:rsidP="006470F3">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w:t>
            </w:r>
            <w:r>
              <w:rPr>
                <w:rFonts w:asciiTheme="minorHAnsi" w:eastAsia="Calibri" w:hAnsiTheme="minorHAnsi"/>
                <w:color w:val="000000" w:themeColor="text1"/>
                <w:sz w:val="18"/>
                <w:szCs w:val="18"/>
              </w:rPr>
              <w:t>2007</w:t>
            </w:r>
            <w:r w:rsidR="00CF6BB6">
              <w:rPr>
                <w:rFonts w:asciiTheme="minorHAnsi" w:eastAsia="Calibri" w:hAnsiTheme="minorHAnsi"/>
                <w:color w:val="000000" w:themeColor="text1"/>
                <w:sz w:val="18"/>
                <w:szCs w:val="18"/>
              </w:rPr>
              <w:t>0601</w:t>
            </w:r>
            <w:r>
              <w:rPr>
                <w:rFonts w:asciiTheme="minorHAnsi" w:eastAsia="Calibri" w:hAnsiTheme="minorHAnsi"/>
                <w:color w:val="000000" w:themeColor="text1"/>
                <w:sz w:val="18"/>
                <w:szCs w:val="18"/>
              </w:rPr>
              <w:t>)</w:t>
            </w:r>
          </w:p>
        </w:tc>
        <w:tc>
          <w:tcPr>
            <w:tcW w:w="2730" w:type="dxa"/>
            <w:shd w:val="clear" w:color="auto" w:fill="D9D9D9" w:themeFill="background1" w:themeFillShade="D9"/>
            <w:vAlign w:val="center"/>
          </w:tcPr>
          <w:p w:rsidR="006470F3" w:rsidRDefault="00820AE9" w:rsidP="00B64292">
            <w:pPr>
              <w:contextualSpacing/>
              <w:rPr>
                <w:rFonts w:eastAsia="Calibri"/>
                <w:color w:val="000000" w:themeColor="text1"/>
                <w:sz w:val="18"/>
                <w:szCs w:val="18"/>
              </w:rPr>
            </w:pPr>
            <w:r>
              <w:rPr>
                <w:rFonts w:eastAsia="Calibri"/>
                <w:color w:val="000000" w:themeColor="text1"/>
                <w:sz w:val="18"/>
                <w:szCs w:val="18"/>
              </w:rPr>
              <w:t>MEB</w:t>
            </w:r>
            <w:r w:rsidR="006470F3">
              <w:rPr>
                <w:rFonts w:eastAsia="Calibri"/>
                <w:color w:val="000000" w:themeColor="text1"/>
                <w:sz w:val="18"/>
                <w:szCs w:val="18"/>
              </w:rPr>
              <w:t>, p. 35</w:t>
            </w:r>
          </w:p>
          <w:p w:rsidR="00A377A7" w:rsidRPr="00A377A7" w:rsidRDefault="00A377A7" w:rsidP="00A377A7">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w:t>
            </w:r>
            <w:r>
              <w:rPr>
                <w:rFonts w:eastAsia="Calibri"/>
                <w:color w:val="000000" w:themeColor="text1"/>
                <w:sz w:val="18"/>
                <w:szCs w:val="18"/>
              </w:rPr>
              <w:t>2 Months</w:t>
            </w:r>
            <w:r w:rsidRPr="001F29F9">
              <w:rPr>
                <w:rFonts w:eastAsia="Calibri"/>
                <w:color w:val="000000" w:themeColor="text1"/>
                <w:sz w:val="18"/>
                <w:szCs w:val="18"/>
              </w:rPr>
              <w:t xml:space="preserve"> Pre-Sep</w:t>
            </w:r>
            <w:r>
              <w:rPr>
                <w:rFonts w:eastAsia="Calibri"/>
                <w:color w:val="000000" w:themeColor="text1"/>
                <w:sz w:val="18"/>
                <w:szCs w:val="18"/>
              </w:rPr>
              <w:t>aration</w:t>
            </w:r>
          </w:p>
          <w:p w:rsidR="006470F3" w:rsidRPr="001F29F9" w:rsidRDefault="006470F3" w:rsidP="007E2AF9">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w:t>
            </w:r>
            <w:r>
              <w:rPr>
                <w:rFonts w:asciiTheme="minorHAnsi" w:eastAsia="Calibri" w:hAnsiTheme="minorHAnsi"/>
                <w:color w:val="000000" w:themeColor="text1"/>
                <w:sz w:val="18"/>
                <w:szCs w:val="18"/>
              </w:rPr>
              <w:t>2007</w:t>
            </w:r>
            <w:r w:rsidR="00CF6BB6">
              <w:rPr>
                <w:rFonts w:asciiTheme="minorHAnsi" w:eastAsia="Calibri" w:hAnsiTheme="minorHAnsi"/>
                <w:color w:val="000000" w:themeColor="text1"/>
                <w:sz w:val="18"/>
                <w:szCs w:val="18"/>
              </w:rPr>
              <w:t>0711</w:t>
            </w:r>
            <w:r>
              <w:rPr>
                <w:rFonts w:asciiTheme="minorHAnsi" w:eastAsia="Calibri" w:hAnsiTheme="minorHAnsi"/>
                <w:color w:val="000000" w:themeColor="text1"/>
                <w:sz w:val="18"/>
                <w:szCs w:val="18"/>
              </w:rPr>
              <w:t>)</w:t>
            </w:r>
          </w:p>
        </w:tc>
        <w:tc>
          <w:tcPr>
            <w:tcW w:w="2610" w:type="dxa"/>
            <w:shd w:val="clear" w:color="auto" w:fill="D9D9D9" w:themeFill="background1" w:themeFillShade="D9"/>
            <w:vAlign w:val="center"/>
          </w:tcPr>
          <w:p w:rsidR="006470F3" w:rsidRDefault="006470F3" w:rsidP="00B64292">
            <w:pPr>
              <w:contextualSpacing/>
              <w:rPr>
                <w:rFonts w:eastAsia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w:t>
            </w:r>
            <w:r w:rsidR="00500931">
              <w:rPr>
                <w:rFonts w:eastAsiaTheme="minorHAnsi"/>
                <w:color w:val="000000" w:themeColor="text1"/>
                <w:sz w:val="18"/>
                <w:szCs w:val="18"/>
              </w:rPr>
              <w:t>, p. 162</w:t>
            </w:r>
          </w:p>
          <w:p w:rsidR="006470F3" w:rsidRPr="001F29F9" w:rsidRDefault="00500931" w:rsidP="00B64292">
            <w:pPr>
              <w:contextualSpacing/>
              <w:rPr>
                <w:rFonts w:asciiTheme="minorHAnsi" w:eastAsia="Calibri" w:hAnsiTheme="minorHAnsi"/>
                <w:color w:val="000000" w:themeColor="text1"/>
                <w:sz w:val="18"/>
                <w:szCs w:val="18"/>
              </w:rPr>
            </w:pPr>
            <w:r>
              <w:rPr>
                <w:rFonts w:eastAsia="Calibri"/>
                <w:color w:val="000000" w:themeColor="text1"/>
                <w:sz w:val="18"/>
                <w:szCs w:val="18"/>
              </w:rPr>
              <w:t>&lt;1</w:t>
            </w:r>
            <w:r w:rsidR="00043EFA">
              <w:rPr>
                <w:rFonts w:eastAsia="Calibri"/>
                <w:color w:val="000000" w:themeColor="text1"/>
                <w:sz w:val="18"/>
                <w:szCs w:val="18"/>
              </w:rPr>
              <w:t xml:space="preserve"> Mo</w:t>
            </w:r>
            <w:r w:rsidR="00CF6BB6">
              <w:rPr>
                <w:rFonts w:eastAsia="Calibri"/>
                <w:color w:val="000000" w:themeColor="text1"/>
                <w:sz w:val="18"/>
                <w:szCs w:val="18"/>
              </w:rPr>
              <w:t>nth</w:t>
            </w:r>
            <w:r w:rsidR="00043EFA">
              <w:rPr>
                <w:rFonts w:eastAsia="Calibri"/>
                <w:color w:val="000000" w:themeColor="text1"/>
                <w:sz w:val="18"/>
                <w:szCs w:val="18"/>
              </w:rPr>
              <w:t xml:space="preserve"> Pre</w:t>
            </w:r>
            <w:r w:rsidR="006470F3" w:rsidRPr="001F29F9">
              <w:rPr>
                <w:rFonts w:eastAsia="Calibri"/>
                <w:color w:val="000000" w:themeColor="text1"/>
                <w:sz w:val="18"/>
                <w:szCs w:val="18"/>
              </w:rPr>
              <w:t>-Sep</w:t>
            </w:r>
            <w:r w:rsidR="00CF6BB6">
              <w:rPr>
                <w:rFonts w:eastAsia="Calibri"/>
                <w:color w:val="000000" w:themeColor="text1"/>
                <w:sz w:val="18"/>
                <w:szCs w:val="18"/>
              </w:rPr>
              <w:t>aration</w:t>
            </w:r>
          </w:p>
          <w:p w:rsidR="006470F3" w:rsidRPr="001F29F9" w:rsidRDefault="00CF6BB6" w:rsidP="00B64292">
            <w:pPr>
              <w:contextualSpacing/>
              <w:rPr>
                <w:rFonts w:eastAsiaTheme="minorHAnsi"/>
                <w:color w:val="000000" w:themeColor="text1"/>
                <w:sz w:val="18"/>
                <w:szCs w:val="18"/>
              </w:rPr>
            </w:pPr>
            <w:r>
              <w:rPr>
                <w:rFonts w:asciiTheme="minorHAnsi" w:eastAsia="Calibri" w:hAnsiTheme="minorHAnsi"/>
                <w:color w:val="000000" w:themeColor="text1"/>
                <w:sz w:val="18"/>
                <w:szCs w:val="18"/>
              </w:rPr>
              <w:t>(</w:t>
            </w:r>
            <w:r w:rsidR="00500931">
              <w:rPr>
                <w:rFonts w:asciiTheme="minorHAnsi" w:eastAsia="Calibri" w:hAnsiTheme="minorHAnsi"/>
                <w:color w:val="000000" w:themeColor="text1"/>
                <w:sz w:val="18"/>
                <w:szCs w:val="18"/>
              </w:rPr>
              <w:t>2007</w:t>
            </w:r>
            <w:r>
              <w:rPr>
                <w:rFonts w:asciiTheme="minorHAnsi" w:eastAsia="Calibri" w:hAnsiTheme="minorHAnsi"/>
                <w:color w:val="000000" w:themeColor="text1"/>
                <w:sz w:val="18"/>
                <w:szCs w:val="18"/>
              </w:rPr>
              <w:t>0920</w:t>
            </w:r>
            <w:r w:rsidR="006470F3" w:rsidRPr="001F29F9">
              <w:rPr>
                <w:rFonts w:asciiTheme="minorHAnsi" w:eastAsia="Calibri" w:hAnsiTheme="minorHAnsi"/>
                <w:color w:val="000000" w:themeColor="text1"/>
                <w:sz w:val="18"/>
                <w:szCs w:val="18"/>
              </w:rPr>
              <w:t>)</w:t>
            </w:r>
          </w:p>
        </w:tc>
      </w:tr>
      <w:tr w:rsidR="006470F3" w:rsidRPr="00992116" w:rsidTr="005968F8">
        <w:tc>
          <w:tcPr>
            <w:tcW w:w="1752" w:type="dxa"/>
            <w:vAlign w:val="center"/>
          </w:tcPr>
          <w:p w:rsidR="006470F3" w:rsidRPr="001F29F9" w:rsidRDefault="006470F3" w:rsidP="00B64292">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Flexion (0-180)</w:t>
            </w:r>
          </w:p>
        </w:tc>
        <w:tc>
          <w:tcPr>
            <w:tcW w:w="2280" w:type="dxa"/>
            <w:vAlign w:val="center"/>
          </w:tcPr>
          <w:p w:rsidR="006470F3" w:rsidRPr="00644F2B" w:rsidRDefault="00372B82" w:rsidP="00B64292">
            <w:pPr>
              <w:contextualSpacing/>
              <w:rPr>
                <w:rFonts w:eastAsia="Calibri"/>
                <w:color w:val="000000" w:themeColor="text1"/>
                <w:sz w:val="18"/>
                <w:szCs w:val="18"/>
              </w:rPr>
            </w:pPr>
            <w:r>
              <w:rPr>
                <w:rFonts w:eastAsia="Calibri"/>
                <w:color w:val="000000" w:themeColor="text1"/>
                <w:sz w:val="18"/>
                <w:szCs w:val="18"/>
              </w:rPr>
              <w:t xml:space="preserve"> </w:t>
            </w:r>
            <w:r w:rsidR="00992116" w:rsidRPr="00644F2B">
              <w:rPr>
                <w:rFonts w:eastAsia="Calibri"/>
                <w:color w:val="000000" w:themeColor="text1"/>
                <w:sz w:val="18"/>
                <w:szCs w:val="18"/>
              </w:rPr>
              <w:t>75</w:t>
            </w:r>
            <w:r w:rsidR="006470F3" w:rsidRPr="00644F2B">
              <w:rPr>
                <w:rFonts w:eastAsia="Calibri"/>
                <w:color w:val="000000" w:themeColor="text1"/>
                <w:sz w:val="18"/>
                <w:szCs w:val="18"/>
              </w:rPr>
              <w:t>⁰</w:t>
            </w:r>
            <w:r w:rsidR="00506D58" w:rsidRPr="00644F2B">
              <w:rPr>
                <w:rFonts w:eastAsia="Calibri"/>
                <w:color w:val="000000" w:themeColor="text1"/>
                <w:sz w:val="18"/>
                <w:szCs w:val="18"/>
              </w:rPr>
              <w:t>, 75</w:t>
            </w:r>
            <w:r w:rsidR="00506D58" w:rsidRPr="00644F2B">
              <w:rPr>
                <w:rFonts w:eastAsia="Calibri" w:cs="Calibri"/>
                <w:color w:val="000000" w:themeColor="text1"/>
                <w:sz w:val="18"/>
                <w:szCs w:val="18"/>
              </w:rPr>
              <w:t>°</w:t>
            </w:r>
            <w:r w:rsidR="00506D58" w:rsidRPr="00644F2B">
              <w:rPr>
                <w:rFonts w:eastAsia="Calibri"/>
                <w:color w:val="000000" w:themeColor="text1"/>
                <w:sz w:val="18"/>
                <w:szCs w:val="18"/>
              </w:rPr>
              <w:t>, 80</w:t>
            </w:r>
            <w:r w:rsidR="00506D58" w:rsidRPr="00644F2B">
              <w:rPr>
                <w:rFonts w:eastAsia="Calibri" w:cs="Calibri"/>
                <w:color w:val="000000" w:themeColor="text1"/>
                <w:sz w:val="18"/>
                <w:szCs w:val="18"/>
              </w:rPr>
              <w:t>°</w:t>
            </w:r>
            <w:r w:rsidR="00506D58" w:rsidRPr="00644F2B">
              <w:rPr>
                <w:rFonts w:eastAsia="Calibri"/>
                <w:color w:val="000000" w:themeColor="text1"/>
                <w:sz w:val="18"/>
                <w:szCs w:val="18"/>
              </w:rPr>
              <w:t xml:space="preserve"> (78</w:t>
            </w:r>
            <w:r w:rsidR="00506D58" w:rsidRPr="00644F2B">
              <w:rPr>
                <w:rFonts w:eastAsia="Calibri" w:cs="Calibri"/>
                <w:color w:val="000000" w:themeColor="text1"/>
                <w:sz w:val="18"/>
                <w:szCs w:val="18"/>
              </w:rPr>
              <w:t>°)</w:t>
            </w:r>
          </w:p>
        </w:tc>
        <w:tc>
          <w:tcPr>
            <w:tcW w:w="2730" w:type="dxa"/>
            <w:vAlign w:val="center"/>
          </w:tcPr>
          <w:p w:rsidR="006470F3" w:rsidRPr="001F29F9" w:rsidRDefault="006470F3" w:rsidP="00B64292">
            <w:pPr>
              <w:contextualSpacing/>
              <w:rPr>
                <w:rFonts w:eastAsia="Calibri"/>
                <w:color w:val="000000" w:themeColor="text1"/>
                <w:sz w:val="18"/>
                <w:szCs w:val="18"/>
              </w:rPr>
            </w:pPr>
            <w:r>
              <w:rPr>
                <w:rFonts w:eastAsia="Calibri"/>
                <w:color w:val="000000" w:themeColor="text1"/>
                <w:sz w:val="18"/>
                <w:szCs w:val="18"/>
              </w:rPr>
              <w:t>NA</w:t>
            </w:r>
          </w:p>
        </w:tc>
        <w:tc>
          <w:tcPr>
            <w:tcW w:w="2610" w:type="dxa"/>
            <w:vAlign w:val="center"/>
          </w:tcPr>
          <w:p w:rsidR="006470F3" w:rsidRPr="001F29F9" w:rsidRDefault="00E54F94" w:rsidP="00B64292">
            <w:pPr>
              <w:contextualSpacing/>
              <w:rPr>
                <w:rFonts w:eastAsia="Calibri"/>
                <w:color w:val="000000" w:themeColor="text1"/>
                <w:sz w:val="18"/>
                <w:szCs w:val="18"/>
              </w:rPr>
            </w:pPr>
            <w:r>
              <w:rPr>
                <w:rFonts w:eastAsia="Calibri"/>
                <w:color w:val="000000" w:themeColor="text1"/>
                <w:sz w:val="18"/>
                <w:szCs w:val="18"/>
              </w:rPr>
              <w:t>100</w:t>
            </w:r>
            <w:r w:rsidR="006470F3" w:rsidRPr="001F29F9">
              <w:rPr>
                <w:rFonts w:eastAsia="Calibri"/>
                <w:color w:val="000000" w:themeColor="text1"/>
                <w:sz w:val="18"/>
                <w:szCs w:val="18"/>
              </w:rPr>
              <w:t>⁰</w:t>
            </w:r>
          </w:p>
        </w:tc>
      </w:tr>
      <w:tr w:rsidR="006470F3" w:rsidRPr="00992116" w:rsidTr="005968F8">
        <w:trPr>
          <w:trHeight w:val="79"/>
        </w:trPr>
        <w:tc>
          <w:tcPr>
            <w:tcW w:w="1752" w:type="dxa"/>
            <w:vAlign w:val="center"/>
          </w:tcPr>
          <w:p w:rsidR="006470F3" w:rsidRPr="001F29F9" w:rsidRDefault="006470F3" w:rsidP="00B64292">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Abduction (0-180)</w:t>
            </w:r>
          </w:p>
        </w:tc>
        <w:tc>
          <w:tcPr>
            <w:tcW w:w="2280" w:type="dxa"/>
            <w:vAlign w:val="center"/>
          </w:tcPr>
          <w:p w:rsidR="006470F3" w:rsidRPr="00644F2B" w:rsidRDefault="00506D58" w:rsidP="00B64292">
            <w:pPr>
              <w:contextualSpacing/>
              <w:rPr>
                <w:rFonts w:eastAsia="Calibri"/>
                <w:color w:val="000000" w:themeColor="text1"/>
                <w:sz w:val="18"/>
                <w:szCs w:val="18"/>
              </w:rPr>
            </w:pPr>
            <w:r w:rsidRPr="00644F2B">
              <w:rPr>
                <w:rFonts w:eastAsia="Calibri"/>
                <w:color w:val="000000" w:themeColor="text1"/>
                <w:sz w:val="18"/>
                <w:szCs w:val="18"/>
              </w:rPr>
              <w:t>80</w:t>
            </w:r>
            <w:r w:rsidRPr="00644F2B">
              <w:rPr>
                <w:rFonts w:eastAsia="Calibri" w:cs="Calibri"/>
                <w:color w:val="000000" w:themeColor="text1"/>
                <w:sz w:val="18"/>
                <w:szCs w:val="18"/>
              </w:rPr>
              <w:t>°</w:t>
            </w:r>
            <w:r w:rsidRPr="00644F2B">
              <w:rPr>
                <w:rFonts w:eastAsia="Calibri"/>
                <w:color w:val="000000" w:themeColor="text1"/>
                <w:sz w:val="18"/>
                <w:szCs w:val="18"/>
              </w:rPr>
              <w:t xml:space="preserve"> (78</w:t>
            </w:r>
            <w:r w:rsidRPr="00644F2B">
              <w:rPr>
                <w:rFonts w:eastAsia="Calibri" w:cs="Calibri"/>
                <w:color w:val="000000" w:themeColor="text1"/>
                <w:sz w:val="18"/>
                <w:szCs w:val="18"/>
              </w:rPr>
              <w:t xml:space="preserve">°), 80°, </w:t>
            </w:r>
            <w:r w:rsidR="00992116" w:rsidRPr="00644F2B">
              <w:rPr>
                <w:rFonts w:eastAsia="Calibri"/>
                <w:color w:val="000000" w:themeColor="text1"/>
                <w:sz w:val="18"/>
                <w:szCs w:val="18"/>
              </w:rPr>
              <w:t>75</w:t>
            </w:r>
            <w:r w:rsidR="006470F3" w:rsidRPr="00644F2B">
              <w:rPr>
                <w:rFonts w:eastAsia="Calibri"/>
                <w:color w:val="000000" w:themeColor="text1"/>
                <w:sz w:val="18"/>
                <w:szCs w:val="18"/>
              </w:rPr>
              <w:t>⁰</w:t>
            </w:r>
          </w:p>
        </w:tc>
        <w:tc>
          <w:tcPr>
            <w:tcW w:w="2730" w:type="dxa"/>
            <w:vAlign w:val="center"/>
          </w:tcPr>
          <w:p w:rsidR="006470F3" w:rsidRPr="001F29F9" w:rsidRDefault="006470F3" w:rsidP="00B64292">
            <w:pPr>
              <w:contextualSpacing/>
              <w:rPr>
                <w:rFonts w:eastAsia="Calibri"/>
                <w:color w:val="000000" w:themeColor="text1"/>
                <w:sz w:val="18"/>
                <w:szCs w:val="18"/>
              </w:rPr>
            </w:pPr>
            <w:r>
              <w:rPr>
                <w:rFonts w:eastAsia="Calibri"/>
                <w:color w:val="000000" w:themeColor="text1"/>
                <w:sz w:val="18"/>
                <w:szCs w:val="18"/>
              </w:rPr>
              <w:t>NA</w:t>
            </w:r>
          </w:p>
        </w:tc>
        <w:tc>
          <w:tcPr>
            <w:tcW w:w="2610" w:type="dxa"/>
            <w:vAlign w:val="center"/>
          </w:tcPr>
          <w:p w:rsidR="006470F3" w:rsidRPr="001F29F9" w:rsidRDefault="00E54F94" w:rsidP="00B64292">
            <w:pPr>
              <w:contextualSpacing/>
              <w:rPr>
                <w:rFonts w:eastAsia="Calibri"/>
                <w:color w:val="000000" w:themeColor="text1"/>
                <w:sz w:val="18"/>
                <w:szCs w:val="18"/>
              </w:rPr>
            </w:pPr>
            <w:r>
              <w:rPr>
                <w:rFonts w:eastAsia="Calibri"/>
                <w:color w:val="000000" w:themeColor="text1"/>
                <w:sz w:val="18"/>
                <w:szCs w:val="18"/>
              </w:rPr>
              <w:t>110</w:t>
            </w:r>
            <w:r w:rsidR="006470F3" w:rsidRPr="001F29F9">
              <w:rPr>
                <w:rFonts w:eastAsia="Calibri"/>
                <w:color w:val="000000" w:themeColor="text1"/>
                <w:sz w:val="18"/>
                <w:szCs w:val="18"/>
              </w:rPr>
              <w:t>⁰</w:t>
            </w:r>
          </w:p>
        </w:tc>
      </w:tr>
      <w:tr w:rsidR="006470F3" w:rsidRPr="00992116" w:rsidTr="005968F8">
        <w:tc>
          <w:tcPr>
            <w:tcW w:w="1752" w:type="dxa"/>
            <w:vAlign w:val="center"/>
          </w:tcPr>
          <w:p w:rsidR="006470F3" w:rsidRPr="001F29F9" w:rsidRDefault="006470F3" w:rsidP="00B64292">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2280" w:type="dxa"/>
            <w:vAlign w:val="center"/>
          </w:tcPr>
          <w:p w:rsidR="006470F3" w:rsidRPr="001F29F9" w:rsidRDefault="004232A4" w:rsidP="00EE60BD">
            <w:pPr>
              <w:tabs>
                <w:tab w:val="left" w:pos="288"/>
                <w:tab w:val="left" w:pos="4752"/>
              </w:tabs>
              <w:jc w:val="left"/>
              <w:rPr>
                <w:rFonts w:eastAsiaTheme="minorHAnsi"/>
                <w:color w:val="000000" w:themeColor="text1"/>
                <w:sz w:val="18"/>
                <w:szCs w:val="18"/>
              </w:rPr>
            </w:pPr>
            <w:r>
              <w:rPr>
                <w:rFonts w:eastAsia="Calibri"/>
                <w:color w:val="000000" w:themeColor="text1"/>
                <w:sz w:val="18"/>
                <w:szCs w:val="18"/>
              </w:rPr>
              <w:t>R</w:t>
            </w:r>
            <w:r w:rsidR="00EE60BD">
              <w:rPr>
                <w:rFonts w:eastAsia="Calibri"/>
                <w:color w:val="000000" w:themeColor="text1"/>
                <w:sz w:val="18"/>
                <w:szCs w:val="18"/>
              </w:rPr>
              <w:t>OM r</w:t>
            </w:r>
            <w:r w:rsidRPr="004232A4">
              <w:rPr>
                <w:rFonts w:eastAsia="Calibri"/>
                <w:color w:val="000000" w:themeColor="text1"/>
                <w:sz w:val="18"/>
                <w:szCs w:val="18"/>
              </w:rPr>
              <w:t xml:space="preserve">estricted due to a soft </w:t>
            </w:r>
            <w:r w:rsidRPr="0087307F">
              <w:rPr>
                <w:rFonts w:eastAsia="Calibri"/>
                <w:color w:val="000000" w:themeColor="text1"/>
                <w:sz w:val="18"/>
                <w:szCs w:val="18"/>
              </w:rPr>
              <w:t>tissue adhesion</w:t>
            </w:r>
            <w:r w:rsidRPr="004232A4">
              <w:rPr>
                <w:rFonts w:eastAsia="Calibri"/>
                <w:color w:val="000000" w:themeColor="text1"/>
                <w:sz w:val="18"/>
                <w:szCs w:val="18"/>
              </w:rPr>
              <w:t xml:space="preserve"> mechanical type </w:t>
            </w:r>
            <w:r>
              <w:rPr>
                <w:rFonts w:eastAsia="Calibri"/>
                <w:iCs/>
                <w:color w:val="000000" w:themeColor="text1"/>
                <w:sz w:val="18"/>
                <w:szCs w:val="18"/>
              </w:rPr>
              <w:t>limitation</w:t>
            </w:r>
            <w:r w:rsidR="00EE60BD">
              <w:rPr>
                <w:rFonts w:eastAsia="Calibri"/>
                <w:iCs/>
                <w:color w:val="000000" w:themeColor="text1"/>
                <w:sz w:val="18"/>
                <w:szCs w:val="18"/>
              </w:rPr>
              <w:t xml:space="preserve">; </w:t>
            </w:r>
            <w:r w:rsidR="00EE60BD" w:rsidRPr="004232A4">
              <w:rPr>
                <w:rFonts w:eastAsia="Calibri"/>
                <w:color w:val="000000" w:themeColor="text1"/>
                <w:sz w:val="18"/>
                <w:szCs w:val="18"/>
              </w:rPr>
              <w:t>complaints</w:t>
            </w:r>
            <w:r w:rsidRPr="004232A4">
              <w:rPr>
                <w:rFonts w:eastAsia="Calibri"/>
                <w:color w:val="000000" w:themeColor="text1"/>
                <w:sz w:val="18"/>
                <w:szCs w:val="18"/>
              </w:rPr>
              <w:t xml:space="preserve"> of "throbbing pain" pointing to rotator cuff.</w:t>
            </w:r>
          </w:p>
        </w:tc>
        <w:tc>
          <w:tcPr>
            <w:tcW w:w="2730" w:type="dxa"/>
            <w:vAlign w:val="center"/>
          </w:tcPr>
          <w:p w:rsidR="00EE60BD" w:rsidRDefault="00EE60BD" w:rsidP="00EE60BD">
            <w:pPr>
              <w:tabs>
                <w:tab w:val="left" w:pos="288"/>
                <w:tab w:val="left" w:pos="4752"/>
              </w:tabs>
              <w:jc w:val="left"/>
              <w:rPr>
                <w:rFonts w:eastAsia="Calibri"/>
                <w:color w:val="000000" w:themeColor="text1"/>
                <w:sz w:val="18"/>
                <w:szCs w:val="18"/>
              </w:rPr>
            </w:pPr>
            <w:r>
              <w:rPr>
                <w:rFonts w:eastAsia="Calibri"/>
                <w:color w:val="000000" w:themeColor="text1"/>
                <w:sz w:val="18"/>
                <w:szCs w:val="18"/>
              </w:rPr>
              <w:t>Positive Apley Scratch Test and Drop Arm with stress test; normal motor, sensory and reflex exams.</w:t>
            </w:r>
          </w:p>
          <w:p w:rsidR="006470F3" w:rsidRPr="001F29F9" w:rsidRDefault="00EE60BD" w:rsidP="00EE60BD">
            <w:pPr>
              <w:tabs>
                <w:tab w:val="left" w:pos="288"/>
                <w:tab w:val="left" w:pos="4752"/>
              </w:tabs>
              <w:jc w:val="left"/>
              <w:rPr>
                <w:rFonts w:eastAsiaTheme="minorHAnsi"/>
                <w:color w:val="000000" w:themeColor="text1"/>
                <w:sz w:val="18"/>
                <w:szCs w:val="18"/>
              </w:rPr>
            </w:pPr>
            <w:r>
              <w:rPr>
                <w:rFonts w:eastAsia="Calibri"/>
                <w:color w:val="000000" w:themeColor="text1"/>
                <w:sz w:val="18"/>
                <w:szCs w:val="18"/>
              </w:rPr>
              <w:t xml:space="preserve">No goniometer used, </w:t>
            </w:r>
            <w:r w:rsidR="006470F3">
              <w:rPr>
                <w:rFonts w:eastAsia="Calibri"/>
                <w:color w:val="000000" w:themeColor="text1"/>
                <w:sz w:val="18"/>
                <w:szCs w:val="18"/>
              </w:rPr>
              <w:t xml:space="preserve">NARSUM Physician refers ROM to </w:t>
            </w:r>
            <w:r w:rsidR="0003009B">
              <w:rPr>
                <w:rFonts w:eastAsia="Calibri"/>
                <w:color w:val="000000" w:themeColor="text1"/>
                <w:sz w:val="18"/>
                <w:szCs w:val="18"/>
              </w:rPr>
              <w:t xml:space="preserve">MEB </w:t>
            </w:r>
            <w:r w:rsidR="006470F3">
              <w:rPr>
                <w:rFonts w:eastAsia="Calibri"/>
                <w:color w:val="000000" w:themeColor="text1"/>
                <w:sz w:val="18"/>
                <w:szCs w:val="18"/>
              </w:rPr>
              <w:t>PT exams since PT utilized instrument to measure ROMs</w:t>
            </w:r>
          </w:p>
        </w:tc>
        <w:tc>
          <w:tcPr>
            <w:tcW w:w="2610" w:type="dxa"/>
            <w:vAlign w:val="center"/>
          </w:tcPr>
          <w:p w:rsidR="006470F3" w:rsidRPr="003D26FB" w:rsidRDefault="00533E8D" w:rsidP="00B64292">
            <w:pPr>
              <w:tabs>
                <w:tab w:val="left" w:pos="288"/>
                <w:tab w:val="left" w:pos="4752"/>
              </w:tabs>
              <w:jc w:val="left"/>
              <w:rPr>
                <w:rFonts w:eastAsiaTheme="minorHAnsi"/>
                <w:color w:val="000000" w:themeColor="text1"/>
                <w:sz w:val="18"/>
                <w:szCs w:val="18"/>
              </w:rPr>
            </w:pPr>
            <w:r>
              <w:rPr>
                <w:rFonts w:eastAsia="Calibri"/>
                <w:color w:val="000000" w:themeColor="text1"/>
                <w:sz w:val="18"/>
                <w:szCs w:val="18"/>
              </w:rPr>
              <w:t xml:space="preserve">Pain and stiffness at </w:t>
            </w:r>
            <w:r w:rsidRPr="00EE60BD">
              <w:rPr>
                <w:rFonts w:eastAsia="Calibri"/>
                <w:color w:val="000000" w:themeColor="text1"/>
                <w:sz w:val="18"/>
                <w:szCs w:val="18"/>
              </w:rPr>
              <w:t>95</w:t>
            </w:r>
            <w:r w:rsidRPr="00EE60BD">
              <w:rPr>
                <w:rFonts w:eastAsia="Calibri" w:cs="Calibri"/>
                <w:color w:val="000000" w:themeColor="text1"/>
                <w:sz w:val="18"/>
                <w:szCs w:val="18"/>
              </w:rPr>
              <w:t>°</w:t>
            </w:r>
            <w:r w:rsidRPr="00EE60BD">
              <w:rPr>
                <w:rFonts w:eastAsia="Calibri"/>
                <w:color w:val="000000" w:themeColor="text1"/>
                <w:sz w:val="18"/>
                <w:szCs w:val="18"/>
              </w:rPr>
              <w:t xml:space="preserve"> of flexion and 100</w:t>
            </w:r>
            <w:r w:rsidRPr="00EE60BD">
              <w:rPr>
                <w:rFonts w:eastAsia="Calibri" w:cs="Calibri"/>
                <w:color w:val="000000" w:themeColor="text1"/>
                <w:sz w:val="18"/>
                <w:szCs w:val="18"/>
              </w:rPr>
              <w:t>°</w:t>
            </w:r>
            <w:r w:rsidRPr="00EE60BD">
              <w:rPr>
                <w:rFonts w:eastAsia="Calibri"/>
                <w:color w:val="000000" w:themeColor="text1"/>
                <w:sz w:val="18"/>
                <w:szCs w:val="18"/>
              </w:rPr>
              <w:t xml:space="preserve"> of abduction</w:t>
            </w:r>
            <w:r>
              <w:rPr>
                <w:rFonts w:eastAsia="Calibri"/>
                <w:color w:val="000000" w:themeColor="text1"/>
                <w:sz w:val="18"/>
                <w:szCs w:val="18"/>
              </w:rPr>
              <w:t xml:space="preserve">; +1 crepitus with </w:t>
            </w:r>
            <w:r w:rsidR="00EE60BD">
              <w:rPr>
                <w:rFonts w:eastAsia="Calibri"/>
                <w:color w:val="000000" w:themeColor="text1"/>
                <w:sz w:val="18"/>
                <w:szCs w:val="18"/>
              </w:rPr>
              <w:t>ROM; No effusion or swelling; mild to moderate pain and stiffness during examination; normal reflexes, no motor or sensory examination.</w:t>
            </w:r>
          </w:p>
        </w:tc>
      </w:tr>
      <w:tr w:rsidR="006470F3" w:rsidRPr="00992116" w:rsidTr="005968F8">
        <w:tc>
          <w:tcPr>
            <w:tcW w:w="1752" w:type="dxa"/>
            <w:vAlign w:val="center"/>
          </w:tcPr>
          <w:p w:rsidR="006470F3" w:rsidRPr="001F29F9" w:rsidRDefault="006470F3" w:rsidP="00B64292">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280" w:type="dxa"/>
            <w:vAlign w:val="center"/>
          </w:tcPr>
          <w:p w:rsidR="006470F3" w:rsidRPr="001F29F9" w:rsidRDefault="00EE60BD" w:rsidP="00EE60BD">
            <w:pPr>
              <w:tabs>
                <w:tab w:val="left" w:pos="288"/>
                <w:tab w:val="left" w:pos="4752"/>
              </w:tabs>
              <w:rPr>
                <w:rFonts w:eastAsiaTheme="minorHAnsi"/>
                <w:color w:val="000000" w:themeColor="text1"/>
                <w:sz w:val="18"/>
                <w:szCs w:val="18"/>
              </w:rPr>
            </w:pPr>
            <w:r>
              <w:rPr>
                <w:rFonts w:eastAsiaTheme="minorHAnsi"/>
                <w:color w:val="000000" w:themeColor="text1"/>
                <w:sz w:val="18"/>
                <w:szCs w:val="18"/>
              </w:rPr>
              <w:t>20%</w:t>
            </w:r>
          </w:p>
        </w:tc>
        <w:tc>
          <w:tcPr>
            <w:tcW w:w="2730" w:type="dxa"/>
            <w:vAlign w:val="center"/>
          </w:tcPr>
          <w:p w:rsidR="006470F3" w:rsidRPr="001F29F9" w:rsidRDefault="006470F3" w:rsidP="00EE60BD">
            <w:pPr>
              <w:tabs>
                <w:tab w:val="left" w:pos="288"/>
                <w:tab w:val="left" w:pos="4752"/>
              </w:tabs>
              <w:rPr>
                <w:rFonts w:eastAsiaTheme="minorHAnsi"/>
                <w:color w:val="000000" w:themeColor="text1"/>
                <w:sz w:val="18"/>
                <w:szCs w:val="18"/>
              </w:rPr>
            </w:pPr>
            <w:r>
              <w:rPr>
                <w:rFonts w:eastAsiaTheme="minorHAnsi"/>
                <w:color w:val="000000" w:themeColor="text1"/>
                <w:sz w:val="18"/>
                <w:szCs w:val="18"/>
              </w:rPr>
              <w:t>NA</w:t>
            </w:r>
          </w:p>
        </w:tc>
        <w:tc>
          <w:tcPr>
            <w:tcW w:w="2610" w:type="dxa"/>
            <w:vAlign w:val="center"/>
          </w:tcPr>
          <w:p w:rsidR="006470F3" w:rsidRPr="001F29F9" w:rsidRDefault="00E54F94" w:rsidP="00EE60BD">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6470F3" w:rsidRPr="001F29F9">
              <w:rPr>
                <w:rFonts w:eastAsiaTheme="minorHAnsi"/>
                <w:color w:val="000000" w:themeColor="text1"/>
                <w:sz w:val="18"/>
                <w:szCs w:val="18"/>
              </w:rPr>
              <w:t>%</w:t>
            </w:r>
          </w:p>
        </w:tc>
      </w:tr>
    </w:tbl>
    <w:p w:rsidR="004E11C3" w:rsidRDefault="004E11C3" w:rsidP="00617E4F">
      <w:pPr>
        <w:jc w:val="both"/>
        <w:rPr>
          <w:color w:val="000000" w:themeColor="text1"/>
          <w:szCs w:val="24"/>
        </w:rPr>
      </w:pPr>
    </w:p>
    <w:p w:rsidR="00D50164" w:rsidRDefault="004F732E" w:rsidP="00F048DB">
      <w:pPr>
        <w:jc w:val="both"/>
        <w:rPr>
          <w:color w:val="000000" w:themeColor="text1"/>
          <w:szCs w:val="24"/>
        </w:rPr>
      </w:pPr>
      <w:r>
        <w:rPr>
          <w:color w:val="000000" w:themeColor="text1"/>
          <w:szCs w:val="24"/>
        </w:rPr>
        <w:t xml:space="preserve">A </w:t>
      </w:r>
      <w:r w:rsidR="00895752" w:rsidRPr="0087307F">
        <w:rPr>
          <w:color w:val="000000" w:themeColor="text1"/>
          <w:szCs w:val="24"/>
        </w:rPr>
        <w:t xml:space="preserve">PEB on </w:t>
      </w:r>
      <w:r>
        <w:rPr>
          <w:color w:val="000000" w:themeColor="text1"/>
          <w:szCs w:val="24"/>
        </w:rPr>
        <w:t xml:space="preserve">3 July </w:t>
      </w:r>
      <w:r w:rsidR="00895752" w:rsidRPr="0087307F">
        <w:rPr>
          <w:color w:val="000000" w:themeColor="text1"/>
          <w:szCs w:val="24"/>
        </w:rPr>
        <w:t xml:space="preserve">2007 determined the CI’s left shoulder condition was unfitting and rated it at 0% with application of the </w:t>
      </w:r>
      <w:r w:rsidR="00895752" w:rsidRPr="0087307F">
        <w:rPr>
          <w:color w:val="auto"/>
          <w:szCs w:val="24"/>
        </w:rPr>
        <w:t>US Army Physical Disability Agency (USAPDA) pain policy</w:t>
      </w:r>
      <w:r w:rsidR="00895752" w:rsidRPr="0087307F">
        <w:rPr>
          <w:color w:val="000000" w:themeColor="text1"/>
          <w:szCs w:val="24"/>
        </w:rPr>
        <w:t xml:space="preserve">. </w:t>
      </w:r>
      <w:r w:rsidR="00430C32">
        <w:rPr>
          <w:color w:val="000000" w:themeColor="text1"/>
          <w:szCs w:val="24"/>
        </w:rPr>
        <w:t xml:space="preserve"> </w:t>
      </w:r>
      <w:r w:rsidR="00895752" w:rsidRPr="0087307F">
        <w:rPr>
          <w:color w:val="000000" w:themeColor="text1"/>
          <w:szCs w:val="24"/>
        </w:rPr>
        <w:t>This was presumably based</w:t>
      </w:r>
      <w:r w:rsidR="00137D83" w:rsidRPr="0087307F">
        <w:rPr>
          <w:color w:val="000000" w:themeColor="text1"/>
          <w:szCs w:val="24"/>
        </w:rPr>
        <w:t xml:space="preserve"> </w:t>
      </w:r>
      <w:r w:rsidR="00895752" w:rsidRPr="0087307F">
        <w:rPr>
          <w:color w:val="000000" w:themeColor="text1"/>
          <w:szCs w:val="24"/>
        </w:rPr>
        <w:t>on</w:t>
      </w:r>
      <w:r w:rsidR="00137D83" w:rsidRPr="0087307F">
        <w:rPr>
          <w:color w:val="000000" w:themeColor="text1"/>
          <w:szCs w:val="24"/>
        </w:rPr>
        <w:t xml:space="preserve"> </w:t>
      </w:r>
      <w:r w:rsidR="00895752" w:rsidRPr="0087307F">
        <w:rPr>
          <w:color w:val="000000" w:themeColor="text1"/>
          <w:szCs w:val="24"/>
        </w:rPr>
        <w:t xml:space="preserve">the ROM </w:t>
      </w:r>
      <w:r w:rsidR="00732A48">
        <w:rPr>
          <w:color w:val="000000" w:themeColor="text1"/>
          <w:szCs w:val="24"/>
        </w:rPr>
        <w:t>estimate</w:t>
      </w:r>
      <w:r w:rsidR="00895752" w:rsidRPr="0087307F">
        <w:rPr>
          <w:color w:val="000000" w:themeColor="text1"/>
          <w:szCs w:val="24"/>
        </w:rPr>
        <w:t>s provided by the NARSUM examiner.</w:t>
      </w:r>
      <w:r w:rsidR="00430C32">
        <w:rPr>
          <w:color w:val="000000" w:themeColor="text1"/>
          <w:szCs w:val="24"/>
        </w:rPr>
        <w:t xml:space="preserve"> </w:t>
      </w:r>
      <w:r w:rsidR="00895752" w:rsidRPr="0087307F">
        <w:rPr>
          <w:color w:val="000000" w:themeColor="text1"/>
          <w:szCs w:val="24"/>
        </w:rPr>
        <w:t xml:space="preserve"> However, the examiner submitted a NARSUM addendum dated </w:t>
      </w:r>
      <w:r>
        <w:rPr>
          <w:color w:val="000000" w:themeColor="text1"/>
          <w:szCs w:val="24"/>
        </w:rPr>
        <w:t xml:space="preserve">11 July </w:t>
      </w:r>
      <w:r w:rsidR="00895752" w:rsidRPr="0087307F">
        <w:rPr>
          <w:color w:val="000000" w:themeColor="text1"/>
          <w:szCs w:val="24"/>
        </w:rPr>
        <w:t>2007 stating he had not used a goniometer but had visually estimated the ROM measurements noted in the NARSUM.</w:t>
      </w:r>
      <w:r w:rsidR="00430C32">
        <w:rPr>
          <w:color w:val="000000" w:themeColor="text1"/>
          <w:szCs w:val="24"/>
        </w:rPr>
        <w:t xml:space="preserve">  </w:t>
      </w:r>
      <w:r w:rsidR="00895752" w:rsidRPr="0087307F">
        <w:rPr>
          <w:color w:val="000000" w:themeColor="text1"/>
          <w:szCs w:val="24"/>
        </w:rPr>
        <w:t xml:space="preserve">Upon review of this information, a </w:t>
      </w:r>
      <w:r>
        <w:rPr>
          <w:color w:val="000000" w:themeColor="text1"/>
          <w:szCs w:val="24"/>
        </w:rPr>
        <w:t>RPEB</w:t>
      </w:r>
      <w:r w:rsidR="00895752" w:rsidRPr="0087307F">
        <w:rPr>
          <w:color w:val="000000" w:themeColor="text1"/>
          <w:szCs w:val="24"/>
        </w:rPr>
        <w:t xml:space="preserve"> determined the left shoulder condition should be rated at 10%</w:t>
      </w:r>
      <w:r w:rsidR="00F048DB" w:rsidRPr="0087307F">
        <w:rPr>
          <w:color w:val="000000" w:themeColor="text1"/>
          <w:szCs w:val="24"/>
        </w:rPr>
        <w:t xml:space="preserve">, noting the presence of mechanically restricted abduction to 80 degrees due to soft tissue adhesions. </w:t>
      </w:r>
      <w:r w:rsidR="00430C32">
        <w:rPr>
          <w:color w:val="000000" w:themeColor="text1"/>
          <w:szCs w:val="24"/>
        </w:rPr>
        <w:t xml:space="preserve"> </w:t>
      </w:r>
      <w:r w:rsidR="00F048DB" w:rsidRPr="0087307F">
        <w:rPr>
          <w:color w:val="000000" w:themeColor="text1"/>
          <w:szCs w:val="24"/>
        </w:rPr>
        <w:t>The VA also applied a 10% rating based on limitation of ROM noted on the VA C&amp;P examination.</w:t>
      </w:r>
      <w:r w:rsidR="00430C32">
        <w:rPr>
          <w:color w:val="000000" w:themeColor="text1"/>
          <w:szCs w:val="24"/>
        </w:rPr>
        <w:t xml:space="preserve"> </w:t>
      </w:r>
      <w:r w:rsidR="00F048DB" w:rsidRPr="0087307F">
        <w:rPr>
          <w:color w:val="000000" w:themeColor="text1"/>
          <w:szCs w:val="24"/>
        </w:rPr>
        <w:t xml:space="preserve"> Although the VA rating decision </w:t>
      </w:r>
      <w:r w:rsidR="00732A48">
        <w:rPr>
          <w:color w:val="000000" w:themeColor="text1"/>
          <w:szCs w:val="24"/>
        </w:rPr>
        <w:t>sta</w:t>
      </w:r>
      <w:r w:rsidR="00F048DB" w:rsidRPr="0087307F">
        <w:rPr>
          <w:color w:val="000000" w:themeColor="text1"/>
          <w:szCs w:val="24"/>
        </w:rPr>
        <w:t xml:space="preserve">ted the left shoulder was the dominant side, the VA C&amp;P examinations noted the CI was right hand dominant. </w:t>
      </w:r>
      <w:r w:rsidR="00430C32">
        <w:rPr>
          <w:color w:val="000000" w:themeColor="text1"/>
          <w:szCs w:val="24"/>
        </w:rPr>
        <w:t xml:space="preserve"> </w:t>
      </w:r>
      <w:r w:rsidR="00F048DB" w:rsidRPr="0087307F">
        <w:rPr>
          <w:color w:val="000000" w:themeColor="text1"/>
          <w:szCs w:val="24"/>
        </w:rPr>
        <w:t xml:space="preserve">The VA later increased this rating to 20% effective </w:t>
      </w:r>
      <w:r>
        <w:rPr>
          <w:color w:val="000000" w:themeColor="text1"/>
          <w:szCs w:val="24"/>
        </w:rPr>
        <w:t xml:space="preserve">on 6 April </w:t>
      </w:r>
      <w:r w:rsidR="00F048DB" w:rsidRPr="0087307F">
        <w:rPr>
          <w:color w:val="000000" w:themeColor="text1"/>
          <w:szCs w:val="24"/>
        </w:rPr>
        <w:t xml:space="preserve">2011, more than </w:t>
      </w:r>
      <w:r>
        <w:rPr>
          <w:color w:val="000000" w:themeColor="text1"/>
          <w:szCs w:val="24"/>
        </w:rPr>
        <w:t>3</w:t>
      </w:r>
      <w:r w:rsidR="00F048DB" w:rsidRPr="0087307F">
        <w:rPr>
          <w:color w:val="000000" w:themeColor="text1"/>
          <w:szCs w:val="24"/>
        </w:rPr>
        <w:t xml:space="preserve"> years after separation. This increase was </w:t>
      </w:r>
      <w:r w:rsidR="00F048DB" w:rsidRPr="0087307F">
        <w:rPr>
          <w:color w:val="000000" w:themeColor="text1"/>
          <w:szCs w:val="24"/>
        </w:rPr>
        <w:lastRenderedPageBreak/>
        <w:t>based on a C&amp;P examination from May</w:t>
      </w:r>
      <w:r w:rsidR="00F048DB">
        <w:rPr>
          <w:color w:val="000000" w:themeColor="text1"/>
          <w:szCs w:val="24"/>
        </w:rPr>
        <w:t xml:space="preserve"> 2011 which documented a much more limited left shoulder flexion and abduction. This clearly shows a worsening of the condition over time</w:t>
      </w:r>
      <w:r w:rsidR="00A377A7">
        <w:rPr>
          <w:color w:val="000000" w:themeColor="text1"/>
          <w:szCs w:val="24"/>
        </w:rPr>
        <w:t xml:space="preserve"> and is not relevant for rating at the time of separation.</w:t>
      </w:r>
    </w:p>
    <w:p w:rsidR="00A377A7" w:rsidRDefault="00A377A7" w:rsidP="00F048DB">
      <w:pPr>
        <w:jc w:val="both"/>
        <w:rPr>
          <w:color w:val="000000" w:themeColor="text1"/>
          <w:szCs w:val="24"/>
        </w:rPr>
      </w:pPr>
    </w:p>
    <w:p w:rsidR="00CF6BB6" w:rsidRPr="00F64312" w:rsidRDefault="00A377A7" w:rsidP="0087307F">
      <w:pPr>
        <w:jc w:val="both"/>
        <w:rPr>
          <w:rFonts w:eastAsia="Calibri" w:cs="Times New Roman"/>
          <w:color w:val="auto"/>
          <w:szCs w:val="24"/>
        </w:rPr>
      </w:pPr>
      <w:r w:rsidRPr="00A377A7">
        <w:rPr>
          <w:color w:val="auto"/>
          <w:szCs w:val="24"/>
        </w:rPr>
        <w:t xml:space="preserve">It is </w:t>
      </w:r>
      <w:r w:rsidRPr="0087307F">
        <w:rPr>
          <w:color w:val="auto"/>
          <w:szCs w:val="24"/>
        </w:rPr>
        <w:t>obvious that there is a clear disparity between the service and VA examinations, with very significant implications regarding the Board's rating recommendation.</w:t>
      </w:r>
      <w:r w:rsidR="00430C32">
        <w:rPr>
          <w:color w:val="auto"/>
          <w:szCs w:val="24"/>
        </w:rPr>
        <w:t xml:space="preserve"> </w:t>
      </w:r>
      <w:r w:rsidRPr="0087307F">
        <w:rPr>
          <w:color w:val="auto"/>
          <w:szCs w:val="24"/>
        </w:rPr>
        <w:t xml:space="preserve"> The Board thus carefully deliberated its probative value assignment to these conflicting evaluations, and carefully reviewed the service file for corroborating evidence in the 12-month period prior to separation. The only other ROM estimates available for review are those provided by the NARSUM examiner which he acknowledged were visual estimates, not goniometric measurements. However, the estimate of 80 degrees of abduction of the left shoulder is similar to the value </w:t>
      </w:r>
      <w:r w:rsidR="009234A4">
        <w:rPr>
          <w:color w:val="auto"/>
          <w:szCs w:val="24"/>
        </w:rPr>
        <w:t xml:space="preserve">actually </w:t>
      </w:r>
      <w:r w:rsidRPr="0087307F">
        <w:rPr>
          <w:color w:val="auto"/>
          <w:szCs w:val="24"/>
        </w:rPr>
        <w:t xml:space="preserve">measured by the physical therapist </w:t>
      </w:r>
      <w:r w:rsidRPr="009234A4">
        <w:rPr>
          <w:color w:val="auto"/>
          <w:szCs w:val="24"/>
        </w:rPr>
        <w:t xml:space="preserve">using a goniometer. </w:t>
      </w:r>
      <w:r w:rsidR="004F732E">
        <w:rPr>
          <w:color w:val="auto"/>
          <w:szCs w:val="24"/>
        </w:rPr>
        <w:t xml:space="preserve"> </w:t>
      </w:r>
      <w:r w:rsidRPr="009234A4">
        <w:rPr>
          <w:color w:val="auto"/>
          <w:szCs w:val="24"/>
        </w:rPr>
        <w:t>The NARSUM exam did not include an estimate for left shoulder flexion but did note limitations in external</w:t>
      </w:r>
      <w:r w:rsidR="009234A4" w:rsidRPr="009234A4">
        <w:rPr>
          <w:color w:val="auto"/>
          <w:szCs w:val="24"/>
        </w:rPr>
        <w:t xml:space="preserve"> rotation</w:t>
      </w:r>
      <w:r w:rsidRPr="009234A4">
        <w:rPr>
          <w:color w:val="auto"/>
          <w:szCs w:val="24"/>
        </w:rPr>
        <w:t xml:space="preserve"> and pain with</w:t>
      </w:r>
      <w:r w:rsidR="009234A4" w:rsidRPr="009234A4">
        <w:rPr>
          <w:color w:val="auto"/>
          <w:szCs w:val="24"/>
        </w:rPr>
        <w:t xml:space="preserve"> flexion, extension,</w:t>
      </w:r>
      <w:r w:rsidRPr="009234A4">
        <w:rPr>
          <w:color w:val="auto"/>
          <w:szCs w:val="24"/>
        </w:rPr>
        <w:t xml:space="preserve"> internal rotation</w:t>
      </w:r>
      <w:r w:rsidR="009234A4" w:rsidRPr="009234A4">
        <w:rPr>
          <w:color w:val="auto"/>
          <w:szCs w:val="24"/>
        </w:rPr>
        <w:t>,</w:t>
      </w:r>
      <w:r w:rsidRPr="009234A4">
        <w:rPr>
          <w:color w:val="auto"/>
          <w:szCs w:val="24"/>
        </w:rPr>
        <w:t xml:space="preserve"> and adduction. </w:t>
      </w:r>
      <w:r w:rsidR="00CD5412" w:rsidRPr="009234A4">
        <w:rPr>
          <w:color w:val="auto"/>
          <w:szCs w:val="24"/>
        </w:rPr>
        <w:t xml:space="preserve">The NARSUM exam also noted positive Apley </w:t>
      </w:r>
      <w:r w:rsidR="004F732E">
        <w:rPr>
          <w:color w:val="auto"/>
          <w:szCs w:val="24"/>
        </w:rPr>
        <w:t>s</w:t>
      </w:r>
      <w:r w:rsidR="00CD5412" w:rsidRPr="009234A4">
        <w:rPr>
          <w:color w:val="auto"/>
          <w:szCs w:val="24"/>
        </w:rPr>
        <w:t>cratch test which is also indicative of</w:t>
      </w:r>
      <w:r w:rsidR="00CD5412" w:rsidRPr="0087307F">
        <w:rPr>
          <w:color w:val="auto"/>
          <w:szCs w:val="24"/>
        </w:rPr>
        <w:t xml:space="preserve"> limited ROM. </w:t>
      </w:r>
      <w:r w:rsidR="004F732E">
        <w:rPr>
          <w:color w:val="auto"/>
          <w:szCs w:val="24"/>
        </w:rPr>
        <w:t xml:space="preserve"> </w:t>
      </w:r>
      <w:r w:rsidR="00CD5412" w:rsidRPr="0087307F">
        <w:rPr>
          <w:color w:val="auto"/>
          <w:szCs w:val="24"/>
        </w:rPr>
        <w:t>The NARSUM examination corroborates the limited ROM measurements provided by physical therapy.</w:t>
      </w:r>
      <w:r w:rsidR="004F732E">
        <w:rPr>
          <w:color w:val="auto"/>
          <w:szCs w:val="24"/>
        </w:rPr>
        <w:t xml:space="preserve"> </w:t>
      </w:r>
      <w:r w:rsidR="00CD5412" w:rsidRPr="0087307F">
        <w:rPr>
          <w:color w:val="auto"/>
          <w:szCs w:val="24"/>
        </w:rPr>
        <w:t xml:space="preserve"> </w:t>
      </w:r>
      <w:r w:rsidRPr="0087307F">
        <w:rPr>
          <w:color w:val="auto"/>
          <w:szCs w:val="24"/>
        </w:rPr>
        <w:t>Abduction of the shoulder to less than 90 degrees meets the minimal compensable level under VASRD 5201 and warrants a 20% rating</w:t>
      </w:r>
      <w:r w:rsidR="00CD5412" w:rsidRPr="0087307F">
        <w:rPr>
          <w:color w:val="auto"/>
          <w:szCs w:val="24"/>
        </w:rPr>
        <w:t>.</w:t>
      </w:r>
      <w:r w:rsidR="0063013D" w:rsidRPr="0087307F">
        <w:rPr>
          <w:color w:val="auto"/>
          <w:szCs w:val="24"/>
        </w:rPr>
        <w:t xml:space="preserve"> </w:t>
      </w:r>
      <w:r w:rsidR="004F732E">
        <w:rPr>
          <w:color w:val="auto"/>
          <w:szCs w:val="24"/>
        </w:rPr>
        <w:t xml:space="preserve"> </w:t>
      </w:r>
      <w:r w:rsidR="0063013D" w:rsidRPr="0087307F">
        <w:rPr>
          <w:color w:val="auto"/>
          <w:szCs w:val="24"/>
        </w:rPr>
        <w:t>The VA C&amp;P examination appears to be less comprehensive</w:t>
      </w:r>
      <w:r w:rsidR="0063013D">
        <w:rPr>
          <w:color w:val="auto"/>
          <w:szCs w:val="24"/>
        </w:rPr>
        <w:t xml:space="preserve"> and did not include the Apley scratch test. Therefore, even though the VA C&amp;P examination was closer in time to the date </w:t>
      </w:r>
      <w:r w:rsidR="0087307F">
        <w:rPr>
          <w:color w:val="auto"/>
          <w:szCs w:val="24"/>
        </w:rPr>
        <w:t>of</w:t>
      </w:r>
      <w:r w:rsidR="0063013D">
        <w:rPr>
          <w:color w:val="auto"/>
          <w:szCs w:val="24"/>
        </w:rPr>
        <w:t xml:space="preserve"> separation, the Board determined this exam had less probative value than the physical therapy and MEB examinations.</w:t>
      </w:r>
      <w:r w:rsidR="0087307F">
        <w:rPr>
          <w:color w:val="auto"/>
          <w:szCs w:val="24"/>
        </w:rPr>
        <w:t xml:space="preserve"> </w:t>
      </w:r>
      <w:r w:rsidR="00CF6BB6" w:rsidRPr="00F64312">
        <w:rPr>
          <w:rFonts w:eastAsia="Calibri" w:cs="Times New Roman"/>
          <w:color w:val="auto"/>
          <w:szCs w:val="24"/>
        </w:rPr>
        <w:t xml:space="preserve">After due deliberation, considering all of the evidence and mindful of VASRD §4.3 (reasonable doubt), the Board recommends a disability rating </w:t>
      </w:r>
      <w:r w:rsidR="00CF6BB6" w:rsidRPr="00CD5412">
        <w:rPr>
          <w:rFonts w:eastAsia="Calibri" w:cs="Times New Roman"/>
          <w:color w:val="auto"/>
          <w:szCs w:val="24"/>
        </w:rPr>
        <w:t xml:space="preserve">of </w:t>
      </w:r>
      <w:r w:rsidR="00CD5412" w:rsidRPr="00CD5412">
        <w:rPr>
          <w:rFonts w:eastAsia="Calibri" w:cs="Times New Roman"/>
          <w:color w:val="auto"/>
          <w:szCs w:val="24"/>
        </w:rPr>
        <w:t>20</w:t>
      </w:r>
      <w:r w:rsidR="00CF6BB6" w:rsidRPr="00CD5412">
        <w:rPr>
          <w:rFonts w:eastAsia="Calibri" w:cs="Times New Roman"/>
          <w:color w:val="auto"/>
          <w:szCs w:val="24"/>
        </w:rPr>
        <w:t xml:space="preserve">% for </w:t>
      </w:r>
      <w:r w:rsidR="00CD5412" w:rsidRPr="00CD5412">
        <w:rPr>
          <w:rFonts w:eastAsia="Calibri" w:cs="Times New Roman"/>
          <w:color w:val="auto"/>
          <w:szCs w:val="24"/>
        </w:rPr>
        <w:t>the chronic left shoulder pain condition</w:t>
      </w:r>
      <w:r w:rsidR="00C927B8">
        <w:rPr>
          <w:rFonts w:eastAsia="Calibri" w:cs="Times New Roman"/>
          <w:color w:val="auto"/>
          <w:szCs w:val="24"/>
        </w:rPr>
        <w:t>.</w:t>
      </w:r>
    </w:p>
    <w:p w:rsidR="004E11C3" w:rsidRDefault="004E11C3" w:rsidP="00034A9D">
      <w:pPr>
        <w:jc w:val="left"/>
        <w:rPr>
          <w:rFonts w:cs="Calibri"/>
          <w:color w:val="000000" w:themeColor="text1"/>
          <w:szCs w:val="24"/>
          <w:u w:val="single"/>
        </w:rPr>
      </w:pPr>
    </w:p>
    <w:p w:rsidR="00256F02" w:rsidRPr="0063013D" w:rsidRDefault="00256F02" w:rsidP="00E21510">
      <w:pPr>
        <w:jc w:val="both"/>
        <w:rPr>
          <w:rFonts w:cs="Calibri"/>
          <w:color w:val="000000" w:themeColor="text1"/>
          <w:szCs w:val="24"/>
        </w:rPr>
      </w:pPr>
      <w:proofErr w:type="gramStart"/>
      <w:r w:rsidRPr="00256F02">
        <w:rPr>
          <w:rFonts w:cs="Calibri"/>
          <w:color w:val="000000" w:themeColor="text1"/>
          <w:szCs w:val="24"/>
          <w:u w:val="single"/>
        </w:rPr>
        <w:t>Chronic Low Back Pain Condition</w:t>
      </w:r>
      <w:r w:rsidRPr="00256F02">
        <w:rPr>
          <w:rFonts w:cs="Calibri"/>
          <w:color w:val="000000" w:themeColor="text1"/>
          <w:szCs w:val="24"/>
        </w:rPr>
        <w:t>.</w:t>
      </w:r>
      <w:proofErr w:type="gramEnd"/>
      <w:r w:rsidR="00591A11">
        <w:rPr>
          <w:rFonts w:cs="Calibri"/>
          <w:color w:val="000000" w:themeColor="text1"/>
          <w:szCs w:val="24"/>
        </w:rPr>
        <w:t xml:space="preserve"> The CI developed </w:t>
      </w:r>
      <w:r w:rsidR="004F732E">
        <w:rPr>
          <w:rFonts w:cs="Calibri"/>
          <w:color w:val="000000" w:themeColor="text1"/>
          <w:szCs w:val="24"/>
        </w:rPr>
        <w:t>LBP</w:t>
      </w:r>
      <w:r w:rsidR="00591A11">
        <w:rPr>
          <w:rFonts w:cs="Calibri"/>
          <w:color w:val="000000" w:themeColor="text1"/>
          <w:szCs w:val="24"/>
        </w:rPr>
        <w:t xml:space="preserve"> while deployed to Iraq. </w:t>
      </w:r>
      <w:r w:rsidR="00591A11" w:rsidRPr="0063013D">
        <w:rPr>
          <w:rFonts w:cs="Calibri"/>
          <w:color w:val="000000" w:themeColor="text1"/>
          <w:szCs w:val="24"/>
        </w:rPr>
        <w:t>However, his pain progressed over time and by the time of the MEB NARSUM examination in June 2007, he reported constant and severe pain, which was rated at 10/10 at its worst, radiated down his lower extremities, and was aggravated by minimal activities.</w:t>
      </w:r>
      <w:r w:rsidR="00430C32">
        <w:rPr>
          <w:rFonts w:cs="Calibri"/>
          <w:color w:val="000000" w:themeColor="text1"/>
          <w:szCs w:val="24"/>
        </w:rPr>
        <w:t xml:space="preserve"> </w:t>
      </w:r>
      <w:r w:rsidR="00591A11" w:rsidRPr="0063013D">
        <w:rPr>
          <w:rFonts w:cs="Calibri"/>
          <w:color w:val="000000" w:themeColor="text1"/>
          <w:szCs w:val="24"/>
        </w:rPr>
        <w:t xml:space="preserve"> It was also aggravated by standing for more than thirty minutes, weight bearing in excess of </w:t>
      </w:r>
      <w:r w:rsidR="004F732E">
        <w:rPr>
          <w:rFonts w:cs="Calibri"/>
          <w:color w:val="000000" w:themeColor="text1"/>
          <w:szCs w:val="24"/>
        </w:rPr>
        <w:t>25</w:t>
      </w:r>
      <w:r w:rsidR="00591A11" w:rsidRPr="0063013D">
        <w:rPr>
          <w:rFonts w:cs="Calibri"/>
          <w:color w:val="000000" w:themeColor="text1"/>
          <w:szCs w:val="24"/>
        </w:rPr>
        <w:t xml:space="preserve"> pounds, spine flexion and extension, and exercises that required the use of back muscles. His pain did not respond to conservative treatment with NSAIDs, Tramadol, or narcotic pain medication or physical therapy and surgical treatment </w:t>
      </w:r>
      <w:proofErr w:type="gramStart"/>
      <w:r w:rsidR="00591A11" w:rsidRPr="0063013D">
        <w:rPr>
          <w:rFonts w:cs="Calibri"/>
          <w:color w:val="000000" w:themeColor="text1"/>
          <w:szCs w:val="24"/>
        </w:rPr>
        <w:t>was</w:t>
      </w:r>
      <w:proofErr w:type="gramEnd"/>
      <w:r w:rsidR="00591A11" w:rsidRPr="0063013D">
        <w:rPr>
          <w:rFonts w:cs="Calibri"/>
          <w:color w:val="000000" w:themeColor="text1"/>
          <w:szCs w:val="24"/>
        </w:rPr>
        <w:t xml:space="preserve"> not recommended.</w:t>
      </w:r>
      <w:r w:rsidR="00430C32">
        <w:rPr>
          <w:rFonts w:cs="Calibri"/>
          <w:color w:val="000000" w:themeColor="text1"/>
          <w:szCs w:val="24"/>
        </w:rPr>
        <w:t xml:space="preserve"> </w:t>
      </w:r>
      <w:r w:rsidR="00591A11" w:rsidRPr="0063013D">
        <w:rPr>
          <w:rFonts w:cs="Calibri"/>
          <w:color w:val="000000" w:themeColor="text1"/>
          <w:szCs w:val="24"/>
        </w:rPr>
        <w:t xml:space="preserve"> </w:t>
      </w:r>
      <w:r w:rsidR="003E5850" w:rsidRPr="0063013D">
        <w:rPr>
          <w:rFonts w:cs="Calibri"/>
          <w:color w:val="000000" w:themeColor="text1"/>
          <w:szCs w:val="24"/>
        </w:rPr>
        <w:t xml:space="preserve">Additionally the service treatment record documents a lumbar epidural steroid injection on </w:t>
      </w:r>
      <w:r w:rsidR="004F732E">
        <w:rPr>
          <w:rFonts w:cs="Calibri"/>
          <w:color w:val="000000" w:themeColor="text1"/>
          <w:szCs w:val="24"/>
        </w:rPr>
        <w:t xml:space="preserve">27 July </w:t>
      </w:r>
      <w:r w:rsidR="003E5850" w:rsidRPr="0063013D">
        <w:rPr>
          <w:rFonts w:cs="Calibri"/>
          <w:color w:val="000000" w:themeColor="text1"/>
          <w:szCs w:val="24"/>
        </w:rPr>
        <w:t xml:space="preserve">2007 but no follow-up visits are in the record available for review and this procedure is not mentioned in the VA C&amp;P </w:t>
      </w:r>
      <w:r w:rsidR="00C927B8">
        <w:rPr>
          <w:rFonts w:cs="Calibri"/>
          <w:color w:val="000000" w:themeColor="text1"/>
          <w:szCs w:val="24"/>
        </w:rPr>
        <w:t xml:space="preserve">examination in September 2007. </w:t>
      </w:r>
      <w:r w:rsidR="00430C32">
        <w:rPr>
          <w:rFonts w:cs="Calibri"/>
          <w:color w:val="000000" w:themeColor="text1"/>
          <w:szCs w:val="24"/>
        </w:rPr>
        <w:t xml:space="preserve"> </w:t>
      </w:r>
      <w:r w:rsidR="00591A11" w:rsidRPr="0063013D">
        <w:rPr>
          <w:rFonts w:cs="Calibri"/>
          <w:color w:val="000000" w:themeColor="text1"/>
          <w:szCs w:val="24"/>
        </w:rPr>
        <w:t xml:space="preserve">The MEB NARSUM examination noted decreased thoracolumbar ROM </w:t>
      </w:r>
      <w:r w:rsidR="00820AE9" w:rsidRPr="0063013D">
        <w:rPr>
          <w:rFonts w:cs="Calibri"/>
          <w:color w:val="000000" w:themeColor="text1"/>
          <w:szCs w:val="24"/>
        </w:rPr>
        <w:t xml:space="preserve">but did not provide any actual measurements and </w:t>
      </w:r>
      <w:r w:rsidR="00591A11" w:rsidRPr="0063013D">
        <w:rPr>
          <w:rFonts w:cs="Calibri"/>
          <w:color w:val="000000" w:themeColor="text1"/>
          <w:szCs w:val="24"/>
        </w:rPr>
        <w:t xml:space="preserve">as noted in the NARSUM </w:t>
      </w:r>
      <w:r w:rsidR="004F732E">
        <w:rPr>
          <w:rFonts w:cs="Calibri"/>
          <w:color w:val="000000" w:themeColor="text1"/>
          <w:szCs w:val="24"/>
        </w:rPr>
        <w:t>a</w:t>
      </w:r>
      <w:r w:rsidR="00591A11" w:rsidRPr="0063013D">
        <w:rPr>
          <w:rFonts w:cs="Calibri"/>
          <w:color w:val="000000" w:themeColor="text1"/>
          <w:szCs w:val="24"/>
        </w:rPr>
        <w:t xml:space="preserve">ddendum </w:t>
      </w:r>
      <w:r w:rsidR="004F732E">
        <w:rPr>
          <w:rFonts w:cs="Calibri"/>
          <w:color w:val="000000" w:themeColor="text1"/>
          <w:szCs w:val="24"/>
        </w:rPr>
        <w:t>dated</w:t>
      </w:r>
      <w:r w:rsidR="00591A11" w:rsidRPr="0063013D">
        <w:rPr>
          <w:rFonts w:cs="Calibri"/>
          <w:color w:val="000000" w:themeColor="text1"/>
          <w:szCs w:val="24"/>
        </w:rPr>
        <w:t xml:space="preserve"> </w:t>
      </w:r>
      <w:r w:rsidR="004F732E">
        <w:rPr>
          <w:rFonts w:cs="Calibri"/>
          <w:color w:val="000000" w:themeColor="text1"/>
          <w:szCs w:val="24"/>
        </w:rPr>
        <w:t>11</w:t>
      </w:r>
      <w:r w:rsidR="001D26E1">
        <w:rPr>
          <w:rFonts w:cs="Calibri"/>
          <w:color w:val="000000" w:themeColor="text1"/>
          <w:szCs w:val="24"/>
        </w:rPr>
        <w:t> </w:t>
      </w:r>
      <w:r w:rsidR="004F732E">
        <w:rPr>
          <w:rFonts w:cs="Calibri"/>
          <w:color w:val="000000" w:themeColor="text1"/>
          <w:szCs w:val="24"/>
        </w:rPr>
        <w:t xml:space="preserve">July </w:t>
      </w:r>
      <w:r w:rsidR="00591A11" w:rsidRPr="0063013D">
        <w:rPr>
          <w:rFonts w:cs="Calibri"/>
          <w:color w:val="000000" w:themeColor="text1"/>
          <w:szCs w:val="24"/>
        </w:rPr>
        <w:t>2007, the examiner did not use a goniometer.</w:t>
      </w:r>
      <w:r w:rsidR="00430C32">
        <w:rPr>
          <w:rFonts w:cs="Calibri"/>
          <w:color w:val="000000" w:themeColor="text1"/>
          <w:szCs w:val="24"/>
        </w:rPr>
        <w:t xml:space="preserve"> </w:t>
      </w:r>
      <w:r w:rsidR="00591A11" w:rsidRPr="0063013D">
        <w:rPr>
          <w:rFonts w:cs="Calibri"/>
          <w:color w:val="000000" w:themeColor="text1"/>
          <w:szCs w:val="24"/>
        </w:rPr>
        <w:t xml:space="preserve"> The goniometric measurements provided by physical therapy are noted in the chart below.</w:t>
      </w:r>
      <w:r w:rsidR="00430C32">
        <w:rPr>
          <w:rFonts w:cs="Calibri"/>
          <w:color w:val="000000" w:themeColor="text1"/>
          <w:szCs w:val="24"/>
        </w:rPr>
        <w:t xml:space="preserve"> </w:t>
      </w:r>
      <w:r w:rsidR="00591A11" w:rsidRPr="0063013D">
        <w:rPr>
          <w:rFonts w:cs="Calibri"/>
          <w:color w:val="000000" w:themeColor="text1"/>
          <w:szCs w:val="24"/>
        </w:rPr>
        <w:t xml:space="preserve"> The physical therapist only recorded the average value of presumably three </w:t>
      </w:r>
      <w:r w:rsidR="00820AE9" w:rsidRPr="0063013D">
        <w:rPr>
          <w:rFonts w:cs="Calibri"/>
          <w:color w:val="000000" w:themeColor="text1"/>
          <w:szCs w:val="24"/>
        </w:rPr>
        <w:t>measurements for each ROM measured and that is what is recorded in the chart.</w:t>
      </w:r>
      <w:r w:rsidR="00430C32">
        <w:rPr>
          <w:rFonts w:cs="Calibri"/>
          <w:color w:val="000000" w:themeColor="text1"/>
          <w:szCs w:val="24"/>
        </w:rPr>
        <w:t xml:space="preserve"> </w:t>
      </w:r>
      <w:r w:rsidR="00820AE9" w:rsidRPr="0063013D">
        <w:rPr>
          <w:rFonts w:cs="Calibri"/>
          <w:color w:val="000000" w:themeColor="text1"/>
          <w:szCs w:val="24"/>
        </w:rPr>
        <w:t xml:space="preserve"> The physical therapist also noted that all ROM was limited by pain.</w:t>
      </w:r>
      <w:r w:rsidR="00430C32">
        <w:rPr>
          <w:rFonts w:cs="Calibri"/>
          <w:color w:val="000000" w:themeColor="text1"/>
          <w:szCs w:val="24"/>
        </w:rPr>
        <w:t xml:space="preserve"> </w:t>
      </w:r>
      <w:r w:rsidR="003E5850" w:rsidRPr="0063013D">
        <w:rPr>
          <w:rFonts w:cs="Calibri"/>
          <w:color w:val="000000" w:themeColor="text1"/>
          <w:szCs w:val="24"/>
        </w:rPr>
        <w:t xml:space="preserve"> The VA C&amp;P examination noted a similar clinical history and also noted the </w:t>
      </w:r>
      <w:r w:rsidR="00372B82" w:rsidRPr="0063013D">
        <w:rPr>
          <w:rFonts w:cs="Calibri"/>
          <w:color w:val="000000" w:themeColor="text1"/>
          <w:szCs w:val="24"/>
        </w:rPr>
        <w:t xml:space="preserve">CI </w:t>
      </w:r>
      <w:r w:rsidR="003E5850" w:rsidRPr="0063013D">
        <w:rPr>
          <w:rFonts w:cs="Calibri"/>
          <w:color w:val="000000" w:themeColor="text1"/>
          <w:szCs w:val="24"/>
        </w:rPr>
        <w:t>continued to have back pain. However, this examination noted the CI had declined an offer of corrective surgery and the NARSUM stated he was not a surgical candidate.</w:t>
      </w:r>
      <w:r w:rsidR="00E21510" w:rsidRPr="0063013D">
        <w:rPr>
          <w:rFonts w:cs="Calibri"/>
          <w:color w:val="000000" w:themeColor="text1"/>
          <w:szCs w:val="24"/>
        </w:rPr>
        <w:t xml:space="preserve"> </w:t>
      </w:r>
      <w:r w:rsidR="00430C32">
        <w:rPr>
          <w:rFonts w:cs="Calibri"/>
          <w:color w:val="000000" w:themeColor="text1"/>
          <w:szCs w:val="24"/>
        </w:rPr>
        <w:t xml:space="preserve"> </w:t>
      </w:r>
      <w:r w:rsidR="00E21510" w:rsidRPr="0063013D">
        <w:rPr>
          <w:rFonts w:cs="Calibri"/>
          <w:color w:val="000000" w:themeColor="text1"/>
          <w:szCs w:val="24"/>
        </w:rPr>
        <w:t xml:space="preserve">The VA examiner opined the CI would have a total function loss equated to flexion limited to 75 degrees and he will have mild physical impairment during flare-ups. </w:t>
      </w:r>
      <w:r w:rsidR="00430C32">
        <w:rPr>
          <w:rFonts w:cs="Calibri"/>
          <w:color w:val="000000" w:themeColor="text1"/>
          <w:szCs w:val="24"/>
        </w:rPr>
        <w:t xml:space="preserve"> </w:t>
      </w:r>
      <w:r w:rsidR="00E21510" w:rsidRPr="0063013D">
        <w:rPr>
          <w:rFonts w:cs="Calibri"/>
          <w:color w:val="000000" w:themeColor="text1"/>
          <w:szCs w:val="24"/>
        </w:rPr>
        <w:t>With repetitive use and motion of his lumbar spine, he would likely</w:t>
      </w:r>
      <w:r w:rsidR="00E21510" w:rsidRPr="00E21510">
        <w:rPr>
          <w:rFonts w:cs="Calibri"/>
          <w:color w:val="000000" w:themeColor="text1"/>
          <w:szCs w:val="24"/>
        </w:rPr>
        <w:t xml:space="preserve"> develop mild physical</w:t>
      </w:r>
      <w:r w:rsidR="00E21510">
        <w:rPr>
          <w:rFonts w:cs="Calibri"/>
          <w:color w:val="000000" w:themeColor="text1"/>
          <w:szCs w:val="24"/>
        </w:rPr>
        <w:t xml:space="preserve"> limitation that wa</w:t>
      </w:r>
      <w:r w:rsidR="00E21510" w:rsidRPr="00E21510">
        <w:rPr>
          <w:rFonts w:cs="Calibri"/>
          <w:color w:val="000000" w:themeColor="text1"/>
          <w:szCs w:val="24"/>
        </w:rPr>
        <w:t xml:space="preserve">s mostly </w:t>
      </w:r>
      <w:r w:rsidR="00E21510" w:rsidRPr="0063013D">
        <w:rPr>
          <w:rFonts w:cs="Calibri"/>
          <w:color w:val="000000" w:themeColor="text1"/>
          <w:szCs w:val="24"/>
        </w:rPr>
        <w:t>manifested by pain.</w:t>
      </w:r>
    </w:p>
    <w:p w:rsidR="00FD752D" w:rsidRPr="0063013D" w:rsidRDefault="00FD752D" w:rsidP="00591A11">
      <w:pPr>
        <w:jc w:val="both"/>
        <w:rPr>
          <w:rFonts w:cs="Calibri"/>
          <w:color w:val="000000" w:themeColor="text1"/>
          <w:szCs w:val="24"/>
        </w:rPr>
      </w:pPr>
    </w:p>
    <w:p w:rsidR="00FD752D" w:rsidRPr="00256F02" w:rsidRDefault="00FD752D" w:rsidP="00591A11">
      <w:pPr>
        <w:jc w:val="both"/>
        <w:rPr>
          <w:rFonts w:cs="Calibri"/>
          <w:color w:val="000000" w:themeColor="text1"/>
          <w:szCs w:val="24"/>
        </w:rPr>
      </w:pPr>
      <w:r w:rsidRPr="0063013D">
        <w:rPr>
          <w:rFonts w:cs="Calibri"/>
          <w:color w:val="000000" w:themeColor="text1"/>
          <w:szCs w:val="24"/>
        </w:rPr>
        <w:t>An MRI of the lumbar spine completed in January 2007 documented mild to moderate spinal canal stenosis at L2-3 and L3-4. At L4-5 a small broad-based disc bulge with thickening of the ligamentum flavum and facet arthropathy all contributed to narrowing of the bilateral lateral recesses and there was moderate spinal canal stenosis and contact of the bilateral L5 nerve root</w:t>
      </w:r>
      <w:r w:rsidR="00372B82" w:rsidRPr="0063013D">
        <w:rPr>
          <w:rFonts w:cs="Calibri"/>
          <w:color w:val="000000" w:themeColor="text1"/>
          <w:szCs w:val="24"/>
        </w:rPr>
        <w:t>s</w:t>
      </w:r>
      <w:r w:rsidR="00C927B8">
        <w:rPr>
          <w:rFonts w:cs="Calibri"/>
          <w:color w:val="000000" w:themeColor="text1"/>
          <w:szCs w:val="24"/>
        </w:rPr>
        <w:t xml:space="preserve">. </w:t>
      </w:r>
      <w:r w:rsidR="00430C32">
        <w:rPr>
          <w:rFonts w:cs="Calibri"/>
          <w:color w:val="000000" w:themeColor="text1"/>
          <w:szCs w:val="24"/>
        </w:rPr>
        <w:t xml:space="preserve"> </w:t>
      </w:r>
      <w:r w:rsidRPr="0063013D">
        <w:rPr>
          <w:rFonts w:cs="Calibri"/>
          <w:color w:val="000000" w:themeColor="text1"/>
          <w:szCs w:val="24"/>
        </w:rPr>
        <w:t xml:space="preserve">At L5-S1 there was moderate spinal canal stenosis </w:t>
      </w:r>
      <w:r w:rsidR="00372B82" w:rsidRPr="0063013D">
        <w:rPr>
          <w:rFonts w:cs="Calibri"/>
          <w:color w:val="000000" w:themeColor="text1"/>
          <w:szCs w:val="24"/>
        </w:rPr>
        <w:t>fro</w:t>
      </w:r>
      <w:r w:rsidRPr="0063013D">
        <w:rPr>
          <w:rFonts w:cs="Calibri"/>
          <w:color w:val="000000" w:themeColor="text1"/>
          <w:szCs w:val="24"/>
        </w:rPr>
        <w:t xml:space="preserve">m a combination of a broad-based disc bulge with a small central disc protrusion and facet degenerative change with ligamentum flavum thickening. </w:t>
      </w:r>
      <w:r w:rsidR="00430C32">
        <w:rPr>
          <w:rFonts w:cs="Calibri"/>
          <w:color w:val="000000" w:themeColor="text1"/>
          <w:szCs w:val="24"/>
        </w:rPr>
        <w:t xml:space="preserve"> </w:t>
      </w:r>
      <w:r w:rsidRPr="0063013D">
        <w:rPr>
          <w:rFonts w:cs="Calibri"/>
          <w:color w:val="000000" w:themeColor="text1"/>
          <w:szCs w:val="24"/>
        </w:rPr>
        <w:t xml:space="preserve">There was no significant neuroforaminal stenosis at any level. </w:t>
      </w:r>
      <w:r w:rsidR="004F732E">
        <w:rPr>
          <w:rFonts w:cs="Calibri"/>
          <w:color w:val="000000" w:themeColor="text1"/>
          <w:szCs w:val="24"/>
        </w:rPr>
        <w:t xml:space="preserve"> </w:t>
      </w:r>
      <w:r w:rsidRPr="0063013D">
        <w:rPr>
          <w:rFonts w:cs="Calibri"/>
          <w:color w:val="000000" w:themeColor="text1"/>
          <w:szCs w:val="24"/>
        </w:rPr>
        <w:t xml:space="preserve">A second MRI </w:t>
      </w:r>
      <w:r w:rsidR="004F732E">
        <w:rPr>
          <w:rFonts w:cs="Calibri"/>
          <w:color w:val="000000" w:themeColor="text1"/>
          <w:szCs w:val="24"/>
        </w:rPr>
        <w:lastRenderedPageBreak/>
        <w:t>performed on 17 March</w:t>
      </w:r>
      <w:r w:rsidRPr="0063013D">
        <w:rPr>
          <w:rFonts w:cs="Calibri"/>
          <w:color w:val="000000" w:themeColor="text1"/>
          <w:szCs w:val="24"/>
        </w:rPr>
        <w:t xml:space="preserve"> 2007 had similar findings but also noted a small broad-based disc bulge at L3-4.</w:t>
      </w:r>
      <w:r w:rsidR="00430C32">
        <w:rPr>
          <w:rFonts w:cs="Calibri"/>
          <w:color w:val="000000" w:themeColor="text1"/>
          <w:szCs w:val="24"/>
        </w:rPr>
        <w:t xml:space="preserve"> </w:t>
      </w:r>
      <w:r w:rsidRPr="0063013D">
        <w:rPr>
          <w:rFonts w:cs="Calibri"/>
          <w:color w:val="000000" w:themeColor="text1"/>
          <w:szCs w:val="24"/>
        </w:rPr>
        <w:t xml:space="preserve"> A consult to a </w:t>
      </w:r>
      <w:r w:rsidR="00137D83" w:rsidRPr="0063013D">
        <w:rPr>
          <w:rFonts w:cs="Calibri"/>
          <w:color w:val="000000" w:themeColor="text1"/>
          <w:szCs w:val="24"/>
        </w:rPr>
        <w:t>P</w:t>
      </w:r>
      <w:r w:rsidRPr="0063013D">
        <w:rPr>
          <w:rFonts w:cs="Calibri"/>
          <w:color w:val="000000" w:themeColor="text1"/>
          <w:szCs w:val="24"/>
        </w:rPr>
        <w:t>ain and Spine Center in July 2007 noted the CI’s pain was constant</w:t>
      </w:r>
      <w:r w:rsidR="00E21510" w:rsidRPr="0063013D">
        <w:rPr>
          <w:rFonts w:cs="Calibri"/>
          <w:color w:val="000000" w:themeColor="text1"/>
          <w:szCs w:val="24"/>
        </w:rPr>
        <w:t xml:space="preserve">, </w:t>
      </w:r>
      <w:r w:rsidRPr="0063013D">
        <w:rPr>
          <w:rFonts w:cs="Calibri"/>
          <w:color w:val="000000" w:themeColor="text1"/>
          <w:szCs w:val="24"/>
        </w:rPr>
        <w:t>radiated down his left leg,</w:t>
      </w:r>
      <w:r w:rsidR="00E21510" w:rsidRPr="0063013D">
        <w:rPr>
          <w:rFonts w:cs="Calibri"/>
          <w:color w:val="000000" w:themeColor="text1"/>
          <w:szCs w:val="24"/>
        </w:rPr>
        <w:t xml:space="preserve"> </w:t>
      </w:r>
      <w:r w:rsidRPr="0063013D">
        <w:rPr>
          <w:rFonts w:cs="Calibri"/>
          <w:color w:val="000000" w:themeColor="text1"/>
          <w:szCs w:val="24"/>
        </w:rPr>
        <w:t xml:space="preserve">and was rated at 7/10 </w:t>
      </w:r>
      <w:r w:rsidR="00E21510" w:rsidRPr="0063013D">
        <w:rPr>
          <w:rFonts w:cs="Calibri"/>
          <w:color w:val="000000" w:themeColor="text1"/>
          <w:szCs w:val="24"/>
        </w:rPr>
        <w:t>on average but</w:t>
      </w:r>
      <w:r w:rsidRPr="0063013D">
        <w:rPr>
          <w:rFonts w:cs="Calibri"/>
          <w:color w:val="000000" w:themeColor="text1"/>
          <w:szCs w:val="24"/>
        </w:rPr>
        <w:t xml:space="preserve"> could</w:t>
      </w:r>
      <w:r>
        <w:rPr>
          <w:rFonts w:cs="Calibri"/>
          <w:color w:val="000000" w:themeColor="text1"/>
          <w:szCs w:val="24"/>
        </w:rPr>
        <w:t xml:space="preserve"> be as low as 4/10 and as high as 10/10.</w:t>
      </w:r>
      <w:r w:rsidR="00E21510">
        <w:rPr>
          <w:rFonts w:cs="Calibri"/>
          <w:color w:val="000000" w:themeColor="text1"/>
          <w:szCs w:val="24"/>
        </w:rPr>
        <w:t xml:space="preserve"> </w:t>
      </w:r>
      <w:r w:rsidR="00645F82">
        <w:rPr>
          <w:rFonts w:cs="Calibri"/>
          <w:color w:val="000000" w:themeColor="text1"/>
          <w:szCs w:val="24"/>
        </w:rPr>
        <w:t xml:space="preserve"> </w:t>
      </w:r>
      <w:r w:rsidR="00E21510">
        <w:rPr>
          <w:rFonts w:cs="Calibri"/>
          <w:color w:val="000000" w:themeColor="text1"/>
          <w:szCs w:val="24"/>
        </w:rPr>
        <w:t xml:space="preserve">This examination noted normal gait, decreased flexion of the spine, and normal motor, sensory, and reflex examinations in both lower extremities. </w:t>
      </w:r>
      <w:r w:rsidR="00645F82">
        <w:rPr>
          <w:rFonts w:cs="Calibri"/>
          <w:color w:val="000000" w:themeColor="text1"/>
          <w:szCs w:val="24"/>
        </w:rPr>
        <w:t xml:space="preserve"> </w:t>
      </w:r>
      <w:r w:rsidR="00E21510">
        <w:rPr>
          <w:rFonts w:cs="Calibri"/>
          <w:color w:val="000000" w:themeColor="text1"/>
          <w:szCs w:val="24"/>
        </w:rPr>
        <w:t xml:space="preserve">This examiner noted the CI was a good candidate for surgery but the immediate plan was for lumbar epidural steroid injections and one injection administered on </w:t>
      </w:r>
      <w:r w:rsidR="004F732E">
        <w:rPr>
          <w:rFonts w:cs="Calibri"/>
          <w:color w:val="000000" w:themeColor="text1"/>
          <w:szCs w:val="24"/>
        </w:rPr>
        <w:t xml:space="preserve">27 July </w:t>
      </w:r>
      <w:r w:rsidR="00E21510">
        <w:rPr>
          <w:rFonts w:cs="Calibri"/>
          <w:color w:val="000000" w:themeColor="text1"/>
          <w:szCs w:val="24"/>
        </w:rPr>
        <w:t>2007</w:t>
      </w:r>
      <w:r w:rsidR="004F732E">
        <w:rPr>
          <w:rFonts w:cs="Calibri"/>
          <w:color w:val="000000" w:themeColor="text1"/>
          <w:szCs w:val="24"/>
        </w:rPr>
        <w:t xml:space="preserve"> and</w:t>
      </w:r>
      <w:r w:rsidR="00E21510">
        <w:rPr>
          <w:rFonts w:cs="Calibri"/>
          <w:color w:val="000000" w:themeColor="text1"/>
          <w:szCs w:val="24"/>
        </w:rPr>
        <w:t xml:space="preserve"> is documented in the record.</w:t>
      </w:r>
    </w:p>
    <w:p w:rsidR="00256F02" w:rsidRPr="00256F02" w:rsidRDefault="00256F02" w:rsidP="00617E4F">
      <w:pPr>
        <w:jc w:val="both"/>
        <w:rPr>
          <w:rFonts w:cs="Calibri"/>
          <w:color w:val="000000" w:themeColor="text1"/>
          <w:szCs w:val="24"/>
        </w:rPr>
      </w:pPr>
    </w:p>
    <w:p w:rsidR="00256F02" w:rsidRPr="0063013D" w:rsidRDefault="00256F02" w:rsidP="00617E4F">
      <w:pPr>
        <w:jc w:val="both"/>
        <w:rPr>
          <w:color w:val="000000" w:themeColor="text1"/>
          <w:szCs w:val="24"/>
        </w:rPr>
      </w:pPr>
      <w:r w:rsidRPr="00845541">
        <w:rPr>
          <w:color w:val="000000" w:themeColor="text1"/>
          <w:szCs w:val="24"/>
        </w:rPr>
        <w:t xml:space="preserve">There </w:t>
      </w:r>
      <w:r w:rsidRPr="0063013D">
        <w:rPr>
          <w:color w:val="000000" w:themeColor="text1"/>
          <w:szCs w:val="24"/>
        </w:rPr>
        <w:t xml:space="preserve">were </w:t>
      </w:r>
      <w:r w:rsidR="00DE4623" w:rsidRPr="0063013D">
        <w:rPr>
          <w:color w:val="000000" w:themeColor="text1"/>
          <w:szCs w:val="24"/>
        </w:rPr>
        <w:t>two</w:t>
      </w:r>
      <w:r w:rsidRPr="0063013D">
        <w:rPr>
          <w:color w:val="000000" w:themeColor="text1"/>
          <w:szCs w:val="24"/>
        </w:rPr>
        <w:t xml:space="preserve"> </w:t>
      </w:r>
      <w:r w:rsidR="004F732E">
        <w:rPr>
          <w:color w:val="000000" w:themeColor="text1"/>
          <w:szCs w:val="24"/>
        </w:rPr>
        <w:t>ROM</w:t>
      </w:r>
      <w:r w:rsidRPr="0063013D">
        <w:rPr>
          <w:color w:val="000000" w:themeColor="text1"/>
          <w:szCs w:val="24"/>
        </w:rPr>
        <w:t xml:space="preserve"> evaluations in evidence, with documentation of additional ratable criteria, which the Board weighed in arriving at its rating recommendation.</w:t>
      </w:r>
    </w:p>
    <w:p w:rsidR="00256F02" w:rsidRPr="0063013D" w:rsidRDefault="00256F02" w:rsidP="00617E4F">
      <w:pPr>
        <w:jc w:val="both"/>
        <w:rPr>
          <w:color w:val="000000" w:themeColor="text1"/>
          <w:szCs w:val="24"/>
        </w:rPr>
      </w:pPr>
    </w:p>
    <w:tbl>
      <w:tblPr>
        <w:tblpPr w:leftFromText="180" w:rightFromText="180" w:vertAnchor="text" w:tblpXSpec="center" w:tblpY="1"/>
        <w:tblOverlap w:val="never"/>
        <w:tblW w:w="8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3780"/>
        <w:gridCol w:w="3114"/>
      </w:tblGrid>
      <w:tr w:rsidR="00D87793" w:rsidRPr="0063013D" w:rsidTr="00820AE9">
        <w:tc>
          <w:tcPr>
            <w:tcW w:w="8802" w:type="dxa"/>
            <w:gridSpan w:val="3"/>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87793" w:rsidRPr="0063013D" w:rsidRDefault="00D87793" w:rsidP="00B64292">
            <w:pPr>
              <w:contextualSpacing/>
              <w:rPr>
                <w:rFonts w:asciiTheme="minorHAnsi" w:eastAsia="Calibri" w:hAnsiTheme="minorHAnsi"/>
                <w:color w:val="000000" w:themeColor="text1"/>
                <w:sz w:val="18"/>
                <w:szCs w:val="18"/>
              </w:rPr>
            </w:pPr>
            <w:r w:rsidRPr="0063013D">
              <w:rPr>
                <w:rFonts w:eastAsia="Calibri"/>
                <w:color w:val="000000" w:themeColor="text1"/>
                <w:sz w:val="18"/>
                <w:szCs w:val="18"/>
              </w:rPr>
              <w:t>Date of Separation:  September 27, 2007</w:t>
            </w:r>
          </w:p>
        </w:tc>
      </w:tr>
      <w:tr w:rsidR="00820AE9" w:rsidRPr="0063013D" w:rsidTr="003E5850">
        <w:tc>
          <w:tcPr>
            <w:tcW w:w="19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20AE9" w:rsidRPr="0063013D" w:rsidRDefault="00820AE9" w:rsidP="00B64292">
            <w:pPr>
              <w:pStyle w:val="ListParagraph"/>
              <w:spacing w:after="0" w:line="240" w:lineRule="exact"/>
              <w:ind w:left="0"/>
              <w:rPr>
                <w:rFonts w:eastAsia="Calibri" w:cstheme="minorHAnsi"/>
                <w:b/>
                <w:color w:val="000000" w:themeColor="text1"/>
                <w:sz w:val="18"/>
                <w:szCs w:val="18"/>
              </w:rPr>
            </w:pPr>
            <w:r w:rsidRPr="0063013D">
              <w:rPr>
                <w:rFonts w:eastAsia="Calibri" w:cstheme="minorHAnsi"/>
                <w:color w:val="000000" w:themeColor="text1"/>
                <w:sz w:val="18"/>
                <w:szCs w:val="18"/>
              </w:rPr>
              <w:t>Goniometric ROM - Thoracolumbar</w:t>
            </w:r>
          </w:p>
        </w:tc>
        <w:tc>
          <w:tcPr>
            <w:tcW w:w="37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20AE9" w:rsidRPr="0063013D" w:rsidRDefault="00820AE9" w:rsidP="00D87793">
            <w:pPr>
              <w:contextualSpacing/>
              <w:rPr>
                <w:rFonts w:asciiTheme="minorHAnsi" w:eastAsia="Calibri" w:hAnsiTheme="minorHAnsi"/>
                <w:color w:val="000000" w:themeColor="text1"/>
                <w:sz w:val="18"/>
                <w:szCs w:val="18"/>
              </w:rPr>
            </w:pPr>
            <w:r w:rsidRPr="0063013D">
              <w:rPr>
                <w:rFonts w:eastAsia="Calibri"/>
                <w:color w:val="000000" w:themeColor="text1"/>
                <w:sz w:val="18"/>
                <w:szCs w:val="18"/>
              </w:rPr>
              <w:t xml:space="preserve">MEB p. 35 </w:t>
            </w:r>
            <w:r w:rsidRPr="0063013D">
              <w:rPr>
                <w:rFonts w:asciiTheme="minorHAnsi" w:eastAsia="Calibri" w:hAnsiTheme="minorHAnsi"/>
                <w:color w:val="000000" w:themeColor="text1"/>
                <w:sz w:val="18"/>
                <w:szCs w:val="18"/>
              </w:rPr>
              <w:t>(20070711)</w:t>
            </w:r>
          </w:p>
          <w:p w:rsidR="00820AE9" w:rsidRPr="0063013D" w:rsidRDefault="00820AE9" w:rsidP="00820AE9">
            <w:pPr>
              <w:contextualSpacing/>
              <w:rPr>
                <w:rFonts w:asciiTheme="minorHAnsi" w:eastAsia="Calibri" w:hAnsiTheme="minorHAnsi"/>
                <w:color w:val="000000" w:themeColor="text1"/>
                <w:sz w:val="18"/>
                <w:szCs w:val="18"/>
              </w:rPr>
            </w:pPr>
            <w:r w:rsidRPr="0063013D">
              <w:rPr>
                <w:rFonts w:asciiTheme="minorHAnsi" w:eastAsia="Calibri" w:hAnsiTheme="minorHAnsi"/>
                <w:color w:val="000000" w:themeColor="text1"/>
                <w:sz w:val="18"/>
                <w:szCs w:val="18"/>
              </w:rPr>
              <w:t>PT</w:t>
            </w:r>
            <w:r w:rsidR="00E21510" w:rsidRPr="0063013D">
              <w:rPr>
                <w:rFonts w:asciiTheme="minorHAnsi" w:eastAsia="Calibri" w:hAnsiTheme="minorHAnsi"/>
                <w:color w:val="000000" w:themeColor="text1"/>
                <w:sz w:val="18"/>
                <w:szCs w:val="18"/>
              </w:rPr>
              <w:t xml:space="preserve">ROM </w:t>
            </w:r>
            <w:r w:rsidRPr="0063013D">
              <w:rPr>
                <w:rFonts w:asciiTheme="minorHAnsi" w:eastAsia="Calibri" w:hAnsiTheme="minorHAnsi"/>
                <w:color w:val="000000" w:themeColor="text1"/>
                <w:sz w:val="18"/>
                <w:szCs w:val="18"/>
              </w:rPr>
              <w:t xml:space="preserve"> Exam </w:t>
            </w:r>
            <w:r w:rsidRPr="0063013D">
              <w:rPr>
                <w:rFonts w:eastAsia="Calibri"/>
                <w:color w:val="000000" w:themeColor="text1"/>
                <w:sz w:val="18"/>
                <w:szCs w:val="18"/>
              </w:rPr>
              <w:t>~4 Months Pre-Separation</w:t>
            </w:r>
          </w:p>
          <w:p w:rsidR="00820AE9" w:rsidRPr="0063013D" w:rsidRDefault="00820AE9" w:rsidP="00820AE9">
            <w:pPr>
              <w:contextualSpacing/>
              <w:rPr>
                <w:rFonts w:asciiTheme="minorHAnsi" w:eastAsia="Calibri" w:hAnsiTheme="minorHAnsi"/>
                <w:color w:val="000000" w:themeColor="text1"/>
                <w:sz w:val="18"/>
                <w:szCs w:val="18"/>
              </w:rPr>
            </w:pPr>
            <w:r w:rsidRPr="0063013D">
              <w:rPr>
                <w:rFonts w:asciiTheme="minorHAnsi" w:eastAsia="Calibri" w:hAnsiTheme="minorHAnsi"/>
                <w:color w:val="000000" w:themeColor="text1"/>
                <w:sz w:val="18"/>
                <w:szCs w:val="18"/>
              </w:rPr>
              <w:t>(20070531)</w:t>
            </w:r>
          </w:p>
        </w:tc>
        <w:tc>
          <w:tcPr>
            <w:tcW w:w="311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20AE9" w:rsidRPr="0063013D" w:rsidRDefault="00820AE9" w:rsidP="00500931">
            <w:pPr>
              <w:contextualSpacing/>
              <w:rPr>
                <w:rFonts w:eastAsiaTheme="minorHAnsi"/>
                <w:color w:val="000000" w:themeColor="text1"/>
                <w:sz w:val="18"/>
                <w:szCs w:val="18"/>
              </w:rPr>
            </w:pPr>
            <w:r w:rsidRPr="0063013D">
              <w:rPr>
                <w:rFonts w:eastAsia="Calibri"/>
                <w:color w:val="000000" w:themeColor="text1"/>
                <w:sz w:val="18"/>
                <w:szCs w:val="18"/>
              </w:rPr>
              <w:t>VA</w:t>
            </w:r>
            <w:r w:rsidRPr="0063013D">
              <w:rPr>
                <w:rFonts w:eastAsiaTheme="minorHAnsi"/>
                <w:color w:val="000000" w:themeColor="text1"/>
                <w:sz w:val="18"/>
                <w:szCs w:val="18"/>
              </w:rPr>
              <w:t xml:space="preserve"> C&amp;P, p. 163</w:t>
            </w:r>
          </w:p>
          <w:p w:rsidR="00820AE9" w:rsidRPr="0063013D" w:rsidRDefault="00820AE9" w:rsidP="00500931">
            <w:pPr>
              <w:contextualSpacing/>
              <w:rPr>
                <w:rFonts w:asciiTheme="minorHAnsi" w:eastAsia="Calibri" w:hAnsiTheme="minorHAnsi"/>
                <w:color w:val="000000" w:themeColor="text1"/>
                <w:sz w:val="18"/>
                <w:szCs w:val="18"/>
              </w:rPr>
            </w:pPr>
            <w:r w:rsidRPr="0063013D">
              <w:rPr>
                <w:rFonts w:eastAsia="Calibri"/>
                <w:color w:val="000000" w:themeColor="text1"/>
                <w:sz w:val="18"/>
                <w:szCs w:val="18"/>
              </w:rPr>
              <w:t>&lt;1 Month Pre-Separation</w:t>
            </w:r>
          </w:p>
          <w:p w:rsidR="00820AE9" w:rsidRPr="0063013D" w:rsidRDefault="00820AE9" w:rsidP="00500931">
            <w:pPr>
              <w:contextualSpacing/>
              <w:rPr>
                <w:rFonts w:asciiTheme="minorHAnsi" w:eastAsiaTheme="minorHAnsi" w:hAnsiTheme="minorHAnsi"/>
                <w:color w:val="000000" w:themeColor="text1"/>
                <w:sz w:val="18"/>
                <w:szCs w:val="18"/>
              </w:rPr>
            </w:pPr>
            <w:r w:rsidRPr="0063013D">
              <w:rPr>
                <w:rFonts w:asciiTheme="minorHAnsi" w:eastAsia="Calibri" w:hAnsiTheme="minorHAnsi"/>
                <w:color w:val="000000" w:themeColor="text1"/>
                <w:sz w:val="18"/>
                <w:szCs w:val="18"/>
              </w:rPr>
              <w:t>(20070920)</w:t>
            </w:r>
          </w:p>
        </w:tc>
      </w:tr>
      <w:tr w:rsidR="00820AE9" w:rsidRPr="0063013D" w:rsidTr="003E5850">
        <w:tc>
          <w:tcPr>
            <w:tcW w:w="1908" w:type="dxa"/>
            <w:tcBorders>
              <w:top w:val="single" w:sz="4" w:space="0" w:color="000000"/>
              <w:left w:val="single" w:sz="4" w:space="0" w:color="000000"/>
              <w:bottom w:val="single" w:sz="4" w:space="0" w:color="000000"/>
              <w:right w:val="single" w:sz="4" w:space="0" w:color="000000"/>
            </w:tcBorders>
            <w:vAlign w:val="center"/>
            <w:hideMark/>
          </w:tcPr>
          <w:p w:rsidR="00820AE9" w:rsidRPr="0063013D" w:rsidRDefault="00820AE9" w:rsidP="00820AE9">
            <w:pPr>
              <w:pStyle w:val="ListParagraph"/>
              <w:spacing w:after="0" w:line="240" w:lineRule="exact"/>
              <w:ind w:left="0"/>
              <w:rPr>
                <w:rFonts w:eastAsia="Calibri" w:cstheme="minorHAnsi"/>
                <w:color w:val="000000" w:themeColor="text1"/>
                <w:sz w:val="18"/>
                <w:szCs w:val="18"/>
              </w:rPr>
            </w:pPr>
            <w:r w:rsidRPr="0063013D">
              <w:rPr>
                <w:rFonts w:eastAsia="Calibri" w:cstheme="minorHAnsi"/>
                <w:color w:val="000000" w:themeColor="text1"/>
                <w:sz w:val="18"/>
                <w:szCs w:val="18"/>
              </w:rPr>
              <w:t>Flex (0-90)</w:t>
            </w:r>
          </w:p>
        </w:tc>
        <w:tc>
          <w:tcPr>
            <w:tcW w:w="3780" w:type="dxa"/>
            <w:tcBorders>
              <w:top w:val="single" w:sz="4" w:space="0" w:color="000000"/>
              <w:left w:val="single" w:sz="4" w:space="0" w:color="000000"/>
              <w:bottom w:val="single" w:sz="4" w:space="0" w:color="000000"/>
              <w:right w:val="single" w:sz="4" w:space="0" w:color="000000"/>
            </w:tcBorders>
            <w:vAlign w:val="center"/>
          </w:tcPr>
          <w:p w:rsidR="00820AE9" w:rsidRPr="0063013D" w:rsidRDefault="00820AE9" w:rsidP="00820AE9">
            <w:pPr>
              <w:contextualSpacing/>
              <w:rPr>
                <w:rFonts w:asciiTheme="minorHAnsi" w:eastAsia="Calibri" w:hAnsiTheme="minorHAnsi"/>
                <w:color w:val="000000" w:themeColor="text1"/>
                <w:sz w:val="18"/>
                <w:szCs w:val="18"/>
              </w:rPr>
            </w:pPr>
            <w:r w:rsidRPr="0063013D">
              <w:rPr>
                <w:rFonts w:asciiTheme="minorHAnsi" w:eastAsia="Calibri" w:hAnsiTheme="minorHAnsi"/>
                <w:color w:val="000000" w:themeColor="text1"/>
                <w:sz w:val="18"/>
                <w:szCs w:val="18"/>
              </w:rPr>
              <w:t>50⁰</w:t>
            </w:r>
          </w:p>
        </w:tc>
        <w:tc>
          <w:tcPr>
            <w:tcW w:w="3114" w:type="dxa"/>
            <w:tcBorders>
              <w:top w:val="single" w:sz="4" w:space="0" w:color="000000"/>
              <w:left w:val="single" w:sz="4" w:space="0" w:color="000000"/>
              <w:bottom w:val="single" w:sz="4" w:space="0" w:color="000000"/>
              <w:right w:val="single" w:sz="4" w:space="0" w:color="000000"/>
            </w:tcBorders>
            <w:vAlign w:val="center"/>
          </w:tcPr>
          <w:p w:rsidR="00820AE9" w:rsidRPr="0063013D" w:rsidRDefault="00820AE9" w:rsidP="00820AE9">
            <w:pPr>
              <w:contextualSpacing/>
              <w:rPr>
                <w:rFonts w:asciiTheme="minorHAnsi" w:eastAsia="Calibri" w:hAnsiTheme="minorHAnsi"/>
                <w:color w:val="000000" w:themeColor="text1"/>
                <w:sz w:val="18"/>
                <w:szCs w:val="18"/>
              </w:rPr>
            </w:pPr>
            <w:r w:rsidRPr="0063013D">
              <w:rPr>
                <w:rFonts w:asciiTheme="minorHAnsi" w:eastAsia="Calibri" w:hAnsiTheme="minorHAnsi"/>
                <w:color w:val="000000" w:themeColor="text1"/>
                <w:sz w:val="18"/>
                <w:szCs w:val="18"/>
              </w:rPr>
              <w:t>70⁰</w:t>
            </w:r>
            <w:r w:rsidR="00E21510" w:rsidRPr="0063013D">
              <w:rPr>
                <w:rFonts w:asciiTheme="minorHAnsi" w:eastAsia="Calibri" w:hAnsiTheme="minorHAnsi"/>
                <w:color w:val="000000" w:themeColor="text1"/>
                <w:sz w:val="18"/>
                <w:szCs w:val="18"/>
              </w:rPr>
              <w:t xml:space="preserve"> (pain at 65°)</w:t>
            </w:r>
          </w:p>
        </w:tc>
      </w:tr>
      <w:tr w:rsidR="00820AE9" w:rsidRPr="001F29F9" w:rsidTr="003E5850">
        <w:tc>
          <w:tcPr>
            <w:tcW w:w="1908" w:type="dxa"/>
            <w:tcBorders>
              <w:top w:val="single" w:sz="4" w:space="0" w:color="000000"/>
              <w:left w:val="single" w:sz="4" w:space="0" w:color="000000"/>
              <w:bottom w:val="single" w:sz="4" w:space="0" w:color="000000"/>
              <w:right w:val="single" w:sz="4" w:space="0" w:color="000000"/>
            </w:tcBorders>
            <w:vAlign w:val="center"/>
            <w:hideMark/>
          </w:tcPr>
          <w:p w:rsidR="00820AE9" w:rsidRPr="0063013D" w:rsidRDefault="00820AE9" w:rsidP="00820AE9">
            <w:pPr>
              <w:pStyle w:val="ListParagraph"/>
              <w:spacing w:after="0" w:line="240" w:lineRule="exact"/>
              <w:ind w:left="0"/>
              <w:rPr>
                <w:rFonts w:eastAsia="Calibri" w:cstheme="minorHAnsi"/>
                <w:color w:val="000000" w:themeColor="text1"/>
                <w:sz w:val="18"/>
                <w:szCs w:val="18"/>
              </w:rPr>
            </w:pPr>
            <w:r w:rsidRPr="0063013D">
              <w:rPr>
                <w:rFonts w:eastAsia="Calibri" w:cstheme="minorHAnsi"/>
                <w:color w:val="000000" w:themeColor="text1"/>
                <w:sz w:val="18"/>
                <w:szCs w:val="18"/>
              </w:rPr>
              <w:t>Ext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820AE9" w:rsidRPr="0063013D" w:rsidRDefault="00820AE9" w:rsidP="00820AE9">
            <w:pPr>
              <w:contextualSpacing/>
              <w:rPr>
                <w:rFonts w:asciiTheme="minorHAnsi" w:eastAsia="Calibri" w:hAnsiTheme="minorHAnsi"/>
                <w:color w:val="000000" w:themeColor="text1"/>
                <w:sz w:val="18"/>
                <w:szCs w:val="18"/>
              </w:rPr>
            </w:pPr>
            <w:r w:rsidRPr="0063013D">
              <w:rPr>
                <w:rFonts w:asciiTheme="minorHAnsi" w:eastAsia="Calibri" w:hAnsiTheme="minorHAnsi"/>
                <w:color w:val="000000" w:themeColor="text1"/>
                <w:sz w:val="18"/>
                <w:szCs w:val="18"/>
              </w:rPr>
              <w:t>15⁰ (17⁰)</w:t>
            </w:r>
          </w:p>
        </w:tc>
        <w:tc>
          <w:tcPr>
            <w:tcW w:w="3114"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contextualSpacing/>
              <w:rPr>
                <w:rFonts w:asciiTheme="minorHAnsi" w:eastAsia="Calibri" w:hAnsiTheme="minorHAnsi"/>
                <w:color w:val="000000" w:themeColor="text1"/>
                <w:sz w:val="18"/>
                <w:szCs w:val="18"/>
              </w:rPr>
            </w:pPr>
            <w:r w:rsidRPr="0063013D">
              <w:rPr>
                <w:rFonts w:asciiTheme="minorHAnsi" w:eastAsia="Calibri" w:hAnsiTheme="minorHAnsi"/>
                <w:color w:val="000000" w:themeColor="text1"/>
                <w:sz w:val="18"/>
                <w:szCs w:val="18"/>
              </w:rPr>
              <w:t>25⁰</w:t>
            </w:r>
            <w:r w:rsidR="00E21510" w:rsidRPr="0063013D">
              <w:rPr>
                <w:rFonts w:asciiTheme="minorHAnsi" w:eastAsia="Calibri" w:hAnsiTheme="minorHAnsi"/>
                <w:color w:val="000000" w:themeColor="text1"/>
                <w:sz w:val="18"/>
                <w:szCs w:val="18"/>
              </w:rPr>
              <w:t xml:space="preserve"> (pain and stiffness at 20°)</w:t>
            </w:r>
          </w:p>
        </w:tc>
      </w:tr>
      <w:tr w:rsidR="00820AE9" w:rsidRPr="001F29F9" w:rsidTr="003E5850">
        <w:trPr>
          <w:trHeight w:val="188"/>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820AE9" w:rsidRPr="001F29F9" w:rsidRDefault="00820AE9" w:rsidP="00820AE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15</w:t>
            </w:r>
            <w:r w:rsidRPr="001F29F9">
              <w:rPr>
                <w:rFonts w:asciiTheme="minorHAnsi" w:eastAsia="Calibri" w:hAnsiTheme="minorHAnsi"/>
                <w:color w:val="000000" w:themeColor="text1"/>
                <w:sz w:val="18"/>
                <w:szCs w:val="18"/>
              </w:rPr>
              <w:t>⁰</w:t>
            </w:r>
          </w:p>
        </w:tc>
        <w:tc>
          <w:tcPr>
            <w:tcW w:w="3114"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r w:rsidR="00E21510">
              <w:rPr>
                <w:rFonts w:asciiTheme="minorHAnsi" w:eastAsia="Calibri" w:hAnsiTheme="minorHAnsi"/>
                <w:color w:val="000000" w:themeColor="text1"/>
                <w:sz w:val="18"/>
                <w:szCs w:val="18"/>
              </w:rPr>
              <w:t xml:space="preserve"> (pain and stiffness at 20°)</w:t>
            </w:r>
          </w:p>
        </w:tc>
      </w:tr>
      <w:tr w:rsidR="00820AE9" w:rsidRPr="001F29F9" w:rsidTr="003E5850">
        <w:tc>
          <w:tcPr>
            <w:tcW w:w="1908" w:type="dxa"/>
            <w:tcBorders>
              <w:top w:val="single" w:sz="4" w:space="0" w:color="000000"/>
              <w:left w:val="single" w:sz="4" w:space="0" w:color="000000"/>
              <w:bottom w:val="single" w:sz="4" w:space="0" w:color="000000"/>
              <w:right w:val="single" w:sz="4" w:space="0" w:color="000000"/>
            </w:tcBorders>
            <w:vAlign w:val="center"/>
            <w:hideMark/>
          </w:tcPr>
          <w:p w:rsidR="00820AE9" w:rsidRPr="001F29F9" w:rsidRDefault="00820AE9" w:rsidP="00820AE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(17</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3114"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r w:rsidR="00E21510">
              <w:rPr>
                <w:rFonts w:asciiTheme="minorHAnsi" w:eastAsia="Calibri" w:hAnsiTheme="minorHAnsi"/>
                <w:color w:val="000000" w:themeColor="text1"/>
                <w:sz w:val="18"/>
                <w:szCs w:val="18"/>
              </w:rPr>
              <w:t xml:space="preserve"> (pain and stiffness at 20°)</w:t>
            </w:r>
          </w:p>
        </w:tc>
      </w:tr>
      <w:tr w:rsidR="00820AE9" w:rsidRPr="001F29F9" w:rsidTr="003E5850">
        <w:tc>
          <w:tcPr>
            <w:tcW w:w="1908" w:type="dxa"/>
            <w:tcBorders>
              <w:top w:val="single" w:sz="4" w:space="0" w:color="000000"/>
              <w:left w:val="single" w:sz="4" w:space="0" w:color="000000"/>
              <w:bottom w:val="single" w:sz="4" w:space="0" w:color="000000"/>
              <w:right w:val="single" w:sz="4" w:space="0" w:color="000000"/>
            </w:tcBorders>
            <w:vAlign w:val="center"/>
            <w:hideMark/>
          </w:tcPr>
          <w:p w:rsidR="00820AE9" w:rsidRPr="001F29F9" w:rsidRDefault="00820AE9" w:rsidP="00820AE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c>
          <w:tcPr>
            <w:tcW w:w="3114"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r w:rsidR="00E21510">
              <w:rPr>
                <w:rFonts w:asciiTheme="minorHAnsi" w:eastAsia="Calibri" w:hAnsiTheme="minorHAnsi"/>
                <w:color w:val="000000" w:themeColor="text1"/>
                <w:sz w:val="18"/>
                <w:szCs w:val="18"/>
              </w:rPr>
              <w:t xml:space="preserve"> (pain and stiffness at 20°)</w:t>
            </w:r>
          </w:p>
        </w:tc>
      </w:tr>
      <w:tr w:rsidR="00820AE9" w:rsidRPr="001F29F9" w:rsidTr="003E5850">
        <w:tc>
          <w:tcPr>
            <w:tcW w:w="1908" w:type="dxa"/>
            <w:tcBorders>
              <w:top w:val="single" w:sz="4" w:space="0" w:color="000000"/>
              <w:left w:val="single" w:sz="4" w:space="0" w:color="000000"/>
              <w:bottom w:val="single" w:sz="4" w:space="0" w:color="000000"/>
              <w:right w:val="single" w:sz="4" w:space="0" w:color="000000"/>
            </w:tcBorders>
            <w:vAlign w:val="center"/>
            <w:hideMark/>
          </w:tcPr>
          <w:p w:rsidR="00820AE9" w:rsidRPr="001F29F9" w:rsidRDefault="00820AE9" w:rsidP="00820AE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(18</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3114"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r w:rsidR="00E21510">
              <w:rPr>
                <w:rFonts w:asciiTheme="minorHAnsi" w:eastAsia="Calibri" w:hAnsiTheme="minorHAnsi"/>
                <w:color w:val="000000" w:themeColor="text1"/>
                <w:sz w:val="18"/>
                <w:szCs w:val="18"/>
              </w:rPr>
              <w:t xml:space="preserve"> (pain and stiffness at 20°)</w:t>
            </w:r>
          </w:p>
        </w:tc>
      </w:tr>
      <w:tr w:rsidR="00820AE9" w:rsidRPr="001F29F9" w:rsidTr="003E5850">
        <w:tc>
          <w:tcPr>
            <w:tcW w:w="1908" w:type="dxa"/>
            <w:tcBorders>
              <w:top w:val="single" w:sz="4" w:space="0" w:color="000000"/>
              <w:left w:val="single" w:sz="4" w:space="0" w:color="000000"/>
              <w:bottom w:val="single" w:sz="4" w:space="0" w:color="000000"/>
              <w:right w:val="single" w:sz="4" w:space="0" w:color="000000"/>
            </w:tcBorders>
            <w:vAlign w:val="center"/>
            <w:hideMark/>
          </w:tcPr>
          <w:p w:rsidR="00820AE9" w:rsidRPr="001F29F9" w:rsidRDefault="00820AE9" w:rsidP="00820AE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3780"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135</w:t>
            </w:r>
            <w:r w:rsidRPr="001F29F9">
              <w:rPr>
                <w:rFonts w:eastAsia="Calibri" w:cstheme="minorHAnsi"/>
                <w:color w:val="000000" w:themeColor="text1"/>
                <w:sz w:val="18"/>
                <w:szCs w:val="18"/>
              </w:rPr>
              <w:t>⁰</w:t>
            </w:r>
          </w:p>
        </w:tc>
        <w:tc>
          <w:tcPr>
            <w:tcW w:w="3114"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rPr>
                <w:rFonts w:asciiTheme="minorHAnsi" w:hAnsiTheme="minorHAnsi"/>
                <w:color w:val="000000" w:themeColor="text1"/>
                <w:sz w:val="18"/>
                <w:szCs w:val="18"/>
              </w:rPr>
            </w:pPr>
            <w:r>
              <w:rPr>
                <w:rFonts w:asciiTheme="minorHAnsi" w:eastAsia="Calibri" w:hAnsiTheme="minorHAnsi"/>
                <w:color w:val="000000" w:themeColor="text1"/>
                <w:sz w:val="18"/>
                <w:szCs w:val="18"/>
              </w:rPr>
              <w:t>195</w:t>
            </w:r>
            <w:r w:rsidRPr="001F29F9">
              <w:rPr>
                <w:rFonts w:asciiTheme="minorHAnsi" w:eastAsia="Calibri" w:hAnsiTheme="minorHAnsi"/>
                <w:color w:val="000000" w:themeColor="text1"/>
                <w:sz w:val="18"/>
                <w:szCs w:val="18"/>
              </w:rPr>
              <w:t>⁰</w:t>
            </w:r>
          </w:p>
        </w:tc>
      </w:tr>
      <w:tr w:rsidR="00820AE9" w:rsidRPr="001F29F9" w:rsidTr="003E5850">
        <w:tc>
          <w:tcPr>
            <w:tcW w:w="1908" w:type="dxa"/>
            <w:tcBorders>
              <w:top w:val="single" w:sz="4" w:space="0" w:color="000000"/>
              <w:left w:val="single" w:sz="4" w:space="0" w:color="000000"/>
              <w:bottom w:val="single" w:sz="4" w:space="0" w:color="000000"/>
              <w:right w:val="single" w:sz="4" w:space="0" w:color="000000"/>
            </w:tcBorders>
            <w:vAlign w:val="center"/>
            <w:hideMark/>
          </w:tcPr>
          <w:p w:rsidR="00820AE9" w:rsidRPr="001F29F9" w:rsidRDefault="00820AE9" w:rsidP="00820AE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3780"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3E5850">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 xml:space="preserve">No paraspinal muscle spasm; </w:t>
            </w:r>
            <w:r w:rsidR="003E5850">
              <w:rPr>
                <w:rFonts w:eastAsiaTheme="minorHAnsi"/>
                <w:color w:val="000000" w:themeColor="text1"/>
                <w:sz w:val="18"/>
                <w:szCs w:val="18"/>
              </w:rPr>
              <w:t xml:space="preserve">normal gait; normal motor, sensory, and reflex examinations; </w:t>
            </w:r>
            <w:r w:rsidR="003E5850" w:rsidRPr="0063013D">
              <w:rPr>
                <w:rFonts w:eastAsiaTheme="minorHAnsi"/>
                <w:color w:val="000000" w:themeColor="text1"/>
                <w:sz w:val="18"/>
                <w:szCs w:val="18"/>
              </w:rPr>
              <w:t>positive straight leg raising on the left; moderate restriction of flexion, extension, and rotation; three of eight Waddell’s signs were positive: non-anatomic tenderness, mild lower spine pain with axial</w:t>
            </w:r>
            <w:r w:rsidR="003E5850">
              <w:rPr>
                <w:rFonts w:eastAsiaTheme="minorHAnsi"/>
                <w:color w:val="000000" w:themeColor="text1"/>
                <w:sz w:val="18"/>
                <w:szCs w:val="18"/>
              </w:rPr>
              <w:t xml:space="preserve"> loading; distracted straight leg raise.</w:t>
            </w:r>
          </w:p>
        </w:tc>
        <w:tc>
          <w:tcPr>
            <w:tcW w:w="3114" w:type="dxa"/>
            <w:tcBorders>
              <w:top w:val="single" w:sz="4" w:space="0" w:color="000000"/>
              <w:left w:val="single" w:sz="4" w:space="0" w:color="000000"/>
              <w:bottom w:val="single" w:sz="4" w:space="0" w:color="000000"/>
              <w:right w:val="single" w:sz="4" w:space="0" w:color="000000"/>
            </w:tcBorders>
            <w:vAlign w:val="center"/>
          </w:tcPr>
          <w:p w:rsidR="00820AE9" w:rsidRPr="00E21510" w:rsidRDefault="00820AE9" w:rsidP="00E21510">
            <w:pPr>
              <w:tabs>
                <w:tab w:val="left" w:pos="288"/>
                <w:tab w:val="left" w:pos="4752"/>
              </w:tabs>
              <w:jc w:val="left"/>
              <w:rPr>
                <w:rFonts w:eastAsia="Calibri"/>
                <w:color w:val="000000" w:themeColor="text1"/>
                <w:sz w:val="18"/>
                <w:szCs w:val="18"/>
              </w:rPr>
            </w:pPr>
            <w:r w:rsidRPr="00533E8D">
              <w:rPr>
                <w:rFonts w:eastAsia="Calibri"/>
                <w:color w:val="000000" w:themeColor="text1"/>
                <w:sz w:val="18"/>
                <w:szCs w:val="18"/>
              </w:rPr>
              <w:t xml:space="preserve">No antalgia; </w:t>
            </w:r>
            <w:r w:rsidR="00E21510">
              <w:rPr>
                <w:rFonts w:eastAsia="Calibri"/>
                <w:color w:val="000000" w:themeColor="text1"/>
                <w:sz w:val="18"/>
                <w:szCs w:val="18"/>
              </w:rPr>
              <w:t>no muscle spasm; no abnormal curvature; negative straight leg raise testing; no increase in pain or stiffness with repeated motion; mild pain and stiffness during exam; reflex exam was normal and no mention of sensory or motor exam.</w:t>
            </w:r>
          </w:p>
        </w:tc>
      </w:tr>
      <w:tr w:rsidR="00820AE9" w:rsidRPr="001F29F9" w:rsidTr="003E5850">
        <w:tc>
          <w:tcPr>
            <w:tcW w:w="1908" w:type="dxa"/>
            <w:tcBorders>
              <w:top w:val="single" w:sz="4" w:space="0" w:color="000000"/>
              <w:left w:val="single" w:sz="4" w:space="0" w:color="000000"/>
              <w:bottom w:val="single" w:sz="4" w:space="0" w:color="000000"/>
              <w:right w:val="single" w:sz="4" w:space="0" w:color="000000"/>
            </w:tcBorders>
            <w:vAlign w:val="center"/>
            <w:hideMark/>
          </w:tcPr>
          <w:p w:rsidR="00820AE9" w:rsidRPr="001F29F9" w:rsidRDefault="00820AE9" w:rsidP="00820AE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3780"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w:t>
            </w:r>
          </w:p>
        </w:tc>
        <w:tc>
          <w:tcPr>
            <w:tcW w:w="3114" w:type="dxa"/>
            <w:tcBorders>
              <w:top w:val="single" w:sz="4" w:space="0" w:color="000000"/>
              <w:left w:val="single" w:sz="4" w:space="0" w:color="000000"/>
              <w:bottom w:val="single" w:sz="4" w:space="0" w:color="000000"/>
              <w:right w:val="single" w:sz="4" w:space="0" w:color="000000"/>
            </w:tcBorders>
            <w:vAlign w:val="center"/>
          </w:tcPr>
          <w:p w:rsidR="00820AE9" w:rsidRPr="001F29F9" w:rsidRDefault="00820AE9" w:rsidP="00820AE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r>
    </w:tbl>
    <w:p w:rsidR="004E11C3" w:rsidRPr="001F29F9" w:rsidRDefault="004E11C3" w:rsidP="00617E4F">
      <w:pPr>
        <w:jc w:val="both"/>
        <w:rPr>
          <w:color w:val="000000" w:themeColor="text1"/>
          <w:szCs w:val="24"/>
        </w:rPr>
      </w:pPr>
    </w:p>
    <w:p w:rsidR="00137D83" w:rsidRDefault="001D26E1" w:rsidP="00137D83">
      <w:pPr>
        <w:jc w:val="both"/>
        <w:rPr>
          <w:color w:val="000000" w:themeColor="text1"/>
          <w:szCs w:val="24"/>
        </w:rPr>
      </w:pPr>
      <w:r>
        <w:rPr>
          <w:color w:val="000000" w:themeColor="text1"/>
          <w:szCs w:val="24"/>
        </w:rPr>
        <w:t xml:space="preserve">On 3 July 2007, the </w:t>
      </w:r>
      <w:r w:rsidR="00137D83" w:rsidRPr="0063013D">
        <w:rPr>
          <w:color w:val="000000" w:themeColor="text1"/>
          <w:szCs w:val="24"/>
        </w:rPr>
        <w:t xml:space="preserve">PEB determined the CI’s back pain condition was unfitting and rated it at 0% with application of the </w:t>
      </w:r>
      <w:r w:rsidR="00137D83" w:rsidRPr="0063013D">
        <w:rPr>
          <w:color w:val="auto"/>
          <w:szCs w:val="24"/>
        </w:rPr>
        <w:t>US Army Physical Disability Agency (USAPDA) pain policy</w:t>
      </w:r>
      <w:r w:rsidR="00137D83" w:rsidRPr="0063013D">
        <w:rPr>
          <w:color w:val="000000" w:themeColor="text1"/>
          <w:szCs w:val="24"/>
        </w:rPr>
        <w:t>.</w:t>
      </w:r>
      <w:r w:rsidR="004F732E">
        <w:rPr>
          <w:color w:val="000000" w:themeColor="text1"/>
          <w:szCs w:val="24"/>
        </w:rPr>
        <w:t xml:space="preserve"> </w:t>
      </w:r>
      <w:r w:rsidR="00137D83" w:rsidRPr="0063013D">
        <w:rPr>
          <w:color w:val="000000" w:themeColor="text1"/>
          <w:szCs w:val="24"/>
        </w:rPr>
        <w:t xml:space="preserve"> Upon review of new information, a</w:t>
      </w:r>
      <w:r w:rsidR="004F732E">
        <w:rPr>
          <w:color w:val="000000" w:themeColor="text1"/>
          <w:szCs w:val="24"/>
        </w:rPr>
        <w:t>n</w:t>
      </w:r>
      <w:r w:rsidR="00137D83" w:rsidRPr="0063013D">
        <w:rPr>
          <w:color w:val="000000" w:themeColor="text1"/>
          <w:szCs w:val="24"/>
        </w:rPr>
        <w:t xml:space="preserve"> </w:t>
      </w:r>
      <w:r w:rsidR="004F732E">
        <w:rPr>
          <w:color w:val="000000" w:themeColor="text1"/>
          <w:szCs w:val="24"/>
        </w:rPr>
        <w:t>RPEB</w:t>
      </w:r>
      <w:r w:rsidR="00137D83" w:rsidRPr="0063013D">
        <w:rPr>
          <w:color w:val="000000" w:themeColor="text1"/>
          <w:szCs w:val="24"/>
        </w:rPr>
        <w:t xml:space="preserve"> also determined the back pain condition should be rated at 0%, noting pain limited motion without spasm or localized tenderness. </w:t>
      </w:r>
      <w:r w:rsidR="00645F82">
        <w:rPr>
          <w:color w:val="000000" w:themeColor="text1"/>
          <w:szCs w:val="24"/>
        </w:rPr>
        <w:t xml:space="preserve"> </w:t>
      </w:r>
      <w:r w:rsidR="00137D83" w:rsidRPr="0063013D">
        <w:rPr>
          <w:color w:val="000000" w:themeColor="text1"/>
          <w:szCs w:val="24"/>
        </w:rPr>
        <w:t xml:space="preserve">This 0% rating was based on “no mechanical loss of motion.”  </w:t>
      </w:r>
      <w:r w:rsidR="00FF4810" w:rsidRPr="0063013D">
        <w:rPr>
          <w:color w:val="000000" w:themeColor="text1"/>
          <w:szCs w:val="24"/>
        </w:rPr>
        <w:t xml:space="preserve">This is in contradiction with VASRD §4.71a which specifies for 5003 that “satisfactory evidence of painful motion” constitutes limitation of motion and specifies application of a 10% rating “for each such major joint or group of minor joints affected by limitation of motion.” </w:t>
      </w:r>
      <w:r w:rsidR="00645F82">
        <w:rPr>
          <w:color w:val="000000" w:themeColor="text1"/>
          <w:szCs w:val="24"/>
        </w:rPr>
        <w:t xml:space="preserve"> </w:t>
      </w:r>
      <w:r w:rsidR="00137D83" w:rsidRPr="0063013D">
        <w:rPr>
          <w:color w:val="000000" w:themeColor="text1"/>
          <w:szCs w:val="24"/>
        </w:rPr>
        <w:t xml:space="preserve">The VA applied a 10% rating based on limitation of ROM noted on the VA C&amp;P examination. </w:t>
      </w:r>
      <w:r w:rsidR="00645F82">
        <w:rPr>
          <w:color w:val="000000" w:themeColor="text1"/>
          <w:szCs w:val="24"/>
        </w:rPr>
        <w:t xml:space="preserve"> </w:t>
      </w:r>
      <w:r w:rsidR="00137D83" w:rsidRPr="0063013D">
        <w:rPr>
          <w:color w:val="000000" w:themeColor="text1"/>
          <w:szCs w:val="24"/>
        </w:rPr>
        <w:t xml:space="preserve">The VA later increased this rating to 20% effective </w:t>
      </w:r>
      <w:r w:rsidR="004F732E">
        <w:rPr>
          <w:color w:val="000000" w:themeColor="text1"/>
          <w:szCs w:val="24"/>
        </w:rPr>
        <w:t xml:space="preserve">6 April </w:t>
      </w:r>
      <w:r w:rsidR="00137D83" w:rsidRPr="0063013D">
        <w:rPr>
          <w:color w:val="000000" w:themeColor="text1"/>
          <w:szCs w:val="24"/>
        </w:rPr>
        <w:t xml:space="preserve">2011, more than </w:t>
      </w:r>
      <w:r w:rsidR="004F732E">
        <w:rPr>
          <w:color w:val="000000" w:themeColor="text1"/>
          <w:szCs w:val="24"/>
        </w:rPr>
        <w:t>3</w:t>
      </w:r>
      <w:r w:rsidR="00137D83" w:rsidRPr="0063013D">
        <w:rPr>
          <w:color w:val="000000" w:themeColor="text1"/>
          <w:szCs w:val="24"/>
        </w:rPr>
        <w:t xml:space="preserve"> years after separation.</w:t>
      </w:r>
      <w:r w:rsidR="00645F82">
        <w:rPr>
          <w:color w:val="000000" w:themeColor="text1"/>
          <w:szCs w:val="24"/>
        </w:rPr>
        <w:t xml:space="preserve"> </w:t>
      </w:r>
      <w:r w:rsidR="00137D83" w:rsidRPr="0063013D">
        <w:rPr>
          <w:color w:val="000000" w:themeColor="text1"/>
          <w:szCs w:val="24"/>
        </w:rPr>
        <w:t xml:space="preserve"> This increase was based on a C&amp;P examination from May 2011 which documented a much more limited </w:t>
      </w:r>
      <w:r w:rsidR="00676CDE" w:rsidRPr="0063013D">
        <w:rPr>
          <w:color w:val="000000" w:themeColor="text1"/>
          <w:szCs w:val="24"/>
        </w:rPr>
        <w:t>thoracolumbar spine</w:t>
      </w:r>
      <w:r w:rsidR="00137D83" w:rsidRPr="0063013D">
        <w:rPr>
          <w:color w:val="000000" w:themeColor="text1"/>
          <w:szCs w:val="24"/>
        </w:rPr>
        <w:t xml:space="preserve"> flexion.</w:t>
      </w:r>
      <w:r w:rsidR="00645F82">
        <w:rPr>
          <w:color w:val="000000" w:themeColor="text1"/>
          <w:szCs w:val="24"/>
        </w:rPr>
        <w:t xml:space="preserve">  </w:t>
      </w:r>
      <w:r w:rsidR="00137D83" w:rsidRPr="0063013D">
        <w:rPr>
          <w:color w:val="000000" w:themeColor="text1"/>
          <w:szCs w:val="24"/>
        </w:rPr>
        <w:t>This clearly shows a worsening of the condition over time and is not relevant for rating at the time of separation.</w:t>
      </w:r>
    </w:p>
    <w:p w:rsidR="00137D83" w:rsidRDefault="00137D83" w:rsidP="00CF6BB6">
      <w:pPr>
        <w:jc w:val="both"/>
        <w:rPr>
          <w:color w:val="auto"/>
          <w:szCs w:val="24"/>
        </w:rPr>
      </w:pPr>
    </w:p>
    <w:p w:rsidR="00CF6BB6" w:rsidRPr="00F64312" w:rsidRDefault="00137D83" w:rsidP="00CF6BB6">
      <w:pPr>
        <w:jc w:val="both"/>
        <w:rPr>
          <w:rFonts w:eastAsia="Calibri" w:cs="Times New Roman"/>
          <w:color w:val="auto"/>
          <w:szCs w:val="24"/>
        </w:rPr>
      </w:pPr>
      <w:r w:rsidRPr="00A377A7">
        <w:rPr>
          <w:color w:val="auto"/>
          <w:szCs w:val="24"/>
        </w:rPr>
        <w:t>It is obvious that there is a clear disparity between the</w:t>
      </w:r>
      <w:r>
        <w:rPr>
          <w:color w:val="auto"/>
          <w:szCs w:val="24"/>
        </w:rPr>
        <w:t xml:space="preserve"> service and VA</w:t>
      </w:r>
      <w:r w:rsidRPr="00A377A7">
        <w:rPr>
          <w:color w:val="auto"/>
          <w:szCs w:val="24"/>
        </w:rPr>
        <w:t xml:space="preserve"> examinations, with very significant implications regarding the Board's rating recommendation. </w:t>
      </w:r>
      <w:r w:rsidR="00645F82">
        <w:rPr>
          <w:color w:val="auto"/>
          <w:szCs w:val="24"/>
        </w:rPr>
        <w:t xml:space="preserve"> </w:t>
      </w:r>
      <w:r w:rsidRPr="00A377A7">
        <w:rPr>
          <w:color w:val="auto"/>
          <w:szCs w:val="24"/>
        </w:rPr>
        <w:t>The Board thus carefully deliberated its probative value assignment to these conflicting evaluations, and carefully reviewed the service file for corroborating evidence in the 12-month period prior to separation.</w:t>
      </w:r>
      <w:r w:rsidR="00645F82">
        <w:rPr>
          <w:color w:val="auto"/>
          <w:szCs w:val="24"/>
        </w:rPr>
        <w:t xml:space="preserve">  </w:t>
      </w:r>
      <w:r>
        <w:rPr>
          <w:color w:val="auto"/>
          <w:szCs w:val="24"/>
        </w:rPr>
        <w:t xml:space="preserve">While there is documentation of decreased </w:t>
      </w:r>
      <w:r w:rsidR="004F732E">
        <w:rPr>
          <w:color w:val="auto"/>
          <w:szCs w:val="24"/>
        </w:rPr>
        <w:t>ROM</w:t>
      </w:r>
      <w:r>
        <w:rPr>
          <w:color w:val="auto"/>
          <w:szCs w:val="24"/>
        </w:rPr>
        <w:t xml:space="preserve"> on multiple visits during this time period, there </w:t>
      </w:r>
      <w:r w:rsidRPr="0063013D">
        <w:rPr>
          <w:color w:val="auto"/>
          <w:szCs w:val="24"/>
        </w:rPr>
        <w:t>are no other goniometric measurements available for review.</w:t>
      </w:r>
      <w:r w:rsidR="00645F82">
        <w:rPr>
          <w:color w:val="auto"/>
          <w:szCs w:val="24"/>
        </w:rPr>
        <w:t xml:space="preserve"> </w:t>
      </w:r>
      <w:r w:rsidRPr="0063013D">
        <w:rPr>
          <w:color w:val="auto"/>
          <w:szCs w:val="24"/>
        </w:rPr>
        <w:t xml:space="preserve"> Additionally</w:t>
      </w:r>
      <w:r w:rsidR="004F732E">
        <w:rPr>
          <w:color w:val="auto"/>
          <w:szCs w:val="24"/>
        </w:rPr>
        <w:t xml:space="preserve"> 3/</w:t>
      </w:r>
      <w:r>
        <w:rPr>
          <w:color w:val="auto"/>
          <w:szCs w:val="24"/>
        </w:rPr>
        <w:t>8 Waddell’s signs were positive on the NARSUM examination.</w:t>
      </w:r>
      <w:r w:rsidR="0063013D">
        <w:rPr>
          <w:color w:val="auto"/>
          <w:szCs w:val="24"/>
        </w:rPr>
        <w:t xml:space="preserve"> </w:t>
      </w:r>
      <w:r w:rsidR="00645F82">
        <w:rPr>
          <w:color w:val="auto"/>
          <w:szCs w:val="24"/>
        </w:rPr>
        <w:t xml:space="preserve"> </w:t>
      </w:r>
      <w:r w:rsidR="00CF6BB6" w:rsidRPr="00F64312">
        <w:rPr>
          <w:rFonts w:eastAsia="Calibri" w:cs="Times New Roman"/>
          <w:color w:val="auto"/>
          <w:szCs w:val="24"/>
        </w:rPr>
        <w:t xml:space="preserve">After due deliberation, considering all of the </w:t>
      </w:r>
      <w:r w:rsidR="00CF6BB6" w:rsidRPr="00F64312">
        <w:rPr>
          <w:rFonts w:eastAsia="Calibri" w:cs="Times New Roman"/>
          <w:color w:val="auto"/>
          <w:szCs w:val="24"/>
        </w:rPr>
        <w:lastRenderedPageBreak/>
        <w:t xml:space="preserve">evidence and mindful of VASRD §4.3 (reasonable doubt), the Board recommends a disability rating </w:t>
      </w:r>
      <w:r w:rsidR="00CF6BB6" w:rsidRPr="00FF4810">
        <w:rPr>
          <w:rFonts w:eastAsia="Calibri" w:cs="Times New Roman"/>
          <w:color w:val="auto"/>
          <w:szCs w:val="24"/>
        </w:rPr>
        <w:t xml:space="preserve">of </w:t>
      </w:r>
      <w:r w:rsidR="0063013D">
        <w:rPr>
          <w:rFonts w:eastAsia="Calibri" w:cs="Times New Roman"/>
          <w:color w:val="auto"/>
          <w:szCs w:val="24"/>
        </w:rPr>
        <w:t>10</w:t>
      </w:r>
      <w:r w:rsidR="00CF6BB6" w:rsidRPr="00FF4810">
        <w:rPr>
          <w:rFonts w:eastAsia="Calibri" w:cs="Times New Roman"/>
          <w:color w:val="auto"/>
          <w:szCs w:val="24"/>
        </w:rPr>
        <w:t xml:space="preserve">% for the </w:t>
      </w:r>
      <w:r w:rsidRPr="00FF4810">
        <w:rPr>
          <w:rFonts w:eastAsia="Calibri" w:cs="Times New Roman"/>
          <w:color w:val="auto"/>
          <w:szCs w:val="24"/>
        </w:rPr>
        <w:t>chronic</w:t>
      </w:r>
      <w:r>
        <w:rPr>
          <w:rFonts w:eastAsia="Calibri" w:cs="Times New Roman"/>
          <w:color w:val="auto"/>
          <w:szCs w:val="24"/>
        </w:rPr>
        <w:t xml:space="preserve"> </w:t>
      </w:r>
      <w:r w:rsidR="004F732E">
        <w:rPr>
          <w:rFonts w:eastAsia="Calibri" w:cs="Times New Roman"/>
          <w:color w:val="auto"/>
          <w:szCs w:val="24"/>
        </w:rPr>
        <w:t>LBP</w:t>
      </w:r>
      <w:r w:rsidR="00CF6BB6" w:rsidRPr="00F64312">
        <w:rPr>
          <w:rFonts w:eastAsia="Calibri" w:cs="Times New Roman"/>
          <w:color w:val="auto"/>
          <w:szCs w:val="24"/>
        </w:rPr>
        <w:t xml:space="preserve"> condition.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F6BB6" w:rsidRPr="0063013D" w:rsidRDefault="00C56FC8" w:rsidP="00CF6BB6">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w:t>
      </w:r>
      <w:r w:rsidRPr="00A00864">
        <w:rPr>
          <w:rFonts w:eastAsiaTheme="minorHAnsi"/>
          <w:color w:val="000000" w:themeColor="text1"/>
          <w:szCs w:val="24"/>
        </w:rPr>
        <w:t>effect at the time of the adjudication.</w:t>
      </w:r>
      <w:r w:rsidR="00CD5412" w:rsidRPr="00A00864">
        <w:rPr>
          <w:rFonts w:eastAsiaTheme="minorHAnsi"/>
          <w:color w:val="000000" w:themeColor="text1"/>
          <w:szCs w:val="24"/>
        </w:rPr>
        <w:t xml:space="preserve"> </w:t>
      </w:r>
      <w:r w:rsidR="00645F82">
        <w:rPr>
          <w:rFonts w:eastAsiaTheme="minorHAnsi"/>
          <w:color w:val="000000" w:themeColor="text1"/>
          <w:szCs w:val="24"/>
        </w:rPr>
        <w:t xml:space="preserve"> </w:t>
      </w:r>
      <w:r w:rsidR="00CF6BB6" w:rsidRPr="00A00864">
        <w:rPr>
          <w:rFonts w:eastAsia="Calibri" w:cs="Times New Roman"/>
          <w:color w:val="auto"/>
          <w:szCs w:val="24"/>
        </w:rPr>
        <w:t xml:space="preserve">As discussed above, </w:t>
      </w:r>
      <w:r w:rsidR="00CD5412" w:rsidRPr="00A00864">
        <w:rPr>
          <w:rFonts w:eastAsia="Calibri" w:cs="Times New Roman"/>
          <w:color w:val="auto"/>
          <w:szCs w:val="24"/>
        </w:rPr>
        <w:t xml:space="preserve">the </w:t>
      </w:r>
      <w:r w:rsidR="00B4101F">
        <w:rPr>
          <w:rFonts w:eastAsia="Calibri" w:cs="Times New Roman"/>
          <w:color w:val="auto"/>
          <w:szCs w:val="24"/>
        </w:rPr>
        <w:t>3</w:t>
      </w:r>
      <w:r w:rsidR="001D26E1">
        <w:rPr>
          <w:rFonts w:eastAsia="Calibri" w:cs="Times New Roman"/>
          <w:color w:val="auto"/>
          <w:szCs w:val="24"/>
        </w:rPr>
        <w:t> </w:t>
      </w:r>
      <w:r w:rsidR="00B4101F">
        <w:rPr>
          <w:rFonts w:eastAsia="Calibri" w:cs="Times New Roman"/>
          <w:color w:val="auto"/>
          <w:szCs w:val="24"/>
        </w:rPr>
        <w:t xml:space="preserve">July </w:t>
      </w:r>
      <w:r w:rsidR="00CD5412" w:rsidRPr="00A00864">
        <w:rPr>
          <w:rFonts w:eastAsia="Calibri" w:cs="Times New Roman"/>
          <w:color w:val="auto"/>
          <w:szCs w:val="24"/>
        </w:rPr>
        <w:t xml:space="preserve">2007 </w:t>
      </w:r>
      <w:r w:rsidR="001D26E1">
        <w:rPr>
          <w:rFonts w:eastAsia="Calibri" w:cs="Times New Roman"/>
          <w:color w:val="auto"/>
          <w:szCs w:val="24"/>
        </w:rPr>
        <w:t xml:space="preserve">PEB </w:t>
      </w:r>
      <w:bookmarkStart w:id="0" w:name="_GoBack"/>
      <w:bookmarkEnd w:id="0"/>
      <w:r w:rsidR="00CD5412" w:rsidRPr="00A00864">
        <w:rPr>
          <w:rFonts w:eastAsia="Calibri" w:cs="Times New Roman"/>
          <w:color w:val="auto"/>
          <w:szCs w:val="24"/>
        </w:rPr>
        <w:t>relied</w:t>
      </w:r>
      <w:r w:rsidR="00CF6BB6" w:rsidRPr="00A00864">
        <w:rPr>
          <w:rFonts w:eastAsia="Calibri" w:cs="Times New Roman"/>
          <w:color w:val="auto"/>
          <w:szCs w:val="24"/>
        </w:rPr>
        <w:t xml:space="preserve"> on the USAPDA pain policy for rating </w:t>
      </w:r>
      <w:r w:rsidR="00CD5412" w:rsidRPr="00A00864">
        <w:rPr>
          <w:rFonts w:eastAsia="Calibri" w:cs="Times New Roman"/>
          <w:color w:val="auto"/>
          <w:szCs w:val="24"/>
        </w:rPr>
        <w:t>the chronic left shoulder pain.</w:t>
      </w:r>
      <w:r w:rsidR="00CF6BB6" w:rsidRPr="00A00864">
        <w:rPr>
          <w:rFonts w:eastAsia="Calibri" w:cs="Times New Roman"/>
          <w:color w:val="auto"/>
          <w:szCs w:val="24"/>
        </w:rPr>
        <w:t xml:space="preserve"> </w:t>
      </w:r>
      <w:r w:rsidR="00645F82">
        <w:rPr>
          <w:rFonts w:eastAsia="Calibri" w:cs="Times New Roman"/>
          <w:color w:val="auto"/>
          <w:szCs w:val="24"/>
        </w:rPr>
        <w:t xml:space="preserve"> </w:t>
      </w:r>
      <w:r w:rsidR="00CD5412" w:rsidRPr="00A00864">
        <w:rPr>
          <w:rFonts w:eastAsia="Calibri" w:cs="Times New Roman"/>
          <w:color w:val="auto"/>
          <w:szCs w:val="24"/>
        </w:rPr>
        <w:t xml:space="preserve">However, it appears the </w:t>
      </w:r>
      <w:r w:rsidR="004F732E">
        <w:rPr>
          <w:rFonts w:eastAsia="Calibri" w:cs="Times New Roman"/>
          <w:color w:val="auto"/>
          <w:szCs w:val="24"/>
        </w:rPr>
        <w:t xml:space="preserve">RPEB </w:t>
      </w:r>
      <w:r w:rsidR="00CD5412" w:rsidRPr="0063013D">
        <w:rPr>
          <w:rFonts w:eastAsia="Calibri" w:cs="Times New Roman"/>
          <w:color w:val="auto"/>
          <w:szCs w:val="24"/>
        </w:rPr>
        <w:t xml:space="preserve">on </w:t>
      </w:r>
      <w:r w:rsidR="004F732E">
        <w:rPr>
          <w:rFonts w:eastAsia="Calibri" w:cs="Times New Roman"/>
          <w:color w:val="auto"/>
          <w:szCs w:val="24"/>
        </w:rPr>
        <w:t xml:space="preserve">13 July </w:t>
      </w:r>
      <w:r w:rsidR="00CD5412" w:rsidRPr="0063013D">
        <w:rPr>
          <w:rFonts w:eastAsia="Calibri" w:cs="Times New Roman"/>
          <w:color w:val="auto"/>
          <w:szCs w:val="24"/>
        </w:rPr>
        <w:t>2007 did not.</w:t>
      </w:r>
      <w:r w:rsidR="0063013D" w:rsidRPr="0063013D">
        <w:rPr>
          <w:rFonts w:eastAsia="Calibri" w:cs="Times New Roman"/>
          <w:color w:val="auto"/>
          <w:szCs w:val="24"/>
        </w:rPr>
        <w:t xml:space="preserve"> </w:t>
      </w:r>
      <w:r w:rsidR="00645F82">
        <w:rPr>
          <w:rFonts w:eastAsia="Calibri" w:cs="Times New Roman"/>
          <w:color w:val="auto"/>
          <w:szCs w:val="24"/>
        </w:rPr>
        <w:t xml:space="preserve"> </w:t>
      </w:r>
      <w:r w:rsidR="00CD5412" w:rsidRPr="0063013D">
        <w:rPr>
          <w:rFonts w:eastAsia="Calibri" w:cs="Times New Roman"/>
          <w:color w:val="auto"/>
          <w:szCs w:val="24"/>
        </w:rPr>
        <w:t xml:space="preserve">In the matter of the </w:t>
      </w:r>
      <w:r w:rsidR="00CD5412" w:rsidRPr="0063013D">
        <w:rPr>
          <w:rFonts w:cs="Calibri"/>
          <w:color w:val="000000" w:themeColor="text1"/>
          <w:szCs w:val="24"/>
        </w:rPr>
        <w:t>chronic left shoulder pain</w:t>
      </w:r>
      <w:r w:rsidR="00CD5412" w:rsidRPr="0063013D">
        <w:rPr>
          <w:rFonts w:eastAsia="Calibri" w:cs="Times New Roman"/>
          <w:color w:val="auto"/>
          <w:szCs w:val="24"/>
        </w:rPr>
        <w:t xml:space="preserve"> condition, the Board</w:t>
      </w:r>
      <w:r w:rsidR="0063013D" w:rsidRPr="0063013D">
        <w:rPr>
          <w:rFonts w:eastAsia="Calibri" w:cs="Times New Roman"/>
          <w:color w:val="auto"/>
          <w:szCs w:val="24"/>
        </w:rPr>
        <w:t>,</w:t>
      </w:r>
      <w:r w:rsidR="00CD5412" w:rsidRPr="0063013D">
        <w:rPr>
          <w:rFonts w:eastAsia="Calibri" w:cs="Times New Roman"/>
          <w:color w:val="auto"/>
          <w:szCs w:val="24"/>
        </w:rPr>
        <w:t xml:space="preserve"> </w:t>
      </w:r>
      <w:r w:rsidR="00F24ED0" w:rsidRPr="0063013D">
        <w:rPr>
          <w:rFonts w:eastAsia="Calibri" w:cs="Times New Roman"/>
          <w:color w:val="auto"/>
          <w:szCs w:val="24"/>
        </w:rPr>
        <w:t>by simple majority</w:t>
      </w:r>
      <w:r w:rsidR="0063013D" w:rsidRPr="0063013D">
        <w:rPr>
          <w:rFonts w:eastAsia="Calibri" w:cs="Times New Roman"/>
          <w:color w:val="auto"/>
          <w:szCs w:val="24"/>
        </w:rPr>
        <w:t>,</w:t>
      </w:r>
      <w:r w:rsidR="00F24ED0" w:rsidRPr="0063013D">
        <w:rPr>
          <w:rFonts w:eastAsia="Calibri" w:cs="Times New Roman"/>
          <w:color w:val="auto"/>
          <w:szCs w:val="24"/>
        </w:rPr>
        <w:t xml:space="preserve"> </w:t>
      </w:r>
      <w:r w:rsidR="00CD5412" w:rsidRPr="0063013D">
        <w:rPr>
          <w:rFonts w:eastAsia="Calibri" w:cs="Times New Roman"/>
          <w:color w:val="auto"/>
          <w:szCs w:val="24"/>
        </w:rPr>
        <w:t>recomme</w:t>
      </w:r>
      <w:r w:rsidR="0063013D" w:rsidRPr="0063013D">
        <w:rPr>
          <w:rFonts w:eastAsia="Calibri" w:cs="Times New Roman"/>
          <w:color w:val="auto"/>
          <w:szCs w:val="24"/>
        </w:rPr>
        <w:t>nds a disability rating of 20</w:t>
      </w:r>
      <w:r w:rsidR="00CD5412" w:rsidRPr="0063013D">
        <w:rPr>
          <w:rFonts w:eastAsia="Calibri" w:cs="Times New Roman"/>
          <w:color w:val="auto"/>
          <w:szCs w:val="24"/>
        </w:rPr>
        <w:t>%</w:t>
      </w:r>
      <w:r w:rsidR="0063013D" w:rsidRPr="0063013D">
        <w:rPr>
          <w:rFonts w:eastAsia="Calibri" w:cs="Times New Roman"/>
          <w:color w:val="auto"/>
          <w:szCs w:val="24"/>
        </w:rPr>
        <w:t>, coded 5201 IAW VASRD §4.71a.</w:t>
      </w:r>
      <w:r w:rsidR="00645F82">
        <w:rPr>
          <w:rFonts w:eastAsia="Calibri" w:cs="Times New Roman"/>
          <w:color w:val="auto"/>
          <w:szCs w:val="24"/>
        </w:rPr>
        <w:t xml:space="preserve"> </w:t>
      </w:r>
      <w:r w:rsidR="0063013D" w:rsidRPr="0063013D">
        <w:rPr>
          <w:rFonts w:eastAsia="Calibri" w:cs="Times New Roman"/>
          <w:color w:val="auto"/>
          <w:szCs w:val="24"/>
        </w:rPr>
        <w:t xml:space="preserve"> </w:t>
      </w:r>
      <w:r w:rsidR="0063013D" w:rsidRPr="0063013D">
        <w:rPr>
          <w:color w:val="auto"/>
          <w:szCs w:val="24"/>
        </w:rPr>
        <w:t>The single voter for dissent (who recommended no recharacterization of the 10% disability rating) did not elect to submit a minority opinion.</w:t>
      </w:r>
      <w:r w:rsidR="0063013D">
        <w:rPr>
          <w:color w:val="auto"/>
          <w:szCs w:val="24"/>
        </w:rPr>
        <w:t xml:space="preserve"> </w:t>
      </w:r>
      <w:r w:rsidR="00645F82">
        <w:rPr>
          <w:color w:val="auto"/>
          <w:szCs w:val="24"/>
        </w:rPr>
        <w:t xml:space="preserve"> </w:t>
      </w:r>
      <w:r w:rsidR="00CF6BB6" w:rsidRPr="00A00864">
        <w:rPr>
          <w:rFonts w:eastAsia="Calibri" w:cs="Times New Roman"/>
          <w:color w:val="auto"/>
          <w:szCs w:val="24"/>
        </w:rPr>
        <w:t xml:space="preserve">In the matter of the </w:t>
      </w:r>
      <w:r w:rsidR="00CD5412" w:rsidRPr="00A00864">
        <w:rPr>
          <w:rFonts w:cs="Calibri"/>
          <w:color w:val="000000" w:themeColor="text1"/>
          <w:szCs w:val="24"/>
        </w:rPr>
        <w:t xml:space="preserve">chronic </w:t>
      </w:r>
      <w:r w:rsidR="004F732E">
        <w:rPr>
          <w:rFonts w:cs="Calibri"/>
          <w:color w:val="000000" w:themeColor="text1"/>
          <w:szCs w:val="24"/>
        </w:rPr>
        <w:t>LBP</w:t>
      </w:r>
      <w:r w:rsidR="00CD5412" w:rsidRPr="00A00864">
        <w:rPr>
          <w:rFonts w:eastAsia="Calibri" w:cs="Times New Roman"/>
          <w:color w:val="auto"/>
          <w:szCs w:val="24"/>
        </w:rPr>
        <w:t xml:space="preserve"> condition</w:t>
      </w:r>
      <w:r w:rsidR="00CF6BB6" w:rsidRPr="00A00864">
        <w:rPr>
          <w:rFonts w:eastAsia="Calibri" w:cs="Times New Roman"/>
          <w:color w:val="auto"/>
          <w:szCs w:val="24"/>
        </w:rPr>
        <w:t xml:space="preserve">, the </w:t>
      </w:r>
      <w:r w:rsidR="00CF6BB6" w:rsidRPr="0063013D">
        <w:rPr>
          <w:rFonts w:eastAsia="Calibri" w:cs="Times New Roman"/>
          <w:color w:val="auto"/>
          <w:szCs w:val="24"/>
        </w:rPr>
        <w:t xml:space="preserve">Board unanimously recommends a disability rating of </w:t>
      </w:r>
      <w:r w:rsidR="000C5581" w:rsidRPr="0063013D">
        <w:rPr>
          <w:rFonts w:eastAsia="Calibri" w:cs="Times New Roman"/>
          <w:color w:val="auto"/>
          <w:szCs w:val="24"/>
        </w:rPr>
        <w:t>1</w:t>
      </w:r>
      <w:r w:rsidR="0063013D">
        <w:rPr>
          <w:rFonts w:eastAsia="Calibri" w:cs="Times New Roman"/>
          <w:color w:val="auto"/>
          <w:szCs w:val="24"/>
        </w:rPr>
        <w:t>0</w:t>
      </w:r>
      <w:r w:rsidR="00CF6BB6" w:rsidRPr="0063013D">
        <w:rPr>
          <w:rFonts w:eastAsia="Calibri" w:cs="Times New Roman"/>
          <w:color w:val="auto"/>
          <w:szCs w:val="24"/>
        </w:rPr>
        <w:t xml:space="preserve">%, coded </w:t>
      </w:r>
      <w:r w:rsidR="00CD5412" w:rsidRPr="0063013D">
        <w:rPr>
          <w:rFonts w:eastAsia="Calibri" w:cs="Times New Roman"/>
          <w:color w:val="auto"/>
          <w:szCs w:val="24"/>
        </w:rPr>
        <w:t xml:space="preserve">5237 </w:t>
      </w:r>
      <w:r w:rsidR="00CF6BB6" w:rsidRPr="0063013D">
        <w:rPr>
          <w:rFonts w:eastAsia="Calibri" w:cs="Times New Roman"/>
          <w:color w:val="auto"/>
          <w:szCs w:val="24"/>
        </w:rPr>
        <w:t>IAW VASRD §4.71a.</w:t>
      </w:r>
      <w:r w:rsidR="0063013D">
        <w:rPr>
          <w:rFonts w:eastAsia="Calibri" w:cs="Times New Roman"/>
          <w:color w:val="auto"/>
          <w:szCs w:val="24"/>
        </w:rPr>
        <w:t xml:space="preserve"> </w:t>
      </w:r>
      <w:r w:rsidR="00645F82">
        <w:rPr>
          <w:rFonts w:eastAsia="Calibri" w:cs="Times New Roman"/>
          <w:color w:val="auto"/>
          <w:szCs w:val="24"/>
        </w:rPr>
        <w:t xml:space="preserve"> </w:t>
      </w:r>
      <w:r w:rsidR="00CF6BB6" w:rsidRPr="0063013D">
        <w:rPr>
          <w:rFonts w:eastAsia="Calibri" w:cs="Times New Roman"/>
          <w:color w:val="auto"/>
          <w:szCs w:val="24"/>
        </w:rPr>
        <w:t>There were no other conditions within the Board’s scop</w:t>
      </w:r>
      <w:r w:rsidR="00645F82">
        <w:rPr>
          <w:rFonts w:eastAsia="Calibri" w:cs="Times New Roman"/>
          <w:color w:val="auto"/>
          <w:szCs w:val="24"/>
        </w:rPr>
        <w:t>e of review for consideration.</w:t>
      </w:r>
    </w:p>
    <w:p w:rsidR="00F1737C" w:rsidRPr="0063013D" w:rsidRDefault="00F1737C" w:rsidP="00BF0E94">
      <w:pPr>
        <w:pBdr>
          <w:bottom w:val="single" w:sz="12" w:space="1" w:color="auto"/>
        </w:pBdr>
        <w:tabs>
          <w:tab w:val="left" w:pos="288"/>
          <w:tab w:val="left" w:pos="4752"/>
        </w:tabs>
        <w:jc w:val="both"/>
        <w:rPr>
          <w:color w:val="000000" w:themeColor="text1"/>
        </w:rPr>
      </w:pPr>
    </w:p>
    <w:p w:rsidR="00F1737C" w:rsidRPr="0063013D" w:rsidRDefault="00F1737C" w:rsidP="006364ED">
      <w:pPr>
        <w:jc w:val="left"/>
        <w:rPr>
          <w:color w:val="000000" w:themeColor="text1"/>
          <w:szCs w:val="24"/>
        </w:rPr>
      </w:pPr>
    </w:p>
    <w:p w:rsidR="008208C3" w:rsidRPr="0063013D" w:rsidRDefault="00C56FC8" w:rsidP="00F24ED0">
      <w:pPr>
        <w:jc w:val="both"/>
        <w:rPr>
          <w:color w:val="000000" w:themeColor="text1"/>
          <w:szCs w:val="24"/>
        </w:rPr>
      </w:pPr>
      <w:r w:rsidRPr="0063013D">
        <w:rPr>
          <w:color w:val="000000" w:themeColor="text1"/>
          <w:szCs w:val="24"/>
          <w:u w:val="single"/>
        </w:rPr>
        <w:t>RECOMMENDATION</w:t>
      </w:r>
      <w:r w:rsidRPr="0063013D">
        <w:rPr>
          <w:color w:val="000000" w:themeColor="text1"/>
          <w:szCs w:val="24"/>
        </w:rPr>
        <w:t>:</w:t>
      </w:r>
      <w:r w:rsidR="00CD5412" w:rsidRPr="0063013D">
        <w:rPr>
          <w:color w:val="000000" w:themeColor="text1"/>
          <w:szCs w:val="24"/>
        </w:rPr>
        <w:t xml:space="preserve">  </w:t>
      </w:r>
      <w:r w:rsidR="008208C3" w:rsidRPr="0063013D">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63013D">
        <w:rPr>
          <w:color w:val="000000" w:themeColor="text1"/>
          <w:szCs w:val="24"/>
        </w:rPr>
        <w:t xml:space="preserve"> prior medical separation:</w:t>
      </w:r>
    </w:p>
    <w:p w:rsidR="00E8261F" w:rsidRPr="0063013D" w:rsidRDefault="00E8261F"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48"/>
        <w:gridCol w:w="1620"/>
        <w:gridCol w:w="1494"/>
      </w:tblGrid>
      <w:tr w:rsidR="00A95BBA" w:rsidRPr="0063013D" w:rsidTr="000C5581">
        <w:trPr>
          <w:trHeight w:val="233"/>
          <w:jc w:val="center"/>
        </w:trPr>
        <w:tc>
          <w:tcPr>
            <w:tcW w:w="6048" w:type="dxa"/>
            <w:shd w:val="clear" w:color="auto" w:fill="D9D9D9"/>
            <w:vAlign w:val="center"/>
          </w:tcPr>
          <w:p w:rsidR="00A95BBA" w:rsidRPr="0063013D" w:rsidRDefault="00A95BBA" w:rsidP="00BF0E94">
            <w:pPr>
              <w:tabs>
                <w:tab w:val="left" w:pos="288"/>
                <w:tab w:val="left" w:pos="4752"/>
              </w:tabs>
              <w:rPr>
                <w:b/>
                <w:color w:val="000000" w:themeColor="text1"/>
                <w:szCs w:val="24"/>
              </w:rPr>
            </w:pPr>
            <w:r w:rsidRPr="0063013D">
              <w:rPr>
                <w:b/>
                <w:color w:val="000000" w:themeColor="text1"/>
                <w:szCs w:val="24"/>
              </w:rPr>
              <w:t>UNFITTING CONDITION</w:t>
            </w:r>
          </w:p>
        </w:tc>
        <w:tc>
          <w:tcPr>
            <w:tcW w:w="1620" w:type="dxa"/>
            <w:shd w:val="clear" w:color="auto" w:fill="D9D9D9"/>
            <w:vAlign w:val="center"/>
          </w:tcPr>
          <w:p w:rsidR="00A95BBA" w:rsidRPr="0063013D" w:rsidRDefault="00A95BBA" w:rsidP="00BF0E94">
            <w:pPr>
              <w:tabs>
                <w:tab w:val="left" w:pos="288"/>
                <w:tab w:val="left" w:pos="4752"/>
              </w:tabs>
              <w:rPr>
                <w:b/>
                <w:color w:val="000000" w:themeColor="text1"/>
                <w:szCs w:val="24"/>
              </w:rPr>
            </w:pPr>
            <w:r w:rsidRPr="0063013D">
              <w:rPr>
                <w:b/>
                <w:color w:val="000000" w:themeColor="text1"/>
                <w:szCs w:val="24"/>
              </w:rPr>
              <w:t>VASRD CODE</w:t>
            </w:r>
          </w:p>
        </w:tc>
        <w:tc>
          <w:tcPr>
            <w:tcW w:w="1494" w:type="dxa"/>
            <w:shd w:val="clear" w:color="auto" w:fill="D9D9D9"/>
            <w:vAlign w:val="center"/>
          </w:tcPr>
          <w:p w:rsidR="00A95BBA" w:rsidRPr="0063013D" w:rsidRDefault="00A95BBA" w:rsidP="00BF0E94">
            <w:pPr>
              <w:tabs>
                <w:tab w:val="left" w:pos="288"/>
                <w:tab w:val="left" w:pos="4752"/>
              </w:tabs>
              <w:rPr>
                <w:b/>
                <w:color w:val="000000" w:themeColor="text1"/>
                <w:szCs w:val="24"/>
              </w:rPr>
            </w:pPr>
            <w:r w:rsidRPr="0063013D">
              <w:rPr>
                <w:b/>
                <w:color w:val="000000" w:themeColor="text1"/>
                <w:szCs w:val="24"/>
              </w:rPr>
              <w:t>RATING</w:t>
            </w:r>
          </w:p>
        </w:tc>
      </w:tr>
      <w:tr w:rsidR="00E8261F" w:rsidRPr="0063013D" w:rsidTr="000C5581">
        <w:trPr>
          <w:jc w:val="center"/>
        </w:trPr>
        <w:tc>
          <w:tcPr>
            <w:tcW w:w="6048" w:type="dxa"/>
            <w:vAlign w:val="center"/>
          </w:tcPr>
          <w:p w:rsidR="00E8261F" w:rsidRPr="0063013D" w:rsidRDefault="00E8261F" w:rsidP="0048625D">
            <w:pPr>
              <w:contextualSpacing/>
              <w:jc w:val="left"/>
              <w:rPr>
                <w:rFonts w:cs="Calibri"/>
                <w:color w:val="000000" w:themeColor="text1"/>
                <w:szCs w:val="24"/>
              </w:rPr>
            </w:pPr>
            <w:r w:rsidRPr="0063013D">
              <w:rPr>
                <w:rFonts w:cs="Calibri"/>
                <w:color w:val="000000" w:themeColor="text1"/>
                <w:szCs w:val="24"/>
              </w:rPr>
              <w:t>C</w:t>
            </w:r>
            <w:r w:rsidR="00732A48">
              <w:rPr>
                <w:rFonts w:cs="Calibri"/>
                <w:color w:val="000000" w:themeColor="text1"/>
                <w:szCs w:val="24"/>
              </w:rPr>
              <w:t>hronic Left Shoulder Pain (Non-D</w:t>
            </w:r>
            <w:r w:rsidRPr="0063013D">
              <w:rPr>
                <w:rFonts w:cs="Calibri"/>
                <w:color w:val="000000" w:themeColor="text1"/>
                <w:szCs w:val="24"/>
              </w:rPr>
              <w:t>ominant)</w:t>
            </w:r>
          </w:p>
        </w:tc>
        <w:tc>
          <w:tcPr>
            <w:tcW w:w="1620" w:type="dxa"/>
            <w:vAlign w:val="center"/>
          </w:tcPr>
          <w:p w:rsidR="00E8261F" w:rsidRPr="0063013D" w:rsidRDefault="00E8261F" w:rsidP="0048625D">
            <w:pPr>
              <w:contextualSpacing/>
              <w:rPr>
                <w:rFonts w:cs="Calibri"/>
                <w:color w:val="000000" w:themeColor="text1"/>
                <w:szCs w:val="24"/>
              </w:rPr>
            </w:pPr>
            <w:r w:rsidRPr="0063013D">
              <w:rPr>
                <w:rFonts w:cs="Calibri"/>
                <w:color w:val="000000" w:themeColor="text1"/>
                <w:szCs w:val="24"/>
              </w:rPr>
              <w:t>5201</w:t>
            </w:r>
          </w:p>
        </w:tc>
        <w:tc>
          <w:tcPr>
            <w:tcW w:w="1494" w:type="dxa"/>
            <w:vAlign w:val="center"/>
          </w:tcPr>
          <w:p w:rsidR="00E8261F" w:rsidRPr="0063013D" w:rsidRDefault="00CD5412" w:rsidP="00CD5412">
            <w:pPr>
              <w:tabs>
                <w:tab w:val="left" w:pos="288"/>
                <w:tab w:val="left" w:pos="4752"/>
              </w:tabs>
              <w:rPr>
                <w:color w:val="000000" w:themeColor="text1"/>
                <w:szCs w:val="24"/>
              </w:rPr>
            </w:pPr>
            <w:r w:rsidRPr="0063013D">
              <w:rPr>
                <w:color w:val="000000" w:themeColor="text1"/>
                <w:szCs w:val="24"/>
              </w:rPr>
              <w:t>2</w:t>
            </w:r>
            <w:r w:rsidR="00E8261F" w:rsidRPr="0063013D">
              <w:rPr>
                <w:color w:val="000000" w:themeColor="text1"/>
                <w:szCs w:val="24"/>
              </w:rPr>
              <w:t>0%</w:t>
            </w:r>
          </w:p>
        </w:tc>
      </w:tr>
      <w:tr w:rsidR="00E8261F" w:rsidRPr="0063013D" w:rsidTr="000C5581">
        <w:trPr>
          <w:jc w:val="center"/>
        </w:trPr>
        <w:tc>
          <w:tcPr>
            <w:tcW w:w="6048" w:type="dxa"/>
            <w:vAlign w:val="center"/>
          </w:tcPr>
          <w:p w:rsidR="00E8261F" w:rsidRPr="0063013D" w:rsidRDefault="00E8261F" w:rsidP="0048625D">
            <w:pPr>
              <w:contextualSpacing/>
              <w:jc w:val="left"/>
              <w:rPr>
                <w:rFonts w:cs="Calibri"/>
                <w:color w:val="000000" w:themeColor="text1"/>
                <w:szCs w:val="24"/>
              </w:rPr>
            </w:pPr>
            <w:r w:rsidRPr="0063013D">
              <w:rPr>
                <w:rFonts w:cs="Calibri"/>
                <w:color w:val="000000" w:themeColor="text1"/>
                <w:szCs w:val="24"/>
              </w:rPr>
              <w:t>Chronic Low Back Pain</w:t>
            </w:r>
          </w:p>
        </w:tc>
        <w:tc>
          <w:tcPr>
            <w:tcW w:w="1620" w:type="dxa"/>
            <w:vAlign w:val="center"/>
          </w:tcPr>
          <w:p w:rsidR="00E8261F" w:rsidRPr="0063013D" w:rsidRDefault="00E8261F" w:rsidP="0048625D">
            <w:pPr>
              <w:contextualSpacing/>
              <w:rPr>
                <w:rFonts w:cs="Calibri"/>
                <w:color w:val="000000" w:themeColor="text1"/>
                <w:szCs w:val="24"/>
              </w:rPr>
            </w:pPr>
            <w:r w:rsidRPr="0063013D">
              <w:rPr>
                <w:rFonts w:cs="Calibri"/>
                <w:color w:val="000000" w:themeColor="text1"/>
                <w:szCs w:val="24"/>
              </w:rPr>
              <w:t>5237</w:t>
            </w:r>
          </w:p>
        </w:tc>
        <w:tc>
          <w:tcPr>
            <w:tcW w:w="1494" w:type="dxa"/>
            <w:vAlign w:val="center"/>
          </w:tcPr>
          <w:p w:rsidR="00E8261F" w:rsidRPr="0063013D" w:rsidRDefault="00E8261F" w:rsidP="00F24ED0">
            <w:pPr>
              <w:tabs>
                <w:tab w:val="left" w:pos="288"/>
                <w:tab w:val="left" w:pos="4752"/>
              </w:tabs>
              <w:rPr>
                <w:color w:val="000000" w:themeColor="text1"/>
                <w:szCs w:val="24"/>
              </w:rPr>
            </w:pPr>
            <w:r w:rsidRPr="0063013D">
              <w:rPr>
                <w:color w:val="000000" w:themeColor="text1"/>
                <w:szCs w:val="24"/>
              </w:rPr>
              <w:t>10</w:t>
            </w:r>
            <w:r w:rsidR="00F24ED0" w:rsidRPr="0063013D">
              <w:rPr>
                <w:color w:val="000000" w:themeColor="text1"/>
                <w:szCs w:val="24"/>
              </w:rPr>
              <w:t>%</w:t>
            </w:r>
          </w:p>
        </w:tc>
      </w:tr>
      <w:tr w:rsidR="00A95BBA" w:rsidRPr="001F29F9" w:rsidTr="000C5581">
        <w:tblPrEx>
          <w:tblLook w:val="0000"/>
        </w:tblPrEx>
        <w:trPr>
          <w:gridBefore w:val="1"/>
          <w:wBefore w:w="6048"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A95BBA" w:rsidRPr="0063013D" w:rsidRDefault="00A95BBA" w:rsidP="0048625D">
            <w:pPr>
              <w:tabs>
                <w:tab w:val="left" w:pos="288"/>
                <w:tab w:val="left" w:pos="4752"/>
              </w:tabs>
              <w:rPr>
                <w:b/>
                <w:color w:val="000000" w:themeColor="text1"/>
                <w:szCs w:val="24"/>
              </w:rPr>
            </w:pPr>
            <w:r w:rsidRPr="0063013D">
              <w:rPr>
                <w:b/>
                <w:color w:val="000000" w:themeColor="text1"/>
                <w:szCs w:val="24"/>
              </w:rPr>
              <w:t>COMBINED</w:t>
            </w:r>
          </w:p>
        </w:tc>
        <w:tc>
          <w:tcPr>
            <w:tcW w:w="1494" w:type="dxa"/>
            <w:tcBorders>
              <w:bottom w:val="single" w:sz="4" w:space="0" w:color="000000"/>
            </w:tcBorders>
            <w:shd w:val="clear" w:color="auto" w:fill="D9D9D9" w:themeFill="background1" w:themeFillShade="D9"/>
            <w:vAlign w:val="center"/>
          </w:tcPr>
          <w:p w:rsidR="00A95BBA" w:rsidRPr="00CD5412" w:rsidRDefault="000C5581" w:rsidP="00F24ED0">
            <w:pPr>
              <w:tabs>
                <w:tab w:val="left" w:pos="288"/>
                <w:tab w:val="left" w:pos="4752"/>
              </w:tabs>
              <w:rPr>
                <w:b/>
                <w:color w:val="000000" w:themeColor="text1"/>
                <w:szCs w:val="24"/>
              </w:rPr>
            </w:pPr>
            <w:r w:rsidRPr="0063013D">
              <w:rPr>
                <w:b/>
                <w:color w:val="000000" w:themeColor="text1"/>
                <w:szCs w:val="24"/>
              </w:rPr>
              <w:t>3</w:t>
            </w:r>
            <w:r w:rsidR="00A95BBA" w:rsidRPr="0063013D">
              <w:rPr>
                <w:b/>
                <w:color w:val="000000" w:themeColor="text1"/>
                <w:szCs w:val="24"/>
              </w:rPr>
              <w:t>0</w:t>
            </w:r>
            <w:r w:rsidR="00F24ED0" w:rsidRPr="0063013D">
              <w:rPr>
                <w:b/>
                <w:color w:val="000000" w:themeColor="text1"/>
                <w:szCs w:val="24"/>
              </w:rPr>
              <w:t>%</w:t>
            </w:r>
          </w:p>
        </w:tc>
      </w:tr>
    </w:tbl>
    <w:p w:rsidR="00CE04B6" w:rsidRPr="001F29F9" w:rsidRDefault="00CE04B6"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057AE7">
        <w:rPr>
          <w:color w:val="000000" w:themeColor="text1"/>
          <w:szCs w:val="24"/>
        </w:rPr>
        <w:t>10923</w:t>
      </w:r>
      <w:r w:rsidR="00B4101F">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Service Treatment </w:t>
      </w:r>
      <w:r w:rsidR="00B4101F">
        <w:rPr>
          <w:color w:val="000000" w:themeColor="text1"/>
        </w:rPr>
        <w:t>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w:t>
      </w:r>
      <w:r w:rsidR="00B4101F">
        <w:rPr>
          <w:color w:val="000000" w:themeColor="text1"/>
        </w:rPr>
        <w:t>’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6B3474">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B3474" w:rsidRDefault="006B3474" w:rsidP="00820AE9">
      <w:pPr>
        <w:jc w:val="both"/>
        <w:rPr>
          <w:color w:val="000000" w:themeColor="text1"/>
          <w:szCs w:val="24"/>
          <w:u w:val="single"/>
        </w:rPr>
      </w:pPr>
    </w:p>
    <w:p w:rsidR="006B3474" w:rsidRDefault="006B3474">
      <w:pPr>
        <w:rPr>
          <w:color w:val="000000" w:themeColor="text1"/>
          <w:szCs w:val="24"/>
          <w:u w:val="single"/>
        </w:rPr>
      </w:pPr>
      <w:r>
        <w:rPr>
          <w:color w:val="000000" w:themeColor="text1"/>
          <w:szCs w:val="24"/>
          <w:u w:val="single"/>
        </w:rPr>
        <w:br w:type="page"/>
      </w:r>
    </w:p>
    <w:p w:rsidR="006B3474" w:rsidRDefault="006B3474" w:rsidP="006B3474">
      <w:pPr>
        <w:pStyle w:val="Header"/>
        <w:tabs>
          <w:tab w:val="left" w:pos="720"/>
        </w:tabs>
        <w:jc w:val="left"/>
      </w:pPr>
      <w:r>
        <w:lastRenderedPageBreak/>
        <w:t>SFMR-RB</w:t>
      </w:r>
      <w:r>
        <w:tab/>
      </w:r>
      <w:r>
        <w:tab/>
      </w:r>
      <w:r>
        <w:tab/>
      </w:r>
      <w:r>
        <w:tab/>
      </w:r>
      <w:r>
        <w:tab/>
      </w:r>
      <w:r>
        <w:tab/>
      </w:r>
      <w:r>
        <w:tab/>
      </w:r>
      <w:r>
        <w:tab/>
      </w:r>
      <w:r>
        <w:tab/>
      </w:r>
    </w:p>
    <w:p w:rsidR="006B3474" w:rsidRDefault="006B3474" w:rsidP="006B3474">
      <w:pPr>
        <w:pStyle w:val="Header"/>
        <w:tabs>
          <w:tab w:val="left" w:pos="720"/>
        </w:tabs>
        <w:jc w:val="left"/>
      </w:pPr>
    </w:p>
    <w:p w:rsidR="006B3474" w:rsidRDefault="006B3474" w:rsidP="006B3474">
      <w:pPr>
        <w:jc w:val="left"/>
      </w:pPr>
    </w:p>
    <w:p w:rsidR="006B3474" w:rsidRDefault="006B3474" w:rsidP="006B3474">
      <w:pPr>
        <w:jc w:val="left"/>
      </w:pPr>
      <w:r>
        <w:t xml:space="preserve">MEMORANDUM FOR Commander, US Army Physical Disability Agency </w:t>
      </w:r>
    </w:p>
    <w:p w:rsidR="006B3474" w:rsidRDefault="006B3474" w:rsidP="006B3474">
      <w:pPr>
        <w:jc w:val="left"/>
      </w:pPr>
      <w:r>
        <w:t xml:space="preserve">(TAPD-ZB </w:t>
      </w:r>
      <w:proofErr w:type="gramStart"/>
      <w:r>
        <w:t>/  )</w:t>
      </w:r>
      <w:proofErr w:type="gramEnd"/>
      <w:r>
        <w:t>, 2900 Crystal Drive, Suite 300, Arlington, VA  22202</w:t>
      </w:r>
    </w:p>
    <w:p w:rsidR="006B3474" w:rsidRDefault="006B3474" w:rsidP="006B3474">
      <w:pPr>
        <w:jc w:val="left"/>
      </w:pPr>
    </w:p>
    <w:p w:rsidR="006B3474" w:rsidRDefault="006B3474" w:rsidP="006B3474">
      <w:pPr>
        <w:ind w:right="-180"/>
        <w:jc w:val="left"/>
      </w:pPr>
      <w:r>
        <w:t xml:space="preserve">SUBJECT:  Department of Defense Physical Disability Board of Review Recommendation </w:t>
      </w:r>
    </w:p>
    <w:p w:rsidR="006B3474" w:rsidRDefault="006B3474" w:rsidP="006B3474">
      <w:pPr>
        <w:pStyle w:val="Header"/>
        <w:tabs>
          <w:tab w:val="left" w:pos="720"/>
        </w:tabs>
        <w:jc w:val="left"/>
      </w:pPr>
      <w:proofErr w:type="gramStart"/>
      <w:r>
        <w:t>for</w:t>
      </w:r>
      <w:proofErr w:type="gramEnd"/>
      <w:r>
        <w:t xml:space="preserve"> XXXXXXXXXXXXXXXXXX, AR20120012297 (PD201100890)</w:t>
      </w:r>
    </w:p>
    <w:p w:rsidR="006B3474" w:rsidRDefault="006B3474" w:rsidP="006B3474">
      <w:pPr>
        <w:pStyle w:val="Header"/>
        <w:tabs>
          <w:tab w:val="left" w:pos="720"/>
        </w:tabs>
        <w:jc w:val="left"/>
      </w:pPr>
    </w:p>
    <w:p w:rsidR="006B3474" w:rsidRDefault="006B3474" w:rsidP="006B3474">
      <w:pPr>
        <w:jc w:val="left"/>
      </w:pPr>
    </w:p>
    <w:p w:rsidR="006B3474" w:rsidRDefault="006B3474" w:rsidP="006B3474">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6B3474" w:rsidRDefault="006B3474" w:rsidP="006B3474">
      <w:pPr>
        <w:jc w:val="left"/>
      </w:pPr>
    </w:p>
    <w:p w:rsidR="006B3474" w:rsidRDefault="006B3474" w:rsidP="006B3474">
      <w:pPr>
        <w:jc w:val="left"/>
      </w:pPr>
      <w:r>
        <w:t>2.  I direct that all the Department of the Army records of the individual concerned be corrected accordingly no later than 120 days from the date of this memorandum.</w:t>
      </w:r>
    </w:p>
    <w:p w:rsidR="006B3474" w:rsidRDefault="006B3474" w:rsidP="006B3474">
      <w:pPr>
        <w:jc w:val="left"/>
      </w:pPr>
    </w:p>
    <w:p w:rsidR="006B3474" w:rsidRDefault="006B3474" w:rsidP="006B3474">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6B3474" w:rsidRDefault="006B3474" w:rsidP="006B3474">
      <w:pPr>
        <w:jc w:val="left"/>
      </w:pPr>
    </w:p>
    <w:p w:rsidR="006B3474" w:rsidRDefault="006B3474" w:rsidP="006B3474">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6B3474" w:rsidRDefault="006B3474" w:rsidP="006B3474">
      <w:pPr>
        <w:jc w:val="left"/>
      </w:pPr>
    </w:p>
    <w:p w:rsidR="006B3474" w:rsidRDefault="006B3474" w:rsidP="006B3474">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6B3474" w:rsidRDefault="006B3474" w:rsidP="006B3474">
      <w:pPr>
        <w:jc w:val="left"/>
      </w:pPr>
    </w:p>
    <w:p w:rsidR="006B3474" w:rsidRDefault="006B3474" w:rsidP="006B3474">
      <w:pPr>
        <w:jc w:val="left"/>
      </w:pPr>
      <w:r>
        <w:tab/>
      </w:r>
      <w:proofErr w:type="gramStart"/>
      <w:r>
        <w:t>d.  Affording</w:t>
      </w:r>
      <w:proofErr w:type="gramEnd"/>
      <w:r>
        <w:t xml:space="preserve"> the individual the opportunity to elect Survivor Benefit Plan (SBP) and medical TRICARE retiree options.</w:t>
      </w:r>
    </w:p>
    <w:p w:rsidR="006B3474" w:rsidRDefault="006B3474" w:rsidP="006B3474">
      <w:pPr>
        <w:jc w:val="left"/>
      </w:pPr>
    </w:p>
    <w:p w:rsidR="006B3474" w:rsidRDefault="006B3474" w:rsidP="006B3474">
      <w:pPr>
        <w:jc w:val="left"/>
      </w:pPr>
    </w:p>
    <w:p w:rsidR="006B3474" w:rsidRDefault="006B3474" w:rsidP="006B3474">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6B3474" w:rsidRDefault="006B3474" w:rsidP="006B3474">
      <w:pPr>
        <w:jc w:val="left"/>
      </w:pPr>
    </w:p>
    <w:p w:rsidR="006B3474" w:rsidRDefault="006B3474" w:rsidP="006B3474">
      <w:pPr>
        <w:jc w:val="left"/>
      </w:pPr>
      <w:r>
        <w:t>BY ORDER OF THE SECRETARY OF THE ARMY:</w:t>
      </w:r>
    </w:p>
    <w:p w:rsidR="006B3474" w:rsidRDefault="006B3474" w:rsidP="006B3474">
      <w:pPr>
        <w:jc w:val="left"/>
      </w:pPr>
    </w:p>
    <w:p w:rsidR="006B3474" w:rsidRDefault="006B3474" w:rsidP="006B3474">
      <w:pPr>
        <w:jc w:val="left"/>
      </w:pPr>
    </w:p>
    <w:p w:rsidR="006B3474" w:rsidRDefault="006B3474" w:rsidP="006B3474">
      <w:pPr>
        <w:pStyle w:val="Header"/>
        <w:tabs>
          <w:tab w:val="left" w:pos="720"/>
        </w:tabs>
        <w:jc w:val="left"/>
      </w:pPr>
    </w:p>
    <w:p w:rsidR="006B3474" w:rsidRDefault="006B3474" w:rsidP="006B3474">
      <w:pPr>
        <w:jc w:val="left"/>
      </w:pPr>
    </w:p>
    <w:p w:rsidR="006B3474" w:rsidRDefault="006B3474" w:rsidP="006B3474">
      <w:pPr>
        <w:jc w:val="left"/>
      </w:pPr>
      <w:bookmarkStart w:id="1" w:name="OLE_LINK4"/>
      <w:bookmarkStart w:id="2" w:name="OLE_LINK3"/>
      <w:r>
        <w:t>Encl</w:t>
      </w:r>
      <w:r>
        <w:tab/>
      </w:r>
      <w:r>
        <w:tab/>
      </w:r>
      <w:r>
        <w:tab/>
      </w:r>
      <w:r>
        <w:tab/>
      </w:r>
      <w:r>
        <w:tab/>
      </w:r>
      <w:r>
        <w:tab/>
        <w:t xml:space="preserve">     XXXXXXXXXXXXXXXX</w:t>
      </w:r>
    </w:p>
    <w:p w:rsidR="006B3474" w:rsidRDefault="006B3474" w:rsidP="006B3474">
      <w:pPr>
        <w:jc w:val="left"/>
      </w:pPr>
      <w:r>
        <w:tab/>
      </w:r>
      <w:r>
        <w:tab/>
      </w:r>
      <w:r>
        <w:tab/>
      </w:r>
      <w:r>
        <w:tab/>
      </w:r>
      <w:r>
        <w:tab/>
      </w:r>
      <w:r>
        <w:tab/>
        <w:t xml:space="preserve">     Deputy Assistant Secretary</w:t>
      </w:r>
    </w:p>
    <w:p w:rsidR="006B3474" w:rsidRDefault="006B3474" w:rsidP="006B3474">
      <w:pPr>
        <w:jc w:val="left"/>
      </w:pPr>
      <w:r>
        <w:tab/>
      </w:r>
      <w:r>
        <w:tab/>
      </w:r>
      <w:r>
        <w:tab/>
      </w:r>
      <w:r>
        <w:tab/>
      </w:r>
      <w:r>
        <w:tab/>
      </w:r>
      <w:r>
        <w:tab/>
        <w:t xml:space="preserve">         (Army Review Boards)</w:t>
      </w:r>
      <w:bookmarkEnd w:id="1"/>
      <w:bookmarkEnd w:id="2"/>
    </w:p>
    <w:p w:rsidR="006B3474" w:rsidRDefault="006B3474" w:rsidP="006B3474">
      <w:pPr>
        <w:jc w:val="left"/>
      </w:pPr>
    </w:p>
    <w:p w:rsidR="006B3474" w:rsidRDefault="006B3474" w:rsidP="006B3474">
      <w:pPr>
        <w:jc w:val="left"/>
      </w:pPr>
      <w:r>
        <w:t xml:space="preserve">CF: </w:t>
      </w:r>
    </w:p>
    <w:p w:rsidR="006B3474" w:rsidRDefault="006B3474" w:rsidP="006B3474">
      <w:pPr>
        <w:jc w:val="left"/>
      </w:pPr>
      <w:r>
        <w:t xml:space="preserve">(  ) </w:t>
      </w:r>
      <w:proofErr w:type="spellStart"/>
      <w:proofErr w:type="gramStart"/>
      <w:r>
        <w:t>DoD</w:t>
      </w:r>
      <w:proofErr w:type="spellEnd"/>
      <w:proofErr w:type="gramEnd"/>
      <w:r>
        <w:t xml:space="preserve"> PDBR</w:t>
      </w:r>
    </w:p>
    <w:p w:rsidR="006B3474" w:rsidRDefault="006B3474" w:rsidP="006B3474">
      <w:pPr>
        <w:jc w:val="left"/>
      </w:pPr>
      <w:r>
        <w:t>(  ) DVA</w:t>
      </w:r>
    </w:p>
    <w:p w:rsidR="008E3C90" w:rsidRPr="001F29F9" w:rsidRDefault="008E3C90" w:rsidP="00820AE9">
      <w:pPr>
        <w:jc w:val="both"/>
        <w:rPr>
          <w:color w:val="000000" w:themeColor="text1"/>
          <w:szCs w:val="24"/>
          <w:u w:val="single"/>
        </w:rPr>
      </w:pPr>
    </w:p>
    <w:sectPr w:rsidR="008E3C9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3C" w:rsidRDefault="008B4C3C">
      <w:r>
        <w:separator/>
      </w:r>
    </w:p>
  </w:endnote>
  <w:endnote w:type="continuationSeparator" w:id="0">
    <w:p w:rsidR="008B4C3C" w:rsidRDefault="008B4C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11E83" w:rsidRPr="00374247" w:rsidRDefault="00611E83" w:rsidP="00374247">
        <w:pPr>
          <w:pStyle w:val="Footer"/>
          <w:ind w:firstLine="4320"/>
          <w:rPr>
            <w:color w:val="auto"/>
            <w:szCs w:val="24"/>
          </w:rPr>
        </w:pPr>
        <w:r w:rsidRPr="00374247">
          <w:rPr>
            <w:color w:val="auto"/>
            <w:szCs w:val="24"/>
          </w:rPr>
          <w:t xml:space="preserve">   </w:t>
        </w:r>
        <w:r w:rsidR="00BF51D9" w:rsidRPr="00374247">
          <w:rPr>
            <w:color w:val="auto"/>
            <w:szCs w:val="24"/>
          </w:rPr>
          <w:fldChar w:fldCharType="begin"/>
        </w:r>
        <w:r w:rsidRPr="00374247">
          <w:rPr>
            <w:color w:val="auto"/>
            <w:szCs w:val="24"/>
          </w:rPr>
          <w:instrText xml:space="preserve"> PAGE   \* MERGEFORMAT </w:instrText>
        </w:r>
        <w:r w:rsidR="00BF51D9" w:rsidRPr="00374247">
          <w:rPr>
            <w:color w:val="auto"/>
            <w:szCs w:val="24"/>
          </w:rPr>
          <w:fldChar w:fldCharType="separate"/>
        </w:r>
        <w:r w:rsidR="006B3474" w:rsidRPr="006B3474">
          <w:rPr>
            <w:noProof/>
            <w:color w:val="auto"/>
          </w:rPr>
          <w:t>2</w:t>
        </w:r>
        <w:r w:rsidR="00BF51D9" w:rsidRPr="00374247">
          <w:rPr>
            <w:color w:val="auto"/>
            <w:szCs w:val="24"/>
          </w:rPr>
          <w:fldChar w:fldCharType="end"/>
        </w:r>
        <w:r w:rsidRPr="00374247">
          <w:rPr>
            <w:color w:val="auto"/>
            <w:szCs w:val="24"/>
          </w:rPr>
          <w:t xml:space="preserve">                                                           </w:t>
        </w:r>
        <w:r w:rsidRPr="00057AE7">
          <w:rPr>
            <w:color w:val="auto"/>
            <w:szCs w:val="24"/>
          </w:rPr>
          <w:t>PD1100</w:t>
        </w:r>
        <w:r>
          <w:rPr>
            <w:color w:val="auto"/>
            <w:szCs w:val="24"/>
          </w:rPr>
          <w:t>890</w:t>
        </w:r>
      </w:p>
    </w:sdtContent>
  </w:sdt>
  <w:p w:rsidR="00611E83" w:rsidRPr="00684CE6" w:rsidRDefault="00611E8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3C" w:rsidRDefault="008B4C3C">
      <w:r>
        <w:separator/>
      </w:r>
    </w:p>
  </w:footnote>
  <w:footnote w:type="continuationSeparator" w:id="0">
    <w:p w:rsidR="008B4C3C" w:rsidRDefault="008B4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4DF"/>
    <w:rsid w:val="0003009B"/>
    <w:rsid w:val="00030776"/>
    <w:rsid w:val="00032E07"/>
    <w:rsid w:val="000332CA"/>
    <w:rsid w:val="0003374E"/>
    <w:rsid w:val="00033B9A"/>
    <w:rsid w:val="000344D8"/>
    <w:rsid w:val="000344E6"/>
    <w:rsid w:val="00034A9D"/>
    <w:rsid w:val="00035C3A"/>
    <w:rsid w:val="00036E4B"/>
    <w:rsid w:val="00037929"/>
    <w:rsid w:val="000379D0"/>
    <w:rsid w:val="00040FC4"/>
    <w:rsid w:val="000416F8"/>
    <w:rsid w:val="00042C26"/>
    <w:rsid w:val="00043382"/>
    <w:rsid w:val="00043EFA"/>
    <w:rsid w:val="00044623"/>
    <w:rsid w:val="000452D7"/>
    <w:rsid w:val="000510D4"/>
    <w:rsid w:val="00051622"/>
    <w:rsid w:val="00051A11"/>
    <w:rsid w:val="00052234"/>
    <w:rsid w:val="00053D7C"/>
    <w:rsid w:val="000575C5"/>
    <w:rsid w:val="000577C9"/>
    <w:rsid w:val="00057AE7"/>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5CD"/>
    <w:rsid w:val="000949DD"/>
    <w:rsid w:val="00094E4F"/>
    <w:rsid w:val="000A078C"/>
    <w:rsid w:val="000A2BCE"/>
    <w:rsid w:val="000A31E2"/>
    <w:rsid w:val="000A33C8"/>
    <w:rsid w:val="000A3A08"/>
    <w:rsid w:val="000A41E3"/>
    <w:rsid w:val="000A4BBA"/>
    <w:rsid w:val="000A5071"/>
    <w:rsid w:val="000B0172"/>
    <w:rsid w:val="000B0AD2"/>
    <w:rsid w:val="000B1022"/>
    <w:rsid w:val="000B2FB8"/>
    <w:rsid w:val="000B471C"/>
    <w:rsid w:val="000B4C99"/>
    <w:rsid w:val="000B7917"/>
    <w:rsid w:val="000C06F6"/>
    <w:rsid w:val="000C15F8"/>
    <w:rsid w:val="000C1D34"/>
    <w:rsid w:val="000C2362"/>
    <w:rsid w:val="000C2FA8"/>
    <w:rsid w:val="000C3C13"/>
    <w:rsid w:val="000C4D5F"/>
    <w:rsid w:val="000C53F9"/>
    <w:rsid w:val="000C5581"/>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12F"/>
    <w:rsid w:val="000D6457"/>
    <w:rsid w:val="000D7D55"/>
    <w:rsid w:val="000E0993"/>
    <w:rsid w:val="000E2E50"/>
    <w:rsid w:val="000E37E0"/>
    <w:rsid w:val="000E3F20"/>
    <w:rsid w:val="000E4C25"/>
    <w:rsid w:val="000E4CBF"/>
    <w:rsid w:val="000E5577"/>
    <w:rsid w:val="000E681A"/>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10E"/>
    <w:rsid w:val="00136204"/>
    <w:rsid w:val="001364D1"/>
    <w:rsid w:val="001374C7"/>
    <w:rsid w:val="00137D83"/>
    <w:rsid w:val="00140FA4"/>
    <w:rsid w:val="00141BC9"/>
    <w:rsid w:val="001421FD"/>
    <w:rsid w:val="001425C8"/>
    <w:rsid w:val="00142EBA"/>
    <w:rsid w:val="00143B79"/>
    <w:rsid w:val="00145965"/>
    <w:rsid w:val="00150B8A"/>
    <w:rsid w:val="00150DCB"/>
    <w:rsid w:val="00151912"/>
    <w:rsid w:val="00151C2B"/>
    <w:rsid w:val="00153740"/>
    <w:rsid w:val="001537D8"/>
    <w:rsid w:val="00153D88"/>
    <w:rsid w:val="001541C5"/>
    <w:rsid w:val="0015623F"/>
    <w:rsid w:val="00156585"/>
    <w:rsid w:val="00156BA9"/>
    <w:rsid w:val="00161642"/>
    <w:rsid w:val="00161761"/>
    <w:rsid w:val="00166182"/>
    <w:rsid w:val="00167DA0"/>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44C0"/>
    <w:rsid w:val="001A5320"/>
    <w:rsid w:val="001A5E62"/>
    <w:rsid w:val="001A6848"/>
    <w:rsid w:val="001A6CE1"/>
    <w:rsid w:val="001A7538"/>
    <w:rsid w:val="001B06FB"/>
    <w:rsid w:val="001B0ACE"/>
    <w:rsid w:val="001B0B1A"/>
    <w:rsid w:val="001B20E6"/>
    <w:rsid w:val="001B2C21"/>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4F0"/>
    <w:rsid w:val="001D26E1"/>
    <w:rsid w:val="001D31AA"/>
    <w:rsid w:val="001D37B9"/>
    <w:rsid w:val="001D3DC0"/>
    <w:rsid w:val="001D4F88"/>
    <w:rsid w:val="001D5D4F"/>
    <w:rsid w:val="001D64F3"/>
    <w:rsid w:val="001D68CF"/>
    <w:rsid w:val="001D6A8C"/>
    <w:rsid w:val="001D7A56"/>
    <w:rsid w:val="001E08C0"/>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C45"/>
    <w:rsid w:val="00220F5C"/>
    <w:rsid w:val="00220FA9"/>
    <w:rsid w:val="002216BF"/>
    <w:rsid w:val="00221B9B"/>
    <w:rsid w:val="00222268"/>
    <w:rsid w:val="00225080"/>
    <w:rsid w:val="00225196"/>
    <w:rsid w:val="00225CB4"/>
    <w:rsid w:val="00226B1A"/>
    <w:rsid w:val="00227F0B"/>
    <w:rsid w:val="0023049F"/>
    <w:rsid w:val="002310C3"/>
    <w:rsid w:val="002312AD"/>
    <w:rsid w:val="002316F6"/>
    <w:rsid w:val="00232C9B"/>
    <w:rsid w:val="00232E73"/>
    <w:rsid w:val="00232F09"/>
    <w:rsid w:val="002335D5"/>
    <w:rsid w:val="002338CA"/>
    <w:rsid w:val="00233FE5"/>
    <w:rsid w:val="002340C1"/>
    <w:rsid w:val="00234B3B"/>
    <w:rsid w:val="00234D98"/>
    <w:rsid w:val="00235AD0"/>
    <w:rsid w:val="00236018"/>
    <w:rsid w:val="002374C9"/>
    <w:rsid w:val="0024162D"/>
    <w:rsid w:val="0024174E"/>
    <w:rsid w:val="00242238"/>
    <w:rsid w:val="0024227D"/>
    <w:rsid w:val="00242D14"/>
    <w:rsid w:val="002432F4"/>
    <w:rsid w:val="00243B4B"/>
    <w:rsid w:val="00246042"/>
    <w:rsid w:val="00246860"/>
    <w:rsid w:val="002468D9"/>
    <w:rsid w:val="00246995"/>
    <w:rsid w:val="00246DFF"/>
    <w:rsid w:val="00246E89"/>
    <w:rsid w:val="00247430"/>
    <w:rsid w:val="0025183C"/>
    <w:rsid w:val="00252351"/>
    <w:rsid w:val="002528EC"/>
    <w:rsid w:val="00253EAA"/>
    <w:rsid w:val="00255049"/>
    <w:rsid w:val="00255B3E"/>
    <w:rsid w:val="00256F02"/>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373"/>
    <w:rsid w:val="002F6AD8"/>
    <w:rsid w:val="002F7B9F"/>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257"/>
    <w:rsid w:val="003224D8"/>
    <w:rsid w:val="00323A90"/>
    <w:rsid w:val="00323E70"/>
    <w:rsid w:val="003245D8"/>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021"/>
    <w:rsid w:val="00341A54"/>
    <w:rsid w:val="00344A4F"/>
    <w:rsid w:val="00344D17"/>
    <w:rsid w:val="00346384"/>
    <w:rsid w:val="0034669F"/>
    <w:rsid w:val="003470C4"/>
    <w:rsid w:val="00351498"/>
    <w:rsid w:val="00352B22"/>
    <w:rsid w:val="00352CBF"/>
    <w:rsid w:val="00354547"/>
    <w:rsid w:val="003549F5"/>
    <w:rsid w:val="00354BFA"/>
    <w:rsid w:val="00355ACB"/>
    <w:rsid w:val="003567DE"/>
    <w:rsid w:val="003574F3"/>
    <w:rsid w:val="00357831"/>
    <w:rsid w:val="003604A5"/>
    <w:rsid w:val="0036114B"/>
    <w:rsid w:val="003618B6"/>
    <w:rsid w:val="0036199A"/>
    <w:rsid w:val="003620C8"/>
    <w:rsid w:val="0036319E"/>
    <w:rsid w:val="003632A4"/>
    <w:rsid w:val="00363362"/>
    <w:rsid w:val="00363664"/>
    <w:rsid w:val="0036392A"/>
    <w:rsid w:val="00364CAB"/>
    <w:rsid w:val="00365767"/>
    <w:rsid w:val="003659C0"/>
    <w:rsid w:val="003660DF"/>
    <w:rsid w:val="003679E4"/>
    <w:rsid w:val="00367D4F"/>
    <w:rsid w:val="00370743"/>
    <w:rsid w:val="00370EF5"/>
    <w:rsid w:val="0037135B"/>
    <w:rsid w:val="003718CD"/>
    <w:rsid w:val="00372251"/>
    <w:rsid w:val="00372B82"/>
    <w:rsid w:val="00373F64"/>
    <w:rsid w:val="00374247"/>
    <w:rsid w:val="00374EA1"/>
    <w:rsid w:val="0037520D"/>
    <w:rsid w:val="00375724"/>
    <w:rsid w:val="00375809"/>
    <w:rsid w:val="00375CF1"/>
    <w:rsid w:val="0037628C"/>
    <w:rsid w:val="00376A07"/>
    <w:rsid w:val="00376B81"/>
    <w:rsid w:val="00376E08"/>
    <w:rsid w:val="00377BD2"/>
    <w:rsid w:val="00380493"/>
    <w:rsid w:val="00380FD4"/>
    <w:rsid w:val="00381E16"/>
    <w:rsid w:val="003821E1"/>
    <w:rsid w:val="003840F6"/>
    <w:rsid w:val="00384866"/>
    <w:rsid w:val="003851BA"/>
    <w:rsid w:val="003857D4"/>
    <w:rsid w:val="00385D6F"/>
    <w:rsid w:val="00386D43"/>
    <w:rsid w:val="00386E61"/>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D9A"/>
    <w:rsid w:val="003B2E52"/>
    <w:rsid w:val="003B3A77"/>
    <w:rsid w:val="003B4319"/>
    <w:rsid w:val="003B5854"/>
    <w:rsid w:val="003B6764"/>
    <w:rsid w:val="003B7A8B"/>
    <w:rsid w:val="003B7F1E"/>
    <w:rsid w:val="003C247E"/>
    <w:rsid w:val="003C294B"/>
    <w:rsid w:val="003C5046"/>
    <w:rsid w:val="003C5B54"/>
    <w:rsid w:val="003C6068"/>
    <w:rsid w:val="003C7AEC"/>
    <w:rsid w:val="003D26FB"/>
    <w:rsid w:val="003D2BA3"/>
    <w:rsid w:val="003D316B"/>
    <w:rsid w:val="003D3C22"/>
    <w:rsid w:val="003D4646"/>
    <w:rsid w:val="003D56A0"/>
    <w:rsid w:val="003D609F"/>
    <w:rsid w:val="003D69F5"/>
    <w:rsid w:val="003D7089"/>
    <w:rsid w:val="003D7DDB"/>
    <w:rsid w:val="003E024F"/>
    <w:rsid w:val="003E02C7"/>
    <w:rsid w:val="003E0543"/>
    <w:rsid w:val="003E061D"/>
    <w:rsid w:val="003E0B5A"/>
    <w:rsid w:val="003E1682"/>
    <w:rsid w:val="003E1B3F"/>
    <w:rsid w:val="003E31E3"/>
    <w:rsid w:val="003E3E93"/>
    <w:rsid w:val="003E46D1"/>
    <w:rsid w:val="003E5850"/>
    <w:rsid w:val="003E6214"/>
    <w:rsid w:val="003F070E"/>
    <w:rsid w:val="003F1206"/>
    <w:rsid w:val="003F2418"/>
    <w:rsid w:val="003F28DB"/>
    <w:rsid w:val="003F2EEE"/>
    <w:rsid w:val="003F31F9"/>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0B1F"/>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32A4"/>
    <w:rsid w:val="00424612"/>
    <w:rsid w:val="0042528C"/>
    <w:rsid w:val="00425672"/>
    <w:rsid w:val="00425A6A"/>
    <w:rsid w:val="00426A23"/>
    <w:rsid w:val="00427C7F"/>
    <w:rsid w:val="00427F54"/>
    <w:rsid w:val="00430C32"/>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25D"/>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539"/>
    <w:rsid w:val="004C5E33"/>
    <w:rsid w:val="004C60A3"/>
    <w:rsid w:val="004C6CDA"/>
    <w:rsid w:val="004D10D4"/>
    <w:rsid w:val="004D16BD"/>
    <w:rsid w:val="004D2AAB"/>
    <w:rsid w:val="004D3C7F"/>
    <w:rsid w:val="004D42CB"/>
    <w:rsid w:val="004D6C10"/>
    <w:rsid w:val="004D6E90"/>
    <w:rsid w:val="004D6F2B"/>
    <w:rsid w:val="004E0248"/>
    <w:rsid w:val="004E05B4"/>
    <w:rsid w:val="004E11C3"/>
    <w:rsid w:val="004E21A3"/>
    <w:rsid w:val="004E32EA"/>
    <w:rsid w:val="004E3517"/>
    <w:rsid w:val="004E6866"/>
    <w:rsid w:val="004F0C58"/>
    <w:rsid w:val="004F3222"/>
    <w:rsid w:val="004F3639"/>
    <w:rsid w:val="004F3BFA"/>
    <w:rsid w:val="004F4E3C"/>
    <w:rsid w:val="004F5A1A"/>
    <w:rsid w:val="004F732E"/>
    <w:rsid w:val="004F77A3"/>
    <w:rsid w:val="005000AB"/>
    <w:rsid w:val="00500931"/>
    <w:rsid w:val="00500EAF"/>
    <w:rsid w:val="00500F3C"/>
    <w:rsid w:val="005025EE"/>
    <w:rsid w:val="005027AF"/>
    <w:rsid w:val="00503401"/>
    <w:rsid w:val="00503DDF"/>
    <w:rsid w:val="00505524"/>
    <w:rsid w:val="005058D5"/>
    <w:rsid w:val="00506688"/>
    <w:rsid w:val="00506D5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3E8D"/>
    <w:rsid w:val="00534499"/>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A7E"/>
    <w:rsid w:val="00573D34"/>
    <w:rsid w:val="00574A1B"/>
    <w:rsid w:val="00575963"/>
    <w:rsid w:val="00575EBE"/>
    <w:rsid w:val="0058039C"/>
    <w:rsid w:val="00580A63"/>
    <w:rsid w:val="00583379"/>
    <w:rsid w:val="0058417C"/>
    <w:rsid w:val="005854F9"/>
    <w:rsid w:val="005857E3"/>
    <w:rsid w:val="00586EC6"/>
    <w:rsid w:val="00587DDE"/>
    <w:rsid w:val="00591A11"/>
    <w:rsid w:val="00593043"/>
    <w:rsid w:val="00595B60"/>
    <w:rsid w:val="00595B63"/>
    <w:rsid w:val="00595BF0"/>
    <w:rsid w:val="005968F8"/>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909"/>
    <w:rsid w:val="005F55F5"/>
    <w:rsid w:val="005F5EC1"/>
    <w:rsid w:val="005F67A9"/>
    <w:rsid w:val="005F6B6D"/>
    <w:rsid w:val="005F73CA"/>
    <w:rsid w:val="006008F8"/>
    <w:rsid w:val="006013CC"/>
    <w:rsid w:val="006036C2"/>
    <w:rsid w:val="006049BB"/>
    <w:rsid w:val="00605AAB"/>
    <w:rsid w:val="00606BEB"/>
    <w:rsid w:val="0061014A"/>
    <w:rsid w:val="0061054B"/>
    <w:rsid w:val="006110FB"/>
    <w:rsid w:val="00611E83"/>
    <w:rsid w:val="00612FB0"/>
    <w:rsid w:val="0061356D"/>
    <w:rsid w:val="00613E26"/>
    <w:rsid w:val="00615641"/>
    <w:rsid w:val="00615A66"/>
    <w:rsid w:val="00616959"/>
    <w:rsid w:val="00617E4F"/>
    <w:rsid w:val="0062036E"/>
    <w:rsid w:val="006211D0"/>
    <w:rsid w:val="00621595"/>
    <w:rsid w:val="0062359D"/>
    <w:rsid w:val="00623634"/>
    <w:rsid w:val="0062484B"/>
    <w:rsid w:val="00624D0C"/>
    <w:rsid w:val="00626A0F"/>
    <w:rsid w:val="006274B4"/>
    <w:rsid w:val="0063013D"/>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F2B"/>
    <w:rsid w:val="00645046"/>
    <w:rsid w:val="0064527A"/>
    <w:rsid w:val="006458FD"/>
    <w:rsid w:val="00645DE8"/>
    <w:rsid w:val="00645EA2"/>
    <w:rsid w:val="00645F82"/>
    <w:rsid w:val="006470F3"/>
    <w:rsid w:val="00651E6D"/>
    <w:rsid w:val="0065237D"/>
    <w:rsid w:val="00652943"/>
    <w:rsid w:val="00652F69"/>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0DC"/>
    <w:rsid w:val="00664427"/>
    <w:rsid w:val="00664840"/>
    <w:rsid w:val="006649CD"/>
    <w:rsid w:val="00665D75"/>
    <w:rsid w:val="006708E3"/>
    <w:rsid w:val="00670DDC"/>
    <w:rsid w:val="00671389"/>
    <w:rsid w:val="00671EB4"/>
    <w:rsid w:val="00673CDC"/>
    <w:rsid w:val="0067443B"/>
    <w:rsid w:val="00676CDE"/>
    <w:rsid w:val="006770AA"/>
    <w:rsid w:val="0068098E"/>
    <w:rsid w:val="006810BD"/>
    <w:rsid w:val="00682486"/>
    <w:rsid w:val="006833A7"/>
    <w:rsid w:val="00684CE6"/>
    <w:rsid w:val="00684E2B"/>
    <w:rsid w:val="006857A0"/>
    <w:rsid w:val="00687C7E"/>
    <w:rsid w:val="00687D3D"/>
    <w:rsid w:val="00690569"/>
    <w:rsid w:val="00690FDA"/>
    <w:rsid w:val="00691A40"/>
    <w:rsid w:val="00691E61"/>
    <w:rsid w:val="006937C6"/>
    <w:rsid w:val="00693C5E"/>
    <w:rsid w:val="00693CEE"/>
    <w:rsid w:val="00694EEA"/>
    <w:rsid w:val="006955B4"/>
    <w:rsid w:val="00695DEF"/>
    <w:rsid w:val="00695F68"/>
    <w:rsid w:val="00696476"/>
    <w:rsid w:val="00696C74"/>
    <w:rsid w:val="00697C9B"/>
    <w:rsid w:val="006A10FA"/>
    <w:rsid w:val="006A12E0"/>
    <w:rsid w:val="006A14AD"/>
    <w:rsid w:val="006A40E6"/>
    <w:rsid w:val="006A516B"/>
    <w:rsid w:val="006A5362"/>
    <w:rsid w:val="006A543A"/>
    <w:rsid w:val="006A5C07"/>
    <w:rsid w:val="006A75FA"/>
    <w:rsid w:val="006B07D5"/>
    <w:rsid w:val="006B1309"/>
    <w:rsid w:val="006B31E6"/>
    <w:rsid w:val="006B3474"/>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B65"/>
    <w:rsid w:val="006E2DC8"/>
    <w:rsid w:val="006E3D9E"/>
    <w:rsid w:val="006E58CB"/>
    <w:rsid w:val="006E6B68"/>
    <w:rsid w:val="006E7356"/>
    <w:rsid w:val="006E77C8"/>
    <w:rsid w:val="006F0F9C"/>
    <w:rsid w:val="006F149D"/>
    <w:rsid w:val="006F1A46"/>
    <w:rsid w:val="006F2E91"/>
    <w:rsid w:val="006F400B"/>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A62"/>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2A48"/>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39F6"/>
    <w:rsid w:val="0076100C"/>
    <w:rsid w:val="007612A5"/>
    <w:rsid w:val="00763CAE"/>
    <w:rsid w:val="00763F95"/>
    <w:rsid w:val="007651ED"/>
    <w:rsid w:val="00766C87"/>
    <w:rsid w:val="00767AE9"/>
    <w:rsid w:val="00771043"/>
    <w:rsid w:val="0077272B"/>
    <w:rsid w:val="00773AF7"/>
    <w:rsid w:val="00774FFD"/>
    <w:rsid w:val="00780378"/>
    <w:rsid w:val="0078085E"/>
    <w:rsid w:val="00781BD4"/>
    <w:rsid w:val="00782562"/>
    <w:rsid w:val="007828B4"/>
    <w:rsid w:val="00784832"/>
    <w:rsid w:val="00784EA0"/>
    <w:rsid w:val="00785D77"/>
    <w:rsid w:val="00786111"/>
    <w:rsid w:val="007868CC"/>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AF9"/>
    <w:rsid w:val="007E3883"/>
    <w:rsid w:val="007E4876"/>
    <w:rsid w:val="007E48CD"/>
    <w:rsid w:val="007E4ACB"/>
    <w:rsid w:val="007E4FBB"/>
    <w:rsid w:val="007E55BF"/>
    <w:rsid w:val="007E59E3"/>
    <w:rsid w:val="007E5E39"/>
    <w:rsid w:val="007E6D0E"/>
    <w:rsid w:val="007E71B1"/>
    <w:rsid w:val="007E7B4E"/>
    <w:rsid w:val="007E7F02"/>
    <w:rsid w:val="007F0292"/>
    <w:rsid w:val="007F0722"/>
    <w:rsid w:val="007F0AB7"/>
    <w:rsid w:val="007F0CE2"/>
    <w:rsid w:val="007F0EFF"/>
    <w:rsid w:val="007F1375"/>
    <w:rsid w:val="007F1AFD"/>
    <w:rsid w:val="007F30E4"/>
    <w:rsid w:val="007F3470"/>
    <w:rsid w:val="007F53AA"/>
    <w:rsid w:val="007F6500"/>
    <w:rsid w:val="0080064F"/>
    <w:rsid w:val="00801B85"/>
    <w:rsid w:val="00803850"/>
    <w:rsid w:val="008039E8"/>
    <w:rsid w:val="00804385"/>
    <w:rsid w:val="00804E0E"/>
    <w:rsid w:val="008051EB"/>
    <w:rsid w:val="0080588E"/>
    <w:rsid w:val="00805AFD"/>
    <w:rsid w:val="00806397"/>
    <w:rsid w:val="00806F20"/>
    <w:rsid w:val="008078D8"/>
    <w:rsid w:val="0080798E"/>
    <w:rsid w:val="00811BD9"/>
    <w:rsid w:val="00811D5B"/>
    <w:rsid w:val="00813C51"/>
    <w:rsid w:val="00816CCB"/>
    <w:rsid w:val="00817572"/>
    <w:rsid w:val="00817713"/>
    <w:rsid w:val="008208C3"/>
    <w:rsid w:val="00820AE9"/>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41"/>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07F"/>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5752"/>
    <w:rsid w:val="00896535"/>
    <w:rsid w:val="00896683"/>
    <w:rsid w:val="00896E71"/>
    <w:rsid w:val="0089750B"/>
    <w:rsid w:val="00897589"/>
    <w:rsid w:val="008A0C99"/>
    <w:rsid w:val="008A0D4F"/>
    <w:rsid w:val="008A1CC3"/>
    <w:rsid w:val="008A39D7"/>
    <w:rsid w:val="008A52BC"/>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C3C"/>
    <w:rsid w:val="008B515D"/>
    <w:rsid w:val="008B5D31"/>
    <w:rsid w:val="008B6705"/>
    <w:rsid w:val="008C1930"/>
    <w:rsid w:val="008C22F3"/>
    <w:rsid w:val="008C3223"/>
    <w:rsid w:val="008C3FD0"/>
    <w:rsid w:val="008C4F01"/>
    <w:rsid w:val="008C5152"/>
    <w:rsid w:val="008C710E"/>
    <w:rsid w:val="008D1484"/>
    <w:rsid w:val="008D29E7"/>
    <w:rsid w:val="008D3E20"/>
    <w:rsid w:val="008D5104"/>
    <w:rsid w:val="008D5F4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31A"/>
    <w:rsid w:val="008F3A7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4A4"/>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6474"/>
    <w:rsid w:val="009576BC"/>
    <w:rsid w:val="00957899"/>
    <w:rsid w:val="00957927"/>
    <w:rsid w:val="00957A3C"/>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211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7C2"/>
    <w:rsid w:val="009C3F82"/>
    <w:rsid w:val="009C4755"/>
    <w:rsid w:val="009C582A"/>
    <w:rsid w:val="009C5C56"/>
    <w:rsid w:val="009C72DD"/>
    <w:rsid w:val="009C78FD"/>
    <w:rsid w:val="009C7DF5"/>
    <w:rsid w:val="009D056C"/>
    <w:rsid w:val="009D060F"/>
    <w:rsid w:val="009D1ADE"/>
    <w:rsid w:val="009D297C"/>
    <w:rsid w:val="009D3652"/>
    <w:rsid w:val="009D37CA"/>
    <w:rsid w:val="009D4229"/>
    <w:rsid w:val="009D4268"/>
    <w:rsid w:val="009D44C0"/>
    <w:rsid w:val="009D5A48"/>
    <w:rsid w:val="009D5DE9"/>
    <w:rsid w:val="009E09D0"/>
    <w:rsid w:val="009E1181"/>
    <w:rsid w:val="009E1283"/>
    <w:rsid w:val="009E3A7F"/>
    <w:rsid w:val="009E4C9B"/>
    <w:rsid w:val="009E4DFC"/>
    <w:rsid w:val="009E56A8"/>
    <w:rsid w:val="009E5789"/>
    <w:rsid w:val="009E57B1"/>
    <w:rsid w:val="009E6379"/>
    <w:rsid w:val="009F020F"/>
    <w:rsid w:val="009F15D1"/>
    <w:rsid w:val="009F3B63"/>
    <w:rsid w:val="009F43E2"/>
    <w:rsid w:val="009F6292"/>
    <w:rsid w:val="009F7809"/>
    <w:rsid w:val="009F7822"/>
    <w:rsid w:val="009F7AF5"/>
    <w:rsid w:val="00A00613"/>
    <w:rsid w:val="00A006F1"/>
    <w:rsid w:val="00A007A7"/>
    <w:rsid w:val="00A00864"/>
    <w:rsid w:val="00A00D14"/>
    <w:rsid w:val="00A01408"/>
    <w:rsid w:val="00A02457"/>
    <w:rsid w:val="00A02AA8"/>
    <w:rsid w:val="00A03190"/>
    <w:rsid w:val="00A03A9E"/>
    <w:rsid w:val="00A0404B"/>
    <w:rsid w:val="00A0486C"/>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4BBB"/>
    <w:rsid w:val="00A36EEE"/>
    <w:rsid w:val="00A377A7"/>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0B"/>
    <w:rsid w:val="00A96559"/>
    <w:rsid w:val="00A96597"/>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4BB"/>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B54"/>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CAD"/>
    <w:rsid w:val="00B14FAA"/>
    <w:rsid w:val="00B15BED"/>
    <w:rsid w:val="00B15D30"/>
    <w:rsid w:val="00B15F09"/>
    <w:rsid w:val="00B16D18"/>
    <w:rsid w:val="00B174FA"/>
    <w:rsid w:val="00B177DE"/>
    <w:rsid w:val="00B20624"/>
    <w:rsid w:val="00B212B1"/>
    <w:rsid w:val="00B21F2F"/>
    <w:rsid w:val="00B23436"/>
    <w:rsid w:val="00B237F1"/>
    <w:rsid w:val="00B23F10"/>
    <w:rsid w:val="00B24328"/>
    <w:rsid w:val="00B24ED4"/>
    <w:rsid w:val="00B24F33"/>
    <w:rsid w:val="00B25FE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01F"/>
    <w:rsid w:val="00B427BB"/>
    <w:rsid w:val="00B43BA2"/>
    <w:rsid w:val="00B440E7"/>
    <w:rsid w:val="00B449EE"/>
    <w:rsid w:val="00B454AE"/>
    <w:rsid w:val="00B46D6A"/>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292"/>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1B44"/>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031"/>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60D"/>
    <w:rsid w:val="00BE229C"/>
    <w:rsid w:val="00BE2AB8"/>
    <w:rsid w:val="00BE2FC1"/>
    <w:rsid w:val="00BE3142"/>
    <w:rsid w:val="00BE4039"/>
    <w:rsid w:val="00BE53E2"/>
    <w:rsid w:val="00BE6365"/>
    <w:rsid w:val="00BE7122"/>
    <w:rsid w:val="00BF01B7"/>
    <w:rsid w:val="00BF0B7F"/>
    <w:rsid w:val="00BF0E94"/>
    <w:rsid w:val="00BF2988"/>
    <w:rsid w:val="00BF3FB9"/>
    <w:rsid w:val="00BF4012"/>
    <w:rsid w:val="00BF43A8"/>
    <w:rsid w:val="00BF4720"/>
    <w:rsid w:val="00BF4F49"/>
    <w:rsid w:val="00BF51D9"/>
    <w:rsid w:val="00BF6759"/>
    <w:rsid w:val="00BF70A6"/>
    <w:rsid w:val="00BF7B4F"/>
    <w:rsid w:val="00BF7B63"/>
    <w:rsid w:val="00BF7F3C"/>
    <w:rsid w:val="00BF7F81"/>
    <w:rsid w:val="00C005D4"/>
    <w:rsid w:val="00C0359D"/>
    <w:rsid w:val="00C038EC"/>
    <w:rsid w:val="00C03C21"/>
    <w:rsid w:val="00C056F0"/>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3EC"/>
    <w:rsid w:val="00C16BE4"/>
    <w:rsid w:val="00C16E9F"/>
    <w:rsid w:val="00C1713D"/>
    <w:rsid w:val="00C17523"/>
    <w:rsid w:val="00C177F1"/>
    <w:rsid w:val="00C17EE6"/>
    <w:rsid w:val="00C217F7"/>
    <w:rsid w:val="00C2264D"/>
    <w:rsid w:val="00C2272E"/>
    <w:rsid w:val="00C22F3A"/>
    <w:rsid w:val="00C23311"/>
    <w:rsid w:val="00C24AD9"/>
    <w:rsid w:val="00C25978"/>
    <w:rsid w:val="00C261C6"/>
    <w:rsid w:val="00C26621"/>
    <w:rsid w:val="00C26B27"/>
    <w:rsid w:val="00C26E7C"/>
    <w:rsid w:val="00C276CD"/>
    <w:rsid w:val="00C27827"/>
    <w:rsid w:val="00C308F3"/>
    <w:rsid w:val="00C30A97"/>
    <w:rsid w:val="00C31DDC"/>
    <w:rsid w:val="00C3223A"/>
    <w:rsid w:val="00C324CF"/>
    <w:rsid w:val="00C34168"/>
    <w:rsid w:val="00C34247"/>
    <w:rsid w:val="00C34326"/>
    <w:rsid w:val="00C349B2"/>
    <w:rsid w:val="00C34CEB"/>
    <w:rsid w:val="00C36201"/>
    <w:rsid w:val="00C368E8"/>
    <w:rsid w:val="00C36C3D"/>
    <w:rsid w:val="00C372C7"/>
    <w:rsid w:val="00C376A7"/>
    <w:rsid w:val="00C42443"/>
    <w:rsid w:val="00C42CBA"/>
    <w:rsid w:val="00C4338C"/>
    <w:rsid w:val="00C43C2B"/>
    <w:rsid w:val="00C45B27"/>
    <w:rsid w:val="00C4652E"/>
    <w:rsid w:val="00C46D29"/>
    <w:rsid w:val="00C472C7"/>
    <w:rsid w:val="00C5019E"/>
    <w:rsid w:val="00C50C8C"/>
    <w:rsid w:val="00C51962"/>
    <w:rsid w:val="00C5377C"/>
    <w:rsid w:val="00C53E8A"/>
    <w:rsid w:val="00C54DF3"/>
    <w:rsid w:val="00C560A7"/>
    <w:rsid w:val="00C56FC8"/>
    <w:rsid w:val="00C57931"/>
    <w:rsid w:val="00C60F23"/>
    <w:rsid w:val="00C6170B"/>
    <w:rsid w:val="00C62EB2"/>
    <w:rsid w:val="00C63431"/>
    <w:rsid w:val="00C64C87"/>
    <w:rsid w:val="00C65414"/>
    <w:rsid w:val="00C665FE"/>
    <w:rsid w:val="00C71BEC"/>
    <w:rsid w:val="00C71D01"/>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6BEC"/>
    <w:rsid w:val="00C87BE6"/>
    <w:rsid w:val="00C87F76"/>
    <w:rsid w:val="00C927B8"/>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2AD"/>
    <w:rsid w:val="00CC19B3"/>
    <w:rsid w:val="00CC2044"/>
    <w:rsid w:val="00CC39D2"/>
    <w:rsid w:val="00CC69EC"/>
    <w:rsid w:val="00CC78A2"/>
    <w:rsid w:val="00CC7DF8"/>
    <w:rsid w:val="00CD15BE"/>
    <w:rsid w:val="00CD1EF2"/>
    <w:rsid w:val="00CD32BD"/>
    <w:rsid w:val="00CD34C7"/>
    <w:rsid w:val="00CD5412"/>
    <w:rsid w:val="00CD5653"/>
    <w:rsid w:val="00CD5E6D"/>
    <w:rsid w:val="00CD63C8"/>
    <w:rsid w:val="00CD76F8"/>
    <w:rsid w:val="00CD78A5"/>
    <w:rsid w:val="00CE02E8"/>
    <w:rsid w:val="00CE04B6"/>
    <w:rsid w:val="00CE069E"/>
    <w:rsid w:val="00CE0DE0"/>
    <w:rsid w:val="00CE2CC2"/>
    <w:rsid w:val="00CE3722"/>
    <w:rsid w:val="00CF158D"/>
    <w:rsid w:val="00CF2166"/>
    <w:rsid w:val="00CF4340"/>
    <w:rsid w:val="00CF4394"/>
    <w:rsid w:val="00CF48B4"/>
    <w:rsid w:val="00CF5C12"/>
    <w:rsid w:val="00CF6BB6"/>
    <w:rsid w:val="00CF7B72"/>
    <w:rsid w:val="00D000A9"/>
    <w:rsid w:val="00D00384"/>
    <w:rsid w:val="00D005DB"/>
    <w:rsid w:val="00D0064E"/>
    <w:rsid w:val="00D00981"/>
    <w:rsid w:val="00D02596"/>
    <w:rsid w:val="00D0280D"/>
    <w:rsid w:val="00D02AEF"/>
    <w:rsid w:val="00D03EC9"/>
    <w:rsid w:val="00D05669"/>
    <w:rsid w:val="00D061EB"/>
    <w:rsid w:val="00D06450"/>
    <w:rsid w:val="00D06952"/>
    <w:rsid w:val="00D07A72"/>
    <w:rsid w:val="00D10577"/>
    <w:rsid w:val="00D11EAD"/>
    <w:rsid w:val="00D120C6"/>
    <w:rsid w:val="00D12405"/>
    <w:rsid w:val="00D12A4E"/>
    <w:rsid w:val="00D1323B"/>
    <w:rsid w:val="00D14BAE"/>
    <w:rsid w:val="00D15107"/>
    <w:rsid w:val="00D1648B"/>
    <w:rsid w:val="00D165E5"/>
    <w:rsid w:val="00D16819"/>
    <w:rsid w:val="00D17DD9"/>
    <w:rsid w:val="00D20AC0"/>
    <w:rsid w:val="00D229E7"/>
    <w:rsid w:val="00D2321B"/>
    <w:rsid w:val="00D23350"/>
    <w:rsid w:val="00D237E7"/>
    <w:rsid w:val="00D23DE4"/>
    <w:rsid w:val="00D25A5C"/>
    <w:rsid w:val="00D26873"/>
    <w:rsid w:val="00D27C99"/>
    <w:rsid w:val="00D31683"/>
    <w:rsid w:val="00D323BC"/>
    <w:rsid w:val="00D33452"/>
    <w:rsid w:val="00D336C8"/>
    <w:rsid w:val="00D339E8"/>
    <w:rsid w:val="00D33FDD"/>
    <w:rsid w:val="00D34576"/>
    <w:rsid w:val="00D3654A"/>
    <w:rsid w:val="00D3662E"/>
    <w:rsid w:val="00D373F1"/>
    <w:rsid w:val="00D37567"/>
    <w:rsid w:val="00D40B1F"/>
    <w:rsid w:val="00D40D75"/>
    <w:rsid w:val="00D4250C"/>
    <w:rsid w:val="00D43978"/>
    <w:rsid w:val="00D43CBD"/>
    <w:rsid w:val="00D449F0"/>
    <w:rsid w:val="00D462D7"/>
    <w:rsid w:val="00D46A33"/>
    <w:rsid w:val="00D4792A"/>
    <w:rsid w:val="00D50164"/>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0D6"/>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93"/>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2B07"/>
    <w:rsid w:val="00DC4001"/>
    <w:rsid w:val="00DC41C3"/>
    <w:rsid w:val="00DC4A3C"/>
    <w:rsid w:val="00DC4FA4"/>
    <w:rsid w:val="00DC5B37"/>
    <w:rsid w:val="00DD286D"/>
    <w:rsid w:val="00DD2CAF"/>
    <w:rsid w:val="00DD3593"/>
    <w:rsid w:val="00DD64E0"/>
    <w:rsid w:val="00DD775C"/>
    <w:rsid w:val="00DD7BE0"/>
    <w:rsid w:val="00DE0C67"/>
    <w:rsid w:val="00DE3AAD"/>
    <w:rsid w:val="00DE4623"/>
    <w:rsid w:val="00DE598A"/>
    <w:rsid w:val="00DE624F"/>
    <w:rsid w:val="00DE6306"/>
    <w:rsid w:val="00DE6952"/>
    <w:rsid w:val="00DE6FBE"/>
    <w:rsid w:val="00DE7A7D"/>
    <w:rsid w:val="00DE7E74"/>
    <w:rsid w:val="00DF071B"/>
    <w:rsid w:val="00DF3E07"/>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1510"/>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10"/>
    <w:rsid w:val="00E43F59"/>
    <w:rsid w:val="00E464F0"/>
    <w:rsid w:val="00E46EF3"/>
    <w:rsid w:val="00E47370"/>
    <w:rsid w:val="00E473E9"/>
    <w:rsid w:val="00E47B47"/>
    <w:rsid w:val="00E50BEB"/>
    <w:rsid w:val="00E50DCA"/>
    <w:rsid w:val="00E53460"/>
    <w:rsid w:val="00E54885"/>
    <w:rsid w:val="00E548FA"/>
    <w:rsid w:val="00E54F94"/>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61F"/>
    <w:rsid w:val="00E82B6D"/>
    <w:rsid w:val="00E83187"/>
    <w:rsid w:val="00E831E9"/>
    <w:rsid w:val="00E84DDA"/>
    <w:rsid w:val="00E8608F"/>
    <w:rsid w:val="00E86C1D"/>
    <w:rsid w:val="00E90703"/>
    <w:rsid w:val="00E90A62"/>
    <w:rsid w:val="00E90F1C"/>
    <w:rsid w:val="00E92398"/>
    <w:rsid w:val="00E9265E"/>
    <w:rsid w:val="00E956DB"/>
    <w:rsid w:val="00E9763D"/>
    <w:rsid w:val="00EA1177"/>
    <w:rsid w:val="00EA118B"/>
    <w:rsid w:val="00EA11B6"/>
    <w:rsid w:val="00EA2181"/>
    <w:rsid w:val="00EA29C9"/>
    <w:rsid w:val="00EA2A3B"/>
    <w:rsid w:val="00EA2DD8"/>
    <w:rsid w:val="00EA30FC"/>
    <w:rsid w:val="00EA4475"/>
    <w:rsid w:val="00EA52FE"/>
    <w:rsid w:val="00EA681F"/>
    <w:rsid w:val="00EA6F5D"/>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14E"/>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1A38"/>
    <w:rsid w:val="00EE23DE"/>
    <w:rsid w:val="00EE48BB"/>
    <w:rsid w:val="00EE60BD"/>
    <w:rsid w:val="00EE6FE0"/>
    <w:rsid w:val="00EE704A"/>
    <w:rsid w:val="00EE7840"/>
    <w:rsid w:val="00EE7985"/>
    <w:rsid w:val="00EF02D8"/>
    <w:rsid w:val="00EF2E75"/>
    <w:rsid w:val="00EF32A9"/>
    <w:rsid w:val="00EF4C74"/>
    <w:rsid w:val="00EF5268"/>
    <w:rsid w:val="00EF608E"/>
    <w:rsid w:val="00EF6C4A"/>
    <w:rsid w:val="00F0044B"/>
    <w:rsid w:val="00F00E60"/>
    <w:rsid w:val="00F01A6C"/>
    <w:rsid w:val="00F02F9F"/>
    <w:rsid w:val="00F03525"/>
    <w:rsid w:val="00F039A8"/>
    <w:rsid w:val="00F0424D"/>
    <w:rsid w:val="00F048DB"/>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4ED0"/>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637"/>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1D8A"/>
    <w:rsid w:val="00F82981"/>
    <w:rsid w:val="00F8311F"/>
    <w:rsid w:val="00F83248"/>
    <w:rsid w:val="00F83376"/>
    <w:rsid w:val="00F837D2"/>
    <w:rsid w:val="00F853AE"/>
    <w:rsid w:val="00F908D5"/>
    <w:rsid w:val="00F913B9"/>
    <w:rsid w:val="00F93A9E"/>
    <w:rsid w:val="00F93C74"/>
    <w:rsid w:val="00F93DCC"/>
    <w:rsid w:val="00F9435D"/>
    <w:rsid w:val="00F966F9"/>
    <w:rsid w:val="00F96F61"/>
    <w:rsid w:val="00F97740"/>
    <w:rsid w:val="00FA0C8F"/>
    <w:rsid w:val="00FA2DEF"/>
    <w:rsid w:val="00FA2F7B"/>
    <w:rsid w:val="00FA3C90"/>
    <w:rsid w:val="00FA3C97"/>
    <w:rsid w:val="00FA3D30"/>
    <w:rsid w:val="00FA3FA0"/>
    <w:rsid w:val="00FA4B49"/>
    <w:rsid w:val="00FA54F8"/>
    <w:rsid w:val="00FA78C8"/>
    <w:rsid w:val="00FA7A2F"/>
    <w:rsid w:val="00FB09FE"/>
    <w:rsid w:val="00FB0D45"/>
    <w:rsid w:val="00FB0E80"/>
    <w:rsid w:val="00FB101D"/>
    <w:rsid w:val="00FB1725"/>
    <w:rsid w:val="00FB2493"/>
    <w:rsid w:val="00FB33B5"/>
    <w:rsid w:val="00FB42B7"/>
    <w:rsid w:val="00FB4484"/>
    <w:rsid w:val="00FB593A"/>
    <w:rsid w:val="00FB6410"/>
    <w:rsid w:val="00FB6E82"/>
    <w:rsid w:val="00FB792E"/>
    <w:rsid w:val="00FB7CF0"/>
    <w:rsid w:val="00FC0042"/>
    <w:rsid w:val="00FC1E67"/>
    <w:rsid w:val="00FC2A13"/>
    <w:rsid w:val="00FC4284"/>
    <w:rsid w:val="00FC4576"/>
    <w:rsid w:val="00FC4B2C"/>
    <w:rsid w:val="00FC5FF5"/>
    <w:rsid w:val="00FC6285"/>
    <w:rsid w:val="00FC73BB"/>
    <w:rsid w:val="00FC78FB"/>
    <w:rsid w:val="00FC7DBC"/>
    <w:rsid w:val="00FD076A"/>
    <w:rsid w:val="00FD0AA0"/>
    <w:rsid w:val="00FD1D5A"/>
    <w:rsid w:val="00FD5059"/>
    <w:rsid w:val="00FD554D"/>
    <w:rsid w:val="00FD588D"/>
    <w:rsid w:val="00FD5BCC"/>
    <w:rsid w:val="00FD752D"/>
    <w:rsid w:val="00FD7B23"/>
    <w:rsid w:val="00FE2A48"/>
    <w:rsid w:val="00FE2DEF"/>
    <w:rsid w:val="00FE323C"/>
    <w:rsid w:val="00FE3A27"/>
    <w:rsid w:val="00FE3A45"/>
    <w:rsid w:val="00FE5D0A"/>
    <w:rsid w:val="00FE6469"/>
    <w:rsid w:val="00FE7C6D"/>
    <w:rsid w:val="00FF05D0"/>
    <w:rsid w:val="00FF06CE"/>
    <w:rsid w:val="00FF0DC2"/>
    <w:rsid w:val="00FF0FA0"/>
    <w:rsid w:val="00FF0FF7"/>
    <w:rsid w:val="00FF1022"/>
    <w:rsid w:val="00FF10A2"/>
    <w:rsid w:val="00FF1438"/>
    <w:rsid w:val="00FF2DBC"/>
    <w:rsid w:val="00FF3A38"/>
    <w:rsid w:val="00FF3C25"/>
    <w:rsid w:val="00FF4129"/>
    <w:rsid w:val="00FF44F7"/>
    <w:rsid w:val="00FF4810"/>
    <w:rsid w:val="00FF4C90"/>
    <w:rsid w:val="00FF570D"/>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Title">
    <w:name w:val="Title"/>
    <w:basedOn w:val="Normal"/>
    <w:link w:val="TitleChar"/>
    <w:qFormat/>
    <w:rsid w:val="003B2D9A"/>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3B2D9A"/>
    <w:rPr>
      <w:rFonts w:ascii="Verdana" w:hAnsi="Verdana" w:cs="Times New Roman"/>
      <w:b/>
      <w:bCs/>
      <w:color w:val="800000"/>
      <w:szCs w:val="24"/>
    </w:rPr>
  </w:style>
  <w:style w:type="character" w:customStyle="1" w:styleId="HeaderChar">
    <w:name w:val="Header Char"/>
    <w:basedOn w:val="DefaultParagraphFont"/>
    <w:link w:val="Header"/>
    <w:uiPriority w:val="99"/>
    <w:rsid w:val="006B3474"/>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12258685">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B6B2-A959-47B0-AB1D-5835BB69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3432</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2012-07-10T14:27:00Z</cp:lastPrinted>
  <dcterms:created xsi:type="dcterms:W3CDTF">2012-07-31T19:08:00Z</dcterms:created>
  <dcterms:modified xsi:type="dcterms:W3CDTF">2012-07-31T19:08:00Z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