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410DAD" w:rsidRPr="008E68C4" w:rsidRDefault="00410DAD" w:rsidP="00410DAD">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2212DA">
        <w:rPr>
          <w:caps/>
          <w:color w:val="000000" w:themeColor="text1"/>
        </w:rPr>
        <w:t>XXXXXXXXXXXXXXXXX</w:t>
      </w:r>
      <w:r w:rsidRPr="001F29F9">
        <w:rPr>
          <w:caps/>
          <w:color w:val="000000" w:themeColor="text1"/>
        </w:rPr>
        <w:t xml:space="preserve">                </w:t>
      </w:r>
      <w:r>
        <w:rPr>
          <w:caps/>
          <w:color w:val="000000" w:themeColor="text1"/>
        </w:rPr>
        <w:tab/>
      </w:r>
      <w:r>
        <w:rPr>
          <w:caps/>
          <w:color w:val="000000" w:themeColor="text1"/>
        </w:rPr>
        <w:tab/>
        <w:t xml:space="preserve">                     </w:t>
      </w:r>
      <w:r w:rsidRPr="001F29F9">
        <w:rPr>
          <w:caps/>
          <w:color w:val="000000" w:themeColor="text1"/>
        </w:rPr>
        <w:t xml:space="preserve">BRANCH OF SERVICE: </w:t>
      </w:r>
      <w:r w:rsidR="00542925">
        <w:rPr>
          <w:caps/>
          <w:color w:val="000000" w:themeColor="text1"/>
        </w:rPr>
        <w:t xml:space="preserve"> </w:t>
      </w:r>
      <w:r w:rsidRPr="008E68C4">
        <w:rPr>
          <w:caps/>
          <w:color w:val="000000" w:themeColor="text1"/>
        </w:rPr>
        <w:t>Army</w:t>
      </w:r>
    </w:p>
    <w:p w:rsidR="0095270D" w:rsidRPr="00410DAD" w:rsidRDefault="00410DAD" w:rsidP="00410DAD">
      <w:pPr>
        <w:tabs>
          <w:tab w:val="left" w:pos="288"/>
          <w:tab w:val="left" w:pos="4166"/>
          <w:tab w:val="left" w:pos="4752"/>
          <w:tab w:val="left" w:pos="5130"/>
          <w:tab w:val="left" w:pos="9270"/>
        </w:tabs>
        <w:jc w:val="both"/>
        <w:rPr>
          <w:caps/>
          <w:color w:val="000000" w:themeColor="text1"/>
        </w:rPr>
      </w:pPr>
      <w:r w:rsidRPr="008E68C4">
        <w:rPr>
          <w:caps/>
          <w:color w:val="000000" w:themeColor="text1"/>
        </w:rPr>
        <w:t>CASE NUMBER:  PD1100871</w:t>
      </w:r>
      <w:r w:rsidR="00DA5611">
        <w:rPr>
          <w:color w:val="000000" w:themeColor="text1"/>
        </w:rPr>
        <w:t xml:space="preserve"> </w:t>
      </w:r>
      <w:r w:rsidR="00DA5611">
        <w:rPr>
          <w:color w:val="000000" w:themeColor="text1"/>
        </w:rPr>
        <w:tab/>
      </w:r>
      <w:r w:rsidR="00DA5611">
        <w:rPr>
          <w:color w:val="000000" w:themeColor="text1"/>
        </w:rPr>
        <w:tab/>
        <w:t xml:space="preserve">                            </w:t>
      </w:r>
      <w:r w:rsidRPr="008E68C4">
        <w:rPr>
          <w:color w:val="000000" w:themeColor="text1"/>
        </w:rPr>
        <w:t>SE</w:t>
      </w:r>
      <w:r w:rsidRPr="001F29F9">
        <w:rPr>
          <w:color w:val="000000" w:themeColor="text1"/>
        </w:rPr>
        <w:t>PARATION DATE:  200</w:t>
      </w:r>
      <w:r>
        <w:rPr>
          <w:color w:val="000000" w:themeColor="text1"/>
        </w:rPr>
        <w:t>50222</w:t>
      </w:r>
    </w:p>
    <w:p w:rsidR="0095270D" w:rsidRDefault="0095270D" w:rsidP="0095270D">
      <w:pPr>
        <w:pBdr>
          <w:bottom w:val="single" w:sz="12" w:space="1" w:color="auto"/>
        </w:pBdr>
        <w:tabs>
          <w:tab w:val="left" w:pos="288"/>
          <w:tab w:val="left" w:pos="4752"/>
        </w:tabs>
        <w:jc w:val="both"/>
        <w:rPr>
          <w:color w:val="000000"/>
        </w:rPr>
      </w:pPr>
      <w:r>
        <w:rPr>
          <w:caps/>
          <w:color w:val="000000"/>
        </w:rPr>
        <w:t>BOARD DATE:  2012</w:t>
      </w:r>
      <w:r w:rsidR="00EA4172">
        <w:rPr>
          <w:caps/>
          <w:color w:val="000000"/>
        </w:rPr>
        <w:t>0816</w:t>
      </w:r>
    </w:p>
    <w:p w:rsidR="006931BC" w:rsidRPr="001F29F9" w:rsidRDefault="006931BC"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410DAD" w:rsidRPr="001F29F9">
        <w:rPr>
          <w:color w:val="000000" w:themeColor="text1"/>
          <w:szCs w:val="24"/>
        </w:rPr>
        <w:t>S</w:t>
      </w:r>
      <w:r w:rsidR="00410DAD">
        <w:rPr>
          <w:color w:val="000000" w:themeColor="text1"/>
          <w:szCs w:val="24"/>
        </w:rPr>
        <w:t>PC</w:t>
      </w:r>
      <w:r w:rsidR="00410DAD" w:rsidRPr="001F29F9">
        <w:rPr>
          <w:color w:val="000000" w:themeColor="text1"/>
          <w:szCs w:val="24"/>
        </w:rPr>
        <w:t>/E-</w:t>
      </w:r>
      <w:r w:rsidR="00410DAD">
        <w:rPr>
          <w:color w:val="000000" w:themeColor="text1"/>
          <w:szCs w:val="24"/>
        </w:rPr>
        <w:t>4</w:t>
      </w:r>
      <w:r w:rsidR="00410DAD" w:rsidRPr="001F29F9">
        <w:rPr>
          <w:color w:val="000000" w:themeColor="text1"/>
          <w:szCs w:val="24"/>
        </w:rPr>
        <w:t xml:space="preserve"> (</w:t>
      </w:r>
      <w:r w:rsidR="00410DAD">
        <w:rPr>
          <w:color w:val="000000" w:themeColor="text1"/>
          <w:szCs w:val="24"/>
        </w:rPr>
        <w:t xml:space="preserve">13M10, </w:t>
      </w:r>
      <w:r w:rsidR="00410DAD" w:rsidRPr="008E68C4">
        <w:rPr>
          <w:color w:val="000000" w:themeColor="text1"/>
          <w:szCs w:val="24"/>
        </w:rPr>
        <w:t>Multiple Launch Rocket System Crewmember</w:t>
      </w:r>
      <w:r w:rsidR="00410DAD" w:rsidRPr="001F29F9">
        <w:rPr>
          <w:color w:val="000000" w:themeColor="text1"/>
          <w:szCs w:val="24"/>
        </w:rPr>
        <w:t>)</w:t>
      </w:r>
      <w:r w:rsidR="00A70270">
        <w:rPr>
          <w:color w:val="000000"/>
        </w:rPr>
        <w:t xml:space="preserve"> </w:t>
      </w:r>
      <w:r w:rsidRPr="001F29F9">
        <w:rPr>
          <w:color w:val="000000"/>
        </w:rPr>
        <w:t xml:space="preserve">medically separated for </w:t>
      </w:r>
      <w:r w:rsidR="00261B7E">
        <w:rPr>
          <w:color w:val="000000"/>
        </w:rPr>
        <w:t xml:space="preserve">a </w:t>
      </w:r>
      <w:r w:rsidR="00410DAD">
        <w:rPr>
          <w:color w:val="000000"/>
        </w:rPr>
        <w:t>bilateral leg</w:t>
      </w:r>
      <w:r w:rsidRPr="001F29F9">
        <w:rPr>
          <w:color w:val="000000"/>
        </w:rPr>
        <w:t xml:space="preserve"> </w:t>
      </w:r>
      <w:r w:rsidR="00261B7E">
        <w:rPr>
          <w:color w:val="000000"/>
        </w:rPr>
        <w:t>condition</w:t>
      </w:r>
      <w:r w:rsidRPr="001F29F9">
        <w:rPr>
          <w:color w:val="000000"/>
        </w:rPr>
        <w:t xml:space="preserve">. </w:t>
      </w:r>
      <w:r w:rsidR="00261B7E">
        <w:rPr>
          <w:color w:val="000000"/>
        </w:rPr>
        <w:t xml:space="preserve"> </w:t>
      </w:r>
      <w:r w:rsidR="00936788">
        <w:rPr>
          <w:color w:val="000000"/>
        </w:rPr>
        <w:t xml:space="preserve">He developed bilateral lower leg pain in 2002 associated with rigorous </w:t>
      </w:r>
      <w:r w:rsidR="00DA5611">
        <w:rPr>
          <w:color w:val="000000"/>
        </w:rPr>
        <w:t>Special Forces</w:t>
      </w:r>
      <w:r w:rsidR="00936788">
        <w:rPr>
          <w:color w:val="000000"/>
        </w:rPr>
        <w:t xml:space="preserve"> training; which was subsequently diagnosed as exertional compartment syndrome.  The pain was persistent and did not respond to a protracted trial of various conserv</w:t>
      </w:r>
      <w:r w:rsidR="003C1A4F">
        <w:rPr>
          <w:color w:val="000000"/>
        </w:rPr>
        <w:t>ative measures;</w:t>
      </w:r>
      <w:r w:rsidR="00936788">
        <w:rPr>
          <w:color w:val="000000"/>
        </w:rPr>
        <w:t xml:space="preserve"> </w:t>
      </w:r>
      <w:r w:rsidR="003C1A4F">
        <w:rPr>
          <w:color w:val="000000"/>
        </w:rPr>
        <w:t>and, surgery was not advised.</w:t>
      </w:r>
      <w:r w:rsidR="00936788">
        <w:rPr>
          <w:color w:val="000000"/>
        </w:rPr>
        <w:t xml:space="preserve">  </w:t>
      </w:r>
      <w:r w:rsidR="003C1A4F">
        <w:rPr>
          <w:color w:val="000000"/>
        </w:rPr>
        <w:t>The condition</w:t>
      </w:r>
      <w:r w:rsidR="00F566B7" w:rsidRPr="00F566B7">
        <w:rPr>
          <w:color w:val="000000"/>
        </w:rPr>
        <w:t xml:space="preserve"> could not be adequately rehabilitated to meet the physical requirements of his Military Occupational Specialty (MOS) or satis</w:t>
      </w:r>
      <w:r w:rsidR="009C12A1">
        <w:rPr>
          <w:color w:val="000000"/>
        </w:rPr>
        <w:t>fy physical fitness standards.</w:t>
      </w:r>
      <w:r w:rsidR="00F566B7" w:rsidRPr="00F566B7">
        <w:rPr>
          <w:color w:val="000000"/>
        </w:rPr>
        <w:t xml:space="preserve"> </w:t>
      </w:r>
      <w:r w:rsidR="009C12A1">
        <w:rPr>
          <w:color w:val="000000"/>
        </w:rPr>
        <w:t xml:space="preserve"> He </w:t>
      </w:r>
      <w:r w:rsidR="00F566B7" w:rsidRPr="00F566B7">
        <w:rPr>
          <w:color w:val="000000"/>
        </w:rPr>
        <w:t xml:space="preserve">was </w:t>
      </w:r>
      <w:r w:rsidR="00271871">
        <w:rPr>
          <w:color w:val="000000"/>
        </w:rPr>
        <w:t>consequently</w:t>
      </w:r>
      <w:r w:rsidR="009C12A1">
        <w:rPr>
          <w:color w:val="000000"/>
        </w:rPr>
        <w:t xml:space="preserve"> </w:t>
      </w:r>
      <w:r w:rsidR="00F566B7" w:rsidRPr="00F566B7">
        <w:rPr>
          <w:color w:val="000000"/>
        </w:rPr>
        <w:t xml:space="preserve">issued a </w:t>
      </w:r>
      <w:r w:rsidR="00F566B7" w:rsidRPr="00D01465">
        <w:rPr>
          <w:color w:val="000000"/>
        </w:rPr>
        <w:t>permanent L3 profile and</w:t>
      </w:r>
      <w:r w:rsidR="009C12A1" w:rsidRPr="00D01465">
        <w:rPr>
          <w:color w:val="000000"/>
        </w:rPr>
        <w:t xml:space="preserve"> </w:t>
      </w:r>
      <w:r w:rsidR="00F566B7" w:rsidRPr="00D01465">
        <w:rPr>
          <w:color w:val="000000"/>
        </w:rPr>
        <w:t>referred for a Medical Evaluation Board (MEB).  The condition</w:t>
      </w:r>
      <w:r w:rsidR="00B63EAE" w:rsidRPr="00D01465">
        <w:rPr>
          <w:color w:val="000000"/>
        </w:rPr>
        <w:t>,</w:t>
      </w:r>
      <w:r w:rsidR="00F566B7" w:rsidRPr="00D01465">
        <w:rPr>
          <w:color w:val="000000"/>
        </w:rPr>
        <w:t xml:space="preserve"> characterized as “</w:t>
      </w:r>
      <w:r w:rsidR="009F11E4" w:rsidRPr="00D01465">
        <w:rPr>
          <w:color w:val="000000" w:themeColor="text1"/>
          <w:szCs w:val="24"/>
        </w:rPr>
        <w:t>bilateral</w:t>
      </w:r>
      <w:r w:rsidR="009F11E4" w:rsidRPr="009F11E4">
        <w:rPr>
          <w:color w:val="000000" w:themeColor="text1"/>
          <w:szCs w:val="24"/>
        </w:rPr>
        <w:t xml:space="preserve"> leg pain secondary to </w:t>
      </w:r>
      <w:proofErr w:type="spellStart"/>
      <w:r w:rsidR="009F11E4" w:rsidRPr="009F11E4">
        <w:rPr>
          <w:color w:val="000000" w:themeColor="text1"/>
          <w:szCs w:val="24"/>
        </w:rPr>
        <w:t>exertional</w:t>
      </w:r>
      <w:proofErr w:type="spellEnd"/>
      <w:r w:rsidR="009F11E4" w:rsidRPr="009F11E4">
        <w:rPr>
          <w:color w:val="000000" w:themeColor="text1"/>
          <w:szCs w:val="24"/>
        </w:rPr>
        <w:t xml:space="preserve"> compartment syndrome</w:t>
      </w:r>
      <w:r w:rsidR="00140533">
        <w:rPr>
          <w:color w:val="000000" w:themeColor="text1"/>
          <w:szCs w:val="24"/>
        </w:rPr>
        <w:t>,</w:t>
      </w:r>
      <w:r w:rsidR="00F566B7" w:rsidRPr="009F11E4">
        <w:rPr>
          <w:color w:val="000000"/>
        </w:rPr>
        <w:t>”</w:t>
      </w:r>
      <w:r w:rsidR="00B63EAE" w:rsidRPr="009F11E4">
        <w:rPr>
          <w:color w:val="000000"/>
        </w:rPr>
        <w:t xml:space="preserve"> </w:t>
      </w:r>
      <w:r w:rsidR="00F566B7" w:rsidRPr="009F11E4">
        <w:rPr>
          <w:color w:val="000000"/>
        </w:rPr>
        <w:t xml:space="preserve">was forwarded to the Physical Evaluation Board (PEB) as medically unacceptable IAW AR 40-501.  </w:t>
      </w:r>
      <w:r w:rsidR="009F11E4" w:rsidRPr="009F11E4">
        <w:rPr>
          <w:color w:val="000000" w:themeColor="text1"/>
          <w:szCs w:val="24"/>
        </w:rPr>
        <w:t xml:space="preserve">Two other conditions, “bilateral knee pain without effusion” and “mild asymptomatic </w:t>
      </w:r>
      <w:proofErr w:type="spellStart"/>
      <w:r w:rsidR="009F11E4" w:rsidRPr="009F11E4">
        <w:rPr>
          <w:color w:val="000000" w:themeColor="text1"/>
          <w:szCs w:val="24"/>
        </w:rPr>
        <w:t>pes</w:t>
      </w:r>
      <w:proofErr w:type="spellEnd"/>
      <w:r w:rsidR="009F11E4" w:rsidRPr="009F11E4">
        <w:rPr>
          <w:color w:val="000000" w:themeColor="text1"/>
          <w:szCs w:val="24"/>
        </w:rPr>
        <w:t xml:space="preserve"> </w:t>
      </w:r>
      <w:proofErr w:type="spellStart"/>
      <w:r w:rsidR="009F11E4" w:rsidRPr="009F11E4">
        <w:rPr>
          <w:color w:val="000000" w:themeColor="text1"/>
          <w:szCs w:val="24"/>
        </w:rPr>
        <w:t>planus</w:t>
      </w:r>
      <w:proofErr w:type="spellEnd"/>
      <w:r w:rsidR="00140533">
        <w:rPr>
          <w:color w:val="000000" w:themeColor="text1"/>
          <w:szCs w:val="24"/>
        </w:rPr>
        <w:t>,</w:t>
      </w:r>
      <w:r w:rsidR="009F11E4" w:rsidRPr="009F11E4">
        <w:rPr>
          <w:color w:val="000000" w:themeColor="text1"/>
          <w:szCs w:val="24"/>
        </w:rPr>
        <w:t xml:space="preserve">” were forwarded by the MEB as meeting retention standards.  </w:t>
      </w:r>
      <w:r w:rsidRPr="009F11E4">
        <w:rPr>
          <w:color w:val="000000"/>
        </w:rPr>
        <w:t xml:space="preserve">The PEB adjudicated the </w:t>
      </w:r>
      <w:r w:rsidR="009F11E4" w:rsidRPr="009F11E4">
        <w:rPr>
          <w:color w:val="000000" w:themeColor="text1"/>
          <w:szCs w:val="24"/>
        </w:rPr>
        <w:t xml:space="preserve">bilateral leg </w:t>
      </w:r>
      <w:r w:rsidR="008530E3" w:rsidRPr="009F11E4">
        <w:rPr>
          <w:color w:val="000000"/>
        </w:rPr>
        <w:t xml:space="preserve">condition as unfitting, rated </w:t>
      </w:r>
      <w:r w:rsidR="009F11E4" w:rsidRPr="009F11E4">
        <w:rPr>
          <w:color w:val="000000"/>
        </w:rPr>
        <w:t>2</w:t>
      </w:r>
      <w:r w:rsidRPr="009F11E4">
        <w:rPr>
          <w:color w:val="000000"/>
        </w:rPr>
        <w:t>0%</w:t>
      </w:r>
      <w:r w:rsidR="009F11E4" w:rsidRPr="009F11E4">
        <w:rPr>
          <w:color w:val="000000"/>
        </w:rPr>
        <w:t xml:space="preserve"> (specifying 10% for each extremity)</w:t>
      </w:r>
      <w:r w:rsidRPr="009F11E4">
        <w:rPr>
          <w:color w:val="000000"/>
        </w:rPr>
        <w:t xml:space="preserve">, </w:t>
      </w:r>
      <w:r w:rsidR="009F11E4" w:rsidRPr="009F11E4">
        <w:rPr>
          <w:color w:val="000000"/>
        </w:rPr>
        <w:t xml:space="preserve">and </w:t>
      </w:r>
      <w:r w:rsidR="00261B7E" w:rsidRPr="009F11E4">
        <w:rPr>
          <w:color w:val="000000"/>
        </w:rPr>
        <w:t>citing criteria of</w:t>
      </w:r>
      <w:r w:rsidRPr="009F11E4">
        <w:rPr>
          <w:color w:val="000000"/>
        </w:rPr>
        <w:t xml:space="preserve"> the Veterans Administration Schedule for Rating Disabilities (VASRD). </w:t>
      </w:r>
      <w:r w:rsidR="00261B7E" w:rsidRPr="009F11E4">
        <w:rPr>
          <w:color w:val="000000"/>
        </w:rPr>
        <w:t xml:space="preserve"> </w:t>
      </w:r>
      <w:r w:rsidR="00380601" w:rsidRPr="009F11E4">
        <w:rPr>
          <w:color w:val="000000"/>
        </w:rPr>
        <w:t xml:space="preserve">The </w:t>
      </w:r>
      <w:r w:rsidR="009F11E4" w:rsidRPr="009F11E4">
        <w:rPr>
          <w:color w:val="000000"/>
        </w:rPr>
        <w:t>knee and foot</w:t>
      </w:r>
      <w:r w:rsidR="00380601" w:rsidRPr="009F11E4">
        <w:rPr>
          <w:color w:val="000000"/>
        </w:rPr>
        <w:t xml:space="preserve"> conditions were determined to be not unfitting.  </w:t>
      </w:r>
      <w:r w:rsidRPr="009F11E4">
        <w:rPr>
          <w:color w:val="000000"/>
        </w:rPr>
        <w:t xml:space="preserve">The CI made no appeals, and was medically separated with </w:t>
      </w:r>
      <w:r w:rsidR="009F11E4" w:rsidRPr="009F11E4">
        <w:rPr>
          <w:color w:val="000000"/>
        </w:rPr>
        <w:t>a 2</w:t>
      </w:r>
      <w:r w:rsidR="00E438A4" w:rsidRPr="009F11E4">
        <w:rPr>
          <w:color w:val="000000"/>
        </w:rPr>
        <w:t>0% disability rating.</w:t>
      </w:r>
      <w:r w:rsidR="00E438A4">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67251D">
        <w:rPr>
          <w:color w:val="000000" w:themeColor="text1"/>
        </w:rPr>
        <w:t>“Conditions have become worse.  Physically it is becoming harder to perform my work duties, as a result of this.  I need a full reevaluation, as I have requested 3 VA hospital appointments, since re-locating to California, but I have received zero appointments.”  He further elaborates his current difficulties with his bilateral leg compartment syndrome; and, expresses the opinion that his knee and foot conditions are linked to it.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 xml:space="preserve">The Board wishes to </w:t>
      </w:r>
      <w:r w:rsidRPr="00895A0E">
        <w:rPr>
          <w:color w:val="auto"/>
        </w:rPr>
        <w:t xml:space="preserve">clarify that the scope of its review as defined in </w:t>
      </w:r>
      <w:r w:rsidR="00DD44EA" w:rsidRPr="00895A0E">
        <w:rPr>
          <w:color w:val="000000"/>
        </w:rPr>
        <w:t xml:space="preserve">Department of Defense Instruction (DoDI) </w:t>
      </w:r>
      <w:r w:rsidRPr="00895A0E">
        <w:rPr>
          <w:color w:val="auto"/>
        </w:rPr>
        <w:t xml:space="preserve">6040.44 </w:t>
      </w:r>
      <w:r w:rsidR="003A6FCD" w:rsidRPr="00895A0E">
        <w:rPr>
          <w:color w:val="auto"/>
        </w:rPr>
        <w:t xml:space="preserve">(Enclosure 3, paragraph 5.e.2) </w:t>
      </w:r>
      <w:r w:rsidRPr="00895A0E">
        <w:rPr>
          <w:color w:val="auto"/>
        </w:rPr>
        <w:t>is limited to those conditions which were determined by the PEB to be specifically unfitting for continued military service; or, when requested by the CI, those conditions “identified but not determined to be unfitting by the PEB</w:t>
      </w:r>
      <w:r w:rsidR="00140533">
        <w:rPr>
          <w:color w:val="auto"/>
        </w:rPr>
        <w:t>.</w:t>
      </w:r>
      <w:r w:rsidRPr="00895A0E">
        <w:rPr>
          <w:color w:val="auto"/>
        </w:rPr>
        <w:t xml:space="preserve">”  </w:t>
      </w:r>
      <w:r w:rsidR="00262BC4" w:rsidRPr="00895A0E">
        <w:rPr>
          <w:color w:val="auto"/>
        </w:rPr>
        <w:t>The ratings for unfitting conditions are reviewed in all cases; and, the CI’s opinion that the bilateral knee and foot conditions (adjudicated as not unfitting) are a consequence of the unfitting condition is construed as a request for rating of those conditions as well</w:t>
      </w:r>
      <w:r w:rsidRPr="00895A0E">
        <w:rPr>
          <w:color w:val="auto"/>
        </w:rPr>
        <w:t xml:space="preserve">. </w:t>
      </w:r>
      <w:r w:rsidR="00262BC4" w:rsidRPr="00895A0E">
        <w:rPr>
          <w:color w:val="auto"/>
        </w:rPr>
        <w:t xml:space="preserve"> Thus all three of the PEB adjudicated conditions are judged by the Board to </w:t>
      </w:r>
      <w:r w:rsidRPr="00895A0E">
        <w:rPr>
          <w:color w:val="auto"/>
        </w:rPr>
        <w:t>meet the criteria prescribed in DoDI 6040.44 for Board pu</w:t>
      </w:r>
      <w:r w:rsidR="00262BC4" w:rsidRPr="00895A0E">
        <w:rPr>
          <w:color w:val="auto"/>
        </w:rPr>
        <w:t xml:space="preserve">rview; and, are addressed below. </w:t>
      </w:r>
      <w:r w:rsidRPr="00895A0E">
        <w:rPr>
          <w:color w:val="auto"/>
        </w:rPr>
        <w:t xml:space="preserve"> Any conditions or contention not requested in this application, or otherwise outside the Board’s defined scope of review, remain eligible for future consideration by the Army Board for the Correction of Military Records (</w:t>
      </w:r>
      <w:r w:rsidR="00A358BA" w:rsidRPr="00895A0E">
        <w:rPr>
          <w:color w:val="auto"/>
        </w:rPr>
        <w:t>A</w:t>
      </w:r>
      <w:r w:rsidRPr="00895A0E">
        <w:rPr>
          <w:color w:val="auto"/>
        </w:rPr>
        <w:t>BCMR)</w:t>
      </w:r>
      <w:r w:rsidR="00262BC4" w:rsidRPr="00895A0E">
        <w:rPr>
          <w:color w:val="auto"/>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D01465" w:rsidRDefault="00D01465">
      <w:pPr>
        <w:spacing w:line="240" w:lineRule="auto"/>
        <w:jc w:val="left"/>
        <w:rPr>
          <w:color w:val="000000"/>
          <w:u w:val="single"/>
        </w:rPr>
      </w:pPr>
      <w:r>
        <w:rPr>
          <w:color w:val="000000"/>
          <w:u w:val="single"/>
        </w:rPr>
        <w:br w:type="page"/>
      </w:r>
    </w:p>
    <w:p w:rsidR="00AD237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D01465" w:rsidRDefault="00D01465" w:rsidP="00BF0E94">
      <w:pPr>
        <w:jc w:val="left"/>
        <w:rPr>
          <w:color w:val="000000"/>
        </w:rPr>
      </w:pPr>
    </w:p>
    <w:tbl>
      <w:tblPr>
        <w:tblStyle w:val="TableGrid"/>
        <w:tblpPr w:leftFromText="187" w:rightFromText="187" w:vertAnchor="text" w:tblpXSpec="center" w:tblpY="1"/>
        <w:tblOverlap w:val="never"/>
        <w:tblW w:w="9360" w:type="dxa"/>
        <w:tblLayout w:type="fixed"/>
        <w:tblLook w:val="04A0"/>
      </w:tblPr>
      <w:tblGrid>
        <w:gridCol w:w="2250"/>
        <w:gridCol w:w="720"/>
        <w:gridCol w:w="720"/>
        <w:gridCol w:w="2880"/>
        <w:gridCol w:w="1080"/>
        <w:gridCol w:w="720"/>
        <w:gridCol w:w="990"/>
      </w:tblGrid>
      <w:tr w:rsidR="00D01465" w:rsidRPr="001F29F9" w:rsidTr="00312674">
        <w:trPr>
          <w:trHeight w:val="233"/>
        </w:trPr>
        <w:tc>
          <w:tcPr>
            <w:tcW w:w="3690" w:type="dxa"/>
            <w:gridSpan w:val="3"/>
            <w:tcBorders>
              <w:right w:val="thinThickThinSmallGap" w:sz="24" w:space="0" w:color="auto"/>
            </w:tcBorders>
            <w:shd w:val="clear" w:color="auto" w:fill="D9D9D9" w:themeFill="background1" w:themeFillShade="D9"/>
            <w:vAlign w:val="center"/>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41028</w:t>
            </w:r>
          </w:p>
        </w:tc>
        <w:tc>
          <w:tcPr>
            <w:tcW w:w="5670" w:type="dxa"/>
            <w:gridSpan w:val="4"/>
            <w:tcBorders>
              <w:left w:val="thinThickThinSmallGap" w:sz="24" w:space="0" w:color="auto"/>
            </w:tcBorders>
            <w:shd w:val="clear" w:color="auto" w:fill="D9D9D9" w:themeFill="background1" w:themeFillShade="D9"/>
            <w:vAlign w:val="center"/>
          </w:tcPr>
          <w:p w:rsidR="00D01465" w:rsidRPr="001F29F9" w:rsidRDefault="00D01465" w:rsidP="00D679CF">
            <w:pPr>
              <w:contextualSpacing/>
              <w:rPr>
                <w:rFonts w:cs="Calibri"/>
                <w:b/>
                <w:color w:val="000000" w:themeColor="text1"/>
                <w:sz w:val="18"/>
                <w:szCs w:val="18"/>
              </w:rPr>
            </w:pPr>
            <w:r w:rsidRPr="001F29F9">
              <w:rPr>
                <w:rFonts w:cs="Calibri"/>
                <w:b/>
                <w:color w:val="000000" w:themeColor="text1"/>
                <w:sz w:val="18"/>
                <w:szCs w:val="18"/>
              </w:rPr>
              <w:t>VA (</w:t>
            </w:r>
            <w:r w:rsidR="00D679CF">
              <w:rPr>
                <w:rFonts w:cs="Calibri"/>
                <w:b/>
                <w:color w:val="000000" w:themeColor="text1"/>
                <w:sz w:val="18"/>
                <w:szCs w:val="18"/>
              </w:rPr>
              <w:t>~3</w:t>
            </w:r>
            <w:r w:rsidRPr="001F29F9">
              <w:rPr>
                <w:rFonts w:cs="Calibri"/>
                <w:b/>
                <w:color w:val="000000" w:themeColor="text1"/>
                <w:sz w:val="18"/>
                <w:szCs w:val="18"/>
              </w:rPr>
              <w:t xml:space="preserve"> Mo. </w:t>
            </w:r>
            <w:r w:rsidR="00D679CF">
              <w:rPr>
                <w:rFonts w:cs="Calibri"/>
                <w:b/>
                <w:color w:val="000000" w:themeColor="text1"/>
                <w:sz w:val="18"/>
                <w:szCs w:val="18"/>
              </w:rPr>
              <w:t>Pre</w:t>
            </w:r>
            <w:r>
              <w:rPr>
                <w:rFonts w:cs="Calibri"/>
                <w:b/>
                <w:color w:val="000000" w:themeColor="text1"/>
                <w:sz w:val="18"/>
                <w:szCs w:val="18"/>
              </w:rPr>
              <w:t>-</w:t>
            </w:r>
            <w:r w:rsidRPr="001F29F9">
              <w:rPr>
                <w:rFonts w:cs="Calibri"/>
                <w:b/>
                <w:color w:val="000000" w:themeColor="text1"/>
                <w:sz w:val="18"/>
                <w:szCs w:val="18"/>
              </w:rPr>
              <w:t>Separation) – All Effective 200</w:t>
            </w:r>
            <w:r>
              <w:rPr>
                <w:rFonts w:cs="Calibri"/>
                <w:b/>
                <w:color w:val="000000" w:themeColor="text1"/>
                <w:sz w:val="18"/>
                <w:szCs w:val="18"/>
              </w:rPr>
              <w:t>50223</w:t>
            </w:r>
          </w:p>
        </w:tc>
      </w:tr>
      <w:tr w:rsidR="00D01465" w:rsidRPr="001F29F9" w:rsidTr="00312674">
        <w:trPr>
          <w:trHeight w:val="186"/>
        </w:trPr>
        <w:tc>
          <w:tcPr>
            <w:tcW w:w="2250" w:type="dxa"/>
            <w:tcBorders>
              <w:bottom w:val="single" w:sz="4" w:space="0" w:color="000000" w:themeColor="text1"/>
              <w:right w:val="single" w:sz="4" w:space="0" w:color="auto"/>
            </w:tcBorders>
            <w:shd w:val="clear" w:color="auto" w:fill="D9D9D9" w:themeFill="background1" w:themeFillShade="D9"/>
            <w:vAlign w:val="center"/>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Exam</w:t>
            </w:r>
          </w:p>
        </w:tc>
      </w:tr>
      <w:tr w:rsidR="00D01465" w:rsidRPr="001F29F9" w:rsidTr="00312674">
        <w:trPr>
          <w:trHeight w:val="66"/>
        </w:trPr>
        <w:tc>
          <w:tcPr>
            <w:tcW w:w="2250" w:type="dxa"/>
            <w:vMerge w:val="restart"/>
            <w:tcBorders>
              <w:right w:val="single" w:sz="4" w:space="0" w:color="auto"/>
            </w:tcBorders>
            <w:shd w:val="clear" w:color="auto" w:fill="FFFFFF" w:themeFill="background1"/>
            <w:vAlign w:val="center"/>
          </w:tcPr>
          <w:p w:rsidR="00D01465" w:rsidRPr="001F29F9" w:rsidRDefault="00D01465" w:rsidP="00312674">
            <w:pPr>
              <w:spacing w:line="180" w:lineRule="exact"/>
              <w:contextualSpacing/>
              <w:jc w:val="left"/>
              <w:rPr>
                <w:rFonts w:cs="Calibri"/>
                <w:color w:val="000000" w:themeColor="text1"/>
                <w:sz w:val="18"/>
                <w:szCs w:val="18"/>
              </w:rPr>
            </w:pPr>
            <w:r>
              <w:rPr>
                <w:rFonts w:cs="Calibri"/>
                <w:color w:val="000000" w:themeColor="text1"/>
                <w:sz w:val="18"/>
                <w:szCs w:val="18"/>
              </w:rPr>
              <w:t>Bilateral Leg … Exertional Compartment Syndrome</w:t>
            </w:r>
          </w:p>
        </w:tc>
        <w:tc>
          <w:tcPr>
            <w:tcW w:w="720" w:type="dxa"/>
            <w:vMerge w:val="restart"/>
            <w:tcBorders>
              <w:left w:val="single" w:sz="4" w:space="0" w:color="auto"/>
            </w:tcBorders>
            <w:shd w:val="clear" w:color="auto" w:fill="FFFFFF" w:themeFill="background1"/>
            <w:vAlign w:val="center"/>
          </w:tcPr>
          <w:p w:rsidR="00D01465" w:rsidRPr="001F29F9" w:rsidRDefault="00D01465" w:rsidP="00312674">
            <w:pPr>
              <w:spacing w:line="180" w:lineRule="exact"/>
              <w:contextualSpacing/>
              <w:rPr>
                <w:rFonts w:cs="Calibri"/>
                <w:color w:val="000000" w:themeColor="text1"/>
                <w:sz w:val="18"/>
                <w:szCs w:val="18"/>
              </w:rPr>
            </w:pPr>
            <w:r>
              <w:rPr>
                <w:rFonts w:cs="Calibri"/>
                <w:color w:val="000000" w:themeColor="text1"/>
                <w:sz w:val="18"/>
                <w:szCs w:val="18"/>
              </w:rPr>
              <w:t>5399-5312</w:t>
            </w:r>
          </w:p>
        </w:tc>
        <w:tc>
          <w:tcPr>
            <w:tcW w:w="720" w:type="dxa"/>
            <w:vMerge w:val="restart"/>
            <w:tcBorders>
              <w:right w:val="thinThickThinSmallGap" w:sz="24" w:space="0" w:color="auto"/>
            </w:tcBorders>
            <w:shd w:val="clear" w:color="auto" w:fill="FFFFFF" w:themeFill="background1"/>
            <w:vAlign w:val="center"/>
          </w:tcPr>
          <w:p w:rsidR="00D01465" w:rsidRPr="001F29F9" w:rsidRDefault="00D01465" w:rsidP="00312674">
            <w:pPr>
              <w:spacing w:line="220" w:lineRule="exact"/>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2880" w:type="dxa"/>
            <w:tcBorders>
              <w:left w:val="thinThickThinSmallGap" w:sz="2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r>
              <w:rPr>
                <w:rFonts w:cs="Calibri"/>
                <w:color w:val="000000" w:themeColor="text1"/>
                <w:sz w:val="18"/>
                <w:szCs w:val="18"/>
              </w:rPr>
              <w:t>Left Leg  Compartment Syndrome</w:t>
            </w:r>
          </w:p>
        </w:tc>
        <w:tc>
          <w:tcPr>
            <w:tcW w:w="108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5399-5312</w:t>
            </w:r>
          </w:p>
        </w:tc>
        <w:tc>
          <w:tcPr>
            <w:tcW w:w="72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41202</w:t>
            </w:r>
          </w:p>
        </w:tc>
      </w:tr>
      <w:tr w:rsidR="00D01465" w:rsidRPr="001F29F9" w:rsidTr="00312674">
        <w:trPr>
          <w:trHeight w:val="159"/>
        </w:trPr>
        <w:tc>
          <w:tcPr>
            <w:tcW w:w="2250" w:type="dxa"/>
            <w:vMerge/>
            <w:tcBorders>
              <w:right w:val="single" w:sz="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p>
        </w:tc>
        <w:tc>
          <w:tcPr>
            <w:tcW w:w="720" w:type="dxa"/>
            <w:vMerge/>
            <w:tcBorders>
              <w:right w:val="thinThickThinSmallGap" w:sz="24" w:space="0" w:color="auto"/>
            </w:tcBorders>
            <w:shd w:val="clear" w:color="auto" w:fill="FFFFFF" w:themeFill="background1"/>
            <w:vAlign w:val="center"/>
          </w:tcPr>
          <w:p w:rsidR="00D01465" w:rsidRPr="001F29F9" w:rsidRDefault="00D01465" w:rsidP="00312674">
            <w:pPr>
              <w:spacing w:line="220" w:lineRule="exact"/>
              <w:rPr>
                <w:rFonts w:cs="Calibri"/>
                <w:color w:val="000000" w:themeColor="text1"/>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r>
              <w:rPr>
                <w:rFonts w:cs="Calibri"/>
                <w:color w:val="000000" w:themeColor="text1"/>
                <w:sz w:val="18"/>
                <w:szCs w:val="18"/>
              </w:rPr>
              <w:t>Right  Leg  Compartment Syndrome</w:t>
            </w:r>
          </w:p>
        </w:tc>
        <w:tc>
          <w:tcPr>
            <w:tcW w:w="1080" w:type="dxa"/>
            <w:tcBorders>
              <w:left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5399-5312</w:t>
            </w:r>
          </w:p>
        </w:tc>
        <w:tc>
          <w:tcPr>
            <w:tcW w:w="72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41202</w:t>
            </w:r>
          </w:p>
        </w:tc>
      </w:tr>
      <w:tr w:rsidR="00D01465" w:rsidRPr="001F29F9" w:rsidTr="00312674">
        <w:trPr>
          <w:trHeight w:val="66"/>
        </w:trPr>
        <w:tc>
          <w:tcPr>
            <w:tcW w:w="2250" w:type="dxa"/>
            <w:vMerge w:val="restart"/>
            <w:tcBorders>
              <w:right w:val="single" w:sz="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r>
              <w:rPr>
                <w:rFonts w:cs="Calibri"/>
                <w:color w:val="000000" w:themeColor="text1"/>
                <w:sz w:val="18"/>
                <w:szCs w:val="18"/>
              </w:rPr>
              <w:t>Bilateral Knee Pain</w:t>
            </w:r>
          </w:p>
        </w:tc>
        <w:tc>
          <w:tcPr>
            <w:tcW w:w="1440" w:type="dxa"/>
            <w:gridSpan w:val="2"/>
            <w:vMerge w:val="restart"/>
            <w:tcBorders>
              <w:left w:val="single" w:sz="4" w:space="0" w:color="auto"/>
              <w:right w:val="thinThickThinSmallGap" w:sz="2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880" w:type="dxa"/>
            <w:tcBorders>
              <w:left w:val="thinThickThinSmallGap" w:sz="24" w:space="0" w:color="auto"/>
              <w:right w:val="single" w:sz="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r>
              <w:rPr>
                <w:rFonts w:cs="Calibri"/>
                <w:color w:val="000000" w:themeColor="text1"/>
                <w:sz w:val="18"/>
                <w:szCs w:val="18"/>
              </w:rPr>
              <w:t>Left Knee Pain</w:t>
            </w:r>
          </w:p>
        </w:tc>
        <w:tc>
          <w:tcPr>
            <w:tcW w:w="1080" w:type="dxa"/>
            <w:tcBorders>
              <w:left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5099-5024</w:t>
            </w:r>
          </w:p>
        </w:tc>
        <w:tc>
          <w:tcPr>
            <w:tcW w:w="72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41202</w:t>
            </w:r>
          </w:p>
        </w:tc>
      </w:tr>
      <w:tr w:rsidR="00D01465" w:rsidRPr="001F29F9" w:rsidTr="00312674">
        <w:trPr>
          <w:trHeight w:val="66"/>
        </w:trPr>
        <w:tc>
          <w:tcPr>
            <w:tcW w:w="2250" w:type="dxa"/>
            <w:vMerge/>
            <w:tcBorders>
              <w:right w:val="single" w:sz="4" w:space="0" w:color="auto"/>
            </w:tcBorders>
            <w:shd w:val="clear" w:color="auto" w:fill="FFFFFF" w:themeFill="background1"/>
            <w:vAlign w:val="center"/>
          </w:tcPr>
          <w:p w:rsidR="00D01465" w:rsidRDefault="00D01465" w:rsidP="00312674">
            <w:pPr>
              <w:spacing w:line="220" w:lineRule="exact"/>
              <w:contextualSpacing/>
              <w:jc w:val="left"/>
              <w:rPr>
                <w:rFonts w:cs="Calibri"/>
                <w:color w:val="000000" w:themeColor="text1"/>
                <w:sz w:val="18"/>
                <w:szCs w:val="18"/>
              </w:rPr>
            </w:pPr>
          </w:p>
        </w:tc>
        <w:tc>
          <w:tcPr>
            <w:tcW w:w="1440" w:type="dxa"/>
            <w:gridSpan w:val="2"/>
            <w:vMerge/>
            <w:tcBorders>
              <w:left w:val="single" w:sz="4" w:space="0" w:color="auto"/>
              <w:right w:val="thinThickThinSmallGap" w:sz="2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r>
              <w:rPr>
                <w:rFonts w:cs="Calibri"/>
                <w:color w:val="000000" w:themeColor="text1"/>
                <w:sz w:val="18"/>
                <w:szCs w:val="18"/>
              </w:rPr>
              <w:t>Right Knee Pain</w:t>
            </w:r>
          </w:p>
        </w:tc>
        <w:tc>
          <w:tcPr>
            <w:tcW w:w="1080" w:type="dxa"/>
            <w:tcBorders>
              <w:left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5099-5024</w:t>
            </w:r>
          </w:p>
        </w:tc>
        <w:tc>
          <w:tcPr>
            <w:tcW w:w="72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NSC</w:t>
            </w:r>
          </w:p>
        </w:tc>
        <w:tc>
          <w:tcPr>
            <w:tcW w:w="99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41202</w:t>
            </w:r>
          </w:p>
        </w:tc>
      </w:tr>
      <w:tr w:rsidR="00D01465" w:rsidRPr="001F29F9" w:rsidTr="00312674">
        <w:trPr>
          <w:trHeight w:val="196"/>
        </w:trPr>
        <w:tc>
          <w:tcPr>
            <w:tcW w:w="2250" w:type="dxa"/>
            <w:tcBorders>
              <w:right w:val="single" w:sz="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r>
              <w:rPr>
                <w:rFonts w:cs="Calibri"/>
                <w:color w:val="000000" w:themeColor="text1"/>
                <w:sz w:val="18"/>
                <w:szCs w:val="18"/>
              </w:rPr>
              <w:t>Pes Planus</w:t>
            </w:r>
          </w:p>
        </w:tc>
        <w:tc>
          <w:tcPr>
            <w:tcW w:w="1440" w:type="dxa"/>
            <w:gridSpan w:val="2"/>
            <w:tcBorders>
              <w:left w:val="single" w:sz="4" w:space="0" w:color="auto"/>
              <w:right w:val="thinThickThinSmallGap" w:sz="2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Not Unfitting</w:t>
            </w:r>
          </w:p>
        </w:tc>
        <w:tc>
          <w:tcPr>
            <w:tcW w:w="2880" w:type="dxa"/>
            <w:tcBorders>
              <w:left w:val="thinThickThinSmallGap" w:sz="24" w:space="0" w:color="auto"/>
              <w:bottom w:val="single" w:sz="4" w:space="0" w:color="auto"/>
              <w:right w:val="single" w:sz="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r>
              <w:rPr>
                <w:rFonts w:cs="Calibri"/>
                <w:color w:val="000000" w:themeColor="text1"/>
                <w:sz w:val="18"/>
                <w:szCs w:val="18"/>
              </w:rPr>
              <w:t>Left Foot Pes Planus</w:t>
            </w:r>
          </w:p>
        </w:tc>
        <w:tc>
          <w:tcPr>
            <w:tcW w:w="1080" w:type="dxa"/>
            <w:tcBorders>
              <w:left w:val="single" w:sz="4" w:space="0" w:color="auto"/>
              <w:bottom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5299-5276</w:t>
            </w:r>
          </w:p>
        </w:tc>
        <w:tc>
          <w:tcPr>
            <w:tcW w:w="720" w:type="dxa"/>
            <w:tcBorders>
              <w:bottom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0%</w:t>
            </w:r>
          </w:p>
        </w:tc>
        <w:tc>
          <w:tcPr>
            <w:tcW w:w="990" w:type="dxa"/>
            <w:tcBorders>
              <w:bottom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41202</w:t>
            </w:r>
          </w:p>
        </w:tc>
      </w:tr>
      <w:tr w:rsidR="00D01465" w:rsidRPr="001F29F9" w:rsidTr="00312674">
        <w:trPr>
          <w:trHeight w:val="66"/>
        </w:trPr>
        <w:tc>
          <w:tcPr>
            <w:tcW w:w="3690" w:type="dxa"/>
            <w:gridSpan w:val="3"/>
            <w:vMerge w:val="restart"/>
            <w:tcBorders>
              <w:right w:val="thinThickThinSmallGap" w:sz="2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880" w:type="dxa"/>
            <w:tcBorders>
              <w:left w:val="thinThickThinSmallGap" w:sz="24" w:space="0" w:color="auto"/>
              <w:right w:val="single" w:sz="4" w:space="0" w:color="auto"/>
            </w:tcBorders>
            <w:shd w:val="clear" w:color="auto" w:fill="FFFFFF" w:themeFill="background1"/>
            <w:vAlign w:val="center"/>
          </w:tcPr>
          <w:p w:rsidR="00D01465" w:rsidRPr="001F29F9" w:rsidRDefault="00D01465" w:rsidP="00312674">
            <w:pPr>
              <w:spacing w:line="220" w:lineRule="exact"/>
              <w:contextualSpacing/>
              <w:jc w:val="left"/>
              <w:rPr>
                <w:rFonts w:cs="Calibri"/>
                <w:color w:val="000000" w:themeColor="text1"/>
                <w:sz w:val="18"/>
                <w:szCs w:val="18"/>
              </w:rPr>
            </w:pPr>
            <w:r>
              <w:rPr>
                <w:rFonts w:cs="Calibri"/>
                <w:color w:val="000000" w:themeColor="text1"/>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6260</w:t>
            </w:r>
          </w:p>
        </w:tc>
        <w:tc>
          <w:tcPr>
            <w:tcW w:w="720" w:type="dxa"/>
            <w:tcBorders>
              <w:left w:val="single" w:sz="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41202</w:t>
            </w:r>
          </w:p>
        </w:tc>
      </w:tr>
      <w:tr w:rsidR="00D01465" w:rsidRPr="001F29F9" w:rsidTr="00312674">
        <w:trPr>
          <w:trHeight w:val="239"/>
        </w:trPr>
        <w:tc>
          <w:tcPr>
            <w:tcW w:w="3690" w:type="dxa"/>
            <w:gridSpan w:val="3"/>
            <w:vMerge/>
            <w:tcBorders>
              <w:right w:val="thinThickThinSmallGap" w:sz="2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p>
        </w:tc>
        <w:tc>
          <w:tcPr>
            <w:tcW w:w="4680" w:type="dxa"/>
            <w:gridSpan w:val="3"/>
            <w:tcBorders>
              <w:left w:val="thinThickThinSmallGap" w:sz="24" w:space="0" w:color="auto"/>
            </w:tcBorders>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sidR="00040BBD">
              <w:rPr>
                <w:rFonts w:cs="Calibri"/>
                <w:color w:val="000000" w:themeColor="text1"/>
                <w:sz w:val="18"/>
                <w:szCs w:val="18"/>
              </w:rPr>
              <w:t>4</w:t>
            </w:r>
            <w:r>
              <w:rPr>
                <w:rFonts w:cs="Calibri"/>
                <w:color w:val="000000" w:themeColor="text1"/>
                <w:sz w:val="18"/>
                <w:szCs w:val="18"/>
              </w:rPr>
              <w:t xml:space="preserve"> Additional </w:t>
            </w:r>
            <w:r w:rsidRPr="001F29F9">
              <w:rPr>
                <w:rFonts w:cs="Calibri"/>
                <w:color w:val="000000" w:themeColor="text1"/>
                <w:sz w:val="18"/>
                <w:szCs w:val="18"/>
              </w:rPr>
              <w:t>/</w:t>
            </w:r>
            <w:r>
              <w:rPr>
                <w:rFonts w:cs="Calibri"/>
                <w:color w:val="000000" w:themeColor="text1"/>
                <w:sz w:val="18"/>
                <w:szCs w:val="18"/>
              </w:rPr>
              <w:t xml:space="preserve"> </w:t>
            </w:r>
            <w:r w:rsidR="004E04BB">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6  Additional</w:t>
            </w:r>
          </w:p>
        </w:tc>
        <w:tc>
          <w:tcPr>
            <w:tcW w:w="990" w:type="dxa"/>
            <w:shd w:val="clear" w:color="auto" w:fill="FFFFFF" w:themeFill="background1"/>
            <w:vAlign w:val="center"/>
          </w:tcPr>
          <w:p w:rsidR="00D01465" w:rsidRPr="001F29F9" w:rsidRDefault="00D01465" w:rsidP="00312674">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41202</w:t>
            </w:r>
          </w:p>
        </w:tc>
      </w:tr>
      <w:tr w:rsidR="00D01465" w:rsidRPr="001F29F9" w:rsidTr="00312674">
        <w:trPr>
          <w:trHeight w:val="69"/>
        </w:trPr>
        <w:tc>
          <w:tcPr>
            <w:tcW w:w="3690" w:type="dxa"/>
            <w:gridSpan w:val="3"/>
            <w:tcBorders>
              <w:right w:val="thinThickThinSmallGap" w:sz="24" w:space="0" w:color="auto"/>
            </w:tcBorders>
            <w:shd w:val="clear" w:color="auto" w:fill="D9D9D9" w:themeFill="background1" w:themeFillShade="D9"/>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670" w:type="dxa"/>
            <w:gridSpan w:val="4"/>
            <w:tcBorders>
              <w:left w:val="thinThickThinSmallGap" w:sz="24" w:space="0" w:color="auto"/>
            </w:tcBorders>
            <w:shd w:val="clear" w:color="auto" w:fill="D9D9D9" w:themeFill="background1" w:themeFillShade="D9"/>
          </w:tcPr>
          <w:p w:rsidR="00D01465" w:rsidRPr="001F29F9" w:rsidRDefault="00D01465" w:rsidP="00312674">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3</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5B5050" w:rsidRPr="005B5050" w:rsidRDefault="00AD2379" w:rsidP="005B5050">
      <w:pPr>
        <w:jc w:val="both"/>
        <w:rPr>
          <w:color w:val="000000" w:themeColor="text1"/>
          <w:szCs w:val="24"/>
        </w:rPr>
      </w:pPr>
      <w:r w:rsidRPr="001F29F9">
        <w:rPr>
          <w:color w:val="000000"/>
          <w:u w:val="single"/>
        </w:rPr>
        <w:t>ANALYSIS SUMMARY</w:t>
      </w:r>
      <w:r w:rsidRPr="001F29F9">
        <w:rPr>
          <w:color w:val="000000"/>
        </w:rPr>
        <w:t>:</w:t>
      </w:r>
      <w:r>
        <w:rPr>
          <w:color w:val="000000"/>
        </w:rPr>
        <w:t xml:space="preserve"> </w:t>
      </w:r>
      <w:r w:rsidR="005B5050">
        <w:rPr>
          <w:color w:val="000000"/>
        </w:rPr>
        <w:t xml:space="preserve"> </w:t>
      </w:r>
      <w:r w:rsidR="005B5050" w:rsidRPr="005B5050">
        <w:rPr>
          <w:color w:val="000000" w:themeColor="text1"/>
          <w:szCs w:val="24"/>
        </w:rPr>
        <w:t>The Board acknowledges the sentiment expressed in the CI’s application regarding the significant impairment with which his service-incurred condition</w:t>
      </w:r>
      <w:r w:rsidR="005B5050">
        <w:rPr>
          <w:color w:val="000000" w:themeColor="text1"/>
          <w:szCs w:val="24"/>
        </w:rPr>
        <w:t>s continue</w:t>
      </w:r>
      <w:r w:rsidR="005B5050" w:rsidRPr="005B5050">
        <w:rPr>
          <w:color w:val="000000" w:themeColor="text1"/>
          <w:szCs w:val="24"/>
        </w:rPr>
        <w:t xml:space="preserve"> to burden him.  The Board wishes to clarify that it is subject to the same laws for disability entitlements as those under which the </w:t>
      </w:r>
      <w:r w:rsidR="002E4EF1">
        <w:rPr>
          <w:color w:val="000000" w:themeColor="text1"/>
          <w:szCs w:val="24"/>
        </w:rPr>
        <w:t>Disability Evaluation System (</w:t>
      </w:r>
      <w:r w:rsidR="00203A87">
        <w:rPr>
          <w:color w:val="000000" w:themeColor="text1"/>
          <w:szCs w:val="24"/>
        </w:rPr>
        <w:t xml:space="preserve">DES) operates.  The </w:t>
      </w:r>
      <w:r w:rsidR="005B5050" w:rsidRPr="005B5050">
        <w:rPr>
          <w:color w:val="000000" w:themeColor="text1"/>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2E4EF1">
        <w:rPr>
          <w:color w:val="000000" w:themeColor="text1"/>
          <w:szCs w:val="24"/>
        </w:rPr>
        <w:t>s’</w:t>
      </w:r>
      <w:r w:rsidR="005B5050" w:rsidRPr="005B5050">
        <w:rPr>
          <w:color w:val="000000" w:themeColor="text1"/>
          <w:szCs w:val="24"/>
        </w:rPr>
        <w:t xml:space="preserve"> Affairs (DVA), operating under a different set of laws (Title 38, United States Code).  The Board evaluates </w:t>
      </w:r>
      <w:r w:rsidR="002E4EF1">
        <w:rPr>
          <w:color w:val="000000" w:themeColor="text1"/>
          <w:szCs w:val="24"/>
        </w:rPr>
        <w:t>D</w:t>
      </w:r>
      <w:r w:rsidR="005B5050" w:rsidRPr="005B5050">
        <w:rPr>
          <w:color w:val="000000" w:themeColor="text1"/>
          <w:szCs w:val="24"/>
        </w:rPr>
        <w:t>VA evidence proximate to separation in arriving at its recommendations, but its authority resides in evaluating the fairness of fitness decisions and rating determinations for disability at the time of separatio</w:t>
      </w:r>
      <w:r w:rsidR="002E4EF1">
        <w:rPr>
          <w:color w:val="000000" w:themeColor="text1"/>
          <w:szCs w:val="24"/>
        </w:rPr>
        <w:t>n.  DoDI 6040.44 specifies a 12-</w:t>
      </w:r>
      <w:r w:rsidR="005B5050" w:rsidRPr="005B5050">
        <w:rPr>
          <w:color w:val="000000" w:themeColor="text1"/>
          <w:szCs w:val="24"/>
        </w:rPr>
        <w:t xml:space="preserve">month interval for special consideration to </w:t>
      </w:r>
      <w:r w:rsidR="002E4EF1">
        <w:rPr>
          <w:color w:val="000000" w:themeColor="text1"/>
          <w:szCs w:val="24"/>
        </w:rPr>
        <w:t>D</w:t>
      </w:r>
      <w:r w:rsidR="005B5050" w:rsidRPr="005B5050">
        <w:rPr>
          <w:color w:val="000000" w:themeColor="text1"/>
          <w:szCs w:val="24"/>
        </w:rPr>
        <w:t xml:space="preserve">VA findings.  The Board further acknowledges the CI’s contention for ratings for his </w:t>
      </w:r>
      <w:r w:rsidR="005B5050">
        <w:rPr>
          <w:color w:val="000000" w:themeColor="text1"/>
          <w:szCs w:val="24"/>
        </w:rPr>
        <w:t>knee and foot</w:t>
      </w:r>
      <w:r w:rsidR="005B5050" w:rsidRPr="005B5050">
        <w:rPr>
          <w:color w:val="000000" w:themeColor="text1"/>
          <w:szCs w:val="24"/>
        </w:rPr>
        <w:t xml:space="preserve"> conditions which were adjudicated as not unfitting by the PEB, and notes that its recommendations in that regard must comply with the same governance.  While the DES considers all of the service member's medical conditions, compensation can only be offered for those medical conditions that cut short the member’s service career; and the Board’s assessment of fitness determinations is premised on the MOS-specific functional limitations in evidence at the time of separation.  The DVA</w:t>
      </w:r>
      <w:r w:rsidR="002E4EF1">
        <w:rPr>
          <w:color w:val="000000" w:themeColor="text1"/>
          <w:szCs w:val="24"/>
        </w:rPr>
        <w:t>;</w:t>
      </w:r>
      <w:r w:rsidR="005B5050" w:rsidRPr="005B5050">
        <w:rPr>
          <w:color w:val="000000" w:themeColor="text1"/>
          <w:szCs w:val="24"/>
        </w:rPr>
        <w:t xml:space="preserve"> however, is </w:t>
      </w:r>
      <w:r w:rsidR="002E4EF1">
        <w:rPr>
          <w:color w:val="000000" w:themeColor="text1"/>
          <w:szCs w:val="24"/>
        </w:rPr>
        <w:t>empowered to compensate service-</w:t>
      </w:r>
      <w:r w:rsidR="005B5050" w:rsidRPr="005B5050">
        <w:rPr>
          <w:color w:val="000000" w:themeColor="text1"/>
          <w:szCs w:val="24"/>
        </w:rPr>
        <w:t xml:space="preserve">connected conditions and to periodically re-evaluate said conditions for the purpose of adjusting the </w:t>
      </w:r>
      <w:r w:rsidR="002E4EF1">
        <w:rPr>
          <w:color w:val="000000" w:themeColor="text1"/>
          <w:szCs w:val="24"/>
        </w:rPr>
        <w:t>V</w:t>
      </w:r>
      <w:r w:rsidR="005B5050" w:rsidRPr="005B5050">
        <w:rPr>
          <w:color w:val="000000" w:themeColor="text1"/>
          <w:szCs w:val="24"/>
        </w:rPr>
        <w:t xml:space="preserve">eteran’s disability rating should </w:t>
      </w:r>
      <w:r w:rsidR="002E4EF1">
        <w:rPr>
          <w:color w:val="000000" w:themeColor="text1"/>
          <w:szCs w:val="24"/>
        </w:rPr>
        <w:t>the</w:t>
      </w:r>
      <w:r w:rsidR="005B5050" w:rsidRPr="005B5050">
        <w:rPr>
          <w:color w:val="000000" w:themeColor="text1"/>
          <w:szCs w:val="24"/>
        </w:rPr>
        <w:t xml:space="preserve"> degree of impairment vary over time.</w:t>
      </w:r>
      <w:r w:rsidR="005B5050">
        <w:rPr>
          <w:color w:val="000000" w:themeColor="text1"/>
          <w:szCs w:val="24"/>
        </w:rPr>
        <w:t xml:space="preserve">  </w:t>
      </w:r>
      <w:r w:rsidR="005B5050" w:rsidRPr="005B5050">
        <w:rPr>
          <w:color w:val="000000" w:themeColor="text1"/>
          <w:szCs w:val="24"/>
        </w:rPr>
        <w:t xml:space="preserve">The Board </w:t>
      </w:r>
      <w:r w:rsidR="005B5050">
        <w:rPr>
          <w:color w:val="000000" w:themeColor="text1"/>
          <w:szCs w:val="24"/>
        </w:rPr>
        <w:t>also</w:t>
      </w:r>
      <w:r w:rsidR="005B5050" w:rsidRPr="005B5050">
        <w:rPr>
          <w:color w:val="000000" w:themeColor="text1"/>
          <w:szCs w:val="24"/>
        </w:rPr>
        <w:t xml:space="preserve"> acknowledges </w:t>
      </w:r>
      <w:r w:rsidR="005B5050" w:rsidRPr="00527728">
        <w:rPr>
          <w:color w:val="000000" w:themeColor="text1"/>
          <w:szCs w:val="24"/>
        </w:rPr>
        <w:t xml:space="preserve">the CI’s </w:t>
      </w:r>
      <w:r w:rsidR="005B5050">
        <w:rPr>
          <w:color w:val="000000" w:themeColor="text1"/>
          <w:szCs w:val="24"/>
        </w:rPr>
        <w:t xml:space="preserve">expressed concerns regarding his accessibility issues with the </w:t>
      </w:r>
      <w:r w:rsidR="002E4EF1">
        <w:rPr>
          <w:color w:val="000000" w:themeColor="text1"/>
          <w:szCs w:val="24"/>
        </w:rPr>
        <w:t>D</w:t>
      </w:r>
      <w:r w:rsidR="005B5050">
        <w:rPr>
          <w:color w:val="000000" w:themeColor="text1"/>
          <w:szCs w:val="24"/>
        </w:rPr>
        <w:t xml:space="preserve">VA; but, must note for the record that it </w:t>
      </w:r>
      <w:r w:rsidR="005B5050" w:rsidRPr="00527728">
        <w:rPr>
          <w:color w:val="000000" w:themeColor="text1"/>
          <w:szCs w:val="24"/>
        </w:rPr>
        <w:t xml:space="preserve">has neither the jurisdiction nor authority to scrutinize or render opinions in reference to </w:t>
      </w:r>
      <w:r w:rsidR="005B5050">
        <w:rPr>
          <w:color w:val="000000" w:themeColor="text1"/>
          <w:szCs w:val="24"/>
        </w:rPr>
        <w:t xml:space="preserve">such </w:t>
      </w:r>
      <w:r w:rsidR="005B5050" w:rsidRPr="00527728">
        <w:rPr>
          <w:color w:val="000000" w:themeColor="text1"/>
          <w:szCs w:val="24"/>
        </w:rPr>
        <w:t xml:space="preserve">allegations. The Board’s role is confined to the review of medical records and all evidence at hand to assess the fairness of PEB disability ratings and fitness determinations as elaborated above. </w:t>
      </w:r>
      <w:r w:rsidR="005B5050">
        <w:rPr>
          <w:color w:val="000000" w:themeColor="text1"/>
          <w:szCs w:val="24"/>
        </w:rPr>
        <w:t xml:space="preserve"> </w:t>
      </w:r>
      <w:r w:rsidR="005B5050" w:rsidRPr="00527728">
        <w:rPr>
          <w:color w:val="000000" w:themeColor="text1"/>
          <w:szCs w:val="24"/>
        </w:rPr>
        <w:t xml:space="preserve">Redress </w:t>
      </w:r>
      <w:r w:rsidR="005B5050">
        <w:rPr>
          <w:color w:val="000000" w:themeColor="text1"/>
          <w:szCs w:val="24"/>
        </w:rPr>
        <w:t>for matters of this nature</w:t>
      </w:r>
      <w:r w:rsidR="005B5050" w:rsidRPr="00527728">
        <w:rPr>
          <w:color w:val="000000" w:themeColor="text1"/>
          <w:szCs w:val="24"/>
        </w:rPr>
        <w:t xml:space="preserve"> must be addressed by the </w:t>
      </w:r>
      <w:r w:rsidR="005B5050">
        <w:rPr>
          <w:color w:val="000000" w:themeColor="text1"/>
          <w:szCs w:val="24"/>
        </w:rPr>
        <w:t>DVA</w:t>
      </w:r>
      <w:r w:rsidR="005B5050" w:rsidRPr="00527728">
        <w:rPr>
          <w:color w:val="000000" w:themeColor="text1"/>
          <w:szCs w:val="24"/>
        </w:rPr>
        <w:t xml:space="preserve"> and/or the United States judiciary system.</w:t>
      </w:r>
    </w:p>
    <w:p w:rsidR="00AD2379" w:rsidRPr="001F29F9" w:rsidRDefault="00AD2379" w:rsidP="00B22D42">
      <w:pPr>
        <w:jc w:val="both"/>
        <w:rPr>
          <w:color w:val="000000"/>
          <w:highlight w:val="yellow"/>
        </w:rPr>
      </w:pPr>
    </w:p>
    <w:p w:rsidR="00E85406" w:rsidRPr="00E85406" w:rsidRDefault="00936788" w:rsidP="00E85406">
      <w:pPr>
        <w:jc w:val="both"/>
        <w:rPr>
          <w:color w:val="000000"/>
          <w:szCs w:val="24"/>
        </w:rPr>
      </w:pPr>
      <w:proofErr w:type="gramStart"/>
      <w:r>
        <w:rPr>
          <w:color w:val="000000"/>
          <w:u w:val="single"/>
        </w:rPr>
        <w:t>Bilateral Leg</w:t>
      </w:r>
      <w:r w:rsidR="00AD2379" w:rsidRPr="009A7578">
        <w:rPr>
          <w:color w:val="000000"/>
          <w:u w:val="single"/>
        </w:rPr>
        <w:t xml:space="preserve"> Condition</w:t>
      </w:r>
      <w:r w:rsidR="00714C23">
        <w:rPr>
          <w:color w:val="000000"/>
          <w:u w:val="single"/>
        </w:rPr>
        <w:t>(s)</w:t>
      </w:r>
      <w:r w:rsidR="00AD2379" w:rsidRPr="009A7578">
        <w:rPr>
          <w:color w:val="000000"/>
        </w:rPr>
        <w:t>.</w:t>
      </w:r>
      <w:proofErr w:type="gramEnd"/>
      <w:r w:rsidR="00AD2379" w:rsidRPr="009A7578">
        <w:rPr>
          <w:color w:val="000000"/>
        </w:rPr>
        <w:t xml:space="preserve"> </w:t>
      </w:r>
      <w:r w:rsidR="00385708">
        <w:rPr>
          <w:color w:val="000000"/>
        </w:rPr>
        <w:t xml:space="preserve"> </w:t>
      </w:r>
      <w:r w:rsidR="003C1A4F">
        <w:rPr>
          <w:color w:val="000000"/>
        </w:rPr>
        <w:t xml:space="preserve">The CI’s persistent and recurrent leg pain was initially diagnosed as shin splints.  </w:t>
      </w:r>
      <w:r w:rsidR="00385708">
        <w:rPr>
          <w:color w:val="000000"/>
        </w:rPr>
        <w:t xml:space="preserve">The </w:t>
      </w:r>
      <w:r w:rsidR="003C1A4F">
        <w:rPr>
          <w:color w:val="000000"/>
        </w:rPr>
        <w:t>diagnosis of compartment syndrome in both lower leg anterior muscle groups was confirmed by pressure manometry in November 2003.  There was bone scan confirmation of shin splints as well; and, the VA included shin splints in its nomenclature for the condit</w:t>
      </w:r>
      <w:r w:rsidR="002E4EF1">
        <w:rPr>
          <w:color w:val="000000"/>
        </w:rPr>
        <w:t>ions</w:t>
      </w:r>
      <w:r w:rsidR="003C1A4F">
        <w:rPr>
          <w:color w:val="000000"/>
        </w:rPr>
        <w:t xml:space="preserve">.  </w:t>
      </w:r>
      <w:r w:rsidR="00714C23">
        <w:rPr>
          <w:color w:val="000000"/>
        </w:rPr>
        <w:t xml:space="preserve">Since </w:t>
      </w:r>
      <w:r w:rsidR="001710D4">
        <w:rPr>
          <w:color w:val="000000"/>
        </w:rPr>
        <w:t xml:space="preserve">compartment syndrome was the dominant etiology, and </w:t>
      </w:r>
      <w:r w:rsidR="00714C23">
        <w:rPr>
          <w:color w:val="000000"/>
        </w:rPr>
        <w:t xml:space="preserve">separate ratings would be prohibited by </w:t>
      </w:r>
      <w:r w:rsidR="00714C23" w:rsidRPr="00714C23">
        <w:rPr>
          <w:color w:val="000000"/>
        </w:rPr>
        <w:t>VASRD §4.14 (avoidance of pyramiding)</w:t>
      </w:r>
      <w:r w:rsidR="00714C23">
        <w:rPr>
          <w:color w:val="000000"/>
        </w:rPr>
        <w:t xml:space="preserve"> </w:t>
      </w:r>
      <w:r w:rsidR="001710D4">
        <w:rPr>
          <w:color w:val="000000"/>
        </w:rPr>
        <w:t>irrespectively;</w:t>
      </w:r>
      <w:r w:rsidR="00714C23">
        <w:rPr>
          <w:color w:val="000000"/>
        </w:rPr>
        <w:t xml:space="preserve"> no attempt to distinguish separate etiologies or conditions is indicated for purposes of this discussion.  Surgical decompression of the compartment syndromes was not indicated per the orthopedic consultant.  Physical therapy, orthotics and anti-inflammatories </w:t>
      </w:r>
      <w:r w:rsidR="00C36396">
        <w:rPr>
          <w:color w:val="000000"/>
        </w:rPr>
        <w:t xml:space="preserve">were helpful; but </w:t>
      </w:r>
      <w:r w:rsidR="001710D4">
        <w:rPr>
          <w:color w:val="000000"/>
        </w:rPr>
        <w:t xml:space="preserve">the </w:t>
      </w:r>
      <w:r w:rsidR="00C36396">
        <w:rPr>
          <w:color w:val="000000"/>
        </w:rPr>
        <w:t xml:space="preserve">activity </w:t>
      </w:r>
      <w:r w:rsidR="00C36396">
        <w:rPr>
          <w:color w:val="000000"/>
        </w:rPr>
        <w:lastRenderedPageBreak/>
        <w:t>limitation</w:t>
      </w:r>
      <w:r w:rsidR="001710D4">
        <w:rPr>
          <w:color w:val="000000"/>
        </w:rPr>
        <w:t>s</w:t>
      </w:r>
      <w:r w:rsidR="00C36396">
        <w:rPr>
          <w:color w:val="000000"/>
        </w:rPr>
        <w:t xml:space="preserve"> remained incompatible with continued military service.  </w:t>
      </w:r>
      <w:r w:rsidR="00D679CF">
        <w:rPr>
          <w:color w:val="000000"/>
        </w:rPr>
        <w:t xml:space="preserve">No hospitalization or invasive treatment modalities were required.  </w:t>
      </w:r>
      <w:r w:rsidR="00C36396">
        <w:rPr>
          <w:color w:val="000000"/>
        </w:rPr>
        <w:t xml:space="preserve">The </w:t>
      </w:r>
      <w:r w:rsidR="00385708">
        <w:rPr>
          <w:color w:val="000000"/>
        </w:rPr>
        <w:t>na</w:t>
      </w:r>
      <w:r w:rsidR="00C36396">
        <w:rPr>
          <w:color w:val="000000"/>
        </w:rPr>
        <w:t xml:space="preserve">rrative summary (NARSUM) noted only the profile restrictions as </w:t>
      </w:r>
      <w:r w:rsidR="001710D4">
        <w:rPr>
          <w:color w:val="000000"/>
        </w:rPr>
        <w:t xml:space="preserve">physical </w:t>
      </w:r>
      <w:r w:rsidR="00C36396">
        <w:rPr>
          <w:color w:val="000000"/>
        </w:rPr>
        <w:t xml:space="preserve">limitations, but related an occasional antalgic </w:t>
      </w:r>
      <w:r w:rsidR="001710D4">
        <w:rPr>
          <w:color w:val="000000"/>
        </w:rPr>
        <w:t xml:space="preserve">gait </w:t>
      </w:r>
      <w:r w:rsidR="00C36396">
        <w:rPr>
          <w:color w:val="000000"/>
        </w:rPr>
        <w:t xml:space="preserve">secondary to leg pain.  The physical exam noted </w:t>
      </w:r>
      <w:r w:rsidR="001710D4">
        <w:rPr>
          <w:color w:val="000000"/>
        </w:rPr>
        <w:t>lateral tenderness to both lower legs</w:t>
      </w:r>
      <w:r w:rsidR="00900347">
        <w:rPr>
          <w:color w:val="000000"/>
        </w:rPr>
        <w:t xml:space="preserve"> with </w:t>
      </w:r>
      <w:r w:rsidR="00C36396">
        <w:rPr>
          <w:color w:val="000000"/>
        </w:rPr>
        <w:t xml:space="preserve">“firm but not </w:t>
      </w:r>
      <w:r w:rsidR="00D679CF">
        <w:rPr>
          <w:color w:val="000000"/>
        </w:rPr>
        <w:t>tight” lower muscle compartments</w:t>
      </w:r>
      <w:r w:rsidR="00900347">
        <w:rPr>
          <w:color w:val="000000"/>
        </w:rPr>
        <w:t xml:space="preserve"> (“minimally uncomfortable to digital pressure”)</w:t>
      </w:r>
      <w:r w:rsidR="00D679CF">
        <w:rPr>
          <w:color w:val="000000"/>
        </w:rPr>
        <w:t xml:space="preserve">; but, was otherwise normal.  The </w:t>
      </w:r>
      <w:r w:rsidR="00D679CF">
        <w:rPr>
          <w:color w:val="000000"/>
          <w:szCs w:val="24"/>
        </w:rPr>
        <w:t xml:space="preserve">VA </w:t>
      </w:r>
      <w:r w:rsidR="00D679CF" w:rsidRPr="00CF0280">
        <w:rPr>
          <w:color w:val="000000"/>
          <w:szCs w:val="24"/>
        </w:rPr>
        <w:t>Compensation and Pension (C&amp;P)</w:t>
      </w:r>
      <w:r w:rsidR="00D679CF">
        <w:rPr>
          <w:color w:val="000000"/>
          <w:szCs w:val="24"/>
        </w:rPr>
        <w:t xml:space="preserve"> examiner </w:t>
      </w:r>
      <w:r w:rsidR="002E4EF1">
        <w:rPr>
          <w:color w:val="000000"/>
          <w:szCs w:val="24"/>
        </w:rPr>
        <w:t xml:space="preserve">prior to </w:t>
      </w:r>
      <w:proofErr w:type="gramStart"/>
      <w:r w:rsidR="002E4EF1">
        <w:rPr>
          <w:color w:val="000000"/>
          <w:szCs w:val="24"/>
        </w:rPr>
        <w:t>separation,</w:t>
      </w:r>
      <w:proofErr w:type="gramEnd"/>
      <w:r w:rsidR="002E4EF1">
        <w:rPr>
          <w:color w:val="000000"/>
          <w:szCs w:val="24"/>
        </w:rPr>
        <w:t xml:space="preserve"> </w:t>
      </w:r>
      <w:r w:rsidR="00D679CF">
        <w:rPr>
          <w:color w:val="000000"/>
          <w:szCs w:val="24"/>
        </w:rPr>
        <w:t>documented “</w:t>
      </w:r>
      <w:r w:rsidR="00D679CF" w:rsidRPr="00D679CF">
        <w:rPr>
          <w:color w:val="000000"/>
          <w:szCs w:val="24"/>
        </w:rPr>
        <w:t>constant pain but he can keep it at a manageable level if he carefully controls his activities.</w:t>
      </w:r>
      <w:r w:rsidR="00D679CF">
        <w:rPr>
          <w:color w:val="000000"/>
          <w:szCs w:val="24"/>
        </w:rPr>
        <w:t xml:space="preserve">”  The pain was noted to disrupt sleep; and, </w:t>
      </w:r>
      <w:r w:rsidR="00E85406">
        <w:rPr>
          <w:color w:val="000000"/>
          <w:szCs w:val="24"/>
        </w:rPr>
        <w:t xml:space="preserve">the examiner </w:t>
      </w:r>
      <w:r w:rsidR="00D679CF">
        <w:rPr>
          <w:color w:val="000000"/>
          <w:szCs w:val="24"/>
        </w:rPr>
        <w:t xml:space="preserve">further stated that </w:t>
      </w:r>
      <w:r w:rsidR="00E85406">
        <w:rPr>
          <w:color w:val="000000"/>
          <w:szCs w:val="24"/>
        </w:rPr>
        <w:t xml:space="preserve">it </w:t>
      </w:r>
      <w:r w:rsidR="00D679CF">
        <w:rPr>
          <w:color w:val="000000"/>
          <w:szCs w:val="24"/>
        </w:rPr>
        <w:t xml:space="preserve">“is present 80% of the time, and </w:t>
      </w:r>
      <w:r w:rsidR="00E85406" w:rsidRPr="00E85406">
        <w:rPr>
          <w:color w:val="000000"/>
          <w:szCs w:val="24"/>
        </w:rPr>
        <w:t>worse with walking up and down stairs or climbing in and out of vehicles or carrying heavy items.  Extended walking beyond one quarter mile also exacerbates the pain.</w:t>
      </w:r>
      <w:r w:rsidR="00E85406">
        <w:rPr>
          <w:color w:val="000000"/>
          <w:szCs w:val="24"/>
        </w:rPr>
        <w:t>”  The physical exam documented “</w:t>
      </w:r>
      <w:r w:rsidR="00E85406" w:rsidRPr="00E85406">
        <w:rPr>
          <w:color w:val="000000"/>
          <w:szCs w:val="24"/>
        </w:rPr>
        <w:t xml:space="preserve">tenderness in both anterior compartments of the forelegs as well as the body of both calves.  The </w:t>
      </w:r>
      <w:r w:rsidR="002E4EF1">
        <w:rPr>
          <w:color w:val="000000"/>
          <w:szCs w:val="24"/>
        </w:rPr>
        <w:t>CI</w:t>
      </w:r>
      <w:r w:rsidR="00E85406" w:rsidRPr="00E85406">
        <w:rPr>
          <w:color w:val="000000"/>
          <w:szCs w:val="24"/>
        </w:rPr>
        <w:t xml:space="preserve"> could walk on toes as well as heels and did not limp.</w:t>
      </w:r>
      <w:r w:rsidR="00E85406">
        <w:rPr>
          <w:color w:val="000000"/>
          <w:szCs w:val="24"/>
        </w:rPr>
        <w:t>”</w:t>
      </w:r>
    </w:p>
    <w:p w:rsidR="00AD2379" w:rsidRDefault="00AD2379" w:rsidP="00B22D42">
      <w:pPr>
        <w:jc w:val="both"/>
        <w:rPr>
          <w:color w:val="000000"/>
        </w:rPr>
      </w:pPr>
    </w:p>
    <w:p w:rsidR="00B55FB5" w:rsidRDefault="00312674" w:rsidP="004D4A2C">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00001675">
        <w:rPr>
          <w:rFonts w:cs="Times New Roman"/>
          <w:color w:val="auto"/>
        </w:rPr>
        <w:t>s</w:t>
      </w:r>
      <w:bookmarkStart w:id="0" w:name="_GoBack"/>
      <w:bookmarkEnd w:id="0"/>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It is first noted that the PEB consolidated the identical right and left leg conditions under a single rating of 20%, which is not in conformity with VASRD §4.71a; but, the PEB’s DA Form 199 makes it clear </w:t>
      </w:r>
      <w:r w:rsidRPr="002E4EF1">
        <w:rPr>
          <w:rFonts w:cs="Times New Roman"/>
          <w:color w:val="auto"/>
        </w:rPr>
        <w:t>that this was de facto separate</w:t>
      </w:r>
      <w:r>
        <w:rPr>
          <w:rFonts w:cs="Times New Roman"/>
          <w:color w:val="auto"/>
        </w:rPr>
        <w:t xml:space="preserve"> ratings of 10% each </w:t>
      </w:r>
      <w:r w:rsidR="00001675">
        <w:rPr>
          <w:rFonts w:cs="Times New Roman"/>
          <w:color w:val="auto"/>
        </w:rPr>
        <w:t xml:space="preserve">under the same code </w:t>
      </w:r>
      <w:r>
        <w:rPr>
          <w:rFonts w:cs="Times New Roman"/>
          <w:color w:val="auto"/>
        </w:rPr>
        <w:t>with application of the bilateral factor.  The Board must conform to the VASRD and will treat the PEB adju</w:t>
      </w:r>
      <w:r w:rsidR="00001675">
        <w:rPr>
          <w:rFonts w:cs="Times New Roman"/>
          <w:color w:val="auto"/>
        </w:rPr>
        <w:t>dication as separate cond</w:t>
      </w:r>
      <w:r w:rsidR="00900347">
        <w:rPr>
          <w:rFonts w:cs="Times New Roman"/>
          <w:color w:val="auto"/>
        </w:rPr>
        <w:t>itions (as per the VA approach).</w:t>
      </w:r>
      <w:r w:rsidR="00001675">
        <w:rPr>
          <w:rFonts w:cs="Times New Roman"/>
          <w:color w:val="auto"/>
        </w:rPr>
        <w:t xml:space="preserve"> </w:t>
      </w:r>
      <w:r w:rsidR="00900347">
        <w:rPr>
          <w:rFonts w:cs="Times New Roman"/>
          <w:color w:val="auto"/>
        </w:rPr>
        <w:t xml:space="preserve"> Since there are no clinical</w:t>
      </w:r>
      <w:r>
        <w:rPr>
          <w:rFonts w:cs="Times New Roman"/>
          <w:color w:val="auto"/>
        </w:rPr>
        <w:t xml:space="preserve"> or </w:t>
      </w:r>
      <w:r w:rsidR="00900347">
        <w:rPr>
          <w:rFonts w:cs="Times New Roman"/>
          <w:color w:val="auto"/>
        </w:rPr>
        <w:t>functional</w:t>
      </w:r>
      <w:r>
        <w:rPr>
          <w:rFonts w:cs="Times New Roman"/>
          <w:color w:val="auto"/>
        </w:rPr>
        <w:t xml:space="preserve"> distinctions</w:t>
      </w:r>
      <w:r w:rsidR="00001675">
        <w:rPr>
          <w:rFonts w:cs="Times New Roman"/>
          <w:color w:val="auto"/>
        </w:rPr>
        <w:t>; it follows that the coding and rating</w:t>
      </w:r>
      <w:r>
        <w:rPr>
          <w:rFonts w:cs="Times New Roman"/>
          <w:color w:val="auto"/>
        </w:rPr>
        <w:t xml:space="preserve"> </w:t>
      </w:r>
      <w:r w:rsidR="00001675">
        <w:rPr>
          <w:rFonts w:cs="Times New Roman"/>
          <w:color w:val="auto"/>
        </w:rPr>
        <w:t>recommendations for each extremity</w:t>
      </w:r>
      <w:r w:rsidR="00900347">
        <w:rPr>
          <w:rFonts w:cs="Times New Roman"/>
          <w:color w:val="auto"/>
        </w:rPr>
        <w:t xml:space="preserve"> should be identical</w:t>
      </w:r>
      <w:r w:rsidR="00001675">
        <w:rPr>
          <w:rFonts w:cs="Times New Roman"/>
          <w:color w:val="auto"/>
        </w:rPr>
        <w:t xml:space="preserve">.  The Board first deliberated the optimal coding choice.  Both the PEB and VA analogously applied the clinically applicable muscle code, </w:t>
      </w:r>
      <w:r w:rsidR="00001675" w:rsidRPr="00001675">
        <w:rPr>
          <w:rFonts w:cs="Times New Roman"/>
          <w:color w:val="auto"/>
        </w:rPr>
        <w:t>5312</w:t>
      </w:r>
      <w:r w:rsidR="00001675">
        <w:rPr>
          <w:rFonts w:cs="Times New Roman"/>
          <w:color w:val="auto"/>
        </w:rPr>
        <w:t xml:space="preserve"> (anterior lower leg group).  This is the best pathologic and disability fit for compartment syndrome, despite that fact that there was no penetrating or blunt trauma in this case.  </w:t>
      </w:r>
      <w:r w:rsidR="0025219F">
        <w:rPr>
          <w:rFonts w:cs="Times New Roman"/>
          <w:color w:val="auto"/>
        </w:rPr>
        <w:t xml:space="preserve">It also rates </w:t>
      </w:r>
      <w:r w:rsidR="00900347">
        <w:rPr>
          <w:rFonts w:cs="Times New Roman"/>
          <w:color w:val="auto"/>
        </w:rPr>
        <w:t>any unfitting</w:t>
      </w:r>
      <w:r w:rsidR="0025219F">
        <w:rPr>
          <w:rFonts w:cs="Times New Roman"/>
          <w:color w:val="auto"/>
        </w:rPr>
        <w:t xml:space="preserve"> pain </w:t>
      </w:r>
      <w:r w:rsidR="00900347">
        <w:rPr>
          <w:rFonts w:cs="Times New Roman"/>
          <w:color w:val="auto"/>
        </w:rPr>
        <w:t>attributable to</w:t>
      </w:r>
      <w:r w:rsidR="0025219F">
        <w:rPr>
          <w:rFonts w:cs="Times New Roman"/>
          <w:color w:val="auto"/>
        </w:rPr>
        <w:t xml:space="preserve"> the co-existent shin splints.  </w:t>
      </w:r>
      <w:r w:rsidR="00900347">
        <w:rPr>
          <w:rFonts w:cs="Times New Roman"/>
          <w:color w:val="auto"/>
        </w:rPr>
        <w:t>Since there is no ratable c</w:t>
      </w:r>
      <w:r w:rsidR="0025219F">
        <w:rPr>
          <w:rFonts w:cs="Times New Roman"/>
          <w:color w:val="auto"/>
        </w:rPr>
        <w:t>ontiguous joint disability</w:t>
      </w:r>
      <w:r w:rsidR="00DD4E28">
        <w:rPr>
          <w:rFonts w:cs="Times New Roman"/>
          <w:color w:val="auto"/>
        </w:rPr>
        <w:t xml:space="preserve"> attributable to the DVT diagnosis</w:t>
      </w:r>
      <w:r w:rsidR="00900347">
        <w:rPr>
          <w:rFonts w:cs="Times New Roman"/>
          <w:color w:val="auto"/>
        </w:rPr>
        <w:t>,</w:t>
      </w:r>
      <w:r w:rsidR="0025219F">
        <w:rPr>
          <w:rFonts w:cs="Times New Roman"/>
          <w:color w:val="auto"/>
        </w:rPr>
        <w:t xml:space="preserve"> there is no</w:t>
      </w:r>
      <w:r w:rsidR="00900347">
        <w:rPr>
          <w:rFonts w:cs="Times New Roman"/>
          <w:color w:val="auto"/>
        </w:rPr>
        <w:t xml:space="preserve"> available code </w:t>
      </w:r>
      <w:r w:rsidR="0025219F">
        <w:rPr>
          <w:rFonts w:cs="Times New Roman"/>
          <w:color w:val="auto"/>
        </w:rPr>
        <w:t xml:space="preserve">more favorable </w:t>
      </w:r>
      <w:r w:rsidR="00900347">
        <w:rPr>
          <w:rFonts w:cs="Times New Roman"/>
          <w:color w:val="auto"/>
        </w:rPr>
        <w:t>to</w:t>
      </w:r>
      <w:r w:rsidR="0025219F">
        <w:rPr>
          <w:rFonts w:cs="Times New Roman"/>
          <w:color w:val="auto"/>
        </w:rPr>
        <w:t xml:space="preserve"> rating.  </w:t>
      </w:r>
      <w:r w:rsidR="002429AF">
        <w:rPr>
          <w:rFonts w:cs="Times New Roman"/>
          <w:color w:val="auto"/>
        </w:rPr>
        <w:t xml:space="preserve">The PEB’s </w:t>
      </w:r>
      <w:r w:rsidR="005E3F18">
        <w:rPr>
          <w:rFonts w:cs="Times New Roman"/>
          <w:color w:val="auto"/>
        </w:rPr>
        <w:t xml:space="preserve">10% </w:t>
      </w:r>
      <w:r w:rsidR="002429AF">
        <w:rPr>
          <w:rFonts w:cs="Times New Roman"/>
          <w:color w:val="auto"/>
        </w:rPr>
        <w:t xml:space="preserve">rating </w:t>
      </w:r>
      <w:r w:rsidR="005E3F18">
        <w:rPr>
          <w:rFonts w:cs="Times New Roman"/>
          <w:color w:val="auto"/>
        </w:rPr>
        <w:t>under 5312 for</w:t>
      </w:r>
      <w:r w:rsidR="002429AF">
        <w:rPr>
          <w:rFonts w:cs="Times New Roman"/>
          <w:color w:val="auto"/>
        </w:rPr>
        <w:t xml:space="preserve"> </w:t>
      </w:r>
      <w:r w:rsidR="002E4EF1">
        <w:rPr>
          <w:rFonts w:cs="Times New Roman"/>
          <w:color w:val="auto"/>
        </w:rPr>
        <w:t>“</w:t>
      </w:r>
      <w:r w:rsidR="002429AF">
        <w:rPr>
          <w:rFonts w:cs="Times New Roman"/>
          <w:color w:val="auto"/>
        </w:rPr>
        <w:t>moderate</w:t>
      </w:r>
      <w:r w:rsidR="002E4EF1">
        <w:rPr>
          <w:rFonts w:cs="Times New Roman"/>
          <w:color w:val="auto"/>
        </w:rPr>
        <w:t>”</w:t>
      </w:r>
      <w:r w:rsidR="002429AF">
        <w:rPr>
          <w:rFonts w:cs="Times New Roman"/>
          <w:color w:val="auto"/>
        </w:rPr>
        <w:t xml:space="preserve"> </w:t>
      </w:r>
      <w:r w:rsidR="005E3F18">
        <w:rPr>
          <w:rFonts w:cs="Times New Roman"/>
          <w:color w:val="auto"/>
        </w:rPr>
        <w:t xml:space="preserve">muscle </w:t>
      </w:r>
      <w:r w:rsidR="002429AF">
        <w:rPr>
          <w:rFonts w:cs="Times New Roman"/>
          <w:color w:val="auto"/>
        </w:rPr>
        <w:t xml:space="preserve">disability </w:t>
      </w:r>
      <w:r w:rsidR="002429AF" w:rsidRPr="002429AF">
        <w:rPr>
          <w:rFonts w:cs="Times New Roman"/>
          <w:color w:val="auto"/>
        </w:rPr>
        <w:t>connotes significant and constant pain with functional limitations on some occupational tasks and domestic chores, but little interference with essential activities of daily living.</w:t>
      </w:r>
      <w:r w:rsidR="002429AF">
        <w:rPr>
          <w:rFonts w:cs="Times New Roman"/>
          <w:color w:val="auto"/>
        </w:rPr>
        <w:t xml:space="preserve">  The next higher </w:t>
      </w:r>
      <w:r w:rsidR="005E3F18">
        <w:rPr>
          <w:rFonts w:cs="Times New Roman"/>
          <w:color w:val="auto"/>
        </w:rPr>
        <w:t xml:space="preserve">20% </w:t>
      </w:r>
      <w:r w:rsidR="002429AF">
        <w:rPr>
          <w:rFonts w:cs="Times New Roman"/>
          <w:color w:val="auto"/>
        </w:rPr>
        <w:t xml:space="preserve">rating </w:t>
      </w:r>
      <w:r w:rsidR="005E3F18">
        <w:rPr>
          <w:rFonts w:cs="Times New Roman"/>
          <w:color w:val="auto"/>
        </w:rPr>
        <w:t>for</w:t>
      </w:r>
      <w:r w:rsidR="002429AF">
        <w:rPr>
          <w:rFonts w:cs="Times New Roman"/>
          <w:color w:val="auto"/>
        </w:rPr>
        <w:t xml:space="preserve"> </w:t>
      </w:r>
      <w:r w:rsidR="002E4EF1">
        <w:rPr>
          <w:rFonts w:cs="Times New Roman"/>
          <w:color w:val="auto"/>
        </w:rPr>
        <w:t>“</w:t>
      </w:r>
      <w:r w:rsidR="002429AF">
        <w:rPr>
          <w:rFonts w:cs="Times New Roman"/>
          <w:color w:val="auto"/>
        </w:rPr>
        <w:t>moderately severe</w:t>
      </w:r>
      <w:r w:rsidR="002E4EF1">
        <w:rPr>
          <w:rFonts w:cs="Times New Roman"/>
          <w:color w:val="auto"/>
        </w:rPr>
        <w:t>”</w:t>
      </w:r>
      <w:r w:rsidR="002429AF">
        <w:rPr>
          <w:rFonts w:cs="Times New Roman"/>
          <w:color w:val="auto"/>
        </w:rPr>
        <w:t xml:space="preserve"> </w:t>
      </w:r>
      <w:r w:rsidR="005E3F18">
        <w:rPr>
          <w:rFonts w:cs="Times New Roman"/>
          <w:color w:val="auto"/>
        </w:rPr>
        <w:t xml:space="preserve">disability </w:t>
      </w:r>
      <w:r w:rsidR="005E3F18" w:rsidRPr="005E3F18">
        <w:rPr>
          <w:rFonts w:cs="Times New Roman"/>
          <w:color w:val="auto"/>
        </w:rPr>
        <w:t xml:space="preserve">connotes significant </w:t>
      </w:r>
      <w:r w:rsidR="005E3F18">
        <w:rPr>
          <w:rFonts w:cs="Times New Roman"/>
          <w:color w:val="auto"/>
        </w:rPr>
        <w:t xml:space="preserve">muscle </w:t>
      </w:r>
      <w:r w:rsidR="005E3F18" w:rsidRPr="005E3F18">
        <w:rPr>
          <w:rFonts w:cs="Times New Roman"/>
          <w:color w:val="auto"/>
        </w:rPr>
        <w:t xml:space="preserve">damage and pain with minimal </w:t>
      </w:r>
      <w:r w:rsidR="005E3F18">
        <w:rPr>
          <w:rFonts w:cs="Times New Roman"/>
          <w:color w:val="auto"/>
        </w:rPr>
        <w:t>use</w:t>
      </w:r>
      <w:r w:rsidR="005E3F18" w:rsidRPr="005E3F18">
        <w:rPr>
          <w:rFonts w:cs="Times New Roman"/>
          <w:color w:val="auto"/>
        </w:rPr>
        <w:t xml:space="preserve">, </w:t>
      </w:r>
      <w:r w:rsidR="005E3F18">
        <w:rPr>
          <w:rFonts w:cs="Times New Roman"/>
          <w:color w:val="auto"/>
        </w:rPr>
        <w:t>imposing</w:t>
      </w:r>
      <w:r w:rsidR="005E3F18" w:rsidRPr="005E3F18">
        <w:rPr>
          <w:rFonts w:cs="Times New Roman"/>
          <w:color w:val="auto"/>
        </w:rPr>
        <w:t xml:space="preserve"> </w:t>
      </w:r>
      <w:r w:rsidR="005E3F18">
        <w:rPr>
          <w:rFonts w:cs="Times New Roman"/>
          <w:color w:val="auto"/>
        </w:rPr>
        <w:t>some</w:t>
      </w:r>
      <w:r w:rsidR="005E3F18" w:rsidRPr="005E3F18">
        <w:rPr>
          <w:rFonts w:cs="Times New Roman"/>
          <w:color w:val="auto"/>
        </w:rPr>
        <w:t xml:space="preserve"> limitations on mobility and routine activities.  </w:t>
      </w:r>
      <w:r w:rsidR="004D4A2C">
        <w:rPr>
          <w:rFonts w:cs="Times New Roman"/>
          <w:color w:val="auto"/>
        </w:rPr>
        <w:t>All members agreed that criteria for the higher rating were not reasonably supported by the evidence at separation.</w:t>
      </w:r>
      <w:r w:rsidR="004D4A2C">
        <w:rPr>
          <w:rFonts w:eastAsia="Calibri" w:cs="Times New Roman"/>
          <w:color w:val="auto"/>
          <w:szCs w:val="24"/>
        </w:rPr>
        <w:t xml:space="preserve">  </w:t>
      </w:r>
      <w:r w:rsidR="004D4A2C" w:rsidRPr="00626902">
        <w:rPr>
          <w:rFonts w:eastAsia="Calibri" w:cs="Times New Roman"/>
          <w:color w:val="auto"/>
          <w:szCs w:val="24"/>
        </w:rPr>
        <w:t xml:space="preserve">After due deliberation, considering all of the evidence and mindful of VASRD §4.3 (reasonable doubt), the Board concluded that </w:t>
      </w:r>
      <w:r w:rsidR="004D4A2C">
        <w:rPr>
          <w:rFonts w:eastAsia="Calibri" w:cs="Times New Roman"/>
          <w:color w:val="auto"/>
          <w:szCs w:val="24"/>
        </w:rPr>
        <w:t xml:space="preserve">the bilateral leg condition was fairly rated at 10% for each extremity under 5399-5312. </w:t>
      </w:r>
    </w:p>
    <w:p w:rsidR="00792790" w:rsidRDefault="00792790" w:rsidP="001554E4">
      <w:pPr>
        <w:jc w:val="both"/>
        <w:rPr>
          <w:rFonts w:eastAsia="Calibri" w:cs="Times New Roman"/>
          <w:color w:val="auto"/>
          <w:szCs w:val="24"/>
        </w:rPr>
      </w:pPr>
    </w:p>
    <w:p w:rsidR="004D4A2C" w:rsidRDefault="00792790" w:rsidP="00792790">
      <w:pPr>
        <w:jc w:val="both"/>
        <w:rPr>
          <w:rFonts w:eastAsia="Calibri" w:cs="Times New Roman"/>
          <w:color w:val="auto"/>
          <w:szCs w:val="24"/>
        </w:rPr>
      </w:pPr>
      <w:r w:rsidRPr="00CD0565">
        <w:rPr>
          <w:rFonts w:eastAsia="Calibri" w:cs="Times New Roman"/>
          <w:color w:val="auto"/>
          <w:szCs w:val="24"/>
          <w:u w:val="single"/>
        </w:rPr>
        <w:t xml:space="preserve">Contended </w:t>
      </w:r>
      <w:r w:rsidR="00CD0565" w:rsidRPr="00CD0565">
        <w:rPr>
          <w:rFonts w:eastAsia="Calibri" w:cs="Times New Roman"/>
          <w:color w:val="auto"/>
          <w:szCs w:val="24"/>
          <w:u w:val="single"/>
        </w:rPr>
        <w:t xml:space="preserve">Bilateral Knee and Foot </w:t>
      </w:r>
      <w:r w:rsidRPr="00CD0565">
        <w:rPr>
          <w:rFonts w:eastAsia="Calibri" w:cs="Times New Roman"/>
          <w:color w:val="auto"/>
          <w:szCs w:val="24"/>
          <w:u w:val="single"/>
        </w:rPr>
        <w:t>Conditions</w:t>
      </w:r>
      <w:r>
        <w:rPr>
          <w:rFonts w:eastAsia="Calibri" w:cs="Times New Roman"/>
          <w:color w:val="auto"/>
          <w:szCs w:val="24"/>
        </w:rPr>
        <w:t xml:space="preserve">.  </w:t>
      </w:r>
      <w:r w:rsidR="00CD0565">
        <w:rPr>
          <w:rFonts w:eastAsia="Calibri" w:cs="Times New Roman"/>
          <w:color w:val="auto"/>
          <w:szCs w:val="24"/>
        </w:rPr>
        <w:t xml:space="preserve">The NARSUM did not elaborate a clinical history for the knee or foot conditions, noting them only as a current complaint.  </w:t>
      </w:r>
      <w:r w:rsidR="00B02D5A">
        <w:rPr>
          <w:rFonts w:eastAsia="Calibri" w:cs="Times New Roman"/>
          <w:color w:val="auto"/>
          <w:szCs w:val="24"/>
        </w:rPr>
        <w:t>Regarding the knee condition, t</w:t>
      </w:r>
      <w:r w:rsidR="00040BBD">
        <w:rPr>
          <w:rFonts w:eastAsia="Calibri" w:cs="Times New Roman"/>
          <w:color w:val="auto"/>
          <w:szCs w:val="24"/>
        </w:rPr>
        <w:t>he VA C&amp;P examiner noted a history of patellar pain dating to 2002 (Special Forces training), which was exacerbated by climbing sta</w:t>
      </w:r>
      <w:r w:rsidR="00CB15D7">
        <w:rPr>
          <w:rFonts w:eastAsia="Calibri" w:cs="Times New Roman"/>
          <w:color w:val="auto"/>
          <w:szCs w:val="24"/>
        </w:rPr>
        <w:t xml:space="preserve">irs and squatting.  </w:t>
      </w:r>
      <w:r w:rsidR="00CD0565">
        <w:rPr>
          <w:rFonts w:eastAsia="Calibri" w:cs="Times New Roman"/>
          <w:color w:val="auto"/>
          <w:szCs w:val="24"/>
        </w:rPr>
        <w:t xml:space="preserve">The </w:t>
      </w:r>
      <w:r w:rsidR="002E4EF1">
        <w:rPr>
          <w:rFonts w:eastAsia="Calibri" w:cs="Times New Roman"/>
          <w:color w:val="auto"/>
          <w:szCs w:val="24"/>
        </w:rPr>
        <w:t>s</w:t>
      </w:r>
      <w:r w:rsidR="00CD0565">
        <w:rPr>
          <w:rFonts w:eastAsia="Calibri" w:cs="Times New Roman"/>
          <w:color w:val="auto"/>
          <w:szCs w:val="24"/>
        </w:rPr>
        <w:t>ervice records note sporadic</w:t>
      </w:r>
      <w:r w:rsidR="00040BBD">
        <w:rPr>
          <w:rFonts w:eastAsia="Calibri" w:cs="Times New Roman"/>
          <w:color w:val="auto"/>
          <w:szCs w:val="24"/>
        </w:rPr>
        <w:t xml:space="preserve"> complaints of knee</w:t>
      </w:r>
      <w:r w:rsidR="00CD0565">
        <w:rPr>
          <w:rFonts w:eastAsia="Calibri" w:cs="Times New Roman"/>
          <w:color w:val="auto"/>
          <w:szCs w:val="24"/>
        </w:rPr>
        <w:t xml:space="preserve"> pain associated with the lower leg condition; although, there are no visits directed specifically at </w:t>
      </w:r>
      <w:r w:rsidR="00040BBD">
        <w:rPr>
          <w:rFonts w:eastAsia="Calibri" w:cs="Times New Roman"/>
          <w:color w:val="auto"/>
          <w:szCs w:val="24"/>
        </w:rPr>
        <w:t>this complaint</w:t>
      </w:r>
      <w:r w:rsidR="00E40E1D">
        <w:rPr>
          <w:rFonts w:eastAsia="Calibri" w:cs="Times New Roman"/>
          <w:color w:val="auto"/>
          <w:szCs w:val="24"/>
        </w:rPr>
        <w:t>,</w:t>
      </w:r>
      <w:r w:rsidR="00CD0565">
        <w:rPr>
          <w:rFonts w:eastAsia="Calibri" w:cs="Times New Roman"/>
          <w:color w:val="auto"/>
          <w:szCs w:val="24"/>
        </w:rPr>
        <w:t xml:space="preserve"> no</w:t>
      </w:r>
      <w:r w:rsidR="00E40E1D">
        <w:rPr>
          <w:rFonts w:eastAsia="Calibri" w:cs="Times New Roman"/>
          <w:color w:val="auto"/>
          <w:szCs w:val="24"/>
        </w:rPr>
        <w:t xml:space="preserve"> directed ancillary evaluations, no directed therapy notes, and</w:t>
      </w:r>
      <w:r w:rsidR="00CD0565">
        <w:rPr>
          <w:rFonts w:eastAsia="Calibri" w:cs="Times New Roman"/>
          <w:color w:val="auto"/>
          <w:szCs w:val="24"/>
        </w:rPr>
        <w:t xml:space="preserve"> no </w:t>
      </w:r>
      <w:r w:rsidR="00E40E1D">
        <w:rPr>
          <w:rFonts w:eastAsia="Calibri" w:cs="Times New Roman"/>
          <w:color w:val="auto"/>
          <w:szCs w:val="24"/>
        </w:rPr>
        <w:t>recorded</w:t>
      </w:r>
      <w:r w:rsidR="00CD0565">
        <w:rPr>
          <w:rFonts w:eastAsia="Calibri" w:cs="Times New Roman"/>
          <w:color w:val="auto"/>
          <w:szCs w:val="24"/>
        </w:rPr>
        <w:t xml:space="preserve"> diagnos</w:t>
      </w:r>
      <w:r w:rsidR="00040BBD">
        <w:rPr>
          <w:rFonts w:eastAsia="Calibri" w:cs="Times New Roman"/>
          <w:color w:val="auto"/>
          <w:szCs w:val="24"/>
        </w:rPr>
        <w:t>is</w:t>
      </w:r>
      <w:r w:rsidR="00CD0565">
        <w:rPr>
          <w:rFonts w:eastAsia="Calibri" w:cs="Times New Roman"/>
          <w:color w:val="auto"/>
          <w:szCs w:val="24"/>
        </w:rPr>
        <w:t xml:space="preserve"> until the MEB evaluation.  </w:t>
      </w:r>
      <w:r w:rsidR="00040BBD">
        <w:rPr>
          <w:rFonts w:eastAsia="Calibri" w:cs="Times New Roman"/>
          <w:color w:val="auto"/>
          <w:szCs w:val="24"/>
        </w:rPr>
        <w:t>This was the basis for the VA’s determin</w:t>
      </w:r>
      <w:r w:rsidR="002E4EF1">
        <w:rPr>
          <w:rFonts w:eastAsia="Calibri" w:cs="Times New Roman"/>
          <w:color w:val="auto"/>
          <w:szCs w:val="24"/>
        </w:rPr>
        <w:t>ation that there was no service-</w:t>
      </w:r>
      <w:r w:rsidR="00040BBD">
        <w:rPr>
          <w:rFonts w:eastAsia="Calibri" w:cs="Times New Roman"/>
          <w:color w:val="auto"/>
          <w:szCs w:val="24"/>
        </w:rPr>
        <w:t xml:space="preserve">connected knee condition.  </w:t>
      </w:r>
      <w:r w:rsidR="00CB15D7">
        <w:rPr>
          <w:rFonts w:eastAsia="Calibri" w:cs="Times New Roman"/>
          <w:color w:val="auto"/>
          <w:szCs w:val="24"/>
        </w:rPr>
        <w:t>MEB and VA physical examinations wer</w:t>
      </w:r>
      <w:r w:rsidR="002E4EF1">
        <w:rPr>
          <w:rFonts w:eastAsia="Calibri" w:cs="Times New Roman"/>
          <w:color w:val="auto"/>
          <w:szCs w:val="24"/>
        </w:rPr>
        <w:t>e essentially benign, and range-of-</w:t>
      </w:r>
      <w:r w:rsidR="00CB15D7">
        <w:rPr>
          <w:rFonts w:eastAsia="Calibri" w:cs="Times New Roman"/>
          <w:color w:val="auto"/>
          <w:szCs w:val="24"/>
        </w:rPr>
        <w:t xml:space="preserve">motion </w:t>
      </w:r>
      <w:r w:rsidR="002E4EF1">
        <w:rPr>
          <w:rFonts w:eastAsia="Calibri" w:cs="Times New Roman"/>
          <w:color w:val="auto"/>
          <w:szCs w:val="24"/>
        </w:rPr>
        <w:t xml:space="preserve">(ROM) </w:t>
      </w:r>
      <w:r w:rsidR="00CB15D7">
        <w:rPr>
          <w:rFonts w:eastAsia="Calibri" w:cs="Times New Roman"/>
          <w:color w:val="auto"/>
          <w:szCs w:val="24"/>
        </w:rPr>
        <w:t xml:space="preserve">was normal for both knees.  </w:t>
      </w:r>
      <w:r w:rsidR="00B02D5A">
        <w:rPr>
          <w:rFonts w:eastAsia="Calibri" w:cs="Times New Roman"/>
          <w:color w:val="auto"/>
          <w:szCs w:val="24"/>
        </w:rPr>
        <w:t>Regarding the foot condition, t</w:t>
      </w:r>
      <w:r w:rsidR="00CB15D7">
        <w:rPr>
          <w:rFonts w:eastAsia="Calibri" w:cs="Times New Roman"/>
          <w:color w:val="auto"/>
          <w:szCs w:val="24"/>
        </w:rPr>
        <w:t>he CI related a history of bil</w:t>
      </w:r>
      <w:r w:rsidR="00B02D5A">
        <w:rPr>
          <w:rFonts w:eastAsia="Calibri" w:cs="Times New Roman"/>
          <w:color w:val="auto"/>
          <w:szCs w:val="24"/>
        </w:rPr>
        <w:t>ateral foot pain during the MEB; and,</w:t>
      </w:r>
      <w:r w:rsidR="00CB15D7">
        <w:rPr>
          <w:rFonts w:eastAsia="Calibri" w:cs="Times New Roman"/>
          <w:color w:val="auto"/>
          <w:szCs w:val="24"/>
        </w:rPr>
        <w:t xml:space="preserve"> </w:t>
      </w:r>
      <w:r w:rsidR="00B02D5A">
        <w:rPr>
          <w:rFonts w:eastAsia="Calibri" w:cs="Times New Roman"/>
          <w:color w:val="auto"/>
          <w:szCs w:val="24"/>
        </w:rPr>
        <w:t>this</w:t>
      </w:r>
      <w:r w:rsidR="00CB15D7">
        <w:rPr>
          <w:rFonts w:eastAsia="Calibri" w:cs="Times New Roman"/>
          <w:color w:val="auto"/>
          <w:szCs w:val="24"/>
        </w:rPr>
        <w:t xml:space="preserve"> was treated with shoe inserts.  There was no specific diagnosis rendered, and no referral to podiatry was made.  Bilateral foot X-rays in June 2004 noted “slight flattening of the left plantar arch</w:t>
      </w:r>
      <w:r w:rsidR="00140533">
        <w:rPr>
          <w:rFonts w:eastAsia="Calibri" w:cs="Times New Roman"/>
          <w:color w:val="auto"/>
          <w:szCs w:val="24"/>
        </w:rPr>
        <w:t>.</w:t>
      </w:r>
      <w:r w:rsidR="00CB15D7">
        <w:rPr>
          <w:rFonts w:eastAsia="Calibri" w:cs="Times New Roman"/>
          <w:color w:val="auto"/>
          <w:szCs w:val="24"/>
        </w:rPr>
        <w:t xml:space="preserve">”  The NARSUM entry simply stated “mild </w:t>
      </w:r>
      <w:proofErr w:type="spellStart"/>
      <w:r w:rsidR="00CB15D7">
        <w:rPr>
          <w:rFonts w:eastAsia="Calibri" w:cs="Times New Roman"/>
          <w:color w:val="auto"/>
          <w:szCs w:val="24"/>
        </w:rPr>
        <w:t>pes</w:t>
      </w:r>
      <w:proofErr w:type="spellEnd"/>
      <w:r w:rsidR="00CB15D7">
        <w:rPr>
          <w:rFonts w:eastAsia="Calibri" w:cs="Times New Roman"/>
          <w:color w:val="auto"/>
          <w:szCs w:val="24"/>
        </w:rPr>
        <w:t xml:space="preserve"> </w:t>
      </w:r>
      <w:proofErr w:type="spellStart"/>
      <w:r w:rsidR="00CB15D7">
        <w:rPr>
          <w:rFonts w:eastAsia="Calibri" w:cs="Times New Roman"/>
          <w:color w:val="auto"/>
          <w:szCs w:val="24"/>
        </w:rPr>
        <w:t>planus</w:t>
      </w:r>
      <w:proofErr w:type="spellEnd"/>
      <w:r w:rsidR="00CB15D7">
        <w:rPr>
          <w:rFonts w:eastAsia="Calibri" w:cs="Times New Roman"/>
          <w:color w:val="auto"/>
          <w:szCs w:val="24"/>
        </w:rPr>
        <w:t xml:space="preserve">, asymptomatic, medically </w:t>
      </w:r>
      <w:r w:rsidR="00CB15D7">
        <w:rPr>
          <w:rFonts w:eastAsia="Calibri" w:cs="Times New Roman"/>
          <w:color w:val="auto"/>
          <w:szCs w:val="24"/>
        </w:rPr>
        <w:lastRenderedPageBreak/>
        <w:t>acceptable</w:t>
      </w:r>
      <w:r w:rsidR="00140533">
        <w:rPr>
          <w:rFonts w:eastAsia="Calibri" w:cs="Times New Roman"/>
          <w:color w:val="auto"/>
          <w:szCs w:val="24"/>
        </w:rPr>
        <w:t>.”</w:t>
      </w:r>
      <w:r w:rsidR="00CB15D7">
        <w:rPr>
          <w:rFonts w:eastAsia="Calibri" w:cs="Times New Roman"/>
          <w:color w:val="auto"/>
          <w:szCs w:val="24"/>
        </w:rPr>
        <w:t xml:space="preserve">  </w:t>
      </w:r>
      <w:r w:rsidR="002202F9">
        <w:rPr>
          <w:rFonts w:eastAsia="Calibri" w:cs="Times New Roman"/>
          <w:color w:val="auto"/>
          <w:szCs w:val="24"/>
        </w:rPr>
        <w:t>The VA examiner recorded “a lot of pain on the bottoms of both feet</w:t>
      </w:r>
      <w:r w:rsidR="00140533">
        <w:rPr>
          <w:rFonts w:eastAsia="Calibri" w:cs="Times New Roman"/>
          <w:color w:val="auto"/>
          <w:szCs w:val="24"/>
        </w:rPr>
        <w:t>,</w:t>
      </w:r>
      <w:r w:rsidR="002202F9">
        <w:rPr>
          <w:rFonts w:eastAsia="Calibri" w:cs="Times New Roman"/>
          <w:color w:val="auto"/>
          <w:szCs w:val="24"/>
        </w:rPr>
        <w:t xml:space="preserve">” </w:t>
      </w:r>
      <w:r w:rsidR="00E40E1D">
        <w:rPr>
          <w:rFonts w:eastAsia="Calibri" w:cs="Times New Roman"/>
          <w:color w:val="auto"/>
          <w:szCs w:val="24"/>
        </w:rPr>
        <w:t>noting</w:t>
      </w:r>
      <w:r w:rsidR="002202F9">
        <w:rPr>
          <w:rFonts w:eastAsia="Calibri" w:cs="Times New Roman"/>
          <w:color w:val="auto"/>
          <w:szCs w:val="24"/>
        </w:rPr>
        <w:t xml:space="preserve"> </w:t>
      </w:r>
      <w:r w:rsidR="00CB15D7">
        <w:rPr>
          <w:rFonts w:eastAsia="Calibri" w:cs="Times New Roman"/>
          <w:color w:val="auto"/>
          <w:szCs w:val="24"/>
        </w:rPr>
        <w:t xml:space="preserve">tenderness at the sole and arch </w:t>
      </w:r>
      <w:r w:rsidR="002202F9">
        <w:rPr>
          <w:rFonts w:eastAsia="Calibri" w:cs="Times New Roman"/>
          <w:color w:val="auto"/>
          <w:szCs w:val="24"/>
        </w:rPr>
        <w:t>of the right foot on exam</w:t>
      </w:r>
      <w:r w:rsidR="00CB15D7">
        <w:rPr>
          <w:rFonts w:eastAsia="Calibri" w:cs="Times New Roman"/>
          <w:color w:val="auto"/>
          <w:szCs w:val="24"/>
        </w:rPr>
        <w:t>.</w:t>
      </w:r>
    </w:p>
    <w:p w:rsidR="00CB15D7" w:rsidRDefault="00CB15D7" w:rsidP="00792790">
      <w:pPr>
        <w:jc w:val="both"/>
        <w:rPr>
          <w:rFonts w:eastAsia="Calibri" w:cs="Times New Roman"/>
          <w:color w:val="auto"/>
          <w:szCs w:val="24"/>
        </w:rPr>
      </w:pPr>
    </w:p>
    <w:p w:rsidR="00792790" w:rsidRDefault="004D4A2C" w:rsidP="00792790">
      <w:pPr>
        <w:jc w:val="both"/>
        <w:rPr>
          <w:rFonts w:eastAsia="Calibri" w:cs="Times New Roman"/>
          <w:color w:val="auto"/>
          <w:szCs w:val="24"/>
        </w:rPr>
      </w:pPr>
      <w:r>
        <w:rPr>
          <w:rFonts w:eastAsia="Calibri" w:cs="Times New Roman"/>
          <w:color w:val="auto"/>
          <w:szCs w:val="24"/>
        </w:rPr>
        <w:t>As elaborated in the introduction, t</w:t>
      </w:r>
      <w:r w:rsidR="00F74399" w:rsidRPr="00F74399">
        <w:rPr>
          <w:rFonts w:eastAsia="Calibri" w:cs="Times New Roman"/>
          <w:color w:val="auto"/>
          <w:szCs w:val="24"/>
        </w:rPr>
        <w:t xml:space="preserve">he Board’s </w:t>
      </w:r>
      <w:r>
        <w:rPr>
          <w:rFonts w:eastAsia="Calibri" w:cs="Times New Roman"/>
          <w:color w:val="auto"/>
          <w:szCs w:val="24"/>
        </w:rPr>
        <w:t>first</w:t>
      </w:r>
      <w:r w:rsidR="00F74399" w:rsidRPr="00F74399">
        <w:rPr>
          <w:rFonts w:eastAsia="Calibri" w:cs="Times New Roman"/>
          <w:color w:val="auto"/>
          <w:szCs w:val="24"/>
        </w:rPr>
        <w:t xml:space="preserve"> charge with respect to the contended conditions is an assessment of the fairness of the </w:t>
      </w:r>
      <w:r>
        <w:rPr>
          <w:rFonts w:eastAsia="Calibri" w:cs="Times New Roman"/>
          <w:color w:val="auto"/>
          <w:szCs w:val="24"/>
        </w:rPr>
        <w:t xml:space="preserve">PEB’s </w:t>
      </w:r>
      <w:r w:rsidR="00F74399" w:rsidRPr="00F74399">
        <w:rPr>
          <w:rFonts w:eastAsia="Calibri" w:cs="Times New Roman"/>
          <w:color w:val="auto"/>
          <w:szCs w:val="24"/>
        </w:rPr>
        <w:t xml:space="preserve">determination that they were not unfitting.  The Board’s threshold for countering fitness determinations is higher than the VASRD §4.3 (reasonable doubt) standard used for its rating recommendations, but remains adherent to the DoDI 6040.44 “fair and equitable” standard.  </w:t>
      </w:r>
      <w:r w:rsidR="002202F9">
        <w:rPr>
          <w:rFonts w:eastAsia="Calibri" w:cs="Times New Roman"/>
          <w:color w:val="auto"/>
          <w:szCs w:val="24"/>
        </w:rPr>
        <w:t>Both conditions, designated “bilateral anterior knee pain” and “flat feet” appeared on the permanent L3 profile; and, the commander’s statement was directed at “pain in knees, ankle and shin splints</w:t>
      </w:r>
      <w:r w:rsidR="00140533">
        <w:rPr>
          <w:rFonts w:eastAsia="Calibri" w:cs="Times New Roman"/>
          <w:color w:val="auto"/>
          <w:szCs w:val="24"/>
        </w:rPr>
        <w:t>.</w:t>
      </w:r>
      <w:r w:rsidR="002202F9">
        <w:rPr>
          <w:rFonts w:eastAsia="Calibri" w:cs="Times New Roman"/>
          <w:color w:val="auto"/>
          <w:szCs w:val="24"/>
        </w:rPr>
        <w:t>”  Neither the profile nor commander’</w:t>
      </w:r>
      <w:r w:rsidR="00FF7D10">
        <w:rPr>
          <w:rFonts w:eastAsia="Calibri" w:cs="Times New Roman"/>
          <w:color w:val="auto"/>
          <w:szCs w:val="24"/>
        </w:rPr>
        <w:t>s statement</w:t>
      </w:r>
      <w:r w:rsidR="00203A87">
        <w:rPr>
          <w:rFonts w:eastAsia="Calibri" w:cs="Times New Roman"/>
          <w:color w:val="auto"/>
          <w:szCs w:val="24"/>
        </w:rPr>
        <w:t>;</w:t>
      </w:r>
      <w:r w:rsidR="002202F9">
        <w:rPr>
          <w:rFonts w:eastAsia="Calibri" w:cs="Times New Roman"/>
          <w:color w:val="auto"/>
          <w:szCs w:val="24"/>
        </w:rPr>
        <w:t xml:space="preserve"> however, </w:t>
      </w:r>
      <w:r w:rsidR="00FF7D10">
        <w:rPr>
          <w:rFonts w:eastAsia="Calibri" w:cs="Times New Roman"/>
          <w:color w:val="auto"/>
          <w:szCs w:val="24"/>
        </w:rPr>
        <w:t>documented</w:t>
      </w:r>
      <w:r w:rsidR="002202F9">
        <w:rPr>
          <w:rFonts w:eastAsia="Calibri" w:cs="Times New Roman"/>
          <w:color w:val="auto"/>
          <w:szCs w:val="24"/>
        </w:rPr>
        <w:t xml:space="preserve"> any physical limitations beyond those imposed by the primary b</w:t>
      </w:r>
      <w:r w:rsidR="00FF7D10">
        <w:rPr>
          <w:rFonts w:eastAsia="Calibri" w:cs="Times New Roman"/>
          <w:color w:val="auto"/>
          <w:szCs w:val="24"/>
        </w:rPr>
        <w:t xml:space="preserve">ilateral leg condition; and, the orthopedic opinion expressed in the NARSUM was explicit that neither of these conditions was disqualifying.  </w:t>
      </w:r>
      <w:r w:rsidR="000E4C41">
        <w:rPr>
          <w:rFonts w:eastAsia="Calibri" w:cs="Times New Roman"/>
          <w:color w:val="auto"/>
          <w:szCs w:val="24"/>
        </w:rPr>
        <w:t xml:space="preserve">It should also be noted that compensable criteria IAW VASRD §4.71a were not in evidence for the contended conditions, even if conceded as unfitting.  </w:t>
      </w:r>
      <w:r w:rsidR="00FF7D10">
        <w:rPr>
          <w:color w:val="000000"/>
        </w:rPr>
        <w:t>Both conditions</w:t>
      </w:r>
      <w:r w:rsidR="00792790" w:rsidRPr="001F29F9">
        <w:rPr>
          <w:color w:val="000000"/>
        </w:rPr>
        <w:t xml:space="preserve"> were reviewed by the </w:t>
      </w:r>
      <w:r w:rsidR="00203A87">
        <w:rPr>
          <w:color w:val="000000"/>
        </w:rPr>
        <w:t>a</w:t>
      </w:r>
      <w:r w:rsidR="00792790" w:rsidRPr="001F29F9">
        <w:rPr>
          <w:color w:val="000000"/>
        </w:rPr>
        <w:t xml:space="preserve">ction </w:t>
      </w:r>
      <w:r w:rsidR="00203A87">
        <w:rPr>
          <w:color w:val="000000"/>
        </w:rPr>
        <w:t>o</w:t>
      </w:r>
      <w:r w:rsidR="00792790" w:rsidRPr="001F29F9">
        <w:rPr>
          <w:color w:val="000000"/>
        </w:rPr>
        <w:t xml:space="preserve">fficer and considered by the Board. </w:t>
      </w:r>
      <w:r w:rsidR="00792790">
        <w:rPr>
          <w:color w:val="000000"/>
        </w:rPr>
        <w:t xml:space="preserve"> </w:t>
      </w:r>
      <w:r w:rsidR="00792790" w:rsidRPr="001F29F9">
        <w:rPr>
          <w:color w:val="000000"/>
        </w:rPr>
        <w:t xml:space="preserve">There was no indication from the record that </w:t>
      </w:r>
      <w:r w:rsidR="00FF7D10">
        <w:rPr>
          <w:color w:val="000000"/>
        </w:rPr>
        <w:t>either of them</w:t>
      </w:r>
      <w:r w:rsidR="00792790" w:rsidRPr="001F29F9">
        <w:rPr>
          <w:color w:val="000000"/>
        </w:rPr>
        <w:t xml:space="preserve"> significantly interfered with satisfactory duty performance</w:t>
      </w:r>
      <w:r w:rsidR="00FF7D10">
        <w:rPr>
          <w:color w:val="000000"/>
        </w:rPr>
        <w:t xml:space="preserve">.  </w:t>
      </w:r>
      <w:r w:rsidR="00792790"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w:t>
      </w:r>
      <w:r w:rsidR="00FF7D10">
        <w:rPr>
          <w:rFonts w:eastAsia="Calibri" w:cs="Times New Roman"/>
          <w:color w:val="auto"/>
          <w:szCs w:val="24"/>
        </w:rPr>
        <w:t>the bilateral knee or foot</w:t>
      </w:r>
      <w:r w:rsidR="00792790" w:rsidRPr="00792790">
        <w:rPr>
          <w:rFonts w:eastAsia="Calibri" w:cs="Times New Roman"/>
          <w:color w:val="auto"/>
          <w:szCs w:val="24"/>
        </w:rPr>
        <w:t xml:space="preserve"> conditions; and, therefore, no additional disability ratings can be recommended.</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C3C9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The Board did not surmise from the record or PEB ruling in this case that any prerogatives outside the VASRD were exercised.</w:t>
      </w:r>
      <w:r w:rsidR="008734E7">
        <w:rPr>
          <w:rFonts w:cs="Times New Roman"/>
          <w:color w:val="auto"/>
        </w:rPr>
        <w:t xml:space="preserve"> </w:t>
      </w:r>
      <w:r w:rsidRPr="00D8352E">
        <w:rPr>
          <w:rFonts w:cs="Times New Roman"/>
          <w:color w:val="auto"/>
        </w:rPr>
        <w:t xml:space="preserve"> </w:t>
      </w:r>
      <w:r w:rsidR="00241B01" w:rsidRPr="00241B01">
        <w:rPr>
          <w:rFonts w:eastAsia="Calibri" w:cs="Times New Roman"/>
          <w:color w:val="auto"/>
          <w:szCs w:val="24"/>
        </w:rPr>
        <w:t xml:space="preserve">In </w:t>
      </w:r>
      <w:r w:rsidR="00241B01" w:rsidRPr="006931BC">
        <w:rPr>
          <w:rFonts w:eastAsia="Calibri" w:cs="Times New Roman"/>
          <w:color w:val="auto"/>
          <w:szCs w:val="24"/>
        </w:rPr>
        <w:t xml:space="preserve">the matter of the </w:t>
      </w:r>
      <w:r w:rsidR="00FF7D10" w:rsidRPr="006931BC">
        <w:rPr>
          <w:rFonts w:eastAsia="Calibri" w:cs="Times New Roman"/>
          <w:color w:val="auto"/>
          <w:szCs w:val="24"/>
        </w:rPr>
        <w:t xml:space="preserve">exertional compartment syndrome of the </w:t>
      </w:r>
      <w:r w:rsidR="004249F0" w:rsidRPr="006931BC">
        <w:rPr>
          <w:rFonts w:eastAsia="Calibri" w:cs="Times New Roman"/>
          <w:color w:val="auto"/>
          <w:szCs w:val="24"/>
        </w:rPr>
        <w:t xml:space="preserve">bilateral </w:t>
      </w:r>
      <w:r w:rsidR="00FF7D10" w:rsidRPr="006931BC">
        <w:rPr>
          <w:rFonts w:eastAsia="Calibri" w:cs="Times New Roman"/>
          <w:color w:val="auto"/>
          <w:szCs w:val="24"/>
        </w:rPr>
        <w:t xml:space="preserve">lower </w:t>
      </w:r>
      <w:r w:rsidR="004249F0" w:rsidRPr="006931BC">
        <w:rPr>
          <w:rFonts w:eastAsia="Calibri" w:cs="Times New Roman"/>
          <w:color w:val="auto"/>
          <w:szCs w:val="24"/>
        </w:rPr>
        <w:t xml:space="preserve">extremities,  the Board unanimously recommends that it be rated for separate left and right </w:t>
      </w:r>
      <w:r w:rsidR="000E4C41" w:rsidRPr="006931BC">
        <w:rPr>
          <w:rFonts w:eastAsia="Calibri" w:cs="Times New Roman"/>
          <w:color w:val="auto"/>
          <w:szCs w:val="24"/>
        </w:rPr>
        <w:t xml:space="preserve">leg </w:t>
      </w:r>
      <w:r w:rsidR="004249F0" w:rsidRPr="006931BC">
        <w:rPr>
          <w:rFonts w:eastAsia="Calibri" w:cs="Times New Roman"/>
          <w:color w:val="auto"/>
          <w:szCs w:val="24"/>
        </w:rPr>
        <w:t>conditions</w:t>
      </w:r>
      <w:r w:rsidR="000E4C41" w:rsidRPr="006931BC">
        <w:rPr>
          <w:rFonts w:eastAsia="Calibri" w:cs="Times New Roman"/>
          <w:color w:val="auto"/>
          <w:szCs w:val="24"/>
        </w:rPr>
        <w:t xml:space="preserve"> IAW §4.73</w:t>
      </w:r>
      <w:r w:rsidR="004249F0" w:rsidRPr="006931BC">
        <w:rPr>
          <w:rFonts w:eastAsia="Calibri" w:cs="Times New Roman"/>
          <w:color w:val="auto"/>
          <w:szCs w:val="24"/>
        </w:rPr>
        <w:t xml:space="preserve">; each coded </w:t>
      </w:r>
      <w:r w:rsidR="004249F0" w:rsidRPr="006931BC">
        <w:rPr>
          <w:color w:val="000000"/>
          <w:szCs w:val="24"/>
        </w:rPr>
        <w:t>5399-5312</w:t>
      </w:r>
      <w:r w:rsidR="004249F0">
        <w:rPr>
          <w:color w:val="000000"/>
          <w:szCs w:val="24"/>
        </w:rPr>
        <w:t xml:space="preserve"> </w:t>
      </w:r>
      <w:r w:rsidR="004249F0" w:rsidRPr="00232D3B">
        <w:rPr>
          <w:rFonts w:eastAsia="Calibri" w:cs="Times New Roman"/>
          <w:color w:val="auto"/>
          <w:szCs w:val="24"/>
        </w:rPr>
        <w:t xml:space="preserve">and </w:t>
      </w:r>
      <w:r w:rsidR="004249F0">
        <w:rPr>
          <w:rFonts w:eastAsia="Calibri" w:cs="Times New Roman"/>
          <w:color w:val="auto"/>
          <w:szCs w:val="24"/>
        </w:rPr>
        <w:t xml:space="preserve">each </w:t>
      </w:r>
      <w:r w:rsidR="004249F0" w:rsidRPr="00232D3B">
        <w:rPr>
          <w:rFonts w:eastAsia="Calibri" w:cs="Times New Roman"/>
          <w:color w:val="auto"/>
          <w:szCs w:val="24"/>
        </w:rPr>
        <w:t xml:space="preserve">rated </w:t>
      </w:r>
      <w:r w:rsidR="004249F0">
        <w:rPr>
          <w:rFonts w:eastAsia="Calibri" w:cs="Times New Roman"/>
          <w:color w:val="auto"/>
          <w:szCs w:val="24"/>
        </w:rPr>
        <w:t>1</w:t>
      </w:r>
      <w:r w:rsidR="004249F0" w:rsidRPr="00232D3B">
        <w:rPr>
          <w:rFonts w:eastAsia="Calibri" w:cs="Times New Roman"/>
          <w:color w:val="auto"/>
          <w:szCs w:val="24"/>
        </w:rPr>
        <w:t>0%</w:t>
      </w:r>
      <w:r w:rsidR="004249F0" w:rsidRPr="00B8080D">
        <w:rPr>
          <w:rFonts w:eastAsia="Calibri" w:cs="Times New Roman"/>
          <w:color w:val="auto"/>
          <w:szCs w:val="24"/>
        </w:rPr>
        <w:t>.</w:t>
      </w:r>
      <w:r w:rsidR="004249F0">
        <w:rPr>
          <w:rFonts w:eastAsia="Calibri" w:cs="Times New Roman"/>
          <w:color w:val="auto"/>
          <w:szCs w:val="24"/>
        </w:rPr>
        <w:t xml:space="preserve">  </w:t>
      </w:r>
      <w:r w:rsidR="00560F12" w:rsidRPr="00560F12">
        <w:rPr>
          <w:rFonts w:eastAsia="Calibri" w:cs="Times New Roman"/>
          <w:color w:val="auto"/>
          <w:szCs w:val="24"/>
        </w:rPr>
        <w:t xml:space="preserve">In the matter of the </w:t>
      </w:r>
      <w:r w:rsidR="004249F0">
        <w:rPr>
          <w:rFonts w:eastAsia="Calibri" w:cs="Times New Roman"/>
          <w:color w:val="auto"/>
          <w:szCs w:val="24"/>
        </w:rPr>
        <w:t xml:space="preserve">bilateral knee and pes planus </w:t>
      </w:r>
      <w:r w:rsidR="00560F12" w:rsidRPr="004249F0">
        <w:rPr>
          <w:rFonts w:eastAsia="Calibri" w:cs="Times New Roman"/>
          <w:color w:val="auto"/>
          <w:szCs w:val="24"/>
        </w:rPr>
        <w:t xml:space="preserve">conditions, the Board unanimously recommends no change from the PEB </w:t>
      </w:r>
      <w:r w:rsidR="00347D0D" w:rsidRPr="004249F0">
        <w:rPr>
          <w:rFonts w:eastAsia="Calibri" w:cs="Times New Roman"/>
          <w:color w:val="auto"/>
          <w:szCs w:val="24"/>
        </w:rPr>
        <w:t>determinations</w:t>
      </w:r>
      <w:r w:rsidR="00560F12" w:rsidRPr="004249F0">
        <w:rPr>
          <w:rFonts w:eastAsia="Calibri" w:cs="Times New Roman"/>
          <w:color w:val="auto"/>
          <w:szCs w:val="24"/>
        </w:rPr>
        <w:t xml:space="preserve"> as not unfitting.</w:t>
      </w:r>
      <w:r w:rsidR="004249F0" w:rsidRPr="004249F0">
        <w:rPr>
          <w:rFonts w:eastAsia="Calibri" w:cs="Times New Roman"/>
          <w:color w:val="auto"/>
          <w:szCs w:val="24"/>
        </w:rPr>
        <w:t xml:space="preserve"> </w:t>
      </w:r>
      <w:r w:rsidR="004249F0">
        <w:rPr>
          <w:rFonts w:eastAsia="Calibri" w:cs="Times New Roman"/>
          <w:color w:val="auto"/>
          <w:szCs w:val="24"/>
        </w:rPr>
        <w:t xml:space="preserve"> </w:t>
      </w:r>
      <w:r w:rsidR="004249F0"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4249F0" w:rsidRPr="00565636" w:rsidRDefault="00AD2379" w:rsidP="004249F0">
      <w:pPr>
        <w:jc w:val="both"/>
        <w:rPr>
          <w:rFonts w:eastAsia="Calibri" w:cs="Times New Roman"/>
          <w:color w:val="000080"/>
          <w:szCs w:val="24"/>
        </w:rPr>
      </w:pPr>
      <w:r w:rsidRPr="009A7578">
        <w:rPr>
          <w:color w:val="000000"/>
          <w:u w:val="single"/>
        </w:rPr>
        <w:t>RECOMMENDATION</w:t>
      </w:r>
      <w:r w:rsidRPr="009A7578">
        <w:rPr>
          <w:color w:val="000000"/>
        </w:rPr>
        <w:t xml:space="preserve">: </w:t>
      </w:r>
      <w:r w:rsidR="004249F0" w:rsidRPr="00565636">
        <w:rPr>
          <w:rFonts w:eastAsia="Calibri" w:cs="Times New Roman"/>
          <w:color w:val="auto"/>
          <w:szCs w:val="24"/>
        </w:rPr>
        <w:t>The Board recommends that the CI’s prior determination be modified as follows, effective as of the date of his prior medical separation</w:t>
      </w:r>
      <w:r w:rsidR="004249F0">
        <w:rPr>
          <w:rFonts w:eastAsia="Calibri" w:cs="Times New Roman"/>
          <w:color w:val="auto"/>
          <w:szCs w:val="24"/>
        </w:rPr>
        <w:t>:</w:t>
      </w:r>
    </w:p>
    <w:p w:rsidR="00AD2379" w:rsidRDefault="00AD2379" w:rsidP="00BF0E94">
      <w:pPr>
        <w:jc w:val="both"/>
        <w:rPr>
          <w:color w:val="000000"/>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0D5DBE" w:rsidTr="00312674">
        <w:trPr>
          <w:trHeight w:val="233"/>
        </w:trPr>
        <w:tc>
          <w:tcPr>
            <w:tcW w:w="6768" w:type="dxa"/>
            <w:gridSpan w:val="2"/>
            <w:tcBorders>
              <w:righ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UNFITTING CONDITION</w:t>
            </w:r>
          </w:p>
        </w:tc>
        <w:tc>
          <w:tcPr>
            <w:tcW w:w="1530" w:type="dxa"/>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RATING</w:t>
            </w:r>
          </w:p>
        </w:tc>
      </w:tr>
      <w:tr w:rsidR="00071071" w:rsidRPr="000D5DBE" w:rsidTr="00312674">
        <w:tc>
          <w:tcPr>
            <w:tcW w:w="6768" w:type="dxa"/>
            <w:gridSpan w:val="2"/>
            <w:tcBorders>
              <w:right w:val="single" w:sz="4" w:space="0" w:color="auto"/>
            </w:tcBorders>
            <w:vAlign w:val="center"/>
          </w:tcPr>
          <w:p w:rsidR="00071071" w:rsidRPr="000D5DBE" w:rsidRDefault="004249F0" w:rsidP="00071071">
            <w:pPr>
              <w:tabs>
                <w:tab w:val="left" w:pos="288"/>
                <w:tab w:val="left" w:pos="4752"/>
              </w:tabs>
              <w:jc w:val="left"/>
              <w:rPr>
                <w:color w:val="000000"/>
              </w:rPr>
            </w:pPr>
            <w:r>
              <w:rPr>
                <w:color w:val="000000"/>
              </w:rPr>
              <w:t>Exertional Anterior Compartment Syndrome, Left Lower Leg</w:t>
            </w:r>
          </w:p>
        </w:tc>
        <w:tc>
          <w:tcPr>
            <w:tcW w:w="1530" w:type="dxa"/>
            <w:tcBorders>
              <w:left w:val="single" w:sz="4" w:space="0" w:color="auto"/>
            </w:tcBorders>
            <w:vAlign w:val="center"/>
          </w:tcPr>
          <w:p w:rsidR="00071071" w:rsidRPr="000D5DBE" w:rsidRDefault="000E4C41" w:rsidP="00071071">
            <w:pPr>
              <w:tabs>
                <w:tab w:val="left" w:pos="288"/>
                <w:tab w:val="left" w:pos="4752"/>
              </w:tabs>
              <w:rPr>
                <w:color w:val="000000"/>
              </w:rPr>
            </w:pPr>
            <w:r>
              <w:rPr>
                <w:color w:val="000000"/>
                <w:szCs w:val="24"/>
              </w:rPr>
              <w:t>5399-5312</w:t>
            </w:r>
          </w:p>
        </w:tc>
        <w:tc>
          <w:tcPr>
            <w:tcW w:w="1026" w:type="dxa"/>
            <w:vAlign w:val="center"/>
          </w:tcPr>
          <w:p w:rsidR="00071071" w:rsidRPr="000D5DBE" w:rsidRDefault="000E4C41" w:rsidP="00071071">
            <w:pPr>
              <w:tabs>
                <w:tab w:val="left" w:pos="288"/>
                <w:tab w:val="left" w:pos="4752"/>
              </w:tabs>
              <w:rPr>
                <w:color w:val="000000"/>
              </w:rPr>
            </w:pPr>
            <w:r>
              <w:rPr>
                <w:color w:val="000000"/>
              </w:rPr>
              <w:t>1</w:t>
            </w:r>
            <w:r w:rsidR="00071071" w:rsidRPr="000D5DBE">
              <w:rPr>
                <w:color w:val="000000"/>
              </w:rPr>
              <w:t>0%</w:t>
            </w:r>
          </w:p>
        </w:tc>
      </w:tr>
      <w:tr w:rsidR="000E4C41" w:rsidRPr="000D5DBE" w:rsidTr="00312674">
        <w:tc>
          <w:tcPr>
            <w:tcW w:w="6768" w:type="dxa"/>
            <w:gridSpan w:val="2"/>
            <w:tcBorders>
              <w:right w:val="single" w:sz="4" w:space="0" w:color="auto"/>
            </w:tcBorders>
            <w:vAlign w:val="center"/>
          </w:tcPr>
          <w:p w:rsidR="000E4C41" w:rsidRPr="000D5DBE" w:rsidRDefault="000E4C41" w:rsidP="000E4C41">
            <w:pPr>
              <w:tabs>
                <w:tab w:val="left" w:pos="288"/>
                <w:tab w:val="left" w:pos="4752"/>
              </w:tabs>
              <w:jc w:val="left"/>
              <w:rPr>
                <w:color w:val="000000"/>
              </w:rPr>
            </w:pPr>
            <w:r>
              <w:rPr>
                <w:color w:val="000000"/>
              </w:rPr>
              <w:t>Exertional Anterior Compartment Syndrome, Right Lower Leg</w:t>
            </w:r>
          </w:p>
        </w:tc>
        <w:tc>
          <w:tcPr>
            <w:tcW w:w="1530" w:type="dxa"/>
            <w:tcBorders>
              <w:left w:val="single" w:sz="4" w:space="0" w:color="auto"/>
            </w:tcBorders>
            <w:vAlign w:val="center"/>
          </w:tcPr>
          <w:p w:rsidR="000E4C41" w:rsidRPr="000D5DBE" w:rsidRDefault="000E4C41" w:rsidP="000E4C41">
            <w:pPr>
              <w:tabs>
                <w:tab w:val="left" w:pos="288"/>
                <w:tab w:val="left" w:pos="4752"/>
              </w:tabs>
              <w:rPr>
                <w:color w:val="000000"/>
              </w:rPr>
            </w:pPr>
            <w:r>
              <w:rPr>
                <w:color w:val="000000"/>
                <w:szCs w:val="24"/>
              </w:rPr>
              <w:t>5399-5312</w:t>
            </w:r>
          </w:p>
        </w:tc>
        <w:tc>
          <w:tcPr>
            <w:tcW w:w="1026" w:type="dxa"/>
            <w:vAlign w:val="center"/>
          </w:tcPr>
          <w:p w:rsidR="000E4C41" w:rsidRPr="000D5DBE" w:rsidRDefault="000E4C41" w:rsidP="000E4C41">
            <w:pPr>
              <w:tabs>
                <w:tab w:val="left" w:pos="288"/>
                <w:tab w:val="left" w:pos="4752"/>
              </w:tabs>
              <w:rPr>
                <w:color w:val="000000"/>
              </w:rPr>
            </w:pPr>
            <w:r>
              <w:rPr>
                <w:color w:val="000000"/>
              </w:rPr>
              <w:t>1</w:t>
            </w:r>
            <w:r w:rsidRPr="000D5DBE">
              <w:rPr>
                <w:color w:val="000000"/>
              </w:rPr>
              <w:t>0%</w:t>
            </w:r>
          </w:p>
        </w:tc>
      </w:tr>
      <w:tr w:rsidR="00071071" w:rsidRPr="000D5DBE" w:rsidTr="00071071">
        <w:tblPrEx>
          <w:tblLook w:val="0000"/>
        </w:tblPrEx>
        <w:trPr>
          <w:gridBefore w:val="1"/>
          <w:wBefore w:w="6048" w:type="dxa"/>
          <w:trHeight w:val="152"/>
        </w:trPr>
        <w:tc>
          <w:tcPr>
            <w:tcW w:w="2250" w:type="dxa"/>
            <w:gridSpan w:val="2"/>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COMBINED</w:t>
            </w:r>
            <w:r>
              <w:rPr>
                <w:b/>
                <w:color w:val="000000"/>
              </w:rPr>
              <w:t xml:space="preserve"> (w/ BLF)</w:t>
            </w:r>
          </w:p>
        </w:tc>
        <w:tc>
          <w:tcPr>
            <w:tcW w:w="1026" w:type="dxa"/>
            <w:shd w:val="clear" w:color="auto" w:fill="D9D9D9"/>
            <w:vAlign w:val="center"/>
          </w:tcPr>
          <w:p w:rsidR="00071071" w:rsidRPr="000D5DBE" w:rsidRDefault="000E4C41" w:rsidP="00071071">
            <w:pPr>
              <w:tabs>
                <w:tab w:val="left" w:pos="288"/>
                <w:tab w:val="left" w:pos="4752"/>
              </w:tabs>
              <w:rPr>
                <w:b/>
                <w:color w:val="000000"/>
              </w:rPr>
            </w:pPr>
            <w:r>
              <w:rPr>
                <w:b/>
                <w:color w:val="000000"/>
              </w:rPr>
              <w:t>2</w:t>
            </w:r>
            <w:r w:rsidR="00071071"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410DAD" w:rsidRPr="001F29F9">
        <w:rPr>
          <w:color w:val="000000" w:themeColor="text1"/>
          <w:szCs w:val="24"/>
        </w:rPr>
        <w:t>201</w:t>
      </w:r>
      <w:r w:rsidR="00410DAD">
        <w:rPr>
          <w:color w:val="000000" w:themeColor="text1"/>
          <w:szCs w:val="24"/>
        </w:rPr>
        <w:t>10909</w:t>
      </w:r>
      <w:r w:rsidR="00203A87">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203A87">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203A87">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2212DA">
        <w:rPr>
          <w:color w:val="000000"/>
        </w:rPr>
        <w:t>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2212DA" w:rsidRDefault="00AD2379" w:rsidP="00BF0E94">
      <w:pPr>
        <w:tabs>
          <w:tab w:val="left" w:pos="0"/>
          <w:tab w:val="left" w:pos="4320"/>
        </w:tabs>
        <w:jc w:val="both"/>
        <w:rPr>
          <w:color w:val="000000"/>
        </w:rPr>
      </w:pPr>
      <w:r w:rsidRPr="001F29F9">
        <w:rPr>
          <w:color w:val="000000"/>
        </w:rPr>
        <w:tab/>
        <w:t xml:space="preserve">           Physical Disability Board of Review</w:t>
      </w:r>
    </w:p>
    <w:p w:rsidR="002212DA" w:rsidRDefault="002212DA">
      <w:pPr>
        <w:spacing w:line="240" w:lineRule="auto"/>
        <w:jc w:val="left"/>
        <w:rPr>
          <w:color w:val="000000"/>
        </w:rPr>
      </w:pPr>
      <w:r>
        <w:rPr>
          <w:color w:val="000000"/>
        </w:rPr>
        <w:br w:type="page"/>
      </w:r>
    </w:p>
    <w:p w:rsidR="002212DA" w:rsidRDefault="002212DA" w:rsidP="002212DA">
      <w:pPr>
        <w:sectPr w:rsidR="002212DA">
          <w:pgSz w:w="12240" w:h="15840"/>
          <w:pgMar w:top="2160" w:right="1440" w:bottom="1440" w:left="1440" w:header="720" w:footer="720" w:gutter="0"/>
          <w:cols w:space="720"/>
        </w:sectPr>
      </w:pPr>
    </w:p>
    <w:p w:rsidR="002212DA" w:rsidRDefault="002212DA" w:rsidP="002212DA">
      <w:pPr>
        <w:pStyle w:val="Header"/>
        <w:tabs>
          <w:tab w:val="left" w:pos="720"/>
        </w:tabs>
        <w:jc w:val="left"/>
      </w:pPr>
      <w:r>
        <w:lastRenderedPageBreak/>
        <w:t>SFMR-RB</w:t>
      </w:r>
      <w:r>
        <w:tab/>
      </w:r>
      <w:r>
        <w:tab/>
      </w:r>
      <w:r>
        <w:tab/>
      </w:r>
      <w:r>
        <w:tab/>
      </w:r>
      <w:r>
        <w:tab/>
      </w:r>
      <w:r>
        <w:tab/>
      </w:r>
      <w:r>
        <w:tab/>
      </w:r>
      <w:r>
        <w:tab/>
      </w:r>
      <w:r>
        <w:tab/>
      </w:r>
    </w:p>
    <w:p w:rsidR="002212DA" w:rsidRDefault="002212DA" w:rsidP="002212DA">
      <w:pPr>
        <w:pStyle w:val="Header"/>
        <w:tabs>
          <w:tab w:val="left" w:pos="720"/>
        </w:tabs>
        <w:jc w:val="left"/>
      </w:pPr>
    </w:p>
    <w:p w:rsidR="002212DA" w:rsidRDefault="002212DA" w:rsidP="002212DA">
      <w:pPr>
        <w:jc w:val="left"/>
      </w:pPr>
    </w:p>
    <w:p w:rsidR="002212DA" w:rsidRDefault="002212DA" w:rsidP="002212DA">
      <w:pPr>
        <w:jc w:val="left"/>
      </w:pPr>
      <w:r>
        <w:t xml:space="preserve">MEMORANDUM FOR Commander, US Army Physical Disability Agency </w:t>
      </w:r>
    </w:p>
    <w:p w:rsidR="002212DA" w:rsidRDefault="002212DA" w:rsidP="002212DA">
      <w:pPr>
        <w:jc w:val="left"/>
      </w:pPr>
      <w:r>
        <w:t xml:space="preserve">(TAPD-ZB </w:t>
      </w:r>
      <w:proofErr w:type="gramStart"/>
      <w:r>
        <w:t>/  )</w:t>
      </w:r>
      <w:proofErr w:type="gramEnd"/>
      <w:r>
        <w:t>, 2900 Crystal Drive, Suite 300, Arlington, VA  22202</w:t>
      </w:r>
    </w:p>
    <w:p w:rsidR="002212DA" w:rsidRDefault="002212DA" w:rsidP="002212DA">
      <w:pPr>
        <w:jc w:val="left"/>
      </w:pPr>
    </w:p>
    <w:p w:rsidR="002212DA" w:rsidRDefault="002212DA" w:rsidP="002212DA">
      <w:pPr>
        <w:ind w:right="-180"/>
        <w:jc w:val="left"/>
      </w:pPr>
      <w:r>
        <w:t xml:space="preserve">SUBJECT:  Department of Defense Physical Disability Board of Review Recommendation </w:t>
      </w:r>
    </w:p>
    <w:p w:rsidR="002212DA" w:rsidRDefault="002212DA" w:rsidP="002212DA">
      <w:pPr>
        <w:pStyle w:val="Header"/>
        <w:tabs>
          <w:tab w:val="left" w:pos="720"/>
        </w:tabs>
        <w:jc w:val="left"/>
      </w:pPr>
      <w:proofErr w:type="gramStart"/>
      <w:r>
        <w:t>for</w:t>
      </w:r>
      <w:proofErr w:type="gramEnd"/>
      <w:r>
        <w:t xml:space="preserve"> XXXXXXXXXXXXXXXXXXXXXXX, AR20120015489 (PD201100871)</w:t>
      </w:r>
    </w:p>
    <w:p w:rsidR="002212DA" w:rsidRDefault="002212DA" w:rsidP="002212DA">
      <w:pPr>
        <w:pStyle w:val="Header"/>
        <w:tabs>
          <w:tab w:val="left" w:pos="720"/>
        </w:tabs>
        <w:jc w:val="left"/>
      </w:pPr>
    </w:p>
    <w:p w:rsidR="002212DA" w:rsidRDefault="002212DA" w:rsidP="002212DA">
      <w:pPr>
        <w:jc w:val="left"/>
      </w:pPr>
    </w:p>
    <w:p w:rsidR="002212DA" w:rsidRDefault="002212DA" w:rsidP="002212D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rating or </w:t>
      </w:r>
      <w:proofErr w:type="spellStart"/>
      <w:r>
        <w:t>recharacterization</w:t>
      </w:r>
      <w:proofErr w:type="spellEnd"/>
      <w:r>
        <w:t xml:space="preserve"> of the individual’s separation.  This decision is final.  </w:t>
      </w:r>
    </w:p>
    <w:p w:rsidR="002212DA" w:rsidRDefault="002212DA" w:rsidP="002212DA">
      <w:pPr>
        <w:jc w:val="left"/>
      </w:pPr>
    </w:p>
    <w:p w:rsidR="002212DA" w:rsidRDefault="002212DA" w:rsidP="002212DA">
      <w:pPr>
        <w:jc w:val="left"/>
      </w:pPr>
      <w:r>
        <w:t xml:space="preserve">2.  I direct that all the Department of the Army records of the individual concerned be corrected accordingly no later than 120 days from the date of this memorandum.   </w:t>
      </w:r>
    </w:p>
    <w:p w:rsidR="002212DA" w:rsidRDefault="002212DA" w:rsidP="002212DA">
      <w:pPr>
        <w:jc w:val="left"/>
      </w:pPr>
    </w:p>
    <w:p w:rsidR="002212DA" w:rsidRDefault="002212DA" w:rsidP="002212D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212DA" w:rsidRDefault="002212DA" w:rsidP="002212DA">
      <w:pPr>
        <w:jc w:val="left"/>
      </w:pPr>
    </w:p>
    <w:p w:rsidR="002212DA" w:rsidRDefault="002212DA" w:rsidP="002212DA">
      <w:pPr>
        <w:jc w:val="left"/>
      </w:pPr>
      <w:r>
        <w:t xml:space="preserve"> BY ORDER OF THE SECRETARY OF THE ARMY:</w:t>
      </w:r>
    </w:p>
    <w:p w:rsidR="002212DA" w:rsidRDefault="002212DA" w:rsidP="002212DA">
      <w:pPr>
        <w:jc w:val="left"/>
      </w:pPr>
    </w:p>
    <w:p w:rsidR="002212DA" w:rsidRDefault="002212DA" w:rsidP="002212DA">
      <w:pPr>
        <w:jc w:val="left"/>
      </w:pPr>
    </w:p>
    <w:p w:rsidR="002212DA" w:rsidRDefault="002212DA" w:rsidP="002212DA">
      <w:pPr>
        <w:pStyle w:val="Header"/>
        <w:tabs>
          <w:tab w:val="left" w:pos="720"/>
        </w:tabs>
        <w:jc w:val="left"/>
      </w:pPr>
    </w:p>
    <w:p w:rsidR="002212DA" w:rsidRDefault="002212DA" w:rsidP="002212DA">
      <w:pPr>
        <w:jc w:val="left"/>
      </w:pPr>
    </w:p>
    <w:p w:rsidR="002212DA" w:rsidRDefault="002212DA" w:rsidP="002212DA">
      <w:pPr>
        <w:jc w:val="left"/>
      </w:pPr>
      <w:bookmarkStart w:id="1" w:name="OLE_LINK4"/>
      <w:bookmarkStart w:id="2" w:name="OLE_LINK3"/>
      <w:r>
        <w:t>Encl</w:t>
      </w:r>
      <w:r>
        <w:tab/>
      </w:r>
      <w:r>
        <w:tab/>
      </w:r>
      <w:r>
        <w:tab/>
      </w:r>
      <w:r>
        <w:tab/>
      </w:r>
      <w:r>
        <w:tab/>
      </w:r>
      <w:r>
        <w:tab/>
        <w:t xml:space="preserve">     XXXXXXXXXXXXXXXXXX</w:t>
      </w:r>
    </w:p>
    <w:p w:rsidR="002212DA" w:rsidRDefault="002212DA" w:rsidP="002212DA">
      <w:pPr>
        <w:jc w:val="left"/>
      </w:pPr>
      <w:r>
        <w:tab/>
      </w:r>
      <w:r>
        <w:tab/>
      </w:r>
      <w:r>
        <w:tab/>
      </w:r>
      <w:r>
        <w:tab/>
      </w:r>
      <w:r>
        <w:tab/>
      </w:r>
      <w:r>
        <w:tab/>
        <w:t xml:space="preserve">     Deputy Assistant Secretary</w:t>
      </w:r>
    </w:p>
    <w:p w:rsidR="002212DA" w:rsidRDefault="002212DA" w:rsidP="002212DA">
      <w:pPr>
        <w:jc w:val="left"/>
      </w:pPr>
      <w:r>
        <w:tab/>
      </w:r>
      <w:r>
        <w:tab/>
      </w:r>
      <w:r>
        <w:tab/>
      </w:r>
      <w:r>
        <w:tab/>
      </w:r>
      <w:r>
        <w:tab/>
      </w:r>
      <w:r>
        <w:tab/>
        <w:t xml:space="preserve">         (Army Review Boards)</w:t>
      </w:r>
      <w:bookmarkEnd w:id="1"/>
      <w:bookmarkEnd w:id="2"/>
    </w:p>
    <w:p w:rsidR="002212DA" w:rsidRDefault="002212DA" w:rsidP="002212DA">
      <w:pPr>
        <w:jc w:val="left"/>
      </w:pPr>
    </w:p>
    <w:p w:rsidR="002212DA" w:rsidRDefault="002212DA" w:rsidP="002212DA">
      <w:pPr>
        <w:jc w:val="left"/>
      </w:pPr>
      <w:r>
        <w:t xml:space="preserve">CF: </w:t>
      </w:r>
    </w:p>
    <w:p w:rsidR="002212DA" w:rsidRDefault="002212DA" w:rsidP="002212DA">
      <w:pPr>
        <w:jc w:val="left"/>
      </w:pPr>
      <w:r>
        <w:t xml:space="preserve">(  ) </w:t>
      </w:r>
      <w:proofErr w:type="spellStart"/>
      <w:proofErr w:type="gramStart"/>
      <w:r>
        <w:t>DoD</w:t>
      </w:r>
      <w:proofErr w:type="spellEnd"/>
      <w:proofErr w:type="gramEnd"/>
      <w:r>
        <w:t xml:space="preserve"> PDBR</w:t>
      </w:r>
    </w:p>
    <w:p w:rsidR="002212DA" w:rsidRDefault="002212DA" w:rsidP="002212DA">
      <w:pPr>
        <w:jc w:val="left"/>
      </w:pPr>
      <w:r>
        <w:t>(  ) DVA</w:t>
      </w:r>
    </w:p>
    <w:p w:rsidR="00AD2379" w:rsidRPr="001F29F9" w:rsidRDefault="00AD2379" w:rsidP="00BF0E94">
      <w:pPr>
        <w:tabs>
          <w:tab w:val="left" w:pos="0"/>
          <w:tab w:val="left" w:pos="4320"/>
        </w:tabs>
        <w:jc w:val="both"/>
        <w:rPr>
          <w:color w:val="000000"/>
        </w:rPr>
      </w:pPr>
    </w:p>
    <w:sectPr w:rsidR="00AD2379" w:rsidRPr="001F29F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00" w:rsidRDefault="00E54600">
      <w:r>
        <w:separator/>
      </w:r>
    </w:p>
  </w:endnote>
  <w:endnote w:type="continuationSeparator" w:id="0">
    <w:p w:rsidR="00E54600" w:rsidRDefault="00E54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74" w:rsidRPr="00374247" w:rsidRDefault="00312674" w:rsidP="00726F84">
    <w:pPr>
      <w:pStyle w:val="Footer"/>
      <w:ind w:firstLine="4320"/>
      <w:rPr>
        <w:color w:val="auto"/>
      </w:rPr>
    </w:pPr>
    <w:r w:rsidRPr="00374247">
      <w:rPr>
        <w:color w:val="auto"/>
      </w:rPr>
      <w:t xml:space="preserve">   </w:t>
    </w:r>
    <w:r w:rsidR="00DD593C" w:rsidRPr="00DD593C">
      <w:fldChar w:fldCharType="begin"/>
    </w:r>
    <w:r w:rsidR="00E54600">
      <w:instrText xml:space="preserve"> PAGE   \* MERGEFORMAT </w:instrText>
    </w:r>
    <w:r w:rsidR="00DD593C" w:rsidRPr="00DD593C">
      <w:fldChar w:fldCharType="separate"/>
    </w:r>
    <w:r w:rsidR="002212DA" w:rsidRPr="002212DA">
      <w:rPr>
        <w:noProof/>
        <w:color w:val="auto"/>
      </w:rPr>
      <w:t>5</w:t>
    </w:r>
    <w:r w:rsidR="00DD593C">
      <w:rPr>
        <w:noProof/>
        <w:color w:val="auto"/>
      </w:rPr>
      <w:fldChar w:fldCharType="end"/>
    </w:r>
    <w:r w:rsidRPr="00374247">
      <w:rPr>
        <w:color w:val="auto"/>
      </w:rPr>
      <w:t xml:space="preserve">                                                           </w:t>
    </w:r>
    <w:r w:rsidRPr="001D64F3">
      <w:rPr>
        <w:color w:val="auto"/>
      </w:rPr>
      <w:t>PD1</w:t>
    </w:r>
    <w:r w:rsidR="005B04A3">
      <w:rPr>
        <w:color w:val="auto"/>
      </w:rPr>
      <w:t>100871</w:t>
    </w:r>
  </w:p>
  <w:p w:rsidR="00312674" w:rsidRPr="00684CE6" w:rsidRDefault="0031267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00" w:rsidRDefault="00E54600">
      <w:r>
        <w:separator/>
      </w:r>
    </w:p>
  </w:footnote>
  <w:footnote w:type="continuationSeparator" w:id="0">
    <w:p w:rsidR="00E54600" w:rsidRDefault="00E54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675"/>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BBD"/>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41"/>
    <w:rsid w:val="000E4CBF"/>
    <w:rsid w:val="000E5577"/>
    <w:rsid w:val="000E7034"/>
    <w:rsid w:val="000F02BE"/>
    <w:rsid w:val="000F048C"/>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533"/>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0D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3A87"/>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2F9"/>
    <w:rsid w:val="00220F5C"/>
    <w:rsid w:val="00220FA9"/>
    <w:rsid w:val="002212DA"/>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9AF"/>
    <w:rsid w:val="00242D14"/>
    <w:rsid w:val="002432F4"/>
    <w:rsid w:val="00246860"/>
    <w:rsid w:val="002468D9"/>
    <w:rsid w:val="00246995"/>
    <w:rsid w:val="00246DFF"/>
    <w:rsid w:val="00246E89"/>
    <w:rsid w:val="0025183C"/>
    <w:rsid w:val="0025219F"/>
    <w:rsid w:val="00252351"/>
    <w:rsid w:val="002528EC"/>
    <w:rsid w:val="00253EAA"/>
    <w:rsid w:val="00255049"/>
    <w:rsid w:val="00257538"/>
    <w:rsid w:val="00257AFF"/>
    <w:rsid w:val="00257DE5"/>
    <w:rsid w:val="00260531"/>
    <w:rsid w:val="00260B9A"/>
    <w:rsid w:val="00261B7E"/>
    <w:rsid w:val="00262BC4"/>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5F99"/>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1877"/>
    <w:rsid w:val="002E1C31"/>
    <w:rsid w:val="002E2E0F"/>
    <w:rsid w:val="002E333A"/>
    <w:rsid w:val="002E3474"/>
    <w:rsid w:val="002E400C"/>
    <w:rsid w:val="002E49C3"/>
    <w:rsid w:val="002E4EF1"/>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2674"/>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1A4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0DAD"/>
    <w:rsid w:val="004123D7"/>
    <w:rsid w:val="00412658"/>
    <w:rsid w:val="004129DA"/>
    <w:rsid w:val="00415EA4"/>
    <w:rsid w:val="0041604B"/>
    <w:rsid w:val="004172DB"/>
    <w:rsid w:val="004174F0"/>
    <w:rsid w:val="0041792D"/>
    <w:rsid w:val="00417999"/>
    <w:rsid w:val="00420A1D"/>
    <w:rsid w:val="00420B1E"/>
    <w:rsid w:val="004211FD"/>
    <w:rsid w:val="00421485"/>
    <w:rsid w:val="004216DA"/>
    <w:rsid w:val="00421DEA"/>
    <w:rsid w:val="00422B75"/>
    <w:rsid w:val="00424612"/>
    <w:rsid w:val="004249F0"/>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4A2C"/>
    <w:rsid w:val="004D55D3"/>
    <w:rsid w:val="004D5D82"/>
    <w:rsid w:val="004D6E90"/>
    <w:rsid w:val="004D6F2B"/>
    <w:rsid w:val="004E0248"/>
    <w:rsid w:val="004E04BB"/>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2DBA"/>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925"/>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4A3"/>
    <w:rsid w:val="005B1ADA"/>
    <w:rsid w:val="005B1D09"/>
    <w:rsid w:val="005B1D8F"/>
    <w:rsid w:val="005B1E94"/>
    <w:rsid w:val="005B25C5"/>
    <w:rsid w:val="005B505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3F18"/>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251D"/>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1BC"/>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3D4"/>
    <w:rsid w:val="006D145F"/>
    <w:rsid w:val="006D2000"/>
    <w:rsid w:val="006D2D39"/>
    <w:rsid w:val="006D2F31"/>
    <w:rsid w:val="006D399D"/>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C23"/>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422"/>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653"/>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6"/>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574E"/>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35B9"/>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5A0E"/>
    <w:rsid w:val="00896535"/>
    <w:rsid w:val="00896683"/>
    <w:rsid w:val="00896986"/>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E77"/>
    <w:rsid w:val="008C3FD0"/>
    <w:rsid w:val="008C4F01"/>
    <w:rsid w:val="008C5152"/>
    <w:rsid w:val="008C710E"/>
    <w:rsid w:val="008C7F92"/>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347"/>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788"/>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3A4B"/>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11E4"/>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5299"/>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2D5A"/>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39B0"/>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396"/>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56E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5D7"/>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0565"/>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4E1"/>
    <w:rsid w:val="00CF5C12"/>
    <w:rsid w:val="00CF72A3"/>
    <w:rsid w:val="00CF7B72"/>
    <w:rsid w:val="00CF7FC0"/>
    <w:rsid w:val="00D000A9"/>
    <w:rsid w:val="00D00384"/>
    <w:rsid w:val="00D005DB"/>
    <w:rsid w:val="00D0064E"/>
    <w:rsid w:val="00D00981"/>
    <w:rsid w:val="00D01465"/>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9CF"/>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5611"/>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4E28"/>
    <w:rsid w:val="00DD593C"/>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0E1D"/>
    <w:rsid w:val="00E412EB"/>
    <w:rsid w:val="00E41637"/>
    <w:rsid w:val="00E42789"/>
    <w:rsid w:val="00E438A4"/>
    <w:rsid w:val="00E43F59"/>
    <w:rsid w:val="00E464F0"/>
    <w:rsid w:val="00E46AD4"/>
    <w:rsid w:val="00E46EF3"/>
    <w:rsid w:val="00E47370"/>
    <w:rsid w:val="00E473E9"/>
    <w:rsid w:val="00E47B47"/>
    <w:rsid w:val="00E50BEB"/>
    <w:rsid w:val="00E523FB"/>
    <w:rsid w:val="00E53460"/>
    <w:rsid w:val="00E5460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5406"/>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172"/>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1A7"/>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8CB"/>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 w:val="00FF7D1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493691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8F374-4D5B-4D51-B788-3FBD3B66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2012-08-22T13:11:00Z</cp:lastPrinted>
  <dcterms:created xsi:type="dcterms:W3CDTF">2012-09-13T16:14:00Z</dcterms:created>
  <dcterms:modified xsi:type="dcterms:W3CDTF">2012-09-13T16:14:00Z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