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95270D">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41326D">
        <w:rPr>
          <w:caps/>
          <w:color w:val="auto"/>
        </w:rPr>
        <w:t>XXXXXXXXXXXXXXXXXX</w:t>
      </w:r>
      <w:r w:rsidR="00AA6DBF">
        <w:rPr>
          <w:caps/>
          <w:color w:val="000000" w:themeColor="text1"/>
        </w:rPr>
        <w:tab/>
        <w:t xml:space="preserve">             </w:t>
      </w:r>
      <w:r w:rsidR="00EA04AC">
        <w:rPr>
          <w:caps/>
          <w:color w:val="000000" w:themeColor="text1"/>
        </w:rPr>
        <w:t xml:space="preserve">  </w:t>
      </w:r>
      <w:r w:rsidR="00AA6DBF">
        <w:rPr>
          <w:caps/>
          <w:color w:val="000000" w:themeColor="text1"/>
        </w:rPr>
        <w:t xml:space="preserve">              </w:t>
      </w:r>
      <w:r w:rsidRPr="001F29F9">
        <w:rPr>
          <w:caps/>
          <w:color w:val="000000" w:themeColor="text1"/>
        </w:rPr>
        <w:t>BRANCH OF SERVICE</w:t>
      </w:r>
      <w:r w:rsidRPr="00BA4A38">
        <w:rPr>
          <w:caps/>
          <w:color w:val="000000" w:themeColor="text1"/>
        </w:rPr>
        <w:t xml:space="preserve">:  </w:t>
      </w:r>
      <w:r w:rsidRPr="00AA6DBF">
        <w:rPr>
          <w:caps/>
          <w:color w:val="000000" w:themeColor="text1"/>
        </w:rPr>
        <w:t>Army</w:t>
      </w:r>
      <w:r w:rsidRPr="00BA4A38">
        <w:rPr>
          <w:caps/>
          <w:color w:val="000000" w:themeColor="text1"/>
        </w:rPr>
        <w:t xml:space="preserve"> </w:t>
      </w:r>
    </w:p>
    <w:p w:rsidR="0095270D" w:rsidRDefault="0095270D" w:rsidP="0095270D">
      <w:pPr>
        <w:tabs>
          <w:tab w:val="left" w:pos="288"/>
          <w:tab w:val="left" w:pos="5130"/>
        </w:tabs>
        <w:jc w:val="both"/>
        <w:rPr>
          <w:color w:val="000000" w:themeColor="text1"/>
        </w:rPr>
      </w:pPr>
      <w:r w:rsidRPr="001F29F9">
        <w:rPr>
          <w:caps/>
          <w:color w:val="000000" w:themeColor="text1"/>
        </w:rPr>
        <w:t>CASE NUMBER:  PD11</w:t>
      </w:r>
      <w:r>
        <w:rPr>
          <w:caps/>
          <w:color w:val="000000" w:themeColor="text1"/>
        </w:rPr>
        <w:t>00</w:t>
      </w:r>
      <w:r w:rsidR="00AA6DBF">
        <w:rPr>
          <w:caps/>
          <w:color w:val="000000" w:themeColor="text1"/>
        </w:rPr>
        <w:t xml:space="preserve">870 </w:t>
      </w:r>
      <w:r w:rsidRPr="001F29F9">
        <w:rPr>
          <w:color w:val="000000" w:themeColor="text1"/>
        </w:rPr>
        <w:t xml:space="preserve">                            </w:t>
      </w:r>
      <w:r>
        <w:rPr>
          <w:color w:val="000000" w:themeColor="text1"/>
        </w:rPr>
        <w:tab/>
      </w:r>
      <w:r>
        <w:rPr>
          <w:color w:val="000000" w:themeColor="text1"/>
        </w:rPr>
        <w:tab/>
        <w:t xml:space="preserve">          </w:t>
      </w:r>
      <w:r w:rsidRPr="001F29F9">
        <w:rPr>
          <w:color w:val="000000" w:themeColor="text1"/>
        </w:rPr>
        <w:t xml:space="preserve"> SEPARATION DATE:  </w:t>
      </w:r>
      <w:r w:rsidR="00AA6DBF" w:rsidRPr="00F64312">
        <w:rPr>
          <w:color w:val="auto"/>
        </w:rPr>
        <w:t>200</w:t>
      </w:r>
      <w:r w:rsidR="00AA6DBF">
        <w:rPr>
          <w:color w:val="auto"/>
        </w:rPr>
        <w:t>60608</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D90A31">
        <w:rPr>
          <w:caps/>
          <w:color w:val="000000"/>
        </w:rPr>
        <w:t>0907</w:t>
      </w:r>
      <w:r>
        <w:rPr>
          <w:rFonts w:cs="Times New Roman"/>
          <w:caps/>
          <w:color w:val="000000"/>
        </w:rPr>
        <w:tab/>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02485A" w:rsidRPr="00844DA7" w:rsidRDefault="00AD2379" w:rsidP="0002485A">
      <w:pPr>
        <w:jc w:val="both"/>
        <w:rPr>
          <w:color w:val="000000"/>
          <w:szCs w:val="24"/>
        </w:rPr>
      </w:pPr>
      <w:r w:rsidRPr="001F29F9">
        <w:rPr>
          <w:color w:val="000000"/>
          <w:u w:val="single"/>
        </w:rPr>
        <w:t>SUMMARY OF CASE</w:t>
      </w:r>
      <w:r w:rsidRPr="001F29F9">
        <w:rPr>
          <w:color w:val="000000"/>
        </w:rPr>
        <w:t xml:space="preserve">: Data extracted from the available evidence of record reflects that this covered individual (CI) </w:t>
      </w:r>
      <w:r w:rsidRPr="00155964">
        <w:rPr>
          <w:color w:val="000000"/>
        </w:rPr>
        <w:t xml:space="preserve">was a </w:t>
      </w:r>
      <w:r w:rsidR="00463478" w:rsidRPr="00155964">
        <w:rPr>
          <w:color w:val="000000"/>
        </w:rPr>
        <w:t xml:space="preserve">National </w:t>
      </w:r>
      <w:r w:rsidRPr="00155964">
        <w:rPr>
          <w:color w:val="000000"/>
        </w:rPr>
        <w:t>Guard</w:t>
      </w:r>
      <w:r w:rsidR="00542022" w:rsidRPr="00155964">
        <w:rPr>
          <w:color w:val="000000"/>
        </w:rPr>
        <w:t xml:space="preserve"> member</w:t>
      </w:r>
      <w:r w:rsidRPr="00155964">
        <w:rPr>
          <w:color w:val="000000"/>
        </w:rPr>
        <w:t xml:space="preserve">, </w:t>
      </w:r>
      <w:r w:rsidR="00AA6DBF" w:rsidRPr="00155964">
        <w:rPr>
          <w:color w:val="auto"/>
        </w:rPr>
        <w:t>SPC/E-4</w:t>
      </w:r>
      <w:r w:rsidR="00AA6DBF" w:rsidRPr="00155964">
        <w:rPr>
          <w:color w:val="000000"/>
        </w:rPr>
        <w:t xml:space="preserve"> (11B, Infantry</w:t>
      </w:r>
      <w:r w:rsidR="00A70270" w:rsidRPr="00155964">
        <w:rPr>
          <w:color w:val="000000"/>
        </w:rPr>
        <w:t>)</w:t>
      </w:r>
      <w:r w:rsidR="00565636" w:rsidRPr="00155964">
        <w:rPr>
          <w:color w:val="000000"/>
        </w:rPr>
        <w:t>,</w:t>
      </w:r>
      <w:r w:rsidR="00A70270" w:rsidRPr="00155964">
        <w:rPr>
          <w:color w:val="000000"/>
        </w:rPr>
        <w:t xml:space="preserve"> </w:t>
      </w:r>
      <w:r w:rsidRPr="00155964">
        <w:rPr>
          <w:color w:val="000000"/>
        </w:rPr>
        <w:t xml:space="preserve">medically separated for </w:t>
      </w:r>
      <w:r w:rsidR="00261B7E" w:rsidRPr="00155964">
        <w:rPr>
          <w:color w:val="000000"/>
        </w:rPr>
        <w:t xml:space="preserve">a </w:t>
      </w:r>
      <w:r w:rsidR="00AA6DBF" w:rsidRPr="00155964">
        <w:rPr>
          <w:color w:val="000000"/>
        </w:rPr>
        <w:t>right hip</w:t>
      </w:r>
      <w:r w:rsidRPr="00155964">
        <w:rPr>
          <w:color w:val="000000"/>
        </w:rPr>
        <w:t xml:space="preserve"> </w:t>
      </w:r>
      <w:r w:rsidR="00261B7E" w:rsidRPr="00155964">
        <w:rPr>
          <w:color w:val="000000"/>
        </w:rPr>
        <w:t>condition</w:t>
      </w:r>
      <w:r w:rsidRPr="00155964">
        <w:rPr>
          <w:color w:val="000000"/>
        </w:rPr>
        <w:t xml:space="preserve">. </w:t>
      </w:r>
      <w:r w:rsidR="00261B7E" w:rsidRPr="00155964">
        <w:rPr>
          <w:color w:val="000000"/>
        </w:rPr>
        <w:t xml:space="preserve"> </w:t>
      </w:r>
      <w:r w:rsidR="00FF1C68">
        <w:rPr>
          <w:color w:val="000000"/>
        </w:rPr>
        <w:t xml:space="preserve">He developed right hip pain during a 2004 deployment to Iraq, which worsened and was not ascribed to a specific etiology.  It did not respond to conservative management, and </w:t>
      </w:r>
      <w:r w:rsidR="0002485A" w:rsidRPr="00155964">
        <w:rPr>
          <w:color w:val="000000"/>
          <w:szCs w:val="24"/>
        </w:rPr>
        <w:t>could not</w:t>
      </w:r>
      <w:r w:rsidR="0002485A" w:rsidRPr="00844DA7">
        <w:rPr>
          <w:color w:val="000000"/>
          <w:szCs w:val="24"/>
        </w:rPr>
        <w:t xml:space="preserve"> be adequately rehabilitated to meet the physical requirements of his Military Occupational Specialty (MOS) or satisfy physical fitness standards.  He was co</w:t>
      </w:r>
      <w:r w:rsidR="004B1434">
        <w:rPr>
          <w:color w:val="000000"/>
          <w:szCs w:val="24"/>
        </w:rPr>
        <w:t xml:space="preserve">nsequently issued </w:t>
      </w:r>
      <w:r w:rsidR="004B1434" w:rsidRPr="0046671F">
        <w:rPr>
          <w:color w:val="auto"/>
          <w:szCs w:val="24"/>
        </w:rPr>
        <w:t xml:space="preserve">a permanent </w:t>
      </w:r>
      <w:r w:rsidR="0046671F">
        <w:rPr>
          <w:color w:val="auto"/>
          <w:szCs w:val="24"/>
        </w:rPr>
        <w:t>U3/</w:t>
      </w:r>
      <w:r w:rsidR="004B1434" w:rsidRPr="0046671F">
        <w:rPr>
          <w:color w:val="auto"/>
          <w:szCs w:val="24"/>
        </w:rPr>
        <w:t>L2</w:t>
      </w:r>
      <w:r w:rsidR="0002485A" w:rsidRPr="0046671F">
        <w:rPr>
          <w:color w:val="auto"/>
          <w:szCs w:val="24"/>
        </w:rPr>
        <w:t xml:space="preserve"> profile and</w:t>
      </w:r>
      <w:r w:rsidR="0002485A" w:rsidRPr="00844DA7">
        <w:rPr>
          <w:color w:val="000000"/>
          <w:szCs w:val="24"/>
        </w:rPr>
        <w:t xml:space="preserve"> referred for a Medical Evaluation Board (MEB). </w:t>
      </w:r>
      <w:r w:rsidR="0046671F">
        <w:rPr>
          <w:color w:val="000000"/>
          <w:szCs w:val="24"/>
        </w:rPr>
        <w:t>(</w:t>
      </w:r>
      <w:r w:rsidR="0002485A" w:rsidRPr="00844DA7">
        <w:rPr>
          <w:color w:val="000000"/>
          <w:szCs w:val="24"/>
        </w:rPr>
        <w:t>T</w:t>
      </w:r>
      <w:r w:rsidR="0046671F">
        <w:rPr>
          <w:color w:val="000000"/>
          <w:szCs w:val="24"/>
        </w:rPr>
        <w:t>he</w:t>
      </w:r>
      <w:r w:rsidR="0046671F" w:rsidRPr="0046671F">
        <w:rPr>
          <w:rFonts w:eastAsia="Calibri" w:cs="Times New Roman"/>
          <w:color w:val="auto"/>
          <w:szCs w:val="24"/>
        </w:rPr>
        <w:t xml:space="preserve"> </w:t>
      </w:r>
      <w:r w:rsidR="0046671F" w:rsidRPr="00EB783A">
        <w:rPr>
          <w:rFonts w:eastAsia="Calibri" w:cs="Times New Roman"/>
          <w:color w:val="auto"/>
          <w:szCs w:val="24"/>
        </w:rPr>
        <w:t>Members did surmise that it was likely that the L2 and U3 classifications were erroneously transposed on the profile (i.e., intended as L3/U2); although, that must remain speculative.</w:t>
      </w:r>
      <w:r w:rsidR="0046671F">
        <w:rPr>
          <w:rFonts w:eastAsia="Calibri" w:cs="Times New Roman"/>
          <w:color w:val="auto"/>
          <w:szCs w:val="24"/>
        </w:rPr>
        <w:t>)</w:t>
      </w:r>
      <w:r w:rsidR="0046671F" w:rsidRPr="00EB783A">
        <w:rPr>
          <w:rFonts w:eastAsia="Calibri" w:cs="Times New Roman"/>
          <w:color w:val="auto"/>
          <w:szCs w:val="24"/>
        </w:rPr>
        <w:t xml:space="preserve">  </w:t>
      </w:r>
      <w:r w:rsidR="0046671F">
        <w:rPr>
          <w:rFonts w:eastAsia="Calibri" w:cs="Times New Roman"/>
          <w:color w:val="auto"/>
          <w:szCs w:val="24"/>
        </w:rPr>
        <w:t>T</w:t>
      </w:r>
      <w:r w:rsidR="0002485A" w:rsidRPr="00844DA7">
        <w:rPr>
          <w:color w:val="000000"/>
          <w:szCs w:val="24"/>
        </w:rPr>
        <w:t xml:space="preserve">he </w:t>
      </w:r>
      <w:r w:rsidR="0002485A">
        <w:rPr>
          <w:color w:val="000000"/>
        </w:rPr>
        <w:t>right hip</w:t>
      </w:r>
      <w:r w:rsidR="00986E4D">
        <w:rPr>
          <w:color w:val="000000"/>
          <w:szCs w:val="24"/>
        </w:rPr>
        <w:t xml:space="preserve"> condition </w:t>
      </w:r>
      <w:r w:rsidR="0002485A" w:rsidRPr="00844DA7">
        <w:rPr>
          <w:color w:val="000000"/>
          <w:szCs w:val="24"/>
        </w:rPr>
        <w:t xml:space="preserve">was forwarded to the Physical Evaluation Board (PEB) as medically unacceptable IAW AR 40-501.  </w:t>
      </w:r>
      <w:r w:rsidR="0002485A">
        <w:rPr>
          <w:color w:val="000000"/>
          <w:szCs w:val="24"/>
        </w:rPr>
        <w:t>Two</w:t>
      </w:r>
      <w:r w:rsidR="0002485A" w:rsidRPr="00844DA7">
        <w:rPr>
          <w:color w:val="000000"/>
          <w:szCs w:val="24"/>
        </w:rPr>
        <w:t xml:space="preserve"> other conditions (</w:t>
      </w:r>
      <w:r w:rsidR="0002485A">
        <w:rPr>
          <w:color w:val="000000"/>
          <w:szCs w:val="24"/>
        </w:rPr>
        <w:t>right ankle, left shoulder</w:t>
      </w:r>
      <w:r w:rsidR="0002485A" w:rsidRPr="00844DA7">
        <w:rPr>
          <w:color w:val="000000"/>
          <w:szCs w:val="24"/>
        </w:rPr>
        <w:t xml:space="preserve">) were addressed by the MEB, and forwarded </w:t>
      </w:r>
      <w:r w:rsidR="0002485A">
        <w:rPr>
          <w:color w:val="000000"/>
          <w:szCs w:val="24"/>
        </w:rPr>
        <w:t>as meeting retention standards.</w:t>
      </w:r>
      <w:r w:rsidR="0002485A" w:rsidRPr="00844DA7">
        <w:rPr>
          <w:color w:val="000000"/>
          <w:szCs w:val="24"/>
        </w:rPr>
        <w:t xml:space="preserve">  The PEB adjudicated the </w:t>
      </w:r>
      <w:r w:rsidR="0002485A">
        <w:rPr>
          <w:color w:val="000000"/>
        </w:rPr>
        <w:t>right hip</w:t>
      </w:r>
      <w:r w:rsidR="0002485A" w:rsidRPr="00844DA7">
        <w:rPr>
          <w:color w:val="000000"/>
          <w:szCs w:val="24"/>
        </w:rPr>
        <w:t xml:space="preserve"> condition as unfitting, </w:t>
      </w:r>
      <w:r w:rsidR="00202D61">
        <w:rPr>
          <w:color w:val="000000"/>
          <w:szCs w:val="24"/>
        </w:rPr>
        <w:t xml:space="preserve">rated 10%, </w:t>
      </w:r>
      <w:r w:rsidR="0002485A" w:rsidRPr="00DB5A94">
        <w:rPr>
          <w:color w:val="000000"/>
          <w:szCs w:val="24"/>
        </w:rPr>
        <w:t>referencing</w:t>
      </w:r>
      <w:r w:rsidR="0002485A" w:rsidRPr="009F3445">
        <w:rPr>
          <w:color w:val="000000"/>
          <w:szCs w:val="24"/>
        </w:rPr>
        <w:t xml:space="preserve"> </w:t>
      </w:r>
      <w:r w:rsidR="0002485A" w:rsidRPr="00DB5A94">
        <w:rPr>
          <w:color w:val="000000"/>
          <w:szCs w:val="24"/>
        </w:rPr>
        <w:t>the US Army Physical Disability Agency (USAPDA) pain policy</w:t>
      </w:r>
      <w:r w:rsidR="0002485A" w:rsidRPr="009F3445">
        <w:rPr>
          <w:color w:val="000000"/>
          <w:szCs w:val="24"/>
        </w:rPr>
        <w:t>.</w:t>
      </w:r>
      <w:r w:rsidR="0002485A">
        <w:rPr>
          <w:color w:val="000000"/>
          <w:szCs w:val="24"/>
        </w:rPr>
        <w:t xml:space="preserve">  The ankle and shoulder conditions were not specifically adjudicated per the PEB’s DA Form 199; but, the Board judged that this was likely an erroneous omission and should be assumed to constitute a </w:t>
      </w:r>
      <w:r w:rsidR="0002485A" w:rsidRPr="00BD74D4">
        <w:rPr>
          <w:i/>
          <w:color w:val="000000"/>
          <w:szCs w:val="24"/>
        </w:rPr>
        <w:t>de facto</w:t>
      </w:r>
      <w:r w:rsidR="0002485A">
        <w:rPr>
          <w:color w:val="000000"/>
          <w:szCs w:val="24"/>
        </w:rPr>
        <w:t xml:space="preserve"> determination that neither condition was considered to be unfitting.  </w:t>
      </w:r>
      <w:r w:rsidR="0002485A" w:rsidRPr="00844DA7">
        <w:rPr>
          <w:color w:val="000000"/>
          <w:szCs w:val="24"/>
        </w:rPr>
        <w:t>The CI made no appeals, and was medically separated with a 10% disability rating.</w:t>
      </w:r>
    </w:p>
    <w:p w:rsidR="00AA6DBF" w:rsidRPr="001F29F9" w:rsidRDefault="00AA6DBF"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2D743C">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F23095">
        <w:rPr>
          <w:color w:val="auto"/>
        </w:rPr>
        <w:t>“</w:t>
      </w:r>
      <w:r w:rsidR="00F23095" w:rsidRPr="00A47465">
        <w:rPr>
          <w:color w:val="auto"/>
        </w:rPr>
        <w:t>PTSD was not rated, was diagnosed wi</w:t>
      </w:r>
      <w:r w:rsidR="00F23095">
        <w:rPr>
          <w:color w:val="auto"/>
        </w:rPr>
        <w:t>t</w:t>
      </w:r>
      <w:r w:rsidR="00F23095" w:rsidRPr="00A47465">
        <w:rPr>
          <w:color w:val="auto"/>
        </w:rPr>
        <w:t xml:space="preserve">h PTSD </w:t>
      </w:r>
      <w:r w:rsidR="00F23095">
        <w:rPr>
          <w:color w:val="auto"/>
        </w:rPr>
        <w:t xml:space="preserve">[post-traumatic stress disorder] </w:t>
      </w:r>
      <w:r w:rsidR="00F23095" w:rsidRPr="00A47465">
        <w:rPr>
          <w:color w:val="auto"/>
        </w:rPr>
        <w:t xml:space="preserve">and </w:t>
      </w:r>
      <w:r w:rsidR="00F23095">
        <w:rPr>
          <w:color w:val="auto"/>
        </w:rPr>
        <w:t xml:space="preserve">Doctors … </w:t>
      </w:r>
      <w:r w:rsidR="00F23095" w:rsidRPr="00A47465">
        <w:rPr>
          <w:color w:val="auto"/>
        </w:rPr>
        <w:t>Iis</w:t>
      </w:r>
      <w:r w:rsidR="00F23095">
        <w:rPr>
          <w:color w:val="auto"/>
        </w:rPr>
        <w:t>te</w:t>
      </w:r>
      <w:r w:rsidR="00F23095" w:rsidRPr="00A47465">
        <w:rPr>
          <w:color w:val="auto"/>
        </w:rPr>
        <w:t xml:space="preserve">d me as </w:t>
      </w:r>
      <w:r w:rsidR="00F23095">
        <w:rPr>
          <w:color w:val="auto"/>
        </w:rPr>
        <w:t>hav</w:t>
      </w:r>
      <w:r w:rsidR="00F23095" w:rsidRPr="00A47465">
        <w:rPr>
          <w:color w:val="auto"/>
        </w:rPr>
        <w:t xml:space="preserve">ing </w:t>
      </w:r>
      <w:r w:rsidR="00F23095">
        <w:rPr>
          <w:color w:val="auto"/>
        </w:rPr>
        <w:t>Adjustment Disorder,</w:t>
      </w:r>
      <w:r w:rsidR="00F23095" w:rsidRPr="00A47465">
        <w:rPr>
          <w:color w:val="auto"/>
        </w:rPr>
        <w:t xml:space="preserve"> PTSD diagnosis was</w:t>
      </w:r>
      <w:r w:rsidR="00F23095">
        <w:rPr>
          <w:color w:val="auto"/>
        </w:rPr>
        <w:t xml:space="preserve"> </w:t>
      </w:r>
      <w:r w:rsidR="00F23095" w:rsidRPr="00A47465">
        <w:rPr>
          <w:color w:val="auto"/>
        </w:rPr>
        <w:t xml:space="preserve">overlooked due to me not </w:t>
      </w:r>
      <w:r w:rsidR="00F23095">
        <w:rPr>
          <w:color w:val="auto"/>
        </w:rPr>
        <w:t>wanting</w:t>
      </w:r>
      <w:r w:rsidR="00F23095" w:rsidRPr="00A47465">
        <w:rPr>
          <w:color w:val="auto"/>
        </w:rPr>
        <w:t xml:space="preserve"> to get out of Army f</w:t>
      </w:r>
      <w:r w:rsidR="00F23095">
        <w:rPr>
          <w:color w:val="auto"/>
        </w:rPr>
        <w:t>o</w:t>
      </w:r>
      <w:r w:rsidR="00F23095" w:rsidRPr="00A47465">
        <w:rPr>
          <w:color w:val="auto"/>
        </w:rPr>
        <w:t xml:space="preserve">r </w:t>
      </w:r>
      <w:r w:rsidR="00F23095">
        <w:rPr>
          <w:color w:val="auto"/>
        </w:rPr>
        <w:t>having</w:t>
      </w:r>
      <w:r w:rsidR="00F23095" w:rsidRPr="00A47465">
        <w:rPr>
          <w:color w:val="auto"/>
        </w:rPr>
        <w:t xml:space="preserve"> PTSD nor wa</w:t>
      </w:r>
      <w:r w:rsidR="00F23095">
        <w:rPr>
          <w:color w:val="auto"/>
        </w:rPr>
        <w:t>nt</w:t>
      </w:r>
      <w:r w:rsidR="00F23095" w:rsidRPr="00A47465">
        <w:rPr>
          <w:color w:val="auto"/>
        </w:rPr>
        <w:t>ing to talk about it. H</w:t>
      </w:r>
      <w:r w:rsidR="00F23095">
        <w:rPr>
          <w:color w:val="auto"/>
        </w:rPr>
        <w:t>i</w:t>
      </w:r>
      <w:r w:rsidR="00F23095" w:rsidRPr="00A47465">
        <w:rPr>
          <w:color w:val="auto"/>
        </w:rPr>
        <w:t xml:space="preserve">p pain was not fully </w:t>
      </w:r>
      <w:r w:rsidR="00F23095">
        <w:rPr>
          <w:color w:val="auto"/>
        </w:rPr>
        <w:t>researched</w:t>
      </w:r>
      <w:r w:rsidR="00F23095" w:rsidRPr="00A47465">
        <w:rPr>
          <w:color w:val="auto"/>
        </w:rPr>
        <w:t xml:space="preserve"> nor tes</w:t>
      </w:r>
      <w:r w:rsidR="00F23095">
        <w:rPr>
          <w:color w:val="auto"/>
        </w:rPr>
        <w:t>te</w:t>
      </w:r>
      <w:r w:rsidR="00F23095" w:rsidRPr="00A47465">
        <w:rPr>
          <w:color w:val="auto"/>
        </w:rPr>
        <w:t>d to</w:t>
      </w:r>
      <w:r w:rsidR="00F23095">
        <w:rPr>
          <w:color w:val="auto"/>
        </w:rPr>
        <w:t xml:space="preserve"> </w:t>
      </w:r>
      <w:r w:rsidR="00F23095" w:rsidRPr="00A47465">
        <w:rPr>
          <w:color w:val="auto"/>
        </w:rPr>
        <w:t>see w</w:t>
      </w:r>
      <w:r w:rsidR="00F23095">
        <w:rPr>
          <w:color w:val="auto"/>
        </w:rPr>
        <w:t>h</w:t>
      </w:r>
      <w:r w:rsidR="00F23095" w:rsidRPr="00A47465">
        <w:rPr>
          <w:color w:val="auto"/>
        </w:rPr>
        <w:t>a</w:t>
      </w:r>
      <w:r w:rsidR="00F23095">
        <w:rPr>
          <w:color w:val="auto"/>
        </w:rPr>
        <w:t>t</w:t>
      </w:r>
      <w:r w:rsidR="00F23095" w:rsidRPr="00A47465">
        <w:rPr>
          <w:color w:val="auto"/>
        </w:rPr>
        <w:t xml:space="preserve"> is causi</w:t>
      </w:r>
      <w:r w:rsidR="00F23095">
        <w:rPr>
          <w:color w:val="auto"/>
        </w:rPr>
        <w:t>n</w:t>
      </w:r>
      <w:r w:rsidR="00F23095" w:rsidRPr="00A47465">
        <w:rPr>
          <w:color w:val="auto"/>
        </w:rPr>
        <w:t xml:space="preserve">g the pain nor did they look at why I had the </w:t>
      </w:r>
      <w:r w:rsidR="00F23095">
        <w:rPr>
          <w:color w:val="auto"/>
        </w:rPr>
        <w:t>injury</w:t>
      </w:r>
      <w:r w:rsidR="00F23095" w:rsidRPr="00A47465">
        <w:rPr>
          <w:color w:val="auto"/>
        </w:rPr>
        <w:t xml:space="preserve">. Back </w:t>
      </w:r>
      <w:r w:rsidR="00F23095">
        <w:rPr>
          <w:color w:val="auto"/>
        </w:rPr>
        <w:t>injury</w:t>
      </w:r>
      <w:r w:rsidR="00F23095" w:rsidRPr="00A47465">
        <w:rPr>
          <w:color w:val="auto"/>
        </w:rPr>
        <w:t xml:space="preserve"> was not mentio</w:t>
      </w:r>
      <w:r w:rsidR="00F23095">
        <w:rPr>
          <w:color w:val="auto"/>
        </w:rPr>
        <w:t>n</w:t>
      </w:r>
      <w:r w:rsidR="00F23095" w:rsidRPr="00A47465">
        <w:rPr>
          <w:color w:val="auto"/>
        </w:rPr>
        <w:t>ed eit</w:t>
      </w:r>
      <w:r w:rsidR="00F23095">
        <w:rPr>
          <w:color w:val="auto"/>
        </w:rPr>
        <w:t>h</w:t>
      </w:r>
      <w:r w:rsidR="00F23095" w:rsidRPr="00A47465">
        <w:rPr>
          <w:color w:val="auto"/>
        </w:rPr>
        <w:t>er</w:t>
      </w:r>
      <w:r w:rsidR="00F23095">
        <w:rPr>
          <w:color w:val="auto"/>
        </w:rPr>
        <w:t xml:space="preserve">.  … I </w:t>
      </w:r>
      <w:r w:rsidR="00F23095" w:rsidRPr="00F23095">
        <w:rPr>
          <w:color w:val="auto"/>
        </w:rPr>
        <w:t xml:space="preserve">was diagnosed in IRQ </w:t>
      </w:r>
      <w:r w:rsidR="00F23095">
        <w:rPr>
          <w:color w:val="auto"/>
        </w:rPr>
        <w:t>[Iraq] wit</w:t>
      </w:r>
      <w:r w:rsidR="00F23095" w:rsidRPr="00F23095">
        <w:rPr>
          <w:color w:val="auto"/>
        </w:rPr>
        <w:t xml:space="preserve">h </w:t>
      </w:r>
      <w:r w:rsidR="00F23095">
        <w:rPr>
          <w:color w:val="auto"/>
        </w:rPr>
        <w:t>PTSD, leg length problem</w:t>
      </w:r>
      <w:r w:rsidR="00F23095" w:rsidRPr="00F23095">
        <w:rPr>
          <w:color w:val="auto"/>
        </w:rPr>
        <w:t xml:space="preserve">, </w:t>
      </w:r>
      <w:r w:rsidR="00F23095">
        <w:rPr>
          <w:color w:val="auto"/>
        </w:rPr>
        <w:t>back</w:t>
      </w:r>
      <w:r w:rsidR="00F23095" w:rsidRPr="00F23095">
        <w:rPr>
          <w:color w:val="auto"/>
        </w:rPr>
        <w:t xml:space="preserve"> injury, TBI</w:t>
      </w:r>
      <w:r w:rsidR="00F23095">
        <w:rPr>
          <w:color w:val="auto"/>
        </w:rPr>
        <w:t xml:space="preserve"> [traumatic brain injury]</w:t>
      </w:r>
      <w:r w:rsidR="00F23095" w:rsidRPr="00F23095">
        <w:rPr>
          <w:color w:val="auto"/>
        </w:rPr>
        <w:t xml:space="preserve">, </w:t>
      </w:r>
      <w:r w:rsidR="00F23095">
        <w:rPr>
          <w:color w:val="auto"/>
        </w:rPr>
        <w:t>sh</w:t>
      </w:r>
      <w:r w:rsidR="00F23095" w:rsidRPr="00F23095">
        <w:rPr>
          <w:color w:val="auto"/>
        </w:rPr>
        <w:t xml:space="preserve">oulder injury, </w:t>
      </w:r>
      <w:r w:rsidR="00F23095">
        <w:rPr>
          <w:color w:val="auto"/>
        </w:rPr>
        <w:t>hearing loss</w:t>
      </w:r>
      <w:r w:rsidR="00F23095" w:rsidRPr="00F23095">
        <w:rPr>
          <w:color w:val="auto"/>
        </w:rPr>
        <w:t xml:space="preserve">, </w:t>
      </w:r>
      <w:r w:rsidR="00F23095">
        <w:rPr>
          <w:color w:val="auto"/>
        </w:rPr>
        <w:t>exposure</w:t>
      </w:r>
      <w:r w:rsidR="00F23095" w:rsidRPr="00F23095">
        <w:rPr>
          <w:color w:val="auto"/>
        </w:rPr>
        <w:t xml:space="preserve"> to </w:t>
      </w:r>
      <w:r w:rsidR="00F23095">
        <w:rPr>
          <w:color w:val="auto"/>
        </w:rPr>
        <w:t>unkn</w:t>
      </w:r>
      <w:r w:rsidR="00F23095" w:rsidRPr="00F23095">
        <w:rPr>
          <w:color w:val="auto"/>
        </w:rPr>
        <w:t>own and known</w:t>
      </w:r>
      <w:r w:rsidR="00F23095">
        <w:rPr>
          <w:color w:val="auto"/>
        </w:rPr>
        <w:t xml:space="preserve"> ch</w:t>
      </w:r>
      <w:r w:rsidR="00F23095" w:rsidRPr="00F23095">
        <w:rPr>
          <w:color w:val="auto"/>
        </w:rPr>
        <w:t xml:space="preserve">emicals and </w:t>
      </w:r>
      <w:r w:rsidR="00F23095">
        <w:rPr>
          <w:color w:val="auto"/>
        </w:rPr>
        <w:t>hazardous mat</w:t>
      </w:r>
      <w:r w:rsidR="00F23095" w:rsidRPr="00F23095">
        <w:rPr>
          <w:color w:val="auto"/>
        </w:rPr>
        <w:t>erials</w:t>
      </w:r>
      <w:r w:rsidR="00F23095">
        <w:rPr>
          <w:color w:val="auto"/>
        </w:rPr>
        <w:t xml:space="preserve"> …”  </w:t>
      </w:r>
      <w:r w:rsidR="00F23095" w:rsidRPr="00F64312">
        <w:rPr>
          <w:rFonts w:eastAsia="Cambria"/>
          <w:color w:val="auto"/>
          <w:szCs w:val="24"/>
        </w:rPr>
        <w:t xml:space="preserve">The </w:t>
      </w:r>
      <w:r w:rsidR="00F23095">
        <w:rPr>
          <w:rFonts w:eastAsia="Cambria"/>
          <w:color w:val="auto"/>
          <w:szCs w:val="24"/>
        </w:rPr>
        <w:t xml:space="preserve">application was </w:t>
      </w:r>
      <w:r w:rsidR="002E35D2">
        <w:rPr>
          <w:rFonts w:eastAsia="Cambria"/>
          <w:color w:val="auto"/>
          <w:szCs w:val="24"/>
        </w:rPr>
        <w:t xml:space="preserve">additionally </w:t>
      </w:r>
      <w:r w:rsidR="00F23095">
        <w:rPr>
          <w:rFonts w:eastAsia="Cambria"/>
          <w:color w:val="auto"/>
          <w:szCs w:val="24"/>
        </w:rPr>
        <w:t>accompanied by a</w:t>
      </w:r>
      <w:r w:rsidR="00F23095" w:rsidRPr="00F64312">
        <w:rPr>
          <w:rFonts w:eastAsia="Cambria"/>
          <w:color w:val="auto"/>
          <w:szCs w:val="24"/>
        </w:rPr>
        <w:t xml:space="preserve"> </w:t>
      </w:r>
      <w:r w:rsidR="00F23095">
        <w:rPr>
          <w:rFonts w:eastAsia="Cambria"/>
          <w:color w:val="auto"/>
          <w:szCs w:val="24"/>
        </w:rPr>
        <w:t xml:space="preserve">written statement </w:t>
      </w:r>
      <w:r w:rsidR="00F23095" w:rsidRPr="00071772">
        <w:rPr>
          <w:rFonts w:eastAsia="Cambria"/>
          <w:color w:val="auto"/>
          <w:szCs w:val="24"/>
        </w:rPr>
        <w:t xml:space="preserve">from </w:t>
      </w:r>
      <w:r w:rsidR="00F23095">
        <w:rPr>
          <w:rFonts w:eastAsia="Cambria"/>
          <w:color w:val="auto"/>
          <w:szCs w:val="24"/>
        </w:rPr>
        <w:t>the CI,</w:t>
      </w:r>
      <w:r w:rsidR="00F23095" w:rsidRPr="00071772">
        <w:rPr>
          <w:rFonts w:eastAsia="Cambria"/>
          <w:color w:val="auto"/>
          <w:szCs w:val="24"/>
        </w:rPr>
        <w:t xml:space="preserve"> </w:t>
      </w:r>
      <w:r w:rsidR="00F23095" w:rsidRPr="00F64312">
        <w:rPr>
          <w:rFonts w:eastAsia="Cambria"/>
          <w:color w:val="auto"/>
          <w:szCs w:val="24"/>
        </w:rPr>
        <w:t>which was reviewed by the Board and considered in its recommendations.</w:t>
      </w:r>
      <w:r w:rsidR="002E35D2">
        <w:rPr>
          <w:rFonts w:eastAsia="Cambria"/>
          <w:color w:val="auto"/>
          <w:szCs w:val="24"/>
        </w:rPr>
        <w:t xml:space="preserve">  This stated that he “Was told if I spoke about PTSD I would be kicked out.”  It elaborated that he did not relate his symptoms to physicians for this reason, and instead sought counseling from the chaplain; and, further asserts that he was unjustly denied </w:t>
      </w:r>
      <w:r w:rsidR="002D743C">
        <w:rPr>
          <w:rFonts w:eastAsia="Cambria"/>
          <w:color w:val="auto"/>
          <w:szCs w:val="24"/>
        </w:rPr>
        <w:t>“</w:t>
      </w:r>
      <w:r w:rsidR="002E35D2">
        <w:rPr>
          <w:rFonts w:eastAsia="Cambria"/>
          <w:color w:val="auto"/>
          <w:szCs w:val="24"/>
        </w:rPr>
        <w:t>promised</w:t>
      </w:r>
      <w:r w:rsidR="002D743C">
        <w:rPr>
          <w:rFonts w:eastAsia="Cambria"/>
          <w:color w:val="auto"/>
          <w:szCs w:val="24"/>
        </w:rPr>
        <w:t>”</w:t>
      </w:r>
      <w:r w:rsidR="002E35D2">
        <w:rPr>
          <w:rFonts w:eastAsia="Cambria"/>
          <w:color w:val="auto"/>
          <w:szCs w:val="24"/>
        </w:rPr>
        <w:t xml:space="preserve"> promotion</w:t>
      </w:r>
      <w:r w:rsidR="002D743C">
        <w:rPr>
          <w:rFonts w:eastAsia="Cambria"/>
          <w:color w:val="auto"/>
          <w:szCs w:val="24"/>
        </w:rPr>
        <w:t xml:space="preserve">s to E-5 and E-6.  The CI specifically requests “promotion to E-6 w/ 6 years &amp; retired by you.”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14638" w:rsidRPr="00C566C9" w:rsidRDefault="00F14638" w:rsidP="00F14638">
      <w:pPr>
        <w:jc w:val="both"/>
        <w:rPr>
          <w:color w:val="auto"/>
        </w:rPr>
      </w:pPr>
      <w:r w:rsidRPr="006A714F">
        <w:rPr>
          <w:color w:val="auto"/>
          <w:u w:val="single"/>
        </w:rPr>
        <w:t>SCOPE OF REVIEW</w:t>
      </w:r>
      <w:r>
        <w:rPr>
          <w:color w:val="auto"/>
        </w:rPr>
        <w:t xml:space="preserve">:  </w:t>
      </w:r>
      <w:r w:rsidRPr="00C566C9">
        <w:rPr>
          <w:color w:val="auto"/>
        </w:rPr>
        <w:t xml:space="preserve">The </w:t>
      </w:r>
      <w:r w:rsidRPr="00102780">
        <w:rPr>
          <w:color w:val="auto"/>
        </w:rPr>
        <w:t xml:space="preserve">Board wishes to clarify that the scope of its review as defined in </w:t>
      </w:r>
      <w:r w:rsidR="00DD44EA" w:rsidRPr="00102780">
        <w:rPr>
          <w:color w:val="000000"/>
        </w:rPr>
        <w:t xml:space="preserve">Department of Defense Instruction (DoDI) </w:t>
      </w:r>
      <w:r w:rsidRPr="00102780">
        <w:rPr>
          <w:color w:val="auto"/>
        </w:rPr>
        <w:t xml:space="preserve">6040.44 </w:t>
      </w:r>
      <w:r w:rsidR="003A6FCD" w:rsidRPr="00102780">
        <w:rPr>
          <w:color w:val="auto"/>
        </w:rPr>
        <w:t xml:space="preserve">(Enclosure 3, paragraph 5.e.2) </w:t>
      </w:r>
      <w:r w:rsidRPr="00102780">
        <w:rPr>
          <w:color w:val="auto"/>
        </w:rPr>
        <w:t xml:space="preserve">is limited to those conditions which were determined by the PEB to be specifically unfitting for continued military service; or, when requested by the CI, those condition(s) “identified but not determined to be unfitting by the PEB”.  </w:t>
      </w:r>
      <w:r w:rsidR="00A45AC3" w:rsidRPr="00102780">
        <w:rPr>
          <w:color w:val="auto"/>
        </w:rPr>
        <w:t xml:space="preserve">The rating for the unfitting right hip condition is addressed below.  The Board also judged that, since the shoulder condition was specifically implicated in the CI’s statement and was identified as not unfitting by the PEB, it also falls within the DoDI 6040.44 defined purview; and, is accordingly addressed below.  The right ankle </w:t>
      </w:r>
      <w:r w:rsidR="00102780" w:rsidRPr="00102780">
        <w:rPr>
          <w:color w:val="auto"/>
        </w:rPr>
        <w:t>condition, identified as not unfitting</w:t>
      </w:r>
      <w:r w:rsidR="00102780">
        <w:rPr>
          <w:color w:val="auto"/>
        </w:rPr>
        <w:t xml:space="preserve"> by the PEB, was not requested; and, thus not within purview.  The </w:t>
      </w:r>
      <w:r w:rsidR="00986E4D">
        <w:rPr>
          <w:color w:val="auto"/>
        </w:rPr>
        <w:t xml:space="preserve">contended </w:t>
      </w:r>
      <w:r w:rsidR="00102780">
        <w:rPr>
          <w:color w:val="auto"/>
        </w:rPr>
        <w:t xml:space="preserve">PTSD, leg length problem, back injury, TBI, hearing loss, and any </w:t>
      </w:r>
      <w:r w:rsidR="00102780">
        <w:rPr>
          <w:color w:val="auto"/>
        </w:rPr>
        <w:lastRenderedPageBreak/>
        <w:t>medical conditions resulting from toxic exposure were not identified by the PEB; and thus</w:t>
      </w:r>
      <w:r w:rsidR="00EA04AC">
        <w:rPr>
          <w:color w:val="auto"/>
        </w:rPr>
        <w:t>,</w:t>
      </w:r>
      <w:r w:rsidR="00102780">
        <w:rPr>
          <w:color w:val="auto"/>
        </w:rPr>
        <w:t xml:space="preserve"> are not eligible for Board consideration.  The latter conditions and the PEB</w:t>
      </w:r>
      <w:r w:rsidR="00EA04AC">
        <w:rPr>
          <w:color w:val="auto"/>
        </w:rPr>
        <w:t xml:space="preserve"> </w:t>
      </w:r>
      <w:r w:rsidR="00102780">
        <w:rPr>
          <w:color w:val="auto"/>
        </w:rPr>
        <w:t>adjudicated right ankle condition</w:t>
      </w:r>
      <w:r w:rsidR="00102780" w:rsidRPr="00102780">
        <w:rPr>
          <w:color w:val="auto"/>
        </w:rPr>
        <w:t>, or any other conditions or contention outside the Board’s defined scope of review, remain eligible for future consideration by the Army Board for the Correction of Military Records</w:t>
      </w:r>
      <w:r w:rsidR="00EA04AC">
        <w:rPr>
          <w:color w:val="auto"/>
        </w:rPr>
        <w:t xml:space="preserve"> (ABCMR)</w:t>
      </w:r>
      <w:r w:rsidR="00102780" w:rsidRPr="00102780">
        <w:rPr>
          <w:color w:val="auto"/>
        </w:rPr>
        <w:t>.</w:t>
      </w:r>
      <w:r>
        <w:rPr>
          <w:color w:val="auto"/>
        </w:rPr>
        <w:t xml:space="preserve"> </w:t>
      </w:r>
    </w:p>
    <w:p w:rsidR="004F61A0" w:rsidRPr="001F29F9" w:rsidRDefault="004F61A0" w:rsidP="004F61A0">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AD2379" w:rsidRDefault="00AD2379" w:rsidP="00BF0E94">
      <w:pPr>
        <w:jc w:val="left"/>
        <w:rPr>
          <w:color w:val="000000"/>
        </w:rPr>
      </w:pPr>
      <w:r w:rsidRPr="001F29F9">
        <w:rPr>
          <w:color w:val="000000"/>
          <w:u w:val="single"/>
        </w:rPr>
        <w:t>RATING COMPARISON</w:t>
      </w:r>
      <w:r w:rsidRPr="001F29F9">
        <w:rPr>
          <w:color w:val="000000"/>
        </w:rPr>
        <w:t>:</w:t>
      </w:r>
      <w:r w:rsidRPr="00726F84">
        <w:rPr>
          <w:color w:val="000000"/>
        </w:rPr>
        <w:t xml:space="preserve"> </w:t>
      </w:r>
    </w:p>
    <w:p w:rsidR="00332BDE" w:rsidRDefault="00332BDE" w:rsidP="00BF0E94">
      <w:pPr>
        <w:jc w:val="left"/>
        <w:rPr>
          <w:color w:val="000000"/>
        </w:rPr>
      </w:pPr>
    </w:p>
    <w:tbl>
      <w:tblPr>
        <w:tblStyle w:val="TableGrid"/>
        <w:tblW w:w="9369" w:type="dxa"/>
        <w:jc w:val="center"/>
        <w:tblInd w:w="9" w:type="dxa"/>
        <w:tblLayout w:type="fixed"/>
        <w:tblLook w:val="00A0"/>
      </w:tblPr>
      <w:tblGrid>
        <w:gridCol w:w="2169"/>
        <w:gridCol w:w="1080"/>
        <w:gridCol w:w="720"/>
        <w:gridCol w:w="2610"/>
        <w:gridCol w:w="1080"/>
        <w:gridCol w:w="720"/>
        <w:gridCol w:w="990"/>
      </w:tblGrid>
      <w:tr w:rsidR="00332BDE" w:rsidRPr="00574F08" w:rsidTr="00486869">
        <w:trPr>
          <w:trHeight w:val="170"/>
          <w:jc w:val="center"/>
        </w:trPr>
        <w:tc>
          <w:tcPr>
            <w:tcW w:w="3969" w:type="dxa"/>
            <w:gridSpan w:val="3"/>
            <w:tcBorders>
              <w:right w:val="thinThickThinSmallGap" w:sz="24" w:space="0" w:color="auto"/>
            </w:tcBorders>
            <w:shd w:val="clear" w:color="auto" w:fill="D9D9D9"/>
            <w:vAlign w:val="center"/>
          </w:tcPr>
          <w:p w:rsidR="00332BDE" w:rsidRPr="00574F08" w:rsidRDefault="00332BDE" w:rsidP="00486869">
            <w:pPr>
              <w:contextualSpacing/>
              <w:rPr>
                <w:rFonts w:cs="Calibri"/>
                <w:b/>
                <w:color w:val="auto"/>
                <w:sz w:val="18"/>
              </w:rPr>
            </w:pPr>
            <w:r w:rsidRPr="00574F08">
              <w:rPr>
                <w:b/>
                <w:color w:val="auto"/>
                <w:sz w:val="18"/>
              </w:rPr>
              <w:t>Service PEB – Dated 20060518</w:t>
            </w:r>
          </w:p>
        </w:tc>
        <w:tc>
          <w:tcPr>
            <w:tcW w:w="5400" w:type="dxa"/>
            <w:gridSpan w:val="4"/>
            <w:tcBorders>
              <w:left w:val="thinThickThinSmallGap" w:sz="24" w:space="0" w:color="auto"/>
            </w:tcBorders>
            <w:shd w:val="clear" w:color="auto" w:fill="D9D9D9"/>
            <w:vAlign w:val="center"/>
          </w:tcPr>
          <w:p w:rsidR="00332BDE" w:rsidRPr="00574F08" w:rsidRDefault="00332BDE" w:rsidP="00486869">
            <w:pPr>
              <w:contextualSpacing/>
              <w:rPr>
                <w:rFonts w:cs="Calibri"/>
                <w:b/>
                <w:color w:val="auto"/>
                <w:sz w:val="18"/>
              </w:rPr>
            </w:pPr>
            <w:r w:rsidRPr="00574F08">
              <w:rPr>
                <w:b/>
                <w:color w:val="auto"/>
                <w:sz w:val="18"/>
              </w:rPr>
              <w:t>VA (2 Mos. Post-Separation) –</w:t>
            </w:r>
            <w:r>
              <w:rPr>
                <w:b/>
                <w:color w:val="auto"/>
                <w:sz w:val="18"/>
              </w:rPr>
              <w:t xml:space="preserve"> </w:t>
            </w:r>
            <w:r w:rsidRPr="00574F08">
              <w:rPr>
                <w:b/>
                <w:color w:val="auto"/>
                <w:sz w:val="18"/>
              </w:rPr>
              <w:t>Effective 20060609</w:t>
            </w:r>
          </w:p>
        </w:tc>
      </w:tr>
      <w:tr w:rsidR="00332BDE" w:rsidRPr="00574F08" w:rsidTr="00486869">
        <w:trPr>
          <w:trHeight w:val="97"/>
          <w:jc w:val="center"/>
        </w:trPr>
        <w:tc>
          <w:tcPr>
            <w:tcW w:w="2169" w:type="dxa"/>
            <w:tcBorders>
              <w:bottom w:val="single" w:sz="4" w:space="0" w:color="000000"/>
              <w:right w:val="single" w:sz="4" w:space="0" w:color="auto"/>
            </w:tcBorders>
            <w:shd w:val="clear" w:color="auto" w:fill="D9D9D9"/>
            <w:vAlign w:val="center"/>
          </w:tcPr>
          <w:p w:rsidR="00332BDE" w:rsidRPr="00574F08" w:rsidRDefault="00332BDE" w:rsidP="00486869">
            <w:pPr>
              <w:contextualSpacing/>
              <w:rPr>
                <w:rFonts w:cs="Calibri"/>
                <w:b/>
                <w:color w:val="auto"/>
                <w:sz w:val="18"/>
              </w:rPr>
            </w:pPr>
            <w:r w:rsidRPr="00574F08">
              <w:rPr>
                <w:b/>
                <w:color w:val="auto"/>
                <w:sz w:val="18"/>
              </w:rPr>
              <w:t>Condition</w:t>
            </w:r>
          </w:p>
        </w:tc>
        <w:tc>
          <w:tcPr>
            <w:tcW w:w="1080" w:type="dxa"/>
            <w:tcBorders>
              <w:left w:val="single" w:sz="4" w:space="0" w:color="auto"/>
              <w:bottom w:val="single" w:sz="4" w:space="0" w:color="000000"/>
            </w:tcBorders>
            <w:shd w:val="clear" w:color="auto" w:fill="D9D9D9"/>
            <w:vAlign w:val="center"/>
          </w:tcPr>
          <w:p w:rsidR="00332BDE" w:rsidRPr="00574F08" w:rsidRDefault="00332BDE" w:rsidP="00486869">
            <w:pPr>
              <w:contextualSpacing/>
              <w:rPr>
                <w:rFonts w:cs="Calibri"/>
                <w:b/>
                <w:color w:val="auto"/>
                <w:sz w:val="18"/>
              </w:rPr>
            </w:pPr>
            <w:r w:rsidRPr="00574F08">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332BDE" w:rsidRPr="00574F08" w:rsidRDefault="00332BDE" w:rsidP="00486869">
            <w:pPr>
              <w:contextualSpacing/>
              <w:rPr>
                <w:rFonts w:cs="Calibri"/>
                <w:b/>
                <w:color w:val="auto"/>
                <w:sz w:val="18"/>
              </w:rPr>
            </w:pPr>
            <w:r w:rsidRPr="00574F08">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332BDE" w:rsidRPr="00574F08" w:rsidRDefault="00332BDE" w:rsidP="00486869">
            <w:pPr>
              <w:contextualSpacing/>
              <w:rPr>
                <w:rFonts w:cs="Calibri"/>
                <w:b/>
                <w:color w:val="auto"/>
                <w:sz w:val="18"/>
              </w:rPr>
            </w:pPr>
            <w:r w:rsidRPr="00574F08">
              <w:rPr>
                <w:b/>
                <w:color w:val="auto"/>
                <w:sz w:val="18"/>
              </w:rPr>
              <w:t>Condition</w:t>
            </w:r>
          </w:p>
        </w:tc>
        <w:tc>
          <w:tcPr>
            <w:tcW w:w="1080" w:type="dxa"/>
            <w:tcBorders>
              <w:bottom w:val="single" w:sz="4" w:space="0" w:color="000000"/>
            </w:tcBorders>
            <w:shd w:val="clear" w:color="auto" w:fill="D9D9D9"/>
            <w:vAlign w:val="center"/>
          </w:tcPr>
          <w:p w:rsidR="00332BDE" w:rsidRPr="00574F08" w:rsidRDefault="00332BDE" w:rsidP="00486869">
            <w:pPr>
              <w:contextualSpacing/>
              <w:rPr>
                <w:rFonts w:cs="Calibri"/>
                <w:b/>
                <w:color w:val="auto"/>
                <w:sz w:val="18"/>
              </w:rPr>
            </w:pPr>
            <w:r w:rsidRPr="00574F08">
              <w:rPr>
                <w:b/>
                <w:color w:val="auto"/>
                <w:sz w:val="18"/>
              </w:rPr>
              <w:t>Code</w:t>
            </w:r>
          </w:p>
        </w:tc>
        <w:tc>
          <w:tcPr>
            <w:tcW w:w="720" w:type="dxa"/>
            <w:tcBorders>
              <w:bottom w:val="single" w:sz="4" w:space="0" w:color="000000"/>
            </w:tcBorders>
            <w:shd w:val="clear" w:color="auto" w:fill="D9D9D9"/>
            <w:vAlign w:val="center"/>
          </w:tcPr>
          <w:p w:rsidR="00332BDE" w:rsidRPr="00574F08" w:rsidRDefault="00332BDE" w:rsidP="00486869">
            <w:pPr>
              <w:contextualSpacing/>
              <w:rPr>
                <w:rFonts w:cs="Calibri"/>
                <w:b/>
                <w:color w:val="auto"/>
                <w:sz w:val="18"/>
              </w:rPr>
            </w:pPr>
            <w:r w:rsidRPr="00574F08">
              <w:rPr>
                <w:b/>
                <w:color w:val="auto"/>
                <w:sz w:val="18"/>
              </w:rPr>
              <w:t>Rating</w:t>
            </w:r>
          </w:p>
        </w:tc>
        <w:tc>
          <w:tcPr>
            <w:tcW w:w="990" w:type="dxa"/>
            <w:tcBorders>
              <w:bottom w:val="single" w:sz="4" w:space="0" w:color="000000"/>
            </w:tcBorders>
            <w:shd w:val="clear" w:color="auto" w:fill="D9D9D9"/>
            <w:vAlign w:val="center"/>
          </w:tcPr>
          <w:p w:rsidR="00332BDE" w:rsidRPr="00574F08" w:rsidRDefault="00332BDE" w:rsidP="00486869">
            <w:pPr>
              <w:contextualSpacing/>
              <w:rPr>
                <w:rFonts w:cs="Calibri"/>
                <w:b/>
                <w:color w:val="auto"/>
                <w:sz w:val="18"/>
              </w:rPr>
            </w:pPr>
            <w:r w:rsidRPr="00574F08">
              <w:rPr>
                <w:b/>
                <w:color w:val="auto"/>
                <w:sz w:val="18"/>
              </w:rPr>
              <w:t>Exam</w:t>
            </w:r>
          </w:p>
        </w:tc>
      </w:tr>
      <w:tr w:rsidR="00332BDE" w:rsidRPr="00574F08" w:rsidTr="00486869">
        <w:trPr>
          <w:trHeight w:val="118"/>
          <w:jc w:val="center"/>
        </w:trPr>
        <w:tc>
          <w:tcPr>
            <w:tcW w:w="2169" w:type="dxa"/>
            <w:tcBorders>
              <w:right w:val="single" w:sz="4" w:space="0" w:color="auto"/>
            </w:tcBorders>
            <w:shd w:val="clear" w:color="auto" w:fill="FFFFFF"/>
            <w:vAlign w:val="center"/>
          </w:tcPr>
          <w:p w:rsidR="00332BDE" w:rsidRPr="00574F08" w:rsidRDefault="00332BDE" w:rsidP="00486869">
            <w:pPr>
              <w:spacing w:line="220" w:lineRule="exact"/>
              <w:contextualSpacing/>
              <w:jc w:val="left"/>
              <w:rPr>
                <w:rFonts w:cs="Calibri"/>
                <w:color w:val="auto"/>
                <w:sz w:val="18"/>
              </w:rPr>
            </w:pPr>
            <w:r>
              <w:rPr>
                <w:rFonts w:cs="Calibri"/>
                <w:color w:val="auto"/>
                <w:sz w:val="18"/>
              </w:rPr>
              <w:t xml:space="preserve">Chronic Right </w:t>
            </w:r>
            <w:r w:rsidRPr="00574F08">
              <w:rPr>
                <w:rFonts w:cs="Calibri"/>
                <w:color w:val="auto"/>
                <w:sz w:val="18"/>
              </w:rPr>
              <w:t>Hip Pain</w:t>
            </w:r>
          </w:p>
        </w:tc>
        <w:tc>
          <w:tcPr>
            <w:tcW w:w="1080" w:type="dxa"/>
            <w:tcBorders>
              <w:left w:val="single" w:sz="4" w:space="0" w:color="auto"/>
            </w:tcBorders>
            <w:shd w:val="clear" w:color="auto" w:fill="FFFFFF"/>
            <w:vAlign w:val="center"/>
          </w:tcPr>
          <w:p w:rsidR="00332BDE" w:rsidRPr="00574F08" w:rsidRDefault="00332BDE" w:rsidP="00486869">
            <w:pPr>
              <w:spacing w:line="220" w:lineRule="exact"/>
              <w:contextualSpacing/>
              <w:rPr>
                <w:rFonts w:cs="Calibri"/>
                <w:color w:val="auto"/>
                <w:sz w:val="18"/>
              </w:rPr>
            </w:pPr>
            <w:r w:rsidRPr="00574F08">
              <w:rPr>
                <w:rFonts w:cs="Calibri"/>
                <w:color w:val="auto"/>
                <w:sz w:val="18"/>
              </w:rPr>
              <w:t>5099-5003</w:t>
            </w:r>
          </w:p>
        </w:tc>
        <w:tc>
          <w:tcPr>
            <w:tcW w:w="720" w:type="dxa"/>
            <w:tcBorders>
              <w:right w:val="thinThickThinSmallGap" w:sz="24" w:space="0" w:color="auto"/>
            </w:tcBorders>
            <w:shd w:val="clear" w:color="auto" w:fill="FFFFFF"/>
            <w:vAlign w:val="center"/>
          </w:tcPr>
          <w:p w:rsidR="00332BDE" w:rsidRPr="00574F08" w:rsidRDefault="00332BDE" w:rsidP="00486869">
            <w:pPr>
              <w:spacing w:line="220" w:lineRule="exact"/>
              <w:rPr>
                <w:rFonts w:cs="Calibri"/>
                <w:color w:val="auto"/>
                <w:sz w:val="18"/>
              </w:rPr>
            </w:pPr>
            <w:r w:rsidRPr="00574F08">
              <w:rPr>
                <w:rFonts w:cs="Calibri"/>
                <w:color w:val="auto"/>
                <w:sz w:val="18"/>
              </w:rPr>
              <w:t>10%</w:t>
            </w:r>
          </w:p>
        </w:tc>
        <w:tc>
          <w:tcPr>
            <w:tcW w:w="2610" w:type="dxa"/>
            <w:tcBorders>
              <w:left w:val="thinThickThinSmallGap" w:sz="24" w:space="0" w:color="auto"/>
            </w:tcBorders>
            <w:shd w:val="clear" w:color="auto" w:fill="FFFFFF"/>
            <w:vAlign w:val="center"/>
          </w:tcPr>
          <w:p w:rsidR="00332BDE" w:rsidRPr="00574F08" w:rsidRDefault="00332BDE" w:rsidP="00486869">
            <w:pPr>
              <w:spacing w:line="220" w:lineRule="exact"/>
              <w:contextualSpacing/>
              <w:jc w:val="left"/>
              <w:rPr>
                <w:rFonts w:cs="Calibri"/>
                <w:color w:val="auto"/>
                <w:sz w:val="18"/>
              </w:rPr>
            </w:pPr>
            <w:r>
              <w:rPr>
                <w:rFonts w:cs="Calibri"/>
                <w:color w:val="auto"/>
                <w:sz w:val="18"/>
              </w:rPr>
              <w:t xml:space="preserve">Trochanteric Tendonitis, R </w:t>
            </w:r>
            <w:r w:rsidRPr="00574F08">
              <w:rPr>
                <w:rFonts w:cs="Calibri"/>
                <w:color w:val="auto"/>
                <w:sz w:val="18"/>
              </w:rPr>
              <w:t>Hip</w:t>
            </w:r>
          </w:p>
        </w:tc>
        <w:tc>
          <w:tcPr>
            <w:tcW w:w="1080" w:type="dxa"/>
            <w:shd w:val="clear" w:color="auto" w:fill="FFFFFF"/>
            <w:vAlign w:val="center"/>
          </w:tcPr>
          <w:p w:rsidR="00332BDE" w:rsidRPr="00574F08" w:rsidRDefault="00332BDE" w:rsidP="00486869">
            <w:pPr>
              <w:spacing w:line="220" w:lineRule="exact"/>
              <w:contextualSpacing/>
              <w:rPr>
                <w:rFonts w:cs="Calibri"/>
                <w:color w:val="auto"/>
                <w:sz w:val="18"/>
              </w:rPr>
            </w:pPr>
            <w:r w:rsidRPr="00574F08">
              <w:rPr>
                <w:rFonts w:cs="Calibri"/>
                <w:color w:val="auto"/>
                <w:sz w:val="18"/>
              </w:rPr>
              <w:t>5252-5024</w:t>
            </w:r>
          </w:p>
        </w:tc>
        <w:tc>
          <w:tcPr>
            <w:tcW w:w="720" w:type="dxa"/>
            <w:shd w:val="clear" w:color="auto" w:fill="FFFFFF"/>
            <w:vAlign w:val="center"/>
          </w:tcPr>
          <w:p w:rsidR="00332BDE" w:rsidRPr="00574F08" w:rsidRDefault="00332BDE" w:rsidP="00486869">
            <w:pPr>
              <w:spacing w:line="220" w:lineRule="exact"/>
              <w:contextualSpacing/>
              <w:rPr>
                <w:rFonts w:cs="Calibri"/>
                <w:color w:val="auto"/>
                <w:sz w:val="18"/>
              </w:rPr>
            </w:pPr>
            <w:r w:rsidRPr="00574F08">
              <w:rPr>
                <w:rFonts w:cs="Calibri"/>
                <w:color w:val="auto"/>
                <w:sz w:val="18"/>
              </w:rPr>
              <w:t>10%</w:t>
            </w:r>
          </w:p>
        </w:tc>
        <w:tc>
          <w:tcPr>
            <w:tcW w:w="990" w:type="dxa"/>
            <w:shd w:val="clear" w:color="auto" w:fill="FFFFFF"/>
            <w:vAlign w:val="center"/>
          </w:tcPr>
          <w:p w:rsidR="00332BDE" w:rsidRPr="00574F08" w:rsidRDefault="00332BDE" w:rsidP="00486869">
            <w:pPr>
              <w:spacing w:line="220" w:lineRule="exact"/>
              <w:contextualSpacing/>
              <w:rPr>
                <w:rFonts w:cs="Calibri"/>
                <w:color w:val="auto"/>
                <w:sz w:val="18"/>
              </w:rPr>
            </w:pPr>
            <w:r w:rsidRPr="00574F08">
              <w:rPr>
                <w:color w:val="auto"/>
                <w:sz w:val="18"/>
              </w:rPr>
              <w:t>20060811</w:t>
            </w:r>
          </w:p>
        </w:tc>
      </w:tr>
      <w:tr w:rsidR="00332BDE" w:rsidRPr="00574F08" w:rsidTr="00486869">
        <w:trPr>
          <w:trHeight w:val="118"/>
          <w:jc w:val="center"/>
        </w:trPr>
        <w:tc>
          <w:tcPr>
            <w:tcW w:w="2169" w:type="dxa"/>
            <w:tcBorders>
              <w:right w:val="single" w:sz="4" w:space="0" w:color="auto"/>
            </w:tcBorders>
            <w:shd w:val="clear" w:color="auto" w:fill="FFFFFF"/>
            <w:vAlign w:val="center"/>
          </w:tcPr>
          <w:p w:rsidR="00332BDE" w:rsidRPr="00574F08" w:rsidRDefault="00332BDE" w:rsidP="00486869">
            <w:pPr>
              <w:spacing w:line="220" w:lineRule="exact"/>
              <w:contextualSpacing/>
              <w:jc w:val="left"/>
              <w:rPr>
                <w:color w:val="auto"/>
                <w:sz w:val="18"/>
              </w:rPr>
            </w:pPr>
            <w:r w:rsidRPr="00574F08">
              <w:rPr>
                <w:color w:val="auto"/>
                <w:sz w:val="18"/>
              </w:rPr>
              <w:t xml:space="preserve">Chronic </w:t>
            </w:r>
            <w:r>
              <w:rPr>
                <w:rFonts w:cs="Calibri"/>
                <w:color w:val="auto"/>
                <w:sz w:val="18"/>
              </w:rPr>
              <w:t xml:space="preserve">Right </w:t>
            </w:r>
            <w:r w:rsidRPr="00574F08">
              <w:rPr>
                <w:color w:val="auto"/>
                <w:sz w:val="18"/>
              </w:rPr>
              <w:t>Ankle Pain</w:t>
            </w:r>
          </w:p>
        </w:tc>
        <w:tc>
          <w:tcPr>
            <w:tcW w:w="1800" w:type="dxa"/>
            <w:gridSpan w:val="2"/>
            <w:tcBorders>
              <w:left w:val="single" w:sz="4" w:space="0" w:color="auto"/>
              <w:right w:val="thinThickThinSmallGap" w:sz="24" w:space="0" w:color="auto"/>
            </w:tcBorders>
            <w:shd w:val="clear" w:color="auto" w:fill="FFFFFF"/>
            <w:vAlign w:val="center"/>
          </w:tcPr>
          <w:p w:rsidR="00332BDE" w:rsidRPr="00574F08" w:rsidRDefault="00332BDE" w:rsidP="00486869">
            <w:pPr>
              <w:spacing w:line="220" w:lineRule="exact"/>
              <w:rPr>
                <w:color w:val="auto"/>
                <w:sz w:val="18"/>
              </w:rPr>
            </w:pPr>
            <w:r>
              <w:rPr>
                <w:color w:val="auto"/>
                <w:sz w:val="18"/>
              </w:rPr>
              <w:t>Not Unfitting</w:t>
            </w:r>
          </w:p>
        </w:tc>
        <w:tc>
          <w:tcPr>
            <w:tcW w:w="2610" w:type="dxa"/>
            <w:tcBorders>
              <w:left w:val="thinThickThinSmallGap" w:sz="24" w:space="0" w:color="auto"/>
            </w:tcBorders>
            <w:shd w:val="clear" w:color="auto" w:fill="FFFFFF"/>
            <w:vAlign w:val="center"/>
          </w:tcPr>
          <w:p w:rsidR="00332BDE" w:rsidRPr="00574F08" w:rsidRDefault="00332BDE" w:rsidP="00486869">
            <w:pPr>
              <w:spacing w:line="220" w:lineRule="exact"/>
              <w:contextualSpacing/>
              <w:jc w:val="left"/>
              <w:rPr>
                <w:color w:val="auto"/>
                <w:sz w:val="18"/>
              </w:rPr>
            </w:pPr>
            <w:r>
              <w:rPr>
                <w:color w:val="auto"/>
                <w:sz w:val="18"/>
              </w:rPr>
              <w:t>R</w:t>
            </w:r>
            <w:r w:rsidRPr="00574F08">
              <w:rPr>
                <w:color w:val="auto"/>
                <w:sz w:val="18"/>
              </w:rPr>
              <w:t xml:space="preserve"> Ankle Strain w/ Instability</w:t>
            </w:r>
          </w:p>
        </w:tc>
        <w:tc>
          <w:tcPr>
            <w:tcW w:w="1080" w:type="dxa"/>
            <w:shd w:val="clear" w:color="auto" w:fill="FFFFFF"/>
            <w:vAlign w:val="center"/>
          </w:tcPr>
          <w:p w:rsidR="00332BDE" w:rsidRPr="00574F08" w:rsidRDefault="00332BDE" w:rsidP="00486869">
            <w:pPr>
              <w:spacing w:line="220" w:lineRule="exact"/>
              <w:contextualSpacing/>
              <w:rPr>
                <w:color w:val="auto"/>
                <w:sz w:val="18"/>
              </w:rPr>
            </w:pPr>
            <w:r w:rsidRPr="00574F08">
              <w:rPr>
                <w:color w:val="auto"/>
                <w:sz w:val="18"/>
              </w:rPr>
              <w:t>5271</w:t>
            </w:r>
          </w:p>
        </w:tc>
        <w:tc>
          <w:tcPr>
            <w:tcW w:w="720" w:type="dxa"/>
            <w:shd w:val="clear" w:color="auto" w:fill="FFFFFF"/>
            <w:vAlign w:val="center"/>
          </w:tcPr>
          <w:p w:rsidR="00332BDE" w:rsidRPr="00574F08" w:rsidRDefault="00332BDE" w:rsidP="00486869">
            <w:pPr>
              <w:spacing w:line="220" w:lineRule="exact"/>
              <w:contextualSpacing/>
              <w:rPr>
                <w:color w:val="auto"/>
                <w:sz w:val="18"/>
              </w:rPr>
            </w:pPr>
            <w:r w:rsidRPr="00574F08">
              <w:rPr>
                <w:color w:val="auto"/>
                <w:sz w:val="18"/>
              </w:rPr>
              <w:t>10%</w:t>
            </w:r>
          </w:p>
        </w:tc>
        <w:tc>
          <w:tcPr>
            <w:tcW w:w="990" w:type="dxa"/>
            <w:shd w:val="clear" w:color="auto" w:fill="FFFFFF"/>
            <w:vAlign w:val="center"/>
          </w:tcPr>
          <w:p w:rsidR="00332BDE" w:rsidRPr="00574F08" w:rsidRDefault="00332BDE" w:rsidP="00486869">
            <w:pPr>
              <w:spacing w:line="220" w:lineRule="exact"/>
              <w:contextualSpacing/>
              <w:rPr>
                <w:color w:val="auto"/>
                <w:sz w:val="18"/>
              </w:rPr>
            </w:pPr>
            <w:r w:rsidRPr="00574F08">
              <w:rPr>
                <w:color w:val="auto"/>
                <w:sz w:val="18"/>
              </w:rPr>
              <w:t>20060811</w:t>
            </w:r>
          </w:p>
        </w:tc>
      </w:tr>
      <w:tr w:rsidR="00332BDE" w:rsidRPr="00574F08" w:rsidTr="00486869">
        <w:trPr>
          <w:trHeight w:val="118"/>
          <w:jc w:val="center"/>
        </w:trPr>
        <w:tc>
          <w:tcPr>
            <w:tcW w:w="2169" w:type="dxa"/>
            <w:tcBorders>
              <w:right w:val="single" w:sz="4" w:space="0" w:color="auto"/>
            </w:tcBorders>
            <w:shd w:val="clear" w:color="auto" w:fill="FFFFFF"/>
            <w:vAlign w:val="center"/>
          </w:tcPr>
          <w:p w:rsidR="00332BDE" w:rsidRPr="00574F08" w:rsidRDefault="00332BDE" w:rsidP="00486869">
            <w:pPr>
              <w:spacing w:line="220" w:lineRule="exact"/>
              <w:contextualSpacing/>
              <w:jc w:val="left"/>
              <w:rPr>
                <w:color w:val="auto"/>
                <w:sz w:val="18"/>
              </w:rPr>
            </w:pPr>
            <w:r>
              <w:rPr>
                <w:color w:val="auto"/>
                <w:sz w:val="18"/>
              </w:rPr>
              <w:t>Left</w:t>
            </w:r>
            <w:r w:rsidRPr="00574F08">
              <w:rPr>
                <w:color w:val="auto"/>
                <w:sz w:val="18"/>
              </w:rPr>
              <w:t xml:space="preserve"> Shoulder Pain</w:t>
            </w:r>
          </w:p>
        </w:tc>
        <w:tc>
          <w:tcPr>
            <w:tcW w:w="1800" w:type="dxa"/>
            <w:gridSpan w:val="2"/>
            <w:tcBorders>
              <w:left w:val="single" w:sz="4" w:space="0" w:color="auto"/>
              <w:right w:val="thinThickThinSmallGap" w:sz="24" w:space="0" w:color="auto"/>
            </w:tcBorders>
            <w:shd w:val="clear" w:color="auto" w:fill="FFFFFF"/>
            <w:vAlign w:val="center"/>
          </w:tcPr>
          <w:p w:rsidR="00332BDE" w:rsidRPr="00574F08" w:rsidRDefault="00332BDE" w:rsidP="00486869">
            <w:pPr>
              <w:spacing w:line="220" w:lineRule="exact"/>
              <w:rPr>
                <w:color w:val="auto"/>
                <w:sz w:val="18"/>
              </w:rPr>
            </w:pPr>
            <w:r>
              <w:rPr>
                <w:color w:val="auto"/>
                <w:sz w:val="18"/>
              </w:rPr>
              <w:t>Not Unfitting</w:t>
            </w:r>
          </w:p>
        </w:tc>
        <w:tc>
          <w:tcPr>
            <w:tcW w:w="2610" w:type="dxa"/>
            <w:tcBorders>
              <w:left w:val="thinThickThinSmallGap" w:sz="24" w:space="0" w:color="auto"/>
            </w:tcBorders>
            <w:shd w:val="clear" w:color="auto" w:fill="FFFFFF"/>
            <w:vAlign w:val="center"/>
          </w:tcPr>
          <w:p w:rsidR="00332BDE" w:rsidRPr="00574F08" w:rsidRDefault="00332BDE" w:rsidP="00486869">
            <w:pPr>
              <w:spacing w:line="220" w:lineRule="exact"/>
              <w:contextualSpacing/>
              <w:jc w:val="left"/>
              <w:rPr>
                <w:color w:val="auto"/>
                <w:sz w:val="18"/>
              </w:rPr>
            </w:pPr>
            <w:r w:rsidRPr="00574F08">
              <w:rPr>
                <w:color w:val="auto"/>
                <w:sz w:val="18"/>
              </w:rPr>
              <w:t>Tendonitis</w:t>
            </w:r>
            <w:r>
              <w:rPr>
                <w:color w:val="auto"/>
                <w:sz w:val="18"/>
              </w:rPr>
              <w:t>, L</w:t>
            </w:r>
            <w:r w:rsidRPr="00574F08">
              <w:rPr>
                <w:color w:val="auto"/>
                <w:sz w:val="18"/>
              </w:rPr>
              <w:t xml:space="preserve"> Shoulder</w:t>
            </w:r>
          </w:p>
        </w:tc>
        <w:tc>
          <w:tcPr>
            <w:tcW w:w="1080" w:type="dxa"/>
            <w:shd w:val="clear" w:color="auto" w:fill="FFFFFF"/>
            <w:vAlign w:val="center"/>
          </w:tcPr>
          <w:p w:rsidR="00332BDE" w:rsidRPr="00574F08" w:rsidRDefault="00332BDE" w:rsidP="00486869">
            <w:pPr>
              <w:spacing w:line="220" w:lineRule="exact"/>
              <w:contextualSpacing/>
              <w:rPr>
                <w:color w:val="auto"/>
                <w:sz w:val="18"/>
              </w:rPr>
            </w:pPr>
            <w:r w:rsidRPr="00574F08">
              <w:rPr>
                <w:color w:val="auto"/>
                <w:sz w:val="18"/>
              </w:rPr>
              <w:t>5024-5201</w:t>
            </w:r>
          </w:p>
        </w:tc>
        <w:tc>
          <w:tcPr>
            <w:tcW w:w="720" w:type="dxa"/>
            <w:shd w:val="clear" w:color="auto" w:fill="FFFFFF"/>
            <w:vAlign w:val="center"/>
          </w:tcPr>
          <w:p w:rsidR="00332BDE" w:rsidRPr="00574F08" w:rsidRDefault="00332BDE" w:rsidP="00486869">
            <w:pPr>
              <w:spacing w:line="220" w:lineRule="exact"/>
              <w:contextualSpacing/>
              <w:rPr>
                <w:color w:val="auto"/>
                <w:sz w:val="18"/>
              </w:rPr>
            </w:pPr>
            <w:r w:rsidRPr="00574F08">
              <w:rPr>
                <w:color w:val="auto"/>
                <w:sz w:val="18"/>
              </w:rPr>
              <w:t>0%</w:t>
            </w:r>
          </w:p>
        </w:tc>
        <w:tc>
          <w:tcPr>
            <w:tcW w:w="990" w:type="dxa"/>
            <w:shd w:val="clear" w:color="auto" w:fill="FFFFFF"/>
            <w:vAlign w:val="center"/>
          </w:tcPr>
          <w:p w:rsidR="00332BDE" w:rsidRPr="00574F08" w:rsidRDefault="00332BDE" w:rsidP="00486869">
            <w:pPr>
              <w:spacing w:line="220" w:lineRule="exact"/>
              <w:contextualSpacing/>
              <w:rPr>
                <w:color w:val="auto"/>
                <w:sz w:val="18"/>
              </w:rPr>
            </w:pPr>
            <w:r w:rsidRPr="00574F08">
              <w:rPr>
                <w:color w:val="auto"/>
                <w:sz w:val="18"/>
              </w:rPr>
              <w:t>20060811</w:t>
            </w:r>
          </w:p>
        </w:tc>
      </w:tr>
      <w:tr w:rsidR="00332BDE" w:rsidRPr="00574F08" w:rsidTr="00486869">
        <w:trPr>
          <w:trHeight w:val="118"/>
          <w:jc w:val="center"/>
        </w:trPr>
        <w:tc>
          <w:tcPr>
            <w:tcW w:w="3969" w:type="dxa"/>
            <w:gridSpan w:val="3"/>
            <w:vMerge w:val="restart"/>
            <w:tcBorders>
              <w:right w:val="thinThickThinSmallGap" w:sz="24" w:space="0" w:color="auto"/>
            </w:tcBorders>
            <w:shd w:val="clear" w:color="auto" w:fill="FFFFFF"/>
            <w:vAlign w:val="center"/>
          </w:tcPr>
          <w:p w:rsidR="00332BDE" w:rsidRPr="00574F08" w:rsidRDefault="00332BDE" w:rsidP="00486869">
            <w:pPr>
              <w:spacing w:line="220" w:lineRule="exact"/>
              <w:contextualSpacing/>
              <w:rPr>
                <w:color w:val="auto"/>
                <w:sz w:val="18"/>
              </w:rPr>
            </w:pPr>
            <w:r w:rsidRPr="00574F08">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332BDE" w:rsidRPr="00574F08" w:rsidRDefault="00332BDE" w:rsidP="00486869">
            <w:pPr>
              <w:spacing w:line="220" w:lineRule="exact"/>
              <w:contextualSpacing/>
              <w:jc w:val="left"/>
              <w:rPr>
                <w:color w:val="auto"/>
                <w:sz w:val="18"/>
              </w:rPr>
            </w:pPr>
            <w:r w:rsidRPr="00574F08">
              <w:rPr>
                <w:color w:val="auto"/>
                <w:sz w:val="18"/>
              </w:rPr>
              <w:t>PTSD</w:t>
            </w:r>
          </w:p>
        </w:tc>
        <w:tc>
          <w:tcPr>
            <w:tcW w:w="1080" w:type="dxa"/>
            <w:shd w:val="clear" w:color="auto" w:fill="FFFFFF"/>
            <w:vAlign w:val="center"/>
          </w:tcPr>
          <w:p w:rsidR="00332BDE" w:rsidRPr="00574F08" w:rsidRDefault="00332BDE" w:rsidP="00486869">
            <w:pPr>
              <w:spacing w:line="220" w:lineRule="exact"/>
              <w:contextualSpacing/>
              <w:rPr>
                <w:color w:val="auto"/>
                <w:sz w:val="18"/>
              </w:rPr>
            </w:pPr>
            <w:r w:rsidRPr="00574F08">
              <w:rPr>
                <w:color w:val="auto"/>
                <w:sz w:val="18"/>
              </w:rPr>
              <w:t>9411</w:t>
            </w:r>
          </w:p>
        </w:tc>
        <w:tc>
          <w:tcPr>
            <w:tcW w:w="720" w:type="dxa"/>
            <w:shd w:val="clear" w:color="auto" w:fill="FFFFFF"/>
            <w:vAlign w:val="center"/>
          </w:tcPr>
          <w:p w:rsidR="00332BDE" w:rsidRPr="00574F08" w:rsidRDefault="00332BDE" w:rsidP="00486869">
            <w:pPr>
              <w:spacing w:line="220" w:lineRule="exact"/>
              <w:contextualSpacing/>
              <w:rPr>
                <w:color w:val="auto"/>
                <w:sz w:val="18"/>
              </w:rPr>
            </w:pPr>
            <w:r w:rsidRPr="00574F08">
              <w:rPr>
                <w:color w:val="auto"/>
                <w:sz w:val="18"/>
              </w:rPr>
              <w:t>50%</w:t>
            </w:r>
          </w:p>
        </w:tc>
        <w:tc>
          <w:tcPr>
            <w:tcW w:w="990" w:type="dxa"/>
            <w:shd w:val="clear" w:color="auto" w:fill="FFFFFF"/>
            <w:vAlign w:val="center"/>
          </w:tcPr>
          <w:p w:rsidR="00332BDE" w:rsidRPr="00574F08" w:rsidRDefault="00332BDE" w:rsidP="00486869">
            <w:pPr>
              <w:spacing w:line="220" w:lineRule="exact"/>
              <w:contextualSpacing/>
              <w:rPr>
                <w:color w:val="auto"/>
                <w:sz w:val="18"/>
              </w:rPr>
            </w:pPr>
            <w:r w:rsidRPr="00574F08">
              <w:rPr>
                <w:color w:val="auto"/>
                <w:sz w:val="18"/>
              </w:rPr>
              <w:t>20060816</w:t>
            </w:r>
          </w:p>
        </w:tc>
      </w:tr>
      <w:tr w:rsidR="00332BDE" w:rsidRPr="00574F08" w:rsidTr="00486869">
        <w:trPr>
          <w:trHeight w:val="97"/>
          <w:jc w:val="center"/>
        </w:trPr>
        <w:tc>
          <w:tcPr>
            <w:tcW w:w="3969" w:type="dxa"/>
            <w:gridSpan w:val="3"/>
            <w:vMerge/>
            <w:tcBorders>
              <w:right w:val="thinThickThinSmallGap" w:sz="24" w:space="0" w:color="auto"/>
            </w:tcBorders>
            <w:shd w:val="clear" w:color="auto" w:fill="FFFFFF"/>
            <w:vAlign w:val="center"/>
          </w:tcPr>
          <w:p w:rsidR="00332BDE" w:rsidRPr="00574F08" w:rsidRDefault="00332BDE" w:rsidP="00486869">
            <w:pPr>
              <w:spacing w:line="220" w:lineRule="exact"/>
              <w:contextualSpacing/>
              <w:rPr>
                <w:color w:val="auto"/>
                <w:sz w:val="18"/>
              </w:rPr>
            </w:pPr>
          </w:p>
        </w:tc>
        <w:tc>
          <w:tcPr>
            <w:tcW w:w="2610" w:type="dxa"/>
            <w:tcBorders>
              <w:left w:val="thinThickThinSmallGap" w:sz="24" w:space="0" w:color="auto"/>
              <w:right w:val="single" w:sz="4" w:space="0" w:color="auto"/>
            </w:tcBorders>
            <w:shd w:val="clear" w:color="auto" w:fill="FFFFFF"/>
            <w:vAlign w:val="center"/>
          </w:tcPr>
          <w:p w:rsidR="00332BDE" w:rsidRPr="00574F08" w:rsidRDefault="00332BDE" w:rsidP="00486869">
            <w:pPr>
              <w:spacing w:line="220" w:lineRule="exact"/>
              <w:contextualSpacing/>
              <w:jc w:val="left"/>
              <w:rPr>
                <w:color w:val="auto"/>
                <w:sz w:val="18"/>
              </w:rPr>
            </w:pPr>
            <w:r w:rsidRPr="00574F08">
              <w:rPr>
                <w:color w:val="auto"/>
                <w:sz w:val="18"/>
              </w:rPr>
              <w:t>Lumbar Disc</w:t>
            </w:r>
            <w:r>
              <w:rPr>
                <w:color w:val="auto"/>
                <w:sz w:val="18"/>
              </w:rPr>
              <w:t xml:space="preserve"> w/</w:t>
            </w:r>
            <w:r w:rsidRPr="00574F08">
              <w:rPr>
                <w:color w:val="auto"/>
                <w:sz w:val="18"/>
              </w:rPr>
              <w:t xml:space="preserve"> Radiculopathy</w:t>
            </w:r>
          </w:p>
        </w:tc>
        <w:tc>
          <w:tcPr>
            <w:tcW w:w="1080" w:type="dxa"/>
            <w:tcBorders>
              <w:left w:val="single" w:sz="4" w:space="0" w:color="auto"/>
            </w:tcBorders>
            <w:shd w:val="clear" w:color="auto" w:fill="FFFFFF"/>
            <w:vAlign w:val="center"/>
          </w:tcPr>
          <w:p w:rsidR="00332BDE" w:rsidRPr="00574F08" w:rsidRDefault="00332BDE" w:rsidP="00486869">
            <w:pPr>
              <w:spacing w:line="220" w:lineRule="exact"/>
              <w:contextualSpacing/>
              <w:rPr>
                <w:color w:val="auto"/>
                <w:sz w:val="18"/>
              </w:rPr>
            </w:pPr>
            <w:r w:rsidRPr="00574F08">
              <w:rPr>
                <w:color w:val="auto"/>
                <w:sz w:val="18"/>
              </w:rPr>
              <w:t>5242</w:t>
            </w:r>
          </w:p>
        </w:tc>
        <w:tc>
          <w:tcPr>
            <w:tcW w:w="720" w:type="dxa"/>
            <w:shd w:val="clear" w:color="auto" w:fill="FFFFFF"/>
            <w:vAlign w:val="center"/>
          </w:tcPr>
          <w:p w:rsidR="00332BDE" w:rsidRPr="00574F08" w:rsidRDefault="00332BDE" w:rsidP="00486869">
            <w:pPr>
              <w:spacing w:line="220" w:lineRule="exact"/>
              <w:contextualSpacing/>
              <w:rPr>
                <w:color w:val="auto"/>
                <w:sz w:val="18"/>
              </w:rPr>
            </w:pPr>
            <w:r w:rsidRPr="00574F08">
              <w:rPr>
                <w:color w:val="auto"/>
                <w:sz w:val="18"/>
              </w:rPr>
              <w:t>40%</w:t>
            </w:r>
          </w:p>
        </w:tc>
        <w:tc>
          <w:tcPr>
            <w:tcW w:w="990" w:type="dxa"/>
            <w:shd w:val="clear" w:color="auto" w:fill="FFFFFF"/>
            <w:vAlign w:val="center"/>
          </w:tcPr>
          <w:p w:rsidR="00332BDE" w:rsidRPr="00574F08" w:rsidRDefault="00332BDE" w:rsidP="00486869">
            <w:pPr>
              <w:spacing w:line="220" w:lineRule="exact"/>
              <w:contextualSpacing/>
              <w:rPr>
                <w:color w:val="auto"/>
                <w:sz w:val="18"/>
              </w:rPr>
            </w:pPr>
            <w:r w:rsidRPr="00574F08">
              <w:rPr>
                <w:color w:val="auto"/>
                <w:sz w:val="18"/>
              </w:rPr>
              <w:t>20060811</w:t>
            </w:r>
          </w:p>
        </w:tc>
      </w:tr>
      <w:tr w:rsidR="00332BDE" w:rsidRPr="00F64312" w:rsidTr="00486869">
        <w:trPr>
          <w:trHeight w:val="172"/>
          <w:jc w:val="center"/>
        </w:trPr>
        <w:tc>
          <w:tcPr>
            <w:tcW w:w="3969" w:type="dxa"/>
            <w:gridSpan w:val="3"/>
            <w:vMerge/>
            <w:tcBorders>
              <w:right w:val="thinThickThinSmallGap" w:sz="24" w:space="0" w:color="auto"/>
            </w:tcBorders>
            <w:shd w:val="clear" w:color="auto" w:fill="FFFFFF"/>
            <w:vAlign w:val="center"/>
          </w:tcPr>
          <w:p w:rsidR="00332BDE" w:rsidRPr="00574F08" w:rsidRDefault="00332BDE" w:rsidP="00486869">
            <w:pPr>
              <w:spacing w:line="22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332BDE" w:rsidRPr="00574F08" w:rsidRDefault="00332BDE" w:rsidP="00486869">
            <w:pPr>
              <w:spacing w:line="220" w:lineRule="exact"/>
              <w:contextualSpacing/>
              <w:rPr>
                <w:rFonts w:cs="Calibri"/>
                <w:color w:val="auto"/>
                <w:sz w:val="18"/>
              </w:rPr>
            </w:pPr>
            <w:r>
              <w:rPr>
                <w:color w:val="auto"/>
                <w:sz w:val="18"/>
              </w:rPr>
              <w:t>0% X 2 Additional</w:t>
            </w:r>
            <w:r w:rsidRPr="00574F08">
              <w:rPr>
                <w:color w:val="auto"/>
                <w:sz w:val="18"/>
              </w:rPr>
              <w:t xml:space="preserve"> / </w:t>
            </w:r>
            <w:r>
              <w:rPr>
                <w:color w:val="auto"/>
                <w:sz w:val="18"/>
              </w:rPr>
              <w:t xml:space="preserve">Not Service </w:t>
            </w:r>
            <w:r w:rsidRPr="00574F08">
              <w:rPr>
                <w:color w:val="auto"/>
                <w:sz w:val="18"/>
              </w:rPr>
              <w:t>Connected x 7</w:t>
            </w:r>
          </w:p>
        </w:tc>
        <w:tc>
          <w:tcPr>
            <w:tcW w:w="990" w:type="dxa"/>
            <w:shd w:val="clear" w:color="auto" w:fill="FFFFFF"/>
            <w:vAlign w:val="center"/>
          </w:tcPr>
          <w:p w:rsidR="00332BDE" w:rsidRPr="00F64312" w:rsidRDefault="00332BDE" w:rsidP="00486869">
            <w:pPr>
              <w:spacing w:line="220" w:lineRule="exact"/>
              <w:contextualSpacing/>
              <w:rPr>
                <w:rFonts w:cs="Calibri"/>
                <w:color w:val="auto"/>
                <w:sz w:val="18"/>
              </w:rPr>
            </w:pPr>
            <w:r w:rsidRPr="00574F08">
              <w:rPr>
                <w:rFonts w:cs="Calibri"/>
                <w:color w:val="auto"/>
                <w:sz w:val="18"/>
              </w:rPr>
              <w:t>20060731</w:t>
            </w:r>
          </w:p>
        </w:tc>
      </w:tr>
      <w:tr w:rsidR="00332BDE" w:rsidRPr="00F64312" w:rsidTr="00486869">
        <w:trPr>
          <w:trHeight w:val="124"/>
          <w:jc w:val="center"/>
        </w:trPr>
        <w:tc>
          <w:tcPr>
            <w:tcW w:w="3969" w:type="dxa"/>
            <w:gridSpan w:val="3"/>
            <w:tcBorders>
              <w:right w:val="thinThickThinSmallGap" w:sz="24" w:space="0" w:color="auto"/>
            </w:tcBorders>
            <w:shd w:val="clear" w:color="auto" w:fill="D9D9D9"/>
          </w:tcPr>
          <w:p w:rsidR="00332BDE" w:rsidRPr="00F64312" w:rsidRDefault="00332BDE" w:rsidP="00486869">
            <w:pPr>
              <w:contextualSpacing/>
              <w:rPr>
                <w:rFonts w:cs="Calibri"/>
                <w:b/>
                <w:color w:val="auto"/>
                <w:sz w:val="18"/>
              </w:rPr>
            </w:pPr>
            <w:r w:rsidRPr="00F64312">
              <w:rPr>
                <w:b/>
                <w:color w:val="auto"/>
                <w:sz w:val="18"/>
              </w:rPr>
              <w:t xml:space="preserve">Combined:  </w:t>
            </w:r>
            <w:r>
              <w:rPr>
                <w:b/>
                <w:color w:val="auto"/>
                <w:sz w:val="18"/>
              </w:rPr>
              <w:t>10</w:t>
            </w:r>
            <w:r w:rsidRPr="00F64312">
              <w:rPr>
                <w:b/>
                <w:color w:val="auto"/>
                <w:sz w:val="18"/>
              </w:rPr>
              <w:t>%</w:t>
            </w:r>
          </w:p>
        </w:tc>
        <w:tc>
          <w:tcPr>
            <w:tcW w:w="5400" w:type="dxa"/>
            <w:gridSpan w:val="4"/>
            <w:tcBorders>
              <w:left w:val="thinThickThinSmallGap" w:sz="24" w:space="0" w:color="auto"/>
            </w:tcBorders>
            <w:shd w:val="clear" w:color="auto" w:fill="D9D9D9"/>
          </w:tcPr>
          <w:p w:rsidR="00332BDE" w:rsidRPr="00F64312" w:rsidRDefault="00332BDE" w:rsidP="00486869">
            <w:pPr>
              <w:contextualSpacing/>
              <w:rPr>
                <w:rFonts w:cs="Calibri"/>
                <w:b/>
                <w:color w:val="auto"/>
                <w:sz w:val="18"/>
              </w:rPr>
            </w:pPr>
            <w:r w:rsidRPr="00F64312">
              <w:rPr>
                <w:b/>
                <w:color w:val="auto"/>
                <w:sz w:val="18"/>
              </w:rPr>
              <w:t xml:space="preserve">Combined:  </w:t>
            </w:r>
            <w:r>
              <w:rPr>
                <w:b/>
                <w:color w:val="auto"/>
                <w:sz w:val="18"/>
              </w:rPr>
              <w:t>80</w:t>
            </w:r>
            <w:r w:rsidRPr="00F64312">
              <w:rPr>
                <w:b/>
                <w:color w:val="auto"/>
                <w:sz w:val="18"/>
              </w:rPr>
              <w:t>%</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4B209F" w:rsidRPr="004B209F" w:rsidRDefault="00AD2379" w:rsidP="004B209F">
      <w:pPr>
        <w:jc w:val="both"/>
        <w:rPr>
          <w:color w:val="000000"/>
        </w:rPr>
      </w:pPr>
      <w:r w:rsidRPr="001F29F9">
        <w:rPr>
          <w:color w:val="000000"/>
          <w:u w:val="single"/>
        </w:rPr>
        <w:t>ANALYSIS SUMMARY</w:t>
      </w:r>
      <w:r w:rsidRPr="001F29F9">
        <w:rPr>
          <w:color w:val="000000"/>
        </w:rPr>
        <w:t>:</w:t>
      </w:r>
      <w:r>
        <w:rPr>
          <w:color w:val="000000"/>
        </w:rPr>
        <w:t xml:space="preserve"> </w:t>
      </w:r>
      <w:r w:rsidR="004B209F">
        <w:rPr>
          <w:color w:val="000000"/>
        </w:rPr>
        <w:t xml:space="preserve"> </w:t>
      </w:r>
      <w:r w:rsidR="004B209F" w:rsidRPr="004B209F">
        <w:rPr>
          <w:color w:val="000000"/>
        </w:rPr>
        <w:t xml:space="preserve">The Board acknowledges the CI’s contention for ratings for his </w:t>
      </w:r>
      <w:r w:rsidR="004B209F">
        <w:rPr>
          <w:color w:val="000000"/>
        </w:rPr>
        <w:t>left shoulder</w:t>
      </w:r>
      <w:r w:rsidR="004B209F" w:rsidRPr="004B209F">
        <w:rPr>
          <w:color w:val="000000"/>
        </w:rPr>
        <w:t xml:space="preserve"> condition which </w:t>
      </w:r>
      <w:r w:rsidR="004B209F">
        <w:rPr>
          <w:color w:val="000000"/>
        </w:rPr>
        <w:t>was</w:t>
      </w:r>
      <w:r w:rsidR="004B209F" w:rsidRPr="004B209F">
        <w:rPr>
          <w:color w:val="000000"/>
        </w:rPr>
        <w:t xml:space="preserve"> adjudicated as not unfitting by the PEB, and notes that its recommendations in that regard must comply with governance for the Disability Evaluation System (DES).  While the DES considers all of the service member's medical conditions, compensation can only be offered for those medical conditions that cut short the member’s career; and the Board’s assessment of fitness determinations is premised on the MOS-specific functional limitations in evidence at the time of separation.  The Department of Veteran Affairs</w:t>
      </w:r>
      <w:r w:rsidR="00EA04AC">
        <w:rPr>
          <w:color w:val="000000"/>
        </w:rPr>
        <w:t xml:space="preserve"> (DVA)</w:t>
      </w:r>
      <w:r w:rsidR="004B209F" w:rsidRPr="004B209F">
        <w:rPr>
          <w:color w:val="000000"/>
        </w:rPr>
        <w:t>, however, is empowered to compensate service</w:t>
      </w:r>
      <w:r w:rsidR="00EA04AC">
        <w:rPr>
          <w:color w:val="000000"/>
        </w:rPr>
        <w:t>-</w:t>
      </w:r>
      <w:r w:rsidR="004B209F" w:rsidRPr="004B209F">
        <w:rPr>
          <w:color w:val="000000"/>
        </w:rPr>
        <w:t xml:space="preserve">connected conditions and to periodically re-evaluate said conditions for the purpose of adjusting the </w:t>
      </w:r>
      <w:r w:rsidR="00EA04AC">
        <w:rPr>
          <w:color w:val="000000"/>
        </w:rPr>
        <w:t>V</w:t>
      </w:r>
      <w:r w:rsidR="004B209F" w:rsidRPr="004B209F">
        <w:rPr>
          <w:color w:val="000000"/>
        </w:rPr>
        <w:t xml:space="preserve">eteran’s disability rating should </w:t>
      </w:r>
      <w:r w:rsidR="00EA04AC">
        <w:rPr>
          <w:color w:val="000000"/>
        </w:rPr>
        <w:t>the</w:t>
      </w:r>
      <w:r w:rsidR="004B209F" w:rsidRPr="004B209F">
        <w:rPr>
          <w:color w:val="000000"/>
        </w:rPr>
        <w:t xml:space="preserve"> degree of impairment vary over time.</w:t>
      </w:r>
      <w:r w:rsidR="004B209F">
        <w:rPr>
          <w:color w:val="000000"/>
        </w:rPr>
        <w:t xml:space="preserve">  </w:t>
      </w:r>
      <w:r w:rsidR="004B209F" w:rsidRPr="004B209F">
        <w:rPr>
          <w:color w:val="000000"/>
        </w:rPr>
        <w:t xml:space="preserve">The Board </w:t>
      </w:r>
      <w:r w:rsidR="004B209F">
        <w:rPr>
          <w:color w:val="000000"/>
        </w:rPr>
        <w:t xml:space="preserve">also </w:t>
      </w:r>
      <w:r w:rsidR="004B209F" w:rsidRPr="004B209F">
        <w:rPr>
          <w:color w:val="000000"/>
        </w:rPr>
        <w:t>acknowl</w:t>
      </w:r>
      <w:r w:rsidR="004B209F">
        <w:rPr>
          <w:color w:val="000000"/>
        </w:rPr>
        <w:t xml:space="preserve">edges the CI’s contention that he </w:t>
      </w:r>
      <w:r w:rsidR="00986E4D">
        <w:rPr>
          <w:color w:val="000000"/>
        </w:rPr>
        <w:t xml:space="preserve">was </w:t>
      </w:r>
      <w:r w:rsidR="004B209F">
        <w:rPr>
          <w:color w:val="000000"/>
        </w:rPr>
        <w:t>unjustly deprived of promotions</w:t>
      </w:r>
      <w:r w:rsidR="004B209F" w:rsidRPr="004B209F">
        <w:rPr>
          <w:color w:val="000000"/>
        </w:rPr>
        <w:t xml:space="preserve">.  It is noted for the record that the Board has neither the jurisdiction nor authority to scrutinize, render opinions, or offer remedy in reference to decisions of this nature.  That jurisdiction and authority resides with the ABCMR.  </w:t>
      </w:r>
    </w:p>
    <w:p w:rsidR="00AD2379" w:rsidRPr="00726F84" w:rsidRDefault="00AD2379" w:rsidP="00726F84">
      <w:pPr>
        <w:jc w:val="both"/>
        <w:rPr>
          <w:color w:val="000000"/>
        </w:rPr>
      </w:pPr>
    </w:p>
    <w:p w:rsidR="00C84F79" w:rsidRPr="00DA271A" w:rsidRDefault="004B209F" w:rsidP="00DA271A">
      <w:pPr>
        <w:spacing w:after="120"/>
        <w:jc w:val="both"/>
        <w:rPr>
          <w:color w:val="000000"/>
        </w:rPr>
      </w:pPr>
      <w:r>
        <w:rPr>
          <w:color w:val="000000"/>
          <w:u w:val="single"/>
        </w:rPr>
        <w:t>Right Hip</w:t>
      </w:r>
      <w:r w:rsidR="00AD2379" w:rsidRPr="009A7578">
        <w:rPr>
          <w:color w:val="000000"/>
          <w:u w:val="single"/>
        </w:rPr>
        <w:t xml:space="preserve"> Condition</w:t>
      </w:r>
      <w:r w:rsidR="00AD2379" w:rsidRPr="009A7578">
        <w:rPr>
          <w:color w:val="000000"/>
        </w:rPr>
        <w:t xml:space="preserve">. </w:t>
      </w:r>
      <w:r w:rsidR="00385708">
        <w:rPr>
          <w:color w:val="000000"/>
        </w:rPr>
        <w:t xml:space="preserve"> </w:t>
      </w:r>
      <w:r w:rsidR="00F66134">
        <w:rPr>
          <w:color w:val="000000"/>
        </w:rPr>
        <w:t xml:space="preserve">There is a paucity of outpatient evidence for the diagnosis and treatment of the CI’s persistent hip pain.  There are no imaging reports, physical therapy </w:t>
      </w:r>
      <w:r w:rsidR="00662B65">
        <w:rPr>
          <w:color w:val="000000"/>
        </w:rPr>
        <w:t xml:space="preserve">(PT) </w:t>
      </w:r>
      <w:r w:rsidR="00F66134">
        <w:rPr>
          <w:color w:val="000000"/>
        </w:rPr>
        <w:t xml:space="preserve">notes, </w:t>
      </w:r>
      <w:r w:rsidR="00177E67">
        <w:rPr>
          <w:color w:val="000000"/>
        </w:rPr>
        <w:t xml:space="preserve">and no directed </w:t>
      </w:r>
      <w:r w:rsidR="00F66134">
        <w:rPr>
          <w:color w:val="000000"/>
        </w:rPr>
        <w:t xml:space="preserve">orthopedic </w:t>
      </w:r>
      <w:r w:rsidR="00177E67">
        <w:rPr>
          <w:color w:val="000000"/>
        </w:rPr>
        <w:t xml:space="preserve">consultation yielding a specific diagnosis.  An x-ray by the VA </w:t>
      </w:r>
      <w:r w:rsidR="00EA04AC">
        <w:rPr>
          <w:color w:val="000000"/>
        </w:rPr>
        <w:t xml:space="preserve">performed </w:t>
      </w:r>
      <w:r w:rsidR="00177E67">
        <w:rPr>
          <w:color w:val="000000"/>
        </w:rPr>
        <w:t xml:space="preserve">2 months </w:t>
      </w:r>
      <w:r w:rsidR="00EA04AC">
        <w:rPr>
          <w:color w:val="000000"/>
        </w:rPr>
        <w:t xml:space="preserve">after </w:t>
      </w:r>
      <w:r w:rsidR="00177E67">
        <w:rPr>
          <w:color w:val="000000"/>
        </w:rPr>
        <w:t xml:space="preserve">separation was normal.  </w:t>
      </w:r>
      <w:r w:rsidR="00385708">
        <w:rPr>
          <w:color w:val="000000"/>
        </w:rPr>
        <w:t>The narrative summary (NARSUM)</w:t>
      </w:r>
      <w:r w:rsidR="00DA271A">
        <w:rPr>
          <w:color w:val="000000"/>
        </w:rPr>
        <w:t>, however, stated:</w:t>
      </w:r>
    </w:p>
    <w:p w:rsidR="00C84F79" w:rsidRDefault="00C84F79" w:rsidP="00DA271A">
      <w:pPr>
        <w:spacing w:after="120" w:line="200" w:lineRule="exact"/>
        <w:ind w:left="720" w:right="720"/>
        <w:jc w:val="both"/>
        <w:rPr>
          <w:color w:val="000000"/>
        </w:rPr>
      </w:pPr>
      <w:r w:rsidRPr="00726D21">
        <w:rPr>
          <w:color w:val="000000"/>
          <w:sz w:val="20"/>
        </w:rPr>
        <w:t xml:space="preserve">[CI name] developed right hip pain in January of 2004 during his first deployment secondary to high </w:t>
      </w:r>
      <w:r w:rsidR="00126249">
        <w:rPr>
          <w:color w:val="000000"/>
          <w:sz w:val="20"/>
        </w:rPr>
        <w:t xml:space="preserve">optempo </w:t>
      </w:r>
      <w:r w:rsidRPr="00726D21">
        <w:rPr>
          <w:color w:val="000000"/>
          <w:sz w:val="20"/>
        </w:rPr>
        <w:t xml:space="preserve">[operational tempo] while in Iraq.  No overt </w:t>
      </w:r>
      <w:r w:rsidR="00662B65">
        <w:rPr>
          <w:color w:val="000000"/>
          <w:sz w:val="20"/>
        </w:rPr>
        <w:t xml:space="preserve">MOI </w:t>
      </w:r>
      <w:r w:rsidRPr="00726D21">
        <w:rPr>
          <w:color w:val="000000"/>
          <w:sz w:val="20"/>
        </w:rPr>
        <w:t>[mechanism of injury].  He feels that his condition is worsening.  He has been to Orthopaedics and he has had a full workup.  He has been cleared by Ortho for his Medical Evaluation Board, as there have been no objective</w:t>
      </w:r>
      <w:r w:rsidR="00726D21" w:rsidRPr="00726D21">
        <w:rPr>
          <w:color w:val="000000"/>
          <w:sz w:val="20"/>
        </w:rPr>
        <w:t xml:space="preserve"> </w:t>
      </w:r>
      <w:r w:rsidRPr="00726D21">
        <w:rPr>
          <w:color w:val="000000"/>
          <w:sz w:val="20"/>
        </w:rPr>
        <w:t xml:space="preserve">findings. </w:t>
      </w:r>
      <w:r w:rsidR="00726D21" w:rsidRPr="00726D21">
        <w:rPr>
          <w:color w:val="000000"/>
          <w:sz w:val="20"/>
        </w:rPr>
        <w:t xml:space="preserve"> </w:t>
      </w:r>
      <w:r w:rsidRPr="00726D21">
        <w:rPr>
          <w:color w:val="000000"/>
          <w:sz w:val="20"/>
        </w:rPr>
        <w:t>He is undergoing physical therapy and anti-inflammatories, etc.</w:t>
      </w:r>
    </w:p>
    <w:p w:rsidR="00726D21" w:rsidRDefault="00DA271A" w:rsidP="00726D21">
      <w:pPr>
        <w:jc w:val="both"/>
        <w:rPr>
          <w:color w:val="000000"/>
          <w:szCs w:val="24"/>
        </w:rPr>
      </w:pPr>
      <w:r>
        <w:rPr>
          <w:color w:val="000000"/>
          <w:szCs w:val="24"/>
        </w:rPr>
        <w:t>In light of these statements, i</w:t>
      </w:r>
      <w:r w:rsidR="00726D21">
        <w:rPr>
          <w:color w:val="000000"/>
          <w:szCs w:val="24"/>
        </w:rPr>
        <w:t xml:space="preserve">t is unknown if there is missing evidence from the outpatient file, </w:t>
      </w:r>
      <w:r w:rsidR="00B3004F">
        <w:rPr>
          <w:color w:val="000000"/>
          <w:szCs w:val="24"/>
        </w:rPr>
        <w:t>but</w:t>
      </w:r>
      <w:r w:rsidR="00726D21">
        <w:rPr>
          <w:color w:val="000000"/>
          <w:szCs w:val="24"/>
        </w:rPr>
        <w:t xml:space="preserve"> members agreed that </w:t>
      </w:r>
      <w:r w:rsidR="00B638F1">
        <w:rPr>
          <w:color w:val="000000"/>
          <w:szCs w:val="24"/>
        </w:rPr>
        <w:t>the necessary</w:t>
      </w:r>
      <w:r w:rsidR="00726D21">
        <w:rPr>
          <w:color w:val="000000"/>
          <w:szCs w:val="24"/>
        </w:rPr>
        <w:t xml:space="preserve"> probative evidence </w:t>
      </w:r>
      <w:r w:rsidR="00684CA2">
        <w:rPr>
          <w:color w:val="000000"/>
          <w:szCs w:val="24"/>
        </w:rPr>
        <w:t xml:space="preserve">is available </w:t>
      </w:r>
      <w:r w:rsidR="00726D21">
        <w:rPr>
          <w:color w:val="000000"/>
          <w:szCs w:val="24"/>
        </w:rPr>
        <w:t xml:space="preserve">for </w:t>
      </w:r>
      <w:r w:rsidR="00B638F1">
        <w:rPr>
          <w:color w:val="000000"/>
          <w:szCs w:val="24"/>
        </w:rPr>
        <w:t>a</w:t>
      </w:r>
      <w:r w:rsidR="00726D21">
        <w:rPr>
          <w:color w:val="000000"/>
          <w:szCs w:val="24"/>
        </w:rPr>
        <w:t xml:space="preserve"> proper rating </w:t>
      </w:r>
      <w:r w:rsidR="00B3004F">
        <w:rPr>
          <w:color w:val="000000"/>
          <w:szCs w:val="24"/>
        </w:rPr>
        <w:t>assessment</w:t>
      </w:r>
      <w:r w:rsidR="00726D21">
        <w:rPr>
          <w:color w:val="000000"/>
          <w:szCs w:val="24"/>
        </w:rPr>
        <w:t xml:space="preserve"> applicable </w:t>
      </w:r>
      <w:r w:rsidR="00726D21" w:rsidRPr="00726D21">
        <w:rPr>
          <w:color w:val="000000"/>
          <w:szCs w:val="24"/>
        </w:rPr>
        <w:t xml:space="preserve">to the date of separation.  </w:t>
      </w:r>
      <w:r w:rsidR="004B1434">
        <w:rPr>
          <w:color w:val="000000"/>
          <w:szCs w:val="24"/>
        </w:rPr>
        <w:t>The NARSUM physical exam reported a normal gait, painful motion at the hip, and normal thigh</w:t>
      </w:r>
      <w:r w:rsidR="00684CA2">
        <w:rPr>
          <w:color w:val="000000"/>
          <w:szCs w:val="24"/>
        </w:rPr>
        <w:t>/leg</w:t>
      </w:r>
      <w:r w:rsidR="004B1434">
        <w:rPr>
          <w:color w:val="000000"/>
          <w:szCs w:val="24"/>
        </w:rPr>
        <w:t xml:space="preserve"> strength testing.  </w:t>
      </w:r>
      <w:r w:rsidR="00620393">
        <w:rPr>
          <w:color w:val="000000"/>
          <w:szCs w:val="24"/>
        </w:rPr>
        <w:t xml:space="preserve">The PT evaluation for </w:t>
      </w:r>
      <w:r w:rsidR="00684CA2">
        <w:rPr>
          <w:color w:val="000000"/>
          <w:szCs w:val="24"/>
        </w:rPr>
        <w:t>range</w:t>
      </w:r>
      <w:r w:rsidR="00A50E16">
        <w:rPr>
          <w:color w:val="000000"/>
          <w:szCs w:val="24"/>
        </w:rPr>
        <w:t>-</w:t>
      </w:r>
      <w:r w:rsidR="00684CA2">
        <w:rPr>
          <w:color w:val="000000"/>
          <w:szCs w:val="24"/>
        </w:rPr>
        <w:t>of</w:t>
      </w:r>
      <w:r w:rsidR="00A50E16">
        <w:rPr>
          <w:color w:val="000000"/>
          <w:szCs w:val="24"/>
        </w:rPr>
        <w:t>-</w:t>
      </w:r>
      <w:r w:rsidR="00684CA2">
        <w:rPr>
          <w:color w:val="000000"/>
          <w:szCs w:val="24"/>
        </w:rPr>
        <w:t>motion (</w:t>
      </w:r>
      <w:r w:rsidR="00620393">
        <w:rPr>
          <w:color w:val="000000"/>
          <w:szCs w:val="24"/>
        </w:rPr>
        <w:t>ROM</w:t>
      </w:r>
      <w:r w:rsidR="00684CA2">
        <w:rPr>
          <w:color w:val="000000"/>
          <w:szCs w:val="24"/>
        </w:rPr>
        <w:t>)</w:t>
      </w:r>
      <w:r w:rsidR="00620393">
        <w:rPr>
          <w:color w:val="000000"/>
          <w:szCs w:val="24"/>
        </w:rPr>
        <w:t xml:space="preserve"> </w:t>
      </w:r>
      <w:r w:rsidR="00684CA2">
        <w:rPr>
          <w:color w:val="000000"/>
          <w:szCs w:val="24"/>
        </w:rPr>
        <w:t>measurement</w:t>
      </w:r>
      <w:r w:rsidR="00620393">
        <w:rPr>
          <w:color w:val="000000"/>
          <w:szCs w:val="24"/>
        </w:rPr>
        <w:t xml:space="preserve"> (4 months pre-separation) documented, “Gait is normal, able to ascend/descend stairs in reciprocal manner and without external support.”  </w:t>
      </w:r>
      <w:r w:rsidR="00851FF7">
        <w:rPr>
          <w:color w:val="000000"/>
          <w:szCs w:val="24"/>
        </w:rPr>
        <w:t>At t</w:t>
      </w:r>
      <w:r w:rsidR="00726D21" w:rsidRPr="00726D21">
        <w:rPr>
          <w:color w:val="000000"/>
          <w:szCs w:val="24"/>
        </w:rPr>
        <w:t>he VA Compensation and Pension (C&amp;P) exam (</w:t>
      </w:r>
      <w:r w:rsidR="00A50E16">
        <w:rPr>
          <w:color w:val="000000"/>
          <w:szCs w:val="24"/>
        </w:rPr>
        <w:t xml:space="preserve">performed 2 months after </w:t>
      </w:r>
      <w:r w:rsidR="00726D21" w:rsidRPr="00726D21">
        <w:rPr>
          <w:color w:val="000000"/>
          <w:szCs w:val="24"/>
        </w:rPr>
        <w:t>separation</w:t>
      </w:r>
      <w:r w:rsidR="00726D21">
        <w:rPr>
          <w:color w:val="000000"/>
          <w:szCs w:val="24"/>
        </w:rPr>
        <w:t xml:space="preserve">) </w:t>
      </w:r>
      <w:r w:rsidR="00851FF7">
        <w:rPr>
          <w:color w:val="000000"/>
          <w:szCs w:val="24"/>
        </w:rPr>
        <w:t>the CI reported that the hip had been injured in an explosion in Iraq in 2004.  He reported pain “90% of the time”, worsened with lying on the right side</w:t>
      </w:r>
      <w:r w:rsidR="004B1434">
        <w:rPr>
          <w:color w:val="000000"/>
          <w:szCs w:val="24"/>
        </w:rPr>
        <w:t xml:space="preserve">, “all walking”, and stair climbing; and, stated that he was unable to return to his previous occupation </w:t>
      </w:r>
      <w:r w:rsidR="00126249">
        <w:rPr>
          <w:color w:val="000000"/>
          <w:szCs w:val="24"/>
        </w:rPr>
        <w:t xml:space="preserve">(underwater welding) </w:t>
      </w:r>
      <w:r w:rsidR="004B1434">
        <w:rPr>
          <w:color w:val="000000"/>
          <w:szCs w:val="24"/>
        </w:rPr>
        <w:t>due to hip pain.</w:t>
      </w:r>
      <w:r w:rsidR="00126249">
        <w:rPr>
          <w:color w:val="000000"/>
          <w:szCs w:val="24"/>
        </w:rPr>
        <w:t xml:space="preserve">  </w:t>
      </w:r>
      <w:r w:rsidR="00126249">
        <w:rPr>
          <w:color w:val="000000"/>
          <w:szCs w:val="24"/>
        </w:rPr>
        <w:lastRenderedPageBreak/>
        <w:t xml:space="preserve">At the VA </w:t>
      </w:r>
      <w:r w:rsidR="00A50E16">
        <w:rPr>
          <w:color w:val="000000"/>
          <w:szCs w:val="24"/>
        </w:rPr>
        <w:t xml:space="preserve">general </w:t>
      </w:r>
      <w:r w:rsidR="00071C1B">
        <w:rPr>
          <w:color w:val="000000"/>
          <w:szCs w:val="24"/>
        </w:rPr>
        <w:t>C&amp;P exam</w:t>
      </w:r>
      <w:r w:rsidR="00126249">
        <w:rPr>
          <w:color w:val="000000"/>
          <w:szCs w:val="24"/>
        </w:rPr>
        <w:t xml:space="preserve"> (</w:t>
      </w:r>
      <w:r w:rsidR="00684CA2">
        <w:rPr>
          <w:color w:val="000000"/>
          <w:szCs w:val="24"/>
        </w:rPr>
        <w:t xml:space="preserve">which </w:t>
      </w:r>
      <w:r w:rsidR="00126249">
        <w:rPr>
          <w:color w:val="000000"/>
          <w:szCs w:val="24"/>
        </w:rPr>
        <w:t xml:space="preserve">included </w:t>
      </w:r>
      <w:r w:rsidR="00684CA2">
        <w:rPr>
          <w:color w:val="000000"/>
          <w:szCs w:val="24"/>
        </w:rPr>
        <w:t xml:space="preserve">the </w:t>
      </w:r>
      <w:r w:rsidR="00126249">
        <w:rPr>
          <w:color w:val="000000"/>
          <w:szCs w:val="24"/>
        </w:rPr>
        <w:t>hip), the examiner recorded “</w:t>
      </w:r>
      <w:r w:rsidR="00126249" w:rsidRPr="00126249">
        <w:rPr>
          <w:color w:val="000000"/>
          <w:szCs w:val="24"/>
        </w:rPr>
        <w:t>The patient walks with a cane and has a slight limp</w:t>
      </w:r>
      <w:r w:rsidR="00126249">
        <w:rPr>
          <w:color w:val="000000"/>
          <w:szCs w:val="24"/>
        </w:rPr>
        <w:t xml:space="preserve"> </w:t>
      </w:r>
      <w:r w:rsidR="00126249" w:rsidRPr="00126249">
        <w:rPr>
          <w:color w:val="000000"/>
          <w:szCs w:val="24"/>
        </w:rPr>
        <w:t>involving his right leg.</w:t>
      </w:r>
      <w:r w:rsidR="00126249">
        <w:rPr>
          <w:color w:val="000000"/>
          <w:szCs w:val="24"/>
        </w:rPr>
        <w:t>”</w:t>
      </w:r>
      <w:r>
        <w:rPr>
          <w:color w:val="000000"/>
          <w:szCs w:val="24"/>
        </w:rPr>
        <w:t xml:space="preserve"> </w:t>
      </w:r>
      <w:r w:rsidR="00126249">
        <w:rPr>
          <w:color w:val="000000"/>
          <w:szCs w:val="24"/>
        </w:rPr>
        <w:t xml:space="preserve"> At the </w:t>
      </w:r>
      <w:r w:rsidR="00071C1B">
        <w:rPr>
          <w:color w:val="000000"/>
          <w:szCs w:val="24"/>
        </w:rPr>
        <w:t>C&amp;P exam</w:t>
      </w:r>
      <w:r w:rsidR="00126249">
        <w:rPr>
          <w:color w:val="000000"/>
          <w:szCs w:val="24"/>
        </w:rPr>
        <w:t xml:space="preserve"> </w:t>
      </w:r>
      <w:r w:rsidR="00684CA2">
        <w:rPr>
          <w:color w:val="000000"/>
          <w:szCs w:val="24"/>
        </w:rPr>
        <w:t>for the feet on</w:t>
      </w:r>
      <w:r w:rsidR="00126249">
        <w:rPr>
          <w:color w:val="000000"/>
          <w:szCs w:val="24"/>
        </w:rPr>
        <w:t xml:space="preserve"> the same </w:t>
      </w:r>
      <w:r w:rsidR="00662B65">
        <w:rPr>
          <w:color w:val="000000"/>
          <w:szCs w:val="24"/>
        </w:rPr>
        <w:t>date</w:t>
      </w:r>
      <w:r w:rsidR="00126249">
        <w:rPr>
          <w:color w:val="000000"/>
          <w:szCs w:val="24"/>
        </w:rPr>
        <w:t>, the examiner recorded “</w:t>
      </w:r>
      <w:r w:rsidR="00126249" w:rsidRPr="00126249">
        <w:rPr>
          <w:color w:val="000000"/>
          <w:szCs w:val="24"/>
        </w:rPr>
        <w:t>The veteran's gait is slightly limping, this is</w:t>
      </w:r>
      <w:r w:rsidR="00126249">
        <w:rPr>
          <w:color w:val="000000"/>
          <w:szCs w:val="24"/>
        </w:rPr>
        <w:t xml:space="preserve"> </w:t>
      </w:r>
      <w:r w:rsidR="00126249" w:rsidRPr="00126249">
        <w:rPr>
          <w:color w:val="000000"/>
          <w:szCs w:val="24"/>
        </w:rPr>
        <w:t>minimal.</w:t>
      </w:r>
      <w:r w:rsidR="00126249">
        <w:rPr>
          <w:color w:val="000000"/>
          <w:szCs w:val="24"/>
        </w:rPr>
        <w:t xml:space="preserve"> </w:t>
      </w:r>
      <w:r w:rsidR="00126249" w:rsidRPr="00126249">
        <w:rPr>
          <w:color w:val="000000"/>
          <w:szCs w:val="24"/>
        </w:rPr>
        <w:t xml:space="preserve"> </w:t>
      </w:r>
      <w:r w:rsidR="00126249">
        <w:rPr>
          <w:color w:val="000000"/>
          <w:szCs w:val="24"/>
        </w:rPr>
        <w:t xml:space="preserve"> </w:t>
      </w:r>
      <w:r w:rsidR="00126249" w:rsidRPr="00126249">
        <w:rPr>
          <w:color w:val="000000"/>
          <w:szCs w:val="24"/>
        </w:rPr>
        <w:t>He has a splint on his right ankle.</w:t>
      </w:r>
      <w:r w:rsidR="00126249">
        <w:rPr>
          <w:color w:val="000000"/>
          <w:szCs w:val="24"/>
        </w:rPr>
        <w:t>”</w:t>
      </w:r>
      <w:r w:rsidR="00662B65">
        <w:rPr>
          <w:color w:val="000000"/>
          <w:szCs w:val="24"/>
        </w:rPr>
        <w:t xml:space="preserve">  The VA physical examination of the hip noted joint tenderness, painful motion, and normal strength testing.  The </w:t>
      </w:r>
      <w:r w:rsidR="00662B65" w:rsidRPr="00B652C3">
        <w:rPr>
          <w:color w:val="000000"/>
          <w:szCs w:val="24"/>
        </w:rPr>
        <w:t xml:space="preserve">goniometric </w:t>
      </w:r>
      <w:r w:rsidR="00684CA2">
        <w:rPr>
          <w:color w:val="000000"/>
          <w:szCs w:val="24"/>
        </w:rPr>
        <w:t>ROM</w:t>
      </w:r>
      <w:r w:rsidR="00662B65" w:rsidRPr="00B652C3">
        <w:rPr>
          <w:color w:val="000000"/>
          <w:szCs w:val="24"/>
        </w:rPr>
        <w:t xml:space="preserve"> </w:t>
      </w:r>
      <w:r w:rsidR="00662B65">
        <w:rPr>
          <w:color w:val="000000"/>
          <w:szCs w:val="24"/>
        </w:rPr>
        <w:t xml:space="preserve">measurements from the </w:t>
      </w:r>
      <w:r w:rsidR="00AE40FF">
        <w:rPr>
          <w:color w:val="000000"/>
          <w:szCs w:val="24"/>
        </w:rPr>
        <w:t>MEB</w:t>
      </w:r>
      <w:r w:rsidR="00662B65">
        <w:rPr>
          <w:color w:val="000000"/>
          <w:szCs w:val="24"/>
        </w:rPr>
        <w:t xml:space="preserve"> and post-separation VA C&amp;P </w:t>
      </w:r>
      <w:r w:rsidR="00AE40FF">
        <w:rPr>
          <w:color w:val="000000"/>
          <w:szCs w:val="24"/>
        </w:rPr>
        <w:t xml:space="preserve">evaluations </w:t>
      </w:r>
      <w:r w:rsidR="009754C8">
        <w:rPr>
          <w:color w:val="000000"/>
          <w:szCs w:val="24"/>
        </w:rPr>
        <w:t xml:space="preserve">are </w:t>
      </w:r>
      <w:r w:rsidR="009754C8" w:rsidRPr="00B652C3">
        <w:rPr>
          <w:color w:val="000000"/>
          <w:szCs w:val="24"/>
        </w:rPr>
        <w:t>summarized in the chart below.</w:t>
      </w:r>
    </w:p>
    <w:p w:rsidR="009754C8" w:rsidRDefault="009754C8" w:rsidP="00726D21">
      <w:pPr>
        <w:jc w:val="both"/>
        <w:rPr>
          <w:color w:val="000000"/>
          <w:szCs w:val="24"/>
        </w:rPr>
      </w:pPr>
    </w:p>
    <w:tbl>
      <w:tblPr>
        <w:tblpPr w:leftFromText="180" w:rightFromText="180" w:vertAnchor="text" w:tblpXSpec="center" w:tblpY="1"/>
        <w:tblOverlap w:val="never"/>
        <w:tblW w:w="6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98"/>
        <w:gridCol w:w="2120"/>
        <w:gridCol w:w="2470"/>
      </w:tblGrid>
      <w:tr w:rsidR="00AE40FF" w:rsidRPr="009754C8" w:rsidTr="00AE40FF">
        <w:tc>
          <w:tcPr>
            <w:tcW w:w="2398" w:type="dxa"/>
            <w:shd w:val="clear" w:color="auto" w:fill="D9D9D9"/>
            <w:vAlign w:val="center"/>
          </w:tcPr>
          <w:p w:rsidR="00AE40FF" w:rsidRPr="00AE40FF" w:rsidRDefault="00AE40FF" w:rsidP="00AE40FF">
            <w:pPr>
              <w:contextualSpacing/>
              <w:rPr>
                <w:color w:val="000000"/>
                <w:sz w:val="22"/>
                <w:szCs w:val="22"/>
              </w:rPr>
            </w:pPr>
            <w:r w:rsidRPr="00AE40FF">
              <w:rPr>
                <w:color w:val="000000"/>
                <w:sz w:val="22"/>
                <w:szCs w:val="22"/>
              </w:rPr>
              <w:t>Left Hip ROM</w:t>
            </w:r>
          </w:p>
        </w:tc>
        <w:tc>
          <w:tcPr>
            <w:tcW w:w="2120" w:type="dxa"/>
            <w:shd w:val="clear" w:color="auto" w:fill="D9D9D9"/>
            <w:vAlign w:val="center"/>
          </w:tcPr>
          <w:p w:rsidR="00AE40FF" w:rsidRPr="00AE40FF" w:rsidRDefault="00AE40FF" w:rsidP="00AE40FF">
            <w:pPr>
              <w:contextualSpacing/>
              <w:rPr>
                <w:color w:val="000000"/>
                <w:sz w:val="22"/>
                <w:szCs w:val="22"/>
              </w:rPr>
            </w:pPr>
            <w:r>
              <w:rPr>
                <w:color w:val="000000"/>
                <w:sz w:val="22"/>
                <w:szCs w:val="22"/>
              </w:rPr>
              <w:t>MEB</w:t>
            </w:r>
            <w:r w:rsidRPr="00AE40FF">
              <w:rPr>
                <w:color w:val="000000"/>
                <w:sz w:val="22"/>
                <w:szCs w:val="22"/>
              </w:rPr>
              <w:t xml:space="preserve"> ~4 Mo. Pre-Sep</w:t>
            </w:r>
          </w:p>
        </w:tc>
        <w:tc>
          <w:tcPr>
            <w:tcW w:w="2470" w:type="dxa"/>
            <w:shd w:val="clear" w:color="auto" w:fill="D9D9D9"/>
            <w:vAlign w:val="center"/>
          </w:tcPr>
          <w:p w:rsidR="00AE40FF" w:rsidRPr="00AE40FF" w:rsidRDefault="00AE40FF" w:rsidP="00AE40FF">
            <w:pPr>
              <w:contextualSpacing/>
              <w:rPr>
                <w:color w:val="000000"/>
                <w:sz w:val="22"/>
                <w:szCs w:val="22"/>
              </w:rPr>
            </w:pPr>
            <w:r w:rsidRPr="00AE40FF">
              <w:rPr>
                <w:color w:val="000000"/>
                <w:sz w:val="22"/>
                <w:szCs w:val="22"/>
              </w:rPr>
              <w:t>VA C&amp;P ~2 Mo. Post-Sep</w:t>
            </w:r>
          </w:p>
        </w:tc>
      </w:tr>
      <w:tr w:rsidR="00AE40FF" w:rsidRPr="009754C8" w:rsidTr="00AE40FF">
        <w:tc>
          <w:tcPr>
            <w:tcW w:w="2398" w:type="dxa"/>
            <w:vAlign w:val="center"/>
          </w:tcPr>
          <w:p w:rsidR="00AE40FF" w:rsidRPr="00AE40FF" w:rsidRDefault="00AE40FF" w:rsidP="00AE40FF">
            <w:pPr>
              <w:contextualSpacing/>
              <w:rPr>
                <w:rFonts w:eastAsia="Calibri"/>
                <w:color w:val="auto"/>
                <w:sz w:val="22"/>
                <w:szCs w:val="22"/>
              </w:rPr>
            </w:pPr>
            <w:r w:rsidRPr="00AE40FF">
              <w:rPr>
                <w:rFonts w:eastAsia="Calibri"/>
                <w:color w:val="auto"/>
                <w:sz w:val="22"/>
                <w:szCs w:val="22"/>
              </w:rPr>
              <w:t>Flexion (125⁰ Normal)</w:t>
            </w:r>
          </w:p>
        </w:tc>
        <w:tc>
          <w:tcPr>
            <w:tcW w:w="2120" w:type="dxa"/>
            <w:vAlign w:val="center"/>
          </w:tcPr>
          <w:p w:rsidR="00AE40FF" w:rsidRPr="00AE40FF" w:rsidRDefault="00AE40FF" w:rsidP="00AE40FF">
            <w:pPr>
              <w:contextualSpacing/>
              <w:rPr>
                <w:color w:val="000000"/>
                <w:sz w:val="22"/>
                <w:szCs w:val="22"/>
              </w:rPr>
            </w:pPr>
            <w:r w:rsidRPr="00AE40FF">
              <w:rPr>
                <w:color w:val="000000"/>
                <w:sz w:val="22"/>
                <w:szCs w:val="22"/>
              </w:rPr>
              <w:t>120⁰</w:t>
            </w:r>
          </w:p>
        </w:tc>
        <w:tc>
          <w:tcPr>
            <w:tcW w:w="2470" w:type="dxa"/>
            <w:vAlign w:val="center"/>
          </w:tcPr>
          <w:p w:rsidR="00AE40FF" w:rsidRPr="00AE40FF" w:rsidRDefault="00AE40FF" w:rsidP="00AE40FF">
            <w:pPr>
              <w:contextualSpacing/>
              <w:rPr>
                <w:color w:val="000000"/>
                <w:sz w:val="22"/>
                <w:szCs w:val="22"/>
              </w:rPr>
            </w:pPr>
            <w:r w:rsidRPr="00AE40FF">
              <w:rPr>
                <w:color w:val="000000"/>
                <w:sz w:val="22"/>
                <w:szCs w:val="22"/>
              </w:rPr>
              <w:t>90⁰</w:t>
            </w:r>
          </w:p>
        </w:tc>
      </w:tr>
      <w:tr w:rsidR="00AE40FF" w:rsidRPr="009754C8" w:rsidTr="00AE40FF">
        <w:tc>
          <w:tcPr>
            <w:tcW w:w="2398" w:type="dxa"/>
            <w:tcBorders>
              <w:bottom w:val="single" w:sz="4" w:space="0" w:color="auto"/>
            </w:tcBorders>
            <w:vAlign w:val="center"/>
          </w:tcPr>
          <w:p w:rsidR="00AE40FF" w:rsidRPr="00AE40FF" w:rsidRDefault="00AE40FF" w:rsidP="00AE40FF">
            <w:pPr>
              <w:contextualSpacing/>
              <w:rPr>
                <w:rFonts w:eastAsia="Calibri"/>
                <w:color w:val="auto"/>
                <w:sz w:val="22"/>
                <w:szCs w:val="22"/>
              </w:rPr>
            </w:pPr>
            <w:r w:rsidRPr="00AE40FF">
              <w:rPr>
                <w:rFonts w:eastAsia="Calibri"/>
                <w:color w:val="auto"/>
                <w:sz w:val="22"/>
                <w:szCs w:val="22"/>
              </w:rPr>
              <w:t>Extension (20⁰)</w:t>
            </w:r>
          </w:p>
        </w:tc>
        <w:tc>
          <w:tcPr>
            <w:tcW w:w="2120" w:type="dxa"/>
            <w:tcBorders>
              <w:bottom w:val="single" w:sz="4" w:space="0" w:color="auto"/>
            </w:tcBorders>
            <w:vAlign w:val="center"/>
          </w:tcPr>
          <w:p w:rsidR="00AE40FF" w:rsidRPr="00AE40FF" w:rsidRDefault="00AE40FF" w:rsidP="00AE40FF">
            <w:pPr>
              <w:contextualSpacing/>
              <w:rPr>
                <w:color w:val="000000"/>
                <w:sz w:val="22"/>
                <w:szCs w:val="22"/>
              </w:rPr>
            </w:pPr>
            <w:r>
              <w:rPr>
                <w:color w:val="000000"/>
                <w:sz w:val="22"/>
                <w:szCs w:val="22"/>
              </w:rPr>
              <w:t>15</w:t>
            </w:r>
            <w:r w:rsidRPr="00AE40FF">
              <w:rPr>
                <w:color w:val="000000"/>
                <w:sz w:val="22"/>
                <w:szCs w:val="22"/>
              </w:rPr>
              <w:t>⁰</w:t>
            </w:r>
          </w:p>
        </w:tc>
        <w:tc>
          <w:tcPr>
            <w:tcW w:w="2470" w:type="dxa"/>
            <w:tcBorders>
              <w:bottom w:val="single" w:sz="4" w:space="0" w:color="auto"/>
            </w:tcBorders>
            <w:vAlign w:val="center"/>
          </w:tcPr>
          <w:p w:rsidR="00AE40FF" w:rsidRPr="00AE40FF" w:rsidRDefault="00AE40FF" w:rsidP="00AE40FF">
            <w:pPr>
              <w:contextualSpacing/>
              <w:rPr>
                <w:color w:val="000000"/>
                <w:sz w:val="22"/>
                <w:szCs w:val="22"/>
              </w:rPr>
            </w:pPr>
            <w:r>
              <w:rPr>
                <w:color w:val="000000"/>
                <w:sz w:val="22"/>
                <w:szCs w:val="22"/>
              </w:rPr>
              <w:t>2</w:t>
            </w:r>
            <w:r w:rsidRPr="00AE40FF">
              <w:rPr>
                <w:color w:val="000000"/>
                <w:sz w:val="22"/>
                <w:szCs w:val="22"/>
              </w:rPr>
              <w:t>0⁰</w:t>
            </w:r>
          </w:p>
        </w:tc>
      </w:tr>
      <w:tr w:rsidR="00AE40FF" w:rsidRPr="009754C8" w:rsidTr="00AE40FF">
        <w:tc>
          <w:tcPr>
            <w:tcW w:w="2398" w:type="dxa"/>
            <w:tcBorders>
              <w:bottom w:val="single" w:sz="4" w:space="0" w:color="auto"/>
            </w:tcBorders>
            <w:vAlign w:val="center"/>
          </w:tcPr>
          <w:p w:rsidR="00AE40FF" w:rsidRPr="00AE40FF" w:rsidRDefault="00AE40FF" w:rsidP="00AE40FF">
            <w:pPr>
              <w:contextualSpacing/>
              <w:rPr>
                <w:rFonts w:eastAsia="Calibri"/>
                <w:color w:val="auto"/>
                <w:sz w:val="22"/>
                <w:szCs w:val="22"/>
              </w:rPr>
            </w:pPr>
            <w:r w:rsidRPr="00AE40FF">
              <w:rPr>
                <w:rFonts w:eastAsia="Calibri"/>
                <w:color w:val="auto"/>
                <w:sz w:val="22"/>
                <w:szCs w:val="22"/>
              </w:rPr>
              <w:t>External Rotation (45⁰)</w:t>
            </w:r>
          </w:p>
        </w:tc>
        <w:tc>
          <w:tcPr>
            <w:tcW w:w="2120" w:type="dxa"/>
            <w:tcBorders>
              <w:bottom w:val="single" w:sz="4" w:space="0" w:color="auto"/>
            </w:tcBorders>
            <w:vAlign w:val="center"/>
          </w:tcPr>
          <w:p w:rsidR="00AE40FF" w:rsidRPr="00AE40FF" w:rsidRDefault="00AE40FF" w:rsidP="00AE40FF">
            <w:pPr>
              <w:contextualSpacing/>
              <w:rPr>
                <w:color w:val="000000"/>
                <w:sz w:val="22"/>
                <w:szCs w:val="22"/>
              </w:rPr>
            </w:pPr>
            <w:r>
              <w:rPr>
                <w:color w:val="000000"/>
                <w:sz w:val="22"/>
                <w:szCs w:val="22"/>
              </w:rPr>
              <w:t>30⁰</w:t>
            </w:r>
          </w:p>
        </w:tc>
        <w:tc>
          <w:tcPr>
            <w:tcW w:w="2470" w:type="dxa"/>
            <w:tcBorders>
              <w:bottom w:val="single" w:sz="4" w:space="0" w:color="auto"/>
            </w:tcBorders>
            <w:vAlign w:val="center"/>
          </w:tcPr>
          <w:p w:rsidR="00AE40FF" w:rsidRPr="00AE40FF" w:rsidRDefault="00AE40FF" w:rsidP="00AE40FF">
            <w:pPr>
              <w:contextualSpacing/>
              <w:rPr>
                <w:color w:val="000000"/>
                <w:sz w:val="22"/>
                <w:szCs w:val="22"/>
              </w:rPr>
            </w:pPr>
            <w:r>
              <w:rPr>
                <w:color w:val="000000"/>
                <w:sz w:val="22"/>
                <w:szCs w:val="22"/>
              </w:rPr>
              <w:t>40⁰</w:t>
            </w:r>
          </w:p>
        </w:tc>
      </w:tr>
      <w:tr w:rsidR="00AE40FF" w:rsidRPr="009754C8" w:rsidTr="00AE40FF">
        <w:tc>
          <w:tcPr>
            <w:tcW w:w="2398" w:type="dxa"/>
            <w:tcBorders>
              <w:bottom w:val="single" w:sz="4" w:space="0" w:color="auto"/>
            </w:tcBorders>
            <w:vAlign w:val="center"/>
          </w:tcPr>
          <w:p w:rsidR="00AE40FF" w:rsidRPr="00AE40FF" w:rsidRDefault="00AE40FF" w:rsidP="00AE40FF">
            <w:pPr>
              <w:contextualSpacing/>
              <w:rPr>
                <w:rFonts w:eastAsia="Calibri"/>
                <w:color w:val="auto"/>
                <w:sz w:val="22"/>
                <w:szCs w:val="22"/>
              </w:rPr>
            </w:pPr>
            <w:r w:rsidRPr="00AE40FF">
              <w:rPr>
                <w:rFonts w:eastAsia="Calibri"/>
                <w:color w:val="auto"/>
                <w:sz w:val="22"/>
                <w:szCs w:val="22"/>
              </w:rPr>
              <w:t>Abduction (45⁰)</w:t>
            </w:r>
          </w:p>
        </w:tc>
        <w:tc>
          <w:tcPr>
            <w:tcW w:w="2120" w:type="dxa"/>
            <w:tcBorders>
              <w:bottom w:val="single" w:sz="4" w:space="0" w:color="auto"/>
            </w:tcBorders>
            <w:vAlign w:val="center"/>
          </w:tcPr>
          <w:p w:rsidR="00AE40FF" w:rsidRPr="00AE40FF" w:rsidRDefault="00AE40FF" w:rsidP="00AE40FF">
            <w:pPr>
              <w:contextualSpacing/>
              <w:rPr>
                <w:color w:val="000000"/>
                <w:sz w:val="22"/>
                <w:szCs w:val="22"/>
              </w:rPr>
            </w:pPr>
            <w:r>
              <w:rPr>
                <w:color w:val="000000"/>
                <w:sz w:val="22"/>
                <w:szCs w:val="22"/>
              </w:rPr>
              <w:t>20⁰</w:t>
            </w:r>
          </w:p>
        </w:tc>
        <w:tc>
          <w:tcPr>
            <w:tcW w:w="2470" w:type="dxa"/>
            <w:tcBorders>
              <w:bottom w:val="single" w:sz="4" w:space="0" w:color="auto"/>
            </w:tcBorders>
            <w:vAlign w:val="center"/>
          </w:tcPr>
          <w:p w:rsidR="00AE40FF" w:rsidRPr="00AE40FF" w:rsidRDefault="00AE40FF" w:rsidP="00AE40FF">
            <w:pPr>
              <w:contextualSpacing/>
              <w:rPr>
                <w:color w:val="000000"/>
                <w:sz w:val="22"/>
                <w:szCs w:val="22"/>
              </w:rPr>
            </w:pPr>
            <w:r>
              <w:rPr>
                <w:color w:val="000000"/>
                <w:sz w:val="22"/>
                <w:szCs w:val="22"/>
              </w:rPr>
              <w:t>15⁰</w:t>
            </w:r>
          </w:p>
        </w:tc>
      </w:tr>
      <w:tr w:rsidR="00AE40FF" w:rsidRPr="009754C8" w:rsidTr="00AE40FF">
        <w:tc>
          <w:tcPr>
            <w:tcW w:w="2398" w:type="dxa"/>
            <w:tcBorders>
              <w:bottom w:val="single" w:sz="4" w:space="0" w:color="auto"/>
            </w:tcBorders>
            <w:vAlign w:val="center"/>
          </w:tcPr>
          <w:p w:rsidR="00AE40FF" w:rsidRPr="00AE40FF" w:rsidRDefault="00AE40FF" w:rsidP="00AE40FF">
            <w:pPr>
              <w:contextualSpacing/>
              <w:rPr>
                <w:rFonts w:eastAsia="Calibri"/>
                <w:color w:val="auto"/>
                <w:sz w:val="22"/>
                <w:szCs w:val="22"/>
              </w:rPr>
            </w:pPr>
            <w:r w:rsidRPr="00AE40FF">
              <w:rPr>
                <w:rFonts w:eastAsia="Calibri"/>
                <w:color w:val="auto"/>
                <w:sz w:val="22"/>
                <w:szCs w:val="22"/>
              </w:rPr>
              <w:t>Adduction (45⁰)</w:t>
            </w:r>
          </w:p>
        </w:tc>
        <w:tc>
          <w:tcPr>
            <w:tcW w:w="2120" w:type="dxa"/>
            <w:tcBorders>
              <w:bottom w:val="single" w:sz="4" w:space="0" w:color="auto"/>
            </w:tcBorders>
            <w:vAlign w:val="center"/>
          </w:tcPr>
          <w:p w:rsidR="00AE40FF" w:rsidRPr="00AE40FF" w:rsidRDefault="00AE40FF" w:rsidP="00AE40FF">
            <w:pPr>
              <w:contextualSpacing/>
              <w:rPr>
                <w:color w:val="000000"/>
                <w:sz w:val="22"/>
                <w:szCs w:val="22"/>
              </w:rPr>
            </w:pPr>
            <w:r>
              <w:rPr>
                <w:color w:val="000000"/>
                <w:sz w:val="22"/>
                <w:szCs w:val="22"/>
              </w:rPr>
              <w:t>25⁰</w:t>
            </w:r>
          </w:p>
        </w:tc>
        <w:tc>
          <w:tcPr>
            <w:tcW w:w="2470" w:type="dxa"/>
            <w:tcBorders>
              <w:bottom w:val="single" w:sz="4" w:space="0" w:color="auto"/>
            </w:tcBorders>
            <w:vAlign w:val="center"/>
          </w:tcPr>
          <w:p w:rsidR="00AE40FF" w:rsidRPr="00AE40FF" w:rsidRDefault="00AE40FF" w:rsidP="00AE40FF">
            <w:pPr>
              <w:contextualSpacing/>
              <w:rPr>
                <w:color w:val="000000"/>
                <w:sz w:val="22"/>
                <w:szCs w:val="22"/>
              </w:rPr>
            </w:pPr>
            <w:r>
              <w:rPr>
                <w:color w:val="000000"/>
                <w:sz w:val="22"/>
                <w:szCs w:val="22"/>
              </w:rPr>
              <w:t>25⁰</w:t>
            </w:r>
          </w:p>
        </w:tc>
      </w:tr>
      <w:tr w:rsidR="00AE40FF" w:rsidRPr="009754C8" w:rsidTr="00AE40FF">
        <w:tc>
          <w:tcPr>
            <w:tcW w:w="2398" w:type="dxa"/>
            <w:tcBorders>
              <w:top w:val="single" w:sz="4" w:space="0" w:color="auto"/>
              <w:left w:val="single" w:sz="4" w:space="0" w:color="auto"/>
              <w:bottom w:val="single" w:sz="4" w:space="0" w:color="auto"/>
              <w:right w:val="single" w:sz="4" w:space="0" w:color="auto"/>
            </w:tcBorders>
            <w:vAlign w:val="center"/>
          </w:tcPr>
          <w:p w:rsidR="00AE40FF" w:rsidRPr="00AE40FF" w:rsidRDefault="00AE40FF" w:rsidP="00AE40FF">
            <w:pPr>
              <w:tabs>
                <w:tab w:val="left" w:pos="288"/>
                <w:tab w:val="left" w:pos="4752"/>
              </w:tabs>
              <w:rPr>
                <w:color w:val="000000"/>
                <w:sz w:val="22"/>
                <w:szCs w:val="22"/>
              </w:rPr>
            </w:pPr>
            <w:r w:rsidRPr="00AE40FF">
              <w:rPr>
                <w:color w:val="000000"/>
                <w:sz w:val="22"/>
                <w:szCs w:val="22"/>
              </w:rPr>
              <w:t>§4.71a Rating</w:t>
            </w:r>
          </w:p>
        </w:tc>
        <w:tc>
          <w:tcPr>
            <w:tcW w:w="2120" w:type="dxa"/>
            <w:tcBorders>
              <w:top w:val="single" w:sz="4" w:space="0" w:color="auto"/>
              <w:left w:val="single" w:sz="4" w:space="0" w:color="auto"/>
              <w:bottom w:val="single" w:sz="4" w:space="0" w:color="auto"/>
              <w:right w:val="single" w:sz="4" w:space="0" w:color="auto"/>
            </w:tcBorders>
            <w:vAlign w:val="center"/>
          </w:tcPr>
          <w:p w:rsidR="00AE40FF" w:rsidRPr="00AE40FF" w:rsidRDefault="00AE40FF" w:rsidP="00AE40FF">
            <w:pPr>
              <w:tabs>
                <w:tab w:val="left" w:pos="288"/>
                <w:tab w:val="left" w:pos="4752"/>
              </w:tabs>
              <w:rPr>
                <w:color w:val="000000"/>
                <w:sz w:val="22"/>
                <w:szCs w:val="22"/>
              </w:rPr>
            </w:pPr>
            <w:r>
              <w:rPr>
                <w:color w:val="000000"/>
                <w:sz w:val="22"/>
                <w:szCs w:val="22"/>
              </w:rPr>
              <w:t>1</w:t>
            </w:r>
            <w:r w:rsidRPr="00AE40FF">
              <w:rPr>
                <w:color w:val="000000"/>
                <w:sz w:val="22"/>
                <w:szCs w:val="22"/>
              </w:rPr>
              <w:t>0%</w:t>
            </w:r>
          </w:p>
        </w:tc>
        <w:tc>
          <w:tcPr>
            <w:tcW w:w="2470" w:type="dxa"/>
            <w:tcBorders>
              <w:top w:val="single" w:sz="4" w:space="0" w:color="auto"/>
              <w:left w:val="single" w:sz="4" w:space="0" w:color="auto"/>
              <w:bottom w:val="single" w:sz="4" w:space="0" w:color="auto"/>
              <w:right w:val="single" w:sz="4" w:space="0" w:color="auto"/>
            </w:tcBorders>
            <w:vAlign w:val="center"/>
          </w:tcPr>
          <w:p w:rsidR="00AE40FF" w:rsidRPr="00AE40FF" w:rsidRDefault="00AE40FF" w:rsidP="00AE40FF">
            <w:pPr>
              <w:tabs>
                <w:tab w:val="left" w:pos="288"/>
                <w:tab w:val="left" w:pos="4752"/>
              </w:tabs>
              <w:rPr>
                <w:color w:val="000000"/>
                <w:sz w:val="22"/>
                <w:szCs w:val="22"/>
              </w:rPr>
            </w:pPr>
            <w:r w:rsidRPr="00AE40FF">
              <w:rPr>
                <w:color w:val="000000"/>
                <w:sz w:val="22"/>
                <w:szCs w:val="22"/>
              </w:rPr>
              <w:t>10%</w:t>
            </w:r>
          </w:p>
        </w:tc>
      </w:tr>
    </w:tbl>
    <w:p w:rsidR="009754C8" w:rsidRDefault="009754C8" w:rsidP="00726D21">
      <w:pPr>
        <w:jc w:val="both"/>
        <w:rPr>
          <w:color w:val="000000"/>
          <w:szCs w:val="24"/>
        </w:rPr>
      </w:pPr>
    </w:p>
    <w:p w:rsidR="004B1434" w:rsidRDefault="004B1434" w:rsidP="00726D21">
      <w:pPr>
        <w:jc w:val="both"/>
        <w:rPr>
          <w:color w:val="000000"/>
          <w:szCs w:val="24"/>
        </w:rPr>
      </w:pPr>
    </w:p>
    <w:p w:rsidR="00126249" w:rsidRDefault="00126249" w:rsidP="00126249">
      <w:pPr>
        <w:jc w:val="both"/>
        <w:rPr>
          <w:color w:val="000000"/>
          <w:szCs w:val="24"/>
        </w:rPr>
      </w:pPr>
    </w:p>
    <w:p w:rsidR="00AE40FF" w:rsidRDefault="00AE40FF" w:rsidP="0069687C">
      <w:pPr>
        <w:jc w:val="both"/>
        <w:rPr>
          <w:color w:val="000000"/>
          <w:szCs w:val="24"/>
        </w:rPr>
      </w:pPr>
    </w:p>
    <w:p w:rsidR="00AE40FF" w:rsidRDefault="00AE40FF" w:rsidP="0069687C">
      <w:pPr>
        <w:jc w:val="both"/>
        <w:rPr>
          <w:color w:val="000000"/>
          <w:szCs w:val="24"/>
        </w:rPr>
      </w:pPr>
    </w:p>
    <w:p w:rsidR="00AE40FF" w:rsidRDefault="00AE40FF" w:rsidP="0069687C">
      <w:pPr>
        <w:jc w:val="both"/>
        <w:rPr>
          <w:color w:val="000000"/>
          <w:szCs w:val="24"/>
        </w:rPr>
      </w:pPr>
    </w:p>
    <w:p w:rsidR="00AE40FF" w:rsidRDefault="00AE40FF" w:rsidP="0069687C">
      <w:pPr>
        <w:jc w:val="both"/>
        <w:rPr>
          <w:color w:val="000000"/>
          <w:szCs w:val="24"/>
        </w:rPr>
      </w:pPr>
    </w:p>
    <w:p w:rsidR="00AE40FF" w:rsidRDefault="00AE40FF" w:rsidP="0069687C">
      <w:pPr>
        <w:jc w:val="both"/>
        <w:rPr>
          <w:color w:val="000000"/>
          <w:szCs w:val="24"/>
        </w:rPr>
      </w:pPr>
    </w:p>
    <w:p w:rsidR="005E5E9C" w:rsidRPr="005E5E9C" w:rsidRDefault="008D4D73" w:rsidP="005E5E9C">
      <w:pPr>
        <w:tabs>
          <w:tab w:val="left" w:pos="288"/>
          <w:tab w:val="left" w:pos="4752"/>
        </w:tabs>
        <w:jc w:val="both"/>
        <w:rPr>
          <w:rFonts w:cs="Times New Roman"/>
          <w:color w:val="auto"/>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w:t>
      </w:r>
      <w:r w:rsidRPr="00C017F0">
        <w:rPr>
          <w:color w:val="000000"/>
          <w:szCs w:val="24"/>
        </w:rPr>
        <w:t xml:space="preserve">Although the PEB’s 10% rating adhered to the USAPDA pain policy, it was consistent with VASRD §4.71a standards for the evidence under consideration.  </w:t>
      </w:r>
      <w:r>
        <w:rPr>
          <w:color w:val="000000"/>
          <w:szCs w:val="24"/>
        </w:rPr>
        <w:t>None of the codes for limitation of motion at the hip (5251, 5252, 5253) achieved a compensable rating from either the MEB</w:t>
      </w:r>
      <w:r w:rsidR="005E5E9C">
        <w:rPr>
          <w:color w:val="000000"/>
          <w:szCs w:val="24"/>
        </w:rPr>
        <w:t>’s</w:t>
      </w:r>
      <w:r>
        <w:rPr>
          <w:color w:val="000000"/>
          <w:szCs w:val="24"/>
        </w:rPr>
        <w:t xml:space="preserve"> or </w:t>
      </w:r>
      <w:r w:rsidR="005E5E9C">
        <w:rPr>
          <w:color w:val="000000"/>
          <w:szCs w:val="24"/>
        </w:rPr>
        <w:t xml:space="preserve">the </w:t>
      </w:r>
      <w:r>
        <w:rPr>
          <w:color w:val="000000"/>
          <w:szCs w:val="24"/>
        </w:rPr>
        <w:t>VA</w:t>
      </w:r>
      <w:r w:rsidR="005E5E9C">
        <w:rPr>
          <w:color w:val="000000"/>
          <w:szCs w:val="24"/>
        </w:rPr>
        <w:t>’s</w:t>
      </w:r>
      <w:r>
        <w:rPr>
          <w:color w:val="000000"/>
          <w:szCs w:val="24"/>
        </w:rPr>
        <w:t xml:space="preserve"> </w:t>
      </w:r>
      <w:r w:rsidR="005E5E9C" w:rsidRPr="005E5E9C">
        <w:rPr>
          <w:rFonts w:eastAsia="Calibri"/>
          <w:color w:val="auto"/>
          <w:szCs w:val="24"/>
        </w:rPr>
        <w:t xml:space="preserve">ROM </w:t>
      </w:r>
      <w:r w:rsidR="005E5E9C">
        <w:rPr>
          <w:rFonts w:eastAsia="Calibri"/>
          <w:color w:val="auto"/>
          <w:szCs w:val="24"/>
        </w:rPr>
        <w:t>evidence</w:t>
      </w:r>
      <w:r>
        <w:rPr>
          <w:color w:val="000000"/>
          <w:szCs w:val="24"/>
        </w:rPr>
        <w:t>.  Application of VASRD §4.59 (painful motion), however, was supported by both evaluations to achieve the minimum compensable rating (10%) for each of these codes.  None of the other hip/thigh joint codes (5250, 5254, 5255)</w:t>
      </w:r>
      <w:r w:rsidR="005E5E9C">
        <w:rPr>
          <w:color w:val="000000"/>
          <w:szCs w:val="24"/>
        </w:rPr>
        <w:t xml:space="preserve"> were applicable to this case.  </w:t>
      </w:r>
      <w:r w:rsidR="005E5E9C" w:rsidRPr="0062690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w:t>
      </w:r>
      <w:r w:rsidR="005E5E9C">
        <w:rPr>
          <w:rFonts w:eastAsia="Calibri" w:cs="Times New Roman"/>
          <w:color w:val="auto"/>
          <w:szCs w:val="24"/>
        </w:rPr>
        <w:t>of</w:t>
      </w:r>
      <w:r w:rsidR="005E5E9C" w:rsidRPr="00626902">
        <w:rPr>
          <w:rFonts w:eastAsia="Calibri" w:cs="Times New Roman"/>
          <w:color w:val="auto"/>
          <w:szCs w:val="24"/>
        </w:rPr>
        <w:t xml:space="preserve"> the </w:t>
      </w:r>
      <w:r w:rsidR="005E5E9C">
        <w:rPr>
          <w:rFonts w:eastAsia="Calibri" w:cs="Times New Roman"/>
          <w:color w:val="auto"/>
          <w:szCs w:val="24"/>
        </w:rPr>
        <w:t>right hip</w:t>
      </w:r>
      <w:r w:rsidR="005E5E9C" w:rsidRPr="00626902">
        <w:rPr>
          <w:rFonts w:eastAsia="Calibri" w:cs="Times New Roman"/>
          <w:color w:val="auto"/>
          <w:szCs w:val="24"/>
        </w:rPr>
        <w:t xml:space="preserve"> condition.</w:t>
      </w:r>
    </w:p>
    <w:p w:rsidR="00792790" w:rsidRDefault="00792790" w:rsidP="001554E4">
      <w:pPr>
        <w:jc w:val="both"/>
        <w:rPr>
          <w:rFonts w:eastAsia="Calibri" w:cs="Times New Roman"/>
          <w:color w:val="auto"/>
          <w:szCs w:val="24"/>
        </w:rPr>
      </w:pPr>
    </w:p>
    <w:p w:rsidR="00C33FF9" w:rsidRPr="00EB783A" w:rsidRDefault="00792790" w:rsidP="00C33FF9">
      <w:pPr>
        <w:tabs>
          <w:tab w:val="left" w:pos="6676"/>
        </w:tabs>
        <w:jc w:val="both"/>
        <w:rPr>
          <w:color w:val="000000"/>
          <w:szCs w:val="24"/>
        </w:rPr>
      </w:pPr>
      <w:r w:rsidRPr="00792790">
        <w:rPr>
          <w:rFonts w:eastAsia="Calibri" w:cs="Times New Roman"/>
          <w:color w:val="auto"/>
          <w:szCs w:val="24"/>
          <w:u w:val="single"/>
        </w:rPr>
        <w:t xml:space="preserve">Contended </w:t>
      </w:r>
      <w:r w:rsidR="004B209F">
        <w:rPr>
          <w:rFonts w:eastAsia="Calibri" w:cs="Times New Roman"/>
          <w:color w:val="auto"/>
          <w:szCs w:val="24"/>
          <w:u w:val="single"/>
        </w:rPr>
        <w:t>Left Shoulder</w:t>
      </w:r>
      <w:r w:rsidRPr="00792790">
        <w:rPr>
          <w:rFonts w:eastAsia="Calibri" w:cs="Times New Roman"/>
          <w:color w:val="auto"/>
          <w:szCs w:val="24"/>
          <w:u w:val="single"/>
        </w:rPr>
        <w:t xml:space="preserve"> Condition</w:t>
      </w:r>
      <w:r>
        <w:rPr>
          <w:rFonts w:eastAsia="Calibri" w:cs="Times New Roman"/>
          <w:color w:val="auto"/>
          <w:szCs w:val="24"/>
        </w:rPr>
        <w:t xml:space="preserve">.  </w:t>
      </w:r>
      <w:r w:rsidR="00620393">
        <w:rPr>
          <w:rFonts w:eastAsia="Calibri" w:cs="Times New Roman"/>
          <w:color w:val="auto"/>
          <w:szCs w:val="24"/>
        </w:rPr>
        <w:t>The NARSUM noted a complaint of left shoulder pain without elaboration</w:t>
      </w:r>
      <w:r w:rsidR="00684CA2">
        <w:rPr>
          <w:rFonts w:eastAsia="Calibri" w:cs="Times New Roman"/>
          <w:color w:val="auto"/>
          <w:szCs w:val="24"/>
        </w:rPr>
        <w:t xml:space="preserve"> of history or diagnosis</w:t>
      </w:r>
      <w:r w:rsidR="00620393">
        <w:rPr>
          <w:rFonts w:eastAsia="Calibri" w:cs="Times New Roman"/>
          <w:color w:val="auto"/>
          <w:szCs w:val="24"/>
        </w:rPr>
        <w:t xml:space="preserve">, and identified it as a condition meeting retention standards.  As with the hip condition, there is </w:t>
      </w:r>
      <w:r w:rsidR="00620393" w:rsidRPr="00EB783A">
        <w:rPr>
          <w:rFonts w:eastAsia="Calibri" w:cs="Times New Roman"/>
          <w:color w:val="auto"/>
          <w:szCs w:val="24"/>
        </w:rPr>
        <w:t>a paucity of outpatient information from the Service file</w:t>
      </w:r>
      <w:r w:rsidR="006B1884" w:rsidRPr="00EB783A">
        <w:rPr>
          <w:rFonts w:eastAsia="Calibri" w:cs="Times New Roman"/>
          <w:color w:val="auto"/>
          <w:szCs w:val="24"/>
        </w:rPr>
        <w:t>; and likewise it is possible that there are missing outpatient records from the file</w:t>
      </w:r>
      <w:r w:rsidR="00620393" w:rsidRPr="00EB783A">
        <w:rPr>
          <w:rFonts w:eastAsia="Calibri" w:cs="Times New Roman"/>
          <w:color w:val="auto"/>
          <w:szCs w:val="24"/>
        </w:rPr>
        <w:t>.</w:t>
      </w:r>
      <w:r w:rsidR="006B1884" w:rsidRPr="00EB783A">
        <w:rPr>
          <w:rFonts w:eastAsia="Calibri" w:cs="Times New Roman"/>
          <w:color w:val="auto"/>
          <w:szCs w:val="24"/>
        </w:rPr>
        <w:t xml:space="preserve">  Members once again deliberated if this possibility posed an issue with fair assessment; and, agreed that the evidence at hand was sufficiently probative, </w:t>
      </w:r>
      <w:r w:rsidR="0029513D" w:rsidRPr="00EB783A">
        <w:rPr>
          <w:rFonts w:eastAsia="Calibri" w:cs="Times New Roman"/>
          <w:color w:val="auto"/>
          <w:szCs w:val="24"/>
        </w:rPr>
        <w:t xml:space="preserve">i.e., </w:t>
      </w:r>
      <w:r w:rsidR="006B1884" w:rsidRPr="00EB783A">
        <w:rPr>
          <w:rFonts w:eastAsia="Calibri" w:cs="Times New Roman"/>
          <w:color w:val="auto"/>
          <w:szCs w:val="24"/>
        </w:rPr>
        <w:t xml:space="preserve">any </w:t>
      </w:r>
      <w:r w:rsidR="0029513D" w:rsidRPr="00EB783A">
        <w:rPr>
          <w:rFonts w:eastAsia="Calibri" w:cs="Times New Roman"/>
          <w:color w:val="auto"/>
          <w:szCs w:val="24"/>
        </w:rPr>
        <w:t xml:space="preserve">presumed </w:t>
      </w:r>
      <w:r w:rsidR="006B1884" w:rsidRPr="00EB783A">
        <w:rPr>
          <w:rFonts w:eastAsia="Calibri" w:cs="Times New Roman"/>
          <w:color w:val="auto"/>
          <w:szCs w:val="24"/>
        </w:rPr>
        <w:t xml:space="preserve">missing evidence would not </w:t>
      </w:r>
      <w:r w:rsidR="0029513D" w:rsidRPr="00EB783A">
        <w:rPr>
          <w:rFonts w:eastAsia="Calibri" w:cs="Times New Roman"/>
          <w:color w:val="auto"/>
          <w:szCs w:val="24"/>
        </w:rPr>
        <w:t xml:space="preserve">materially </w:t>
      </w:r>
      <w:r w:rsidR="006B1884" w:rsidRPr="00EB783A">
        <w:rPr>
          <w:rFonts w:eastAsia="Calibri" w:cs="Times New Roman"/>
          <w:color w:val="auto"/>
          <w:szCs w:val="24"/>
        </w:rPr>
        <w:t xml:space="preserve">affect the Board’s </w:t>
      </w:r>
      <w:r w:rsidR="0029513D" w:rsidRPr="00EB783A">
        <w:rPr>
          <w:rFonts w:eastAsia="Calibri" w:cs="Times New Roman"/>
          <w:color w:val="auto"/>
          <w:szCs w:val="24"/>
        </w:rPr>
        <w:t xml:space="preserve">ultimate </w:t>
      </w:r>
      <w:r w:rsidR="006B1884" w:rsidRPr="00EB783A">
        <w:rPr>
          <w:rFonts w:eastAsia="Calibri" w:cs="Times New Roman"/>
          <w:color w:val="auto"/>
          <w:szCs w:val="24"/>
        </w:rPr>
        <w:t xml:space="preserve">recommendation. </w:t>
      </w:r>
      <w:r w:rsidR="00620393" w:rsidRPr="00EB783A">
        <w:rPr>
          <w:rFonts w:eastAsia="Calibri" w:cs="Times New Roman"/>
          <w:color w:val="auto"/>
          <w:szCs w:val="24"/>
        </w:rPr>
        <w:t xml:space="preserve">  </w:t>
      </w:r>
      <w:r w:rsidR="00F514D6" w:rsidRPr="00EB783A">
        <w:rPr>
          <w:rFonts w:eastAsia="Calibri" w:cs="Times New Roman"/>
          <w:color w:val="auto"/>
          <w:szCs w:val="24"/>
        </w:rPr>
        <w:t>There are notes from 2004 that the CI injured his le</w:t>
      </w:r>
      <w:r w:rsidR="00684CA2" w:rsidRPr="00EB783A">
        <w:rPr>
          <w:rFonts w:eastAsia="Calibri" w:cs="Times New Roman"/>
          <w:color w:val="auto"/>
          <w:szCs w:val="24"/>
        </w:rPr>
        <w:t xml:space="preserve">ft shoulder from a fall in Iraq; and, the condition </w:t>
      </w:r>
      <w:r w:rsidR="006B1884" w:rsidRPr="00EB783A">
        <w:rPr>
          <w:rFonts w:eastAsia="Calibri" w:cs="Times New Roman"/>
          <w:color w:val="auto"/>
          <w:szCs w:val="24"/>
        </w:rPr>
        <w:t>was added to the</w:t>
      </w:r>
      <w:r w:rsidR="00F514D6" w:rsidRPr="00EB783A">
        <w:rPr>
          <w:rFonts w:eastAsia="Calibri" w:cs="Times New Roman"/>
          <w:color w:val="auto"/>
          <w:szCs w:val="24"/>
        </w:rPr>
        <w:t xml:space="preserve"> final permanent profile</w:t>
      </w:r>
      <w:r w:rsidR="006B1884" w:rsidRPr="00EB783A">
        <w:rPr>
          <w:rFonts w:eastAsia="Calibri" w:cs="Times New Roman"/>
          <w:color w:val="auto"/>
          <w:szCs w:val="24"/>
        </w:rPr>
        <w:t xml:space="preserve"> as a U3</w:t>
      </w:r>
      <w:r w:rsidR="00F514D6" w:rsidRPr="00EB783A">
        <w:rPr>
          <w:rFonts w:eastAsia="Calibri" w:cs="Times New Roman"/>
          <w:color w:val="auto"/>
          <w:szCs w:val="24"/>
        </w:rPr>
        <w:t xml:space="preserve">.  </w:t>
      </w:r>
      <w:r w:rsidR="006B1884" w:rsidRPr="00EB783A">
        <w:rPr>
          <w:rFonts w:eastAsia="Calibri" w:cs="Times New Roman"/>
          <w:color w:val="auto"/>
          <w:szCs w:val="24"/>
        </w:rPr>
        <w:t xml:space="preserve">Members did surmise that it was likely that the L2 and U3 classifications were erroneously transposed on the profile (i.e., intended as L3/U2); although, that must remain speculative.  </w:t>
      </w:r>
      <w:r w:rsidR="00C33FF9" w:rsidRPr="00EB783A">
        <w:rPr>
          <w:rFonts w:eastAsia="Calibri" w:cs="Times New Roman"/>
          <w:color w:val="auto"/>
          <w:szCs w:val="24"/>
        </w:rPr>
        <w:t xml:space="preserve">The commander’s statement did not elaborate the CI’s conditions or specific physical limitations.  </w:t>
      </w:r>
      <w:r w:rsidR="00F514D6" w:rsidRPr="00EB783A">
        <w:rPr>
          <w:rFonts w:eastAsia="Calibri" w:cs="Times New Roman"/>
          <w:color w:val="auto"/>
          <w:szCs w:val="24"/>
        </w:rPr>
        <w:t xml:space="preserve">There are no ROM evaluations in evidence from the Service.  At the 2 month post-separation VA </w:t>
      </w:r>
      <w:r w:rsidR="00595FA9" w:rsidRPr="00EB783A">
        <w:rPr>
          <w:rFonts w:eastAsia="Calibri" w:cs="Times New Roman"/>
          <w:color w:val="auto"/>
          <w:szCs w:val="24"/>
        </w:rPr>
        <w:t xml:space="preserve">C&amp;P </w:t>
      </w:r>
      <w:r w:rsidR="00F514D6" w:rsidRPr="00EB783A">
        <w:rPr>
          <w:rFonts w:eastAsia="Calibri" w:cs="Times New Roman"/>
          <w:color w:val="auto"/>
          <w:szCs w:val="24"/>
        </w:rPr>
        <w:t>evaluation, the CI reported pain prohibiting tasks “requiring the elevation of the arms overhead</w:t>
      </w:r>
      <w:r w:rsidR="002457DD">
        <w:rPr>
          <w:rFonts w:eastAsia="Calibri" w:cs="Times New Roman"/>
          <w:color w:val="auto"/>
          <w:szCs w:val="24"/>
        </w:rPr>
        <w:t>.</w:t>
      </w:r>
      <w:r w:rsidR="00F514D6" w:rsidRPr="00EB783A">
        <w:rPr>
          <w:rFonts w:eastAsia="Calibri" w:cs="Times New Roman"/>
          <w:color w:val="auto"/>
          <w:szCs w:val="24"/>
        </w:rPr>
        <w:t>”</w:t>
      </w:r>
      <w:bookmarkStart w:id="0" w:name="_GoBack"/>
      <w:bookmarkEnd w:id="0"/>
      <w:r w:rsidR="00F514D6" w:rsidRPr="00EB783A">
        <w:rPr>
          <w:rFonts w:eastAsia="Calibri" w:cs="Times New Roman"/>
          <w:color w:val="auto"/>
          <w:szCs w:val="24"/>
        </w:rPr>
        <w:t xml:space="preserve">  The VA examiner cited a magnetic resonance imaging report in the CI’s possession (source </w:t>
      </w:r>
      <w:r w:rsidR="00C33FF9" w:rsidRPr="00EB783A">
        <w:rPr>
          <w:rFonts w:eastAsia="Calibri" w:cs="Times New Roman"/>
          <w:color w:val="auto"/>
          <w:szCs w:val="24"/>
        </w:rPr>
        <w:t xml:space="preserve">study not in evidence) which read “Mild increased signal within the supraspinatus tendon, suggestive of mild tendinosis.”  The VA ROM evaluation documented abduction </w:t>
      </w:r>
      <w:r w:rsidR="0065574E" w:rsidRPr="00EB783A">
        <w:rPr>
          <w:rFonts w:eastAsia="Calibri" w:cs="Times New Roman"/>
          <w:color w:val="auto"/>
          <w:szCs w:val="24"/>
        </w:rPr>
        <w:t>of 125⁰ and forward flexion of 12</w:t>
      </w:r>
      <w:r w:rsidR="000A2C70" w:rsidRPr="00EB783A">
        <w:rPr>
          <w:rFonts w:eastAsia="Calibri" w:cs="Times New Roman"/>
          <w:color w:val="auto"/>
          <w:szCs w:val="24"/>
        </w:rPr>
        <w:t>0</w:t>
      </w:r>
      <w:r w:rsidR="00C33FF9" w:rsidRPr="00EB783A">
        <w:rPr>
          <w:rFonts w:eastAsia="Calibri" w:cs="Times New Roman"/>
          <w:color w:val="auto"/>
          <w:szCs w:val="24"/>
        </w:rPr>
        <w:t xml:space="preserve">⁰ </w:t>
      </w:r>
      <w:r w:rsidR="00C33FF9" w:rsidRPr="00EB783A">
        <w:rPr>
          <w:color w:val="000000"/>
          <w:szCs w:val="24"/>
        </w:rPr>
        <w:t>(normal 180⁰</w:t>
      </w:r>
      <w:r w:rsidR="0065574E" w:rsidRPr="00EB783A">
        <w:rPr>
          <w:color w:val="000000"/>
          <w:szCs w:val="24"/>
        </w:rPr>
        <w:t xml:space="preserve"> for each</w:t>
      </w:r>
      <w:r w:rsidR="00C33FF9" w:rsidRPr="00EB783A">
        <w:rPr>
          <w:color w:val="000000"/>
          <w:szCs w:val="24"/>
        </w:rPr>
        <w:t>; minimal compensable 90⁰</w:t>
      </w:r>
      <w:r w:rsidR="0065574E" w:rsidRPr="00EB783A">
        <w:rPr>
          <w:color w:val="000000"/>
          <w:szCs w:val="24"/>
        </w:rPr>
        <w:t xml:space="preserve"> for each</w:t>
      </w:r>
      <w:r w:rsidR="00C33FF9" w:rsidRPr="00EB783A">
        <w:rPr>
          <w:color w:val="000000"/>
          <w:szCs w:val="24"/>
        </w:rPr>
        <w:t xml:space="preserve">).  </w:t>
      </w:r>
      <w:r w:rsidR="0065574E" w:rsidRPr="00EB783A">
        <w:rPr>
          <w:color w:val="000000"/>
          <w:szCs w:val="24"/>
        </w:rPr>
        <w:t>Painful motion was not adequately supported by the VA exam for application of §4.59 to achieve a compensable rating.</w:t>
      </w:r>
    </w:p>
    <w:p w:rsidR="005E5E9C" w:rsidRPr="00EB783A" w:rsidRDefault="005E5E9C" w:rsidP="00792790">
      <w:pPr>
        <w:jc w:val="both"/>
        <w:rPr>
          <w:rFonts w:eastAsia="Calibri" w:cs="Times New Roman"/>
          <w:color w:val="auto"/>
          <w:szCs w:val="24"/>
        </w:rPr>
      </w:pPr>
    </w:p>
    <w:p w:rsidR="005452F7" w:rsidRPr="00792790" w:rsidRDefault="00C33FF9" w:rsidP="00792790">
      <w:pPr>
        <w:jc w:val="both"/>
        <w:rPr>
          <w:rFonts w:eastAsia="Calibri" w:cs="Times New Roman"/>
          <w:color w:val="auto"/>
          <w:szCs w:val="24"/>
        </w:rPr>
      </w:pPr>
      <w:r w:rsidRPr="00EB783A">
        <w:rPr>
          <w:rFonts w:eastAsia="Calibri" w:cs="Times New Roman"/>
          <w:color w:val="auto"/>
          <w:szCs w:val="24"/>
        </w:rPr>
        <w:t>The Board’s main charge with respect to this condition is an assessment of the fairness of the PEB’s (</w:t>
      </w:r>
      <w:r w:rsidRPr="00EB783A">
        <w:rPr>
          <w:rFonts w:eastAsia="Calibri" w:cs="Times New Roman"/>
          <w:i/>
          <w:color w:val="auto"/>
          <w:szCs w:val="24"/>
        </w:rPr>
        <w:t>de facto</w:t>
      </w:r>
      <w:r w:rsidRPr="00EB783A">
        <w:rPr>
          <w:rFonts w:eastAsia="Calibri" w:cs="Times New Roman"/>
          <w:color w:val="auto"/>
          <w:szCs w:val="24"/>
        </w:rPr>
        <w:t>) determination that it was not unfitting.  The Board’s threshold for countering fitness determinations is higher than the VASRD §4.3 (reasonable doubt) standard used for its rating recommendations, but remains adherent to the DoDI 6040.44 “fair and equitable” standard.  The established DES (and Board applicable) principle for fitness determinations is that they are performance</w:t>
      </w:r>
      <w:r w:rsidR="00A50E16">
        <w:rPr>
          <w:rFonts w:eastAsia="Calibri" w:cs="Times New Roman"/>
          <w:color w:val="auto"/>
          <w:szCs w:val="24"/>
        </w:rPr>
        <w:t xml:space="preserve"> </w:t>
      </w:r>
      <w:r w:rsidRPr="00EB783A">
        <w:rPr>
          <w:rFonts w:eastAsia="Calibri" w:cs="Times New Roman"/>
          <w:color w:val="auto"/>
          <w:szCs w:val="24"/>
        </w:rPr>
        <w:t xml:space="preserve">based.  </w:t>
      </w:r>
      <w:r w:rsidR="00A50E16">
        <w:rPr>
          <w:rFonts w:eastAsia="Calibri" w:cs="Times New Roman"/>
          <w:color w:val="auto"/>
          <w:szCs w:val="24"/>
        </w:rPr>
        <w:t xml:space="preserve">Although service treatment record </w:t>
      </w:r>
      <w:r w:rsidR="0065574E" w:rsidRPr="00EB783A">
        <w:rPr>
          <w:rFonts w:eastAsia="Calibri" w:cs="Times New Roman"/>
          <w:color w:val="auto"/>
          <w:szCs w:val="24"/>
        </w:rPr>
        <w:t xml:space="preserve">evidence is scant, there is no MOS specific functional impairment which the Board can cite in support of a conclusion that the left shoulder condition in isolation would have rendered the CI incapable of continued </w:t>
      </w:r>
      <w:r w:rsidR="0065574E" w:rsidRPr="00EB783A">
        <w:rPr>
          <w:rFonts w:eastAsia="Calibri" w:cs="Times New Roman"/>
          <w:color w:val="auto"/>
          <w:szCs w:val="24"/>
        </w:rPr>
        <w:lastRenderedPageBreak/>
        <w:t>service; especially in the face of the MEB physician’s judgment that it was medically acceptable.</w:t>
      </w:r>
      <w:r w:rsidR="000A1754" w:rsidRPr="00EB783A">
        <w:rPr>
          <w:rFonts w:eastAsia="Calibri" w:cs="Times New Roman"/>
          <w:color w:val="auto"/>
          <w:szCs w:val="24"/>
        </w:rPr>
        <w:t xml:space="preserve"> </w:t>
      </w:r>
      <w:r w:rsidR="0065574E" w:rsidRPr="00EB783A">
        <w:rPr>
          <w:rFonts w:eastAsia="Calibri" w:cs="Times New Roman"/>
          <w:color w:val="auto"/>
          <w:szCs w:val="24"/>
        </w:rPr>
        <w:t xml:space="preserve">  </w:t>
      </w:r>
      <w:r w:rsidR="0029513D" w:rsidRPr="00EB783A">
        <w:rPr>
          <w:rFonts w:eastAsia="Calibri" w:cs="Times New Roman"/>
          <w:color w:val="auto"/>
          <w:szCs w:val="24"/>
        </w:rPr>
        <w:t xml:space="preserve">It must be further noted that, even if conceded as unfitting, a compensable </w:t>
      </w:r>
      <w:r w:rsidR="00A50E16">
        <w:rPr>
          <w:rFonts w:eastAsia="Calibri" w:cs="Times New Roman"/>
          <w:color w:val="auto"/>
          <w:szCs w:val="24"/>
        </w:rPr>
        <w:t>r</w:t>
      </w:r>
      <w:r w:rsidR="0029513D" w:rsidRPr="00EB783A">
        <w:rPr>
          <w:rFonts w:eastAsia="Calibri" w:cs="Times New Roman"/>
          <w:color w:val="auto"/>
          <w:szCs w:val="24"/>
        </w:rPr>
        <w:t xml:space="preserve">ating is not supported by the evidence.  </w:t>
      </w:r>
      <w:r w:rsidRPr="00EB783A">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w:t>
      </w:r>
      <w:r w:rsidR="000A1754" w:rsidRPr="00EB783A">
        <w:rPr>
          <w:rFonts w:eastAsia="Calibri" w:cs="Times New Roman"/>
          <w:color w:val="auto"/>
          <w:szCs w:val="24"/>
        </w:rPr>
        <w:t>left shoulder</w:t>
      </w:r>
      <w:r w:rsidRPr="00EB783A">
        <w:rPr>
          <w:rFonts w:eastAsia="Calibri" w:cs="Times New Roman"/>
          <w:color w:val="auto"/>
          <w:szCs w:val="24"/>
        </w:rPr>
        <w:t xml:space="preserve"> condition; thus no additional disability rating can be recommended.</w:t>
      </w:r>
      <w:r w:rsidR="000A1754">
        <w:rPr>
          <w:rFonts w:eastAsia="Calibri" w:cs="Times New Roman"/>
          <w:color w:val="auto"/>
          <w:szCs w:val="24"/>
        </w:rPr>
        <w:t xml:space="preserve">  </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29513D" w:rsidRDefault="0029513D" w:rsidP="000A1754">
      <w:pPr>
        <w:jc w:val="both"/>
        <w:rPr>
          <w:color w:val="000000"/>
          <w:u w:val="single"/>
        </w:rPr>
      </w:pPr>
    </w:p>
    <w:p w:rsidR="000A1754" w:rsidRDefault="00AD2379" w:rsidP="000A1754">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000A1754" w:rsidRPr="00241B01">
        <w:rPr>
          <w:rFonts w:eastAsia="Calibri" w:cs="Times New Roman"/>
          <w:color w:val="auto"/>
          <w:szCs w:val="24"/>
        </w:rPr>
        <w:t xml:space="preserve">As discussed above, PEB reliance on the USAPDA pain policy for </w:t>
      </w:r>
      <w:r w:rsidR="000A1754" w:rsidRPr="00B3004F">
        <w:rPr>
          <w:rFonts w:eastAsia="Calibri" w:cs="Times New Roman"/>
          <w:color w:val="auto"/>
          <w:szCs w:val="24"/>
        </w:rPr>
        <w:t>rating the right hip was operant in this case and it was adjudicated independently of that policy by the Board.  In the matter of the right hip condition and IAW VASRD §4.71a, the Board unanimously recommends no change in the PEB adjudication.  In the matter of the contended left shoulder condition, the Board unanimously recommends no change from the PEB determination as not unfitting.  There were no other conditions within the Board’s scope of review for consideration.</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AD2379" w:rsidRDefault="00AD2379" w:rsidP="00B22D42">
      <w:pPr>
        <w:jc w:val="left"/>
        <w:rPr>
          <w:color w:val="000000"/>
        </w:rPr>
      </w:pPr>
      <w:r w:rsidRPr="009A7578">
        <w:rPr>
          <w:color w:val="000000"/>
          <w:u w:val="single"/>
        </w:rPr>
        <w:t>RECOMMENDATION</w:t>
      </w:r>
      <w:r w:rsidRPr="009A7578">
        <w:rPr>
          <w:color w:val="000000"/>
        </w:rPr>
        <w:t>: The</w:t>
      </w:r>
      <w:r w:rsidRPr="001F29F9">
        <w:rPr>
          <w:color w:val="000000"/>
        </w:rPr>
        <w:t xml:space="preserve"> Board, therefore, recommends that there be no recharacterization of the CI’s disability and separation determination, as follows:</w:t>
      </w:r>
    </w:p>
    <w:p w:rsidR="00AD2379" w:rsidRPr="001F29F9" w:rsidRDefault="00AD2379" w:rsidP="00B22D42">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0D5DBE" w:rsidTr="00C42AED">
        <w:trPr>
          <w:trHeight w:val="233"/>
          <w:jc w:val="center"/>
        </w:trPr>
        <w:tc>
          <w:tcPr>
            <w:tcW w:w="6768"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RATING</w:t>
            </w:r>
          </w:p>
        </w:tc>
      </w:tr>
      <w:tr w:rsidR="00AD2379" w:rsidRPr="000D5DBE" w:rsidTr="00C42AED">
        <w:trPr>
          <w:jc w:val="center"/>
        </w:trPr>
        <w:tc>
          <w:tcPr>
            <w:tcW w:w="6768" w:type="dxa"/>
            <w:vAlign w:val="center"/>
          </w:tcPr>
          <w:p w:rsidR="00AD2379" w:rsidRPr="000D5DBE" w:rsidRDefault="00133558" w:rsidP="00BF0E94">
            <w:pPr>
              <w:tabs>
                <w:tab w:val="left" w:pos="288"/>
                <w:tab w:val="left" w:pos="4752"/>
              </w:tabs>
              <w:jc w:val="left"/>
              <w:rPr>
                <w:color w:val="000000"/>
              </w:rPr>
            </w:pPr>
            <w:r>
              <w:rPr>
                <w:color w:val="000000"/>
              </w:rPr>
              <w:t>Chronic Right Hip Pain</w:t>
            </w:r>
          </w:p>
        </w:tc>
        <w:tc>
          <w:tcPr>
            <w:tcW w:w="1530" w:type="dxa"/>
            <w:vAlign w:val="center"/>
          </w:tcPr>
          <w:p w:rsidR="00AD2379" w:rsidRPr="000D5DBE" w:rsidRDefault="00133558" w:rsidP="00BF0E94">
            <w:pPr>
              <w:tabs>
                <w:tab w:val="left" w:pos="288"/>
                <w:tab w:val="left" w:pos="4752"/>
              </w:tabs>
              <w:rPr>
                <w:color w:val="000000"/>
              </w:rPr>
            </w:pPr>
            <w:r>
              <w:rPr>
                <w:color w:val="000000"/>
              </w:rPr>
              <w:t>5099-5003</w:t>
            </w:r>
          </w:p>
        </w:tc>
        <w:tc>
          <w:tcPr>
            <w:tcW w:w="1026" w:type="dxa"/>
            <w:vAlign w:val="center"/>
          </w:tcPr>
          <w:p w:rsidR="00AD2379" w:rsidRPr="000D5DBE" w:rsidRDefault="00133558" w:rsidP="00BF0E94">
            <w:pPr>
              <w:tabs>
                <w:tab w:val="left" w:pos="288"/>
                <w:tab w:val="left" w:pos="4752"/>
              </w:tabs>
              <w:rPr>
                <w:color w:val="000000"/>
              </w:rPr>
            </w:pPr>
            <w:r>
              <w:rPr>
                <w:color w:val="000000"/>
              </w:rPr>
              <w:t>1</w:t>
            </w:r>
            <w:r w:rsidR="00AD2379" w:rsidRPr="000D5DBE">
              <w:rPr>
                <w:color w:val="000000"/>
              </w:rPr>
              <w:t>0%</w:t>
            </w:r>
          </w:p>
        </w:tc>
      </w:tr>
      <w:tr w:rsidR="00AD2379" w:rsidRPr="000D5DBE" w:rsidTr="00C42AED">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COMBINED</w:t>
            </w:r>
          </w:p>
        </w:tc>
        <w:tc>
          <w:tcPr>
            <w:tcW w:w="1026" w:type="dxa"/>
            <w:shd w:val="clear" w:color="auto" w:fill="D9D9D9"/>
            <w:vAlign w:val="center"/>
          </w:tcPr>
          <w:p w:rsidR="00AD2379" w:rsidRPr="000D5DBE" w:rsidRDefault="00133558" w:rsidP="00BF0E94">
            <w:pPr>
              <w:tabs>
                <w:tab w:val="left" w:pos="288"/>
                <w:tab w:val="left" w:pos="4752"/>
              </w:tabs>
              <w:rPr>
                <w:b/>
                <w:color w:val="000000"/>
              </w:rPr>
            </w:pPr>
            <w:r>
              <w:rPr>
                <w:b/>
                <w:color w:val="000000"/>
              </w:rPr>
              <w:t>1</w:t>
            </w:r>
            <w:r w:rsidR="00AD2379" w:rsidRPr="000D5DBE">
              <w:rPr>
                <w:b/>
                <w:color w:val="000000"/>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dated </w:t>
      </w:r>
      <w:r w:rsidR="00AA6DBF" w:rsidRPr="00B63411">
        <w:rPr>
          <w:color w:val="auto"/>
        </w:rPr>
        <w:t>20110919</w:t>
      </w:r>
      <w:r w:rsidRPr="001F29F9">
        <w:rPr>
          <w:color w:val="000000"/>
        </w:rPr>
        <w:t>, w/atchs.</w:t>
      </w:r>
    </w:p>
    <w:p w:rsidR="00AD2379" w:rsidRPr="001F29F9" w:rsidRDefault="00AD2379" w:rsidP="005144A7">
      <w:pPr>
        <w:tabs>
          <w:tab w:val="left" w:pos="288"/>
          <w:tab w:val="left" w:pos="4752"/>
        </w:tabs>
        <w:jc w:val="both"/>
        <w:rPr>
          <w:color w:val="000000"/>
        </w:rPr>
      </w:pPr>
      <w:r w:rsidRPr="001F29F9">
        <w:rPr>
          <w:color w:val="000000"/>
        </w:rPr>
        <w:t>Exhibit B.  Service Treatment Record.</w:t>
      </w:r>
    </w:p>
    <w:p w:rsidR="00AD2379" w:rsidRPr="001F29F9" w:rsidRDefault="00AD2379" w:rsidP="005144A7">
      <w:pPr>
        <w:tabs>
          <w:tab w:val="left" w:pos="288"/>
          <w:tab w:val="left" w:pos="4752"/>
        </w:tabs>
        <w:jc w:val="both"/>
        <w:rPr>
          <w:color w:val="000000"/>
        </w:rPr>
      </w:pPr>
      <w:r w:rsidRPr="001F29F9">
        <w:rPr>
          <w:color w:val="000000"/>
        </w:rPr>
        <w:t xml:space="preserve">Exhibit C.  </w:t>
      </w:r>
      <w:proofErr w:type="gramStart"/>
      <w:r w:rsidRPr="001F29F9">
        <w:rPr>
          <w:color w:val="000000"/>
        </w:rPr>
        <w:t>Department of Veterans</w:t>
      </w:r>
      <w:r w:rsidR="00A50E16">
        <w:rPr>
          <w:color w:val="000000"/>
        </w:rPr>
        <w:t>’</w:t>
      </w:r>
      <w:r w:rsidRPr="001F29F9">
        <w:rPr>
          <w:color w:val="000000"/>
        </w:rPr>
        <w:t xml:space="preserve"> Affairs Treatment Record.</w:t>
      </w:r>
      <w:proofErr w:type="gramEnd"/>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41326D">
        <w:rPr>
          <w:color w:val="000000"/>
        </w:rPr>
        <w:t>XXXXXXXXXXXXXXXX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AE40FF" w:rsidRPr="00AE40FF" w:rsidRDefault="00AD2379" w:rsidP="00B3004F">
      <w:pPr>
        <w:tabs>
          <w:tab w:val="left" w:pos="0"/>
          <w:tab w:val="left" w:pos="4320"/>
        </w:tabs>
        <w:jc w:val="both"/>
        <w:rPr>
          <w:rFonts w:ascii="Janson Text" w:hAnsi="Janson Text" w:cs="Times New Roman"/>
          <w:color w:val="auto"/>
          <w:szCs w:val="24"/>
        </w:rPr>
      </w:pPr>
      <w:r w:rsidRPr="001F29F9">
        <w:rPr>
          <w:color w:val="000000"/>
        </w:rPr>
        <w:tab/>
        <w:t xml:space="preserve">           Physical Disability Board of Review</w:t>
      </w:r>
    </w:p>
    <w:p w:rsidR="0041326D" w:rsidRDefault="0041326D" w:rsidP="006235F5">
      <w:pPr>
        <w:tabs>
          <w:tab w:val="left" w:pos="288"/>
          <w:tab w:val="left" w:pos="4752"/>
        </w:tabs>
        <w:jc w:val="both"/>
        <w:rPr>
          <w:rFonts w:eastAsia="Calibri" w:cs="Times New Roman"/>
          <w:color w:val="auto"/>
          <w:szCs w:val="24"/>
        </w:rPr>
      </w:pPr>
    </w:p>
    <w:p w:rsidR="0041326D" w:rsidRDefault="0041326D">
      <w:pPr>
        <w:spacing w:line="240" w:lineRule="auto"/>
        <w:jc w:val="left"/>
        <w:rPr>
          <w:rFonts w:eastAsia="Calibri" w:cs="Times New Roman"/>
          <w:color w:val="auto"/>
          <w:szCs w:val="24"/>
        </w:rPr>
      </w:pPr>
      <w:r>
        <w:rPr>
          <w:rFonts w:eastAsia="Calibri" w:cs="Times New Roman"/>
          <w:color w:val="auto"/>
          <w:szCs w:val="24"/>
        </w:rPr>
        <w:br w:type="page"/>
      </w:r>
    </w:p>
    <w:p w:rsidR="0041326D" w:rsidRDefault="0041326D" w:rsidP="0041326D">
      <w:pPr>
        <w:pStyle w:val="Header"/>
        <w:tabs>
          <w:tab w:val="left" w:pos="720"/>
        </w:tabs>
        <w:jc w:val="left"/>
      </w:pPr>
      <w:r>
        <w:lastRenderedPageBreak/>
        <w:t>SFMR-RB</w:t>
      </w:r>
      <w:r>
        <w:tab/>
      </w:r>
      <w:r>
        <w:tab/>
      </w:r>
      <w:r>
        <w:tab/>
      </w:r>
      <w:r>
        <w:tab/>
      </w:r>
      <w:r>
        <w:tab/>
      </w:r>
      <w:r>
        <w:tab/>
      </w:r>
      <w:r>
        <w:tab/>
      </w:r>
      <w:r>
        <w:tab/>
      </w:r>
      <w:r>
        <w:tab/>
      </w:r>
    </w:p>
    <w:p w:rsidR="0041326D" w:rsidRDefault="0041326D" w:rsidP="0041326D">
      <w:pPr>
        <w:pStyle w:val="Header"/>
        <w:tabs>
          <w:tab w:val="left" w:pos="720"/>
        </w:tabs>
        <w:jc w:val="left"/>
      </w:pPr>
    </w:p>
    <w:p w:rsidR="0041326D" w:rsidRDefault="0041326D" w:rsidP="0041326D">
      <w:pPr>
        <w:jc w:val="left"/>
      </w:pPr>
    </w:p>
    <w:p w:rsidR="0041326D" w:rsidRDefault="0041326D" w:rsidP="0041326D">
      <w:pPr>
        <w:jc w:val="left"/>
      </w:pPr>
      <w:r>
        <w:t xml:space="preserve">MEMORANDUM FOR Commander, US Army Physical Disability Agency </w:t>
      </w:r>
    </w:p>
    <w:p w:rsidR="0041326D" w:rsidRDefault="0041326D" w:rsidP="0041326D">
      <w:pPr>
        <w:jc w:val="left"/>
      </w:pPr>
      <w:r>
        <w:t xml:space="preserve">(TAPD-ZB </w:t>
      </w:r>
      <w:proofErr w:type="gramStart"/>
      <w:r>
        <w:t>/  )</w:t>
      </w:r>
      <w:proofErr w:type="gramEnd"/>
      <w:r>
        <w:t>, 2900 Crystal Drive, Suite 300, Arlington, VA 22202</w:t>
      </w:r>
    </w:p>
    <w:p w:rsidR="0041326D" w:rsidRDefault="0041326D" w:rsidP="0041326D">
      <w:pPr>
        <w:jc w:val="left"/>
      </w:pPr>
    </w:p>
    <w:p w:rsidR="0041326D" w:rsidRDefault="0041326D" w:rsidP="0041326D">
      <w:pPr>
        <w:ind w:right="-180"/>
        <w:jc w:val="left"/>
      </w:pPr>
      <w:r>
        <w:t>SUBJECT:  Department of Defense Physical Disability Board of Review Recommendation for XXXXXXXXXXXXXXXXXXXXXX, AR20120017700 (PD201100870)</w:t>
      </w:r>
    </w:p>
    <w:p w:rsidR="0041326D" w:rsidRDefault="0041326D" w:rsidP="0041326D">
      <w:pPr>
        <w:pStyle w:val="Header"/>
        <w:tabs>
          <w:tab w:val="left" w:pos="720"/>
        </w:tabs>
        <w:jc w:val="left"/>
      </w:pPr>
    </w:p>
    <w:p w:rsidR="0041326D" w:rsidRDefault="0041326D" w:rsidP="0041326D">
      <w:pPr>
        <w:jc w:val="left"/>
      </w:pPr>
    </w:p>
    <w:p w:rsidR="0041326D" w:rsidRDefault="0041326D" w:rsidP="0041326D">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41326D" w:rsidRDefault="0041326D" w:rsidP="0041326D">
      <w:pPr>
        <w:jc w:val="left"/>
      </w:pPr>
      <w:r>
        <w:t>This decision is final.  The individual concerned, counsel (if any), and any Members of Congress who have shown interest in this application have been notified of this decision by mail.</w:t>
      </w:r>
    </w:p>
    <w:p w:rsidR="0041326D" w:rsidRDefault="0041326D" w:rsidP="0041326D">
      <w:pPr>
        <w:jc w:val="left"/>
      </w:pPr>
    </w:p>
    <w:p w:rsidR="0041326D" w:rsidRDefault="0041326D" w:rsidP="0041326D">
      <w:pPr>
        <w:jc w:val="left"/>
      </w:pPr>
      <w:r>
        <w:t>BY ORDER OF THE SECRETARY OF THE ARMY:</w:t>
      </w:r>
    </w:p>
    <w:p w:rsidR="0041326D" w:rsidRDefault="0041326D" w:rsidP="0041326D">
      <w:pPr>
        <w:jc w:val="left"/>
      </w:pPr>
    </w:p>
    <w:p w:rsidR="0041326D" w:rsidRDefault="0041326D" w:rsidP="0041326D">
      <w:pPr>
        <w:jc w:val="left"/>
      </w:pPr>
    </w:p>
    <w:p w:rsidR="0041326D" w:rsidRDefault="0041326D" w:rsidP="0041326D">
      <w:pPr>
        <w:pStyle w:val="Header"/>
        <w:tabs>
          <w:tab w:val="left" w:pos="720"/>
        </w:tabs>
        <w:jc w:val="left"/>
      </w:pPr>
    </w:p>
    <w:p w:rsidR="0041326D" w:rsidRDefault="0041326D" w:rsidP="0041326D">
      <w:pPr>
        <w:jc w:val="left"/>
      </w:pPr>
    </w:p>
    <w:p w:rsidR="0041326D" w:rsidRDefault="0041326D" w:rsidP="0041326D">
      <w:pPr>
        <w:jc w:val="left"/>
      </w:pPr>
      <w:bookmarkStart w:id="1" w:name="OLE_LINK4"/>
      <w:bookmarkStart w:id="2" w:name="OLE_LINK3"/>
      <w:r>
        <w:t>Encl</w:t>
      </w:r>
      <w:r>
        <w:tab/>
      </w:r>
      <w:r>
        <w:tab/>
      </w:r>
      <w:r>
        <w:tab/>
      </w:r>
      <w:r>
        <w:tab/>
      </w:r>
      <w:r>
        <w:tab/>
      </w:r>
      <w:r>
        <w:tab/>
        <w:t xml:space="preserve">     XXXXXXXXXXXXXXXXXXXXX</w:t>
      </w:r>
    </w:p>
    <w:p w:rsidR="0041326D" w:rsidRDefault="0041326D" w:rsidP="0041326D">
      <w:pPr>
        <w:jc w:val="left"/>
      </w:pPr>
      <w:r>
        <w:tab/>
      </w:r>
      <w:r>
        <w:tab/>
      </w:r>
      <w:r>
        <w:tab/>
      </w:r>
      <w:r>
        <w:tab/>
      </w:r>
      <w:r>
        <w:tab/>
      </w:r>
      <w:r>
        <w:tab/>
        <w:t xml:space="preserve">     Deputy Assistant Secretary</w:t>
      </w:r>
    </w:p>
    <w:p w:rsidR="0041326D" w:rsidRDefault="0041326D" w:rsidP="0041326D">
      <w:pPr>
        <w:jc w:val="left"/>
      </w:pPr>
      <w:r>
        <w:tab/>
      </w:r>
      <w:r>
        <w:tab/>
      </w:r>
      <w:r>
        <w:tab/>
      </w:r>
      <w:r>
        <w:tab/>
      </w:r>
      <w:r>
        <w:tab/>
      </w:r>
      <w:r>
        <w:tab/>
        <w:t xml:space="preserve">         (Army Review Boards)</w:t>
      </w:r>
      <w:bookmarkEnd w:id="1"/>
      <w:bookmarkEnd w:id="2"/>
    </w:p>
    <w:p w:rsidR="0041326D" w:rsidRDefault="0041326D" w:rsidP="0041326D">
      <w:pPr>
        <w:jc w:val="left"/>
      </w:pPr>
    </w:p>
    <w:p w:rsidR="0041326D" w:rsidRDefault="0041326D" w:rsidP="0041326D">
      <w:pPr>
        <w:jc w:val="left"/>
      </w:pPr>
      <w:r>
        <w:t xml:space="preserve">CF: </w:t>
      </w:r>
    </w:p>
    <w:p w:rsidR="0041326D" w:rsidRDefault="0041326D" w:rsidP="0041326D">
      <w:pPr>
        <w:jc w:val="left"/>
      </w:pPr>
      <w:r>
        <w:t xml:space="preserve">(  ) </w:t>
      </w:r>
      <w:proofErr w:type="spellStart"/>
      <w:proofErr w:type="gramStart"/>
      <w:r>
        <w:t>DoD</w:t>
      </w:r>
      <w:proofErr w:type="spellEnd"/>
      <w:proofErr w:type="gramEnd"/>
      <w:r>
        <w:t xml:space="preserve"> PDBR</w:t>
      </w:r>
    </w:p>
    <w:p w:rsidR="0041326D" w:rsidRDefault="0041326D" w:rsidP="0041326D">
      <w:pPr>
        <w:jc w:val="left"/>
      </w:pPr>
      <w:r>
        <w:t>(  ) DVA</w:t>
      </w:r>
    </w:p>
    <w:p w:rsidR="0041326D" w:rsidRDefault="0041326D" w:rsidP="0041326D">
      <w:pPr>
        <w:jc w:val="left"/>
      </w:pPr>
    </w:p>
    <w:p w:rsidR="00FE7EB9" w:rsidRPr="006235F5" w:rsidRDefault="00FE7EB9" w:rsidP="0041326D">
      <w:pPr>
        <w:tabs>
          <w:tab w:val="left" w:pos="288"/>
          <w:tab w:val="left" w:pos="4752"/>
        </w:tabs>
        <w:jc w:val="left"/>
        <w:rPr>
          <w:rFonts w:eastAsia="Calibri" w:cs="Times New Roman"/>
          <w:color w:val="auto"/>
          <w:szCs w:val="24"/>
        </w:rPr>
      </w:pPr>
    </w:p>
    <w:sectPr w:rsidR="00FE7EB9" w:rsidRPr="006235F5"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959" w:rsidRDefault="00FD3959">
      <w:r>
        <w:separator/>
      </w:r>
    </w:p>
  </w:endnote>
  <w:endnote w:type="continuationSeparator" w:id="0">
    <w:p w:rsidR="00FD3959" w:rsidRDefault="00FD39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Janson Text">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Default="00AD2379" w:rsidP="00726F84">
    <w:pPr>
      <w:pStyle w:val="Footer"/>
      <w:ind w:firstLine="4320"/>
      <w:rPr>
        <w:color w:val="auto"/>
      </w:rPr>
    </w:pPr>
    <w:r w:rsidRPr="00374247">
      <w:rPr>
        <w:color w:val="auto"/>
      </w:rPr>
      <w:t xml:space="preserve">   </w:t>
    </w:r>
    <w:r w:rsidR="001D1AD6" w:rsidRPr="001D1AD6">
      <w:fldChar w:fldCharType="begin"/>
    </w:r>
    <w:r w:rsidR="00FD3959">
      <w:instrText xml:space="preserve"> PAGE   \* MERGEFORMAT </w:instrText>
    </w:r>
    <w:r w:rsidR="001D1AD6" w:rsidRPr="001D1AD6">
      <w:fldChar w:fldCharType="separate"/>
    </w:r>
    <w:r w:rsidR="0041326D" w:rsidRPr="0041326D">
      <w:rPr>
        <w:noProof/>
        <w:color w:val="auto"/>
      </w:rPr>
      <w:t>5</w:t>
    </w:r>
    <w:r w:rsidR="001D1AD6">
      <w:rPr>
        <w:noProof/>
        <w:color w:val="auto"/>
      </w:rPr>
      <w:fldChar w:fldCharType="end"/>
    </w:r>
    <w:r w:rsidRPr="00374247">
      <w:rPr>
        <w:color w:val="auto"/>
      </w:rPr>
      <w:t xml:space="preserve">                                                           </w:t>
    </w:r>
    <w:r w:rsidRPr="001D64F3">
      <w:rPr>
        <w:color w:val="auto"/>
      </w:rPr>
      <w:t>PD1</w:t>
    </w:r>
    <w:r w:rsidRPr="009369A6">
      <w:rPr>
        <w:color w:val="auto"/>
      </w:rPr>
      <w:t>100</w:t>
    </w:r>
    <w:r w:rsidR="00AA6DBF">
      <w:rPr>
        <w:color w:val="auto"/>
      </w:rPr>
      <w:t>870</w:t>
    </w:r>
  </w:p>
  <w:p w:rsidR="00AA6DBF" w:rsidRPr="00374247" w:rsidRDefault="00AA6DBF" w:rsidP="00726F84">
    <w:pPr>
      <w:pStyle w:val="Footer"/>
      <w:ind w:firstLine="4320"/>
      <w:rPr>
        <w:color w:val="auto"/>
      </w:rPr>
    </w:pPr>
  </w:p>
  <w:p w:rsidR="00AD2379" w:rsidRPr="00684CE6" w:rsidRDefault="00AD237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959" w:rsidRDefault="00FD3959">
      <w:r>
        <w:separator/>
      </w:r>
    </w:p>
  </w:footnote>
  <w:footnote w:type="continuationSeparator" w:id="0">
    <w:p w:rsidR="00FD3959" w:rsidRDefault="00FD3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85A"/>
    <w:rsid w:val="00024DE7"/>
    <w:rsid w:val="00026092"/>
    <w:rsid w:val="0002667F"/>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FFD"/>
    <w:rsid w:val="00061D69"/>
    <w:rsid w:val="0006431E"/>
    <w:rsid w:val="000652EA"/>
    <w:rsid w:val="00065E21"/>
    <w:rsid w:val="000673ED"/>
    <w:rsid w:val="00067854"/>
    <w:rsid w:val="00070DED"/>
    <w:rsid w:val="00071071"/>
    <w:rsid w:val="00071C1B"/>
    <w:rsid w:val="00072433"/>
    <w:rsid w:val="00072B3E"/>
    <w:rsid w:val="0007488B"/>
    <w:rsid w:val="00075702"/>
    <w:rsid w:val="00075A0C"/>
    <w:rsid w:val="000775C2"/>
    <w:rsid w:val="00077835"/>
    <w:rsid w:val="000801EF"/>
    <w:rsid w:val="000806AD"/>
    <w:rsid w:val="00080BDF"/>
    <w:rsid w:val="00080C57"/>
    <w:rsid w:val="00082482"/>
    <w:rsid w:val="00082CA0"/>
    <w:rsid w:val="00083F73"/>
    <w:rsid w:val="00084CF2"/>
    <w:rsid w:val="00085D7B"/>
    <w:rsid w:val="0008708B"/>
    <w:rsid w:val="00092619"/>
    <w:rsid w:val="00092C66"/>
    <w:rsid w:val="00092CC9"/>
    <w:rsid w:val="000949DD"/>
    <w:rsid w:val="00094E4F"/>
    <w:rsid w:val="00097B9B"/>
    <w:rsid w:val="000A1754"/>
    <w:rsid w:val="000A2BCE"/>
    <w:rsid w:val="000A2C70"/>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AA1"/>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7181"/>
    <w:rsid w:val="000F7581"/>
    <w:rsid w:val="000F7C8B"/>
    <w:rsid w:val="001007CE"/>
    <w:rsid w:val="001008C1"/>
    <w:rsid w:val="001023DB"/>
    <w:rsid w:val="00102780"/>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16391"/>
    <w:rsid w:val="0011733D"/>
    <w:rsid w:val="001211AF"/>
    <w:rsid w:val="001215DF"/>
    <w:rsid w:val="001219DF"/>
    <w:rsid w:val="0012220B"/>
    <w:rsid w:val="00122ABE"/>
    <w:rsid w:val="001231DC"/>
    <w:rsid w:val="0012453A"/>
    <w:rsid w:val="0012489B"/>
    <w:rsid w:val="00126249"/>
    <w:rsid w:val="001272AE"/>
    <w:rsid w:val="00130756"/>
    <w:rsid w:val="001315DD"/>
    <w:rsid w:val="00133558"/>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41C5"/>
    <w:rsid w:val="001554E4"/>
    <w:rsid w:val="00155964"/>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77E67"/>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8A3"/>
    <w:rsid w:val="001A025E"/>
    <w:rsid w:val="001A08CD"/>
    <w:rsid w:val="001A0A1E"/>
    <w:rsid w:val="001A2182"/>
    <w:rsid w:val="001A323E"/>
    <w:rsid w:val="001A3A20"/>
    <w:rsid w:val="001A5320"/>
    <w:rsid w:val="001A5E62"/>
    <w:rsid w:val="001A6848"/>
    <w:rsid w:val="001A7538"/>
    <w:rsid w:val="001B06FB"/>
    <w:rsid w:val="001B0B1A"/>
    <w:rsid w:val="001B20E6"/>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1AD6"/>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E6A77"/>
    <w:rsid w:val="001F0297"/>
    <w:rsid w:val="001F0A22"/>
    <w:rsid w:val="001F29F9"/>
    <w:rsid w:val="001F6E0B"/>
    <w:rsid w:val="00200AA0"/>
    <w:rsid w:val="00202325"/>
    <w:rsid w:val="00202459"/>
    <w:rsid w:val="00202736"/>
    <w:rsid w:val="00202D1C"/>
    <w:rsid w:val="00202D61"/>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6C14"/>
    <w:rsid w:val="00217606"/>
    <w:rsid w:val="002178AE"/>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7DD"/>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871"/>
    <w:rsid w:val="002722F2"/>
    <w:rsid w:val="00274549"/>
    <w:rsid w:val="00274E46"/>
    <w:rsid w:val="002752AE"/>
    <w:rsid w:val="00275AFD"/>
    <w:rsid w:val="002769AF"/>
    <w:rsid w:val="00276C86"/>
    <w:rsid w:val="00276FD0"/>
    <w:rsid w:val="00277217"/>
    <w:rsid w:val="00280977"/>
    <w:rsid w:val="002810A4"/>
    <w:rsid w:val="0028261C"/>
    <w:rsid w:val="00282DB6"/>
    <w:rsid w:val="002833E3"/>
    <w:rsid w:val="00284A26"/>
    <w:rsid w:val="00285095"/>
    <w:rsid w:val="00287006"/>
    <w:rsid w:val="00287122"/>
    <w:rsid w:val="0029030A"/>
    <w:rsid w:val="00292397"/>
    <w:rsid w:val="00292AB2"/>
    <w:rsid w:val="00292B82"/>
    <w:rsid w:val="00293DB6"/>
    <w:rsid w:val="00293FE8"/>
    <w:rsid w:val="00294437"/>
    <w:rsid w:val="0029513D"/>
    <w:rsid w:val="0029592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43C"/>
    <w:rsid w:val="002D7787"/>
    <w:rsid w:val="002D7DF2"/>
    <w:rsid w:val="002E058C"/>
    <w:rsid w:val="002E0AF7"/>
    <w:rsid w:val="002E1877"/>
    <w:rsid w:val="002E1C31"/>
    <w:rsid w:val="002E2E0F"/>
    <w:rsid w:val="002E333A"/>
    <w:rsid w:val="002E3474"/>
    <w:rsid w:val="002E35D2"/>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46F5"/>
    <w:rsid w:val="003258A7"/>
    <w:rsid w:val="00325BA2"/>
    <w:rsid w:val="003262BD"/>
    <w:rsid w:val="00326798"/>
    <w:rsid w:val="00326B1C"/>
    <w:rsid w:val="00326C08"/>
    <w:rsid w:val="00326F7F"/>
    <w:rsid w:val="00327616"/>
    <w:rsid w:val="00330311"/>
    <w:rsid w:val="00330D55"/>
    <w:rsid w:val="00331C13"/>
    <w:rsid w:val="003320E8"/>
    <w:rsid w:val="0033238E"/>
    <w:rsid w:val="003328FD"/>
    <w:rsid w:val="00332BDE"/>
    <w:rsid w:val="00332DE3"/>
    <w:rsid w:val="0033334F"/>
    <w:rsid w:val="003338A4"/>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12"/>
    <w:rsid w:val="0036319E"/>
    <w:rsid w:val="003632A4"/>
    <w:rsid w:val="00363362"/>
    <w:rsid w:val="0036392A"/>
    <w:rsid w:val="00364CAB"/>
    <w:rsid w:val="00365384"/>
    <w:rsid w:val="00365767"/>
    <w:rsid w:val="003659C0"/>
    <w:rsid w:val="003660DF"/>
    <w:rsid w:val="003674A9"/>
    <w:rsid w:val="00367D4F"/>
    <w:rsid w:val="00370743"/>
    <w:rsid w:val="00370EF5"/>
    <w:rsid w:val="0037135B"/>
    <w:rsid w:val="003718CD"/>
    <w:rsid w:val="00372251"/>
    <w:rsid w:val="00373F64"/>
    <w:rsid w:val="00374247"/>
    <w:rsid w:val="0037475E"/>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6FCD"/>
    <w:rsid w:val="003A76AB"/>
    <w:rsid w:val="003A7FF8"/>
    <w:rsid w:val="003B17AC"/>
    <w:rsid w:val="003B2143"/>
    <w:rsid w:val="003B227A"/>
    <w:rsid w:val="003B2284"/>
    <w:rsid w:val="003B3A77"/>
    <w:rsid w:val="003B4319"/>
    <w:rsid w:val="003B5854"/>
    <w:rsid w:val="003B6764"/>
    <w:rsid w:val="003B7A8B"/>
    <w:rsid w:val="003C07BF"/>
    <w:rsid w:val="003C247E"/>
    <w:rsid w:val="003C294B"/>
    <w:rsid w:val="003C34DF"/>
    <w:rsid w:val="003C5046"/>
    <w:rsid w:val="003C53E8"/>
    <w:rsid w:val="003C5B54"/>
    <w:rsid w:val="003C6068"/>
    <w:rsid w:val="003C7AEC"/>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2EC6"/>
    <w:rsid w:val="003E31E3"/>
    <w:rsid w:val="003E3E93"/>
    <w:rsid w:val="003E46D1"/>
    <w:rsid w:val="003E4FD7"/>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2ACF"/>
    <w:rsid w:val="00403BFB"/>
    <w:rsid w:val="00404B45"/>
    <w:rsid w:val="00405BCF"/>
    <w:rsid w:val="004068E0"/>
    <w:rsid w:val="00406CC5"/>
    <w:rsid w:val="00406FCA"/>
    <w:rsid w:val="0040717F"/>
    <w:rsid w:val="004074A4"/>
    <w:rsid w:val="004101B2"/>
    <w:rsid w:val="00410516"/>
    <w:rsid w:val="004123D7"/>
    <w:rsid w:val="00412658"/>
    <w:rsid w:val="004129DA"/>
    <w:rsid w:val="0041326D"/>
    <w:rsid w:val="00415EA4"/>
    <w:rsid w:val="0041604B"/>
    <w:rsid w:val="004172DB"/>
    <w:rsid w:val="004174F0"/>
    <w:rsid w:val="00417819"/>
    <w:rsid w:val="0041792D"/>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71F"/>
    <w:rsid w:val="00466BBA"/>
    <w:rsid w:val="00466CED"/>
    <w:rsid w:val="00466EB5"/>
    <w:rsid w:val="00467592"/>
    <w:rsid w:val="00467690"/>
    <w:rsid w:val="00467A14"/>
    <w:rsid w:val="004718E7"/>
    <w:rsid w:val="00472289"/>
    <w:rsid w:val="00472535"/>
    <w:rsid w:val="004761CC"/>
    <w:rsid w:val="00476229"/>
    <w:rsid w:val="004766C9"/>
    <w:rsid w:val="00480CFC"/>
    <w:rsid w:val="00480D4A"/>
    <w:rsid w:val="00481DA1"/>
    <w:rsid w:val="00482B19"/>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BFF"/>
    <w:rsid w:val="004A0C79"/>
    <w:rsid w:val="004A24D2"/>
    <w:rsid w:val="004A2728"/>
    <w:rsid w:val="004A3214"/>
    <w:rsid w:val="004A4136"/>
    <w:rsid w:val="004A417B"/>
    <w:rsid w:val="004A4378"/>
    <w:rsid w:val="004A712D"/>
    <w:rsid w:val="004A7C03"/>
    <w:rsid w:val="004B03F3"/>
    <w:rsid w:val="004B0CC9"/>
    <w:rsid w:val="004B1434"/>
    <w:rsid w:val="004B1C61"/>
    <w:rsid w:val="004B209F"/>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2BE5"/>
    <w:rsid w:val="004D362B"/>
    <w:rsid w:val="004D3C7F"/>
    <w:rsid w:val="004D42CB"/>
    <w:rsid w:val="004D4A0C"/>
    <w:rsid w:val="004D55D3"/>
    <w:rsid w:val="004D5D82"/>
    <w:rsid w:val="004D6E90"/>
    <w:rsid w:val="004D6F2B"/>
    <w:rsid w:val="004E0248"/>
    <w:rsid w:val="004E21A3"/>
    <w:rsid w:val="004E32EA"/>
    <w:rsid w:val="004E3517"/>
    <w:rsid w:val="004E3656"/>
    <w:rsid w:val="004E6866"/>
    <w:rsid w:val="004F0C58"/>
    <w:rsid w:val="004F10EB"/>
    <w:rsid w:val="004F2B85"/>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3488"/>
    <w:rsid w:val="00523A8B"/>
    <w:rsid w:val="00523E04"/>
    <w:rsid w:val="00524D3A"/>
    <w:rsid w:val="00525003"/>
    <w:rsid w:val="0052590B"/>
    <w:rsid w:val="0052592B"/>
    <w:rsid w:val="00525C7A"/>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2F7"/>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6718"/>
    <w:rsid w:val="0058039C"/>
    <w:rsid w:val="00580A63"/>
    <w:rsid w:val="005830B1"/>
    <w:rsid w:val="00583379"/>
    <w:rsid w:val="0058417C"/>
    <w:rsid w:val="005854F9"/>
    <w:rsid w:val="00586EC6"/>
    <w:rsid w:val="00587DDE"/>
    <w:rsid w:val="00593043"/>
    <w:rsid w:val="00595B60"/>
    <w:rsid w:val="00595B63"/>
    <w:rsid w:val="00595BF0"/>
    <w:rsid w:val="00595FA9"/>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1D67"/>
    <w:rsid w:val="005E224F"/>
    <w:rsid w:val="005E3064"/>
    <w:rsid w:val="005E54DC"/>
    <w:rsid w:val="005E5E9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0D3"/>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0393"/>
    <w:rsid w:val="006211D0"/>
    <w:rsid w:val="00621595"/>
    <w:rsid w:val="0062359D"/>
    <w:rsid w:val="006235F5"/>
    <w:rsid w:val="00623634"/>
    <w:rsid w:val="00624740"/>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74E"/>
    <w:rsid w:val="00655CCC"/>
    <w:rsid w:val="006560B6"/>
    <w:rsid w:val="0065689C"/>
    <w:rsid w:val="0065726D"/>
    <w:rsid w:val="006573F2"/>
    <w:rsid w:val="00661BA2"/>
    <w:rsid w:val="006628CB"/>
    <w:rsid w:val="00662AD0"/>
    <w:rsid w:val="00662B65"/>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486"/>
    <w:rsid w:val="006833A7"/>
    <w:rsid w:val="00684CA2"/>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5DA"/>
    <w:rsid w:val="0069687C"/>
    <w:rsid w:val="00696C74"/>
    <w:rsid w:val="00697C9B"/>
    <w:rsid w:val="006A10FA"/>
    <w:rsid w:val="006A12E0"/>
    <w:rsid w:val="006A3D6C"/>
    <w:rsid w:val="006A40E6"/>
    <w:rsid w:val="006A516B"/>
    <w:rsid w:val="006A5362"/>
    <w:rsid w:val="006A543A"/>
    <w:rsid w:val="006A5C07"/>
    <w:rsid w:val="006A714F"/>
    <w:rsid w:val="006A75FA"/>
    <w:rsid w:val="006B07D5"/>
    <w:rsid w:val="006B1309"/>
    <w:rsid w:val="006B1884"/>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3C98"/>
    <w:rsid w:val="006C6AB1"/>
    <w:rsid w:val="006C6E6B"/>
    <w:rsid w:val="006C714C"/>
    <w:rsid w:val="006C72A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E7AFC"/>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6D85"/>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D21"/>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8767D"/>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B72"/>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20F3"/>
    <w:rsid w:val="008137BD"/>
    <w:rsid w:val="00813C51"/>
    <w:rsid w:val="008165D5"/>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170"/>
    <w:rsid w:val="00833418"/>
    <w:rsid w:val="0083387F"/>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1FF7"/>
    <w:rsid w:val="0085206E"/>
    <w:rsid w:val="00852273"/>
    <w:rsid w:val="0085293D"/>
    <w:rsid w:val="00852AD4"/>
    <w:rsid w:val="00852BA8"/>
    <w:rsid w:val="00852BF0"/>
    <w:rsid w:val="008530E3"/>
    <w:rsid w:val="00853718"/>
    <w:rsid w:val="008541EF"/>
    <w:rsid w:val="0085485F"/>
    <w:rsid w:val="008551C5"/>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67CC2"/>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4D03"/>
    <w:rsid w:val="008B515D"/>
    <w:rsid w:val="008B5D31"/>
    <w:rsid w:val="008B6705"/>
    <w:rsid w:val="008C22F3"/>
    <w:rsid w:val="008C3223"/>
    <w:rsid w:val="008C3FD0"/>
    <w:rsid w:val="008C4F01"/>
    <w:rsid w:val="008C5152"/>
    <w:rsid w:val="008C710E"/>
    <w:rsid w:val="008D1484"/>
    <w:rsid w:val="008D29E7"/>
    <w:rsid w:val="008D2FBA"/>
    <w:rsid w:val="008D4D73"/>
    <w:rsid w:val="008D5104"/>
    <w:rsid w:val="008D6D2D"/>
    <w:rsid w:val="008D75F4"/>
    <w:rsid w:val="008D795D"/>
    <w:rsid w:val="008D7B07"/>
    <w:rsid w:val="008E0D8F"/>
    <w:rsid w:val="008E0F4E"/>
    <w:rsid w:val="008E1E94"/>
    <w:rsid w:val="008E2D99"/>
    <w:rsid w:val="008E30D4"/>
    <w:rsid w:val="008E38B0"/>
    <w:rsid w:val="008E3C90"/>
    <w:rsid w:val="008E4A60"/>
    <w:rsid w:val="008E744D"/>
    <w:rsid w:val="008F1E08"/>
    <w:rsid w:val="008F2E41"/>
    <w:rsid w:val="008F30F4"/>
    <w:rsid w:val="008F58E1"/>
    <w:rsid w:val="008F6E05"/>
    <w:rsid w:val="008F6FC8"/>
    <w:rsid w:val="009001FA"/>
    <w:rsid w:val="0090045D"/>
    <w:rsid w:val="00900906"/>
    <w:rsid w:val="00900D8F"/>
    <w:rsid w:val="00901229"/>
    <w:rsid w:val="009014E3"/>
    <w:rsid w:val="009020ED"/>
    <w:rsid w:val="009026E8"/>
    <w:rsid w:val="00902FDD"/>
    <w:rsid w:val="0090583D"/>
    <w:rsid w:val="00905EEF"/>
    <w:rsid w:val="00906EB7"/>
    <w:rsid w:val="0090720E"/>
    <w:rsid w:val="00907FE6"/>
    <w:rsid w:val="009102BF"/>
    <w:rsid w:val="00911490"/>
    <w:rsid w:val="009115F2"/>
    <w:rsid w:val="00911B11"/>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69B1"/>
    <w:rsid w:val="009576BC"/>
    <w:rsid w:val="00957899"/>
    <w:rsid w:val="00957927"/>
    <w:rsid w:val="00960357"/>
    <w:rsid w:val="0096091B"/>
    <w:rsid w:val="00960ED5"/>
    <w:rsid w:val="0096168C"/>
    <w:rsid w:val="00961840"/>
    <w:rsid w:val="009625E3"/>
    <w:rsid w:val="00962F2D"/>
    <w:rsid w:val="00963A7A"/>
    <w:rsid w:val="009672CD"/>
    <w:rsid w:val="00971810"/>
    <w:rsid w:val="00972996"/>
    <w:rsid w:val="009730B4"/>
    <w:rsid w:val="0097320E"/>
    <w:rsid w:val="009732B8"/>
    <w:rsid w:val="0097438A"/>
    <w:rsid w:val="00974647"/>
    <w:rsid w:val="0097514A"/>
    <w:rsid w:val="009754C8"/>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E4D"/>
    <w:rsid w:val="00986FCC"/>
    <w:rsid w:val="0098733B"/>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4963"/>
    <w:rsid w:val="009B4A3B"/>
    <w:rsid w:val="009B557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D6ADF"/>
    <w:rsid w:val="009E09D0"/>
    <w:rsid w:val="009E1181"/>
    <w:rsid w:val="009E1283"/>
    <w:rsid w:val="009E3A7F"/>
    <w:rsid w:val="009E4C9B"/>
    <w:rsid w:val="009E4DFC"/>
    <w:rsid w:val="009E5789"/>
    <w:rsid w:val="009E57B1"/>
    <w:rsid w:val="009E6379"/>
    <w:rsid w:val="009F020F"/>
    <w:rsid w:val="009F3B63"/>
    <w:rsid w:val="009F438A"/>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58BA"/>
    <w:rsid w:val="00A36444"/>
    <w:rsid w:val="00A36CD4"/>
    <w:rsid w:val="00A40356"/>
    <w:rsid w:val="00A40FFB"/>
    <w:rsid w:val="00A41468"/>
    <w:rsid w:val="00A414A9"/>
    <w:rsid w:val="00A44141"/>
    <w:rsid w:val="00A44CCA"/>
    <w:rsid w:val="00A44D75"/>
    <w:rsid w:val="00A45AC3"/>
    <w:rsid w:val="00A47CF1"/>
    <w:rsid w:val="00A50418"/>
    <w:rsid w:val="00A50B17"/>
    <w:rsid w:val="00A50E16"/>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69F9"/>
    <w:rsid w:val="00A97B11"/>
    <w:rsid w:val="00A97CD9"/>
    <w:rsid w:val="00AA020A"/>
    <w:rsid w:val="00AA04B3"/>
    <w:rsid w:val="00AA088E"/>
    <w:rsid w:val="00AA1253"/>
    <w:rsid w:val="00AA1ED0"/>
    <w:rsid w:val="00AA1F5B"/>
    <w:rsid w:val="00AA28EF"/>
    <w:rsid w:val="00AA3593"/>
    <w:rsid w:val="00AA38CA"/>
    <w:rsid w:val="00AA493E"/>
    <w:rsid w:val="00AA6DBF"/>
    <w:rsid w:val="00AA73AF"/>
    <w:rsid w:val="00AB062D"/>
    <w:rsid w:val="00AB0A8A"/>
    <w:rsid w:val="00AB1754"/>
    <w:rsid w:val="00AB1F8D"/>
    <w:rsid w:val="00AB27DD"/>
    <w:rsid w:val="00AB3E9E"/>
    <w:rsid w:val="00AB4BA4"/>
    <w:rsid w:val="00AB592E"/>
    <w:rsid w:val="00AC0C1C"/>
    <w:rsid w:val="00AC1305"/>
    <w:rsid w:val="00AC25DD"/>
    <w:rsid w:val="00AC37BE"/>
    <w:rsid w:val="00AC3870"/>
    <w:rsid w:val="00AC439D"/>
    <w:rsid w:val="00AC4BA1"/>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1273"/>
    <w:rsid w:val="00AE18C5"/>
    <w:rsid w:val="00AE2540"/>
    <w:rsid w:val="00AE2CF4"/>
    <w:rsid w:val="00AE2D29"/>
    <w:rsid w:val="00AE2F15"/>
    <w:rsid w:val="00AE40FF"/>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39"/>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4F"/>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620"/>
    <w:rsid w:val="00B55917"/>
    <w:rsid w:val="00B55D87"/>
    <w:rsid w:val="00B55FB5"/>
    <w:rsid w:val="00B5646A"/>
    <w:rsid w:val="00B56F3D"/>
    <w:rsid w:val="00B57921"/>
    <w:rsid w:val="00B57E78"/>
    <w:rsid w:val="00B57EB8"/>
    <w:rsid w:val="00B609F6"/>
    <w:rsid w:val="00B60E75"/>
    <w:rsid w:val="00B638F1"/>
    <w:rsid w:val="00B63EAE"/>
    <w:rsid w:val="00B643A6"/>
    <w:rsid w:val="00B64DD6"/>
    <w:rsid w:val="00B66505"/>
    <w:rsid w:val="00B6710C"/>
    <w:rsid w:val="00B67D22"/>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96610"/>
    <w:rsid w:val="00BA1824"/>
    <w:rsid w:val="00BA2D98"/>
    <w:rsid w:val="00BA2F0C"/>
    <w:rsid w:val="00BA30D1"/>
    <w:rsid w:val="00BA30E1"/>
    <w:rsid w:val="00BA38FA"/>
    <w:rsid w:val="00BA4609"/>
    <w:rsid w:val="00BA5BE2"/>
    <w:rsid w:val="00BA60FC"/>
    <w:rsid w:val="00BA6A9C"/>
    <w:rsid w:val="00BA7F46"/>
    <w:rsid w:val="00BB0388"/>
    <w:rsid w:val="00BB0A0A"/>
    <w:rsid w:val="00BB133C"/>
    <w:rsid w:val="00BB1F04"/>
    <w:rsid w:val="00BB41E5"/>
    <w:rsid w:val="00BB45B5"/>
    <w:rsid w:val="00BB4C6A"/>
    <w:rsid w:val="00BB4DDE"/>
    <w:rsid w:val="00BB5F68"/>
    <w:rsid w:val="00BB6064"/>
    <w:rsid w:val="00BB65CE"/>
    <w:rsid w:val="00BB7012"/>
    <w:rsid w:val="00BC09D1"/>
    <w:rsid w:val="00BC10C6"/>
    <w:rsid w:val="00BC1CF3"/>
    <w:rsid w:val="00BC2BE0"/>
    <w:rsid w:val="00BC3573"/>
    <w:rsid w:val="00BC3797"/>
    <w:rsid w:val="00BC586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7D4"/>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1E80"/>
    <w:rsid w:val="00C321AE"/>
    <w:rsid w:val="00C3223A"/>
    <w:rsid w:val="00C33FF9"/>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4F79"/>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68D0"/>
    <w:rsid w:val="00CB758D"/>
    <w:rsid w:val="00CB7A3E"/>
    <w:rsid w:val="00CB7FF7"/>
    <w:rsid w:val="00CC0D0E"/>
    <w:rsid w:val="00CC1253"/>
    <w:rsid w:val="00CC19B3"/>
    <w:rsid w:val="00CC2044"/>
    <w:rsid w:val="00CC39D2"/>
    <w:rsid w:val="00CC4474"/>
    <w:rsid w:val="00CC55D6"/>
    <w:rsid w:val="00CC59B4"/>
    <w:rsid w:val="00CC69EC"/>
    <w:rsid w:val="00CC78A2"/>
    <w:rsid w:val="00CC7DF8"/>
    <w:rsid w:val="00CD15BE"/>
    <w:rsid w:val="00CD1EF2"/>
    <w:rsid w:val="00CD2165"/>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4340"/>
    <w:rsid w:val="00CF4394"/>
    <w:rsid w:val="00CF48B4"/>
    <w:rsid w:val="00CF5C12"/>
    <w:rsid w:val="00CF72A3"/>
    <w:rsid w:val="00CF7B72"/>
    <w:rsid w:val="00CF7FC0"/>
    <w:rsid w:val="00D000A9"/>
    <w:rsid w:val="00D00384"/>
    <w:rsid w:val="00D005DB"/>
    <w:rsid w:val="00D0064E"/>
    <w:rsid w:val="00D00981"/>
    <w:rsid w:val="00D02596"/>
    <w:rsid w:val="00D027B8"/>
    <w:rsid w:val="00D0280D"/>
    <w:rsid w:val="00D02AEF"/>
    <w:rsid w:val="00D03EC9"/>
    <w:rsid w:val="00D05669"/>
    <w:rsid w:val="00D061EB"/>
    <w:rsid w:val="00D06952"/>
    <w:rsid w:val="00D07A72"/>
    <w:rsid w:val="00D10577"/>
    <w:rsid w:val="00D11DEC"/>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15F"/>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6D9B"/>
    <w:rsid w:val="00D5062C"/>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04A6"/>
    <w:rsid w:val="00D90A31"/>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271A"/>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4001"/>
    <w:rsid w:val="00DC41C3"/>
    <w:rsid w:val="00DC4A3C"/>
    <w:rsid w:val="00DC4FA4"/>
    <w:rsid w:val="00DC5028"/>
    <w:rsid w:val="00DC5B37"/>
    <w:rsid w:val="00DD286D"/>
    <w:rsid w:val="00DD2CAF"/>
    <w:rsid w:val="00DD3593"/>
    <w:rsid w:val="00DD44EA"/>
    <w:rsid w:val="00DD462A"/>
    <w:rsid w:val="00DD64E0"/>
    <w:rsid w:val="00DD775C"/>
    <w:rsid w:val="00DD7BE0"/>
    <w:rsid w:val="00DE0C67"/>
    <w:rsid w:val="00DE24C0"/>
    <w:rsid w:val="00DE3555"/>
    <w:rsid w:val="00DE3AAD"/>
    <w:rsid w:val="00DE598A"/>
    <w:rsid w:val="00DE5A80"/>
    <w:rsid w:val="00DE6952"/>
    <w:rsid w:val="00DE6FBE"/>
    <w:rsid w:val="00DE7A7D"/>
    <w:rsid w:val="00DE7E74"/>
    <w:rsid w:val="00DF071B"/>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A1A"/>
    <w:rsid w:val="00E81C3E"/>
    <w:rsid w:val="00E81E62"/>
    <w:rsid w:val="00E82359"/>
    <w:rsid w:val="00E82B6D"/>
    <w:rsid w:val="00E83187"/>
    <w:rsid w:val="00E831E9"/>
    <w:rsid w:val="00E84DDA"/>
    <w:rsid w:val="00E8608F"/>
    <w:rsid w:val="00E86C1D"/>
    <w:rsid w:val="00E90703"/>
    <w:rsid w:val="00E90A62"/>
    <w:rsid w:val="00E91CB8"/>
    <w:rsid w:val="00E9265E"/>
    <w:rsid w:val="00E956DB"/>
    <w:rsid w:val="00E957D7"/>
    <w:rsid w:val="00E9763D"/>
    <w:rsid w:val="00E97E4C"/>
    <w:rsid w:val="00EA00A4"/>
    <w:rsid w:val="00EA04AC"/>
    <w:rsid w:val="00EA1177"/>
    <w:rsid w:val="00EA118B"/>
    <w:rsid w:val="00EA11B6"/>
    <w:rsid w:val="00EA2181"/>
    <w:rsid w:val="00EA2DD8"/>
    <w:rsid w:val="00EA30FC"/>
    <w:rsid w:val="00EA4475"/>
    <w:rsid w:val="00EA52FE"/>
    <w:rsid w:val="00EA62D1"/>
    <w:rsid w:val="00EA681F"/>
    <w:rsid w:val="00EB04C6"/>
    <w:rsid w:val="00EB06A6"/>
    <w:rsid w:val="00EB29EA"/>
    <w:rsid w:val="00EB3307"/>
    <w:rsid w:val="00EB3823"/>
    <w:rsid w:val="00EB3CBB"/>
    <w:rsid w:val="00EB47D8"/>
    <w:rsid w:val="00EB57D3"/>
    <w:rsid w:val="00EB5B19"/>
    <w:rsid w:val="00EB5EFD"/>
    <w:rsid w:val="00EB679F"/>
    <w:rsid w:val="00EB76E4"/>
    <w:rsid w:val="00EB783A"/>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2C8"/>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3095"/>
    <w:rsid w:val="00F23D45"/>
    <w:rsid w:val="00F24072"/>
    <w:rsid w:val="00F26432"/>
    <w:rsid w:val="00F3197A"/>
    <w:rsid w:val="00F32139"/>
    <w:rsid w:val="00F33CF0"/>
    <w:rsid w:val="00F33D56"/>
    <w:rsid w:val="00F34E08"/>
    <w:rsid w:val="00F41399"/>
    <w:rsid w:val="00F41D91"/>
    <w:rsid w:val="00F41F52"/>
    <w:rsid w:val="00F41FA1"/>
    <w:rsid w:val="00F42363"/>
    <w:rsid w:val="00F427C4"/>
    <w:rsid w:val="00F43D6C"/>
    <w:rsid w:val="00F46964"/>
    <w:rsid w:val="00F46F9A"/>
    <w:rsid w:val="00F470FD"/>
    <w:rsid w:val="00F50F30"/>
    <w:rsid w:val="00F5126A"/>
    <w:rsid w:val="00F5126E"/>
    <w:rsid w:val="00F514D6"/>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134"/>
    <w:rsid w:val="00F6624C"/>
    <w:rsid w:val="00F6636A"/>
    <w:rsid w:val="00F667C5"/>
    <w:rsid w:val="00F67E31"/>
    <w:rsid w:val="00F70B44"/>
    <w:rsid w:val="00F71436"/>
    <w:rsid w:val="00F718A8"/>
    <w:rsid w:val="00F7207E"/>
    <w:rsid w:val="00F72183"/>
    <w:rsid w:val="00F72DEB"/>
    <w:rsid w:val="00F74399"/>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1592"/>
    <w:rsid w:val="00FA24F2"/>
    <w:rsid w:val="00FA2B96"/>
    <w:rsid w:val="00FA2DEF"/>
    <w:rsid w:val="00FA2F7B"/>
    <w:rsid w:val="00FA36CC"/>
    <w:rsid w:val="00FA3C90"/>
    <w:rsid w:val="00FA3C97"/>
    <w:rsid w:val="00FA3D30"/>
    <w:rsid w:val="00FA4B49"/>
    <w:rsid w:val="00FA54F8"/>
    <w:rsid w:val="00FA63AB"/>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88"/>
    <w:rsid w:val="00FD0AA0"/>
    <w:rsid w:val="00FD1D5A"/>
    <w:rsid w:val="00FD3959"/>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2FC"/>
    <w:rsid w:val="00FF1438"/>
    <w:rsid w:val="00FF1C6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1789616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162BC-C534-45BC-917B-F81F03DDD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2012-09-12T12:15:00Z</cp:lastPrinted>
  <dcterms:created xsi:type="dcterms:W3CDTF">2012-10-16T18:04:00Z</dcterms:created>
  <dcterms:modified xsi:type="dcterms:W3CDTF">2012-10-16T18:04:00Z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