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BD59FB" w:rsidP="00BF0E94">
      <w:pPr>
        <w:tabs>
          <w:tab w:val="left" w:pos="288"/>
          <w:tab w:val="left" w:pos="4752"/>
        </w:tabs>
        <w:rPr>
          <w:color w:val="000000"/>
        </w:rPr>
      </w:pPr>
      <w:r>
        <w:rPr>
          <w:color w:val="000000"/>
        </w:rPr>
        <w:t xml:space="preserve"> </w:t>
      </w:r>
      <w:r w:rsidR="00AD2379"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65443C">
        <w:rPr>
          <w:caps/>
          <w:color w:val="000000" w:themeColor="text1"/>
        </w:rPr>
        <w:t>XXXXXXXXXXXXXXXXXXXXXXX</w:t>
      </w:r>
      <w:r w:rsidRPr="001F29F9">
        <w:rPr>
          <w:caps/>
          <w:color w:val="000000" w:themeColor="text1"/>
        </w:rPr>
        <w:t xml:space="preserve">                </w:t>
      </w:r>
      <w:r w:rsidR="00113787">
        <w:rPr>
          <w:caps/>
          <w:color w:val="000000" w:themeColor="text1"/>
        </w:rPr>
        <w:tab/>
        <w:t xml:space="preserve">                        </w:t>
      </w:r>
      <w:r>
        <w:rPr>
          <w:caps/>
          <w:color w:val="000000" w:themeColor="text1"/>
        </w:rPr>
        <w:t xml:space="preserve">    </w:t>
      </w:r>
      <w:r w:rsidRPr="001F29F9">
        <w:rPr>
          <w:caps/>
          <w:color w:val="000000" w:themeColor="text1"/>
        </w:rPr>
        <w:t xml:space="preserve">BRANCH </w:t>
      </w:r>
      <w:r w:rsidRPr="00BD21E4">
        <w:rPr>
          <w:caps/>
          <w:color w:val="000000" w:themeColor="text1"/>
        </w:rPr>
        <w:t>OF 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BD21E4" w:rsidRPr="001F29F9">
        <w:rPr>
          <w:caps/>
          <w:color w:val="000000" w:themeColor="text1"/>
        </w:rPr>
        <w:t>PD11</w:t>
      </w:r>
      <w:r w:rsidR="00BD21E4" w:rsidRPr="00354E09">
        <w:rPr>
          <w:caps/>
          <w:color w:val="000000" w:themeColor="text1"/>
        </w:rPr>
        <w:t>00</w:t>
      </w:r>
      <w:r w:rsidR="00BD21E4">
        <w:rPr>
          <w:caps/>
          <w:color w:val="000000" w:themeColor="text1"/>
        </w:rPr>
        <w:t>867</w:t>
      </w:r>
      <w:r>
        <w:rPr>
          <w:color w:val="000000" w:themeColor="text1"/>
        </w:rPr>
        <w:tab/>
      </w:r>
      <w:r>
        <w:rPr>
          <w:color w:val="000000" w:themeColor="text1"/>
        </w:rPr>
        <w:tab/>
        <w:t xml:space="preserve">          </w:t>
      </w:r>
      <w:r w:rsidRPr="001F29F9">
        <w:rPr>
          <w:color w:val="000000" w:themeColor="text1"/>
        </w:rPr>
        <w:t xml:space="preserve">SEPARATION DATE:  </w:t>
      </w:r>
      <w:r w:rsidR="00BD21E4" w:rsidRPr="001F29F9">
        <w:rPr>
          <w:color w:val="000000" w:themeColor="text1"/>
        </w:rPr>
        <w:t>200</w:t>
      </w:r>
      <w:r w:rsidR="00BD21E4">
        <w:rPr>
          <w:color w:val="000000" w:themeColor="text1"/>
        </w:rPr>
        <w:t>70817</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486412">
        <w:rPr>
          <w:caps/>
          <w:color w:val="000000"/>
        </w:rPr>
        <w:t>0810</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Default="00AD2379" w:rsidP="008502C9">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BD21E4">
        <w:rPr>
          <w:color w:val="000000" w:themeColor="text1"/>
          <w:szCs w:val="24"/>
        </w:rPr>
        <w:t>S</w:t>
      </w:r>
      <w:r w:rsidR="00BD21E4" w:rsidRPr="001F29F9">
        <w:rPr>
          <w:color w:val="000000" w:themeColor="text1"/>
          <w:szCs w:val="24"/>
        </w:rPr>
        <w:t>SG</w:t>
      </w:r>
      <w:r w:rsidR="00BD21E4">
        <w:rPr>
          <w:color w:val="000000" w:themeColor="text1"/>
          <w:szCs w:val="24"/>
        </w:rPr>
        <w:t>/E-6</w:t>
      </w:r>
      <w:r w:rsidR="00BD21E4" w:rsidRPr="001F29F9">
        <w:rPr>
          <w:color w:val="000000" w:themeColor="text1"/>
          <w:szCs w:val="24"/>
        </w:rPr>
        <w:t xml:space="preserve"> (</w:t>
      </w:r>
      <w:r w:rsidR="00BD21E4">
        <w:rPr>
          <w:color w:val="000000" w:themeColor="text1"/>
          <w:szCs w:val="24"/>
        </w:rPr>
        <w:t>88L</w:t>
      </w:r>
      <w:r w:rsidR="00BD21E4" w:rsidRPr="001F29F9">
        <w:rPr>
          <w:color w:val="000000" w:themeColor="text1"/>
          <w:szCs w:val="24"/>
        </w:rPr>
        <w:t xml:space="preserve">, </w:t>
      </w:r>
      <w:r w:rsidR="00BD21E4">
        <w:rPr>
          <w:color w:val="000000" w:themeColor="text1"/>
          <w:szCs w:val="24"/>
        </w:rPr>
        <w:t>Watercraft Engineer</w:t>
      </w:r>
      <w:r w:rsidR="00BD21E4" w:rsidRPr="001F29F9">
        <w:rPr>
          <w:color w:val="000000" w:themeColor="text1"/>
          <w:szCs w:val="24"/>
        </w:rPr>
        <w:t>)</w:t>
      </w:r>
      <w:r w:rsidR="00BD21E4">
        <w:rPr>
          <w:color w:val="000000" w:themeColor="text1"/>
          <w:szCs w:val="24"/>
        </w:rPr>
        <w:t xml:space="preserve"> </w:t>
      </w:r>
      <w:r w:rsidRPr="001F29F9">
        <w:rPr>
          <w:color w:val="000000"/>
        </w:rPr>
        <w:t xml:space="preserve">medically separated for </w:t>
      </w:r>
      <w:r w:rsidR="00BD21E4">
        <w:rPr>
          <w:color w:val="000000"/>
        </w:rPr>
        <w:t xml:space="preserve">lumbar </w:t>
      </w:r>
      <w:r w:rsidR="00BD21E4" w:rsidRPr="008502C9">
        <w:rPr>
          <w:color w:val="000000"/>
        </w:rPr>
        <w:t>spine, left shoulder, and right knee</w:t>
      </w:r>
      <w:r w:rsidRPr="008502C9">
        <w:rPr>
          <w:color w:val="000000"/>
        </w:rPr>
        <w:t xml:space="preserve"> </w:t>
      </w:r>
      <w:r w:rsidR="00261B7E" w:rsidRPr="008502C9">
        <w:rPr>
          <w:color w:val="000000"/>
        </w:rPr>
        <w:t>condition</w:t>
      </w:r>
      <w:r w:rsidR="00BD21E4" w:rsidRPr="008502C9">
        <w:rPr>
          <w:color w:val="000000"/>
        </w:rPr>
        <w:t>s</w:t>
      </w:r>
      <w:r w:rsidRPr="008502C9">
        <w:rPr>
          <w:color w:val="000000"/>
        </w:rPr>
        <w:t xml:space="preserve">. </w:t>
      </w:r>
      <w:r w:rsidR="00261B7E" w:rsidRPr="008502C9">
        <w:rPr>
          <w:color w:val="000000"/>
        </w:rPr>
        <w:t xml:space="preserve"> </w:t>
      </w:r>
      <w:r w:rsidR="008B71A1">
        <w:rPr>
          <w:color w:val="000000"/>
        </w:rPr>
        <w:t xml:space="preserve">He had a 3 year history of back pain which was diagnosed as non-surgical disc disease.  The left shoulder condition was chronic and related to </w:t>
      </w:r>
      <w:r w:rsidR="00EB59EE">
        <w:rPr>
          <w:color w:val="000000"/>
        </w:rPr>
        <w:t xml:space="preserve">an </w:t>
      </w:r>
      <w:r w:rsidR="008B71A1">
        <w:rPr>
          <w:color w:val="000000"/>
        </w:rPr>
        <w:t xml:space="preserve">acromioclavicular </w:t>
      </w:r>
      <w:r w:rsidR="00D8270C">
        <w:rPr>
          <w:color w:val="000000"/>
        </w:rPr>
        <w:t xml:space="preserve">(AC) </w:t>
      </w:r>
      <w:r w:rsidR="008B71A1">
        <w:rPr>
          <w:color w:val="000000"/>
        </w:rPr>
        <w:t xml:space="preserve">joint </w:t>
      </w:r>
      <w:r w:rsidR="00EB59EE">
        <w:rPr>
          <w:color w:val="000000"/>
        </w:rPr>
        <w:t>injury</w:t>
      </w:r>
      <w:r w:rsidR="008B71A1">
        <w:rPr>
          <w:color w:val="000000"/>
        </w:rPr>
        <w:t xml:space="preserve">.  </w:t>
      </w:r>
      <w:r w:rsidR="00101B01">
        <w:rPr>
          <w:color w:val="000000"/>
        </w:rPr>
        <w:t>He also had a history of chronic right knee pain which was diagnosed as patellofemoral syndrome (PFS)</w:t>
      </w:r>
      <w:r w:rsidR="00B61E22">
        <w:rPr>
          <w:color w:val="000000"/>
        </w:rPr>
        <w:t>.</w:t>
      </w:r>
      <w:r w:rsidR="00101B01">
        <w:rPr>
          <w:color w:val="000000"/>
        </w:rPr>
        <w:t xml:space="preserve">  None of the conditions </w:t>
      </w:r>
      <w:r w:rsidR="00F566B7" w:rsidRPr="008502C9">
        <w:rPr>
          <w:color w:val="000000"/>
        </w:rPr>
        <w:t>could be adequately rehabilitated to meet the physical requirements of his Military Occupational Specialty (MOS</w:t>
      </w:r>
      <w:r w:rsidR="00BD21E4" w:rsidRPr="008502C9">
        <w:rPr>
          <w:color w:val="000000"/>
        </w:rPr>
        <w:t>)</w:t>
      </w:r>
      <w:r w:rsidR="00E438A4" w:rsidRPr="008502C9">
        <w:rPr>
          <w:color w:val="000000" w:themeColor="text1"/>
        </w:rPr>
        <w:t xml:space="preserve"> </w:t>
      </w:r>
      <w:r w:rsidR="00F566B7" w:rsidRPr="008502C9">
        <w:rPr>
          <w:color w:val="000000"/>
        </w:rPr>
        <w:t>or satis</w:t>
      </w:r>
      <w:r w:rsidR="009C12A1" w:rsidRPr="008502C9">
        <w:rPr>
          <w:color w:val="000000"/>
        </w:rPr>
        <w:t>fy physical fitness standards.</w:t>
      </w:r>
      <w:r w:rsidR="00F566B7" w:rsidRPr="008502C9">
        <w:rPr>
          <w:color w:val="000000"/>
        </w:rPr>
        <w:t xml:space="preserve"> </w:t>
      </w:r>
      <w:r w:rsidR="009C12A1" w:rsidRPr="008502C9">
        <w:rPr>
          <w:color w:val="000000"/>
        </w:rPr>
        <w:t xml:space="preserve"> He </w:t>
      </w:r>
      <w:r w:rsidR="00F566B7" w:rsidRPr="008502C9">
        <w:rPr>
          <w:color w:val="000000"/>
        </w:rPr>
        <w:t xml:space="preserve">was </w:t>
      </w:r>
      <w:r w:rsidR="00271871" w:rsidRPr="008502C9">
        <w:rPr>
          <w:color w:val="000000"/>
        </w:rPr>
        <w:t>consequently</w:t>
      </w:r>
      <w:r w:rsidR="009C12A1" w:rsidRPr="008502C9">
        <w:rPr>
          <w:color w:val="000000"/>
        </w:rPr>
        <w:t xml:space="preserve"> </w:t>
      </w:r>
      <w:r w:rsidR="00F566B7" w:rsidRPr="008502C9">
        <w:rPr>
          <w:color w:val="000000"/>
        </w:rPr>
        <w:t xml:space="preserve">issued a permanent </w:t>
      </w:r>
      <w:r w:rsidR="00BD21E4" w:rsidRPr="008502C9">
        <w:rPr>
          <w:color w:val="000000"/>
        </w:rPr>
        <w:t>U3/</w:t>
      </w:r>
      <w:r w:rsidR="00F566B7" w:rsidRPr="008502C9">
        <w:rPr>
          <w:color w:val="000000"/>
        </w:rPr>
        <w:t>L3 profile and</w:t>
      </w:r>
      <w:r w:rsidR="009C12A1" w:rsidRPr="008502C9">
        <w:rPr>
          <w:color w:val="000000"/>
        </w:rPr>
        <w:t xml:space="preserve"> </w:t>
      </w:r>
      <w:r w:rsidR="00F566B7" w:rsidRPr="008502C9">
        <w:rPr>
          <w:color w:val="000000"/>
        </w:rPr>
        <w:t xml:space="preserve">referred for a Medical Evaluation Board (MEB).  The </w:t>
      </w:r>
      <w:r w:rsidR="00CF1CE9" w:rsidRPr="008502C9">
        <w:rPr>
          <w:color w:val="000000"/>
        </w:rPr>
        <w:t xml:space="preserve">following </w:t>
      </w:r>
      <w:r w:rsidR="009E283F">
        <w:rPr>
          <w:color w:val="000000"/>
        </w:rPr>
        <w:t>six</w:t>
      </w:r>
      <w:r w:rsidR="00F566B7" w:rsidRPr="008502C9">
        <w:rPr>
          <w:color w:val="000000"/>
        </w:rPr>
        <w:t xml:space="preserve"> condition</w:t>
      </w:r>
      <w:r w:rsidR="00CF1CE9" w:rsidRPr="008502C9">
        <w:rPr>
          <w:color w:val="000000"/>
        </w:rPr>
        <w:t xml:space="preserve">s were separately forwarded </w:t>
      </w:r>
      <w:r w:rsidR="00F566B7" w:rsidRPr="008502C9">
        <w:rPr>
          <w:color w:val="000000"/>
        </w:rPr>
        <w:t>to the Physical Evaluation Board (PEB) as medically unacceptable IAW AR 40-501</w:t>
      </w:r>
      <w:r w:rsidR="00CF1CE9" w:rsidRPr="008502C9">
        <w:rPr>
          <w:color w:val="000000"/>
        </w:rPr>
        <w:t xml:space="preserve">:  </w:t>
      </w:r>
      <w:r w:rsidR="009E283F">
        <w:rPr>
          <w:color w:val="000000"/>
        </w:rPr>
        <w:t>two</w:t>
      </w:r>
      <w:r w:rsidR="00CF1CE9" w:rsidRPr="008502C9">
        <w:rPr>
          <w:color w:val="000000"/>
        </w:rPr>
        <w:t xml:space="preserve"> separate diagnoses related to the lumbar spine condition (sciatica, degenerative disc disease </w:t>
      </w:r>
      <w:r w:rsidR="009E283F">
        <w:rPr>
          <w:color w:val="000000"/>
        </w:rPr>
        <w:t xml:space="preserve">(DDD) </w:t>
      </w:r>
      <w:r w:rsidR="00CF1CE9" w:rsidRPr="008502C9">
        <w:rPr>
          <w:color w:val="000000"/>
        </w:rPr>
        <w:t>at L3/4</w:t>
      </w:r>
      <w:r w:rsidR="00486412">
        <w:rPr>
          <w:color w:val="000000"/>
        </w:rPr>
        <w:t>)</w:t>
      </w:r>
      <w:r w:rsidR="00CF1CE9" w:rsidRPr="008502C9">
        <w:rPr>
          <w:color w:val="000000"/>
        </w:rPr>
        <w:t xml:space="preserve">; </w:t>
      </w:r>
      <w:r w:rsidR="009E283F">
        <w:rPr>
          <w:color w:val="000000"/>
        </w:rPr>
        <w:t>two</w:t>
      </w:r>
      <w:r w:rsidR="00CF1CE9" w:rsidRPr="008502C9">
        <w:rPr>
          <w:color w:val="000000"/>
        </w:rPr>
        <w:t xml:space="preserve"> separate diagnoses related to the left shoulder condition (rotator cuff tear, acromioclavicular joint disruption);  right knee osteoarthritis; </w:t>
      </w:r>
      <w:r w:rsidR="00486412">
        <w:rPr>
          <w:color w:val="000000"/>
        </w:rPr>
        <w:t>and, “chronic pain syndrome</w:t>
      </w:r>
      <w:r w:rsidR="009E283F">
        <w:rPr>
          <w:color w:val="000000"/>
        </w:rPr>
        <w:t>.</w:t>
      </w:r>
      <w:r w:rsidR="00486412">
        <w:rPr>
          <w:color w:val="000000"/>
        </w:rPr>
        <w:t>”  Five</w:t>
      </w:r>
      <w:r w:rsidR="00B144AE" w:rsidRPr="008502C9">
        <w:rPr>
          <w:color w:val="000000"/>
        </w:rPr>
        <w:t xml:space="preserve"> other conditions (as identified in the rating chart below) were addressed by the MEB, and forwarded as meeting retention standards.</w:t>
      </w:r>
      <w:r w:rsidR="00380601" w:rsidRPr="008502C9">
        <w:rPr>
          <w:color w:val="000000"/>
        </w:rPr>
        <w:t xml:space="preserve">  </w:t>
      </w:r>
      <w:r w:rsidRPr="008502C9">
        <w:rPr>
          <w:color w:val="000000"/>
        </w:rPr>
        <w:t xml:space="preserve">The PEB </w:t>
      </w:r>
      <w:r w:rsidR="00CF1CE9" w:rsidRPr="008502C9">
        <w:rPr>
          <w:color w:val="000000"/>
        </w:rPr>
        <w:t xml:space="preserve">(appropriately consolidating the double diagnoses for the same conditions) </w:t>
      </w:r>
      <w:r w:rsidR="008502C9">
        <w:rPr>
          <w:color w:val="000000"/>
          <w:szCs w:val="24"/>
        </w:rPr>
        <w:t>combined</w:t>
      </w:r>
      <w:r w:rsidR="008502C9" w:rsidRPr="006131F4">
        <w:rPr>
          <w:color w:val="000000"/>
          <w:szCs w:val="24"/>
        </w:rPr>
        <w:t xml:space="preserve"> </w:t>
      </w:r>
      <w:r w:rsidRPr="008502C9">
        <w:rPr>
          <w:color w:val="000000"/>
        </w:rPr>
        <w:t xml:space="preserve">the </w:t>
      </w:r>
      <w:r w:rsidR="008502C9" w:rsidRPr="008502C9">
        <w:rPr>
          <w:color w:val="000000"/>
        </w:rPr>
        <w:t>submitted</w:t>
      </w:r>
      <w:r w:rsidR="008530E3" w:rsidRPr="008502C9">
        <w:rPr>
          <w:color w:val="000000"/>
        </w:rPr>
        <w:t xml:space="preserve"> condition</w:t>
      </w:r>
      <w:r w:rsidR="008502C9" w:rsidRPr="008502C9">
        <w:rPr>
          <w:color w:val="000000"/>
        </w:rPr>
        <w:t>s</w:t>
      </w:r>
      <w:r w:rsidR="008530E3" w:rsidRPr="008502C9">
        <w:rPr>
          <w:color w:val="000000"/>
        </w:rPr>
        <w:t xml:space="preserve"> </w:t>
      </w:r>
      <w:r w:rsidR="008502C9">
        <w:rPr>
          <w:color w:val="000000"/>
        </w:rPr>
        <w:t xml:space="preserve">under </w:t>
      </w:r>
      <w:r w:rsidR="009E283F">
        <w:rPr>
          <w:color w:val="000000"/>
        </w:rPr>
        <w:t>two</w:t>
      </w:r>
      <w:r w:rsidR="008502C9" w:rsidRPr="008502C9">
        <w:rPr>
          <w:color w:val="000000"/>
        </w:rPr>
        <w:t xml:space="preserve"> </w:t>
      </w:r>
      <w:r w:rsidR="008502C9">
        <w:rPr>
          <w:color w:val="000000"/>
        </w:rPr>
        <w:t>ratings</w:t>
      </w:r>
      <w:r w:rsidR="00B61E22">
        <w:rPr>
          <w:color w:val="000000"/>
        </w:rPr>
        <w:t>: “lumbosacral strain” and</w:t>
      </w:r>
      <w:r w:rsidR="008502C9" w:rsidRPr="008502C9">
        <w:rPr>
          <w:color w:val="000000"/>
        </w:rPr>
        <w:t xml:space="preserve"> “chronic pain of the left shoulder and right knee</w:t>
      </w:r>
      <w:r w:rsidR="009E283F">
        <w:rPr>
          <w:color w:val="000000"/>
        </w:rPr>
        <w:t>.</w:t>
      </w:r>
      <w:r w:rsidR="008502C9" w:rsidRPr="008502C9">
        <w:rPr>
          <w:color w:val="000000"/>
        </w:rPr>
        <w:t>”  These were</w:t>
      </w:r>
      <w:r w:rsidR="008530E3" w:rsidRPr="008502C9">
        <w:rPr>
          <w:color w:val="000000"/>
        </w:rPr>
        <w:t xml:space="preserve"> rated </w:t>
      </w:r>
      <w:r w:rsidR="008502C9" w:rsidRPr="008502C9">
        <w:rPr>
          <w:color w:val="000000"/>
        </w:rPr>
        <w:t>1</w:t>
      </w:r>
      <w:r w:rsidRPr="008502C9">
        <w:rPr>
          <w:color w:val="000000"/>
        </w:rPr>
        <w:t>0%</w:t>
      </w:r>
      <w:r w:rsidR="008502C9" w:rsidRPr="008502C9">
        <w:rPr>
          <w:color w:val="000000"/>
        </w:rPr>
        <w:t xml:space="preserve"> and 0% respectively</w:t>
      </w:r>
      <w:r w:rsidRPr="008502C9">
        <w:rPr>
          <w:color w:val="000000"/>
        </w:rPr>
        <w:t xml:space="preserve">, </w:t>
      </w:r>
      <w:r w:rsidR="00FA24F2" w:rsidRPr="008502C9">
        <w:rPr>
          <w:color w:val="000000"/>
        </w:rPr>
        <w:t xml:space="preserve">referencing </w:t>
      </w:r>
      <w:r w:rsidRPr="008502C9">
        <w:rPr>
          <w:color w:val="000000"/>
        </w:rPr>
        <w:t xml:space="preserve">the </w:t>
      </w:r>
      <w:r w:rsidR="0065689C" w:rsidRPr="008502C9">
        <w:rPr>
          <w:color w:val="000000" w:themeColor="text1"/>
          <w:szCs w:val="24"/>
        </w:rPr>
        <w:t>US Army Physical Disability Agency (USAPDA) pain policy</w:t>
      </w:r>
      <w:r w:rsidR="0065689C" w:rsidRPr="008502C9">
        <w:rPr>
          <w:color w:val="000000"/>
        </w:rPr>
        <w:t xml:space="preserve"> </w:t>
      </w:r>
      <w:r w:rsidR="008502C9" w:rsidRPr="008502C9">
        <w:rPr>
          <w:color w:val="000000"/>
        </w:rPr>
        <w:t xml:space="preserve">for </w:t>
      </w:r>
      <w:r w:rsidR="008502C9">
        <w:rPr>
          <w:color w:val="000000"/>
        </w:rPr>
        <w:t>each</w:t>
      </w:r>
      <w:r w:rsidR="008502C9" w:rsidRPr="008502C9">
        <w:rPr>
          <w:color w:val="000000"/>
        </w:rPr>
        <w:t>.</w:t>
      </w:r>
      <w:r w:rsidR="00380601" w:rsidRPr="008502C9">
        <w:rPr>
          <w:color w:val="000000"/>
        </w:rPr>
        <w:t xml:space="preserve">  The remaining conditions were determined to be not unfitting.  </w:t>
      </w:r>
      <w:r w:rsidRPr="008502C9">
        <w:rPr>
          <w:color w:val="000000"/>
        </w:rPr>
        <w:t xml:space="preserve">The CI made no appeals, and was medically separated with </w:t>
      </w:r>
      <w:r w:rsidR="008502C9" w:rsidRPr="008502C9">
        <w:rPr>
          <w:color w:val="000000"/>
        </w:rPr>
        <w:t>a combined 10%</w:t>
      </w:r>
      <w:r w:rsidRPr="008502C9">
        <w:rPr>
          <w:color w:val="000000"/>
        </w:rPr>
        <w:t xml:space="preserve"> disability rating.</w:t>
      </w:r>
      <w:r w:rsidR="00E438A4">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685E5F">
        <w:rPr>
          <w:color w:val="000000" w:themeColor="text1"/>
        </w:rPr>
        <w:t>“Not all conditions were evaluated sufficiently or accurately prior to being rendered unfit</w:t>
      </w:r>
      <w:r w:rsidR="00260BF8">
        <w:rPr>
          <w:color w:val="000000" w:themeColor="text1"/>
        </w:rPr>
        <w:t>.</w:t>
      </w:r>
      <w:r w:rsidR="00685E5F">
        <w:rPr>
          <w:color w:val="000000" w:themeColor="text1"/>
        </w:rPr>
        <w:t xml:space="preserve">”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 xml:space="preserve">specify a request for Board consideration of </w:t>
      </w:r>
      <w:r w:rsidR="00685E5F">
        <w:rPr>
          <w:rFonts w:eastAsiaTheme="minorHAnsi"/>
          <w:color w:val="000000" w:themeColor="text1"/>
          <w:szCs w:val="24"/>
        </w:rPr>
        <w:t>specific</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 xml:space="preserve">The </w:t>
      </w:r>
      <w:r w:rsidRPr="00FF6BA1">
        <w:rPr>
          <w:color w:val="auto"/>
        </w:rPr>
        <w:t xml:space="preserve">Board wishes to clarify that the scope of its review as defined in </w:t>
      </w:r>
      <w:r w:rsidR="00DD44EA" w:rsidRPr="00FF6BA1">
        <w:rPr>
          <w:color w:val="000000"/>
        </w:rPr>
        <w:t xml:space="preserve">Department of Defense Instruction (DoDI) </w:t>
      </w:r>
      <w:r w:rsidRPr="00FF6BA1">
        <w:rPr>
          <w:color w:val="auto"/>
        </w:rPr>
        <w:t xml:space="preserve">6040.44 </w:t>
      </w:r>
      <w:r w:rsidR="003A6FCD" w:rsidRPr="00FF6BA1">
        <w:rPr>
          <w:color w:val="auto"/>
        </w:rPr>
        <w:t xml:space="preserve">(Enclosure 3, paragraph 5.e.2) </w:t>
      </w:r>
      <w:r w:rsidRPr="00FF6BA1">
        <w:rPr>
          <w:color w:val="auto"/>
        </w:rPr>
        <w:t>is limited to those conditions which were determined by the PEB to be specifically unfitting for continued military service; or, when requested by the CI, those conditions “identified but not determined to be unfitting by the PEB</w:t>
      </w:r>
      <w:r w:rsidR="009E283F">
        <w:rPr>
          <w:color w:val="auto"/>
        </w:rPr>
        <w:t>.</w:t>
      </w:r>
      <w:r w:rsidRPr="00FF6BA1">
        <w:rPr>
          <w:color w:val="auto"/>
        </w:rPr>
        <w:t xml:space="preserve">”  The ratings for unfitting conditions </w:t>
      </w:r>
      <w:r w:rsidR="00AC25DD" w:rsidRPr="00FF6BA1">
        <w:rPr>
          <w:color w:val="auto"/>
        </w:rPr>
        <w:t>are</w:t>
      </w:r>
      <w:r w:rsidRPr="00FF6BA1">
        <w:rPr>
          <w:color w:val="auto"/>
        </w:rPr>
        <w:t xml:space="preserve"> reviewed in all cases</w:t>
      </w:r>
      <w:r w:rsidR="00AC25DD" w:rsidRPr="00FF6BA1">
        <w:rPr>
          <w:color w:val="auto"/>
        </w:rPr>
        <w:t>, and are addressed below</w:t>
      </w:r>
      <w:r w:rsidRPr="00FF6BA1">
        <w:rPr>
          <w:color w:val="auto"/>
        </w:rPr>
        <w:t xml:space="preserve">.  </w:t>
      </w:r>
      <w:r w:rsidR="00685E5F" w:rsidRPr="00FF6BA1">
        <w:rPr>
          <w:color w:val="auto"/>
        </w:rPr>
        <w:t xml:space="preserve">Although the contention does not specify which conditions the CI believes were not adequately evaluated by the </w:t>
      </w:r>
      <w:r w:rsidR="009E283F">
        <w:rPr>
          <w:color w:val="auto"/>
        </w:rPr>
        <w:t>s</w:t>
      </w:r>
      <w:r w:rsidR="00685E5F" w:rsidRPr="00FF6BA1">
        <w:rPr>
          <w:color w:val="auto"/>
        </w:rPr>
        <w:t xml:space="preserve">ervice, the members judged that it was </w:t>
      </w:r>
      <w:r w:rsidR="00486412">
        <w:rPr>
          <w:color w:val="auto"/>
        </w:rPr>
        <w:t>reasonably</w:t>
      </w:r>
      <w:r w:rsidR="00685E5F" w:rsidRPr="00FF6BA1">
        <w:rPr>
          <w:color w:val="auto"/>
        </w:rPr>
        <w:t xml:space="preserve"> within the purview of the Board to assess the </w:t>
      </w:r>
      <w:r w:rsidR="00FF6BA1" w:rsidRPr="00FF6BA1">
        <w:rPr>
          <w:color w:val="auto"/>
        </w:rPr>
        <w:t xml:space="preserve">appropriateness of the </w:t>
      </w:r>
      <w:r w:rsidR="00685E5F" w:rsidRPr="00FF6BA1">
        <w:rPr>
          <w:color w:val="auto"/>
        </w:rPr>
        <w:t xml:space="preserve">PEB’s </w:t>
      </w:r>
      <w:r w:rsidR="00486412">
        <w:rPr>
          <w:color w:val="auto"/>
        </w:rPr>
        <w:t xml:space="preserve">fitness </w:t>
      </w:r>
      <w:r w:rsidR="00FF6BA1" w:rsidRPr="00FF6BA1">
        <w:rPr>
          <w:color w:val="auto"/>
        </w:rPr>
        <w:t xml:space="preserve">determination </w:t>
      </w:r>
      <w:r w:rsidR="00486412">
        <w:rPr>
          <w:color w:val="auto"/>
        </w:rPr>
        <w:t>for</w:t>
      </w:r>
      <w:r w:rsidR="00FF6BA1" w:rsidRPr="00FF6BA1">
        <w:rPr>
          <w:color w:val="auto"/>
        </w:rPr>
        <w:t xml:space="preserve"> </w:t>
      </w:r>
      <w:r w:rsidR="00AF541A">
        <w:rPr>
          <w:color w:val="auto"/>
        </w:rPr>
        <w:t xml:space="preserve">each of </w:t>
      </w:r>
      <w:r w:rsidR="00FF6BA1" w:rsidRPr="00FF6BA1">
        <w:rPr>
          <w:color w:val="auto"/>
        </w:rPr>
        <w:t xml:space="preserve">the remaining conditions.  </w:t>
      </w:r>
      <w:r w:rsidRPr="00FF6BA1">
        <w:rPr>
          <w:color w:val="auto"/>
        </w:rPr>
        <w:t>Any conditions or contention not requested in this application, or otherwise outside the Board’s defined scope of review, remain eligible for future consideration by the Army Board for the Correction of Military Records (</w:t>
      </w:r>
      <w:r w:rsidR="00A358BA" w:rsidRPr="00FF6BA1">
        <w:rPr>
          <w:color w:val="auto"/>
        </w:rPr>
        <w:t>A</w:t>
      </w:r>
      <w:r w:rsidRPr="00FF6BA1">
        <w:rPr>
          <w:color w:val="auto"/>
        </w:rPr>
        <w:t>BCMR).</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C11BEF" w:rsidRDefault="00C11BEF">
      <w:pPr>
        <w:spacing w:line="240" w:lineRule="auto"/>
        <w:jc w:val="left"/>
        <w:rPr>
          <w:color w:val="000000"/>
          <w:u w:val="single"/>
        </w:rPr>
      </w:pPr>
      <w:r>
        <w:rPr>
          <w:color w:val="000000"/>
          <w:u w:val="single"/>
        </w:rPr>
        <w:br w:type="page"/>
      </w: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
        <w:tblpPr w:leftFromText="187" w:rightFromText="187" w:vertAnchor="text" w:tblpXSpec="center" w:tblpY="1"/>
        <w:tblOverlap w:val="never"/>
        <w:tblW w:w="9360" w:type="dxa"/>
        <w:tblLayout w:type="fixed"/>
        <w:tblLook w:val="04A0"/>
      </w:tblPr>
      <w:tblGrid>
        <w:gridCol w:w="2358"/>
        <w:gridCol w:w="682"/>
        <w:gridCol w:w="758"/>
        <w:gridCol w:w="2790"/>
        <w:gridCol w:w="1080"/>
        <w:gridCol w:w="720"/>
        <w:gridCol w:w="972"/>
      </w:tblGrid>
      <w:tr w:rsidR="00AF541A" w:rsidRPr="002B4726" w:rsidTr="00D63A52">
        <w:trPr>
          <w:trHeight w:val="233"/>
        </w:trPr>
        <w:tc>
          <w:tcPr>
            <w:tcW w:w="3798" w:type="dxa"/>
            <w:gridSpan w:val="3"/>
            <w:tcBorders>
              <w:right w:val="thinThickThinSmallGap" w:sz="24" w:space="0" w:color="auto"/>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Service PEB – Dated 20070725</w:t>
            </w:r>
          </w:p>
        </w:tc>
        <w:tc>
          <w:tcPr>
            <w:tcW w:w="5562" w:type="dxa"/>
            <w:gridSpan w:val="4"/>
            <w:tcBorders>
              <w:left w:val="thinThickThinSmallGap" w:sz="24" w:space="0" w:color="auto"/>
            </w:tcBorders>
            <w:shd w:val="clear" w:color="auto" w:fill="D9D9D9" w:themeFill="background1" w:themeFillShade="D9"/>
            <w:vAlign w:val="center"/>
          </w:tcPr>
          <w:p w:rsidR="00AF541A" w:rsidRPr="00826A29" w:rsidRDefault="00AF541A" w:rsidP="00D63A52">
            <w:pPr>
              <w:ind w:right="-198"/>
              <w:contextualSpacing/>
              <w:rPr>
                <w:rFonts w:cs="Calibri"/>
                <w:b/>
                <w:color w:val="auto"/>
                <w:sz w:val="18"/>
                <w:szCs w:val="18"/>
              </w:rPr>
            </w:pPr>
            <w:r w:rsidRPr="00826A29">
              <w:rPr>
                <w:rFonts w:cs="Calibri"/>
                <w:b/>
                <w:color w:val="auto"/>
                <w:sz w:val="18"/>
                <w:szCs w:val="18"/>
              </w:rPr>
              <w:t xml:space="preserve">VA (7 Mo. </w:t>
            </w:r>
            <w:r>
              <w:rPr>
                <w:rFonts w:cs="Calibri"/>
                <w:b/>
                <w:color w:val="auto"/>
                <w:sz w:val="18"/>
                <w:szCs w:val="18"/>
              </w:rPr>
              <w:t>Post-</w:t>
            </w:r>
            <w:r w:rsidRPr="00826A29">
              <w:rPr>
                <w:rFonts w:cs="Calibri"/>
                <w:b/>
                <w:color w:val="auto"/>
                <w:sz w:val="18"/>
                <w:szCs w:val="18"/>
              </w:rPr>
              <w:t>Separation) – All Effective 20070818</w:t>
            </w:r>
          </w:p>
        </w:tc>
      </w:tr>
      <w:tr w:rsidR="00AF541A" w:rsidRPr="002B4726" w:rsidTr="00D63A52">
        <w:trPr>
          <w:trHeight w:val="100"/>
        </w:trPr>
        <w:tc>
          <w:tcPr>
            <w:tcW w:w="2358" w:type="dxa"/>
            <w:tcBorders>
              <w:bottom w:val="single" w:sz="4" w:space="0" w:color="000000" w:themeColor="text1"/>
              <w:right w:val="single" w:sz="4" w:space="0" w:color="auto"/>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Condition</w:t>
            </w:r>
          </w:p>
        </w:tc>
        <w:tc>
          <w:tcPr>
            <w:tcW w:w="682" w:type="dxa"/>
            <w:tcBorders>
              <w:left w:val="single" w:sz="4" w:space="0" w:color="auto"/>
              <w:bottom w:val="single" w:sz="4" w:space="0" w:color="000000" w:themeColor="text1"/>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Code</w:t>
            </w:r>
          </w:p>
        </w:tc>
        <w:tc>
          <w:tcPr>
            <w:tcW w:w="758" w:type="dxa"/>
            <w:tcBorders>
              <w:bottom w:val="single" w:sz="4" w:space="0" w:color="000000" w:themeColor="text1"/>
              <w:right w:val="thinThickThinSmallGap" w:sz="24" w:space="0" w:color="auto"/>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Rating</w:t>
            </w:r>
          </w:p>
        </w:tc>
        <w:tc>
          <w:tcPr>
            <w:tcW w:w="972" w:type="dxa"/>
            <w:tcBorders>
              <w:bottom w:val="single" w:sz="4" w:space="0" w:color="000000" w:themeColor="text1"/>
            </w:tcBorders>
            <w:shd w:val="clear" w:color="auto" w:fill="D9D9D9" w:themeFill="background1" w:themeFillShade="D9"/>
            <w:vAlign w:val="center"/>
          </w:tcPr>
          <w:p w:rsidR="00AF541A" w:rsidRPr="00826A29" w:rsidRDefault="00AF541A" w:rsidP="00D63A52">
            <w:pPr>
              <w:contextualSpacing/>
              <w:rPr>
                <w:rFonts w:cs="Calibri"/>
                <w:b/>
                <w:color w:val="auto"/>
                <w:sz w:val="18"/>
                <w:szCs w:val="18"/>
              </w:rPr>
            </w:pPr>
            <w:r w:rsidRPr="00826A29">
              <w:rPr>
                <w:rFonts w:cs="Calibri"/>
                <w:b/>
                <w:color w:val="auto"/>
                <w:sz w:val="18"/>
                <w:szCs w:val="18"/>
              </w:rPr>
              <w:t>Exam</w:t>
            </w:r>
          </w:p>
        </w:tc>
      </w:tr>
      <w:tr w:rsidR="00AF541A" w:rsidRPr="002B4726" w:rsidTr="00D63A52">
        <w:trPr>
          <w:trHeight w:val="118"/>
        </w:trPr>
        <w:tc>
          <w:tcPr>
            <w:tcW w:w="2358"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Lumbosacral Strain</w:t>
            </w:r>
          </w:p>
        </w:tc>
        <w:tc>
          <w:tcPr>
            <w:tcW w:w="682"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5237</w:t>
            </w:r>
          </w:p>
        </w:tc>
        <w:tc>
          <w:tcPr>
            <w:tcW w:w="758" w:type="dxa"/>
            <w:tcBorders>
              <w:right w:val="thinThickThinSmallGap" w:sz="24" w:space="0" w:color="auto"/>
            </w:tcBorders>
            <w:shd w:val="clear" w:color="auto" w:fill="FFFFFF" w:themeFill="background1"/>
            <w:vAlign w:val="center"/>
          </w:tcPr>
          <w:p w:rsidR="00AF541A" w:rsidRPr="00826A29" w:rsidRDefault="00AF541A" w:rsidP="00D63A52">
            <w:pPr>
              <w:spacing w:line="220" w:lineRule="exact"/>
              <w:rPr>
                <w:rFonts w:cs="Calibri"/>
                <w:color w:val="auto"/>
                <w:sz w:val="18"/>
                <w:szCs w:val="18"/>
              </w:rPr>
            </w:pPr>
            <w:r w:rsidRPr="00826A29">
              <w:rPr>
                <w:rFonts w:cs="Calibri"/>
                <w:color w:val="auto"/>
                <w:sz w:val="18"/>
                <w:szCs w:val="18"/>
              </w:rPr>
              <w:t>10%</w:t>
            </w:r>
          </w:p>
        </w:tc>
        <w:tc>
          <w:tcPr>
            <w:tcW w:w="2790" w:type="dxa"/>
            <w:tcBorders>
              <w:left w:val="thinThickThinSmallGap" w:sz="2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Low Back Strain</w:t>
            </w:r>
          </w:p>
        </w:tc>
        <w:tc>
          <w:tcPr>
            <w:tcW w:w="1080" w:type="dxa"/>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5237</w:t>
            </w:r>
          </w:p>
        </w:tc>
        <w:tc>
          <w:tcPr>
            <w:tcW w:w="720" w:type="dxa"/>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10%</w:t>
            </w:r>
          </w:p>
        </w:tc>
        <w:tc>
          <w:tcPr>
            <w:tcW w:w="972" w:type="dxa"/>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20080314</w:t>
            </w:r>
          </w:p>
        </w:tc>
      </w:tr>
      <w:tr w:rsidR="00AF541A" w:rsidRPr="002B4726" w:rsidTr="00D63A52">
        <w:trPr>
          <w:trHeight w:val="66"/>
        </w:trPr>
        <w:tc>
          <w:tcPr>
            <w:tcW w:w="2358" w:type="dxa"/>
            <w:vMerge w:val="restart"/>
            <w:tcBorders>
              <w:right w:val="single" w:sz="4" w:space="0" w:color="auto"/>
            </w:tcBorders>
            <w:shd w:val="clear" w:color="auto" w:fill="FFFFFF" w:themeFill="background1"/>
            <w:vAlign w:val="center"/>
          </w:tcPr>
          <w:p w:rsidR="00AF541A" w:rsidRPr="00826A29" w:rsidRDefault="00AF541A" w:rsidP="00D63A52">
            <w:pPr>
              <w:spacing w:line="180" w:lineRule="exact"/>
              <w:contextualSpacing/>
              <w:jc w:val="left"/>
              <w:rPr>
                <w:rFonts w:cs="Calibri"/>
                <w:color w:val="auto"/>
                <w:sz w:val="18"/>
                <w:szCs w:val="18"/>
              </w:rPr>
            </w:pPr>
            <w:r w:rsidRPr="00826A29">
              <w:rPr>
                <w:rFonts w:cs="Calibri"/>
                <w:color w:val="auto"/>
                <w:sz w:val="18"/>
                <w:szCs w:val="18"/>
              </w:rPr>
              <w:t>Chronic Pain</w:t>
            </w:r>
            <w:r>
              <w:rPr>
                <w:rFonts w:cs="Calibri"/>
                <w:color w:val="auto"/>
                <w:sz w:val="18"/>
                <w:szCs w:val="18"/>
              </w:rPr>
              <w:t>,</w:t>
            </w:r>
            <w:r w:rsidRPr="00826A29">
              <w:rPr>
                <w:rFonts w:cs="Calibri"/>
                <w:color w:val="auto"/>
                <w:sz w:val="18"/>
                <w:szCs w:val="18"/>
              </w:rPr>
              <w:t xml:space="preserve"> Left Shoulder and Right Knee</w:t>
            </w:r>
            <w:r>
              <w:rPr>
                <w:rFonts w:cs="Calibri"/>
                <w:color w:val="auto"/>
                <w:sz w:val="18"/>
                <w:szCs w:val="18"/>
              </w:rPr>
              <w:t xml:space="preserve"> (Subsuming Chronic Pain Syndrome)</w:t>
            </w:r>
          </w:p>
        </w:tc>
        <w:tc>
          <w:tcPr>
            <w:tcW w:w="682" w:type="dxa"/>
            <w:vMerge w:val="restart"/>
            <w:tcBorders>
              <w:left w:val="single" w:sz="4" w:space="0" w:color="auto"/>
            </w:tcBorders>
            <w:shd w:val="clear" w:color="auto" w:fill="FFFFFF" w:themeFill="background1"/>
            <w:vAlign w:val="center"/>
          </w:tcPr>
          <w:p w:rsidR="00AF541A" w:rsidRPr="00826A29" w:rsidRDefault="00AF541A" w:rsidP="00D63A52">
            <w:pPr>
              <w:spacing w:line="180" w:lineRule="exact"/>
              <w:contextualSpacing/>
              <w:rPr>
                <w:rFonts w:cs="Calibri"/>
                <w:color w:val="auto"/>
                <w:sz w:val="18"/>
                <w:szCs w:val="18"/>
              </w:rPr>
            </w:pPr>
            <w:r w:rsidRPr="00826A29">
              <w:rPr>
                <w:rFonts w:cs="Calibri"/>
                <w:color w:val="auto"/>
                <w:sz w:val="18"/>
                <w:szCs w:val="18"/>
              </w:rPr>
              <w:t>5099-5003</w:t>
            </w:r>
          </w:p>
        </w:tc>
        <w:tc>
          <w:tcPr>
            <w:tcW w:w="758" w:type="dxa"/>
            <w:vMerge w:val="restart"/>
            <w:tcBorders>
              <w:right w:val="thinThickThinSmallGap" w:sz="24" w:space="0" w:color="auto"/>
            </w:tcBorders>
            <w:shd w:val="clear" w:color="auto" w:fill="FFFFFF" w:themeFill="background1"/>
            <w:vAlign w:val="center"/>
          </w:tcPr>
          <w:p w:rsidR="00AF541A" w:rsidRPr="00826A29" w:rsidRDefault="00AF541A" w:rsidP="00D63A52">
            <w:pPr>
              <w:spacing w:line="220" w:lineRule="exact"/>
              <w:rPr>
                <w:rFonts w:cs="Calibri"/>
                <w:color w:val="auto"/>
                <w:sz w:val="18"/>
                <w:szCs w:val="18"/>
              </w:rPr>
            </w:pPr>
            <w:r w:rsidRPr="00826A29">
              <w:rPr>
                <w:rFonts w:cs="Calibri"/>
                <w:color w:val="auto"/>
                <w:sz w:val="18"/>
                <w:szCs w:val="18"/>
              </w:rPr>
              <w:t>0%</w:t>
            </w:r>
          </w:p>
        </w:tc>
        <w:tc>
          <w:tcPr>
            <w:tcW w:w="2790" w:type="dxa"/>
            <w:tcBorders>
              <w:left w:val="thinThickThinSmallGap" w:sz="2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Pr>
                <w:rFonts w:cs="Calibri"/>
                <w:color w:val="auto"/>
                <w:sz w:val="18"/>
                <w:szCs w:val="18"/>
              </w:rPr>
              <w:t xml:space="preserve">AC Sprain, </w:t>
            </w:r>
            <w:r w:rsidRPr="00826A29">
              <w:rPr>
                <w:rFonts w:cs="Calibri"/>
                <w:color w:val="auto"/>
                <w:sz w:val="18"/>
                <w:szCs w:val="18"/>
              </w:rPr>
              <w:t xml:space="preserve"> </w:t>
            </w:r>
            <w:r>
              <w:rPr>
                <w:rFonts w:cs="Calibri"/>
                <w:color w:val="auto"/>
                <w:sz w:val="18"/>
                <w:szCs w:val="18"/>
              </w:rPr>
              <w:t>L</w:t>
            </w:r>
            <w:r w:rsidRPr="00826A29">
              <w:rPr>
                <w:rFonts w:cs="Calibri"/>
                <w:color w:val="auto"/>
                <w:sz w:val="18"/>
                <w:szCs w:val="18"/>
              </w:rPr>
              <w:t xml:space="preserve"> Shoulder</w:t>
            </w:r>
          </w:p>
        </w:tc>
        <w:tc>
          <w:tcPr>
            <w:tcW w:w="1080"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5099-5019</w:t>
            </w:r>
          </w:p>
        </w:tc>
        <w:tc>
          <w:tcPr>
            <w:tcW w:w="720"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10%</w:t>
            </w:r>
          </w:p>
        </w:tc>
        <w:tc>
          <w:tcPr>
            <w:tcW w:w="972"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20080314</w:t>
            </w:r>
          </w:p>
        </w:tc>
      </w:tr>
      <w:tr w:rsidR="00AF541A" w:rsidRPr="002B4726" w:rsidTr="00D63A52">
        <w:trPr>
          <w:trHeight w:val="109"/>
        </w:trPr>
        <w:tc>
          <w:tcPr>
            <w:tcW w:w="2358" w:type="dxa"/>
            <w:vMerge/>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p>
        </w:tc>
        <w:tc>
          <w:tcPr>
            <w:tcW w:w="682" w:type="dxa"/>
            <w:vMerge/>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p>
        </w:tc>
        <w:tc>
          <w:tcPr>
            <w:tcW w:w="758" w:type="dxa"/>
            <w:vMerge/>
            <w:tcBorders>
              <w:righ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p>
        </w:tc>
        <w:tc>
          <w:tcPr>
            <w:tcW w:w="2790" w:type="dxa"/>
            <w:tcBorders>
              <w:left w:val="thinThickThinSmallGap" w:sz="24" w:space="0" w:color="auto"/>
              <w:bottom w:val="single" w:sz="4" w:space="0" w:color="auto"/>
              <w:right w:val="single" w:sz="4" w:space="0" w:color="auto"/>
            </w:tcBorders>
            <w:shd w:val="clear" w:color="auto" w:fill="FFFFFF" w:themeFill="background1"/>
            <w:vAlign w:val="center"/>
          </w:tcPr>
          <w:p w:rsidR="00AF541A" w:rsidRPr="00826A29" w:rsidRDefault="00101B01" w:rsidP="00D63A52">
            <w:pPr>
              <w:spacing w:line="220" w:lineRule="exact"/>
              <w:contextualSpacing/>
              <w:jc w:val="left"/>
              <w:rPr>
                <w:rFonts w:cs="Calibri"/>
                <w:color w:val="auto"/>
                <w:sz w:val="18"/>
                <w:szCs w:val="18"/>
              </w:rPr>
            </w:pPr>
            <w:r>
              <w:rPr>
                <w:rFonts w:cs="Calibri"/>
                <w:color w:val="auto"/>
                <w:sz w:val="18"/>
                <w:szCs w:val="18"/>
              </w:rPr>
              <w:t>PFS</w:t>
            </w:r>
            <w:r w:rsidR="00AF541A">
              <w:rPr>
                <w:rFonts w:cs="Calibri"/>
                <w:color w:val="auto"/>
                <w:sz w:val="18"/>
                <w:szCs w:val="18"/>
              </w:rPr>
              <w:t>, R Knee</w:t>
            </w:r>
          </w:p>
        </w:tc>
        <w:tc>
          <w:tcPr>
            <w:tcW w:w="1080" w:type="dxa"/>
            <w:tcBorders>
              <w:left w:val="single" w:sz="4" w:space="0" w:color="auto"/>
              <w:bottom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5099-5024</w:t>
            </w:r>
          </w:p>
        </w:tc>
        <w:tc>
          <w:tcPr>
            <w:tcW w:w="720" w:type="dxa"/>
            <w:tcBorders>
              <w:bottom w:val="single" w:sz="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NSC</w:t>
            </w:r>
          </w:p>
        </w:tc>
        <w:tc>
          <w:tcPr>
            <w:tcW w:w="972" w:type="dxa"/>
            <w:tcBorders>
              <w:left w:val="single" w:sz="4" w:space="0" w:color="auto"/>
              <w:bottom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20080314</w:t>
            </w:r>
          </w:p>
        </w:tc>
      </w:tr>
      <w:tr w:rsidR="00AF541A" w:rsidRPr="002B4726" w:rsidTr="00D63A52">
        <w:trPr>
          <w:trHeight w:val="196"/>
        </w:trPr>
        <w:tc>
          <w:tcPr>
            <w:tcW w:w="2358" w:type="dxa"/>
            <w:vMerge/>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p>
        </w:tc>
        <w:tc>
          <w:tcPr>
            <w:tcW w:w="682" w:type="dxa"/>
            <w:vMerge/>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p>
        </w:tc>
        <w:tc>
          <w:tcPr>
            <w:tcW w:w="758" w:type="dxa"/>
            <w:vMerge/>
            <w:tcBorders>
              <w:righ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p>
        </w:tc>
        <w:tc>
          <w:tcPr>
            <w:tcW w:w="2790" w:type="dxa"/>
            <w:tcBorders>
              <w:top w:val="single" w:sz="4" w:space="0" w:color="auto"/>
              <w:left w:val="thinThickThinSmallGap" w:sz="2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Chronic Pain Syndrome</w:t>
            </w:r>
          </w:p>
        </w:tc>
        <w:tc>
          <w:tcPr>
            <w:tcW w:w="1080" w:type="dxa"/>
            <w:tcBorders>
              <w:top w:val="single" w:sz="4" w:space="0" w:color="auto"/>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5099-5003</w:t>
            </w:r>
          </w:p>
        </w:tc>
        <w:tc>
          <w:tcPr>
            <w:tcW w:w="720" w:type="dxa"/>
            <w:tcBorders>
              <w:top w:val="single" w:sz="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NSC</w:t>
            </w:r>
          </w:p>
        </w:tc>
        <w:tc>
          <w:tcPr>
            <w:tcW w:w="972" w:type="dxa"/>
            <w:tcBorders>
              <w:top w:val="single" w:sz="4" w:space="0" w:color="auto"/>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20080314</w:t>
            </w:r>
          </w:p>
        </w:tc>
      </w:tr>
      <w:tr w:rsidR="00AF541A" w:rsidRPr="002B4726" w:rsidTr="00D63A52">
        <w:trPr>
          <w:trHeight w:val="66"/>
        </w:trPr>
        <w:tc>
          <w:tcPr>
            <w:tcW w:w="2358"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Torn Iris</w:t>
            </w:r>
          </w:p>
        </w:tc>
        <w:tc>
          <w:tcPr>
            <w:tcW w:w="1440" w:type="dxa"/>
            <w:gridSpan w:val="2"/>
            <w:tcBorders>
              <w:left w:val="single" w:sz="4" w:space="0" w:color="auto"/>
              <w:righ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Not Unfitting</w:t>
            </w:r>
          </w:p>
        </w:tc>
        <w:tc>
          <w:tcPr>
            <w:tcW w:w="2790" w:type="dxa"/>
            <w:tcBorders>
              <w:left w:val="thinThickThinSmallGap" w:sz="2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Slight Iris Tear</w:t>
            </w:r>
            <w:r>
              <w:rPr>
                <w:rFonts w:cs="Calibri"/>
                <w:color w:val="auto"/>
                <w:sz w:val="18"/>
                <w:szCs w:val="18"/>
              </w:rPr>
              <w:t>, R Eye</w:t>
            </w:r>
          </w:p>
        </w:tc>
        <w:tc>
          <w:tcPr>
            <w:tcW w:w="1080"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6099-6003</w:t>
            </w:r>
          </w:p>
        </w:tc>
        <w:tc>
          <w:tcPr>
            <w:tcW w:w="720"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NSC</w:t>
            </w:r>
          </w:p>
        </w:tc>
        <w:tc>
          <w:tcPr>
            <w:tcW w:w="972"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20080314</w:t>
            </w:r>
          </w:p>
        </w:tc>
      </w:tr>
      <w:tr w:rsidR="00AF541A" w:rsidRPr="002B4726" w:rsidTr="00D63A52">
        <w:trPr>
          <w:trHeight w:val="66"/>
        </w:trPr>
        <w:tc>
          <w:tcPr>
            <w:tcW w:w="2358"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Cataracts</w:t>
            </w:r>
          </w:p>
        </w:tc>
        <w:tc>
          <w:tcPr>
            <w:tcW w:w="1440" w:type="dxa"/>
            <w:gridSpan w:val="2"/>
            <w:tcBorders>
              <w:left w:val="single" w:sz="4" w:space="0" w:color="auto"/>
              <w:righ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Not Unfitting</w:t>
            </w:r>
          </w:p>
        </w:tc>
        <w:tc>
          <w:tcPr>
            <w:tcW w:w="2790" w:type="dxa"/>
            <w:tcBorders>
              <w:left w:val="thinThickThinSmallGap" w:sz="2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Bilateral Cataracts</w:t>
            </w:r>
          </w:p>
        </w:tc>
        <w:tc>
          <w:tcPr>
            <w:tcW w:w="1080"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6028</w:t>
            </w:r>
          </w:p>
        </w:tc>
        <w:tc>
          <w:tcPr>
            <w:tcW w:w="720"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NSC</w:t>
            </w:r>
          </w:p>
        </w:tc>
        <w:tc>
          <w:tcPr>
            <w:tcW w:w="972"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20080314</w:t>
            </w:r>
          </w:p>
        </w:tc>
      </w:tr>
      <w:tr w:rsidR="00AF541A" w:rsidRPr="002B4726" w:rsidTr="00D63A52">
        <w:trPr>
          <w:trHeight w:val="66"/>
        </w:trPr>
        <w:tc>
          <w:tcPr>
            <w:tcW w:w="2358"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Tinea Pedis</w:t>
            </w:r>
          </w:p>
        </w:tc>
        <w:tc>
          <w:tcPr>
            <w:tcW w:w="1440" w:type="dxa"/>
            <w:gridSpan w:val="2"/>
            <w:tcBorders>
              <w:left w:val="single" w:sz="4" w:space="0" w:color="auto"/>
              <w:righ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Not Unfitting</w:t>
            </w:r>
          </w:p>
        </w:tc>
        <w:tc>
          <w:tcPr>
            <w:tcW w:w="4590" w:type="dxa"/>
            <w:gridSpan w:val="3"/>
            <w:tcBorders>
              <w:left w:val="thinThickThinSmallGap" w:sz="2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No VA Entry</w:t>
            </w:r>
          </w:p>
        </w:tc>
        <w:tc>
          <w:tcPr>
            <w:tcW w:w="972"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20080314</w:t>
            </w:r>
          </w:p>
        </w:tc>
      </w:tr>
      <w:tr w:rsidR="00AF541A" w:rsidRPr="002B4726" w:rsidTr="00D63A52">
        <w:trPr>
          <w:trHeight w:val="66"/>
        </w:trPr>
        <w:tc>
          <w:tcPr>
            <w:tcW w:w="2358"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Pr>
                <w:rFonts w:cs="Calibri"/>
                <w:color w:val="auto"/>
                <w:sz w:val="18"/>
                <w:szCs w:val="18"/>
              </w:rPr>
              <w:t>Pilonid</w:t>
            </w:r>
            <w:r w:rsidRPr="00826A29">
              <w:rPr>
                <w:rFonts w:cs="Calibri"/>
                <w:color w:val="auto"/>
                <w:sz w:val="18"/>
                <w:szCs w:val="18"/>
              </w:rPr>
              <w:t>al Sinus</w:t>
            </w:r>
          </w:p>
        </w:tc>
        <w:tc>
          <w:tcPr>
            <w:tcW w:w="1440" w:type="dxa"/>
            <w:gridSpan w:val="2"/>
            <w:tcBorders>
              <w:left w:val="single" w:sz="4" w:space="0" w:color="auto"/>
              <w:righ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Not Unfitting</w:t>
            </w:r>
          </w:p>
        </w:tc>
        <w:tc>
          <w:tcPr>
            <w:tcW w:w="4590" w:type="dxa"/>
            <w:gridSpan w:val="3"/>
            <w:tcBorders>
              <w:left w:val="thinThickThinSmallGap" w:sz="2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No VA Entry</w:t>
            </w:r>
          </w:p>
        </w:tc>
        <w:tc>
          <w:tcPr>
            <w:tcW w:w="972"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20080314</w:t>
            </w:r>
          </w:p>
        </w:tc>
      </w:tr>
      <w:tr w:rsidR="00AF541A" w:rsidRPr="002B4726" w:rsidTr="00486412">
        <w:trPr>
          <w:trHeight w:val="66"/>
        </w:trPr>
        <w:tc>
          <w:tcPr>
            <w:tcW w:w="2358" w:type="dxa"/>
            <w:tcBorders>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Depression</w:t>
            </w:r>
          </w:p>
        </w:tc>
        <w:tc>
          <w:tcPr>
            <w:tcW w:w="1440" w:type="dxa"/>
            <w:gridSpan w:val="2"/>
            <w:tcBorders>
              <w:left w:val="single" w:sz="4" w:space="0" w:color="auto"/>
              <w:righ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Not Unfitting</w:t>
            </w:r>
          </w:p>
        </w:tc>
        <w:tc>
          <w:tcPr>
            <w:tcW w:w="2790" w:type="dxa"/>
            <w:tcBorders>
              <w:left w:val="thinThickThinSmallGap" w:sz="2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jc w:val="left"/>
              <w:rPr>
                <w:rFonts w:cs="Calibri"/>
                <w:color w:val="auto"/>
                <w:sz w:val="18"/>
                <w:szCs w:val="18"/>
              </w:rPr>
            </w:pPr>
            <w:r w:rsidRPr="00826A29">
              <w:rPr>
                <w:rFonts w:cs="Calibri"/>
                <w:color w:val="auto"/>
                <w:sz w:val="18"/>
                <w:szCs w:val="18"/>
              </w:rPr>
              <w:t>Depression</w:t>
            </w:r>
          </w:p>
        </w:tc>
        <w:tc>
          <w:tcPr>
            <w:tcW w:w="1080" w:type="dxa"/>
            <w:tcBorders>
              <w:left w:val="single" w:sz="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9434</w:t>
            </w:r>
          </w:p>
        </w:tc>
        <w:tc>
          <w:tcPr>
            <w:tcW w:w="720" w:type="dxa"/>
            <w:tcBorders>
              <w:left w:val="single" w:sz="4" w:space="0" w:color="auto"/>
              <w:righ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Pr>
                <w:rFonts w:cs="Calibri"/>
                <w:color w:val="auto"/>
                <w:sz w:val="18"/>
                <w:szCs w:val="18"/>
              </w:rPr>
              <w:t>NSC</w:t>
            </w:r>
          </w:p>
        </w:tc>
        <w:tc>
          <w:tcPr>
            <w:tcW w:w="972" w:type="dxa"/>
            <w:tcBorders>
              <w:left w:val="single" w:sz="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highlight w:val="yellow"/>
              </w:rPr>
            </w:pPr>
            <w:r w:rsidRPr="00826A29">
              <w:rPr>
                <w:rFonts w:cs="Calibri"/>
                <w:color w:val="auto"/>
                <w:sz w:val="18"/>
                <w:szCs w:val="18"/>
              </w:rPr>
              <w:t>200803</w:t>
            </w:r>
            <w:r>
              <w:rPr>
                <w:rFonts w:cs="Calibri"/>
                <w:color w:val="auto"/>
                <w:sz w:val="18"/>
                <w:szCs w:val="18"/>
              </w:rPr>
              <w:t>20</w:t>
            </w:r>
          </w:p>
        </w:tc>
      </w:tr>
      <w:tr w:rsidR="00AF541A" w:rsidRPr="002B4726" w:rsidTr="00D63A52">
        <w:trPr>
          <w:trHeight w:val="66"/>
        </w:trPr>
        <w:tc>
          <w:tcPr>
            <w:tcW w:w="3798" w:type="dxa"/>
            <w:gridSpan w:val="3"/>
            <w:tcBorders>
              <w:right w:val="thinThickThinSmallGap" w:sz="24" w:space="0" w:color="auto"/>
            </w:tcBorders>
            <w:shd w:val="clear" w:color="auto" w:fill="FFFFFF" w:themeFill="background1"/>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No Additional MEB/PEB Entries</w:t>
            </w:r>
          </w:p>
        </w:tc>
        <w:tc>
          <w:tcPr>
            <w:tcW w:w="4590" w:type="dxa"/>
            <w:gridSpan w:val="3"/>
            <w:tcBorders>
              <w:left w:val="thinThickThinSmallGap" w:sz="24" w:space="0" w:color="auto"/>
            </w:tcBorders>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Pr>
                <w:rFonts w:cs="Calibri"/>
                <w:color w:val="auto"/>
                <w:sz w:val="18"/>
                <w:szCs w:val="18"/>
              </w:rPr>
              <w:t>NSC (</w:t>
            </w:r>
            <w:r w:rsidR="009E283F">
              <w:rPr>
                <w:rFonts w:cs="Calibri"/>
                <w:color w:val="auto"/>
                <w:sz w:val="18"/>
                <w:szCs w:val="18"/>
              </w:rPr>
              <w:t>Not Service-</w:t>
            </w:r>
            <w:r w:rsidRPr="00826A29">
              <w:rPr>
                <w:rFonts w:cs="Calibri"/>
                <w:color w:val="auto"/>
                <w:sz w:val="18"/>
                <w:szCs w:val="18"/>
              </w:rPr>
              <w:t>Connected</w:t>
            </w:r>
            <w:r>
              <w:rPr>
                <w:rFonts w:cs="Calibri"/>
                <w:color w:val="auto"/>
                <w:sz w:val="18"/>
                <w:szCs w:val="18"/>
              </w:rPr>
              <w:t>)</w:t>
            </w:r>
            <w:r w:rsidRPr="00826A29">
              <w:rPr>
                <w:rFonts w:cs="Calibri"/>
                <w:color w:val="auto"/>
                <w:sz w:val="18"/>
                <w:szCs w:val="18"/>
              </w:rPr>
              <w:t xml:space="preserve"> x 1</w:t>
            </w:r>
            <w:r>
              <w:rPr>
                <w:rFonts w:cs="Calibri"/>
                <w:color w:val="auto"/>
                <w:sz w:val="18"/>
                <w:szCs w:val="18"/>
              </w:rPr>
              <w:t>2 Additional</w:t>
            </w:r>
          </w:p>
        </w:tc>
        <w:tc>
          <w:tcPr>
            <w:tcW w:w="972" w:type="dxa"/>
            <w:shd w:val="clear" w:color="auto" w:fill="FFFFFF" w:themeFill="background1"/>
            <w:vAlign w:val="center"/>
          </w:tcPr>
          <w:p w:rsidR="00AF541A" w:rsidRPr="00826A29" w:rsidRDefault="00AF541A" w:rsidP="00D63A52">
            <w:pPr>
              <w:spacing w:line="220" w:lineRule="exact"/>
              <w:contextualSpacing/>
              <w:rPr>
                <w:rFonts w:cs="Calibri"/>
                <w:color w:val="auto"/>
                <w:sz w:val="18"/>
                <w:szCs w:val="18"/>
              </w:rPr>
            </w:pPr>
            <w:r w:rsidRPr="00826A29">
              <w:rPr>
                <w:rFonts w:cs="Calibri"/>
                <w:color w:val="auto"/>
                <w:sz w:val="18"/>
                <w:szCs w:val="18"/>
              </w:rPr>
              <w:t>20080314</w:t>
            </w:r>
          </w:p>
        </w:tc>
      </w:tr>
      <w:tr w:rsidR="00AF541A" w:rsidRPr="002B4726" w:rsidTr="00D63A52">
        <w:trPr>
          <w:trHeight w:val="242"/>
        </w:trPr>
        <w:tc>
          <w:tcPr>
            <w:tcW w:w="3798" w:type="dxa"/>
            <w:gridSpan w:val="3"/>
            <w:tcBorders>
              <w:right w:val="thinThickThinSmallGap" w:sz="24" w:space="0" w:color="auto"/>
            </w:tcBorders>
            <w:shd w:val="clear" w:color="auto" w:fill="D9D9D9" w:themeFill="background1" w:themeFillShade="D9"/>
          </w:tcPr>
          <w:p w:rsidR="00AF541A" w:rsidRPr="00826A29" w:rsidRDefault="00AF541A" w:rsidP="00D63A52">
            <w:pPr>
              <w:contextualSpacing/>
              <w:rPr>
                <w:rFonts w:cs="Calibri"/>
                <w:b/>
                <w:color w:val="auto"/>
                <w:sz w:val="18"/>
                <w:szCs w:val="18"/>
              </w:rPr>
            </w:pPr>
            <w:r w:rsidRPr="00826A29">
              <w:rPr>
                <w:rFonts w:cs="Calibri"/>
                <w:b/>
                <w:color w:val="auto"/>
                <w:sz w:val="18"/>
                <w:szCs w:val="18"/>
              </w:rPr>
              <w:t>Combined:  10%</w:t>
            </w:r>
          </w:p>
        </w:tc>
        <w:tc>
          <w:tcPr>
            <w:tcW w:w="5562" w:type="dxa"/>
            <w:gridSpan w:val="4"/>
            <w:tcBorders>
              <w:left w:val="thinThickThinSmallGap" w:sz="24" w:space="0" w:color="auto"/>
            </w:tcBorders>
            <w:shd w:val="clear" w:color="auto" w:fill="D9D9D9" w:themeFill="background1" w:themeFillShade="D9"/>
          </w:tcPr>
          <w:p w:rsidR="00AF541A" w:rsidRPr="00826A29" w:rsidRDefault="00AF541A" w:rsidP="00D63A52">
            <w:pPr>
              <w:contextualSpacing/>
              <w:rPr>
                <w:rFonts w:cs="Calibri"/>
                <w:b/>
                <w:color w:val="auto"/>
                <w:sz w:val="18"/>
                <w:szCs w:val="18"/>
              </w:rPr>
            </w:pPr>
            <w:r w:rsidRPr="00826A29">
              <w:rPr>
                <w:rFonts w:cs="Calibri"/>
                <w:b/>
                <w:color w:val="auto"/>
                <w:sz w:val="18"/>
                <w:szCs w:val="18"/>
              </w:rPr>
              <w:t>Combined:  20%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823C29" w:rsidRPr="007224C1" w:rsidRDefault="00AD2379" w:rsidP="00823C29">
      <w:pPr>
        <w:jc w:val="both"/>
        <w:rPr>
          <w:color w:val="000000" w:themeColor="text1"/>
          <w:szCs w:val="24"/>
          <w:u w:val="single"/>
        </w:rPr>
      </w:pPr>
      <w:r w:rsidRPr="007224C1">
        <w:rPr>
          <w:color w:val="000000"/>
          <w:szCs w:val="24"/>
          <w:u w:val="single"/>
        </w:rPr>
        <w:t>ANALYSIS SUMMARY</w:t>
      </w:r>
      <w:r w:rsidRPr="007224C1">
        <w:rPr>
          <w:color w:val="000000"/>
          <w:szCs w:val="24"/>
        </w:rPr>
        <w:t xml:space="preserve">: </w:t>
      </w:r>
      <w:r w:rsidR="00823C29" w:rsidRPr="007224C1">
        <w:rPr>
          <w:color w:val="000000"/>
          <w:szCs w:val="24"/>
        </w:rPr>
        <w:t xml:space="preserve">  </w:t>
      </w:r>
    </w:p>
    <w:p w:rsidR="00AD2379" w:rsidRPr="007224C1" w:rsidRDefault="00AD2379" w:rsidP="00726F84">
      <w:pPr>
        <w:jc w:val="both"/>
        <w:rPr>
          <w:color w:val="000000"/>
          <w:szCs w:val="24"/>
        </w:rPr>
      </w:pPr>
    </w:p>
    <w:p w:rsidR="0069687C" w:rsidRDefault="00823C29" w:rsidP="0069687C">
      <w:pPr>
        <w:jc w:val="both"/>
        <w:rPr>
          <w:color w:val="000000"/>
          <w:szCs w:val="24"/>
        </w:rPr>
      </w:pPr>
      <w:r w:rsidRPr="007224C1">
        <w:rPr>
          <w:color w:val="000000"/>
          <w:szCs w:val="24"/>
          <w:u w:val="single"/>
        </w:rPr>
        <w:t>Lumbar Spine</w:t>
      </w:r>
      <w:r w:rsidR="00AD2379" w:rsidRPr="007224C1">
        <w:rPr>
          <w:color w:val="000000"/>
          <w:szCs w:val="24"/>
          <w:u w:val="single"/>
        </w:rPr>
        <w:t xml:space="preserve"> Condition</w:t>
      </w:r>
      <w:r w:rsidR="00AD2379" w:rsidRPr="007224C1">
        <w:rPr>
          <w:color w:val="000000"/>
          <w:szCs w:val="24"/>
        </w:rPr>
        <w:t xml:space="preserve">. </w:t>
      </w:r>
      <w:r w:rsidR="00385708" w:rsidRPr="007224C1">
        <w:rPr>
          <w:color w:val="000000"/>
          <w:szCs w:val="24"/>
        </w:rPr>
        <w:t xml:space="preserve"> </w:t>
      </w:r>
      <w:r w:rsidR="008B71A1">
        <w:rPr>
          <w:color w:val="000000"/>
          <w:szCs w:val="24"/>
        </w:rPr>
        <w:t xml:space="preserve">The </w:t>
      </w:r>
      <w:r w:rsidR="00101B01">
        <w:rPr>
          <w:color w:val="000000"/>
          <w:szCs w:val="24"/>
        </w:rPr>
        <w:t xml:space="preserve">CI had a history of back pain dating to 2005 without specific injury.  It was associated with right </w:t>
      </w:r>
      <w:r w:rsidR="00DC4E42">
        <w:rPr>
          <w:color w:val="000000"/>
          <w:szCs w:val="24"/>
        </w:rPr>
        <w:t>sciatic</w:t>
      </w:r>
      <w:r w:rsidR="00101B01">
        <w:rPr>
          <w:color w:val="000000"/>
          <w:szCs w:val="24"/>
        </w:rPr>
        <w:t xml:space="preserve"> radiation</w:t>
      </w:r>
      <w:r w:rsidR="00DC4E42">
        <w:rPr>
          <w:color w:val="000000"/>
          <w:szCs w:val="24"/>
        </w:rPr>
        <w:t>;</w:t>
      </w:r>
      <w:r w:rsidR="00101B01">
        <w:rPr>
          <w:color w:val="000000"/>
          <w:szCs w:val="24"/>
        </w:rPr>
        <w:t xml:space="preserve"> and</w:t>
      </w:r>
      <w:r w:rsidR="00DC4E42">
        <w:rPr>
          <w:color w:val="000000"/>
          <w:szCs w:val="24"/>
        </w:rPr>
        <w:t>,</w:t>
      </w:r>
      <w:r w:rsidR="00101B01">
        <w:rPr>
          <w:color w:val="000000"/>
          <w:szCs w:val="24"/>
        </w:rPr>
        <w:t xml:space="preserve"> magnetic resonance imaging (MRI) </w:t>
      </w:r>
      <w:r w:rsidR="00DC4E42">
        <w:rPr>
          <w:color w:val="000000"/>
          <w:szCs w:val="24"/>
        </w:rPr>
        <w:t>demonstrated multi-level</w:t>
      </w:r>
      <w:r w:rsidR="00101B01">
        <w:rPr>
          <w:color w:val="000000"/>
          <w:szCs w:val="24"/>
        </w:rPr>
        <w:t xml:space="preserve"> degenerative disc disease with a disc bulge at L5/S1.  He underwent a course of conservative management which included epidural steroid injection</w:t>
      </w:r>
      <w:r w:rsidR="00DC4E42">
        <w:rPr>
          <w:color w:val="000000"/>
          <w:szCs w:val="24"/>
        </w:rPr>
        <w:t>s</w:t>
      </w:r>
      <w:r w:rsidR="00101B01">
        <w:rPr>
          <w:color w:val="000000"/>
          <w:szCs w:val="24"/>
        </w:rPr>
        <w:t>, but failed to improve.  There were no neurologi</w:t>
      </w:r>
      <w:r w:rsidR="00486412">
        <w:rPr>
          <w:color w:val="000000"/>
          <w:szCs w:val="24"/>
        </w:rPr>
        <w:t>c deficits by examination, and the neurosurgical consultant</w:t>
      </w:r>
      <w:r w:rsidR="00101B01">
        <w:rPr>
          <w:color w:val="000000"/>
          <w:szCs w:val="24"/>
        </w:rPr>
        <w:t xml:space="preserve"> opined that he was not a surgical candidate. </w:t>
      </w:r>
      <w:r w:rsidR="008B71A1">
        <w:rPr>
          <w:color w:val="000000"/>
          <w:szCs w:val="24"/>
        </w:rPr>
        <w:t xml:space="preserve"> </w:t>
      </w:r>
      <w:r w:rsidR="00385708" w:rsidRPr="007224C1">
        <w:rPr>
          <w:color w:val="000000"/>
          <w:szCs w:val="24"/>
        </w:rPr>
        <w:t xml:space="preserve">The </w:t>
      </w:r>
      <w:r w:rsidR="00163349">
        <w:rPr>
          <w:color w:val="000000"/>
          <w:szCs w:val="24"/>
        </w:rPr>
        <w:t>narrative summary (NARSUM) noted</w:t>
      </w:r>
      <w:r w:rsidR="00385708" w:rsidRPr="007224C1">
        <w:rPr>
          <w:color w:val="000000"/>
          <w:szCs w:val="24"/>
        </w:rPr>
        <w:t xml:space="preserve"> </w:t>
      </w:r>
      <w:r w:rsidR="00163349">
        <w:rPr>
          <w:color w:val="000000"/>
          <w:szCs w:val="24"/>
        </w:rPr>
        <w:t xml:space="preserve">recalcitrant low back pain </w:t>
      </w:r>
      <w:r w:rsidR="00840C65">
        <w:rPr>
          <w:color w:val="000000"/>
          <w:szCs w:val="24"/>
        </w:rPr>
        <w:t>with sciatic radicular pain (</w:t>
      </w:r>
      <w:r w:rsidR="00163349">
        <w:rPr>
          <w:color w:val="000000"/>
          <w:szCs w:val="24"/>
        </w:rPr>
        <w:t>without complaint of extremity weakness or paresthesias</w:t>
      </w:r>
      <w:r w:rsidR="00840C65">
        <w:rPr>
          <w:color w:val="000000"/>
          <w:szCs w:val="24"/>
        </w:rPr>
        <w:t>)</w:t>
      </w:r>
      <w:r w:rsidR="00163349">
        <w:rPr>
          <w:color w:val="000000"/>
          <w:szCs w:val="24"/>
        </w:rPr>
        <w:t xml:space="preserve">.  The physical exam noted a normal gait and contour, tenderness without spasm, and normal neurological findings.  The </w:t>
      </w:r>
      <w:r w:rsidR="009E283F">
        <w:rPr>
          <w:color w:val="000000"/>
          <w:szCs w:val="24"/>
        </w:rPr>
        <w:t>Department of Veterans’ Affairs (D</w:t>
      </w:r>
      <w:r w:rsidR="00163349" w:rsidRPr="007224C1">
        <w:rPr>
          <w:color w:val="000000"/>
          <w:szCs w:val="24"/>
        </w:rPr>
        <w:t>VA</w:t>
      </w:r>
      <w:r w:rsidR="009E283F">
        <w:rPr>
          <w:color w:val="000000"/>
          <w:szCs w:val="24"/>
        </w:rPr>
        <w:t>)</w:t>
      </w:r>
      <w:r w:rsidR="00163349" w:rsidRPr="007224C1">
        <w:rPr>
          <w:color w:val="000000"/>
          <w:szCs w:val="24"/>
        </w:rPr>
        <w:t xml:space="preserve"> Compensation and Pension (C&amp;P) exam</w:t>
      </w:r>
      <w:r w:rsidR="009E283F">
        <w:rPr>
          <w:color w:val="000000"/>
          <w:szCs w:val="24"/>
        </w:rPr>
        <w:t xml:space="preserve">, performed </w:t>
      </w:r>
      <w:r w:rsidR="00163349">
        <w:rPr>
          <w:color w:val="000000"/>
          <w:szCs w:val="24"/>
        </w:rPr>
        <w:t xml:space="preserve">7 </w:t>
      </w:r>
      <w:r w:rsidR="00163349" w:rsidRPr="00163349">
        <w:rPr>
          <w:color w:val="000000"/>
          <w:szCs w:val="24"/>
        </w:rPr>
        <w:t xml:space="preserve">months </w:t>
      </w:r>
      <w:r w:rsidR="009E283F">
        <w:rPr>
          <w:color w:val="000000"/>
          <w:szCs w:val="24"/>
        </w:rPr>
        <w:t xml:space="preserve">after </w:t>
      </w:r>
      <w:r w:rsidR="00163349" w:rsidRPr="00163349">
        <w:rPr>
          <w:color w:val="000000"/>
          <w:szCs w:val="24"/>
        </w:rPr>
        <w:t>separation</w:t>
      </w:r>
      <w:r w:rsidR="009E283F">
        <w:rPr>
          <w:color w:val="000000"/>
          <w:szCs w:val="24"/>
        </w:rPr>
        <w:t>,</w:t>
      </w:r>
      <w:r w:rsidR="00163349">
        <w:rPr>
          <w:color w:val="000000"/>
          <w:szCs w:val="24"/>
        </w:rPr>
        <w:t xml:space="preserve"> </w:t>
      </w:r>
      <w:r w:rsidR="00B61E22">
        <w:rPr>
          <w:color w:val="000000"/>
          <w:szCs w:val="24"/>
        </w:rPr>
        <w:t xml:space="preserve">noted constant </w:t>
      </w:r>
      <w:r w:rsidR="00840C65">
        <w:rPr>
          <w:color w:val="000000"/>
          <w:szCs w:val="24"/>
        </w:rPr>
        <w:t xml:space="preserve">back </w:t>
      </w:r>
      <w:r w:rsidR="00B61E22">
        <w:rPr>
          <w:color w:val="000000"/>
          <w:szCs w:val="24"/>
        </w:rPr>
        <w:t>pain rated 5/10</w:t>
      </w:r>
      <w:r w:rsidR="00840C65">
        <w:rPr>
          <w:color w:val="000000"/>
          <w:szCs w:val="24"/>
        </w:rPr>
        <w:t>, but no radicular pain was present.</w:t>
      </w:r>
      <w:r w:rsidR="00B61E22">
        <w:rPr>
          <w:color w:val="000000"/>
          <w:szCs w:val="24"/>
        </w:rPr>
        <w:t xml:space="preserve"> </w:t>
      </w:r>
      <w:r w:rsidR="00840C65">
        <w:rPr>
          <w:color w:val="000000"/>
          <w:szCs w:val="24"/>
        </w:rPr>
        <w:t xml:space="preserve"> </w:t>
      </w:r>
      <w:r w:rsidR="00B61E22">
        <w:rPr>
          <w:color w:val="000000"/>
          <w:szCs w:val="24"/>
        </w:rPr>
        <w:t>A history of incapacitating episodes was reported</w:t>
      </w:r>
      <w:r w:rsidR="00B85F5F">
        <w:rPr>
          <w:color w:val="000000"/>
          <w:szCs w:val="24"/>
        </w:rPr>
        <w:t xml:space="preserve"> to the VA examiner</w:t>
      </w:r>
      <w:r w:rsidR="00B61E22">
        <w:rPr>
          <w:color w:val="000000"/>
          <w:szCs w:val="24"/>
        </w:rPr>
        <w:t xml:space="preserve">, but not corroborated in the </w:t>
      </w:r>
      <w:r w:rsidR="009E283F">
        <w:rPr>
          <w:color w:val="000000"/>
          <w:szCs w:val="24"/>
        </w:rPr>
        <w:t>s</w:t>
      </w:r>
      <w:r w:rsidR="00B61E22">
        <w:rPr>
          <w:color w:val="000000"/>
          <w:szCs w:val="24"/>
        </w:rPr>
        <w:t xml:space="preserve">ervice record.  All physical and neurologic findings were recorded as normal.  </w:t>
      </w:r>
      <w:r w:rsidR="0069687C" w:rsidRPr="007224C1">
        <w:rPr>
          <w:color w:val="000000"/>
          <w:szCs w:val="24"/>
        </w:rPr>
        <w:t xml:space="preserve">There were </w:t>
      </w:r>
      <w:r w:rsidR="009E283F">
        <w:rPr>
          <w:color w:val="000000"/>
          <w:szCs w:val="24"/>
        </w:rPr>
        <w:t>two</w:t>
      </w:r>
      <w:r w:rsidR="00DC4E42">
        <w:rPr>
          <w:color w:val="000000"/>
          <w:szCs w:val="24"/>
        </w:rPr>
        <w:t xml:space="preserve"> goniometric range-of-</w:t>
      </w:r>
      <w:r w:rsidR="0069687C" w:rsidRPr="007224C1">
        <w:rPr>
          <w:color w:val="000000"/>
          <w:szCs w:val="24"/>
        </w:rPr>
        <w:t>motion (ROM) evaluations in evidence, with documentation of additional ratable criteria, which the Board weighed in arriving at its rating recommendation; as summarized in the chart below.</w:t>
      </w:r>
    </w:p>
    <w:p w:rsidR="009E316F" w:rsidRPr="007224C1" w:rsidRDefault="009E316F" w:rsidP="0069687C">
      <w:pPr>
        <w:jc w:val="both"/>
        <w:rPr>
          <w:color w:val="000000"/>
          <w:szCs w:val="24"/>
        </w:rPr>
      </w:pPr>
    </w:p>
    <w:tbl>
      <w:tblPr>
        <w:tblW w:w="7025" w:type="dxa"/>
        <w:jc w:val="center"/>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57"/>
        <w:gridCol w:w="2338"/>
        <w:gridCol w:w="2430"/>
      </w:tblGrid>
      <w:tr w:rsidR="008B71A1" w:rsidRPr="000D129E" w:rsidTr="00B85F5F">
        <w:trPr>
          <w:jc w:val="center"/>
        </w:trPr>
        <w:tc>
          <w:tcPr>
            <w:tcW w:w="2257" w:type="dxa"/>
            <w:shd w:val="clear" w:color="auto" w:fill="D9D9D9"/>
            <w:vAlign w:val="center"/>
          </w:tcPr>
          <w:p w:rsidR="008B71A1" w:rsidRPr="000D129E" w:rsidRDefault="008B71A1" w:rsidP="000D129E">
            <w:pPr>
              <w:contextualSpacing/>
              <w:rPr>
                <w:rFonts w:cs="Times New Roman"/>
                <w:color w:val="auto"/>
                <w:sz w:val="22"/>
              </w:rPr>
            </w:pPr>
            <w:r w:rsidRPr="000D129E">
              <w:rPr>
                <w:rFonts w:cs="Times New Roman"/>
                <w:color w:val="auto"/>
                <w:sz w:val="22"/>
              </w:rPr>
              <w:t>Thoracolumbar ROM</w:t>
            </w:r>
          </w:p>
        </w:tc>
        <w:tc>
          <w:tcPr>
            <w:tcW w:w="2338" w:type="dxa"/>
            <w:shd w:val="clear" w:color="auto" w:fill="D9D9D9"/>
            <w:vAlign w:val="center"/>
          </w:tcPr>
          <w:p w:rsidR="008B71A1" w:rsidRPr="000D129E" w:rsidRDefault="00B85F5F" w:rsidP="000D129E">
            <w:pPr>
              <w:contextualSpacing/>
              <w:rPr>
                <w:rFonts w:cs="Times New Roman"/>
                <w:color w:val="auto"/>
                <w:sz w:val="22"/>
              </w:rPr>
            </w:pPr>
            <w:r>
              <w:rPr>
                <w:rFonts w:cs="Times New Roman"/>
                <w:color w:val="auto"/>
                <w:sz w:val="22"/>
              </w:rPr>
              <w:t xml:space="preserve">MEB </w:t>
            </w:r>
            <w:r w:rsidR="008B71A1">
              <w:rPr>
                <w:rFonts w:cs="Times New Roman"/>
                <w:color w:val="auto"/>
                <w:sz w:val="22"/>
              </w:rPr>
              <w:t>PT ~2</w:t>
            </w:r>
            <w:r w:rsidR="008B71A1" w:rsidRPr="000D129E">
              <w:rPr>
                <w:rFonts w:cs="Times New Roman"/>
                <w:color w:val="auto"/>
                <w:sz w:val="22"/>
              </w:rPr>
              <w:t xml:space="preserve"> Mo. Pre-Sep</w:t>
            </w:r>
          </w:p>
        </w:tc>
        <w:tc>
          <w:tcPr>
            <w:tcW w:w="2430" w:type="dxa"/>
            <w:shd w:val="clear" w:color="auto" w:fill="D9D9D9"/>
            <w:vAlign w:val="center"/>
          </w:tcPr>
          <w:p w:rsidR="008B71A1" w:rsidRPr="000D129E" w:rsidRDefault="008B71A1" w:rsidP="000D129E">
            <w:pPr>
              <w:contextualSpacing/>
              <w:rPr>
                <w:rFonts w:cs="Times New Roman"/>
                <w:color w:val="auto"/>
                <w:sz w:val="22"/>
              </w:rPr>
            </w:pPr>
            <w:r w:rsidRPr="000D129E">
              <w:rPr>
                <w:rFonts w:cs="Times New Roman"/>
                <w:color w:val="auto"/>
                <w:sz w:val="22"/>
              </w:rPr>
              <w:t>VA C&amp;P ~</w:t>
            </w:r>
            <w:r w:rsidR="00B61E22">
              <w:rPr>
                <w:rFonts w:cs="Times New Roman"/>
                <w:color w:val="auto"/>
                <w:sz w:val="22"/>
              </w:rPr>
              <w:t>7</w:t>
            </w:r>
            <w:r>
              <w:rPr>
                <w:rFonts w:cs="Times New Roman"/>
                <w:color w:val="auto"/>
                <w:sz w:val="22"/>
              </w:rPr>
              <w:t xml:space="preserve"> Mo. Post</w:t>
            </w:r>
            <w:r w:rsidRPr="000D129E">
              <w:rPr>
                <w:rFonts w:cs="Times New Roman"/>
                <w:color w:val="auto"/>
                <w:sz w:val="22"/>
              </w:rPr>
              <w:t>-Sep</w:t>
            </w:r>
          </w:p>
        </w:tc>
      </w:tr>
      <w:tr w:rsidR="008B71A1" w:rsidRPr="000D129E" w:rsidTr="00B85F5F">
        <w:trPr>
          <w:jc w:val="center"/>
        </w:trPr>
        <w:tc>
          <w:tcPr>
            <w:tcW w:w="2257" w:type="dxa"/>
            <w:vAlign w:val="center"/>
          </w:tcPr>
          <w:p w:rsidR="008B71A1" w:rsidRPr="000D129E" w:rsidRDefault="008B71A1" w:rsidP="000D129E">
            <w:pPr>
              <w:contextualSpacing/>
              <w:rPr>
                <w:rFonts w:cs="Times New Roman"/>
                <w:color w:val="auto"/>
                <w:sz w:val="22"/>
              </w:rPr>
            </w:pPr>
            <w:r w:rsidRPr="000D129E">
              <w:rPr>
                <w:rFonts w:cs="Times New Roman"/>
                <w:color w:val="auto"/>
                <w:sz w:val="22"/>
              </w:rPr>
              <w:t>Flexion (90⁰ Normal)</w:t>
            </w:r>
          </w:p>
        </w:tc>
        <w:tc>
          <w:tcPr>
            <w:tcW w:w="2338" w:type="dxa"/>
            <w:vAlign w:val="center"/>
          </w:tcPr>
          <w:p w:rsidR="008B71A1" w:rsidRPr="000D129E" w:rsidRDefault="008B71A1" w:rsidP="000D129E">
            <w:pPr>
              <w:contextualSpacing/>
              <w:rPr>
                <w:rFonts w:cs="Times New Roman"/>
                <w:color w:val="auto"/>
                <w:sz w:val="22"/>
              </w:rPr>
            </w:pPr>
            <w:r>
              <w:rPr>
                <w:rFonts w:cs="Times New Roman"/>
                <w:color w:val="auto"/>
                <w:sz w:val="22"/>
              </w:rPr>
              <w:t>35</w:t>
            </w:r>
            <w:r w:rsidRPr="000D129E">
              <w:rPr>
                <w:rFonts w:cs="Times New Roman"/>
                <w:color w:val="auto"/>
                <w:sz w:val="22"/>
              </w:rPr>
              <w:t>⁰</w:t>
            </w:r>
          </w:p>
        </w:tc>
        <w:tc>
          <w:tcPr>
            <w:tcW w:w="2430" w:type="dxa"/>
          </w:tcPr>
          <w:p w:rsidR="008B71A1" w:rsidRPr="000D129E" w:rsidRDefault="008B71A1" w:rsidP="000D129E">
            <w:pPr>
              <w:contextualSpacing/>
              <w:rPr>
                <w:rFonts w:cs="Times New Roman"/>
                <w:color w:val="auto"/>
                <w:sz w:val="22"/>
              </w:rPr>
            </w:pPr>
            <w:r>
              <w:rPr>
                <w:rFonts w:cs="Times New Roman"/>
                <w:color w:val="auto"/>
                <w:sz w:val="22"/>
              </w:rPr>
              <w:t>80⁰</w:t>
            </w:r>
          </w:p>
        </w:tc>
      </w:tr>
      <w:tr w:rsidR="008B71A1" w:rsidRPr="000D129E" w:rsidTr="00B85F5F">
        <w:trPr>
          <w:jc w:val="center"/>
        </w:trPr>
        <w:tc>
          <w:tcPr>
            <w:tcW w:w="2257" w:type="dxa"/>
            <w:vAlign w:val="center"/>
          </w:tcPr>
          <w:p w:rsidR="008B71A1" w:rsidRPr="000D129E" w:rsidRDefault="008B71A1" w:rsidP="000D129E">
            <w:pPr>
              <w:contextualSpacing/>
              <w:rPr>
                <w:rFonts w:cs="Times New Roman"/>
                <w:color w:val="auto"/>
                <w:sz w:val="22"/>
              </w:rPr>
            </w:pPr>
            <w:r w:rsidRPr="000D129E">
              <w:rPr>
                <w:rFonts w:cs="Times New Roman"/>
                <w:color w:val="auto"/>
                <w:sz w:val="22"/>
              </w:rPr>
              <w:t>Combined (240⁰)</w:t>
            </w:r>
          </w:p>
        </w:tc>
        <w:tc>
          <w:tcPr>
            <w:tcW w:w="2338" w:type="dxa"/>
            <w:vAlign w:val="center"/>
          </w:tcPr>
          <w:p w:rsidR="008B71A1" w:rsidRPr="000D129E" w:rsidRDefault="008B71A1" w:rsidP="000D129E">
            <w:pPr>
              <w:contextualSpacing/>
              <w:rPr>
                <w:rFonts w:cs="Times New Roman"/>
                <w:color w:val="auto"/>
                <w:sz w:val="22"/>
              </w:rPr>
            </w:pPr>
            <w:r>
              <w:rPr>
                <w:rFonts w:cs="Times New Roman"/>
                <w:color w:val="auto"/>
                <w:sz w:val="22"/>
              </w:rPr>
              <w:t>190</w:t>
            </w:r>
            <w:r w:rsidRPr="000D129E">
              <w:rPr>
                <w:rFonts w:cs="Times New Roman"/>
                <w:color w:val="auto"/>
                <w:sz w:val="22"/>
              </w:rPr>
              <w:t>⁰</w:t>
            </w:r>
          </w:p>
        </w:tc>
        <w:tc>
          <w:tcPr>
            <w:tcW w:w="2430" w:type="dxa"/>
          </w:tcPr>
          <w:p w:rsidR="008B71A1" w:rsidRPr="000D129E" w:rsidRDefault="008B71A1" w:rsidP="000D129E">
            <w:pPr>
              <w:contextualSpacing/>
              <w:rPr>
                <w:rFonts w:cs="Times New Roman"/>
                <w:color w:val="auto"/>
                <w:sz w:val="22"/>
              </w:rPr>
            </w:pPr>
            <w:r>
              <w:rPr>
                <w:rFonts w:cs="Times New Roman"/>
                <w:color w:val="auto"/>
                <w:sz w:val="22"/>
              </w:rPr>
              <w:t>230⁰</w:t>
            </w:r>
          </w:p>
        </w:tc>
      </w:tr>
      <w:tr w:rsidR="008B71A1" w:rsidRPr="000D129E" w:rsidTr="00B85F5F">
        <w:trPr>
          <w:trHeight w:val="58"/>
          <w:jc w:val="center"/>
        </w:trPr>
        <w:tc>
          <w:tcPr>
            <w:tcW w:w="2257" w:type="dxa"/>
            <w:vAlign w:val="center"/>
          </w:tcPr>
          <w:p w:rsidR="008B71A1" w:rsidRPr="000D129E" w:rsidRDefault="008B71A1" w:rsidP="000D129E">
            <w:pPr>
              <w:tabs>
                <w:tab w:val="left" w:pos="288"/>
                <w:tab w:val="left" w:pos="4752"/>
              </w:tabs>
              <w:rPr>
                <w:rFonts w:cs="Times New Roman"/>
                <w:color w:val="auto"/>
                <w:sz w:val="22"/>
              </w:rPr>
            </w:pPr>
            <w:r w:rsidRPr="000D129E">
              <w:rPr>
                <w:rFonts w:cs="Times New Roman"/>
                <w:color w:val="auto"/>
                <w:sz w:val="22"/>
              </w:rPr>
              <w:t>Comments</w:t>
            </w:r>
          </w:p>
        </w:tc>
        <w:tc>
          <w:tcPr>
            <w:tcW w:w="2338" w:type="dxa"/>
            <w:vAlign w:val="center"/>
          </w:tcPr>
          <w:p w:rsidR="008B71A1" w:rsidRPr="000D129E" w:rsidRDefault="008B71A1" w:rsidP="000D129E">
            <w:pPr>
              <w:tabs>
                <w:tab w:val="left" w:pos="288"/>
                <w:tab w:val="left" w:pos="4752"/>
              </w:tabs>
              <w:rPr>
                <w:rFonts w:cs="Times New Roman"/>
                <w:color w:val="auto"/>
                <w:sz w:val="22"/>
              </w:rPr>
            </w:pPr>
            <w:r>
              <w:rPr>
                <w:rFonts w:cs="Times New Roman"/>
                <w:color w:val="auto"/>
                <w:sz w:val="22"/>
              </w:rPr>
              <w:t>Painful motion.</w:t>
            </w:r>
          </w:p>
        </w:tc>
        <w:tc>
          <w:tcPr>
            <w:tcW w:w="2430" w:type="dxa"/>
          </w:tcPr>
          <w:p w:rsidR="008B71A1" w:rsidRPr="000D129E" w:rsidRDefault="008B71A1" w:rsidP="000D129E">
            <w:pPr>
              <w:tabs>
                <w:tab w:val="left" w:pos="288"/>
                <w:tab w:val="left" w:pos="4752"/>
              </w:tabs>
              <w:rPr>
                <w:color w:val="auto"/>
                <w:sz w:val="22"/>
              </w:rPr>
            </w:pPr>
            <w:r>
              <w:rPr>
                <w:rFonts w:cs="Times New Roman"/>
                <w:color w:val="auto"/>
                <w:sz w:val="22"/>
              </w:rPr>
              <w:t>Painful motion.</w:t>
            </w:r>
          </w:p>
        </w:tc>
      </w:tr>
      <w:tr w:rsidR="008B71A1" w:rsidRPr="000D129E" w:rsidTr="00B85F5F">
        <w:trPr>
          <w:trHeight w:val="70"/>
          <w:jc w:val="center"/>
        </w:trPr>
        <w:tc>
          <w:tcPr>
            <w:tcW w:w="2257" w:type="dxa"/>
            <w:vAlign w:val="center"/>
          </w:tcPr>
          <w:p w:rsidR="008B71A1" w:rsidRPr="000D129E" w:rsidRDefault="008B71A1" w:rsidP="000D129E">
            <w:pPr>
              <w:tabs>
                <w:tab w:val="left" w:pos="288"/>
                <w:tab w:val="left" w:pos="4752"/>
              </w:tabs>
              <w:rPr>
                <w:rFonts w:cs="Times New Roman"/>
                <w:color w:val="auto"/>
                <w:sz w:val="22"/>
              </w:rPr>
            </w:pPr>
            <w:r w:rsidRPr="000D129E">
              <w:rPr>
                <w:rFonts w:cs="Times New Roman"/>
                <w:color w:val="auto"/>
                <w:sz w:val="22"/>
              </w:rPr>
              <w:t>§4.71a Rating</w:t>
            </w:r>
          </w:p>
        </w:tc>
        <w:tc>
          <w:tcPr>
            <w:tcW w:w="2338" w:type="dxa"/>
            <w:vAlign w:val="center"/>
          </w:tcPr>
          <w:p w:rsidR="008B71A1" w:rsidRPr="000D129E" w:rsidRDefault="008B71A1" w:rsidP="000D129E">
            <w:pPr>
              <w:tabs>
                <w:tab w:val="left" w:pos="288"/>
                <w:tab w:val="left" w:pos="4752"/>
              </w:tabs>
              <w:rPr>
                <w:rFonts w:cs="Times New Roman"/>
                <w:color w:val="auto"/>
                <w:sz w:val="22"/>
              </w:rPr>
            </w:pPr>
            <w:r w:rsidRPr="000D129E">
              <w:rPr>
                <w:rFonts w:cs="Times New Roman"/>
                <w:color w:val="auto"/>
                <w:sz w:val="22"/>
              </w:rPr>
              <w:t>20%</w:t>
            </w:r>
          </w:p>
        </w:tc>
        <w:tc>
          <w:tcPr>
            <w:tcW w:w="2430" w:type="dxa"/>
          </w:tcPr>
          <w:p w:rsidR="008B71A1" w:rsidRPr="000D129E" w:rsidRDefault="008B71A1" w:rsidP="000D129E">
            <w:pPr>
              <w:tabs>
                <w:tab w:val="left" w:pos="288"/>
                <w:tab w:val="left" w:pos="4752"/>
              </w:tabs>
              <w:rPr>
                <w:rFonts w:cs="Times New Roman"/>
                <w:color w:val="auto"/>
                <w:sz w:val="22"/>
              </w:rPr>
            </w:pPr>
            <w:r>
              <w:rPr>
                <w:rFonts w:cs="Times New Roman"/>
                <w:color w:val="auto"/>
                <w:sz w:val="22"/>
              </w:rPr>
              <w:t>10%</w:t>
            </w:r>
          </w:p>
        </w:tc>
      </w:tr>
    </w:tbl>
    <w:p w:rsidR="000D129E" w:rsidRDefault="000D129E" w:rsidP="0069687C">
      <w:pPr>
        <w:jc w:val="both"/>
        <w:rPr>
          <w:color w:val="000000"/>
          <w:szCs w:val="24"/>
        </w:rPr>
      </w:pPr>
    </w:p>
    <w:p w:rsidR="000D129E" w:rsidRPr="008B71A1" w:rsidRDefault="00316977" w:rsidP="008B71A1">
      <w:pPr>
        <w:jc w:val="both"/>
        <w:rPr>
          <w:rFonts w:eastAsia="Calibri"/>
          <w:color w:val="auto"/>
          <w:szCs w:val="24"/>
        </w:rPr>
      </w:pPr>
      <w:r>
        <w:rPr>
          <w:rFonts w:eastAsia="Calibri"/>
          <w:color w:val="auto"/>
          <w:szCs w:val="24"/>
        </w:rPr>
        <w:t xml:space="preserve">Given the marked disparity in the ROM measurements charted above, the </w:t>
      </w:r>
      <w:r w:rsidR="009E283F">
        <w:rPr>
          <w:rFonts w:eastAsia="Calibri"/>
          <w:color w:val="auto"/>
          <w:szCs w:val="24"/>
        </w:rPr>
        <w:t>s</w:t>
      </w:r>
      <w:r>
        <w:rPr>
          <w:rFonts w:eastAsia="Calibri"/>
          <w:color w:val="auto"/>
          <w:szCs w:val="24"/>
        </w:rPr>
        <w:t>ervice file was carefully reviewed for corroborative evidence.  A goniometric evaluation from 15 months prior to separation (therefore marginally probative) recorded a severely limited flexion o</w:t>
      </w:r>
      <w:r w:rsidR="00DC4E42">
        <w:rPr>
          <w:rFonts w:eastAsia="Calibri"/>
          <w:color w:val="auto"/>
          <w:szCs w:val="24"/>
        </w:rPr>
        <w:t>f 5⁰, although pain was only rated at</w:t>
      </w:r>
      <w:r>
        <w:rPr>
          <w:rFonts w:eastAsia="Calibri"/>
          <w:color w:val="auto"/>
          <w:szCs w:val="24"/>
        </w:rPr>
        <w:t xml:space="preserve"> 3/10.  An </w:t>
      </w:r>
      <w:r w:rsidR="00F330F2">
        <w:rPr>
          <w:rFonts w:eastAsia="Calibri"/>
          <w:color w:val="auto"/>
          <w:szCs w:val="24"/>
        </w:rPr>
        <w:t xml:space="preserve">undated evaluation in the </w:t>
      </w:r>
      <w:proofErr w:type="gramStart"/>
      <w:r w:rsidR="00F330F2">
        <w:rPr>
          <w:rFonts w:eastAsia="Calibri"/>
          <w:color w:val="auto"/>
          <w:szCs w:val="24"/>
        </w:rPr>
        <w:t>file,</w:t>
      </w:r>
      <w:proofErr w:type="gramEnd"/>
      <w:r w:rsidR="00F330F2">
        <w:rPr>
          <w:rFonts w:eastAsia="Calibri"/>
          <w:color w:val="auto"/>
          <w:szCs w:val="24"/>
        </w:rPr>
        <w:t xml:space="preserve"> performed by the CI’s primary care physician and titled “</w:t>
      </w:r>
      <w:r w:rsidR="009E283F">
        <w:rPr>
          <w:rFonts w:eastAsia="Calibri"/>
          <w:color w:val="auto"/>
          <w:szCs w:val="24"/>
        </w:rPr>
        <w:t>m</w:t>
      </w:r>
      <w:r w:rsidR="00F330F2">
        <w:rPr>
          <w:rFonts w:eastAsia="Calibri"/>
          <w:color w:val="auto"/>
          <w:szCs w:val="24"/>
        </w:rPr>
        <w:t xml:space="preserve">edical </w:t>
      </w:r>
      <w:r w:rsidR="009E283F">
        <w:rPr>
          <w:rFonts w:eastAsia="Calibri"/>
          <w:color w:val="auto"/>
          <w:szCs w:val="24"/>
        </w:rPr>
        <w:t>evaluation b</w:t>
      </w:r>
      <w:r w:rsidR="00F330F2">
        <w:rPr>
          <w:rFonts w:eastAsia="Calibri"/>
          <w:color w:val="auto"/>
          <w:szCs w:val="24"/>
        </w:rPr>
        <w:t xml:space="preserve">oard </w:t>
      </w:r>
      <w:r w:rsidR="009E283F">
        <w:rPr>
          <w:rFonts w:eastAsia="Calibri"/>
          <w:color w:val="auto"/>
          <w:szCs w:val="24"/>
        </w:rPr>
        <w:t>s</w:t>
      </w:r>
      <w:r w:rsidR="00F330F2">
        <w:rPr>
          <w:rFonts w:eastAsia="Calibri"/>
          <w:color w:val="auto"/>
          <w:szCs w:val="24"/>
        </w:rPr>
        <w:t>ummary” contained the entry, “</w:t>
      </w:r>
      <w:r w:rsidR="00260BF8">
        <w:rPr>
          <w:rFonts w:eastAsia="Calibri"/>
          <w:color w:val="auto"/>
          <w:szCs w:val="24"/>
        </w:rPr>
        <w:t>f</w:t>
      </w:r>
      <w:r w:rsidR="008B71A1" w:rsidRPr="008B71A1">
        <w:rPr>
          <w:rFonts w:eastAsia="Calibri"/>
          <w:color w:val="auto"/>
          <w:szCs w:val="24"/>
        </w:rPr>
        <w:t>lexion and extension as well as</w:t>
      </w:r>
      <w:r w:rsidR="008B71A1">
        <w:rPr>
          <w:rFonts w:eastAsia="Calibri"/>
          <w:color w:val="auto"/>
          <w:szCs w:val="24"/>
        </w:rPr>
        <w:t xml:space="preserve"> </w:t>
      </w:r>
      <w:r w:rsidR="008B71A1" w:rsidRPr="008B71A1">
        <w:rPr>
          <w:rFonts w:eastAsia="Calibri"/>
          <w:color w:val="auto"/>
          <w:szCs w:val="24"/>
        </w:rPr>
        <w:t xml:space="preserve">retroflexion is limited to about </w:t>
      </w:r>
      <w:r w:rsidR="008B71A1">
        <w:rPr>
          <w:rFonts w:eastAsia="Calibri"/>
          <w:color w:val="auto"/>
          <w:szCs w:val="24"/>
        </w:rPr>
        <w:t>30⁰</w:t>
      </w:r>
      <w:r w:rsidR="00F330F2">
        <w:rPr>
          <w:rFonts w:eastAsia="Calibri"/>
          <w:color w:val="auto"/>
          <w:szCs w:val="24"/>
        </w:rPr>
        <w:t xml:space="preserve">.”  There are no further probative entries, and the </w:t>
      </w:r>
      <w:r w:rsidR="00DC4E42">
        <w:rPr>
          <w:rFonts w:eastAsia="Calibri"/>
          <w:color w:val="auto"/>
          <w:szCs w:val="24"/>
        </w:rPr>
        <w:t xml:space="preserve">definitive </w:t>
      </w:r>
      <w:r w:rsidR="00F330F2">
        <w:rPr>
          <w:rFonts w:eastAsia="Calibri"/>
          <w:color w:val="auto"/>
          <w:szCs w:val="24"/>
        </w:rPr>
        <w:t>NARSUM did not comment on ROM.  The PEB’s DA Form 199 cited a flex</w:t>
      </w:r>
      <w:r w:rsidR="00DC4E42">
        <w:rPr>
          <w:rFonts w:eastAsia="Calibri"/>
          <w:color w:val="auto"/>
          <w:szCs w:val="24"/>
        </w:rPr>
        <w:t>ion of 51⁰;</w:t>
      </w:r>
      <w:r w:rsidR="00F330F2">
        <w:rPr>
          <w:rFonts w:eastAsia="Calibri"/>
          <w:color w:val="auto"/>
          <w:szCs w:val="24"/>
        </w:rPr>
        <w:t xml:space="preserve"> but</w:t>
      </w:r>
      <w:r w:rsidR="00DC4E42">
        <w:rPr>
          <w:rFonts w:eastAsia="Calibri"/>
          <w:color w:val="auto"/>
          <w:szCs w:val="24"/>
        </w:rPr>
        <w:t>, this was</w:t>
      </w:r>
      <w:r w:rsidR="00F330F2">
        <w:rPr>
          <w:rFonts w:eastAsia="Calibri"/>
          <w:color w:val="auto"/>
          <w:szCs w:val="24"/>
        </w:rPr>
        <w:t xml:space="preserve"> the </w:t>
      </w:r>
      <w:r w:rsidR="00F330F2" w:rsidRPr="00255717">
        <w:rPr>
          <w:rFonts w:eastAsia="Calibri"/>
          <w:color w:val="auto"/>
          <w:szCs w:val="24"/>
        </w:rPr>
        <w:t>passive</w:t>
      </w:r>
      <w:r w:rsidR="00F330F2">
        <w:rPr>
          <w:rFonts w:eastAsia="Calibri"/>
          <w:color w:val="auto"/>
          <w:szCs w:val="24"/>
        </w:rPr>
        <w:t xml:space="preserve"> ROM </w:t>
      </w:r>
      <w:r w:rsidR="00723CE0">
        <w:rPr>
          <w:rFonts w:eastAsia="Calibri"/>
          <w:color w:val="auto"/>
          <w:szCs w:val="24"/>
        </w:rPr>
        <w:t xml:space="preserve">recorded </w:t>
      </w:r>
      <w:r w:rsidR="00255717">
        <w:rPr>
          <w:rFonts w:eastAsia="Calibri"/>
          <w:color w:val="auto"/>
          <w:szCs w:val="24"/>
        </w:rPr>
        <w:t>by</w:t>
      </w:r>
      <w:r w:rsidR="00723CE0">
        <w:rPr>
          <w:rFonts w:eastAsia="Calibri"/>
          <w:color w:val="auto"/>
          <w:szCs w:val="24"/>
        </w:rPr>
        <w:t xml:space="preserve"> </w:t>
      </w:r>
      <w:r w:rsidR="009E283F">
        <w:rPr>
          <w:rFonts w:eastAsia="Calibri"/>
          <w:color w:val="auto"/>
          <w:szCs w:val="24"/>
        </w:rPr>
        <w:t>physical therapy (</w:t>
      </w:r>
      <w:r w:rsidR="00723CE0">
        <w:rPr>
          <w:rFonts w:eastAsia="Calibri"/>
          <w:color w:val="auto"/>
          <w:szCs w:val="24"/>
        </w:rPr>
        <w:t>PT</w:t>
      </w:r>
      <w:r w:rsidR="009E283F">
        <w:rPr>
          <w:rFonts w:eastAsia="Calibri"/>
          <w:color w:val="auto"/>
          <w:szCs w:val="24"/>
        </w:rPr>
        <w:t>)</w:t>
      </w:r>
      <w:r w:rsidR="00B73A8A">
        <w:rPr>
          <w:rFonts w:eastAsia="Calibri"/>
          <w:color w:val="auto"/>
          <w:szCs w:val="24"/>
        </w:rPr>
        <w:t>, which is</w:t>
      </w:r>
      <w:r w:rsidR="00723CE0">
        <w:rPr>
          <w:rFonts w:eastAsia="Calibri"/>
          <w:color w:val="auto"/>
          <w:szCs w:val="24"/>
        </w:rPr>
        <w:t xml:space="preserve"> charted above</w:t>
      </w:r>
      <w:r w:rsidR="00255717">
        <w:rPr>
          <w:rFonts w:eastAsia="Calibri"/>
          <w:color w:val="auto"/>
          <w:szCs w:val="24"/>
        </w:rPr>
        <w:t xml:space="preserve"> as </w:t>
      </w:r>
      <w:r w:rsidR="00255717" w:rsidRPr="00255717">
        <w:rPr>
          <w:rFonts w:eastAsia="Calibri"/>
          <w:color w:val="auto"/>
          <w:szCs w:val="24"/>
        </w:rPr>
        <w:t>active</w:t>
      </w:r>
      <w:r w:rsidR="00255717">
        <w:rPr>
          <w:rFonts w:eastAsia="Calibri"/>
          <w:color w:val="auto"/>
          <w:szCs w:val="24"/>
        </w:rPr>
        <w:t xml:space="preserve"> (ratable) ROM.  </w:t>
      </w:r>
    </w:p>
    <w:p w:rsidR="00CF0280" w:rsidRPr="007224C1" w:rsidRDefault="00CF0280" w:rsidP="0069687C">
      <w:pPr>
        <w:jc w:val="both"/>
        <w:rPr>
          <w:color w:val="000000"/>
          <w:szCs w:val="24"/>
        </w:rPr>
      </w:pPr>
    </w:p>
    <w:p w:rsidR="00626902" w:rsidRDefault="00AD2379" w:rsidP="00241B01">
      <w:pPr>
        <w:jc w:val="both"/>
        <w:rPr>
          <w:color w:val="000000"/>
          <w:szCs w:val="24"/>
        </w:rPr>
      </w:pPr>
      <w:r w:rsidRPr="00851664">
        <w:rPr>
          <w:color w:val="auto"/>
          <w:szCs w:val="24"/>
        </w:rPr>
        <w:t>The Board directs attenti</w:t>
      </w:r>
      <w:r w:rsidR="00782CC1" w:rsidRPr="00851664">
        <w:rPr>
          <w:color w:val="auto"/>
          <w:szCs w:val="24"/>
        </w:rPr>
        <w:t>on to its rating recommendation</w:t>
      </w:r>
      <w:r w:rsidRPr="00851664">
        <w:rPr>
          <w:color w:val="auto"/>
          <w:szCs w:val="24"/>
        </w:rPr>
        <w:t xml:space="preserve"> </w:t>
      </w:r>
      <w:r w:rsidR="00B13A51" w:rsidRPr="00851664">
        <w:rPr>
          <w:color w:val="auto"/>
          <w:szCs w:val="24"/>
        </w:rPr>
        <w:t>based on the above evidence</w:t>
      </w:r>
      <w:r w:rsidRPr="00851664">
        <w:rPr>
          <w:color w:val="auto"/>
          <w:szCs w:val="24"/>
        </w:rPr>
        <w:t xml:space="preserve">. </w:t>
      </w:r>
      <w:r w:rsidR="00192392" w:rsidRPr="00851664">
        <w:rPr>
          <w:color w:val="auto"/>
          <w:szCs w:val="24"/>
        </w:rPr>
        <w:t xml:space="preserve"> </w:t>
      </w:r>
      <w:r w:rsidR="00255717" w:rsidRPr="00851664">
        <w:rPr>
          <w:color w:val="000000"/>
          <w:szCs w:val="24"/>
        </w:rPr>
        <w:t xml:space="preserve">The PEB’s 10% rating was supported by the USAPDA pain policy, but was not consistent with the </w:t>
      </w:r>
      <w:r w:rsidR="00255717" w:rsidRPr="00851664">
        <w:rPr>
          <w:color w:val="000000"/>
          <w:szCs w:val="24"/>
        </w:rPr>
        <w:lastRenderedPageBreak/>
        <w:t xml:space="preserve">VASRD §4.71a criteria for the ROMs under consideration.  Even the passive 51⁰ flexion is within the §4.71a range for a 20% rating.  The corroborative evidence elaborated above suggests that ROM was significantly limited during the period encompassing the date of separation, and provides more support for the MEB ROMs than for the VA </w:t>
      </w:r>
      <w:r w:rsidR="00B85F5F">
        <w:rPr>
          <w:color w:val="000000"/>
          <w:szCs w:val="24"/>
        </w:rPr>
        <w:t>evidence</w:t>
      </w:r>
      <w:r w:rsidR="00851664" w:rsidRPr="00851664">
        <w:rPr>
          <w:color w:val="000000"/>
          <w:szCs w:val="24"/>
        </w:rPr>
        <w:t xml:space="preserve">.  The fact that radicular symptoms had resolved by the time of the VA evaluation suggests a course of significant improvement over the 7 month interval of civilian life, </w:t>
      </w:r>
      <w:r w:rsidR="00B73A8A">
        <w:rPr>
          <w:color w:val="000000"/>
          <w:szCs w:val="24"/>
        </w:rPr>
        <w:t>although</w:t>
      </w:r>
      <w:r w:rsidR="00851664" w:rsidRPr="00851664">
        <w:rPr>
          <w:color w:val="000000"/>
          <w:szCs w:val="24"/>
        </w:rPr>
        <w:t xml:space="preserve"> the Board of course must base its recommendation on the likely severity at separation. </w:t>
      </w:r>
      <w:r w:rsidR="00255717" w:rsidRPr="00851664">
        <w:rPr>
          <w:color w:val="000000"/>
          <w:szCs w:val="24"/>
        </w:rPr>
        <w:t xml:space="preserve"> </w:t>
      </w:r>
      <w:r w:rsidR="00241B01" w:rsidRPr="00851664">
        <w:rPr>
          <w:rFonts w:eastAsia="Calibri"/>
          <w:color w:val="auto"/>
          <w:szCs w:val="24"/>
        </w:rPr>
        <w:t xml:space="preserve">After due deliberation, considering all of the evidence and mindful of VASRD §4.3 (reasonable doubt), the Board recommends a disability rating of </w:t>
      </w:r>
      <w:r w:rsidR="00851664" w:rsidRPr="00851664">
        <w:rPr>
          <w:rFonts w:eastAsia="Calibri"/>
          <w:color w:val="auto"/>
          <w:szCs w:val="24"/>
        </w:rPr>
        <w:t>2</w:t>
      </w:r>
      <w:r w:rsidR="00241B01" w:rsidRPr="00851664">
        <w:rPr>
          <w:rFonts w:eastAsia="Calibri"/>
          <w:color w:val="auto"/>
          <w:szCs w:val="24"/>
        </w:rPr>
        <w:t xml:space="preserve">0% for the </w:t>
      </w:r>
      <w:r w:rsidR="00851664" w:rsidRPr="00851664">
        <w:rPr>
          <w:rFonts w:eastAsia="Calibri"/>
          <w:color w:val="auto"/>
          <w:szCs w:val="24"/>
        </w:rPr>
        <w:t>lumbar spine</w:t>
      </w:r>
      <w:r w:rsidR="00241B01" w:rsidRPr="00851664">
        <w:rPr>
          <w:rFonts w:eastAsia="Calibri"/>
          <w:color w:val="auto"/>
          <w:szCs w:val="24"/>
        </w:rPr>
        <w:t xml:space="preserve"> condition.</w:t>
      </w:r>
      <w:r w:rsidR="00851664" w:rsidRPr="00851664">
        <w:rPr>
          <w:rFonts w:eastAsia="Calibri"/>
          <w:color w:val="auto"/>
          <w:szCs w:val="24"/>
        </w:rPr>
        <w:t xml:space="preserve">  </w:t>
      </w:r>
      <w:r w:rsidR="00851664" w:rsidRPr="00851664">
        <w:rPr>
          <w:color w:val="000000"/>
          <w:szCs w:val="24"/>
        </w:rPr>
        <w:t xml:space="preserve">The </w:t>
      </w:r>
      <w:r w:rsidR="009E283F">
        <w:rPr>
          <w:color w:val="000000"/>
          <w:szCs w:val="24"/>
        </w:rPr>
        <w:t>a</w:t>
      </w:r>
      <w:r w:rsidR="00851664" w:rsidRPr="00851664">
        <w:rPr>
          <w:color w:val="000000"/>
          <w:szCs w:val="24"/>
        </w:rPr>
        <w:t xml:space="preserve">ction </w:t>
      </w:r>
      <w:r w:rsidR="009E283F">
        <w:rPr>
          <w:color w:val="000000"/>
          <w:szCs w:val="24"/>
        </w:rPr>
        <w:t>o</w:t>
      </w:r>
      <w:r w:rsidR="00851664" w:rsidRPr="00851664">
        <w:rPr>
          <w:color w:val="000000"/>
          <w:szCs w:val="24"/>
        </w:rPr>
        <w:t>fficer recommended, and the Board concurred with, the code 5242 (degenerative arthritis of the spine) for its clinical compatibility.</w:t>
      </w:r>
      <w:r w:rsidR="00851664">
        <w:rPr>
          <w:color w:val="000000"/>
          <w:szCs w:val="24"/>
        </w:rPr>
        <w:t xml:space="preserve">  </w:t>
      </w:r>
    </w:p>
    <w:p w:rsidR="00BB3844" w:rsidRPr="007224C1" w:rsidRDefault="00BB3844" w:rsidP="00241B01">
      <w:pPr>
        <w:jc w:val="both"/>
        <w:rPr>
          <w:rFonts w:eastAsia="Calibri"/>
          <w:color w:val="auto"/>
          <w:szCs w:val="24"/>
        </w:rPr>
      </w:pPr>
    </w:p>
    <w:p w:rsidR="00823C29" w:rsidRPr="007224C1" w:rsidRDefault="00823C29" w:rsidP="00792790">
      <w:pPr>
        <w:jc w:val="both"/>
        <w:rPr>
          <w:rFonts w:eastAsia="Calibri"/>
          <w:color w:val="auto"/>
          <w:szCs w:val="24"/>
        </w:rPr>
      </w:pPr>
      <w:r w:rsidRPr="007224C1">
        <w:rPr>
          <w:rFonts w:eastAsia="Calibri"/>
          <w:color w:val="auto"/>
          <w:szCs w:val="24"/>
          <w:u w:val="single"/>
        </w:rPr>
        <w:t>Combined Joint Conditions</w:t>
      </w:r>
      <w:r w:rsidR="00AC4666" w:rsidRPr="007224C1">
        <w:rPr>
          <w:rFonts w:eastAsia="Calibri"/>
          <w:color w:val="auto"/>
          <w:szCs w:val="24"/>
        </w:rPr>
        <w:t xml:space="preserve">.  </w:t>
      </w:r>
      <w:r w:rsidR="00AC4666" w:rsidRPr="007224C1">
        <w:rPr>
          <w:color w:val="000000" w:themeColor="text1"/>
          <w:szCs w:val="24"/>
        </w:rPr>
        <w:t xml:space="preserve">The PEB combined the left shoulder and right knee pain as a single unfitting condition, coded analogously to 5003 and rated 0%; relying on the USAPDA pain policy and possibly AR 635-40 for not applying separately rated VASRD codes.  </w:t>
      </w:r>
      <w:r w:rsidR="00E4332D" w:rsidRPr="007224C1">
        <w:rPr>
          <w:color w:val="000000" w:themeColor="text1"/>
          <w:szCs w:val="24"/>
        </w:rPr>
        <w:t xml:space="preserve">IAW VASRD §4.71a, the Board must apply separate codes and ratings in its recommendations if compensable ratings for each condition are achieved.  When the Board judges that two or more separate ratings are possibly warranted in such cases, however, it must satisfy the requirement that each </w:t>
      </w:r>
      <w:r w:rsidR="009E283F">
        <w:rPr>
          <w:color w:val="000000" w:themeColor="text1"/>
          <w:szCs w:val="24"/>
        </w:rPr>
        <w:t>“</w:t>
      </w:r>
      <w:r w:rsidR="00E4332D" w:rsidRPr="007224C1">
        <w:rPr>
          <w:color w:val="000000" w:themeColor="text1"/>
          <w:szCs w:val="24"/>
        </w:rPr>
        <w:t>unbundled</w:t>
      </w:r>
      <w:r w:rsidR="009E283F">
        <w:rPr>
          <w:color w:val="000000" w:themeColor="text1"/>
          <w:szCs w:val="24"/>
        </w:rPr>
        <w:t>”</w:t>
      </w:r>
      <w:r w:rsidR="00E4332D" w:rsidRPr="007224C1">
        <w:rPr>
          <w:color w:val="000000" w:themeColor="text1"/>
          <w:szCs w:val="24"/>
        </w:rPr>
        <w:t xml:space="preserve"> condition was unfitting in and of itself.  Not uncommonly this combined rating approach by the PEB reflects its judgment that the constellation of conditions was unfitting, and that there was no need for separate fitness adjudications; not a judgment that each condition was independently unfitting.  Thus the Board must exercise the prerogative of separate fitness recom</w:t>
      </w:r>
      <w:r w:rsidR="00B14CF5">
        <w:rPr>
          <w:color w:val="000000" w:themeColor="text1"/>
          <w:szCs w:val="24"/>
        </w:rPr>
        <w:t>mendations in this circumstance.</w:t>
      </w:r>
      <w:r w:rsidR="00E4332D" w:rsidRPr="007224C1">
        <w:rPr>
          <w:color w:val="000000" w:themeColor="text1"/>
          <w:szCs w:val="24"/>
        </w:rPr>
        <w:t xml:space="preserve"> </w:t>
      </w:r>
      <w:r w:rsidR="00B14CF5">
        <w:rPr>
          <w:color w:val="000000" w:themeColor="text1"/>
          <w:szCs w:val="24"/>
        </w:rPr>
        <w:t xml:space="preserve"> </w:t>
      </w:r>
      <w:r w:rsidR="00E4332D" w:rsidRPr="007224C1">
        <w:rPr>
          <w:color w:val="000000" w:themeColor="text1"/>
          <w:szCs w:val="24"/>
        </w:rPr>
        <w:t xml:space="preserve">The Board’s analysis and recommendations regarding the separate fitness </w:t>
      </w:r>
      <w:r w:rsidR="007224C1" w:rsidRPr="007224C1">
        <w:rPr>
          <w:color w:val="000000" w:themeColor="text1"/>
          <w:szCs w:val="24"/>
        </w:rPr>
        <w:t xml:space="preserve">issue </w:t>
      </w:r>
      <w:r w:rsidR="00E4332D" w:rsidRPr="007224C1">
        <w:rPr>
          <w:color w:val="000000" w:themeColor="text1"/>
          <w:szCs w:val="24"/>
        </w:rPr>
        <w:t xml:space="preserve">and potential separate rating for each condition entrained in the PEB’s combined rating approach </w:t>
      </w:r>
      <w:r w:rsidR="00B14CF5">
        <w:rPr>
          <w:color w:val="000000" w:themeColor="text1"/>
          <w:szCs w:val="24"/>
        </w:rPr>
        <w:t>are presented below</w:t>
      </w:r>
      <w:r w:rsidR="00E4332D" w:rsidRPr="007224C1">
        <w:rPr>
          <w:color w:val="000000" w:themeColor="text1"/>
          <w:szCs w:val="24"/>
        </w:rPr>
        <w:t>.</w:t>
      </w:r>
      <w:r w:rsidR="00AC4666" w:rsidRPr="007224C1">
        <w:rPr>
          <w:color w:val="000000" w:themeColor="text1"/>
          <w:szCs w:val="24"/>
        </w:rPr>
        <w:t xml:space="preserve"> </w:t>
      </w:r>
      <w:r w:rsidR="004E382A">
        <w:rPr>
          <w:color w:val="000000" w:themeColor="text1"/>
          <w:szCs w:val="24"/>
        </w:rPr>
        <w:t xml:space="preserve"> The “chronic pain syndrome” as submitted by the MEB is neither a distinct diagnosis nor a ratable condition.</w:t>
      </w:r>
    </w:p>
    <w:p w:rsidR="00823C29" w:rsidRPr="007224C1" w:rsidRDefault="00823C29" w:rsidP="00792790">
      <w:pPr>
        <w:jc w:val="both"/>
        <w:rPr>
          <w:rFonts w:eastAsia="Calibri"/>
          <w:color w:val="auto"/>
          <w:szCs w:val="24"/>
          <w:u w:val="single"/>
        </w:rPr>
      </w:pPr>
    </w:p>
    <w:p w:rsidR="00B976DE" w:rsidRDefault="00B976DE" w:rsidP="00792790">
      <w:pPr>
        <w:jc w:val="both"/>
        <w:rPr>
          <w:color w:val="000000" w:themeColor="text1"/>
          <w:szCs w:val="24"/>
        </w:rPr>
      </w:pPr>
      <w:r>
        <w:rPr>
          <w:rFonts w:eastAsia="Calibri"/>
          <w:color w:val="auto"/>
          <w:szCs w:val="24"/>
          <w:u w:val="single"/>
        </w:rPr>
        <w:t>Left Shoulder</w:t>
      </w:r>
      <w:r w:rsidRPr="007224C1">
        <w:rPr>
          <w:rFonts w:eastAsia="Calibri"/>
          <w:color w:val="auto"/>
          <w:szCs w:val="24"/>
          <w:u w:val="single"/>
        </w:rPr>
        <w:t xml:space="preserve"> Condition</w:t>
      </w:r>
      <w:r w:rsidRPr="007224C1">
        <w:rPr>
          <w:rFonts w:eastAsia="Calibri"/>
          <w:color w:val="auto"/>
          <w:szCs w:val="24"/>
        </w:rPr>
        <w:t xml:space="preserve">.  </w:t>
      </w:r>
      <w:r w:rsidRPr="007224C1">
        <w:rPr>
          <w:color w:val="000000" w:themeColor="text1"/>
          <w:szCs w:val="24"/>
        </w:rPr>
        <w:t>T</w:t>
      </w:r>
      <w:r w:rsidR="00D8270C">
        <w:rPr>
          <w:color w:val="000000" w:themeColor="text1"/>
          <w:szCs w:val="24"/>
        </w:rPr>
        <w:t xml:space="preserve">he CI </w:t>
      </w:r>
      <w:r w:rsidR="00EB59EE">
        <w:rPr>
          <w:color w:val="000000" w:themeColor="text1"/>
          <w:szCs w:val="24"/>
        </w:rPr>
        <w:t xml:space="preserve">suffered an AC separation in the 1998 time period, and had a history of persistent pain over the following years.  This was managed with joint injections and other conservative measures.  The NARSUM relates a history of a prior Mumford </w:t>
      </w:r>
      <w:r w:rsidR="002469B3">
        <w:rPr>
          <w:color w:val="000000" w:themeColor="text1"/>
          <w:szCs w:val="24"/>
        </w:rPr>
        <w:t xml:space="preserve">procedure </w:t>
      </w:r>
      <w:r w:rsidR="00EB59EE">
        <w:rPr>
          <w:color w:val="000000" w:themeColor="text1"/>
          <w:szCs w:val="24"/>
        </w:rPr>
        <w:t xml:space="preserve">(clavicular head resection), but there is no </w:t>
      </w:r>
      <w:r w:rsidR="00B73A8A">
        <w:rPr>
          <w:color w:val="000000" w:themeColor="text1"/>
          <w:szCs w:val="24"/>
        </w:rPr>
        <w:t xml:space="preserve">such </w:t>
      </w:r>
      <w:r w:rsidR="00EB59EE">
        <w:rPr>
          <w:color w:val="000000" w:themeColor="text1"/>
          <w:szCs w:val="24"/>
        </w:rPr>
        <w:t xml:space="preserve">documentation elsewhere </w:t>
      </w:r>
      <w:r w:rsidR="00B73A8A">
        <w:rPr>
          <w:color w:val="000000" w:themeColor="text1"/>
          <w:szCs w:val="24"/>
        </w:rPr>
        <w:t>in the</w:t>
      </w:r>
      <w:r w:rsidR="00EB59EE">
        <w:rPr>
          <w:color w:val="000000" w:themeColor="text1"/>
          <w:szCs w:val="24"/>
        </w:rPr>
        <w:t xml:space="preserve"> record.  </w:t>
      </w:r>
      <w:r w:rsidR="002469B3">
        <w:rPr>
          <w:color w:val="000000" w:themeColor="text1"/>
          <w:szCs w:val="24"/>
        </w:rPr>
        <w:t xml:space="preserve">The NARSUM provided diagnoses of degenerative AC joint disease and rotator cuff tendinitis.  The diagnosis of </w:t>
      </w:r>
      <w:r w:rsidR="00B73A8A">
        <w:rPr>
          <w:color w:val="000000" w:themeColor="text1"/>
          <w:szCs w:val="24"/>
        </w:rPr>
        <w:t>“</w:t>
      </w:r>
      <w:r w:rsidR="002469B3">
        <w:rPr>
          <w:color w:val="000000" w:themeColor="text1"/>
          <w:szCs w:val="24"/>
        </w:rPr>
        <w:t>rotator cuff tear</w:t>
      </w:r>
      <w:r w:rsidR="00B73A8A">
        <w:rPr>
          <w:color w:val="000000" w:themeColor="text1"/>
          <w:szCs w:val="24"/>
        </w:rPr>
        <w:t>”</w:t>
      </w:r>
      <w:r w:rsidR="002469B3">
        <w:rPr>
          <w:color w:val="000000" w:themeColor="text1"/>
          <w:szCs w:val="24"/>
        </w:rPr>
        <w:t xml:space="preserve"> appearing on the MEB’s DA Form 3947 was not present on the MRI obtained during the MEB.  </w:t>
      </w:r>
      <w:r w:rsidR="00030FA3">
        <w:rPr>
          <w:color w:val="000000" w:themeColor="text1"/>
          <w:szCs w:val="24"/>
        </w:rPr>
        <w:t xml:space="preserve">Degenerative changes were present on x-ray.  </w:t>
      </w:r>
      <w:r w:rsidR="00AE2870">
        <w:rPr>
          <w:color w:val="000000" w:themeColor="text1"/>
          <w:szCs w:val="24"/>
        </w:rPr>
        <w:t>The NARSUM noted chronic left shoulder pa</w:t>
      </w:r>
      <w:r w:rsidR="00B85F5F">
        <w:rPr>
          <w:color w:val="000000" w:themeColor="text1"/>
          <w:szCs w:val="24"/>
        </w:rPr>
        <w:t>in exacerbated by overhead work</w:t>
      </w:r>
      <w:r w:rsidR="00AE2870">
        <w:rPr>
          <w:color w:val="000000" w:themeColor="text1"/>
          <w:szCs w:val="24"/>
        </w:rPr>
        <w:t>, lifting</w:t>
      </w:r>
      <w:r w:rsidR="00B85F5F">
        <w:rPr>
          <w:color w:val="000000" w:themeColor="text1"/>
          <w:szCs w:val="24"/>
        </w:rPr>
        <w:t>,</w:t>
      </w:r>
      <w:r w:rsidR="00AE2870">
        <w:rPr>
          <w:color w:val="000000" w:themeColor="text1"/>
          <w:szCs w:val="24"/>
        </w:rPr>
        <w:t xml:space="preserve"> and push-ups.  </w:t>
      </w:r>
      <w:r w:rsidR="0076017F">
        <w:rPr>
          <w:color w:val="000000" w:themeColor="text1"/>
          <w:szCs w:val="24"/>
        </w:rPr>
        <w:t>The VA C&amp;P evaluation noted 10/10 pain exacerbated by “physical activity</w:t>
      </w:r>
      <w:r w:rsidR="009E283F">
        <w:rPr>
          <w:color w:val="000000" w:themeColor="text1"/>
          <w:szCs w:val="24"/>
        </w:rPr>
        <w:t>.</w:t>
      </w:r>
      <w:r w:rsidR="0076017F">
        <w:rPr>
          <w:color w:val="000000" w:themeColor="text1"/>
          <w:szCs w:val="24"/>
        </w:rPr>
        <w:t xml:space="preserve">”  </w:t>
      </w:r>
      <w:r w:rsidR="00030FA3">
        <w:rPr>
          <w:color w:val="000000" w:themeColor="text1"/>
          <w:szCs w:val="24"/>
        </w:rPr>
        <w:t xml:space="preserve">The MEB and VA examiners documented similar physical findings.  These included AC joint tenderness, positive signs for impingement, and pain at extremes of </w:t>
      </w:r>
      <w:r w:rsidR="00030FA3" w:rsidRPr="00B73A8A">
        <w:rPr>
          <w:color w:val="000000" w:themeColor="text1"/>
          <w:szCs w:val="24"/>
        </w:rPr>
        <w:t xml:space="preserve">motion.  </w:t>
      </w:r>
      <w:r w:rsidR="00030FA3">
        <w:rPr>
          <w:color w:val="000000" w:themeColor="text1"/>
          <w:szCs w:val="24"/>
        </w:rPr>
        <w:t xml:space="preserve">The VA measured ROMs were normal, and the MEB PT measurements were nearly so.  </w:t>
      </w:r>
    </w:p>
    <w:p w:rsidR="00030FA3" w:rsidRDefault="00030FA3" w:rsidP="00792790">
      <w:pPr>
        <w:jc w:val="both"/>
        <w:rPr>
          <w:color w:val="000000" w:themeColor="text1"/>
          <w:szCs w:val="24"/>
        </w:rPr>
      </w:pPr>
    </w:p>
    <w:p w:rsidR="009E283F" w:rsidRDefault="00030FA3" w:rsidP="00792790">
      <w:pPr>
        <w:jc w:val="both"/>
        <w:rPr>
          <w:color w:val="auto"/>
          <w:szCs w:val="24"/>
        </w:rPr>
      </w:pPr>
      <w:r w:rsidRPr="00851664">
        <w:rPr>
          <w:color w:val="auto"/>
          <w:szCs w:val="24"/>
        </w:rPr>
        <w:t>The Board directs attention to its recommendation</w:t>
      </w:r>
      <w:r w:rsidR="00B14CF5">
        <w:rPr>
          <w:color w:val="auto"/>
          <w:szCs w:val="24"/>
        </w:rPr>
        <w:t>s</w:t>
      </w:r>
      <w:r w:rsidRPr="00851664">
        <w:rPr>
          <w:color w:val="auto"/>
          <w:szCs w:val="24"/>
        </w:rPr>
        <w:t xml:space="preserve"> based on the above evidence.  </w:t>
      </w:r>
      <w:r w:rsidR="00B14CF5">
        <w:rPr>
          <w:color w:val="auto"/>
          <w:szCs w:val="24"/>
        </w:rPr>
        <w:t xml:space="preserve">All members agreed that the left shoulder condition was separately unfitting given the documented physical limitations, U3 profile and judgment that it failed retention standards.  Regarding its rating recommendation, the Board notes that there is </w:t>
      </w:r>
      <w:r w:rsidR="00621CF2">
        <w:rPr>
          <w:color w:val="auto"/>
          <w:szCs w:val="24"/>
        </w:rPr>
        <w:t xml:space="preserve">no compensable ROM limitation in evidence.  Both the PEB and VA coding </w:t>
      </w:r>
      <w:r w:rsidR="00B85F5F">
        <w:rPr>
          <w:color w:val="auto"/>
          <w:szCs w:val="24"/>
        </w:rPr>
        <w:t>options</w:t>
      </w:r>
      <w:r w:rsidR="00621CF2">
        <w:rPr>
          <w:color w:val="auto"/>
          <w:szCs w:val="24"/>
        </w:rPr>
        <w:t xml:space="preserve"> default to analogous rating under 5003 (degenerative arthritis).  </w:t>
      </w:r>
      <w:r w:rsidR="00621CF2" w:rsidRPr="00621CF2">
        <w:rPr>
          <w:color w:val="auto"/>
          <w:szCs w:val="24"/>
        </w:rPr>
        <w:t>There was no clinical and/or radiologic evidence that suggested ankylosis, loss of the humeral head, nonunion, malunion, fibrous union, deformity, nonunion or dislocation of the scapula, or recurrent dislocations of the humerus that would</w:t>
      </w:r>
      <w:r w:rsidR="00621CF2">
        <w:rPr>
          <w:color w:val="auto"/>
          <w:szCs w:val="24"/>
        </w:rPr>
        <w:t xml:space="preserve"> support a more favorable rating under the </w:t>
      </w:r>
      <w:r w:rsidR="00D63A52">
        <w:rPr>
          <w:color w:val="auto"/>
          <w:szCs w:val="24"/>
        </w:rPr>
        <w:t>any of the</w:t>
      </w:r>
      <w:r w:rsidR="00621CF2">
        <w:rPr>
          <w:color w:val="auto"/>
          <w:szCs w:val="24"/>
        </w:rPr>
        <w:t xml:space="preserve"> </w:t>
      </w:r>
      <w:r w:rsidR="00B85F5F">
        <w:rPr>
          <w:color w:val="auto"/>
          <w:szCs w:val="24"/>
        </w:rPr>
        <w:t>§4.71a</w:t>
      </w:r>
      <w:r w:rsidR="00621CF2">
        <w:rPr>
          <w:color w:val="auto"/>
          <w:szCs w:val="24"/>
        </w:rPr>
        <w:t xml:space="preserve"> joint codes.  </w:t>
      </w:r>
      <w:r w:rsidR="00D63A52">
        <w:rPr>
          <w:color w:val="auto"/>
          <w:szCs w:val="24"/>
        </w:rPr>
        <w:t>Despite the absence of any significant ROM limitations</w:t>
      </w:r>
      <w:r w:rsidR="009E283F">
        <w:rPr>
          <w:color w:val="auto"/>
          <w:szCs w:val="24"/>
        </w:rPr>
        <w:t>;</w:t>
      </w:r>
      <w:r w:rsidR="00D63A52">
        <w:rPr>
          <w:color w:val="auto"/>
          <w:szCs w:val="24"/>
        </w:rPr>
        <w:t xml:space="preserve"> however, members agreed that </w:t>
      </w:r>
      <w:r w:rsidR="00BF342F">
        <w:rPr>
          <w:color w:val="auto"/>
          <w:szCs w:val="24"/>
        </w:rPr>
        <w:t>either</w:t>
      </w:r>
      <w:r w:rsidR="00D63A52">
        <w:rPr>
          <w:color w:val="auto"/>
          <w:szCs w:val="24"/>
        </w:rPr>
        <w:t xml:space="preserve"> VASRD §4.59 (painful motion) </w:t>
      </w:r>
      <w:r w:rsidR="00BF342F">
        <w:rPr>
          <w:color w:val="auto"/>
          <w:szCs w:val="24"/>
        </w:rPr>
        <w:t>or</w:t>
      </w:r>
      <w:r w:rsidR="00D63A52">
        <w:rPr>
          <w:color w:val="auto"/>
          <w:szCs w:val="24"/>
        </w:rPr>
        <w:t xml:space="preserve"> §4.40 (functional loss) </w:t>
      </w:r>
      <w:r w:rsidR="00BF342F">
        <w:rPr>
          <w:color w:val="auto"/>
          <w:szCs w:val="24"/>
        </w:rPr>
        <w:t>was</w:t>
      </w:r>
      <w:r w:rsidR="00D63A52">
        <w:rPr>
          <w:color w:val="auto"/>
          <w:szCs w:val="24"/>
        </w:rPr>
        <w:t xml:space="preserve"> supported for achieving the minimum compensable rating of 10% (as invoked for the VA rating).  </w:t>
      </w:r>
    </w:p>
    <w:p w:rsidR="009E283F" w:rsidRDefault="009E283F" w:rsidP="00792790">
      <w:pPr>
        <w:jc w:val="both"/>
        <w:rPr>
          <w:color w:val="auto"/>
          <w:szCs w:val="24"/>
        </w:rPr>
      </w:pPr>
    </w:p>
    <w:p w:rsidR="00030FA3" w:rsidRPr="008F4DC4" w:rsidRDefault="00D63A52" w:rsidP="00792790">
      <w:pPr>
        <w:jc w:val="both"/>
        <w:rPr>
          <w:color w:val="000000"/>
          <w:szCs w:val="24"/>
        </w:rPr>
      </w:pPr>
      <w:r w:rsidRPr="00851664">
        <w:rPr>
          <w:rFonts w:eastAsia="Calibri"/>
          <w:color w:val="auto"/>
          <w:szCs w:val="24"/>
        </w:rPr>
        <w:lastRenderedPageBreak/>
        <w:t xml:space="preserve">After due deliberation, considering all of the evidence and mindful of VASRD §4.3 (reasonable doubt), the Board recommends a disability rating of </w:t>
      </w:r>
      <w:r>
        <w:rPr>
          <w:rFonts w:eastAsia="Calibri"/>
          <w:color w:val="auto"/>
          <w:szCs w:val="24"/>
        </w:rPr>
        <w:t>1</w:t>
      </w:r>
      <w:r w:rsidRPr="00851664">
        <w:rPr>
          <w:rFonts w:eastAsia="Calibri"/>
          <w:color w:val="auto"/>
          <w:szCs w:val="24"/>
        </w:rPr>
        <w:t xml:space="preserve">0% for the </w:t>
      </w:r>
      <w:r>
        <w:rPr>
          <w:rFonts w:eastAsia="Calibri"/>
          <w:color w:val="auto"/>
          <w:szCs w:val="24"/>
        </w:rPr>
        <w:t>left shoulder</w:t>
      </w:r>
      <w:r w:rsidRPr="00851664">
        <w:rPr>
          <w:rFonts w:eastAsia="Calibri"/>
          <w:color w:val="auto"/>
          <w:szCs w:val="24"/>
        </w:rPr>
        <w:t xml:space="preserve"> condition.  </w:t>
      </w:r>
      <w:r w:rsidRPr="00851664">
        <w:rPr>
          <w:color w:val="000000"/>
          <w:szCs w:val="24"/>
        </w:rPr>
        <w:t xml:space="preserve">The </w:t>
      </w:r>
      <w:r w:rsidR="009E283F">
        <w:rPr>
          <w:color w:val="000000"/>
          <w:szCs w:val="24"/>
        </w:rPr>
        <w:t>a</w:t>
      </w:r>
      <w:r w:rsidRPr="00851664">
        <w:rPr>
          <w:color w:val="000000"/>
          <w:szCs w:val="24"/>
        </w:rPr>
        <w:t xml:space="preserve">ction </w:t>
      </w:r>
      <w:r w:rsidR="009E283F">
        <w:rPr>
          <w:color w:val="000000"/>
          <w:szCs w:val="24"/>
        </w:rPr>
        <w:t>o</w:t>
      </w:r>
      <w:r w:rsidRPr="00851664">
        <w:rPr>
          <w:color w:val="000000"/>
          <w:szCs w:val="24"/>
        </w:rPr>
        <w:t xml:space="preserve">fficer recommended, and the Board concurred with, the code </w:t>
      </w:r>
      <w:r w:rsidR="008F4DC4">
        <w:rPr>
          <w:color w:val="000000"/>
          <w:szCs w:val="24"/>
        </w:rPr>
        <w:t xml:space="preserve">5099-5010 (traumatic arthritis) </w:t>
      </w:r>
      <w:r w:rsidRPr="00851664">
        <w:rPr>
          <w:color w:val="000000"/>
          <w:szCs w:val="24"/>
        </w:rPr>
        <w:t>for its clinical compatibility.</w:t>
      </w:r>
      <w:r>
        <w:rPr>
          <w:color w:val="000000"/>
          <w:szCs w:val="24"/>
        </w:rPr>
        <w:t xml:space="preserve">  </w:t>
      </w:r>
    </w:p>
    <w:p w:rsidR="00D63A52" w:rsidRDefault="00D63A52" w:rsidP="00792790">
      <w:pPr>
        <w:jc w:val="both"/>
        <w:rPr>
          <w:color w:val="auto"/>
          <w:szCs w:val="24"/>
        </w:rPr>
      </w:pPr>
    </w:p>
    <w:p w:rsidR="009B0256" w:rsidRDefault="008F4DC4" w:rsidP="009B0256">
      <w:pPr>
        <w:spacing w:after="120"/>
        <w:jc w:val="both"/>
        <w:rPr>
          <w:color w:val="000000"/>
        </w:rPr>
      </w:pPr>
      <w:r w:rsidRPr="008F4DC4">
        <w:rPr>
          <w:color w:val="000000"/>
          <w:u w:val="single"/>
        </w:rPr>
        <w:t>Right Knee Condition</w:t>
      </w:r>
      <w:r>
        <w:rPr>
          <w:color w:val="000000"/>
        </w:rPr>
        <w:t xml:space="preserve">.  </w:t>
      </w:r>
      <w:r w:rsidR="009023B0">
        <w:rPr>
          <w:color w:val="000000"/>
        </w:rPr>
        <w:t>The NARSUM documented “</w:t>
      </w:r>
      <w:r w:rsidR="009023B0" w:rsidRPr="009023B0">
        <w:rPr>
          <w:color w:val="000000"/>
          <w:szCs w:val="24"/>
        </w:rPr>
        <w:t>a history of recurring right knee pain of</w:t>
      </w:r>
      <w:r w:rsidR="009023B0">
        <w:rPr>
          <w:color w:val="000000"/>
          <w:szCs w:val="24"/>
        </w:rPr>
        <w:t xml:space="preserve"> </w:t>
      </w:r>
      <w:r w:rsidR="009023B0" w:rsidRPr="009023B0">
        <w:rPr>
          <w:color w:val="000000"/>
          <w:szCs w:val="24"/>
        </w:rPr>
        <w:t>insidiou</w:t>
      </w:r>
      <w:r w:rsidR="009E283F">
        <w:rPr>
          <w:color w:val="000000"/>
          <w:szCs w:val="24"/>
        </w:rPr>
        <w:t xml:space="preserve">s onset which developed in 2000, </w:t>
      </w:r>
      <w:r w:rsidR="009023B0" w:rsidRPr="009023B0">
        <w:rPr>
          <w:color w:val="000000"/>
          <w:szCs w:val="24"/>
        </w:rPr>
        <w:t>exacerbated by running and marching</w:t>
      </w:r>
      <w:r w:rsidR="009E283F">
        <w:rPr>
          <w:color w:val="000000"/>
          <w:szCs w:val="24"/>
        </w:rPr>
        <w:t>.</w:t>
      </w:r>
      <w:r w:rsidR="009E283F">
        <w:rPr>
          <w:color w:val="000000"/>
        </w:rPr>
        <w:t>”</w:t>
      </w:r>
      <w:r w:rsidR="009023B0">
        <w:rPr>
          <w:color w:val="000000"/>
        </w:rPr>
        <w:t xml:space="preserve">  Other than the NARSUM (and undated MEB document referenced in the lumbar spine discussion), </w:t>
      </w:r>
      <w:r w:rsidR="00BF342F">
        <w:rPr>
          <w:color w:val="000000"/>
        </w:rPr>
        <w:t>the only</w:t>
      </w:r>
      <w:r w:rsidR="009023B0">
        <w:rPr>
          <w:color w:val="000000"/>
        </w:rPr>
        <w:t xml:space="preserve"> documentation of evaluation or treatment of a right knee co</w:t>
      </w:r>
      <w:r w:rsidR="00BF342F">
        <w:rPr>
          <w:color w:val="000000"/>
        </w:rPr>
        <w:t xml:space="preserve">mplaint in the </w:t>
      </w:r>
      <w:r w:rsidR="009E283F">
        <w:rPr>
          <w:color w:val="000000"/>
        </w:rPr>
        <w:t>s</w:t>
      </w:r>
      <w:r w:rsidR="00BF342F">
        <w:rPr>
          <w:color w:val="000000"/>
        </w:rPr>
        <w:t xml:space="preserve">ervice records was </w:t>
      </w:r>
      <w:r w:rsidR="009023B0">
        <w:rPr>
          <w:color w:val="000000"/>
        </w:rPr>
        <w:t xml:space="preserve">a </w:t>
      </w:r>
      <w:r w:rsidR="00BF342F">
        <w:rPr>
          <w:color w:val="000000"/>
        </w:rPr>
        <w:t>single</w:t>
      </w:r>
      <w:r w:rsidR="009023B0">
        <w:rPr>
          <w:color w:val="000000"/>
        </w:rPr>
        <w:t xml:space="preserve"> encounter in 2001</w:t>
      </w:r>
      <w:r w:rsidR="009B0256">
        <w:rPr>
          <w:color w:val="000000"/>
        </w:rPr>
        <w:t xml:space="preserve">. </w:t>
      </w:r>
      <w:r w:rsidR="009023B0">
        <w:rPr>
          <w:color w:val="000000"/>
        </w:rPr>
        <w:t xml:space="preserve"> </w:t>
      </w:r>
      <w:r w:rsidR="009B0256">
        <w:rPr>
          <w:color w:val="000000"/>
        </w:rPr>
        <w:t xml:space="preserve">This was </w:t>
      </w:r>
      <w:r w:rsidR="009023B0">
        <w:rPr>
          <w:color w:val="000000"/>
        </w:rPr>
        <w:t>diagnosed as ligamental strain</w:t>
      </w:r>
      <w:r w:rsidR="005062AA">
        <w:rPr>
          <w:color w:val="000000"/>
        </w:rPr>
        <w:t xml:space="preserve"> (no history of injury reported)</w:t>
      </w:r>
      <w:r w:rsidR="006A30BD">
        <w:rPr>
          <w:color w:val="000000"/>
        </w:rPr>
        <w:t xml:space="preserve">, and </w:t>
      </w:r>
      <w:r w:rsidR="009B0256">
        <w:rPr>
          <w:color w:val="000000"/>
        </w:rPr>
        <w:t xml:space="preserve">treated with ibuprofen and </w:t>
      </w:r>
      <w:r w:rsidR="006A30BD">
        <w:rPr>
          <w:color w:val="000000"/>
        </w:rPr>
        <w:t>temporary activity restrictions.</w:t>
      </w:r>
      <w:r w:rsidR="009B0256">
        <w:rPr>
          <w:color w:val="000000"/>
        </w:rPr>
        <w:t xml:space="preserve"> </w:t>
      </w:r>
      <w:r w:rsidR="006A30BD">
        <w:rPr>
          <w:color w:val="000000"/>
        </w:rPr>
        <w:t xml:space="preserve"> No</w:t>
      </w:r>
      <w:r w:rsidR="009B0256">
        <w:rPr>
          <w:color w:val="000000"/>
        </w:rPr>
        <w:t xml:space="preserve"> follow-up is on record.  No </w:t>
      </w:r>
      <w:r w:rsidR="009E283F">
        <w:rPr>
          <w:color w:val="000000"/>
        </w:rPr>
        <w:t>s</w:t>
      </w:r>
      <w:r w:rsidR="009B0256">
        <w:rPr>
          <w:color w:val="000000"/>
        </w:rPr>
        <w:t xml:space="preserve">ervice </w:t>
      </w:r>
      <w:r w:rsidR="00B51FCF">
        <w:rPr>
          <w:color w:val="000000"/>
        </w:rPr>
        <w:t>X</w:t>
      </w:r>
      <w:r w:rsidR="009B0256">
        <w:rPr>
          <w:color w:val="000000"/>
        </w:rPr>
        <w:t xml:space="preserve">-ray of the knee could be located, although the VA’s </w:t>
      </w:r>
      <w:r w:rsidR="009E283F">
        <w:rPr>
          <w:color w:val="000000"/>
        </w:rPr>
        <w:t>X</w:t>
      </w:r>
      <w:r w:rsidR="009B0256">
        <w:rPr>
          <w:color w:val="000000"/>
        </w:rPr>
        <w:t>-ray</w:t>
      </w:r>
      <w:r w:rsidR="009E283F">
        <w:rPr>
          <w:color w:val="000000"/>
        </w:rPr>
        <w:t xml:space="preserve"> taken after separation</w:t>
      </w:r>
      <w:r w:rsidR="009B0256">
        <w:rPr>
          <w:color w:val="000000"/>
        </w:rPr>
        <w:t xml:space="preserve"> was normal.</w:t>
      </w:r>
      <w:r w:rsidR="00BB3844">
        <w:rPr>
          <w:color w:val="000000"/>
        </w:rPr>
        <w:t xml:space="preserve"> </w:t>
      </w:r>
      <w:r w:rsidR="009B0256">
        <w:rPr>
          <w:color w:val="000000"/>
        </w:rPr>
        <w:t xml:space="preserve"> </w:t>
      </w:r>
      <w:r w:rsidR="00E81810">
        <w:rPr>
          <w:color w:val="000000"/>
        </w:rPr>
        <w:t>The condition appeared on the permanent profile issued 3 months prior to separation, but was not profiled prior to that.  The commander’s statement referred only to the CI’s “medical condition</w:t>
      </w:r>
      <w:r w:rsidR="009E283F">
        <w:rPr>
          <w:color w:val="000000"/>
        </w:rPr>
        <w:t>,</w:t>
      </w:r>
      <w:r w:rsidR="00E81810">
        <w:rPr>
          <w:color w:val="000000"/>
        </w:rPr>
        <w:t xml:space="preserve">” and listed the physical requirements of his MOS which included kneeling.  </w:t>
      </w:r>
      <w:r w:rsidR="009B0256">
        <w:rPr>
          <w:color w:val="000000"/>
        </w:rPr>
        <w:t xml:space="preserve">The NARSUM physical examination is excerpted below. </w:t>
      </w:r>
    </w:p>
    <w:p w:rsidR="008F4DC4" w:rsidRPr="009B0256" w:rsidRDefault="00260BF8" w:rsidP="009B0256">
      <w:pPr>
        <w:spacing w:after="120" w:line="200" w:lineRule="exact"/>
        <w:ind w:left="720" w:right="720"/>
        <w:jc w:val="both"/>
        <w:rPr>
          <w:color w:val="000000"/>
          <w:sz w:val="20"/>
        </w:rPr>
      </w:pPr>
      <w:r>
        <w:rPr>
          <w:color w:val="000000"/>
          <w:sz w:val="20"/>
        </w:rPr>
        <w:t>“</w:t>
      </w:r>
      <w:r w:rsidR="009B0256" w:rsidRPr="009B0256">
        <w:rPr>
          <w:color w:val="000000"/>
          <w:sz w:val="20"/>
        </w:rPr>
        <w:t>Examination of the right knee revealed full active range of motion.  There was no effusion There was no pain on patellar compression or distraction.  The medial plica patellar test was negative.  There was no ligament laxity to valgus or varus stress at 0 and 30⁰.  The Lachman's, anterior and posterior drawer's tests were negative and the sag sign was negative.</w:t>
      </w:r>
      <w:r>
        <w:rPr>
          <w:color w:val="000000"/>
          <w:sz w:val="20"/>
        </w:rPr>
        <w:t>”</w:t>
      </w:r>
    </w:p>
    <w:p w:rsidR="009023B0" w:rsidRPr="00DD781D" w:rsidRDefault="00DD781D" w:rsidP="00DD781D">
      <w:pPr>
        <w:jc w:val="both"/>
        <w:rPr>
          <w:color w:val="000000"/>
        </w:rPr>
      </w:pPr>
      <w:r>
        <w:rPr>
          <w:color w:val="000000"/>
        </w:rPr>
        <w:t>To the VA C&amp;P examiner, the CI reported 10/10 pain which “</w:t>
      </w:r>
      <w:r>
        <w:rPr>
          <w:color w:val="000000"/>
          <w:szCs w:val="24"/>
        </w:rPr>
        <w:t>occurs</w:t>
      </w:r>
      <w:r w:rsidRPr="00DD781D">
        <w:rPr>
          <w:color w:val="000000"/>
          <w:szCs w:val="24"/>
        </w:rPr>
        <w:t xml:space="preserve"> </w:t>
      </w:r>
      <w:r w:rsidR="009E283F">
        <w:rPr>
          <w:color w:val="000000"/>
          <w:szCs w:val="24"/>
        </w:rPr>
        <w:t>three</w:t>
      </w:r>
      <w:r>
        <w:rPr>
          <w:color w:val="000000"/>
          <w:szCs w:val="24"/>
        </w:rPr>
        <w:t xml:space="preserve"> times</w:t>
      </w:r>
      <w:r w:rsidRPr="00DD781D">
        <w:rPr>
          <w:color w:val="000000"/>
          <w:szCs w:val="24"/>
        </w:rPr>
        <w:t xml:space="preserve"> per day and each time lasts for 1 </w:t>
      </w:r>
      <w:r>
        <w:rPr>
          <w:color w:val="000000"/>
          <w:szCs w:val="24"/>
        </w:rPr>
        <w:t>hour</w:t>
      </w:r>
      <w:r w:rsidR="009E283F">
        <w:rPr>
          <w:color w:val="000000"/>
          <w:szCs w:val="24"/>
        </w:rPr>
        <w:t>.</w:t>
      </w:r>
      <w:r>
        <w:rPr>
          <w:color w:val="000000"/>
        </w:rPr>
        <w:t>”  The VA physical examination stated only, “</w:t>
      </w:r>
      <w:r w:rsidR="009E283F">
        <w:rPr>
          <w:color w:val="000000"/>
        </w:rPr>
        <w:t>o</w:t>
      </w:r>
      <w:r w:rsidRPr="00DD781D">
        <w:rPr>
          <w:color w:val="000000"/>
        </w:rPr>
        <w:t xml:space="preserve">n the right there is tenderness and parapatellar pain with duck walk.  There is </w:t>
      </w:r>
      <w:r>
        <w:rPr>
          <w:color w:val="000000"/>
        </w:rPr>
        <w:t>no</w:t>
      </w:r>
      <w:r w:rsidRPr="00DD781D">
        <w:rPr>
          <w:color w:val="000000"/>
        </w:rPr>
        <w:t xml:space="preserve"> edema, effusion, wea</w:t>
      </w:r>
      <w:r>
        <w:rPr>
          <w:color w:val="000000"/>
        </w:rPr>
        <w:t>kness, re</w:t>
      </w:r>
      <w:r w:rsidRPr="00DD781D">
        <w:rPr>
          <w:color w:val="000000"/>
        </w:rPr>
        <w:t>dness, heat,</w:t>
      </w:r>
      <w:r>
        <w:rPr>
          <w:color w:val="000000"/>
        </w:rPr>
        <w:t xml:space="preserve"> </w:t>
      </w:r>
      <w:r w:rsidRPr="00DD781D">
        <w:rPr>
          <w:color w:val="000000"/>
        </w:rPr>
        <w:t>guarding of movement and subluxation.</w:t>
      </w:r>
      <w:r>
        <w:rPr>
          <w:color w:val="000000"/>
        </w:rPr>
        <w:t>”</w:t>
      </w:r>
      <w:r w:rsidR="00EF7A3D">
        <w:rPr>
          <w:color w:val="000000"/>
        </w:rPr>
        <w:t xml:space="preserve">  The</w:t>
      </w:r>
      <w:r w:rsidR="00CD2DEF">
        <w:rPr>
          <w:color w:val="000000"/>
        </w:rPr>
        <w:t>re was</w:t>
      </w:r>
      <w:r w:rsidR="00EF7A3D">
        <w:rPr>
          <w:color w:val="000000"/>
        </w:rPr>
        <w:t xml:space="preserve"> </w:t>
      </w:r>
      <w:r w:rsidR="00CD2DEF">
        <w:rPr>
          <w:color w:val="000000"/>
        </w:rPr>
        <w:t>no</w:t>
      </w:r>
      <w:r w:rsidR="00EF7A3D">
        <w:rPr>
          <w:color w:val="000000"/>
        </w:rPr>
        <w:t xml:space="preserve"> </w:t>
      </w:r>
      <w:r w:rsidR="00CD2DEF">
        <w:rPr>
          <w:color w:val="000000"/>
        </w:rPr>
        <w:t>in</w:t>
      </w:r>
      <w:r w:rsidR="00EF7A3D">
        <w:rPr>
          <w:color w:val="000000"/>
        </w:rPr>
        <w:t xml:space="preserve">stability </w:t>
      </w:r>
      <w:r w:rsidR="00CD2DEF">
        <w:rPr>
          <w:color w:val="000000"/>
        </w:rPr>
        <w:t>with stress maneuvers or signs of cartilage impingement</w:t>
      </w:r>
      <w:r w:rsidR="00EF7A3D">
        <w:rPr>
          <w:color w:val="000000"/>
        </w:rPr>
        <w:t xml:space="preserve">.  The MEB physical therapist recorded 120⁰ flexion </w:t>
      </w:r>
      <w:r w:rsidR="00EF7A3D">
        <w:rPr>
          <w:color w:val="000000"/>
          <w:szCs w:val="24"/>
        </w:rPr>
        <w:t>(normal 140</w:t>
      </w:r>
      <w:r w:rsidR="00EF7A3D" w:rsidRPr="0087277D">
        <w:rPr>
          <w:color w:val="000000"/>
          <w:szCs w:val="24"/>
        </w:rPr>
        <w:t xml:space="preserve">⁰; minimal compensable </w:t>
      </w:r>
      <w:r w:rsidR="00EF7A3D">
        <w:rPr>
          <w:color w:val="000000"/>
          <w:szCs w:val="24"/>
        </w:rPr>
        <w:t>45</w:t>
      </w:r>
      <w:r w:rsidR="00EF7A3D" w:rsidRPr="0087277D">
        <w:rPr>
          <w:color w:val="000000"/>
          <w:szCs w:val="24"/>
        </w:rPr>
        <w:t>⁰)</w:t>
      </w:r>
      <w:r w:rsidR="00EF7A3D">
        <w:rPr>
          <w:color w:val="000000"/>
          <w:szCs w:val="24"/>
        </w:rPr>
        <w:t xml:space="preserve"> and normal extension (0⁰); specifically stating “No pain noted in today’s exam.”  The VA examiner recorded 140⁰ flexion, 0⁰ extension, and no </w:t>
      </w:r>
      <w:r w:rsidR="00CD2DEF">
        <w:rPr>
          <w:color w:val="000000"/>
          <w:szCs w:val="24"/>
        </w:rPr>
        <w:t>painful motion.</w:t>
      </w:r>
      <w:r w:rsidR="009E283F">
        <w:rPr>
          <w:color w:val="000000"/>
          <w:szCs w:val="24"/>
        </w:rPr>
        <w:t xml:space="preserve">  The VA could not service-</w:t>
      </w:r>
      <w:r w:rsidR="005062AA">
        <w:rPr>
          <w:color w:val="000000"/>
          <w:szCs w:val="24"/>
        </w:rPr>
        <w:t xml:space="preserve">connect the condition for lack of </w:t>
      </w:r>
      <w:r w:rsidR="009E283F">
        <w:rPr>
          <w:color w:val="000000"/>
          <w:szCs w:val="24"/>
        </w:rPr>
        <w:t>s</w:t>
      </w:r>
      <w:r w:rsidR="005062AA">
        <w:rPr>
          <w:color w:val="000000"/>
          <w:szCs w:val="24"/>
        </w:rPr>
        <w:t>ervice documentation of treatment.</w:t>
      </w:r>
    </w:p>
    <w:p w:rsidR="008F4DC4" w:rsidRDefault="008F4DC4" w:rsidP="00D63A52">
      <w:pPr>
        <w:jc w:val="both"/>
        <w:rPr>
          <w:color w:val="000000"/>
        </w:rPr>
      </w:pPr>
    </w:p>
    <w:p w:rsidR="00E81810" w:rsidRPr="00B8080D" w:rsidRDefault="00CD2DEF" w:rsidP="00CE652B">
      <w:pPr>
        <w:jc w:val="both"/>
        <w:rPr>
          <w:i/>
          <w:color w:val="auto"/>
          <w:szCs w:val="24"/>
          <w:highlight w:val="cyan"/>
        </w:rPr>
      </w:pPr>
      <w:r w:rsidRPr="00851664">
        <w:rPr>
          <w:color w:val="auto"/>
          <w:szCs w:val="24"/>
        </w:rPr>
        <w:t xml:space="preserve">The Board directs attention to its recommendation based on the above evidence.  </w:t>
      </w:r>
      <w:r w:rsidR="00B731CA" w:rsidRPr="00B731CA">
        <w:rPr>
          <w:color w:val="auto"/>
          <w:szCs w:val="24"/>
        </w:rPr>
        <w:t xml:space="preserve">As previously elaborated, the Board must first consider whether </w:t>
      </w:r>
      <w:r w:rsidR="00B731CA">
        <w:rPr>
          <w:color w:val="auto"/>
          <w:szCs w:val="24"/>
        </w:rPr>
        <w:t>right knee condition</w:t>
      </w:r>
      <w:r w:rsidR="00B731CA" w:rsidRPr="00B731CA">
        <w:rPr>
          <w:color w:val="auto"/>
          <w:szCs w:val="24"/>
        </w:rPr>
        <w:t xml:space="preserve"> remains separately unfitting, having de-coupled it from </w:t>
      </w:r>
      <w:r w:rsidR="00B731CA">
        <w:rPr>
          <w:color w:val="auto"/>
          <w:szCs w:val="24"/>
        </w:rPr>
        <w:t xml:space="preserve">a combined PEB </w:t>
      </w:r>
      <w:r w:rsidR="00B731CA" w:rsidRPr="00B731CA">
        <w:rPr>
          <w:color w:val="auto"/>
          <w:szCs w:val="24"/>
        </w:rPr>
        <w:t xml:space="preserve">adjudication.  In analyzing the intrinsic impairment </w:t>
      </w:r>
      <w:r w:rsidR="00B731CA">
        <w:rPr>
          <w:color w:val="auto"/>
          <w:szCs w:val="24"/>
        </w:rPr>
        <w:t>associated with</w:t>
      </w:r>
      <w:r w:rsidR="00B731CA" w:rsidRPr="00B731CA">
        <w:rPr>
          <w:color w:val="auto"/>
          <w:szCs w:val="24"/>
        </w:rPr>
        <w:t xml:space="preserve"> the condition, the Board is left with a questionable basis for arguing that </w:t>
      </w:r>
      <w:r w:rsidR="00B731CA">
        <w:rPr>
          <w:color w:val="auto"/>
          <w:szCs w:val="24"/>
        </w:rPr>
        <w:t>the right knee condition</w:t>
      </w:r>
      <w:r w:rsidR="00B731CA" w:rsidRPr="00B731CA">
        <w:rPr>
          <w:color w:val="auto"/>
          <w:szCs w:val="24"/>
        </w:rPr>
        <w:t xml:space="preserve"> was indeed independently unfitting.</w:t>
      </w:r>
      <w:r w:rsidR="00B731CA">
        <w:rPr>
          <w:color w:val="auto"/>
          <w:szCs w:val="24"/>
        </w:rPr>
        <w:t xml:space="preserve">  </w:t>
      </w:r>
      <w:r w:rsidR="00B731CA" w:rsidRPr="00B731CA">
        <w:rPr>
          <w:color w:val="auto"/>
          <w:szCs w:val="24"/>
        </w:rPr>
        <w:t xml:space="preserve">The </w:t>
      </w:r>
      <w:r w:rsidR="002559B0">
        <w:rPr>
          <w:color w:val="auto"/>
          <w:szCs w:val="24"/>
        </w:rPr>
        <w:t xml:space="preserve">well </w:t>
      </w:r>
      <w:r w:rsidR="00B731CA" w:rsidRPr="00B731CA">
        <w:rPr>
          <w:color w:val="auto"/>
          <w:szCs w:val="24"/>
        </w:rPr>
        <w:t xml:space="preserve">established principle for fitness determinations is that they are performance-based.  </w:t>
      </w:r>
      <w:r w:rsidR="002559B0">
        <w:rPr>
          <w:color w:val="auto"/>
          <w:szCs w:val="24"/>
        </w:rPr>
        <w:t xml:space="preserve">Despite the fact that the condition was included on the profile (at the conclusion of MEB proceedings), there were no restrictions which were not in place for the back condition.  </w:t>
      </w:r>
      <w:r w:rsidR="00260BF8">
        <w:rPr>
          <w:color w:val="auto"/>
          <w:szCs w:val="24"/>
        </w:rPr>
        <w:t xml:space="preserve">The Board could not find </w:t>
      </w:r>
      <w:r w:rsidR="002559B0" w:rsidRPr="002559B0">
        <w:rPr>
          <w:color w:val="auto"/>
          <w:szCs w:val="24"/>
        </w:rPr>
        <w:t xml:space="preserve">evidence in the </w:t>
      </w:r>
      <w:r w:rsidR="009E283F">
        <w:rPr>
          <w:color w:val="auto"/>
          <w:szCs w:val="24"/>
        </w:rPr>
        <w:t>c</w:t>
      </w:r>
      <w:r w:rsidR="002559B0" w:rsidRPr="002559B0">
        <w:rPr>
          <w:color w:val="auto"/>
          <w:szCs w:val="24"/>
        </w:rPr>
        <w:t xml:space="preserve">ommander’s statement or elsewhere in the </w:t>
      </w:r>
      <w:r w:rsidR="00260BF8">
        <w:rPr>
          <w:color w:val="auto"/>
          <w:szCs w:val="24"/>
        </w:rPr>
        <w:t>a s</w:t>
      </w:r>
      <w:r w:rsidR="002559B0" w:rsidRPr="002559B0">
        <w:rPr>
          <w:color w:val="auto"/>
          <w:szCs w:val="24"/>
        </w:rPr>
        <w:t xml:space="preserve">ervice file that documented any interference of the </w:t>
      </w:r>
      <w:r w:rsidR="002559B0">
        <w:rPr>
          <w:color w:val="auto"/>
          <w:szCs w:val="24"/>
        </w:rPr>
        <w:t>right knee</w:t>
      </w:r>
      <w:r w:rsidR="002559B0" w:rsidRPr="002559B0">
        <w:rPr>
          <w:color w:val="auto"/>
          <w:szCs w:val="24"/>
        </w:rPr>
        <w:t xml:space="preserve"> condition with performance of duties</w:t>
      </w:r>
      <w:r w:rsidR="002559B0">
        <w:rPr>
          <w:color w:val="auto"/>
          <w:szCs w:val="24"/>
        </w:rPr>
        <w:t xml:space="preserve">, nor were any physical findings documented by </w:t>
      </w:r>
      <w:r w:rsidR="001D23FF">
        <w:rPr>
          <w:color w:val="auto"/>
          <w:szCs w:val="24"/>
        </w:rPr>
        <w:t xml:space="preserve">the </w:t>
      </w:r>
      <w:r w:rsidR="002559B0">
        <w:rPr>
          <w:color w:val="auto"/>
          <w:szCs w:val="24"/>
        </w:rPr>
        <w:t xml:space="preserve">MEB and VA examiners which would </w:t>
      </w:r>
      <w:r w:rsidR="001D23FF">
        <w:rPr>
          <w:color w:val="auto"/>
          <w:szCs w:val="24"/>
        </w:rPr>
        <w:t>logically be associated with significant disability</w:t>
      </w:r>
      <w:r w:rsidR="002559B0" w:rsidRPr="002559B0">
        <w:rPr>
          <w:color w:val="auto"/>
          <w:szCs w:val="24"/>
        </w:rPr>
        <w:t>.</w:t>
      </w:r>
      <w:r w:rsidR="001D23FF">
        <w:rPr>
          <w:color w:val="auto"/>
          <w:szCs w:val="24"/>
        </w:rPr>
        <w:t xml:space="preserve">  Indeed, there were no §4.71a criteria </w:t>
      </w:r>
      <w:r w:rsidR="00CE652B">
        <w:rPr>
          <w:color w:val="auto"/>
          <w:szCs w:val="24"/>
        </w:rPr>
        <w:t>in</w:t>
      </w:r>
      <w:r w:rsidR="001D23FF">
        <w:rPr>
          <w:color w:val="auto"/>
          <w:szCs w:val="24"/>
        </w:rPr>
        <w:t xml:space="preserve"> evidence which would </w:t>
      </w:r>
      <w:r w:rsidR="00CE652B">
        <w:rPr>
          <w:color w:val="auto"/>
          <w:szCs w:val="24"/>
        </w:rPr>
        <w:t>easily support</w:t>
      </w:r>
      <w:r w:rsidR="001D23FF">
        <w:rPr>
          <w:color w:val="auto"/>
          <w:szCs w:val="24"/>
        </w:rPr>
        <w:t xml:space="preserve"> a compensable rating; even if the condition were conceded as unfitting.  </w:t>
      </w:r>
      <w:r w:rsidR="001D23FF" w:rsidRPr="001D23FF">
        <w:rPr>
          <w:color w:val="auto"/>
          <w:szCs w:val="24"/>
        </w:rPr>
        <w:t xml:space="preserve">After due deliberation, the Board agreed that evidence does not support a conclusion that </w:t>
      </w:r>
      <w:r w:rsidR="001D23FF">
        <w:rPr>
          <w:color w:val="auto"/>
          <w:szCs w:val="24"/>
        </w:rPr>
        <w:t>the right knee condition</w:t>
      </w:r>
      <w:r w:rsidR="001D23FF" w:rsidRPr="001D23FF">
        <w:rPr>
          <w:color w:val="auto"/>
          <w:szCs w:val="24"/>
        </w:rPr>
        <w:t xml:space="preserve">, </w:t>
      </w:r>
      <w:r w:rsidR="001D23FF">
        <w:rPr>
          <w:color w:val="auto"/>
          <w:szCs w:val="24"/>
        </w:rPr>
        <w:t>in isolation</w:t>
      </w:r>
      <w:r w:rsidR="001D23FF" w:rsidRPr="001D23FF">
        <w:rPr>
          <w:color w:val="auto"/>
          <w:szCs w:val="24"/>
        </w:rPr>
        <w:t>, would have rendered the CI incapable of continued service within his MOS; and, accordingly cannot recommend a separate rating for it.</w:t>
      </w:r>
    </w:p>
    <w:p w:rsidR="00B976DE" w:rsidRDefault="00B976DE" w:rsidP="00792790">
      <w:pPr>
        <w:jc w:val="both"/>
        <w:rPr>
          <w:rFonts w:eastAsia="Calibri"/>
          <w:color w:val="auto"/>
          <w:szCs w:val="24"/>
          <w:u w:val="single"/>
        </w:rPr>
      </w:pPr>
    </w:p>
    <w:p w:rsidR="00792790" w:rsidRPr="007224C1" w:rsidRDefault="00CF2D11" w:rsidP="00792790">
      <w:pPr>
        <w:jc w:val="both"/>
        <w:rPr>
          <w:rFonts w:eastAsia="Calibri"/>
          <w:color w:val="auto"/>
          <w:szCs w:val="24"/>
        </w:rPr>
      </w:pPr>
      <w:r>
        <w:rPr>
          <w:rFonts w:eastAsia="Calibri"/>
          <w:color w:val="auto"/>
          <w:szCs w:val="24"/>
          <w:u w:val="single"/>
        </w:rPr>
        <w:t xml:space="preserve">Remaining </w:t>
      </w:r>
      <w:r w:rsidR="00792790" w:rsidRPr="007224C1">
        <w:rPr>
          <w:rFonts w:eastAsia="Calibri"/>
          <w:color w:val="auto"/>
          <w:szCs w:val="24"/>
          <w:u w:val="single"/>
        </w:rPr>
        <w:t>Contended Conditions</w:t>
      </w:r>
      <w:r w:rsidR="00792790" w:rsidRPr="007224C1">
        <w:rPr>
          <w:rFonts w:eastAsia="Calibri"/>
          <w:color w:val="auto"/>
          <w:szCs w:val="24"/>
        </w:rPr>
        <w:t xml:space="preserve">.  </w:t>
      </w:r>
      <w:r w:rsidRPr="00CF2D11">
        <w:rPr>
          <w:rFonts w:eastAsia="Calibri"/>
          <w:color w:val="auto"/>
          <w:szCs w:val="24"/>
        </w:rPr>
        <w:t xml:space="preserve">The Board wishes to clarify </w:t>
      </w:r>
      <w:r>
        <w:rPr>
          <w:rFonts w:eastAsia="Calibri"/>
          <w:color w:val="auto"/>
          <w:szCs w:val="24"/>
        </w:rPr>
        <w:t xml:space="preserve">for the CI </w:t>
      </w:r>
      <w:r w:rsidRPr="00CF2D11">
        <w:rPr>
          <w:rFonts w:eastAsia="Calibri"/>
          <w:color w:val="auto"/>
          <w:szCs w:val="24"/>
        </w:rPr>
        <w:t xml:space="preserve">that it is subject to the same laws for disability entitlements as those under which the </w:t>
      </w:r>
      <w:r w:rsidR="00260BF8">
        <w:rPr>
          <w:rFonts w:eastAsia="Calibri"/>
          <w:color w:val="auto"/>
          <w:szCs w:val="24"/>
        </w:rPr>
        <w:t>Disability Evaluation System (DES)</w:t>
      </w:r>
      <w:r w:rsidRPr="00CF2D11">
        <w:rPr>
          <w:rFonts w:eastAsia="Calibri"/>
          <w:color w:val="auto"/>
          <w:szCs w:val="24"/>
        </w:rPr>
        <w:t xml:space="preserve"> operates.</w:t>
      </w:r>
      <w:r w:rsidR="00260BF8">
        <w:rPr>
          <w:rFonts w:eastAsia="Calibri"/>
          <w:color w:val="auto"/>
          <w:szCs w:val="24"/>
        </w:rPr>
        <w:t xml:space="preserve">  While the </w:t>
      </w:r>
      <w:r w:rsidRPr="00CF2D11">
        <w:rPr>
          <w:rFonts w:eastAsia="Calibri"/>
          <w:color w:val="auto"/>
          <w:szCs w:val="24"/>
        </w:rPr>
        <w:t xml:space="preserve">DES considers all of the service member's medical conditions, compensation can only be offered for those medical conditions that cut short the member’s service career; and then only to the degree of severity present at the time of final disposition.  However the </w:t>
      </w:r>
      <w:r w:rsidR="00260BF8">
        <w:rPr>
          <w:rFonts w:eastAsia="Calibri"/>
          <w:color w:val="auto"/>
          <w:szCs w:val="24"/>
        </w:rPr>
        <w:t>DVA</w:t>
      </w:r>
      <w:r w:rsidRPr="00CF2D11">
        <w:rPr>
          <w:rFonts w:eastAsia="Calibri"/>
          <w:color w:val="auto"/>
          <w:szCs w:val="24"/>
        </w:rPr>
        <w:t xml:space="preserve">, operating under a different set of laws (Title 38, United States Code), is </w:t>
      </w:r>
      <w:r w:rsidRPr="00CF2D11">
        <w:rPr>
          <w:rFonts w:eastAsia="Calibri"/>
          <w:color w:val="auto"/>
          <w:szCs w:val="24"/>
        </w:rPr>
        <w:lastRenderedPageBreak/>
        <w:t>empo</w:t>
      </w:r>
      <w:r w:rsidR="00260BF8">
        <w:rPr>
          <w:rFonts w:eastAsia="Calibri"/>
          <w:color w:val="auto"/>
          <w:szCs w:val="24"/>
        </w:rPr>
        <w:t>wered to compensate all service-</w:t>
      </w:r>
      <w:r w:rsidRPr="00CF2D11">
        <w:rPr>
          <w:rFonts w:eastAsia="Calibri"/>
          <w:color w:val="auto"/>
          <w:szCs w:val="24"/>
        </w:rPr>
        <w:t xml:space="preserve">connected conditions and to periodically reevaluate said conditions for the purpose of adjusting the </w:t>
      </w:r>
      <w:r w:rsidR="00260BF8">
        <w:rPr>
          <w:rFonts w:eastAsia="Calibri"/>
          <w:color w:val="auto"/>
          <w:szCs w:val="24"/>
        </w:rPr>
        <w:t>V</w:t>
      </w:r>
      <w:r w:rsidRPr="00CF2D11">
        <w:rPr>
          <w:rFonts w:eastAsia="Calibri"/>
          <w:color w:val="auto"/>
          <w:szCs w:val="24"/>
        </w:rPr>
        <w:t xml:space="preserve">eteran’s disability rating should </w:t>
      </w:r>
      <w:r w:rsidR="00260BF8">
        <w:rPr>
          <w:rFonts w:eastAsia="Calibri"/>
          <w:color w:val="auto"/>
          <w:szCs w:val="24"/>
        </w:rPr>
        <w:t>the</w:t>
      </w:r>
      <w:r w:rsidRPr="00CF2D11">
        <w:rPr>
          <w:rFonts w:eastAsia="Calibri"/>
          <w:color w:val="auto"/>
          <w:szCs w:val="24"/>
        </w:rPr>
        <w:t xml:space="preserve"> degree of impairment vary over time.</w:t>
      </w:r>
      <w:r>
        <w:rPr>
          <w:rFonts w:eastAsia="Calibri"/>
          <w:color w:val="auto"/>
          <w:szCs w:val="24"/>
        </w:rPr>
        <w:t xml:space="preserve"> </w:t>
      </w:r>
      <w:r w:rsidR="003277C8">
        <w:rPr>
          <w:rFonts w:eastAsia="Calibri"/>
          <w:color w:val="auto"/>
          <w:szCs w:val="24"/>
        </w:rPr>
        <w:t xml:space="preserve"> </w:t>
      </w:r>
      <w:r w:rsidR="003277C8" w:rsidRPr="007224C1">
        <w:rPr>
          <w:rFonts w:eastAsia="Calibri"/>
          <w:color w:val="auto"/>
          <w:szCs w:val="24"/>
        </w:rPr>
        <w:t xml:space="preserve">The Board’s main charge with respect to </w:t>
      </w:r>
      <w:r w:rsidR="003277C8">
        <w:rPr>
          <w:rFonts w:eastAsia="Calibri"/>
          <w:color w:val="auto"/>
          <w:szCs w:val="24"/>
        </w:rPr>
        <w:t>t</w:t>
      </w:r>
      <w:r w:rsidR="003277C8" w:rsidRPr="007224C1">
        <w:rPr>
          <w:rFonts w:eastAsia="Calibri"/>
          <w:color w:val="auto"/>
          <w:szCs w:val="24"/>
        </w:rPr>
        <w:t xml:space="preserve">he </w:t>
      </w:r>
      <w:r w:rsidR="003277C8">
        <w:rPr>
          <w:rFonts w:eastAsia="Calibri"/>
          <w:color w:val="auto"/>
          <w:szCs w:val="24"/>
        </w:rPr>
        <w:t xml:space="preserve">remaining </w:t>
      </w:r>
      <w:r w:rsidR="003277C8" w:rsidRPr="007224C1">
        <w:rPr>
          <w:rFonts w:eastAsia="Calibri"/>
          <w:color w:val="auto"/>
          <w:szCs w:val="24"/>
        </w:rPr>
        <w:t xml:space="preserve">contended conditions </w:t>
      </w:r>
      <w:r w:rsidR="003277C8">
        <w:rPr>
          <w:rFonts w:eastAsia="Calibri"/>
          <w:color w:val="auto"/>
          <w:szCs w:val="24"/>
        </w:rPr>
        <w:t>identified by the PEB</w:t>
      </w:r>
      <w:r w:rsidR="003277C8" w:rsidRPr="007224C1">
        <w:rPr>
          <w:rFonts w:eastAsia="Calibri"/>
          <w:color w:val="auto"/>
          <w:szCs w:val="24"/>
        </w:rPr>
        <w:t xml:space="preserve"> is </w:t>
      </w:r>
      <w:r w:rsidR="003277C8">
        <w:rPr>
          <w:rFonts w:eastAsia="Calibri"/>
          <w:color w:val="auto"/>
          <w:szCs w:val="24"/>
        </w:rPr>
        <w:t xml:space="preserve">therefore </w:t>
      </w:r>
      <w:r w:rsidR="003277C8" w:rsidRPr="007224C1">
        <w:rPr>
          <w:rFonts w:eastAsia="Calibri"/>
          <w:color w:val="auto"/>
          <w:szCs w:val="24"/>
        </w:rPr>
        <w:t xml:space="preserve">an assessment of the </w:t>
      </w:r>
      <w:r w:rsidR="003277C8">
        <w:rPr>
          <w:rFonts w:eastAsia="Calibri"/>
          <w:color w:val="auto"/>
          <w:szCs w:val="24"/>
        </w:rPr>
        <w:t>fairness</w:t>
      </w:r>
      <w:r w:rsidR="003277C8" w:rsidRPr="007224C1">
        <w:rPr>
          <w:rFonts w:eastAsia="Calibri"/>
          <w:color w:val="auto"/>
          <w:szCs w:val="24"/>
        </w:rPr>
        <w:t xml:space="preserve"> of the </w:t>
      </w:r>
      <w:r w:rsidR="003277C8">
        <w:rPr>
          <w:rFonts w:eastAsia="Calibri"/>
          <w:color w:val="auto"/>
          <w:szCs w:val="24"/>
        </w:rPr>
        <w:t>determination that they were not unfitting</w:t>
      </w:r>
      <w:r w:rsidR="003277C8" w:rsidRPr="003277C8">
        <w:rPr>
          <w:rFonts w:eastAsia="Calibri"/>
          <w:color w:val="auto"/>
          <w:szCs w:val="24"/>
        </w:rPr>
        <w:t xml:space="preserve">. </w:t>
      </w:r>
      <w:r w:rsidR="003277C8">
        <w:rPr>
          <w:rFonts w:eastAsia="Calibri"/>
          <w:color w:val="auto"/>
          <w:szCs w:val="24"/>
        </w:rPr>
        <w:t xml:space="preserve"> </w:t>
      </w:r>
      <w:r w:rsidR="003277C8" w:rsidRPr="007224C1">
        <w:rPr>
          <w:rFonts w:eastAsia="Calibri"/>
          <w:color w:val="auto"/>
          <w:szCs w:val="24"/>
        </w:rPr>
        <w:t xml:space="preserve">The Board’s threshold for countering fitness determinations is higher than the VASRD §4.3 (reasonable doubt) standard used for its rating </w:t>
      </w:r>
      <w:r w:rsidR="003277C8" w:rsidRPr="00D96A1C">
        <w:rPr>
          <w:rFonts w:eastAsia="Calibri"/>
          <w:color w:val="auto"/>
          <w:szCs w:val="24"/>
        </w:rPr>
        <w:t xml:space="preserve">recommendations, but remains adherent to the DoDI 6040.44 “fair and equitable” standard.  </w:t>
      </w:r>
      <w:r w:rsidR="00D96A1C" w:rsidRPr="00D96A1C">
        <w:rPr>
          <w:rFonts w:eastAsia="Calibri"/>
          <w:color w:val="auto"/>
          <w:szCs w:val="24"/>
        </w:rPr>
        <w:t xml:space="preserve">The conditions falling into this category are </w:t>
      </w:r>
      <w:r w:rsidR="003277C8" w:rsidRPr="00D96A1C">
        <w:rPr>
          <w:color w:val="auto"/>
          <w:szCs w:val="24"/>
        </w:rPr>
        <w:t>torn iris, cataracts, tinea pedis, pilonidal sinus, and depression</w:t>
      </w:r>
      <w:r w:rsidR="00D96A1C" w:rsidRPr="00D96A1C">
        <w:rPr>
          <w:color w:val="auto"/>
          <w:szCs w:val="24"/>
        </w:rPr>
        <w:t>.</w:t>
      </w:r>
      <w:r w:rsidR="00D96A1C">
        <w:rPr>
          <w:color w:val="auto"/>
          <w:szCs w:val="24"/>
        </w:rPr>
        <w:t xml:space="preserve">  </w:t>
      </w:r>
      <w:r w:rsidR="003277C8" w:rsidRPr="007224C1">
        <w:rPr>
          <w:rFonts w:eastAsia="Calibri"/>
          <w:color w:val="auto"/>
          <w:szCs w:val="24"/>
        </w:rPr>
        <w:t xml:space="preserve"> </w:t>
      </w:r>
    </w:p>
    <w:p w:rsidR="00792790" w:rsidRPr="007224C1" w:rsidRDefault="00792790" w:rsidP="00792790">
      <w:pPr>
        <w:jc w:val="both"/>
        <w:rPr>
          <w:rFonts w:eastAsia="Calibri"/>
          <w:color w:val="auto"/>
          <w:szCs w:val="24"/>
        </w:rPr>
      </w:pPr>
    </w:p>
    <w:p w:rsidR="00792790" w:rsidRPr="00D96A1C" w:rsidRDefault="00792790" w:rsidP="00792790">
      <w:pPr>
        <w:jc w:val="both"/>
        <w:rPr>
          <w:color w:val="000000"/>
          <w:szCs w:val="24"/>
        </w:rPr>
      </w:pPr>
      <w:r w:rsidRPr="007224C1">
        <w:rPr>
          <w:color w:val="000000"/>
          <w:szCs w:val="24"/>
        </w:rPr>
        <w:t xml:space="preserve">None of these conditions were profiled; none were implicated in the commander’s statement; and, none were judged to fail retention standards.  All were reviewed by the </w:t>
      </w:r>
      <w:r w:rsidR="00260BF8">
        <w:rPr>
          <w:color w:val="000000"/>
          <w:szCs w:val="24"/>
        </w:rPr>
        <w:t>a</w:t>
      </w:r>
      <w:r w:rsidRPr="007224C1">
        <w:rPr>
          <w:color w:val="000000"/>
          <w:szCs w:val="24"/>
        </w:rPr>
        <w:t xml:space="preserve">ction </w:t>
      </w:r>
      <w:r w:rsidR="00260BF8">
        <w:rPr>
          <w:color w:val="000000"/>
          <w:szCs w:val="24"/>
        </w:rPr>
        <w:t>o</w:t>
      </w:r>
      <w:r w:rsidRPr="007224C1">
        <w:rPr>
          <w:color w:val="000000"/>
          <w:szCs w:val="24"/>
        </w:rPr>
        <w:t xml:space="preserve">fficer and considered by the Board.  There was no indication from the record that any of these conditions significantly interfered with satisfactory duty performance.  </w:t>
      </w:r>
      <w:r w:rsidRPr="007224C1">
        <w:rPr>
          <w:rFonts w:eastAsia="Calibri"/>
          <w:color w:val="auto"/>
          <w:szCs w:val="24"/>
        </w:rPr>
        <w:t>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AD2379" w:rsidRPr="007224C1" w:rsidRDefault="00AD2379" w:rsidP="00BF0E94">
      <w:pPr>
        <w:pBdr>
          <w:bottom w:val="single" w:sz="12" w:space="1" w:color="auto"/>
        </w:pBdr>
        <w:tabs>
          <w:tab w:val="left" w:pos="288"/>
          <w:tab w:val="left" w:pos="4752"/>
        </w:tabs>
        <w:jc w:val="both"/>
        <w:rPr>
          <w:color w:val="000000"/>
          <w:szCs w:val="24"/>
          <w:highlight w:val="magenta"/>
        </w:rPr>
      </w:pPr>
    </w:p>
    <w:p w:rsidR="00AD2379" w:rsidRPr="007224C1" w:rsidRDefault="00AD2379" w:rsidP="006364ED">
      <w:pPr>
        <w:jc w:val="left"/>
        <w:rPr>
          <w:color w:val="000000"/>
          <w:szCs w:val="24"/>
          <w:highlight w:val="magenta"/>
        </w:rPr>
      </w:pPr>
    </w:p>
    <w:p w:rsidR="006C3C98" w:rsidRPr="00CE652B" w:rsidRDefault="00AD2379" w:rsidP="00CE652B">
      <w:pPr>
        <w:jc w:val="both"/>
        <w:rPr>
          <w:rFonts w:eastAsia="Calibri"/>
          <w:color w:val="auto"/>
          <w:szCs w:val="24"/>
        </w:rPr>
      </w:pPr>
      <w:r w:rsidRPr="007224C1">
        <w:rPr>
          <w:color w:val="000000"/>
          <w:szCs w:val="24"/>
          <w:u w:val="single"/>
        </w:rPr>
        <w:t>BOARD FINDINGS</w:t>
      </w:r>
      <w:r w:rsidRPr="007224C1">
        <w:rPr>
          <w:color w:val="000000"/>
          <w:szCs w:val="24"/>
        </w:rPr>
        <w:t xml:space="preserve">:  IAW DoDI 6040.44, provisions of DoD or Military Department regulations or guidelines relied upon by the PEB will not be considered by the Board to the extent they were inconsistent with the VASRD in effect at </w:t>
      </w:r>
      <w:r w:rsidRPr="00CE652B">
        <w:rPr>
          <w:color w:val="000000"/>
          <w:szCs w:val="24"/>
        </w:rPr>
        <w:t>the time of the adjudication</w:t>
      </w:r>
      <w:r w:rsidRPr="00CE652B">
        <w:rPr>
          <w:color w:val="auto"/>
          <w:szCs w:val="24"/>
        </w:rPr>
        <w:t xml:space="preserve">. </w:t>
      </w:r>
      <w:r w:rsidR="008734E7" w:rsidRPr="00CE652B">
        <w:rPr>
          <w:color w:val="auto"/>
          <w:szCs w:val="24"/>
        </w:rPr>
        <w:t xml:space="preserve"> </w:t>
      </w:r>
      <w:r w:rsidR="00241B01" w:rsidRPr="00CE652B">
        <w:rPr>
          <w:rFonts w:eastAsia="Calibri"/>
          <w:color w:val="auto"/>
          <w:szCs w:val="24"/>
        </w:rPr>
        <w:t xml:space="preserve">As discussed above, PEB reliance on the USAPDA pain policy </w:t>
      </w:r>
      <w:r w:rsidR="00232D3B" w:rsidRPr="00CE652B">
        <w:rPr>
          <w:rFonts w:eastAsia="Calibri"/>
          <w:color w:val="auto"/>
          <w:szCs w:val="24"/>
        </w:rPr>
        <w:t>(</w:t>
      </w:r>
      <w:r w:rsidR="00232D3B" w:rsidRPr="00CE652B">
        <w:rPr>
          <w:color w:val="000000" w:themeColor="text1"/>
          <w:szCs w:val="24"/>
        </w:rPr>
        <w:t xml:space="preserve">and possibly AR 635-40) </w:t>
      </w:r>
      <w:r w:rsidR="00241B01" w:rsidRPr="00CE652B">
        <w:rPr>
          <w:rFonts w:eastAsia="Calibri"/>
          <w:color w:val="auto"/>
          <w:szCs w:val="24"/>
        </w:rPr>
        <w:t xml:space="preserve">for rating </w:t>
      </w:r>
      <w:r w:rsidR="00232D3B" w:rsidRPr="00CE652B">
        <w:rPr>
          <w:rFonts w:eastAsia="Calibri"/>
          <w:color w:val="auto"/>
          <w:szCs w:val="24"/>
        </w:rPr>
        <w:t>all conditions</w:t>
      </w:r>
      <w:r w:rsidR="00241B01" w:rsidRPr="00CE652B">
        <w:rPr>
          <w:rFonts w:eastAsia="Calibri"/>
          <w:color w:val="auto"/>
          <w:szCs w:val="24"/>
        </w:rPr>
        <w:t xml:space="preserve"> was operant in this case and the condition</w:t>
      </w:r>
      <w:r w:rsidR="00232D3B" w:rsidRPr="00CE652B">
        <w:rPr>
          <w:rFonts w:eastAsia="Calibri"/>
          <w:color w:val="auto"/>
          <w:szCs w:val="24"/>
        </w:rPr>
        <w:t>s were</w:t>
      </w:r>
      <w:r w:rsidR="00241B01" w:rsidRPr="00CE652B">
        <w:rPr>
          <w:rFonts w:eastAsia="Calibri"/>
          <w:color w:val="auto"/>
          <w:szCs w:val="24"/>
        </w:rPr>
        <w:t xml:space="preserve"> adjudicated independently of that policy by the Board. </w:t>
      </w:r>
      <w:r w:rsidR="00232D3B" w:rsidRPr="00CE652B">
        <w:rPr>
          <w:rFonts w:eastAsia="Calibri"/>
          <w:color w:val="auto"/>
          <w:szCs w:val="24"/>
        </w:rPr>
        <w:t xml:space="preserve"> In the matter of the lumbar spine condition, the Board unanimously recommends a disability rating of 20%, coded 5242 IAW VASRD §4.71a.  </w:t>
      </w:r>
      <w:r w:rsidR="00B8080D" w:rsidRPr="00CE652B">
        <w:rPr>
          <w:rFonts w:eastAsia="Calibri" w:cs="Times New Roman"/>
          <w:color w:val="auto"/>
          <w:szCs w:val="24"/>
        </w:rPr>
        <w:t xml:space="preserve">In the matter of the </w:t>
      </w:r>
      <w:r w:rsidR="00260BF8">
        <w:rPr>
          <w:rFonts w:eastAsia="Calibri" w:cs="Times New Roman"/>
          <w:color w:val="auto"/>
          <w:szCs w:val="24"/>
        </w:rPr>
        <w:t>s</w:t>
      </w:r>
      <w:r w:rsidR="00B8080D" w:rsidRPr="00CE652B">
        <w:rPr>
          <w:rFonts w:eastAsia="Calibri" w:cs="Times New Roman"/>
          <w:color w:val="auto"/>
          <w:szCs w:val="24"/>
        </w:rPr>
        <w:t xml:space="preserve">ervice-combined left shoulder/right knee/chronic pain syndrome condition, the Board unanimously recommends that it be rated as follows:  a left shoulder condition coded </w:t>
      </w:r>
      <w:r w:rsidR="00B8080D" w:rsidRPr="00CE652B">
        <w:rPr>
          <w:color w:val="000000"/>
          <w:szCs w:val="24"/>
        </w:rPr>
        <w:t xml:space="preserve">5099-5010 </w:t>
      </w:r>
      <w:r w:rsidR="00B8080D" w:rsidRPr="00CE652B">
        <w:rPr>
          <w:rFonts w:eastAsia="Calibri" w:cs="Times New Roman"/>
          <w:color w:val="auto"/>
          <w:szCs w:val="24"/>
        </w:rPr>
        <w:t xml:space="preserve">and rated 10%; and, a right knee condition determined to be not unfitting and </w:t>
      </w:r>
      <w:r w:rsidR="00CE652B" w:rsidRPr="00CE652B">
        <w:rPr>
          <w:rFonts w:eastAsia="Calibri" w:cs="Times New Roman"/>
          <w:color w:val="auto"/>
          <w:szCs w:val="24"/>
        </w:rPr>
        <w:t xml:space="preserve">thereby </w:t>
      </w:r>
      <w:r w:rsidR="00B8080D" w:rsidRPr="00CE652B">
        <w:rPr>
          <w:rFonts w:eastAsia="Calibri" w:cs="Times New Roman"/>
          <w:color w:val="auto"/>
          <w:szCs w:val="24"/>
        </w:rPr>
        <w:t xml:space="preserve">not subject to disability rating.    </w:t>
      </w:r>
      <w:r w:rsidR="00B8080D" w:rsidRPr="00CE652B">
        <w:rPr>
          <w:rFonts w:eastAsia="Calibri"/>
          <w:color w:val="auto"/>
          <w:szCs w:val="24"/>
        </w:rPr>
        <w:t xml:space="preserve">In the matter of the </w:t>
      </w:r>
      <w:r w:rsidR="005F2CC2" w:rsidRPr="00CE652B">
        <w:rPr>
          <w:color w:val="auto"/>
          <w:szCs w:val="24"/>
        </w:rPr>
        <w:t>torn iris, cataracts, tinea pedis, pilonidal sinus, and depression</w:t>
      </w:r>
      <w:r w:rsidR="005F2CC2" w:rsidRPr="00CE652B">
        <w:rPr>
          <w:rFonts w:eastAsia="Calibri"/>
          <w:color w:val="auto"/>
          <w:szCs w:val="24"/>
        </w:rPr>
        <w:t xml:space="preserve"> </w:t>
      </w:r>
      <w:r w:rsidR="00B8080D" w:rsidRPr="00CE652B">
        <w:rPr>
          <w:rFonts w:eastAsia="Calibri"/>
          <w:color w:val="auto"/>
          <w:szCs w:val="24"/>
        </w:rPr>
        <w:t>conditions, the Board unanimously recommends no change from the PEB determinations as not unfitting.</w:t>
      </w:r>
      <w:r w:rsidR="005F2CC2" w:rsidRPr="00CE652B">
        <w:rPr>
          <w:rFonts w:eastAsia="Calibri"/>
          <w:color w:val="auto"/>
          <w:szCs w:val="24"/>
        </w:rPr>
        <w:t xml:space="preserve">  There were no other conditions within the Board’s scope of review for consideration.</w:t>
      </w:r>
    </w:p>
    <w:p w:rsidR="00AD2379" w:rsidRPr="00CE652B" w:rsidRDefault="00AD2379" w:rsidP="00BF0E94">
      <w:pPr>
        <w:pBdr>
          <w:bottom w:val="single" w:sz="12" w:space="1" w:color="auto"/>
        </w:pBdr>
        <w:tabs>
          <w:tab w:val="left" w:pos="288"/>
          <w:tab w:val="left" w:pos="4752"/>
        </w:tabs>
        <w:jc w:val="both"/>
        <w:rPr>
          <w:color w:val="000000"/>
          <w:szCs w:val="24"/>
        </w:rPr>
      </w:pPr>
    </w:p>
    <w:p w:rsidR="00AD2379" w:rsidRPr="00CE652B" w:rsidRDefault="00AD2379" w:rsidP="006364ED">
      <w:pPr>
        <w:jc w:val="left"/>
        <w:rPr>
          <w:color w:val="000000"/>
          <w:szCs w:val="24"/>
        </w:rPr>
      </w:pPr>
    </w:p>
    <w:p w:rsidR="00565636" w:rsidRPr="00CE652B" w:rsidRDefault="00AD2379" w:rsidP="005F2CC2">
      <w:pPr>
        <w:jc w:val="left"/>
        <w:rPr>
          <w:color w:val="000000"/>
          <w:szCs w:val="24"/>
        </w:rPr>
      </w:pPr>
      <w:r w:rsidRPr="00CE652B">
        <w:rPr>
          <w:color w:val="000000"/>
          <w:szCs w:val="24"/>
          <w:u w:val="single"/>
        </w:rPr>
        <w:t>RECOMMENDATION</w:t>
      </w:r>
      <w:r w:rsidRPr="00CE652B">
        <w:rPr>
          <w:color w:val="000000"/>
          <w:szCs w:val="24"/>
        </w:rPr>
        <w:t xml:space="preserve">: </w:t>
      </w:r>
      <w:r w:rsidR="005F2CC2" w:rsidRPr="00CE652B">
        <w:rPr>
          <w:color w:val="000000"/>
          <w:szCs w:val="24"/>
        </w:rPr>
        <w:t xml:space="preserve"> </w:t>
      </w:r>
      <w:r w:rsidR="00565636" w:rsidRPr="00CE652B">
        <w:rPr>
          <w:rFonts w:eastAsia="Calibri"/>
          <w:color w:val="auto"/>
          <w:szCs w:val="24"/>
        </w:rPr>
        <w:t>The Board recommends that the CI’s prior determination be modified as follows</w:t>
      </w:r>
      <w:r w:rsidR="00B55FB5" w:rsidRPr="00CE652B">
        <w:rPr>
          <w:rFonts w:eastAsia="Calibri"/>
          <w:color w:val="auto"/>
          <w:szCs w:val="24"/>
        </w:rPr>
        <w:t>;</w:t>
      </w:r>
      <w:r w:rsidR="00565636" w:rsidRPr="00CE652B">
        <w:rPr>
          <w:rFonts w:eastAsia="Calibri"/>
          <w:color w:val="auto"/>
          <w:szCs w:val="24"/>
        </w:rPr>
        <w:t xml:space="preserve"> and</w:t>
      </w:r>
      <w:r w:rsidR="00B55FB5" w:rsidRPr="00CE652B">
        <w:rPr>
          <w:rFonts w:eastAsia="Calibri"/>
          <w:color w:val="auto"/>
          <w:szCs w:val="24"/>
        </w:rPr>
        <w:t>,</w:t>
      </w:r>
      <w:r w:rsidR="00565636" w:rsidRPr="00CE652B">
        <w:rPr>
          <w:rFonts w:eastAsia="Calibri"/>
          <w:color w:val="auto"/>
          <w:szCs w:val="24"/>
        </w:rPr>
        <w:t xml:space="preserve"> that the discharge with severance pay be recharacterized to reflect permanent disability retirement, effective as of the date of his prior medical separation.</w:t>
      </w:r>
    </w:p>
    <w:p w:rsidR="00AD2379" w:rsidRPr="00CE652B" w:rsidRDefault="00AD2379" w:rsidP="00B22D42">
      <w:pPr>
        <w:jc w:val="both"/>
        <w:rPr>
          <w:color w:val="000000"/>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CE652B" w:rsidTr="00C42AED">
        <w:trPr>
          <w:trHeight w:val="233"/>
          <w:jc w:val="center"/>
        </w:trPr>
        <w:tc>
          <w:tcPr>
            <w:tcW w:w="6768" w:type="dxa"/>
            <w:shd w:val="clear" w:color="auto" w:fill="D9D9D9"/>
            <w:vAlign w:val="center"/>
          </w:tcPr>
          <w:p w:rsidR="00AD2379" w:rsidRPr="00CE652B" w:rsidRDefault="00AD2379" w:rsidP="00BF0E94">
            <w:pPr>
              <w:tabs>
                <w:tab w:val="left" w:pos="288"/>
                <w:tab w:val="left" w:pos="4752"/>
              </w:tabs>
              <w:rPr>
                <w:b/>
                <w:color w:val="000000"/>
                <w:szCs w:val="24"/>
              </w:rPr>
            </w:pPr>
            <w:r w:rsidRPr="00CE652B">
              <w:rPr>
                <w:b/>
                <w:color w:val="000000"/>
                <w:szCs w:val="24"/>
              </w:rPr>
              <w:t>UNFITTING CONDITION</w:t>
            </w:r>
          </w:p>
        </w:tc>
        <w:tc>
          <w:tcPr>
            <w:tcW w:w="1530" w:type="dxa"/>
            <w:shd w:val="clear" w:color="auto" w:fill="D9D9D9"/>
            <w:vAlign w:val="center"/>
          </w:tcPr>
          <w:p w:rsidR="00AD2379" w:rsidRPr="00CE652B" w:rsidRDefault="00AD2379" w:rsidP="00BF0E94">
            <w:pPr>
              <w:tabs>
                <w:tab w:val="left" w:pos="288"/>
                <w:tab w:val="left" w:pos="4752"/>
              </w:tabs>
              <w:rPr>
                <w:b/>
                <w:color w:val="000000"/>
                <w:szCs w:val="24"/>
              </w:rPr>
            </w:pPr>
            <w:r w:rsidRPr="00CE652B">
              <w:rPr>
                <w:b/>
                <w:color w:val="000000"/>
                <w:szCs w:val="24"/>
              </w:rPr>
              <w:t>VASRD CODE</w:t>
            </w:r>
          </w:p>
        </w:tc>
        <w:tc>
          <w:tcPr>
            <w:tcW w:w="1026" w:type="dxa"/>
            <w:shd w:val="clear" w:color="auto" w:fill="D9D9D9"/>
            <w:vAlign w:val="center"/>
          </w:tcPr>
          <w:p w:rsidR="00AD2379" w:rsidRPr="00CE652B" w:rsidRDefault="00AD2379" w:rsidP="00BF0E94">
            <w:pPr>
              <w:tabs>
                <w:tab w:val="left" w:pos="288"/>
                <w:tab w:val="left" w:pos="4752"/>
              </w:tabs>
              <w:rPr>
                <w:b/>
                <w:color w:val="000000"/>
                <w:szCs w:val="24"/>
              </w:rPr>
            </w:pPr>
            <w:r w:rsidRPr="00CE652B">
              <w:rPr>
                <w:b/>
                <w:color w:val="000000"/>
                <w:szCs w:val="24"/>
              </w:rPr>
              <w:t>RATING</w:t>
            </w:r>
          </w:p>
        </w:tc>
      </w:tr>
      <w:tr w:rsidR="00AD2379" w:rsidRPr="00CE652B" w:rsidTr="00C42AED">
        <w:trPr>
          <w:jc w:val="center"/>
        </w:trPr>
        <w:tc>
          <w:tcPr>
            <w:tcW w:w="6768" w:type="dxa"/>
            <w:vAlign w:val="center"/>
          </w:tcPr>
          <w:p w:rsidR="00AD2379" w:rsidRPr="00CE652B" w:rsidRDefault="005F2CC2" w:rsidP="00BF0E94">
            <w:pPr>
              <w:tabs>
                <w:tab w:val="left" w:pos="288"/>
                <w:tab w:val="left" w:pos="4752"/>
              </w:tabs>
              <w:jc w:val="left"/>
              <w:rPr>
                <w:color w:val="000000"/>
                <w:szCs w:val="24"/>
              </w:rPr>
            </w:pPr>
            <w:r w:rsidRPr="00CE652B">
              <w:rPr>
                <w:color w:val="000000"/>
                <w:szCs w:val="24"/>
              </w:rPr>
              <w:t>Degenerative Disc Disease, Lumbar Spine</w:t>
            </w:r>
          </w:p>
        </w:tc>
        <w:tc>
          <w:tcPr>
            <w:tcW w:w="1530" w:type="dxa"/>
            <w:vAlign w:val="center"/>
          </w:tcPr>
          <w:p w:rsidR="00AD2379" w:rsidRPr="00CE652B" w:rsidRDefault="005F2CC2" w:rsidP="00BF0E94">
            <w:pPr>
              <w:tabs>
                <w:tab w:val="left" w:pos="288"/>
                <w:tab w:val="left" w:pos="4752"/>
              </w:tabs>
              <w:rPr>
                <w:color w:val="000000"/>
                <w:szCs w:val="24"/>
              </w:rPr>
            </w:pPr>
            <w:r w:rsidRPr="00CE652B">
              <w:rPr>
                <w:rFonts w:eastAsia="Calibri"/>
                <w:color w:val="auto"/>
                <w:szCs w:val="24"/>
              </w:rPr>
              <w:t>5242</w:t>
            </w:r>
          </w:p>
        </w:tc>
        <w:tc>
          <w:tcPr>
            <w:tcW w:w="1026" w:type="dxa"/>
            <w:vAlign w:val="center"/>
          </w:tcPr>
          <w:p w:rsidR="00AD2379" w:rsidRPr="00CE652B" w:rsidRDefault="005F2CC2" w:rsidP="00BF0E94">
            <w:pPr>
              <w:tabs>
                <w:tab w:val="left" w:pos="288"/>
                <w:tab w:val="left" w:pos="4752"/>
              </w:tabs>
              <w:rPr>
                <w:color w:val="000000"/>
                <w:szCs w:val="24"/>
              </w:rPr>
            </w:pPr>
            <w:r w:rsidRPr="00CE652B">
              <w:rPr>
                <w:color w:val="000000"/>
                <w:szCs w:val="24"/>
              </w:rPr>
              <w:t>2</w:t>
            </w:r>
            <w:r w:rsidR="00AD2379" w:rsidRPr="00CE652B">
              <w:rPr>
                <w:color w:val="000000"/>
                <w:szCs w:val="24"/>
              </w:rPr>
              <w:t>0%</w:t>
            </w:r>
          </w:p>
        </w:tc>
      </w:tr>
      <w:tr w:rsidR="005F2CC2" w:rsidRPr="00CE652B" w:rsidTr="00C42AED">
        <w:trPr>
          <w:jc w:val="center"/>
        </w:trPr>
        <w:tc>
          <w:tcPr>
            <w:tcW w:w="6768" w:type="dxa"/>
            <w:vAlign w:val="center"/>
          </w:tcPr>
          <w:p w:rsidR="005F2CC2" w:rsidRPr="00CE652B" w:rsidRDefault="005F2CC2" w:rsidP="00BF0E94">
            <w:pPr>
              <w:tabs>
                <w:tab w:val="left" w:pos="288"/>
                <w:tab w:val="left" w:pos="4752"/>
              </w:tabs>
              <w:jc w:val="left"/>
              <w:rPr>
                <w:color w:val="000000"/>
                <w:szCs w:val="24"/>
              </w:rPr>
            </w:pPr>
            <w:r w:rsidRPr="00CE652B">
              <w:rPr>
                <w:color w:val="000000"/>
                <w:szCs w:val="24"/>
              </w:rPr>
              <w:t>Acromioclavicular Arthritis and Tendonitis, Left Shoulder</w:t>
            </w:r>
          </w:p>
        </w:tc>
        <w:tc>
          <w:tcPr>
            <w:tcW w:w="1530" w:type="dxa"/>
            <w:vAlign w:val="center"/>
          </w:tcPr>
          <w:p w:rsidR="005F2CC2" w:rsidRPr="00CE652B" w:rsidRDefault="005F2CC2" w:rsidP="00BF0E94">
            <w:pPr>
              <w:tabs>
                <w:tab w:val="left" w:pos="288"/>
                <w:tab w:val="left" w:pos="4752"/>
              </w:tabs>
              <w:rPr>
                <w:color w:val="000000"/>
                <w:szCs w:val="24"/>
              </w:rPr>
            </w:pPr>
            <w:r w:rsidRPr="00CE652B">
              <w:rPr>
                <w:color w:val="000000"/>
                <w:szCs w:val="24"/>
              </w:rPr>
              <w:t>5099-5010</w:t>
            </w:r>
          </w:p>
        </w:tc>
        <w:tc>
          <w:tcPr>
            <w:tcW w:w="1026" w:type="dxa"/>
            <w:vAlign w:val="center"/>
          </w:tcPr>
          <w:p w:rsidR="005F2CC2" w:rsidRPr="00CE652B" w:rsidRDefault="00113787" w:rsidP="00BF0E94">
            <w:pPr>
              <w:tabs>
                <w:tab w:val="left" w:pos="288"/>
                <w:tab w:val="left" w:pos="4752"/>
              </w:tabs>
              <w:rPr>
                <w:color w:val="000000"/>
                <w:szCs w:val="24"/>
              </w:rPr>
            </w:pPr>
            <w:r>
              <w:rPr>
                <w:color w:val="000000"/>
                <w:szCs w:val="24"/>
              </w:rPr>
              <w:t>1</w:t>
            </w:r>
            <w:r w:rsidR="005F2CC2" w:rsidRPr="00CE652B">
              <w:rPr>
                <w:color w:val="000000"/>
                <w:szCs w:val="24"/>
              </w:rPr>
              <w:t>0%</w:t>
            </w:r>
          </w:p>
        </w:tc>
      </w:tr>
      <w:tr w:rsidR="005F2CC2" w:rsidRPr="00CE652B" w:rsidTr="00CE652B">
        <w:trPr>
          <w:jc w:val="center"/>
        </w:trPr>
        <w:tc>
          <w:tcPr>
            <w:tcW w:w="6768" w:type="dxa"/>
            <w:shd w:val="clear" w:color="auto" w:fill="auto"/>
            <w:vAlign w:val="center"/>
          </w:tcPr>
          <w:p w:rsidR="005F2CC2" w:rsidRPr="00CE652B" w:rsidRDefault="005F2CC2" w:rsidP="00BF0E94">
            <w:pPr>
              <w:tabs>
                <w:tab w:val="left" w:pos="288"/>
                <w:tab w:val="left" w:pos="4752"/>
              </w:tabs>
              <w:jc w:val="left"/>
              <w:rPr>
                <w:color w:val="000000"/>
                <w:szCs w:val="24"/>
              </w:rPr>
            </w:pPr>
            <w:r w:rsidRPr="00CE652B">
              <w:rPr>
                <w:color w:val="000000"/>
                <w:szCs w:val="24"/>
              </w:rPr>
              <w:t>Left Knee Strain</w:t>
            </w:r>
          </w:p>
        </w:tc>
        <w:tc>
          <w:tcPr>
            <w:tcW w:w="2556" w:type="dxa"/>
            <w:gridSpan w:val="2"/>
            <w:shd w:val="clear" w:color="auto" w:fill="auto"/>
            <w:vAlign w:val="center"/>
          </w:tcPr>
          <w:p w:rsidR="005F2CC2" w:rsidRPr="00CE652B" w:rsidRDefault="005F2CC2" w:rsidP="00BF0E94">
            <w:pPr>
              <w:tabs>
                <w:tab w:val="left" w:pos="288"/>
                <w:tab w:val="left" w:pos="4752"/>
              </w:tabs>
              <w:rPr>
                <w:color w:val="000000"/>
                <w:szCs w:val="24"/>
              </w:rPr>
            </w:pPr>
            <w:r w:rsidRPr="00CE652B">
              <w:rPr>
                <w:color w:val="000000"/>
                <w:szCs w:val="24"/>
              </w:rPr>
              <w:t>Not Unfitting</w:t>
            </w:r>
          </w:p>
        </w:tc>
      </w:tr>
      <w:tr w:rsidR="00AD2379" w:rsidRPr="007224C1"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CE652B" w:rsidRDefault="00AD2379" w:rsidP="00BF0E94">
            <w:pPr>
              <w:tabs>
                <w:tab w:val="left" w:pos="288"/>
                <w:tab w:val="left" w:pos="4752"/>
              </w:tabs>
              <w:rPr>
                <w:b/>
                <w:color w:val="000000"/>
                <w:szCs w:val="24"/>
              </w:rPr>
            </w:pPr>
            <w:r w:rsidRPr="00CE652B">
              <w:rPr>
                <w:b/>
                <w:color w:val="000000"/>
                <w:szCs w:val="24"/>
              </w:rPr>
              <w:t>COMBINED</w:t>
            </w:r>
          </w:p>
        </w:tc>
        <w:tc>
          <w:tcPr>
            <w:tcW w:w="1026" w:type="dxa"/>
            <w:shd w:val="clear" w:color="auto" w:fill="D9D9D9"/>
            <w:vAlign w:val="center"/>
          </w:tcPr>
          <w:p w:rsidR="00AD2379" w:rsidRPr="007224C1" w:rsidRDefault="00113787" w:rsidP="00BF0E94">
            <w:pPr>
              <w:tabs>
                <w:tab w:val="left" w:pos="288"/>
                <w:tab w:val="left" w:pos="4752"/>
              </w:tabs>
              <w:rPr>
                <w:b/>
                <w:color w:val="000000"/>
                <w:szCs w:val="24"/>
              </w:rPr>
            </w:pPr>
            <w:r>
              <w:rPr>
                <w:b/>
                <w:color w:val="000000"/>
                <w:szCs w:val="24"/>
              </w:rPr>
              <w:t>3</w:t>
            </w:r>
            <w:r w:rsidR="00AD2379" w:rsidRPr="00CE652B">
              <w:rPr>
                <w:b/>
                <w:color w:val="000000"/>
                <w:szCs w:val="24"/>
              </w:rPr>
              <w:t>0%</w:t>
            </w:r>
          </w:p>
        </w:tc>
      </w:tr>
    </w:tbl>
    <w:p w:rsidR="007743D4" w:rsidRPr="001F29F9" w:rsidRDefault="007743D4"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260BF8" w:rsidRDefault="00260BF8" w:rsidP="00BF0E94">
      <w:pPr>
        <w:tabs>
          <w:tab w:val="left" w:pos="288"/>
          <w:tab w:val="left" w:pos="4752"/>
        </w:tabs>
        <w:jc w:val="both"/>
        <w:rPr>
          <w:color w:val="000000"/>
        </w:rPr>
      </w:pPr>
    </w:p>
    <w:p w:rsidR="00260BF8" w:rsidRDefault="00260BF8" w:rsidP="00BF0E94">
      <w:pPr>
        <w:tabs>
          <w:tab w:val="left" w:pos="288"/>
          <w:tab w:val="left" w:pos="4752"/>
        </w:tabs>
        <w:jc w:val="both"/>
        <w:rPr>
          <w:color w:val="000000"/>
        </w:rPr>
      </w:pPr>
    </w:p>
    <w:p w:rsidR="00260BF8" w:rsidRDefault="00260BF8" w:rsidP="00BF0E94">
      <w:pPr>
        <w:tabs>
          <w:tab w:val="left" w:pos="288"/>
          <w:tab w:val="left" w:pos="4752"/>
        </w:tabs>
        <w:jc w:val="both"/>
        <w:rPr>
          <w:color w:val="000000"/>
        </w:rPr>
      </w:pPr>
    </w:p>
    <w:p w:rsidR="00260BF8" w:rsidRDefault="00260BF8" w:rsidP="00BF0E94">
      <w:pPr>
        <w:tabs>
          <w:tab w:val="left" w:pos="288"/>
          <w:tab w:val="left" w:pos="4752"/>
        </w:tabs>
        <w:jc w:val="both"/>
        <w:rPr>
          <w:color w:val="000000"/>
        </w:rPr>
      </w:pPr>
    </w:p>
    <w:p w:rsidR="00260BF8" w:rsidRDefault="00260BF8" w:rsidP="00BF0E94">
      <w:pPr>
        <w:tabs>
          <w:tab w:val="left" w:pos="288"/>
          <w:tab w:val="left" w:pos="4752"/>
        </w:tabs>
        <w:jc w:val="both"/>
        <w:rPr>
          <w:color w:val="000000"/>
        </w:rPr>
      </w:pPr>
    </w:p>
    <w:p w:rsidR="00260BF8" w:rsidRDefault="00260BF8" w:rsidP="00BF0E94">
      <w:pPr>
        <w:tabs>
          <w:tab w:val="left" w:pos="288"/>
          <w:tab w:val="left" w:pos="4752"/>
        </w:tabs>
        <w:jc w:val="both"/>
        <w:rPr>
          <w:color w:val="000000"/>
        </w:rPr>
      </w:pPr>
      <w:bookmarkStart w:id="0" w:name="_GoBack"/>
      <w:bookmarkEnd w:id="0"/>
    </w:p>
    <w:p w:rsidR="00260BF8" w:rsidRDefault="00260BF8" w:rsidP="00BF0E94">
      <w:pPr>
        <w:tabs>
          <w:tab w:val="left" w:pos="288"/>
          <w:tab w:val="left" w:pos="4752"/>
        </w:tabs>
        <w:jc w:val="both"/>
        <w:rPr>
          <w:color w:val="000000"/>
        </w:rPr>
      </w:pPr>
    </w:p>
    <w:p w:rsidR="00260BF8" w:rsidRDefault="00260BF8" w:rsidP="00BF0E94">
      <w:pPr>
        <w:tabs>
          <w:tab w:val="left" w:pos="288"/>
          <w:tab w:val="left" w:pos="4752"/>
        </w:tabs>
        <w:jc w:val="both"/>
        <w:rPr>
          <w:color w:val="000000"/>
        </w:rPr>
      </w:pPr>
    </w:p>
    <w:p w:rsidR="00260BF8" w:rsidRDefault="00260BF8"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BD21E4" w:rsidRPr="001F29F9">
        <w:rPr>
          <w:color w:val="000000" w:themeColor="text1"/>
          <w:szCs w:val="24"/>
        </w:rPr>
        <w:t>201</w:t>
      </w:r>
      <w:r w:rsidR="00BD21E4">
        <w:rPr>
          <w:color w:val="000000" w:themeColor="text1"/>
          <w:szCs w:val="24"/>
        </w:rPr>
        <w:t>11005</w:t>
      </w:r>
      <w:r w:rsidR="00260BF8">
        <w:rPr>
          <w:color w:val="000000"/>
        </w:rPr>
        <w:t>, w/atchs</w:t>
      </w:r>
    </w:p>
    <w:p w:rsidR="00AD2379" w:rsidRPr="001F29F9" w:rsidRDefault="00AD2379" w:rsidP="005144A7">
      <w:pPr>
        <w:tabs>
          <w:tab w:val="left" w:pos="288"/>
          <w:tab w:val="left" w:pos="4752"/>
        </w:tabs>
        <w:jc w:val="both"/>
        <w:rPr>
          <w:color w:val="000000"/>
        </w:rPr>
      </w:pPr>
      <w:r w:rsidRPr="001F29F9">
        <w:rPr>
          <w:color w:val="000000"/>
        </w:rPr>
        <w:t xml:space="preserve">Exhibit B.  Service Treatment </w:t>
      </w:r>
      <w:r w:rsidR="00260BF8">
        <w:rPr>
          <w:color w:val="000000"/>
        </w:rPr>
        <w:t>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260BF8">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65443C">
        <w:rPr>
          <w:color w:val="000000"/>
        </w:rPr>
        <w:t>XXXXXXXXXXXXXXXXXXXXXX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0D129E" w:rsidRDefault="00AD2379" w:rsidP="00BB3844">
      <w:pPr>
        <w:tabs>
          <w:tab w:val="left" w:pos="0"/>
          <w:tab w:val="left" w:pos="4320"/>
        </w:tabs>
        <w:jc w:val="both"/>
        <w:rPr>
          <w:rFonts w:ascii="Droid Sans" w:hAnsi="Droid Sans" w:cs="Times New Roman"/>
          <w:color w:val="auto"/>
          <w:sz w:val="20"/>
        </w:rPr>
      </w:pPr>
      <w:r w:rsidRPr="001F29F9">
        <w:rPr>
          <w:color w:val="000000"/>
        </w:rPr>
        <w:tab/>
        <w:t xml:space="preserve">           Physical Disability Board of Review</w:t>
      </w:r>
    </w:p>
    <w:p w:rsidR="0065443C" w:rsidRDefault="0065443C" w:rsidP="006235F5">
      <w:pPr>
        <w:tabs>
          <w:tab w:val="left" w:pos="288"/>
          <w:tab w:val="left" w:pos="4752"/>
        </w:tabs>
        <w:jc w:val="both"/>
        <w:rPr>
          <w:rFonts w:eastAsia="Calibri" w:cs="Times New Roman"/>
          <w:color w:val="auto"/>
          <w:szCs w:val="24"/>
        </w:rPr>
      </w:pPr>
    </w:p>
    <w:p w:rsidR="0065443C" w:rsidRDefault="0065443C">
      <w:pPr>
        <w:spacing w:line="240" w:lineRule="auto"/>
        <w:jc w:val="left"/>
        <w:rPr>
          <w:rFonts w:eastAsia="Calibri" w:cs="Times New Roman"/>
          <w:color w:val="auto"/>
          <w:szCs w:val="24"/>
        </w:rPr>
      </w:pPr>
      <w:r>
        <w:rPr>
          <w:rFonts w:eastAsia="Calibri" w:cs="Times New Roman"/>
          <w:color w:val="auto"/>
          <w:szCs w:val="24"/>
        </w:rPr>
        <w:br w:type="page"/>
      </w:r>
    </w:p>
    <w:p w:rsidR="0065443C" w:rsidRDefault="0065443C" w:rsidP="0065443C">
      <w:pPr>
        <w:pStyle w:val="Header"/>
        <w:tabs>
          <w:tab w:val="left" w:pos="720"/>
        </w:tabs>
        <w:jc w:val="left"/>
      </w:pPr>
      <w:r>
        <w:lastRenderedPageBreak/>
        <w:t>SFMR-RB</w:t>
      </w:r>
      <w:r>
        <w:tab/>
      </w:r>
      <w:r>
        <w:tab/>
      </w:r>
      <w:r>
        <w:tab/>
      </w:r>
      <w:r>
        <w:tab/>
      </w:r>
      <w:r>
        <w:tab/>
      </w:r>
      <w:r>
        <w:tab/>
      </w:r>
      <w:r>
        <w:tab/>
      </w:r>
      <w:r>
        <w:tab/>
      </w:r>
      <w:r>
        <w:tab/>
      </w:r>
    </w:p>
    <w:p w:rsidR="0065443C" w:rsidRDefault="0065443C" w:rsidP="0065443C">
      <w:pPr>
        <w:pStyle w:val="Header"/>
        <w:tabs>
          <w:tab w:val="left" w:pos="720"/>
        </w:tabs>
        <w:jc w:val="left"/>
      </w:pPr>
    </w:p>
    <w:p w:rsidR="0065443C" w:rsidRDefault="0065443C" w:rsidP="0065443C">
      <w:pPr>
        <w:jc w:val="left"/>
      </w:pPr>
    </w:p>
    <w:p w:rsidR="0065443C" w:rsidRDefault="0065443C" w:rsidP="0065443C">
      <w:pPr>
        <w:jc w:val="left"/>
      </w:pPr>
      <w:r>
        <w:t xml:space="preserve">MEMORANDUM FOR Commander, US Army Physical Disability Agency </w:t>
      </w:r>
    </w:p>
    <w:p w:rsidR="0065443C" w:rsidRDefault="0065443C" w:rsidP="0065443C">
      <w:pPr>
        <w:jc w:val="left"/>
      </w:pPr>
      <w:r>
        <w:t xml:space="preserve">(TAPD-ZB </w:t>
      </w:r>
      <w:proofErr w:type="gramStart"/>
      <w:r>
        <w:t>/  )</w:t>
      </w:r>
      <w:proofErr w:type="gramEnd"/>
      <w:r>
        <w:t>, 2900 Crystal Drive, Suite 300, Arlington, VA 22202</w:t>
      </w:r>
    </w:p>
    <w:p w:rsidR="0065443C" w:rsidRDefault="0065443C" w:rsidP="0065443C">
      <w:pPr>
        <w:jc w:val="left"/>
      </w:pPr>
    </w:p>
    <w:p w:rsidR="0065443C" w:rsidRDefault="0065443C" w:rsidP="0065443C">
      <w:pPr>
        <w:ind w:right="-180"/>
        <w:jc w:val="left"/>
      </w:pPr>
      <w:r>
        <w:t xml:space="preserve">SUBJECT:  Department of Defense Physical Disability Board of Review Recommendation </w:t>
      </w:r>
    </w:p>
    <w:p w:rsidR="0065443C" w:rsidRDefault="0065443C" w:rsidP="0065443C">
      <w:pPr>
        <w:pStyle w:val="Header"/>
        <w:tabs>
          <w:tab w:val="left" w:pos="720"/>
        </w:tabs>
        <w:jc w:val="left"/>
      </w:pPr>
      <w:proofErr w:type="gramStart"/>
      <w:r>
        <w:t>for</w:t>
      </w:r>
      <w:proofErr w:type="gramEnd"/>
      <w:r>
        <w:t xml:space="preserve"> XXXXXXXXXXXXXXXXXXXX, AR20120015649 (PD201100867)</w:t>
      </w:r>
    </w:p>
    <w:p w:rsidR="0065443C" w:rsidRDefault="0065443C" w:rsidP="0065443C">
      <w:pPr>
        <w:pStyle w:val="Header"/>
        <w:tabs>
          <w:tab w:val="left" w:pos="720"/>
        </w:tabs>
        <w:jc w:val="left"/>
      </w:pPr>
    </w:p>
    <w:p w:rsidR="0065443C" w:rsidRDefault="0065443C" w:rsidP="0065443C">
      <w:pPr>
        <w:jc w:val="left"/>
      </w:pPr>
    </w:p>
    <w:p w:rsidR="0065443C" w:rsidRDefault="0065443C" w:rsidP="0065443C">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65443C" w:rsidRDefault="0065443C" w:rsidP="0065443C">
      <w:pPr>
        <w:jc w:val="left"/>
      </w:pPr>
    </w:p>
    <w:p w:rsidR="0065443C" w:rsidRDefault="0065443C" w:rsidP="0065443C">
      <w:pPr>
        <w:jc w:val="left"/>
      </w:pPr>
      <w:r>
        <w:t>2.  I direct that all the Department of the Army records of the individual concerned be corrected accordingly no later than 120 days from the date of this memorandum.</w:t>
      </w:r>
    </w:p>
    <w:p w:rsidR="0065443C" w:rsidRDefault="0065443C" w:rsidP="0065443C">
      <w:pPr>
        <w:jc w:val="left"/>
      </w:pPr>
    </w:p>
    <w:p w:rsidR="0065443C" w:rsidRDefault="0065443C" w:rsidP="0065443C">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65443C" w:rsidRDefault="0065443C" w:rsidP="0065443C">
      <w:pPr>
        <w:jc w:val="left"/>
      </w:pPr>
    </w:p>
    <w:p w:rsidR="0065443C" w:rsidRDefault="0065443C" w:rsidP="0065443C">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65443C" w:rsidRDefault="0065443C" w:rsidP="0065443C">
      <w:pPr>
        <w:jc w:val="left"/>
      </w:pPr>
    </w:p>
    <w:p w:rsidR="0065443C" w:rsidRDefault="0065443C" w:rsidP="0065443C">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65443C" w:rsidRDefault="0065443C" w:rsidP="0065443C">
      <w:pPr>
        <w:jc w:val="left"/>
      </w:pPr>
    </w:p>
    <w:p w:rsidR="0065443C" w:rsidRDefault="0065443C" w:rsidP="0065443C">
      <w:pPr>
        <w:jc w:val="left"/>
      </w:pPr>
      <w:r>
        <w:tab/>
      </w:r>
      <w:proofErr w:type="gramStart"/>
      <w:r>
        <w:t>d.  Affording</w:t>
      </w:r>
      <w:proofErr w:type="gramEnd"/>
      <w:r>
        <w:t xml:space="preserve"> the individual the opportunity to elect Survivor Benefit Plan (SBP) and medical TRICARE retiree options.</w:t>
      </w:r>
    </w:p>
    <w:p w:rsidR="0065443C" w:rsidRDefault="0065443C" w:rsidP="0065443C">
      <w:pPr>
        <w:jc w:val="left"/>
      </w:pPr>
    </w:p>
    <w:p w:rsidR="0065443C" w:rsidRDefault="0065443C" w:rsidP="0065443C">
      <w:pPr>
        <w:jc w:val="left"/>
      </w:pPr>
    </w:p>
    <w:p w:rsidR="0065443C" w:rsidRDefault="0065443C" w:rsidP="0065443C">
      <w:pPr>
        <w:jc w:val="left"/>
      </w:pPr>
    </w:p>
    <w:p w:rsidR="0065443C" w:rsidRDefault="0065443C" w:rsidP="0065443C">
      <w:pPr>
        <w:jc w:val="left"/>
      </w:pPr>
    </w:p>
    <w:p w:rsidR="0065443C" w:rsidRDefault="0065443C" w:rsidP="0065443C">
      <w:pPr>
        <w:jc w:val="left"/>
      </w:pPr>
    </w:p>
    <w:p w:rsidR="0065443C" w:rsidRDefault="0065443C" w:rsidP="0065443C">
      <w:pPr>
        <w:jc w:val="left"/>
      </w:pPr>
    </w:p>
    <w:p w:rsidR="0065443C" w:rsidRDefault="0065443C" w:rsidP="0065443C">
      <w:pPr>
        <w:jc w:val="left"/>
      </w:pPr>
    </w:p>
    <w:p w:rsidR="0065443C" w:rsidRDefault="0065443C" w:rsidP="0065443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65443C" w:rsidRDefault="0065443C" w:rsidP="0065443C">
      <w:pPr>
        <w:jc w:val="left"/>
      </w:pPr>
    </w:p>
    <w:p w:rsidR="0065443C" w:rsidRDefault="0065443C" w:rsidP="0065443C">
      <w:pPr>
        <w:jc w:val="left"/>
      </w:pPr>
      <w:r>
        <w:t>BY ORDER OF THE SECRETARY OF THE ARMY:</w:t>
      </w:r>
    </w:p>
    <w:p w:rsidR="0065443C" w:rsidRDefault="0065443C" w:rsidP="0065443C">
      <w:pPr>
        <w:jc w:val="left"/>
      </w:pPr>
    </w:p>
    <w:p w:rsidR="0065443C" w:rsidRDefault="0065443C" w:rsidP="0065443C">
      <w:pPr>
        <w:jc w:val="left"/>
      </w:pPr>
    </w:p>
    <w:p w:rsidR="0065443C" w:rsidRDefault="0065443C" w:rsidP="0065443C">
      <w:pPr>
        <w:pStyle w:val="Header"/>
        <w:tabs>
          <w:tab w:val="left" w:pos="720"/>
        </w:tabs>
        <w:jc w:val="left"/>
      </w:pPr>
    </w:p>
    <w:p w:rsidR="0065443C" w:rsidRDefault="0065443C" w:rsidP="0065443C">
      <w:pPr>
        <w:jc w:val="left"/>
      </w:pPr>
    </w:p>
    <w:p w:rsidR="0065443C" w:rsidRDefault="0065443C" w:rsidP="0065443C">
      <w:pPr>
        <w:jc w:val="left"/>
      </w:pPr>
      <w:bookmarkStart w:id="1" w:name="OLE_LINK4"/>
      <w:bookmarkStart w:id="2" w:name="OLE_LINK3"/>
      <w:r>
        <w:t>Encl</w:t>
      </w:r>
      <w:r>
        <w:tab/>
      </w:r>
      <w:r>
        <w:tab/>
      </w:r>
      <w:r>
        <w:tab/>
      </w:r>
      <w:r>
        <w:tab/>
      </w:r>
      <w:r>
        <w:tab/>
      </w:r>
      <w:r>
        <w:tab/>
        <w:t xml:space="preserve">     XXXXXXXXXXXXXXXXXXXXXXX</w:t>
      </w:r>
    </w:p>
    <w:p w:rsidR="0065443C" w:rsidRDefault="0065443C" w:rsidP="0065443C">
      <w:pPr>
        <w:jc w:val="left"/>
      </w:pPr>
      <w:r>
        <w:tab/>
      </w:r>
      <w:r>
        <w:tab/>
      </w:r>
      <w:r>
        <w:tab/>
      </w:r>
      <w:r>
        <w:tab/>
      </w:r>
      <w:r>
        <w:tab/>
      </w:r>
      <w:r>
        <w:tab/>
        <w:t xml:space="preserve">     Deputy Assistant Secretary</w:t>
      </w:r>
    </w:p>
    <w:p w:rsidR="0065443C" w:rsidRDefault="0065443C" w:rsidP="0065443C">
      <w:pPr>
        <w:jc w:val="left"/>
      </w:pPr>
      <w:r>
        <w:tab/>
      </w:r>
      <w:r>
        <w:tab/>
      </w:r>
      <w:r>
        <w:tab/>
      </w:r>
      <w:r>
        <w:tab/>
      </w:r>
      <w:r>
        <w:tab/>
      </w:r>
      <w:r>
        <w:tab/>
        <w:t xml:space="preserve">         (Army Review Boards)</w:t>
      </w:r>
      <w:bookmarkEnd w:id="1"/>
      <w:bookmarkEnd w:id="2"/>
    </w:p>
    <w:p w:rsidR="0065443C" w:rsidRDefault="0065443C" w:rsidP="0065443C">
      <w:pPr>
        <w:jc w:val="left"/>
      </w:pPr>
    </w:p>
    <w:p w:rsidR="0065443C" w:rsidRDefault="0065443C" w:rsidP="0065443C">
      <w:pPr>
        <w:jc w:val="left"/>
      </w:pPr>
      <w:r>
        <w:t xml:space="preserve">CF: </w:t>
      </w:r>
    </w:p>
    <w:p w:rsidR="0065443C" w:rsidRDefault="0065443C" w:rsidP="0065443C">
      <w:pPr>
        <w:jc w:val="left"/>
      </w:pPr>
      <w:r>
        <w:t xml:space="preserve">(  ) </w:t>
      </w:r>
      <w:proofErr w:type="spellStart"/>
      <w:proofErr w:type="gramStart"/>
      <w:r>
        <w:t>DoD</w:t>
      </w:r>
      <w:proofErr w:type="spellEnd"/>
      <w:proofErr w:type="gramEnd"/>
      <w:r>
        <w:t xml:space="preserve"> PDBR</w:t>
      </w:r>
    </w:p>
    <w:p w:rsidR="0065443C" w:rsidRDefault="0065443C" w:rsidP="0065443C">
      <w:pPr>
        <w:jc w:val="left"/>
      </w:pPr>
      <w:r>
        <w:t>(  ) DVA</w:t>
      </w:r>
    </w:p>
    <w:p w:rsidR="00FE7EB9" w:rsidRPr="006235F5" w:rsidRDefault="00FE7EB9" w:rsidP="006235F5">
      <w:pPr>
        <w:tabs>
          <w:tab w:val="left" w:pos="288"/>
          <w:tab w:val="left" w:pos="4752"/>
        </w:tabs>
        <w:jc w:val="both"/>
        <w:rPr>
          <w:rFonts w:eastAsia="Calibri" w:cs="Times New Roman"/>
          <w:color w:val="auto"/>
          <w:szCs w:val="24"/>
        </w:rPr>
      </w:pPr>
    </w:p>
    <w:sectPr w:rsidR="00FE7EB9" w:rsidRPr="006235F5"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A64" w:rsidRDefault="002A6A64">
      <w:r>
        <w:separator/>
      </w:r>
    </w:p>
  </w:endnote>
  <w:endnote w:type="continuationSeparator" w:id="0">
    <w:p w:rsidR="002A6A64" w:rsidRDefault="002A6A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2" w:rsidRPr="00374247" w:rsidRDefault="00D63A52" w:rsidP="00726F84">
    <w:pPr>
      <w:pStyle w:val="Footer"/>
      <w:ind w:firstLine="4320"/>
      <w:rPr>
        <w:color w:val="auto"/>
      </w:rPr>
    </w:pPr>
    <w:r w:rsidRPr="00374247">
      <w:rPr>
        <w:color w:val="auto"/>
      </w:rPr>
      <w:t xml:space="preserve">   </w:t>
    </w:r>
    <w:r w:rsidR="008543AF" w:rsidRPr="008543AF">
      <w:fldChar w:fldCharType="begin"/>
    </w:r>
    <w:r w:rsidR="002A6A64">
      <w:instrText xml:space="preserve"> PAGE   \* MERGEFORMAT </w:instrText>
    </w:r>
    <w:r w:rsidR="008543AF" w:rsidRPr="008543AF">
      <w:fldChar w:fldCharType="separate"/>
    </w:r>
    <w:r w:rsidR="0065443C" w:rsidRPr="0065443C">
      <w:rPr>
        <w:noProof/>
        <w:color w:val="auto"/>
      </w:rPr>
      <w:t>7</w:t>
    </w:r>
    <w:r w:rsidR="008543AF">
      <w:rPr>
        <w:noProof/>
        <w:color w:val="auto"/>
      </w:rPr>
      <w:fldChar w:fldCharType="end"/>
    </w:r>
    <w:r w:rsidRPr="00374247">
      <w:rPr>
        <w:color w:val="auto"/>
      </w:rPr>
      <w:t xml:space="preserve">                                                           </w:t>
    </w:r>
    <w:r w:rsidRPr="001D64F3">
      <w:rPr>
        <w:color w:val="auto"/>
      </w:rPr>
      <w:t>PD1</w:t>
    </w:r>
    <w:r w:rsidRPr="009369A6">
      <w:rPr>
        <w:color w:val="auto"/>
      </w:rPr>
      <w:t>100</w:t>
    </w:r>
    <w:r w:rsidR="00B51FCF">
      <w:rPr>
        <w:color w:val="auto"/>
      </w:rPr>
      <w:t>867</w:t>
    </w:r>
  </w:p>
  <w:p w:rsidR="00D63A52" w:rsidRPr="00684CE6" w:rsidRDefault="00D63A5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A64" w:rsidRDefault="002A6A64">
      <w:r>
        <w:separator/>
      </w:r>
    </w:p>
  </w:footnote>
  <w:footnote w:type="continuationSeparator" w:id="0">
    <w:p w:rsidR="002A6A64" w:rsidRDefault="002A6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0FA3"/>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29E"/>
    <w:rsid w:val="000D15E7"/>
    <w:rsid w:val="000D1A24"/>
    <w:rsid w:val="000D1CF4"/>
    <w:rsid w:val="000D1DBC"/>
    <w:rsid w:val="000D21C7"/>
    <w:rsid w:val="000D248A"/>
    <w:rsid w:val="000D28E3"/>
    <w:rsid w:val="000D2CFD"/>
    <w:rsid w:val="000D35D8"/>
    <w:rsid w:val="000D43F9"/>
    <w:rsid w:val="000D4717"/>
    <w:rsid w:val="000D479D"/>
    <w:rsid w:val="000D5DBE"/>
    <w:rsid w:val="000D6457"/>
    <w:rsid w:val="000D7D55"/>
    <w:rsid w:val="000E0993"/>
    <w:rsid w:val="000E2E50"/>
    <w:rsid w:val="000E37E0"/>
    <w:rsid w:val="000E3F20"/>
    <w:rsid w:val="000E4C25"/>
    <w:rsid w:val="000E4CBF"/>
    <w:rsid w:val="000E5577"/>
    <w:rsid w:val="000E7034"/>
    <w:rsid w:val="000F02BE"/>
    <w:rsid w:val="000F08AC"/>
    <w:rsid w:val="000F0928"/>
    <w:rsid w:val="000F0B3D"/>
    <w:rsid w:val="000F1E65"/>
    <w:rsid w:val="000F2F2B"/>
    <w:rsid w:val="000F427B"/>
    <w:rsid w:val="000F43D0"/>
    <w:rsid w:val="000F4F18"/>
    <w:rsid w:val="000F688E"/>
    <w:rsid w:val="000F7181"/>
    <w:rsid w:val="000F7581"/>
    <w:rsid w:val="000F7C8B"/>
    <w:rsid w:val="0010014E"/>
    <w:rsid w:val="001007CE"/>
    <w:rsid w:val="001008C1"/>
    <w:rsid w:val="00101B0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787"/>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3349"/>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3FF"/>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06B9"/>
    <w:rsid w:val="001F29F9"/>
    <w:rsid w:val="001F65C6"/>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D3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9B3"/>
    <w:rsid w:val="00246DFF"/>
    <w:rsid w:val="00246E89"/>
    <w:rsid w:val="0025183C"/>
    <w:rsid w:val="00252351"/>
    <w:rsid w:val="002528EC"/>
    <w:rsid w:val="00253EAA"/>
    <w:rsid w:val="00255049"/>
    <w:rsid w:val="00255717"/>
    <w:rsid w:val="002559B0"/>
    <w:rsid w:val="00257538"/>
    <w:rsid w:val="00257AFF"/>
    <w:rsid w:val="00257DE5"/>
    <w:rsid w:val="00260531"/>
    <w:rsid w:val="00260B9A"/>
    <w:rsid w:val="00260BF8"/>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6A64"/>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977"/>
    <w:rsid w:val="0032136A"/>
    <w:rsid w:val="003219E5"/>
    <w:rsid w:val="003224D8"/>
    <w:rsid w:val="00323A90"/>
    <w:rsid w:val="00323E70"/>
    <w:rsid w:val="003258A7"/>
    <w:rsid w:val="00325BA2"/>
    <w:rsid w:val="003262BD"/>
    <w:rsid w:val="00326798"/>
    <w:rsid w:val="00326B1C"/>
    <w:rsid w:val="00326C08"/>
    <w:rsid w:val="00326EB0"/>
    <w:rsid w:val="00326F7F"/>
    <w:rsid w:val="00327616"/>
    <w:rsid w:val="003277C8"/>
    <w:rsid w:val="00330311"/>
    <w:rsid w:val="00330D55"/>
    <w:rsid w:val="003319E0"/>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3F7D91"/>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607"/>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3C2B"/>
    <w:rsid w:val="00484212"/>
    <w:rsid w:val="004848C3"/>
    <w:rsid w:val="00484BA9"/>
    <w:rsid w:val="0048599A"/>
    <w:rsid w:val="004862D5"/>
    <w:rsid w:val="00486412"/>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82A"/>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2AA"/>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2CC2"/>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1CF2"/>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43C"/>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5E5F"/>
    <w:rsid w:val="006870CE"/>
    <w:rsid w:val="00687C7E"/>
    <w:rsid w:val="00687D3D"/>
    <w:rsid w:val="00690569"/>
    <w:rsid w:val="00690FDA"/>
    <w:rsid w:val="00691E61"/>
    <w:rsid w:val="00692133"/>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0BD"/>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24C1"/>
    <w:rsid w:val="007236E0"/>
    <w:rsid w:val="007237CE"/>
    <w:rsid w:val="00723CE0"/>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2E46"/>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017F"/>
    <w:rsid w:val="0076100C"/>
    <w:rsid w:val="00761127"/>
    <w:rsid w:val="007612A5"/>
    <w:rsid w:val="00763CAE"/>
    <w:rsid w:val="00763F95"/>
    <w:rsid w:val="007651ED"/>
    <w:rsid w:val="00766C87"/>
    <w:rsid w:val="00771043"/>
    <w:rsid w:val="0077272B"/>
    <w:rsid w:val="00773AF7"/>
    <w:rsid w:val="00773C45"/>
    <w:rsid w:val="007743D4"/>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6C2"/>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C29"/>
    <w:rsid w:val="00823D6A"/>
    <w:rsid w:val="00824ED6"/>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C65"/>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2C9"/>
    <w:rsid w:val="0085089F"/>
    <w:rsid w:val="00851664"/>
    <w:rsid w:val="0085206E"/>
    <w:rsid w:val="00852273"/>
    <w:rsid w:val="0085293D"/>
    <w:rsid w:val="00852AD4"/>
    <w:rsid w:val="00852BA8"/>
    <w:rsid w:val="00852BF0"/>
    <w:rsid w:val="008530E3"/>
    <w:rsid w:val="00853718"/>
    <w:rsid w:val="008541EF"/>
    <w:rsid w:val="008543AF"/>
    <w:rsid w:val="00856428"/>
    <w:rsid w:val="00856AC7"/>
    <w:rsid w:val="00856FA4"/>
    <w:rsid w:val="00857AF5"/>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1A1"/>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4DC4"/>
    <w:rsid w:val="008F58E1"/>
    <w:rsid w:val="008F6E05"/>
    <w:rsid w:val="008F6FC8"/>
    <w:rsid w:val="009001FA"/>
    <w:rsid w:val="0090045D"/>
    <w:rsid w:val="00900906"/>
    <w:rsid w:val="00900D8F"/>
    <w:rsid w:val="00901229"/>
    <w:rsid w:val="009014E3"/>
    <w:rsid w:val="009020ED"/>
    <w:rsid w:val="009023B0"/>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0256"/>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283F"/>
    <w:rsid w:val="009E316F"/>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666"/>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87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41A"/>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CF5"/>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1FCF"/>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1E22"/>
    <w:rsid w:val="00B63EAE"/>
    <w:rsid w:val="00B643A6"/>
    <w:rsid w:val="00B64C56"/>
    <w:rsid w:val="00B64DD6"/>
    <w:rsid w:val="00B66505"/>
    <w:rsid w:val="00B6710C"/>
    <w:rsid w:val="00B67E84"/>
    <w:rsid w:val="00B72076"/>
    <w:rsid w:val="00B72303"/>
    <w:rsid w:val="00B727A9"/>
    <w:rsid w:val="00B72C72"/>
    <w:rsid w:val="00B72ED9"/>
    <w:rsid w:val="00B731CA"/>
    <w:rsid w:val="00B731E4"/>
    <w:rsid w:val="00B73A8A"/>
    <w:rsid w:val="00B751CE"/>
    <w:rsid w:val="00B75A8B"/>
    <w:rsid w:val="00B75B61"/>
    <w:rsid w:val="00B76796"/>
    <w:rsid w:val="00B771E0"/>
    <w:rsid w:val="00B77828"/>
    <w:rsid w:val="00B7793B"/>
    <w:rsid w:val="00B77EE7"/>
    <w:rsid w:val="00B8080D"/>
    <w:rsid w:val="00B80EDD"/>
    <w:rsid w:val="00B812BD"/>
    <w:rsid w:val="00B81964"/>
    <w:rsid w:val="00B82277"/>
    <w:rsid w:val="00B83F87"/>
    <w:rsid w:val="00B843DD"/>
    <w:rsid w:val="00B8478F"/>
    <w:rsid w:val="00B84F93"/>
    <w:rsid w:val="00B85F5F"/>
    <w:rsid w:val="00B91676"/>
    <w:rsid w:val="00B9322B"/>
    <w:rsid w:val="00B93640"/>
    <w:rsid w:val="00B94023"/>
    <w:rsid w:val="00B955D5"/>
    <w:rsid w:val="00B95833"/>
    <w:rsid w:val="00B976DE"/>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384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1E4"/>
    <w:rsid w:val="00BD2A49"/>
    <w:rsid w:val="00BD3683"/>
    <w:rsid w:val="00BD40AB"/>
    <w:rsid w:val="00BD40DE"/>
    <w:rsid w:val="00BD59FB"/>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42F"/>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1BEF"/>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AB5"/>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4D"/>
    <w:rsid w:val="00CC7DF8"/>
    <w:rsid w:val="00CD15BE"/>
    <w:rsid w:val="00CD1EF2"/>
    <w:rsid w:val="00CD2165"/>
    <w:rsid w:val="00CD2DEF"/>
    <w:rsid w:val="00CD32BD"/>
    <w:rsid w:val="00CD34C7"/>
    <w:rsid w:val="00CD5653"/>
    <w:rsid w:val="00CD5E6D"/>
    <w:rsid w:val="00CD63C8"/>
    <w:rsid w:val="00CD76F8"/>
    <w:rsid w:val="00CD78A5"/>
    <w:rsid w:val="00CE02E8"/>
    <w:rsid w:val="00CE069E"/>
    <w:rsid w:val="00CE0DE0"/>
    <w:rsid w:val="00CE2B1F"/>
    <w:rsid w:val="00CE2CC2"/>
    <w:rsid w:val="00CE3722"/>
    <w:rsid w:val="00CE652B"/>
    <w:rsid w:val="00CF0280"/>
    <w:rsid w:val="00CF158D"/>
    <w:rsid w:val="00CF1CE9"/>
    <w:rsid w:val="00CF2166"/>
    <w:rsid w:val="00CF2D11"/>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86B"/>
    <w:rsid w:val="00D62D5C"/>
    <w:rsid w:val="00D63577"/>
    <w:rsid w:val="00D63A52"/>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70C"/>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6A1C"/>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E42"/>
    <w:rsid w:val="00DC4FA4"/>
    <w:rsid w:val="00DC5028"/>
    <w:rsid w:val="00DC5B37"/>
    <w:rsid w:val="00DD286D"/>
    <w:rsid w:val="00DD2CAF"/>
    <w:rsid w:val="00DD3593"/>
    <w:rsid w:val="00DD44EA"/>
    <w:rsid w:val="00DD462A"/>
    <w:rsid w:val="00DD64E0"/>
    <w:rsid w:val="00DD775C"/>
    <w:rsid w:val="00DD781D"/>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32D"/>
    <w:rsid w:val="00E438A4"/>
    <w:rsid w:val="00E43F59"/>
    <w:rsid w:val="00E464F0"/>
    <w:rsid w:val="00E46EF3"/>
    <w:rsid w:val="00E47370"/>
    <w:rsid w:val="00E473E9"/>
    <w:rsid w:val="00E47B47"/>
    <w:rsid w:val="00E50BEB"/>
    <w:rsid w:val="00E523FB"/>
    <w:rsid w:val="00E53460"/>
    <w:rsid w:val="00E54846"/>
    <w:rsid w:val="00E548FA"/>
    <w:rsid w:val="00E55CD9"/>
    <w:rsid w:val="00E57223"/>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810"/>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9EE"/>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EF7A3D"/>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0F2"/>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4B6"/>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24A"/>
    <w:rsid w:val="00FA23D1"/>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591"/>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 w:val="00FF6BA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57404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2012-08-22T13:04:00Z</cp:lastPrinted>
  <dcterms:created xsi:type="dcterms:W3CDTF">2012-10-09T19:10:00Z</dcterms:created>
  <dcterms:modified xsi:type="dcterms:W3CDTF">2012-10-09T19:10:00Z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