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544E5A">
        <w:rPr>
          <w:caps/>
          <w:color w:val="auto"/>
        </w:rPr>
        <w:t>XXXXXXXXXXXXXX</w:t>
      </w:r>
      <w:r w:rsidR="00921DEE">
        <w:rPr>
          <w:caps/>
          <w:color w:val="auto"/>
        </w:rPr>
        <w:t xml:space="preserve">                                                </w:t>
      </w:r>
      <w:r w:rsidR="00FC293E">
        <w:rPr>
          <w:caps/>
          <w:color w:val="auto"/>
        </w:rPr>
        <w:t xml:space="preserve">      </w:t>
      </w:r>
      <w:r w:rsidR="00921DEE">
        <w:rPr>
          <w:caps/>
          <w:color w:val="auto"/>
        </w:rPr>
        <w:t xml:space="preserve">                </w:t>
      </w:r>
      <w:r w:rsidRPr="00F64312">
        <w:rPr>
          <w:caps/>
          <w:color w:val="auto"/>
        </w:rPr>
        <w:t xml:space="preserve">BRANCH OF </w:t>
      </w:r>
      <w:r w:rsidRPr="00A25F09">
        <w:rPr>
          <w:caps/>
          <w:color w:val="auto"/>
        </w:rPr>
        <w:t xml:space="preserve">SERVICE:  </w:t>
      </w:r>
      <w:r w:rsidR="00A25F09" w:rsidRPr="00A25F09">
        <w:rPr>
          <w:caps/>
          <w:color w:val="auto"/>
        </w:rPr>
        <w:t>Army</w:t>
      </w:r>
    </w:p>
    <w:p w:rsidR="0095270D" w:rsidRPr="00F64312" w:rsidRDefault="0095270D" w:rsidP="00DD5558">
      <w:pPr>
        <w:tabs>
          <w:tab w:val="right" w:pos="9360"/>
        </w:tabs>
        <w:jc w:val="both"/>
        <w:rPr>
          <w:color w:val="auto"/>
        </w:rPr>
      </w:pPr>
      <w:r w:rsidRPr="00F64312">
        <w:rPr>
          <w:caps/>
          <w:color w:val="auto"/>
        </w:rPr>
        <w:t xml:space="preserve">CASE NUMBER:  </w:t>
      </w:r>
      <w:r w:rsidRPr="00A25F09">
        <w:rPr>
          <w:caps/>
          <w:color w:val="auto"/>
        </w:rPr>
        <w:t>PD1100</w:t>
      </w:r>
      <w:r w:rsidR="00A25F09" w:rsidRPr="00A25F09">
        <w:rPr>
          <w:caps/>
          <w:color w:val="auto"/>
        </w:rPr>
        <w:t>865</w:t>
      </w:r>
      <w:r w:rsidR="00DD5558">
        <w:rPr>
          <w:color w:val="auto"/>
        </w:rPr>
        <w:tab/>
      </w:r>
      <w:r w:rsidR="0018208F" w:rsidRPr="00F64312">
        <w:rPr>
          <w:color w:val="auto"/>
        </w:rPr>
        <w:t>SE</w:t>
      </w:r>
      <w:r w:rsidRPr="00F64312">
        <w:rPr>
          <w:color w:val="auto"/>
        </w:rPr>
        <w:t>PARATION DATE:  20</w:t>
      </w:r>
      <w:r w:rsidRPr="00D2118A">
        <w:rPr>
          <w:color w:val="auto"/>
        </w:rPr>
        <w:t>0</w:t>
      </w:r>
      <w:r w:rsidR="00A25F09" w:rsidRPr="00D2118A">
        <w:rPr>
          <w:color w:val="auto"/>
        </w:rPr>
        <w:t>050407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337286">
        <w:rPr>
          <w:caps/>
          <w:color w:val="auto"/>
        </w:rPr>
        <w:t>1003</w:t>
      </w:r>
    </w:p>
    <w:p w:rsidR="0095270D" w:rsidRPr="00F64312" w:rsidRDefault="0095270D" w:rsidP="0095270D">
      <w:pPr>
        <w:pBdr>
          <w:bottom w:val="single" w:sz="12" w:space="1" w:color="auto"/>
        </w:pBdr>
        <w:tabs>
          <w:tab w:val="left" w:pos="288"/>
          <w:tab w:val="left" w:pos="4752"/>
        </w:tabs>
        <w:jc w:val="both"/>
        <w:rPr>
          <w:color w:val="auto"/>
        </w:rPr>
      </w:pPr>
    </w:p>
    <w:p w:rsidR="00AD2379"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3F40FF">
        <w:rPr>
          <w:color w:val="auto"/>
        </w:rPr>
        <w:t>active duty</w:t>
      </w:r>
      <w:r w:rsidR="00962B2E">
        <w:rPr>
          <w:color w:val="auto"/>
        </w:rPr>
        <w:t xml:space="preserve"> </w:t>
      </w:r>
      <w:r w:rsidR="000C3845" w:rsidRPr="000C3845">
        <w:rPr>
          <w:color w:val="auto"/>
        </w:rPr>
        <w:t>SPC/E-4</w:t>
      </w:r>
      <w:r w:rsidRPr="000C3845">
        <w:rPr>
          <w:color w:val="auto"/>
        </w:rPr>
        <w:t xml:space="preserve"> (</w:t>
      </w:r>
      <w:r w:rsidR="000C3845">
        <w:rPr>
          <w:color w:val="auto"/>
        </w:rPr>
        <w:t>92Y1O, Unit Supply Specialist</w:t>
      </w:r>
      <w:r w:rsidR="00A70270" w:rsidRPr="000C3845">
        <w:rPr>
          <w:color w:val="auto"/>
        </w:rPr>
        <w:t>)</w:t>
      </w:r>
      <w:r w:rsidR="00565636" w:rsidRPr="000C3845">
        <w:rPr>
          <w:color w:val="auto"/>
        </w:rPr>
        <w:t>,</w:t>
      </w:r>
      <w:r w:rsidR="00A70270" w:rsidRPr="00F64312">
        <w:rPr>
          <w:color w:val="auto"/>
        </w:rPr>
        <w:t xml:space="preserve"> </w:t>
      </w:r>
      <w:r w:rsidRPr="00F64312">
        <w:rPr>
          <w:color w:val="auto"/>
        </w:rPr>
        <w:t xml:space="preserve">medically separated for </w:t>
      </w:r>
      <w:r w:rsidR="003F630B">
        <w:rPr>
          <w:color w:val="auto"/>
        </w:rPr>
        <w:t xml:space="preserve">chronic low back pain </w:t>
      </w:r>
      <w:r w:rsidR="003D6B26">
        <w:rPr>
          <w:color w:val="auto"/>
        </w:rPr>
        <w:t xml:space="preserve">(LBP), </w:t>
      </w:r>
      <w:r w:rsidR="003F630B">
        <w:rPr>
          <w:color w:val="auto"/>
        </w:rPr>
        <w:t>secondary to degenerative disc</w:t>
      </w:r>
      <w:r w:rsidR="003D6B26">
        <w:rPr>
          <w:color w:val="auto"/>
        </w:rPr>
        <w:t xml:space="preserve"> disease</w:t>
      </w:r>
      <w:r w:rsidR="003F630B">
        <w:rPr>
          <w:color w:val="auto"/>
        </w:rPr>
        <w:t xml:space="preserve"> </w:t>
      </w:r>
      <w:r w:rsidR="003D6B26">
        <w:rPr>
          <w:color w:val="auto"/>
        </w:rPr>
        <w:t xml:space="preserve">(DDD) </w:t>
      </w:r>
      <w:r w:rsidR="003F630B">
        <w:rPr>
          <w:color w:val="auto"/>
        </w:rPr>
        <w:t>and bone disease</w:t>
      </w:r>
      <w:r w:rsidR="003D6B26">
        <w:rPr>
          <w:color w:val="auto"/>
        </w:rPr>
        <w:t>,</w:t>
      </w:r>
      <w:r w:rsidR="003F630B">
        <w:rPr>
          <w:color w:val="auto"/>
        </w:rPr>
        <w:t xml:space="preserve"> and chronic neck pain due to strain and degenerative changes.</w:t>
      </w:r>
      <w:r w:rsidR="00921DEE">
        <w:rPr>
          <w:color w:val="auto"/>
        </w:rPr>
        <w:t xml:space="preserve">  </w:t>
      </w:r>
      <w:r w:rsidR="005575E1" w:rsidRPr="005575E1">
        <w:rPr>
          <w:color w:val="auto"/>
        </w:rPr>
        <w:t>The lumbar</w:t>
      </w:r>
      <w:r w:rsidR="003F630B" w:rsidRPr="005575E1">
        <w:rPr>
          <w:color w:val="auto"/>
        </w:rPr>
        <w:t xml:space="preserve"> and cervical spine </w:t>
      </w:r>
      <w:r w:rsidR="002143E5" w:rsidRPr="005575E1">
        <w:rPr>
          <w:color w:val="auto"/>
        </w:rPr>
        <w:t>condition</w:t>
      </w:r>
      <w:r w:rsidR="0051594B" w:rsidRPr="005575E1">
        <w:rPr>
          <w:color w:val="auto"/>
        </w:rPr>
        <w:t>s</w:t>
      </w:r>
      <w:r w:rsidR="00F566B7" w:rsidRPr="005575E1">
        <w:rPr>
          <w:color w:val="auto"/>
        </w:rPr>
        <w:t xml:space="preserve"> </w:t>
      </w:r>
      <w:r w:rsidR="00F15483" w:rsidRPr="005575E1">
        <w:rPr>
          <w:color w:val="auto"/>
        </w:rPr>
        <w:t>did not improve adequately with treatment</w:t>
      </w:r>
      <w:r w:rsidR="005575E1" w:rsidRPr="005575E1">
        <w:rPr>
          <w:color w:val="auto"/>
        </w:rPr>
        <w:t xml:space="preserve"> </w:t>
      </w:r>
      <w:r w:rsidR="00F566B7" w:rsidRPr="005575E1">
        <w:rPr>
          <w:color w:val="auto"/>
        </w:rPr>
        <w:t>to meet the physical requirements of his Military Occupational Specialty (MOS)</w:t>
      </w:r>
      <w:r w:rsidR="0021565F" w:rsidRPr="005575E1">
        <w:rPr>
          <w:color w:val="auto"/>
        </w:rPr>
        <w:t xml:space="preserve"> </w:t>
      </w:r>
      <w:r w:rsidR="00F566B7" w:rsidRPr="005575E1">
        <w:rPr>
          <w:color w:val="auto"/>
        </w:rPr>
        <w:t>or satis</w:t>
      </w:r>
      <w:r w:rsidR="009C12A1" w:rsidRPr="005575E1">
        <w:rPr>
          <w:color w:val="auto"/>
        </w:rPr>
        <w:t>fy physical fitness</w:t>
      </w:r>
      <w:r w:rsidR="009C12A1" w:rsidRPr="00F64312">
        <w:rPr>
          <w:color w:val="auto"/>
        </w:rPr>
        <w:t xml:space="preserve"> standards.</w:t>
      </w:r>
      <w:r w:rsidR="00F566B7" w:rsidRPr="00F64312">
        <w:rPr>
          <w:color w:val="auto"/>
        </w:rPr>
        <w:t xml:space="preserve"> </w:t>
      </w:r>
      <w:r w:rsidR="009C12A1" w:rsidRPr="00F64312">
        <w:rPr>
          <w:color w:val="auto"/>
        </w:rPr>
        <w:t xml:space="preserve"> </w:t>
      </w:r>
      <w:r w:rsidR="009C12A1" w:rsidRPr="001C553F">
        <w:rPr>
          <w:color w:val="auto"/>
        </w:rPr>
        <w:t xml:space="preserve">He </w:t>
      </w:r>
      <w:r w:rsidR="00F566B7" w:rsidRPr="001C553F">
        <w:rPr>
          <w:color w:val="auto"/>
        </w:rPr>
        <w:t xml:space="preserve">was issued a permanent </w:t>
      </w:r>
      <w:r w:rsidR="001C553F">
        <w:rPr>
          <w:color w:val="auto"/>
        </w:rPr>
        <w:t>U3/</w:t>
      </w:r>
      <w:r w:rsidR="00F566B7" w:rsidRPr="001C553F">
        <w:rPr>
          <w:color w:val="auto"/>
        </w:rPr>
        <w:t xml:space="preserve">L3 profile </w:t>
      </w:r>
      <w:r w:rsidR="00F566B7" w:rsidRPr="00F64312">
        <w:rPr>
          <w:color w:val="auto"/>
        </w:rPr>
        <w:t>and</w:t>
      </w:r>
      <w:r w:rsidR="009C12A1" w:rsidRPr="00F64312">
        <w:rPr>
          <w:color w:val="auto"/>
        </w:rPr>
        <w:t xml:space="preserve"> </w:t>
      </w:r>
      <w:r w:rsidR="00F566B7" w:rsidRPr="00F64312">
        <w:rPr>
          <w:color w:val="auto"/>
        </w:rPr>
        <w:t>referred for a Medical Evaluation Board (MEB).</w:t>
      </w:r>
      <w:r w:rsidR="005575E1">
        <w:rPr>
          <w:color w:val="auto"/>
        </w:rPr>
        <w:t xml:space="preserve">  Lumbar spine DDD and cervical spine DDD and spondylosis were forwarded to the </w:t>
      </w:r>
      <w:r w:rsidR="001953B0">
        <w:rPr>
          <w:color w:val="auto"/>
        </w:rPr>
        <w:t>P</w:t>
      </w:r>
      <w:r w:rsidR="005575E1">
        <w:rPr>
          <w:color w:val="auto"/>
        </w:rPr>
        <w:t xml:space="preserve">hysical </w:t>
      </w:r>
      <w:r w:rsidR="001953B0">
        <w:rPr>
          <w:color w:val="auto"/>
        </w:rPr>
        <w:t>E</w:t>
      </w:r>
      <w:r w:rsidR="005575E1">
        <w:rPr>
          <w:color w:val="auto"/>
        </w:rPr>
        <w:t xml:space="preserve">valuation </w:t>
      </w:r>
      <w:r w:rsidR="001953B0">
        <w:rPr>
          <w:color w:val="auto"/>
        </w:rPr>
        <w:t>B</w:t>
      </w:r>
      <w:r w:rsidR="005575E1">
        <w:rPr>
          <w:color w:val="auto"/>
        </w:rPr>
        <w:t xml:space="preserve">oard (PEB) as unfitting conditions.  </w:t>
      </w:r>
      <w:r w:rsidR="003F630B" w:rsidRPr="003F630B">
        <w:rPr>
          <w:color w:val="auto"/>
        </w:rPr>
        <w:t>Intermittent left arm pain; depressive disorder</w:t>
      </w:r>
      <w:r w:rsidR="008425AD">
        <w:rPr>
          <w:color w:val="auto"/>
        </w:rPr>
        <w:t>, not otherwise specified (NOS)</w:t>
      </w:r>
      <w:r w:rsidR="003F630B" w:rsidRPr="003F630B">
        <w:rPr>
          <w:color w:val="auto"/>
        </w:rPr>
        <w:t xml:space="preserve">; gastroesophageal reflux (GERD) and elevated cholesterol </w:t>
      </w:r>
      <w:r w:rsidR="00071F0D" w:rsidRPr="003F630B">
        <w:rPr>
          <w:color w:val="auto"/>
        </w:rPr>
        <w:t xml:space="preserve">conditions were </w:t>
      </w:r>
      <w:r w:rsidR="005575E1" w:rsidRPr="003F630B">
        <w:rPr>
          <w:color w:val="auto"/>
        </w:rPr>
        <w:t xml:space="preserve">also </w:t>
      </w:r>
      <w:r w:rsidR="005575E1">
        <w:rPr>
          <w:color w:val="auto"/>
        </w:rPr>
        <w:t>f</w:t>
      </w:r>
      <w:r w:rsidR="005575E1" w:rsidRPr="003F630B">
        <w:rPr>
          <w:color w:val="auto"/>
        </w:rPr>
        <w:t>orwarded</w:t>
      </w:r>
      <w:r w:rsidR="005575E1">
        <w:rPr>
          <w:color w:val="auto"/>
        </w:rPr>
        <w:t xml:space="preserve"> to the PEB, but </w:t>
      </w:r>
      <w:r w:rsidR="00242C47">
        <w:rPr>
          <w:color w:val="auto"/>
        </w:rPr>
        <w:t>determined to meet</w:t>
      </w:r>
      <w:r w:rsidR="005575E1">
        <w:rPr>
          <w:color w:val="auto"/>
        </w:rPr>
        <w:t xml:space="preserve"> retention standards.  </w:t>
      </w:r>
      <w:r w:rsidRPr="00F64312">
        <w:rPr>
          <w:color w:val="auto"/>
        </w:rPr>
        <w:t xml:space="preserve">The PEB </w:t>
      </w:r>
      <w:r w:rsidRPr="001C4484">
        <w:rPr>
          <w:color w:val="auto"/>
        </w:rPr>
        <w:t xml:space="preserve">adjudicated </w:t>
      </w:r>
      <w:r w:rsidRPr="00337286">
        <w:rPr>
          <w:color w:val="auto"/>
        </w:rPr>
        <w:t xml:space="preserve">the </w:t>
      </w:r>
      <w:r w:rsidR="001C4484" w:rsidRPr="00337286">
        <w:rPr>
          <w:color w:val="auto"/>
        </w:rPr>
        <w:t xml:space="preserve">chronic low back pain secondary to degenerative disc and bone disease and chronic neck pain due to strain and degenerative changes </w:t>
      </w:r>
      <w:r w:rsidR="008530E3" w:rsidRPr="00337286">
        <w:rPr>
          <w:color w:val="auto"/>
        </w:rPr>
        <w:t>condition</w:t>
      </w:r>
      <w:r w:rsidR="001C4484" w:rsidRPr="00337286">
        <w:rPr>
          <w:color w:val="auto"/>
        </w:rPr>
        <w:t>s</w:t>
      </w:r>
      <w:r w:rsidR="008530E3" w:rsidRPr="00337286">
        <w:rPr>
          <w:color w:val="auto"/>
        </w:rPr>
        <w:t xml:space="preserve"> as unfitting, rated </w:t>
      </w:r>
      <w:r w:rsidR="001C4484" w:rsidRPr="00337286">
        <w:rPr>
          <w:color w:val="auto"/>
        </w:rPr>
        <w:t>10</w:t>
      </w:r>
      <w:r w:rsidRPr="00337286">
        <w:rPr>
          <w:color w:val="auto"/>
        </w:rPr>
        <w:t>%</w:t>
      </w:r>
      <w:r w:rsidR="001C4484" w:rsidRPr="00337286">
        <w:rPr>
          <w:color w:val="auto"/>
        </w:rPr>
        <w:t xml:space="preserve"> </w:t>
      </w:r>
      <w:r w:rsidR="00413497" w:rsidRPr="00337286">
        <w:rPr>
          <w:color w:val="auto"/>
        </w:rPr>
        <w:t>each,</w:t>
      </w:r>
      <w:r w:rsidRPr="00337286">
        <w:rPr>
          <w:color w:val="auto"/>
        </w:rPr>
        <w:t xml:space="preserve"> </w:t>
      </w:r>
      <w:r w:rsidR="00E46D90" w:rsidRPr="00337286">
        <w:rPr>
          <w:color w:val="auto"/>
        </w:rPr>
        <w:t xml:space="preserve">with </w:t>
      </w:r>
      <w:r w:rsidR="00FE64A1" w:rsidRPr="00337286">
        <w:rPr>
          <w:color w:val="auto"/>
        </w:rPr>
        <w:t xml:space="preserve">probable </w:t>
      </w:r>
      <w:r w:rsidR="00E46D90" w:rsidRPr="00337286">
        <w:rPr>
          <w:color w:val="auto"/>
        </w:rPr>
        <w:t xml:space="preserve">application of the </w:t>
      </w:r>
      <w:r w:rsidRPr="00337286">
        <w:rPr>
          <w:color w:val="auto"/>
        </w:rPr>
        <w:t>Veteran</w:t>
      </w:r>
      <w:r w:rsidR="00BF72CA" w:rsidRPr="00337286">
        <w:rPr>
          <w:color w:val="auto"/>
        </w:rPr>
        <w:t>’</w:t>
      </w:r>
      <w:r w:rsidRPr="00337286">
        <w:rPr>
          <w:color w:val="auto"/>
        </w:rPr>
        <w:t>s A</w:t>
      </w:r>
      <w:r w:rsidR="00BF72CA" w:rsidRPr="00337286">
        <w:rPr>
          <w:color w:val="auto"/>
        </w:rPr>
        <w:t>ffairs</w:t>
      </w:r>
      <w:r w:rsidRPr="00337286">
        <w:rPr>
          <w:color w:val="auto"/>
        </w:rPr>
        <w:t xml:space="preserve"> Schedule for Rating Disabilities (VASRD)</w:t>
      </w:r>
      <w:r w:rsidR="00FE64A1" w:rsidRPr="00337286">
        <w:rPr>
          <w:color w:val="auto"/>
        </w:rPr>
        <w:t xml:space="preserve"> for the neck and the </w:t>
      </w:r>
      <w:r w:rsidR="00FE64A1" w:rsidRPr="00337286">
        <w:rPr>
          <w:color w:val="auto"/>
          <w:szCs w:val="24"/>
        </w:rPr>
        <w:t xml:space="preserve">US Army Physical Disability Agency (USAPDA) pain policy for the back.  </w:t>
      </w:r>
      <w:r w:rsidR="00380601" w:rsidRPr="00337286">
        <w:rPr>
          <w:color w:val="auto"/>
        </w:rPr>
        <w:t>T</w:t>
      </w:r>
      <w:r w:rsidR="00380601" w:rsidRPr="001C4484">
        <w:rPr>
          <w:color w:val="auto"/>
        </w:rPr>
        <w:t>he remaining conditions were determined to be not unfitting</w:t>
      </w:r>
      <w:r w:rsidR="001C4484" w:rsidRPr="001C4484">
        <w:rPr>
          <w:color w:val="auto"/>
        </w:rPr>
        <w:t>.</w:t>
      </w:r>
      <w:r w:rsidR="00337286">
        <w:rPr>
          <w:color w:val="auto"/>
        </w:rPr>
        <w:t xml:space="preserve">  </w:t>
      </w:r>
      <w:r w:rsidRPr="001C4484">
        <w:rPr>
          <w:color w:val="auto"/>
        </w:rPr>
        <w:t xml:space="preserve">The CI made no appeals, and was medically separated with </w:t>
      </w:r>
      <w:r w:rsidR="001C4484">
        <w:rPr>
          <w:color w:val="auto"/>
        </w:rPr>
        <w:t>a 20</w:t>
      </w:r>
      <w:r w:rsidR="0066684A" w:rsidRPr="001C4484">
        <w:rPr>
          <w:color w:val="auto"/>
        </w:rPr>
        <w:t xml:space="preserve">% </w:t>
      </w:r>
      <w:r w:rsidRPr="001C4484">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F459F8" w:rsidRDefault="00AD2379" w:rsidP="00F33826">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F33826">
        <w:rPr>
          <w:color w:val="auto"/>
        </w:rPr>
        <w:t>“I was medically discharged from the Army at a 20% Disability Rating.  I was given a 10% rating for depression.  I never suffered from depression in my life until my tour in Iraq.  It has been confirmed that I suffered from PTSD.  I request that I’m medically retired and not medically separated. [</w:t>
      </w:r>
      <w:proofErr w:type="gramStart"/>
      <w:r w:rsidR="00F33826">
        <w:rPr>
          <w:color w:val="auto"/>
        </w:rPr>
        <w:t>sic</w:t>
      </w:r>
      <w:proofErr w:type="gramEnd"/>
      <w:r w:rsidR="00F33826">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1953B0">
        <w:rPr>
          <w:color w:val="auto"/>
        </w:rPr>
        <w:t>the Department of Defense Instruction (</w:t>
      </w:r>
      <w:proofErr w:type="spellStart"/>
      <w:r w:rsidR="00AE2B85">
        <w:rPr>
          <w:color w:val="auto"/>
        </w:rPr>
        <w:t>DoDI</w:t>
      </w:r>
      <w:proofErr w:type="spellEnd"/>
      <w:r w:rsidR="001953B0">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w:t>
      </w:r>
      <w:r w:rsidRPr="00B114C5">
        <w:rPr>
          <w:color w:val="auto"/>
        </w:rPr>
        <w:t>specifically unfitting for continued military service; or, when requested by the CI, those condition(s) “identified but not determined to be unfitting by the PEB.</w:t>
      </w:r>
      <w:r w:rsidR="001953B0">
        <w:rPr>
          <w:color w:val="auto"/>
        </w:rPr>
        <w:t>”</w:t>
      </w:r>
      <w:r w:rsidRPr="00B114C5">
        <w:rPr>
          <w:color w:val="auto"/>
        </w:rPr>
        <w:t xml:space="preserve">  The ratings for unfitting conditions will be reviewed in all cases.  </w:t>
      </w:r>
      <w:r w:rsidR="002C1838" w:rsidRPr="00524FBA">
        <w:rPr>
          <w:color w:val="auto"/>
        </w:rPr>
        <w:t>T</w:t>
      </w:r>
      <w:r w:rsidRPr="00524FBA">
        <w:rPr>
          <w:color w:val="auto"/>
        </w:rPr>
        <w:t xml:space="preserve">he </w:t>
      </w:r>
      <w:r w:rsidR="00F355E8">
        <w:rPr>
          <w:color w:val="auto"/>
        </w:rPr>
        <w:t>depressive disorder</w:t>
      </w:r>
      <w:r w:rsidRPr="00524FBA">
        <w:rPr>
          <w:color w:val="auto"/>
        </w:rPr>
        <w:t xml:space="preserve"> condition requested for consideration meet</w:t>
      </w:r>
      <w:r w:rsidR="00B114C5" w:rsidRPr="00524FBA">
        <w:rPr>
          <w:color w:val="auto"/>
        </w:rPr>
        <w:t>s</w:t>
      </w:r>
      <w:r w:rsidRPr="00524FBA">
        <w:rPr>
          <w:color w:val="auto"/>
        </w:rPr>
        <w:t xml:space="preserve"> the crite</w:t>
      </w:r>
      <w:r w:rsidRPr="00B114C5">
        <w:rPr>
          <w:color w:val="auto"/>
        </w:rPr>
        <w:t>ria prescribed in DoDI 60</w:t>
      </w:r>
      <w:r w:rsidR="00B114C5" w:rsidRPr="00B114C5">
        <w:rPr>
          <w:color w:val="auto"/>
        </w:rPr>
        <w:t>40.44 for Board purview and is</w:t>
      </w:r>
      <w:r w:rsidR="00E1261E">
        <w:rPr>
          <w:color w:val="auto"/>
        </w:rPr>
        <w:t xml:space="preserve"> accordingly addressed below.</w:t>
      </w:r>
      <w:r w:rsidRPr="00B114C5">
        <w:rPr>
          <w:color w:val="auto"/>
        </w:rPr>
        <w:t xml:space="preserve">  Any conditions or contention not requested in this application, or otherwise outside the Board’s defined scope of review, remain eligible for future consideration by the Army Board for Corre</w:t>
      </w:r>
      <w:r w:rsidR="00FC293E">
        <w:rPr>
          <w:color w:val="auto"/>
        </w:rPr>
        <w:t>ction of Military Records</w:t>
      </w:r>
      <w:r w:rsidR="00B114C5" w:rsidRPr="00B114C5">
        <w:rPr>
          <w:color w:val="auto"/>
        </w:rPr>
        <w:t>.</w:t>
      </w:r>
    </w:p>
    <w:p w:rsidR="00FC293E" w:rsidRDefault="00FC293E">
      <w:pPr>
        <w:spacing w:line="240" w:lineRule="auto"/>
        <w:jc w:val="left"/>
        <w:rPr>
          <w:color w:val="auto"/>
          <w:u w:val="single"/>
        </w:rPr>
      </w:pPr>
    </w:p>
    <w:p w:rsidR="001953B0" w:rsidRDefault="001953B0">
      <w:pPr>
        <w:spacing w:line="240" w:lineRule="auto"/>
        <w:jc w:val="left"/>
        <w:rPr>
          <w:color w:val="auto"/>
          <w:u w:val="single"/>
        </w:rPr>
      </w:pPr>
    </w:p>
    <w:p w:rsidR="001953B0" w:rsidRDefault="001953B0">
      <w:pPr>
        <w:spacing w:line="240" w:lineRule="auto"/>
        <w:jc w:val="left"/>
        <w:rPr>
          <w:color w:val="auto"/>
          <w:u w:val="single"/>
        </w:rPr>
      </w:pPr>
    </w:p>
    <w:p w:rsidR="001953B0" w:rsidRDefault="001953B0">
      <w:pPr>
        <w:spacing w:line="240" w:lineRule="auto"/>
        <w:jc w:val="left"/>
        <w:rPr>
          <w:color w:val="auto"/>
          <w:u w:val="single"/>
        </w:rPr>
      </w:pPr>
    </w:p>
    <w:p w:rsidR="001953B0" w:rsidRDefault="001953B0">
      <w:pPr>
        <w:spacing w:line="240" w:lineRule="auto"/>
        <w:jc w:val="left"/>
        <w:rPr>
          <w:color w:val="auto"/>
          <w:u w:val="single"/>
        </w:rPr>
      </w:pPr>
    </w:p>
    <w:p w:rsidR="001953B0" w:rsidRDefault="001953B0">
      <w:pPr>
        <w:spacing w:line="240" w:lineRule="auto"/>
        <w:jc w:val="left"/>
        <w:rPr>
          <w:color w:val="auto"/>
          <w:u w:val="single"/>
        </w:rPr>
      </w:pPr>
    </w:p>
    <w:p w:rsidR="001953B0" w:rsidRDefault="001953B0">
      <w:pPr>
        <w:spacing w:line="240" w:lineRule="auto"/>
        <w:jc w:val="left"/>
        <w:rPr>
          <w:color w:val="auto"/>
          <w:u w:val="single"/>
        </w:rPr>
      </w:pPr>
    </w:p>
    <w:p w:rsidR="001953B0" w:rsidRDefault="001953B0">
      <w:pPr>
        <w:spacing w:line="240" w:lineRule="auto"/>
        <w:jc w:val="left"/>
        <w:rPr>
          <w:color w:val="auto"/>
          <w:u w:val="single"/>
        </w:rPr>
      </w:pPr>
    </w:p>
    <w:p w:rsidR="00AD2379" w:rsidRPr="00F64312" w:rsidRDefault="00AD2379" w:rsidP="00BF0E94">
      <w:pPr>
        <w:jc w:val="left"/>
        <w:rPr>
          <w:color w:val="auto"/>
        </w:rPr>
      </w:pPr>
      <w:r w:rsidRPr="00F64312">
        <w:rPr>
          <w:color w:val="auto"/>
          <w:u w:val="single"/>
        </w:rPr>
        <w:lastRenderedPageBreak/>
        <w:t>RATING COMPARISON</w:t>
      </w:r>
      <w:r w:rsidR="006950E0">
        <w:rPr>
          <w:color w:val="auto"/>
        </w:rPr>
        <w:t>:</w:t>
      </w:r>
    </w:p>
    <w:p w:rsidR="00F90376" w:rsidRPr="00F64312" w:rsidRDefault="00F90376" w:rsidP="00F90376">
      <w:pPr>
        <w:jc w:val="both"/>
        <w:rPr>
          <w:color w:val="auto"/>
        </w:rPr>
      </w:pPr>
    </w:p>
    <w:tbl>
      <w:tblPr>
        <w:tblStyle w:val="TableGrid"/>
        <w:tblW w:w="9308" w:type="dxa"/>
        <w:jc w:val="center"/>
        <w:tblInd w:w="828" w:type="dxa"/>
        <w:tblLayout w:type="fixed"/>
        <w:tblLook w:val="00A0"/>
      </w:tblPr>
      <w:tblGrid>
        <w:gridCol w:w="2189"/>
        <w:gridCol w:w="1088"/>
        <w:gridCol w:w="720"/>
        <w:gridCol w:w="2648"/>
        <w:gridCol w:w="773"/>
        <w:gridCol w:w="810"/>
        <w:gridCol w:w="1080"/>
      </w:tblGrid>
      <w:tr w:rsidR="00F90376" w:rsidRPr="00F64312" w:rsidTr="00E944B3">
        <w:trPr>
          <w:trHeight w:val="170"/>
          <w:jc w:val="center"/>
        </w:trPr>
        <w:tc>
          <w:tcPr>
            <w:tcW w:w="3997" w:type="dxa"/>
            <w:gridSpan w:val="3"/>
            <w:tcBorders>
              <w:right w:val="thinThickThinSmallGap" w:sz="24" w:space="0" w:color="auto"/>
            </w:tcBorders>
            <w:shd w:val="clear" w:color="auto" w:fill="D9D9D9"/>
            <w:vAlign w:val="center"/>
          </w:tcPr>
          <w:p w:rsidR="00F90376" w:rsidRPr="00F64312" w:rsidRDefault="00F90376" w:rsidP="006E68C4">
            <w:pPr>
              <w:spacing w:line="180" w:lineRule="exact"/>
              <w:contextualSpacing/>
              <w:rPr>
                <w:rFonts w:cs="Calibri"/>
                <w:b/>
                <w:color w:val="auto"/>
                <w:sz w:val="18"/>
              </w:rPr>
            </w:pPr>
            <w:r w:rsidRPr="00F64312">
              <w:rPr>
                <w:b/>
                <w:color w:val="auto"/>
                <w:sz w:val="18"/>
              </w:rPr>
              <w:t xml:space="preserve">Service </w:t>
            </w:r>
            <w:r w:rsidR="006E68C4">
              <w:rPr>
                <w:b/>
                <w:color w:val="auto"/>
                <w:sz w:val="18"/>
              </w:rPr>
              <w:t>I</w:t>
            </w:r>
            <w:r w:rsidRPr="00F64312">
              <w:rPr>
                <w:b/>
                <w:color w:val="auto"/>
                <w:sz w:val="18"/>
              </w:rPr>
              <w:t xml:space="preserve">PEB – Dated </w:t>
            </w:r>
            <w:r w:rsidR="006E68C4">
              <w:rPr>
                <w:b/>
                <w:color w:val="auto"/>
                <w:sz w:val="18"/>
              </w:rPr>
              <w:t>20050315</w:t>
            </w:r>
          </w:p>
        </w:tc>
        <w:tc>
          <w:tcPr>
            <w:tcW w:w="5311" w:type="dxa"/>
            <w:gridSpan w:val="4"/>
            <w:tcBorders>
              <w:left w:val="thinThickThinSmallGap" w:sz="24" w:space="0" w:color="auto"/>
            </w:tcBorders>
            <w:shd w:val="clear" w:color="auto" w:fill="D9D9D9"/>
            <w:vAlign w:val="center"/>
          </w:tcPr>
          <w:p w:rsidR="00F90376" w:rsidRPr="00F64312" w:rsidRDefault="00F90376" w:rsidP="00D32107">
            <w:pPr>
              <w:spacing w:line="180" w:lineRule="exact"/>
              <w:contextualSpacing/>
              <w:rPr>
                <w:rFonts w:cs="Calibri"/>
                <w:b/>
                <w:color w:val="auto"/>
                <w:sz w:val="18"/>
              </w:rPr>
            </w:pPr>
            <w:r w:rsidRPr="00F64312">
              <w:rPr>
                <w:b/>
                <w:color w:val="auto"/>
                <w:sz w:val="18"/>
              </w:rPr>
              <w:t>VA (</w:t>
            </w:r>
            <w:r w:rsidR="00D32107">
              <w:rPr>
                <w:b/>
                <w:color w:val="auto"/>
                <w:sz w:val="18"/>
              </w:rPr>
              <w:t>~1</w:t>
            </w:r>
            <w:r w:rsidRPr="00F64312">
              <w:rPr>
                <w:b/>
                <w:color w:val="auto"/>
                <w:sz w:val="18"/>
              </w:rPr>
              <w:t xml:space="preserve"> Mo. </w:t>
            </w:r>
            <w:r w:rsidRPr="00D32107">
              <w:rPr>
                <w:b/>
                <w:color w:val="auto"/>
                <w:sz w:val="18"/>
              </w:rPr>
              <w:t>Post-</w:t>
            </w:r>
            <w:r w:rsidRPr="00F64312">
              <w:rPr>
                <w:b/>
                <w:color w:val="auto"/>
                <w:sz w:val="18"/>
              </w:rPr>
              <w:t>Separation) – All Effective Date</w:t>
            </w:r>
            <w:r w:rsidR="00D32107">
              <w:rPr>
                <w:b/>
                <w:color w:val="auto"/>
                <w:sz w:val="18"/>
              </w:rPr>
              <w:t xml:space="preserve"> 20050408</w:t>
            </w:r>
          </w:p>
        </w:tc>
      </w:tr>
      <w:tr w:rsidR="00F90376" w:rsidRPr="00F64312" w:rsidTr="00E944B3">
        <w:trPr>
          <w:trHeight w:val="97"/>
          <w:jc w:val="center"/>
        </w:trPr>
        <w:tc>
          <w:tcPr>
            <w:tcW w:w="2189"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8"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648"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773"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81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E944B3">
        <w:trPr>
          <w:trHeight w:val="118"/>
          <w:jc w:val="center"/>
        </w:trPr>
        <w:tc>
          <w:tcPr>
            <w:tcW w:w="2189" w:type="dxa"/>
            <w:tcBorders>
              <w:right w:val="single" w:sz="4" w:space="0" w:color="auto"/>
            </w:tcBorders>
            <w:shd w:val="clear" w:color="auto" w:fill="FFFFFF"/>
            <w:vAlign w:val="center"/>
          </w:tcPr>
          <w:p w:rsidR="00F90376" w:rsidRPr="00F64312" w:rsidRDefault="003A2A2D" w:rsidP="00E944B3">
            <w:pPr>
              <w:spacing w:line="180" w:lineRule="exact"/>
              <w:contextualSpacing/>
              <w:jc w:val="left"/>
              <w:rPr>
                <w:rFonts w:cs="Calibri"/>
                <w:color w:val="auto"/>
                <w:sz w:val="18"/>
              </w:rPr>
            </w:pPr>
            <w:r>
              <w:rPr>
                <w:rFonts w:cs="Calibri"/>
                <w:color w:val="auto"/>
                <w:sz w:val="18"/>
              </w:rPr>
              <w:t xml:space="preserve">Chronic </w:t>
            </w:r>
            <w:r w:rsidR="00DC7BC9">
              <w:rPr>
                <w:rFonts w:cs="Calibri"/>
                <w:color w:val="auto"/>
                <w:sz w:val="18"/>
              </w:rPr>
              <w:t>LBP</w:t>
            </w:r>
            <w:r w:rsidR="00E944B3">
              <w:rPr>
                <w:rFonts w:cs="Calibri"/>
                <w:color w:val="auto"/>
                <w:sz w:val="18"/>
              </w:rPr>
              <w:t xml:space="preserve">; </w:t>
            </w:r>
            <w:r w:rsidR="00DC7BC9">
              <w:rPr>
                <w:rFonts w:cs="Calibri"/>
                <w:color w:val="auto"/>
                <w:sz w:val="18"/>
              </w:rPr>
              <w:t>DDD</w:t>
            </w:r>
            <w:r w:rsidR="006E68C4">
              <w:rPr>
                <w:rFonts w:cs="Calibri"/>
                <w:color w:val="auto"/>
                <w:sz w:val="18"/>
              </w:rPr>
              <w:t xml:space="preserve"> </w:t>
            </w:r>
          </w:p>
        </w:tc>
        <w:tc>
          <w:tcPr>
            <w:tcW w:w="1088" w:type="dxa"/>
            <w:tcBorders>
              <w:left w:val="single" w:sz="4" w:space="0" w:color="auto"/>
            </w:tcBorders>
            <w:shd w:val="clear" w:color="auto" w:fill="FFFFFF"/>
            <w:vAlign w:val="center"/>
          </w:tcPr>
          <w:p w:rsidR="00F90376" w:rsidRPr="00F64312" w:rsidRDefault="003A2A2D" w:rsidP="006B690F">
            <w:pPr>
              <w:spacing w:line="180" w:lineRule="exact"/>
              <w:contextualSpacing/>
              <w:rPr>
                <w:rFonts w:cs="Calibri"/>
                <w:color w:val="auto"/>
                <w:sz w:val="18"/>
              </w:rPr>
            </w:pPr>
            <w:r>
              <w:rPr>
                <w:rFonts w:cs="Calibri"/>
                <w:color w:val="auto"/>
                <w:sz w:val="18"/>
              </w:rPr>
              <w:t>5242-5237</w:t>
            </w:r>
          </w:p>
        </w:tc>
        <w:tc>
          <w:tcPr>
            <w:tcW w:w="720" w:type="dxa"/>
            <w:tcBorders>
              <w:right w:val="thinThickThinSmallGap" w:sz="24" w:space="0" w:color="auto"/>
            </w:tcBorders>
            <w:shd w:val="clear" w:color="auto" w:fill="FFFFFF"/>
            <w:vAlign w:val="center"/>
          </w:tcPr>
          <w:p w:rsidR="00F90376" w:rsidRPr="00F64312" w:rsidRDefault="003A2A2D" w:rsidP="006B690F">
            <w:pPr>
              <w:spacing w:line="180" w:lineRule="exact"/>
              <w:rPr>
                <w:rFonts w:cs="Calibri"/>
                <w:color w:val="auto"/>
                <w:sz w:val="18"/>
              </w:rPr>
            </w:pPr>
            <w:r>
              <w:rPr>
                <w:rFonts w:cs="Calibri"/>
                <w:color w:val="auto"/>
                <w:sz w:val="18"/>
              </w:rPr>
              <w:t>10%</w:t>
            </w:r>
          </w:p>
        </w:tc>
        <w:tc>
          <w:tcPr>
            <w:tcW w:w="2648" w:type="dxa"/>
            <w:tcBorders>
              <w:left w:val="thinThickThinSmallGap" w:sz="24" w:space="0" w:color="auto"/>
            </w:tcBorders>
            <w:shd w:val="clear" w:color="auto" w:fill="FFFFFF"/>
            <w:vAlign w:val="center"/>
          </w:tcPr>
          <w:p w:rsidR="00F90376" w:rsidRPr="00F64312" w:rsidRDefault="0008023D" w:rsidP="0017172C">
            <w:pPr>
              <w:spacing w:line="180" w:lineRule="exact"/>
              <w:contextualSpacing/>
              <w:jc w:val="left"/>
              <w:rPr>
                <w:rFonts w:cs="Calibri"/>
                <w:color w:val="auto"/>
                <w:sz w:val="18"/>
              </w:rPr>
            </w:pPr>
            <w:r>
              <w:rPr>
                <w:rFonts w:cs="Calibri"/>
                <w:color w:val="auto"/>
                <w:sz w:val="18"/>
              </w:rPr>
              <w:t>DJD and DDD, Lumbosacral Spine</w:t>
            </w:r>
          </w:p>
        </w:tc>
        <w:tc>
          <w:tcPr>
            <w:tcW w:w="773" w:type="dxa"/>
            <w:shd w:val="clear" w:color="auto" w:fill="FFFFFF"/>
            <w:vAlign w:val="center"/>
          </w:tcPr>
          <w:p w:rsidR="00F90376" w:rsidRPr="00F64312" w:rsidRDefault="0008023D" w:rsidP="0017172C">
            <w:pPr>
              <w:spacing w:line="180" w:lineRule="exact"/>
              <w:contextualSpacing/>
              <w:rPr>
                <w:rFonts w:cs="Calibri"/>
                <w:color w:val="auto"/>
                <w:sz w:val="18"/>
              </w:rPr>
            </w:pPr>
            <w:r>
              <w:rPr>
                <w:rFonts w:cs="Calibri"/>
                <w:color w:val="auto"/>
                <w:sz w:val="18"/>
              </w:rPr>
              <w:t>5243</w:t>
            </w:r>
          </w:p>
        </w:tc>
        <w:tc>
          <w:tcPr>
            <w:tcW w:w="810" w:type="dxa"/>
            <w:shd w:val="clear" w:color="auto" w:fill="FFFFFF"/>
            <w:vAlign w:val="center"/>
          </w:tcPr>
          <w:p w:rsidR="00F90376" w:rsidRPr="00F64312" w:rsidRDefault="0008023D" w:rsidP="0017172C">
            <w:pPr>
              <w:spacing w:line="180" w:lineRule="exact"/>
              <w:contextualSpacing/>
              <w:rPr>
                <w:rFonts w:cs="Calibri"/>
                <w:color w:val="auto"/>
                <w:sz w:val="18"/>
              </w:rPr>
            </w:pPr>
            <w:r>
              <w:rPr>
                <w:rFonts w:cs="Calibri"/>
                <w:color w:val="auto"/>
                <w:sz w:val="18"/>
              </w:rPr>
              <w:t>10%</w:t>
            </w:r>
            <w:r w:rsidR="005E42E7">
              <w:rPr>
                <w:rFonts w:cs="Calibri"/>
                <w:color w:val="auto"/>
                <w:sz w:val="18"/>
              </w:rPr>
              <w:t>*</w:t>
            </w:r>
          </w:p>
        </w:tc>
        <w:tc>
          <w:tcPr>
            <w:tcW w:w="1080" w:type="dxa"/>
            <w:shd w:val="clear" w:color="auto" w:fill="FFFFFF"/>
            <w:vAlign w:val="center"/>
          </w:tcPr>
          <w:p w:rsidR="00F90376" w:rsidRPr="003A2A2D" w:rsidRDefault="003A2A2D" w:rsidP="0017172C">
            <w:pPr>
              <w:spacing w:line="180" w:lineRule="exact"/>
              <w:contextualSpacing/>
              <w:rPr>
                <w:rFonts w:cs="Calibri"/>
                <w:color w:val="auto"/>
                <w:sz w:val="18"/>
              </w:rPr>
            </w:pPr>
            <w:r w:rsidRPr="003A2A2D">
              <w:rPr>
                <w:color w:val="auto"/>
                <w:sz w:val="18"/>
              </w:rPr>
              <w:t>20050519</w:t>
            </w:r>
          </w:p>
        </w:tc>
      </w:tr>
      <w:tr w:rsidR="00C34066" w:rsidRPr="00F64312" w:rsidTr="00E944B3">
        <w:trPr>
          <w:trHeight w:val="118"/>
          <w:jc w:val="center"/>
        </w:trPr>
        <w:tc>
          <w:tcPr>
            <w:tcW w:w="2189" w:type="dxa"/>
            <w:vMerge w:val="restart"/>
            <w:tcBorders>
              <w:right w:val="single" w:sz="4" w:space="0" w:color="auto"/>
            </w:tcBorders>
            <w:shd w:val="clear" w:color="auto" w:fill="FFFFFF"/>
            <w:vAlign w:val="center"/>
          </w:tcPr>
          <w:p w:rsidR="00C34066" w:rsidRPr="00F64312" w:rsidRDefault="00C34066" w:rsidP="00E944B3">
            <w:pPr>
              <w:spacing w:line="180" w:lineRule="exact"/>
              <w:contextualSpacing/>
              <w:jc w:val="left"/>
              <w:rPr>
                <w:color w:val="auto"/>
                <w:sz w:val="18"/>
              </w:rPr>
            </w:pPr>
            <w:r>
              <w:rPr>
                <w:color w:val="auto"/>
                <w:sz w:val="18"/>
              </w:rPr>
              <w:t>Chronic Neck Pain</w:t>
            </w:r>
            <w:r w:rsidR="00E944B3">
              <w:rPr>
                <w:color w:val="auto"/>
                <w:sz w:val="18"/>
              </w:rPr>
              <w:t>…</w:t>
            </w:r>
          </w:p>
        </w:tc>
        <w:tc>
          <w:tcPr>
            <w:tcW w:w="1088" w:type="dxa"/>
            <w:vMerge w:val="restart"/>
            <w:tcBorders>
              <w:left w:val="single" w:sz="4" w:space="0" w:color="auto"/>
            </w:tcBorders>
            <w:shd w:val="clear" w:color="auto" w:fill="FFFFFF"/>
            <w:vAlign w:val="center"/>
          </w:tcPr>
          <w:p w:rsidR="00C34066" w:rsidRPr="00F64312" w:rsidRDefault="00C34066" w:rsidP="006B690F">
            <w:pPr>
              <w:spacing w:line="180" w:lineRule="exact"/>
              <w:contextualSpacing/>
              <w:rPr>
                <w:color w:val="auto"/>
                <w:sz w:val="18"/>
              </w:rPr>
            </w:pPr>
            <w:r>
              <w:rPr>
                <w:color w:val="auto"/>
                <w:sz w:val="18"/>
              </w:rPr>
              <w:t>5242-5237</w:t>
            </w:r>
          </w:p>
        </w:tc>
        <w:tc>
          <w:tcPr>
            <w:tcW w:w="720" w:type="dxa"/>
            <w:vMerge w:val="restart"/>
            <w:tcBorders>
              <w:right w:val="thinThickThinSmallGap" w:sz="24" w:space="0" w:color="auto"/>
            </w:tcBorders>
            <w:shd w:val="clear" w:color="auto" w:fill="FFFFFF"/>
            <w:vAlign w:val="center"/>
          </w:tcPr>
          <w:p w:rsidR="00C34066" w:rsidRPr="00F64312" w:rsidRDefault="00C34066" w:rsidP="006B690F">
            <w:pPr>
              <w:spacing w:line="180" w:lineRule="exact"/>
              <w:rPr>
                <w:color w:val="auto"/>
                <w:sz w:val="18"/>
              </w:rPr>
            </w:pPr>
            <w:r>
              <w:rPr>
                <w:color w:val="auto"/>
                <w:sz w:val="18"/>
              </w:rPr>
              <w:t>10%</w:t>
            </w:r>
          </w:p>
        </w:tc>
        <w:tc>
          <w:tcPr>
            <w:tcW w:w="2648" w:type="dxa"/>
            <w:tcBorders>
              <w:left w:val="thinThickThinSmallGap" w:sz="24" w:space="0" w:color="auto"/>
            </w:tcBorders>
            <w:shd w:val="clear" w:color="auto" w:fill="FFFFFF"/>
            <w:vAlign w:val="center"/>
          </w:tcPr>
          <w:p w:rsidR="00C34066" w:rsidRPr="00F64312" w:rsidRDefault="00C34066" w:rsidP="0017172C">
            <w:pPr>
              <w:spacing w:line="180" w:lineRule="exact"/>
              <w:contextualSpacing/>
              <w:jc w:val="left"/>
              <w:rPr>
                <w:color w:val="auto"/>
                <w:sz w:val="18"/>
              </w:rPr>
            </w:pPr>
            <w:r>
              <w:rPr>
                <w:color w:val="auto"/>
                <w:sz w:val="18"/>
              </w:rPr>
              <w:t>DJD and DDD, Cervical Spine</w:t>
            </w:r>
          </w:p>
        </w:tc>
        <w:tc>
          <w:tcPr>
            <w:tcW w:w="773" w:type="dxa"/>
            <w:shd w:val="clear" w:color="auto" w:fill="FFFFFF"/>
            <w:vAlign w:val="center"/>
          </w:tcPr>
          <w:p w:rsidR="00C34066" w:rsidRPr="00F64312" w:rsidRDefault="00C34066" w:rsidP="0017172C">
            <w:pPr>
              <w:spacing w:line="180" w:lineRule="exact"/>
              <w:contextualSpacing/>
              <w:rPr>
                <w:color w:val="auto"/>
                <w:sz w:val="18"/>
              </w:rPr>
            </w:pPr>
            <w:r>
              <w:rPr>
                <w:color w:val="auto"/>
                <w:sz w:val="18"/>
              </w:rPr>
              <w:t>5243</w:t>
            </w:r>
          </w:p>
        </w:tc>
        <w:tc>
          <w:tcPr>
            <w:tcW w:w="810" w:type="dxa"/>
            <w:shd w:val="clear" w:color="auto" w:fill="FFFFFF"/>
            <w:vAlign w:val="center"/>
          </w:tcPr>
          <w:p w:rsidR="00C34066" w:rsidRPr="00F64312" w:rsidRDefault="00C34066" w:rsidP="0017172C">
            <w:pPr>
              <w:spacing w:line="180" w:lineRule="exact"/>
              <w:contextualSpacing/>
              <w:rPr>
                <w:color w:val="auto"/>
                <w:sz w:val="18"/>
              </w:rPr>
            </w:pPr>
            <w:r>
              <w:rPr>
                <w:color w:val="auto"/>
                <w:sz w:val="18"/>
              </w:rPr>
              <w:t>10%</w:t>
            </w:r>
            <w:r w:rsidR="005E42E7">
              <w:rPr>
                <w:color w:val="auto"/>
                <w:sz w:val="18"/>
              </w:rPr>
              <w:t>*</w:t>
            </w:r>
          </w:p>
        </w:tc>
        <w:tc>
          <w:tcPr>
            <w:tcW w:w="1080" w:type="dxa"/>
            <w:shd w:val="clear" w:color="auto" w:fill="FFFFFF"/>
            <w:vAlign w:val="center"/>
          </w:tcPr>
          <w:p w:rsidR="00C34066" w:rsidRPr="003A2A2D" w:rsidRDefault="00C34066" w:rsidP="0017172C">
            <w:pPr>
              <w:spacing w:line="180" w:lineRule="exact"/>
              <w:contextualSpacing/>
              <w:rPr>
                <w:color w:val="auto"/>
                <w:sz w:val="18"/>
              </w:rPr>
            </w:pPr>
            <w:r w:rsidRPr="003A2A2D">
              <w:rPr>
                <w:color w:val="auto"/>
                <w:sz w:val="18"/>
              </w:rPr>
              <w:t>20050519</w:t>
            </w:r>
          </w:p>
        </w:tc>
      </w:tr>
      <w:tr w:rsidR="00C34066" w:rsidRPr="00F64312" w:rsidTr="00E944B3">
        <w:trPr>
          <w:trHeight w:val="118"/>
          <w:jc w:val="center"/>
        </w:trPr>
        <w:tc>
          <w:tcPr>
            <w:tcW w:w="2189" w:type="dxa"/>
            <w:vMerge/>
            <w:tcBorders>
              <w:right w:val="single" w:sz="4" w:space="0" w:color="auto"/>
            </w:tcBorders>
            <w:shd w:val="clear" w:color="auto" w:fill="FFFFFF"/>
            <w:vAlign w:val="center"/>
          </w:tcPr>
          <w:p w:rsidR="00C34066" w:rsidRDefault="00C34066" w:rsidP="006B690F">
            <w:pPr>
              <w:spacing w:line="180" w:lineRule="exact"/>
              <w:contextualSpacing/>
              <w:jc w:val="left"/>
              <w:rPr>
                <w:color w:val="auto"/>
                <w:sz w:val="18"/>
              </w:rPr>
            </w:pPr>
          </w:p>
        </w:tc>
        <w:tc>
          <w:tcPr>
            <w:tcW w:w="1088" w:type="dxa"/>
            <w:vMerge/>
            <w:tcBorders>
              <w:left w:val="single" w:sz="4" w:space="0" w:color="auto"/>
            </w:tcBorders>
            <w:shd w:val="clear" w:color="auto" w:fill="FFFFFF"/>
            <w:vAlign w:val="center"/>
          </w:tcPr>
          <w:p w:rsidR="00C34066" w:rsidRDefault="00C34066"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C34066" w:rsidRDefault="00C34066" w:rsidP="006B690F">
            <w:pPr>
              <w:spacing w:line="180" w:lineRule="exact"/>
              <w:rPr>
                <w:color w:val="auto"/>
                <w:sz w:val="18"/>
              </w:rPr>
            </w:pPr>
          </w:p>
        </w:tc>
        <w:tc>
          <w:tcPr>
            <w:tcW w:w="2648" w:type="dxa"/>
            <w:tcBorders>
              <w:left w:val="thinThickThinSmallGap" w:sz="24" w:space="0" w:color="auto"/>
            </w:tcBorders>
            <w:shd w:val="clear" w:color="auto" w:fill="FFFFFF"/>
            <w:vAlign w:val="center"/>
          </w:tcPr>
          <w:p w:rsidR="00C34066" w:rsidRDefault="00942A3A" w:rsidP="00080DEB">
            <w:pPr>
              <w:spacing w:line="180" w:lineRule="exact"/>
              <w:contextualSpacing/>
              <w:jc w:val="left"/>
              <w:rPr>
                <w:color w:val="auto"/>
                <w:sz w:val="18"/>
              </w:rPr>
            </w:pPr>
            <w:r>
              <w:rPr>
                <w:color w:val="auto"/>
                <w:sz w:val="18"/>
              </w:rPr>
              <w:t xml:space="preserve">Cervical Neuritis, </w:t>
            </w:r>
            <w:r w:rsidR="00080DEB">
              <w:rPr>
                <w:color w:val="auto"/>
                <w:sz w:val="18"/>
              </w:rPr>
              <w:t>RUE</w:t>
            </w:r>
          </w:p>
        </w:tc>
        <w:tc>
          <w:tcPr>
            <w:tcW w:w="773" w:type="dxa"/>
            <w:shd w:val="clear" w:color="auto" w:fill="FFFFFF"/>
            <w:vAlign w:val="center"/>
          </w:tcPr>
          <w:p w:rsidR="00C34066" w:rsidRDefault="00C34066" w:rsidP="0017172C">
            <w:pPr>
              <w:spacing w:line="180" w:lineRule="exact"/>
              <w:contextualSpacing/>
              <w:rPr>
                <w:color w:val="auto"/>
                <w:sz w:val="18"/>
              </w:rPr>
            </w:pPr>
            <w:r>
              <w:rPr>
                <w:color w:val="auto"/>
                <w:sz w:val="18"/>
              </w:rPr>
              <w:t>8516</w:t>
            </w:r>
          </w:p>
        </w:tc>
        <w:tc>
          <w:tcPr>
            <w:tcW w:w="810" w:type="dxa"/>
            <w:shd w:val="clear" w:color="auto" w:fill="FFFFFF"/>
            <w:vAlign w:val="center"/>
          </w:tcPr>
          <w:p w:rsidR="00C34066" w:rsidRDefault="00C34066" w:rsidP="0017172C">
            <w:pPr>
              <w:spacing w:line="180" w:lineRule="exact"/>
              <w:contextualSpacing/>
              <w:rPr>
                <w:color w:val="auto"/>
                <w:sz w:val="18"/>
              </w:rPr>
            </w:pPr>
            <w:r>
              <w:rPr>
                <w:color w:val="auto"/>
                <w:sz w:val="18"/>
              </w:rPr>
              <w:t>10%</w:t>
            </w:r>
            <w:r w:rsidR="005E42E7">
              <w:rPr>
                <w:color w:val="auto"/>
                <w:sz w:val="18"/>
              </w:rPr>
              <w:t>*</w:t>
            </w:r>
          </w:p>
        </w:tc>
        <w:tc>
          <w:tcPr>
            <w:tcW w:w="1080" w:type="dxa"/>
            <w:shd w:val="clear" w:color="auto" w:fill="FFFFFF"/>
            <w:vAlign w:val="center"/>
          </w:tcPr>
          <w:p w:rsidR="00C34066" w:rsidRPr="003A2A2D" w:rsidRDefault="00C34066" w:rsidP="0017172C">
            <w:pPr>
              <w:spacing w:line="180" w:lineRule="exact"/>
              <w:contextualSpacing/>
              <w:rPr>
                <w:color w:val="auto"/>
                <w:sz w:val="18"/>
              </w:rPr>
            </w:pPr>
            <w:r>
              <w:rPr>
                <w:color w:val="auto"/>
                <w:sz w:val="18"/>
              </w:rPr>
              <w:t>20050519</w:t>
            </w:r>
          </w:p>
        </w:tc>
      </w:tr>
      <w:tr w:rsidR="005B54A8" w:rsidRPr="00F64312" w:rsidTr="00E944B3">
        <w:trPr>
          <w:trHeight w:val="180"/>
          <w:jc w:val="center"/>
        </w:trPr>
        <w:tc>
          <w:tcPr>
            <w:tcW w:w="2189" w:type="dxa"/>
            <w:vMerge/>
            <w:tcBorders>
              <w:right w:val="single" w:sz="4" w:space="0" w:color="auto"/>
            </w:tcBorders>
            <w:shd w:val="clear" w:color="auto" w:fill="FFFFFF"/>
            <w:vAlign w:val="center"/>
          </w:tcPr>
          <w:p w:rsidR="005B54A8" w:rsidRDefault="005B54A8" w:rsidP="006B690F">
            <w:pPr>
              <w:spacing w:line="180" w:lineRule="exact"/>
              <w:contextualSpacing/>
              <w:jc w:val="left"/>
              <w:rPr>
                <w:color w:val="auto"/>
                <w:sz w:val="18"/>
              </w:rPr>
            </w:pPr>
          </w:p>
        </w:tc>
        <w:tc>
          <w:tcPr>
            <w:tcW w:w="1088" w:type="dxa"/>
            <w:vMerge/>
            <w:tcBorders>
              <w:left w:val="single" w:sz="4" w:space="0" w:color="auto"/>
            </w:tcBorders>
            <w:shd w:val="clear" w:color="auto" w:fill="FFFFFF"/>
            <w:vAlign w:val="center"/>
          </w:tcPr>
          <w:p w:rsidR="005B54A8" w:rsidRDefault="005B54A8"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B54A8" w:rsidRDefault="005B54A8" w:rsidP="006B690F">
            <w:pPr>
              <w:spacing w:line="180" w:lineRule="exact"/>
              <w:rPr>
                <w:color w:val="auto"/>
                <w:sz w:val="18"/>
              </w:rPr>
            </w:pPr>
          </w:p>
        </w:tc>
        <w:tc>
          <w:tcPr>
            <w:tcW w:w="2648" w:type="dxa"/>
            <w:vMerge w:val="restart"/>
            <w:tcBorders>
              <w:left w:val="thinThickThinSmallGap" w:sz="24" w:space="0" w:color="auto"/>
              <w:right w:val="single" w:sz="4" w:space="0" w:color="auto"/>
            </w:tcBorders>
            <w:shd w:val="clear" w:color="auto" w:fill="FFFFFF"/>
            <w:vAlign w:val="center"/>
          </w:tcPr>
          <w:p w:rsidR="005B54A8" w:rsidRDefault="005B54A8" w:rsidP="00080DEB">
            <w:pPr>
              <w:spacing w:line="180" w:lineRule="exact"/>
              <w:contextualSpacing/>
              <w:jc w:val="left"/>
              <w:rPr>
                <w:color w:val="auto"/>
                <w:sz w:val="18"/>
              </w:rPr>
            </w:pPr>
            <w:r>
              <w:rPr>
                <w:color w:val="auto"/>
                <w:sz w:val="18"/>
              </w:rPr>
              <w:t xml:space="preserve">Cervical Neuritis, </w:t>
            </w:r>
            <w:r w:rsidR="00080DEB">
              <w:rPr>
                <w:color w:val="auto"/>
                <w:sz w:val="18"/>
              </w:rPr>
              <w:t>LUE</w:t>
            </w:r>
          </w:p>
        </w:tc>
        <w:tc>
          <w:tcPr>
            <w:tcW w:w="773" w:type="dxa"/>
            <w:vMerge w:val="restart"/>
            <w:tcBorders>
              <w:left w:val="single" w:sz="4" w:space="0" w:color="auto"/>
              <w:right w:val="single" w:sz="4" w:space="0" w:color="auto"/>
            </w:tcBorders>
            <w:shd w:val="clear" w:color="auto" w:fill="FFFFFF"/>
            <w:vAlign w:val="center"/>
          </w:tcPr>
          <w:p w:rsidR="005B54A8" w:rsidRDefault="005B54A8" w:rsidP="0002051A">
            <w:pPr>
              <w:spacing w:line="180" w:lineRule="exact"/>
              <w:contextualSpacing/>
              <w:rPr>
                <w:color w:val="auto"/>
                <w:sz w:val="18"/>
              </w:rPr>
            </w:pPr>
            <w:r>
              <w:rPr>
                <w:color w:val="auto"/>
                <w:sz w:val="18"/>
              </w:rPr>
              <w:t>8516</w:t>
            </w:r>
          </w:p>
        </w:tc>
        <w:tc>
          <w:tcPr>
            <w:tcW w:w="810" w:type="dxa"/>
            <w:vMerge w:val="restart"/>
            <w:tcBorders>
              <w:left w:val="single" w:sz="4" w:space="0" w:color="auto"/>
            </w:tcBorders>
            <w:shd w:val="clear" w:color="auto" w:fill="FFFFFF"/>
            <w:vAlign w:val="center"/>
          </w:tcPr>
          <w:p w:rsidR="005B54A8" w:rsidRDefault="005B54A8" w:rsidP="0002051A">
            <w:pPr>
              <w:spacing w:line="180" w:lineRule="exact"/>
              <w:contextualSpacing/>
              <w:rPr>
                <w:color w:val="auto"/>
                <w:sz w:val="18"/>
              </w:rPr>
            </w:pPr>
            <w:r>
              <w:rPr>
                <w:color w:val="auto"/>
                <w:sz w:val="18"/>
              </w:rPr>
              <w:t>10%*</w:t>
            </w:r>
          </w:p>
        </w:tc>
        <w:tc>
          <w:tcPr>
            <w:tcW w:w="1080" w:type="dxa"/>
            <w:vMerge w:val="restart"/>
            <w:shd w:val="clear" w:color="auto" w:fill="FFFFFF"/>
            <w:vAlign w:val="center"/>
          </w:tcPr>
          <w:p w:rsidR="005B54A8" w:rsidRDefault="005B54A8" w:rsidP="0017172C">
            <w:pPr>
              <w:spacing w:line="180" w:lineRule="exact"/>
              <w:contextualSpacing/>
              <w:rPr>
                <w:color w:val="auto"/>
                <w:sz w:val="18"/>
              </w:rPr>
            </w:pPr>
            <w:r>
              <w:rPr>
                <w:color w:val="auto"/>
                <w:sz w:val="18"/>
              </w:rPr>
              <w:t>20050519</w:t>
            </w:r>
          </w:p>
        </w:tc>
      </w:tr>
      <w:tr w:rsidR="005B54A8" w:rsidRPr="00F64312" w:rsidTr="00E944B3">
        <w:trPr>
          <w:trHeight w:val="118"/>
          <w:jc w:val="center"/>
        </w:trPr>
        <w:tc>
          <w:tcPr>
            <w:tcW w:w="2189" w:type="dxa"/>
            <w:tcBorders>
              <w:right w:val="single" w:sz="4" w:space="0" w:color="auto"/>
            </w:tcBorders>
            <w:shd w:val="clear" w:color="auto" w:fill="FFFFFF"/>
            <w:vAlign w:val="center"/>
          </w:tcPr>
          <w:p w:rsidR="005B54A8" w:rsidRPr="00F64312" w:rsidRDefault="005B54A8" w:rsidP="006B690F">
            <w:pPr>
              <w:spacing w:line="180" w:lineRule="exact"/>
              <w:contextualSpacing/>
              <w:jc w:val="left"/>
              <w:rPr>
                <w:color w:val="auto"/>
                <w:sz w:val="18"/>
              </w:rPr>
            </w:pPr>
            <w:r>
              <w:rPr>
                <w:color w:val="auto"/>
                <w:sz w:val="18"/>
              </w:rPr>
              <w:t>Intermittent Left Arm Pain</w:t>
            </w:r>
          </w:p>
        </w:tc>
        <w:tc>
          <w:tcPr>
            <w:tcW w:w="1808" w:type="dxa"/>
            <w:gridSpan w:val="2"/>
            <w:tcBorders>
              <w:left w:val="single" w:sz="4" w:space="0" w:color="auto"/>
              <w:right w:val="thinThickThinSmallGap" w:sz="24" w:space="0" w:color="auto"/>
            </w:tcBorders>
            <w:shd w:val="clear" w:color="auto" w:fill="FFFFFF"/>
            <w:vAlign w:val="center"/>
          </w:tcPr>
          <w:p w:rsidR="005B54A8" w:rsidRPr="00F64312" w:rsidRDefault="005B54A8" w:rsidP="006B690F">
            <w:pPr>
              <w:spacing w:line="180" w:lineRule="exact"/>
              <w:rPr>
                <w:color w:val="auto"/>
                <w:sz w:val="18"/>
              </w:rPr>
            </w:pPr>
            <w:r>
              <w:rPr>
                <w:color w:val="auto"/>
                <w:sz w:val="18"/>
              </w:rPr>
              <w:t>Not Unfitting</w:t>
            </w:r>
          </w:p>
        </w:tc>
        <w:tc>
          <w:tcPr>
            <w:tcW w:w="2648" w:type="dxa"/>
            <w:vMerge/>
            <w:tcBorders>
              <w:left w:val="thinThickThinSmallGap" w:sz="24" w:space="0" w:color="auto"/>
              <w:right w:val="single" w:sz="4" w:space="0" w:color="auto"/>
            </w:tcBorders>
            <w:shd w:val="clear" w:color="auto" w:fill="FFFFFF"/>
            <w:vAlign w:val="center"/>
          </w:tcPr>
          <w:p w:rsidR="005B54A8" w:rsidRPr="00F64312" w:rsidRDefault="005B54A8" w:rsidP="00677A07">
            <w:pPr>
              <w:spacing w:line="180" w:lineRule="exact"/>
              <w:contextualSpacing/>
              <w:jc w:val="left"/>
              <w:rPr>
                <w:color w:val="auto"/>
                <w:sz w:val="18"/>
              </w:rPr>
            </w:pPr>
          </w:p>
        </w:tc>
        <w:tc>
          <w:tcPr>
            <w:tcW w:w="773" w:type="dxa"/>
            <w:vMerge/>
            <w:tcBorders>
              <w:left w:val="single" w:sz="4" w:space="0" w:color="auto"/>
              <w:right w:val="single" w:sz="4" w:space="0" w:color="auto"/>
            </w:tcBorders>
            <w:shd w:val="clear" w:color="auto" w:fill="FFFFFF"/>
            <w:vAlign w:val="center"/>
          </w:tcPr>
          <w:p w:rsidR="005B54A8" w:rsidRPr="00F64312" w:rsidRDefault="005B54A8" w:rsidP="00677A07">
            <w:pPr>
              <w:spacing w:line="180" w:lineRule="exact"/>
              <w:contextualSpacing/>
              <w:jc w:val="left"/>
              <w:rPr>
                <w:color w:val="auto"/>
                <w:sz w:val="18"/>
              </w:rPr>
            </w:pPr>
          </w:p>
        </w:tc>
        <w:tc>
          <w:tcPr>
            <w:tcW w:w="810" w:type="dxa"/>
            <w:vMerge/>
            <w:tcBorders>
              <w:left w:val="single" w:sz="4" w:space="0" w:color="auto"/>
            </w:tcBorders>
            <w:shd w:val="clear" w:color="auto" w:fill="FFFFFF"/>
            <w:vAlign w:val="center"/>
          </w:tcPr>
          <w:p w:rsidR="005B54A8" w:rsidRPr="00F64312" w:rsidRDefault="005B54A8" w:rsidP="00677A07">
            <w:pPr>
              <w:spacing w:line="180" w:lineRule="exact"/>
              <w:contextualSpacing/>
              <w:jc w:val="left"/>
              <w:rPr>
                <w:color w:val="auto"/>
                <w:sz w:val="18"/>
              </w:rPr>
            </w:pPr>
          </w:p>
        </w:tc>
        <w:tc>
          <w:tcPr>
            <w:tcW w:w="1080" w:type="dxa"/>
            <w:vMerge/>
            <w:shd w:val="clear" w:color="auto" w:fill="FFFFFF"/>
            <w:vAlign w:val="center"/>
          </w:tcPr>
          <w:p w:rsidR="005B54A8" w:rsidRPr="003A2A2D" w:rsidRDefault="005B54A8" w:rsidP="0017172C">
            <w:pPr>
              <w:spacing w:line="180" w:lineRule="exact"/>
              <w:contextualSpacing/>
              <w:rPr>
                <w:color w:val="auto"/>
                <w:sz w:val="18"/>
              </w:rPr>
            </w:pPr>
          </w:p>
        </w:tc>
      </w:tr>
      <w:tr w:rsidR="003A2A2D" w:rsidRPr="00F64312" w:rsidTr="00E944B3">
        <w:trPr>
          <w:trHeight w:val="118"/>
          <w:jc w:val="center"/>
        </w:trPr>
        <w:tc>
          <w:tcPr>
            <w:tcW w:w="2189" w:type="dxa"/>
            <w:tcBorders>
              <w:right w:val="single" w:sz="4" w:space="0" w:color="auto"/>
            </w:tcBorders>
            <w:shd w:val="clear" w:color="auto" w:fill="FFFFFF"/>
            <w:vAlign w:val="center"/>
          </w:tcPr>
          <w:p w:rsidR="003A2A2D" w:rsidRPr="00F64312" w:rsidRDefault="003A2A2D" w:rsidP="006B690F">
            <w:pPr>
              <w:spacing w:line="180" w:lineRule="exact"/>
              <w:contextualSpacing/>
              <w:jc w:val="left"/>
              <w:rPr>
                <w:color w:val="auto"/>
                <w:sz w:val="18"/>
              </w:rPr>
            </w:pPr>
            <w:r>
              <w:rPr>
                <w:color w:val="auto"/>
                <w:sz w:val="18"/>
              </w:rPr>
              <w:t>Depressive D/O, NOS</w:t>
            </w:r>
          </w:p>
        </w:tc>
        <w:tc>
          <w:tcPr>
            <w:tcW w:w="1808" w:type="dxa"/>
            <w:gridSpan w:val="2"/>
            <w:tcBorders>
              <w:left w:val="single" w:sz="4" w:space="0" w:color="auto"/>
              <w:right w:val="thinThickThinSmallGap" w:sz="24" w:space="0" w:color="auto"/>
            </w:tcBorders>
            <w:shd w:val="clear" w:color="auto" w:fill="FFFFFF"/>
            <w:vAlign w:val="center"/>
          </w:tcPr>
          <w:p w:rsidR="003A2A2D" w:rsidRPr="00F64312" w:rsidRDefault="003A2A2D" w:rsidP="006B690F">
            <w:pPr>
              <w:spacing w:line="180" w:lineRule="exact"/>
              <w:rPr>
                <w:color w:val="auto"/>
                <w:sz w:val="18"/>
              </w:rPr>
            </w:pPr>
            <w:r>
              <w:rPr>
                <w:color w:val="auto"/>
                <w:sz w:val="18"/>
              </w:rPr>
              <w:t>Not Unfitting</w:t>
            </w:r>
          </w:p>
        </w:tc>
        <w:tc>
          <w:tcPr>
            <w:tcW w:w="2648" w:type="dxa"/>
            <w:tcBorders>
              <w:left w:val="thinThickThinSmallGap" w:sz="24" w:space="0" w:color="auto"/>
              <w:right w:val="single" w:sz="4" w:space="0" w:color="auto"/>
            </w:tcBorders>
            <w:shd w:val="clear" w:color="auto" w:fill="FFFFFF"/>
            <w:vAlign w:val="center"/>
          </w:tcPr>
          <w:p w:rsidR="003A2A2D" w:rsidRPr="00F64312" w:rsidRDefault="00C309A8" w:rsidP="0017172C">
            <w:pPr>
              <w:spacing w:line="180" w:lineRule="exact"/>
              <w:contextualSpacing/>
              <w:jc w:val="left"/>
              <w:rPr>
                <w:color w:val="auto"/>
                <w:sz w:val="18"/>
              </w:rPr>
            </w:pPr>
            <w:r>
              <w:rPr>
                <w:color w:val="auto"/>
                <w:sz w:val="18"/>
              </w:rPr>
              <w:t>Major Depressive Disorder</w:t>
            </w:r>
          </w:p>
        </w:tc>
        <w:tc>
          <w:tcPr>
            <w:tcW w:w="773" w:type="dxa"/>
            <w:tcBorders>
              <w:left w:val="single" w:sz="4" w:space="0" w:color="auto"/>
              <w:right w:val="single" w:sz="4" w:space="0" w:color="auto"/>
            </w:tcBorders>
            <w:shd w:val="clear" w:color="auto" w:fill="FFFFFF"/>
            <w:vAlign w:val="center"/>
          </w:tcPr>
          <w:p w:rsidR="003A2A2D" w:rsidRPr="00F64312" w:rsidRDefault="00C309A8" w:rsidP="0017172C">
            <w:pPr>
              <w:spacing w:line="180" w:lineRule="exact"/>
              <w:contextualSpacing/>
              <w:rPr>
                <w:color w:val="auto"/>
                <w:sz w:val="18"/>
              </w:rPr>
            </w:pPr>
            <w:r>
              <w:rPr>
                <w:color w:val="auto"/>
                <w:sz w:val="18"/>
              </w:rPr>
              <w:t>9434</w:t>
            </w:r>
          </w:p>
        </w:tc>
        <w:tc>
          <w:tcPr>
            <w:tcW w:w="810" w:type="dxa"/>
            <w:tcBorders>
              <w:left w:val="single" w:sz="4" w:space="0" w:color="auto"/>
            </w:tcBorders>
            <w:shd w:val="clear" w:color="auto" w:fill="FFFFFF"/>
            <w:vAlign w:val="center"/>
          </w:tcPr>
          <w:p w:rsidR="003A2A2D" w:rsidRPr="00F64312" w:rsidRDefault="00C309A8" w:rsidP="0017172C">
            <w:pPr>
              <w:spacing w:line="180" w:lineRule="exact"/>
              <w:contextualSpacing/>
              <w:rPr>
                <w:color w:val="auto"/>
                <w:sz w:val="18"/>
              </w:rPr>
            </w:pPr>
            <w:r>
              <w:rPr>
                <w:color w:val="auto"/>
                <w:sz w:val="18"/>
              </w:rPr>
              <w:t>10%</w:t>
            </w:r>
            <w:r w:rsidR="005E42E7">
              <w:rPr>
                <w:color w:val="auto"/>
                <w:sz w:val="18"/>
              </w:rPr>
              <w:t>*</w:t>
            </w:r>
            <w:r w:rsidR="000A1728">
              <w:rPr>
                <w:color w:val="auto"/>
                <w:sz w:val="18"/>
              </w:rPr>
              <w:t>*</w:t>
            </w:r>
          </w:p>
        </w:tc>
        <w:tc>
          <w:tcPr>
            <w:tcW w:w="1080" w:type="dxa"/>
            <w:shd w:val="clear" w:color="auto" w:fill="FFFFFF"/>
            <w:vAlign w:val="center"/>
          </w:tcPr>
          <w:p w:rsidR="003A2A2D" w:rsidRPr="003A2A2D" w:rsidRDefault="003A2A2D" w:rsidP="0017172C">
            <w:pPr>
              <w:spacing w:line="180" w:lineRule="exact"/>
              <w:contextualSpacing/>
              <w:rPr>
                <w:color w:val="auto"/>
                <w:sz w:val="18"/>
              </w:rPr>
            </w:pPr>
            <w:r>
              <w:rPr>
                <w:color w:val="auto"/>
                <w:sz w:val="18"/>
              </w:rPr>
              <w:t>20050519</w:t>
            </w:r>
          </w:p>
        </w:tc>
      </w:tr>
      <w:tr w:rsidR="0008023D" w:rsidRPr="00F64312" w:rsidTr="00E944B3">
        <w:trPr>
          <w:trHeight w:val="97"/>
          <w:jc w:val="center"/>
        </w:trPr>
        <w:tc>
          <w:tcPr>
            <w:tcW w:w="2189" w:type="dxa"/>
            <w:tcBorders>
              <w:right w:val="single" w:sz="4" w:space="0" w:color="auto"/>
            </w:tcBorders>
            <w:shd w:val="clear" w:color="auto" w:fill="FFFFFF"/>
            <w:vAlign w:val="center"/>
          </w:tcPr>
          <w:p w:rsidR="0008023D" w:rsidRPr="00F64312" w:rsidRDefault="0008023D" w:rsidP="006B690F">
            <w:pPr>
              <w:spacing w:line="180" w:lineRule="exact"/>
              <w:contextualSpacing/>
              <w:jc w:val="left"/>
              <w:rPr>
                <w:rFonts w:cs="Calibri"/>
                <w:color w:val="auto"/>
                <w:sz w:val="18"/>
              </w:rPr>
            </w:pPr>
            <w:r>
              <w:rPr>
                <w:rFonts w:cs="Calibri"/>
                <w:color w:val="auto"/>
                <w:sz w:val="18"/>
              </w:rPr>
              <w:t>GERD</w:t>
            </w:r>
          </w:p>
        </w:tc>
        <w:tc>
          <w:tcPr>
            <w:tcW w:w="1808" w:type="dxa"/>
            <w:gridSpan w:val="2"/>
            <w:tcBorders>
              <w:left w:val="single" w:sz="4" w:space="0" w:color="auto"/>
              <w:right w:val="thinThickThinSmallGap" w:sz="24" w:space="0" w:color="auto"/>
            </w:tcBorders>
            <w:shd w:val="clear" w:color="auto" w:fill="FFFFFF"/>
            <w:vAlign w:val="center"/>
          </w:tcPr>
          <w:p w:rsidR="0008023D" w:rsidRPr="00F64312" w:rsidRDefault="0008023D" w:rsidP="006B690F">
            <w:pPr>
              <w:spacing w:line="180" w:lineRule="exact"/>
              <w:contextualSpacing/>
              <w:rPr>
                <w:rFonts w:cs="Calibri"/>
                <w:color w:val="auto"/>
                <w:sz w:val="18"/>
              </w:rPr>
            </w:pPr>
            <w:r w:rsidRPr="00F64312">
              <w:rPr>
                <w:color w:val="auto"/>
                <w:sz w:val="18"/>
              </w:rPr>
              <w:t>Not Unfitting</w:t>
            </w:r>
          </w:p>
        </w:tc>
        <w:tc>
          <w:tcPr>
            <w:tcW w:w="2648" w:type="dxa"/>
            <w:tcBorders>
              <w:left w:val="thinThickThinSmallGap" w:sz="24" w:space="0" w:color="auto"/>
              <w:right w:val="single" w:sz="4" w:space="0" w:color="auto"/>
            </w:tcBorders>
            <w:shd w:val="clear" w:color="auto" w:fill="FFFFFF"/>
            <w:vAlign w:val="center"/>
          </w:tcPr>
          <w:p w:rsidR="0008023D" w:rsidRPr="00F64312" w:rsidRDefault="00051D4B" w:rsidP="0008023D">
            <w:pPr>
              <w:spacing w:line="180" w:lineRule="exact"/>
              <w:contextualSpacing/>
              <w:jc w:val="left"/>
              <w:rPr>
                <w:rFonts w:cs="Calibri"/>
                <w:color w:val="auto"/>
                <w:sz w:val="18"/>
              </w:rPr>
            </w:pPr>
            <w:r>
              <w:rPr>
                <w:rFonts w:cs="Calibri"/>
                <w:color w:val="auto"/>
                <w:sz w:val="18"/>
              </w:rPr>
              <w:t>GERD</w:t>
            </w:r>
          </w:p>
        </w:tc>
        <w:tc>
          <w:tcPr>
            <w:tcW w:w="773" w:type="dxa"/>
            <w:tcBorders>
              <w:left w:val="single" w:sz="4" w:space="0" w:color="auto"/>
              <w:right w:val="single" w:sz="4" w:space="0" w:color="auto"/>
            </w:tcBorders>
            <w:shd w:val="clear" w:color="auto" w:fill="FFFFFF"/>
            <w:vAlign w:val="center"/>
          </w:tcPr>
          <w:p w:rsidR="0008023D" w:rsidRPr="00F64312" w:rsidRDefault="00051D4B" w:rsidP="00657E54">
            <w:pPr>
              <w:spacing w:line="180" w:lineRule="exact"/>
              <w:contextualSpacing/>
              <w:rPr>
                <w:color w:val="auto"/>
                <w:sz w:val="18"/>
              </w:rPr>
            </w:pPr>
            <w:r>
              <w:rPr>
                <w:color w:val="auto"/>
                <w:sz w:val="18"/>
              </w:rPr>
              <w:t>7346</w:t>
            </w:r>
          </w:p>
        </w:tc>
        <w:tc>
          <w:tcPr>
            <w:tcW w:w="810" w:type="dxa"/>
            <w:tcBorders>
              <w:left w:val="single" w:sz="4" w:space="0" w:color="auto"/>
            </w:tcBorders>
            <w:shd w:val="clear" w:color="auto" w:fill="FFFFFF"/>
            <w:vAlign w:val="center"/>
          </w:tcPr>
          <w:p w:rsidR="0008023D" w:rsidRPr="00F64312" w:rsidRDefault="00051D4B" w:rsidP="00657E54">
            <w:pPr>
              <w:spacing w:line="180" w:lineRule="exact"/>
              <w:contextualSpacing/>
              <w:rPr>
                <w:color w:val="auto"/>
                <w:sz w:val="18"/>
              </w:rPr>
            </w:pPr>
            <w:r>
              <w:rPr>
                <w:color w:val="auto"/>
                <w:sz w:val="18"/>
              </w:rPr>
              <w:t>10%</w:t>
            </w:r>
            <w:r w:rsidR="005E42E7">
              <w:rPr>
                <w:color w:val="auto"/>
                <w:sz w:val="18"/>
              </w:rPr>
              <w:t>*</w:t>
            </w:r>
          </w:p>
        </w:tc>
        <w:tc>
          <w:tcPr>
            <w:tcW w:w="1080" w:type="dxa"/>
            <w:shd w:val="clear" w:color="auto" w:fill="FFFFFF"/>
            <w:vAlign w:val="center"/>
          </w:tcPr>
          <w:p w:rsidR="0008023D" w:rsidRPr="003A2A2D" w:rsidRDefault="0008023D" w:rsidP="0017172C">
            <w:pPr>
              <w:spacing w:line="180" w:lineRule="exact"/>
              <w:contextualSpacing/>
              <w:rPr>
                <w:rFonts w:cs="Calibri"/>
                <w:color w:val="auto"/>
                <w:sz w:val="18"/>
              </w:rPr>
            </w:pPr>
            <w:r>
              <w:rPr>
                <w:rFonts w:cs="Calibri"/>
                <w:color w:val="auto"/>
                <w:sz w:val="18"/>
              </w:rPr>
              <w:t>20050519</w:t>
            </w:r>
          </w:p>
        </w:tc>
      </w:tr>
      <w:tr w:rsidR="008D0D25" w:rsidRPr="00F64312" w:rsidTr="00E944B3">
        <w:trPr>
          <w:trHeight w:val="97"/>
          <w:jc w:val="center"/>
        </w:trPr>
        <w:tc>
          <w:tcPr>
            <w:tcW w:w="2189" w:type="dxa"/>
            <w:tcBorders>
              <w:right w:val="single" w:sz="4" w:space="0" w:color="auto"/>
            </w:tcBorders>
            <w:shd w:val="clear" w:color="auto" w:fill="FFFFFF"/>
            <w:vAlign w:val="center"/>
          </w:tcPr>
          <w:p w:rsidR="008D0D25" w:rsidRPr="00F64312" w:rsidRDefault="008D0D25" w:rsidP="006B690F">
            <w:pPr>
              <w:spacing w:line="180" w:lineRule="exact"/>
              <w:contextualSpacing/>
              <w:jc w:val="left"/>
              <w:rPr>
                <w:color w:val="auto"/>
                <w:sz w:val="18"/>
              </w:rPr>
            </w:pPr>
            <w:r>
              <w:rPr>
                <w:color w:val="auto"/>
                <w:sz w:val="18"/>
              </w:rPr>
              <w:t>Elevated Cholesterol</w:t>
            </w:r>
          </w:p>
        </w:tc>
        <w:tc>
          <w:tcPr>
            <w:tcW w:w="1808" w:type="dxa"/>
            <w:gridSpan w:val="2"/>
            <w:tcBorders>
              <w:left w:val="single" w:sz="4" w:space="0" w:color="auto"/>
              <w:right w:val="thinThickThinSmallGap" w:sz="24" w:space="0" w:color="auto"/>
            </w:tcBorders>
            <w:shd w:val="clear" w:color="auto" w:fill="FFFFFF"/>
            <w:vAlign w:val="center"/>
          </w:tcPr>
          <w:p w:rsidR="008D0D25" w:rsidRPr="00F64312" w:rsidRDefault="008D0D25" w:rsidP="006B690F">
            <w:pPr>
              <w:spacing w:line="180" w:lineRule="exact"/>
              <w:contextualSpacing/>
              <w:rPr>
                <w:color w:val="auto"/>
                <w:sz w:val="18"/>
              </w:rPr>
            </w:pPr>
            <w:r>
              <w:rPr>
                <w:color w:val="auto"/>
                <w:sz w:val="18"/>
              </w:rPr>
              <w:t>Not Unfitting</w:t>
            </w:r>
          </w:p>
        </w:tc>
        <w:tc>
          <w:tcPr>
            <w:tcW w:w="4231" w:type="dxa"/>
            <w:gridSpan w:val="3"/>
            <w:vMerge w:val="restart"/>
            <w:tcBorders>
              <w:left w:val="thinThickThinSmallGap" w:sz="24" w:space="0" w:color="auto"/>
            </w:tcBorders>
            <w:shd w:val="clear" w:color="auto" w:fill="FFFFFF"/>
            <w:vAlign w:val="center"/>
          </w:tcPr>
          <w:p w:rsidR="008D0D25" w:rsidRPr="00F64312" w:rsidRDefault="008D0D25" w:rsidP="008D0D25">
            <w:pPr>
              <w:spacing w:line="180" w:lineRule="exact"/>
              <w:contextualSpacing/>
              <w:rPr>
                <w:color w:val="auto"/>
                <w:sz w:val="18"/>
              </w:rPr>
            </w:pPr>
            <w:r>
              <w:rPr>
                <w:color w:val="auto"/>
                <w:sz w:val="18"/>
              </w:rPr>
              <w:t>No Additional VA Entries</w:t>
            </w:r>
          </w:p>
        </w:tc>
        <w:tc>
          <w:tcPr>
            <w:tcW w:w="1080" w:type="dxa"/>
            <w:vMerge w:val="restart"/>
            <w:shd w:val="clear" w:color="auto" w:fill="FFFFFF"/>
            <w:vAlign w:val="center"/>
          </w:tcPr>
          <w:p w:rsidR="008D0D25" w:rsidRPr="003A2A2D" w:rsidRDefault="008D0D25" w:rsidP="0017172C">
            <w:pPr>
              <w:spacing w:line="180" w:lineRule="exact"/>
              <w:contextualSpacing/>
              <w:rPr>
                <w:color w:val="auto"/>
                <w:sz w:val="18"/>
              </w:rPr>
            </w:pPr>
            <w:r>
              <w:rPr>
                <w:color w:val="auto"/>
                <w:sz w:val="18"/>
              </w:rPr>
              <w:t>20050519</w:t>
            </w:r>
          </w:p>
        </w:tc>
      </w:tr>
      <w:tr w:rsidR="008D0D25" w:rsidRPr="00F64312" w:rsidTr="00E944B3">
        <w:trPr>
          <w:trHeight w:val="172"/>
          <w:jc w:val="center"/>
        </w:trPr>
        <w:tc>
          <w:tcPr>
            <w:tcW w:w="3997" w:type="dxa"/>
            <w:gridSpan w:val="3"/>
            <w:tcBorders>
              <w:right w:val="thinThickThinSmallGap" w:sz="24" w:space="0" w:color="auto"/>
            </w:tcBorders>
            <w:shd w:val="clear" w:color="auto" w:fill="FFFFFF"/>
            <w:vAlign w:val="center"/>
          </w:tcPr>
          <w:p w:rsidR="008D0D25" w:rsidRPr="00F64312" w:rsidRDefault="008D0D25" w:rsidP="006B690F">
            <w:pPr>
              <w:spacing w:line="180" w:lineRule="exact"/>
              <w:contextualSpacing/>
              <w:rPr>
                <w:rFonts w:cs="Calibri"/>
                <w:color w:val="auto"/>
                <w:sz w:val="18"/>
              </w:rPr>
            </w:pPr>
            <w:r w:rsidRPr="00F64312">
              <w:rPr>
                <w:rFonts w:cs="Calibri"/>
                <w:color w:val="auto"/>
                <w:sz w:val="18"/>
                <w:szCs w:val="18"/>
              </w:rPr>
              <w:t>No Additional MEB/PEB Entries</w:t>
            </w:r>
          </w:p>
        </w:tc>
        <w:tc>
          <w:tcPr>
            <w:tcW w:w="4231" w:type="dxa"/>
            <w:gridSpan w:val="3"/>
            <w:vMerge/>
            <w:tcBorders>
              <w:left w:val="thinThickThinSmallGap" w:sz="24" w:space="0" w:color="auto"/>
              <w:bottom w:val="single" w:sz="4" w:space="0" w:color="auto"/>
            </w:tcBorders>
            <w:shd w:val="clear" w:color="auto" w:fill="FFFFFF"/>
            <w:vAlign w:val="center"/>
          </w:tcPr>
          <w:p w:rsidR="008D0D25" w:rsidRPr="00F64312" w:rsidRDefault="008D0D25" w:rsidP="00C309A8">
            <w:pPr>
              <w:spacing w:line="180" w:lineRule="exact"/>
              <w:contextualSpacing/>
              <w:jc w:val="left"/>
              <w:rPr>
                <w:color w:val="auto"/>
                <w:sz w:val="18"/>
              </w:rPr>
            </w:pPr>
          </w:p>
        </w:tc>
        <w:tc>
          <w:tcPr>
            <w:tcW w:w="1080" w:type="dxa"/>
            <w:vMerge/>
            <w:shd w:val="clear" w:color="auto" w:fill="FFFFFF"/>
            <w:vAlign w:val="center"/>
          </w:tcPr>
          <w:p w:rsidR="008D0D25" w:rsidRPr="003A2A2D" w:rsidRDefault="008D0D25" w:rsidP="0017172C">
            <w:pPr>
              <w:spacing w:line="180" w:lineRule="exact"/>
              <w:contextualSpacing/>
              <w:rPr>
                <w:rFonts w:cs="Calibri"/>
                <w:color w:val="auto"/>
                <w:sz w:val="18"/>
              </w:rPr>
            </w:pPr>
          </w:p>
        </w:tc>
      </w:tr>
      <w:tr w:rsidR="00F90376" w:rsidRPr="00F64312" w:rsidTr="00E944B3">
        <w:trPr>
          <w:trHeight w:val="124"/>
          <w:jc w:val="center"/>
        </w:trPr>
        <w:tc>
          <w:tcPr>
            <w:tcW w:w="3997" w:type="dxa"/>
            <w:gridSpan w:val="3"/>
            <w:tcBorders>
              <w:righ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051D4B">
              <w:rPr>
                <w:b/>
                <w:color w:val="auto"/>
                <w:sz w:val="18"/>
              </w:rPr>
              <w:t>20</w:t>
            </w:r>
            <w:r w:rsidRPr="00F64312">
              <w:rPr>
                <w:b/>
                <w:color w:val="auto"/>
                <w:sz w:val="18"/>
              </w:rPr>
              <w:t>%</w:t>
            </w:r>
          </w:p>
        </w:tc>
        <w:tc>
          <w:tcPr>
            <w:tcW w:w="5311" w:type="dxa"/>
            <w:gridSpan w:val="4"/>
            <w:tcBorders>
              <w:left w:val="thinThickThinSmallGap" w:sz="24" w:space="0" w:color="auto"/>
            </w:tcBorders>
            <w:shd w:val="clear" w:color="auto" w:fill="D9D9D9"/>
          </w:tcPr>
          <w:p w:rsidR="00F90376" w:rsidRPr="00F64312" w:rsidRDefault="00F90376" w:rsidP="006B690F">
            <w:pPr>
              <w:spacing w:line="180" w:lineRule="exact"/>
              <w:contextualSpacing/>
              <w:rPr>
                <w:rFonts w:cs="Calibri"/>
                <w:b/>
                <w:color w:val="auto"/>
                <w:sz w:val="18"/>
              </w:rPr>
            </w:pPr>
            <w:r w:rsidRPr="00F64312">
              <w:rPr>
                <w:b/>
                <w:color w:val="auto"/>
                <w:sz w:val="18"/>
              </w:rPr>
              <w:t xml:space="preserve">Combined:  </w:t>
            </w:r>
            <w:r w:rsidR="008D0D25">
              <w:rPr>
                <w:b/>
                <w:color w:val="auto"/>
                <w:sz w:val="18"/>
              </w:rPr>
              <w:t>50</w:t>
            </w:r>
            <w:r w:rsidRPr="00F64312">
              <w:rPr>
                <w:b/>
                <w:color w:val="auto"/>
                <w:sz w:val="18"/>
              </w:rPr>
              <w:t>%</w:t>
            </w:r>
          </w:p>
        </w:tc>
      </w:tr>
    </w:tbl>
    <w:p w:rsidR="00F90376" w:rsidRPr="00F64312" w:rsidRDefault="00F90376" w:rsidP="00165C7B">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sidR="005E42E7">
        <w:rPr>
          <w:color w:val="auto"/>
          <w:sz w:val="18"/>
          <w:szCs w:val="18"/>
        </w:rPr>
        <w:t>No change to rating in V</w:t>
      </w:r>
      <w:r w:rsidR="000A1728">
        <w:rPr>
          <w:color w:val="auto"/>
          <w:sz w:val="18"/>
          <w:szCs w:val="18"/>
        </w:rPr>
        <w:t>ARD 20091001 (3+</w:t>
      </w:r>
      <w:r w:rsidR="005E42E7">
        <w:rPr>
          <w:color w:val="auto"/>
          <w:sz w:val="18"/>
          <w:szCs w:val="18"/>
        </w:rPr>
        <w:t xml:space="preserve"> Years Post-Separation)</w:t>
      </w:r>
    </w:p>
    <w:p w:rsidR="000A1728" w:rsidRPr="00F64312" w:rsidRDefault="000A1728" w:rsidP="000A1728">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Pr>
          <w:color w:val="auto"/>
          <w:sz w:val="18"/>
          <w:szCs w:val="18"/>
        </w:rPr>
        <w:t xml:space="preserve">*No change to rating in VARD 20091001 and PTSD </w:t>
      </w:r>
      <w:r w:rsidR="00080DEB">
        <w:rPr>
          <w:color w:val="auto"/>
          <w:sz w:val="18"/>
          <w:szCs w:val="18"/>
        </w:rPr>
        <w:t>NSC</w:t>
      </w:r>
      <w:r w:rsidR="00E4088F">
        <w:rPr>
          <w:color w:val="auto"/>
          <w:sz w:val="18"/>
          <w:szCs w:val="18"/>
        </w:rPr>
        <w:t xml:space="preserve"> (3+ Years Post-Separation)</w:t>
      </w:r>
      <w:r w:rsidR="00080DEB">
        <w:rPr>
          <w:color w:val="auto"/>
          <w:sz w:val="18"/>
          <w:szCs w:val="18"/>
        </w:rPr>
        <w:t>; PTSD added effective 20101014</w:t>
      </w:r>
    </w:p>
    <w:p w:rsidR="00F90376" w:rsidRPr="00F64312" w:rsidRDefault="00F90376"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CC72AF" w:rsidRPr="00F64312" w:rsidRDefault="00AD2379" w:rsidP="00337286">
      <w:pPr>
        <w:jc w:val="both"/>
        <w:rPr>
          <w:rFonts w:eastAsia="Cambria"/>
          <w:color w:val="auto"/>
          <w:szCs w:val="24"/>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CC72AF" w:rsidRPr="007C3350">
        <w:rPr>
          <w:rFonts w:cs="Times New Roman"/>
          <w:color w:val="auto"/>
          <w:szCs w:val="24"/>
        </w:rPr>
        <w:t xml:space="preserve">The Disability Evaluation System (DES) is responsible for maintaining a fit and vital fighting force. </w:t>
      </w:r>
      <w:r w:rsidR="00CC72AF">
        <w:rPr>
          <w:rFonts w:cs="Times New Roman"/>
          <w:color w:val="auto"/>
          <w:szCs w:val="24"/>
        </w:rPr>
        <w:t xml:space="preserve"> </w:t>
      </w:r>
      <w:r w:rsidR="00CC72AF" w:rsidRPr="007C3350">
        <w:rPr>
          <w:rFonts w:cs="Times New Roman"/>
          <w:color w:val="auto"/>
          <w:szCs w:val="24"/>
        </w:rPr>
        <w:t>While the DES considers all of the service member's medical conditions, compensation can only be offered for those medical conditions that cut short a member’s career, and then only to the degree of severity present at the time of final disposition.  The DES has neither the role nor the authority to compensate members for anticipated future severity or potential complications of conditions resulting in medical separation nor for conditions determined to be service</w:t>
      </w:r>
      <w:r w:rsidR="001953B0">
        <w:rPr>
          <w:rFonts w:cs="Times New Roman"/>
          <w:color w:val="auto"/>
          <w:szCs w:val="24"/>
        </w:rPr>
        <w:t>-</w:t>
      </w:r>
      <w:r w:rsidR="00CC72AF" w:rsidRPr="007C3350">
        <w:rPr>
          <w:rFonts w:cs="Times New Roman"/>
          <w:color w:val="auto"/>
          <w:szCs w:val="24"/>
        </w:rPr>
        <w:t xml:space="preserve">connected by the </w:t>
      </w:r>
      <w:r w:rsidR="001953B0" w:rsidRPr="007C3350">
        <w:rPr>
          <w:rFonts w:cs="Times New Roman"/>
          <w:color w:val="auto"/>
          <w:szCs w:val="24"/>
        </w:rPr>
        <w:t xml:space="preserve">Department of Veteran Affairs </w:t>
      </w:r>
      <w:r w:rsidR="001953B0">
        <w:rPr>
          <w:rFonts w:cs="Times New Roman"/>
          <w:color w:val="auto"/>
          <w:szCs w:val="24"/>
        </w:rPr>
        <w:t>(D</w:t>
      </w:r>
      <w:r w:rsidR="00CC72AF" w:rsidRPr="007C3350">
        <w:rPr>
          <w:rFonts w:cs="Times New Roman"/>
          <w:color w:val="auto"/>
          <w:szCs w:val="24"/>
        </w:rPr>
        <w:t>VA</w:t>
      </w:r>
      <w:r w:rsidR="001953B0">
        <w:rPr>
          <w:rFonts w:cs="Times New Roman"/>
          <w:color w:val="auto"/>
          <w:szCs w:val="24"/>
        </w:rPr>
        <w:t>)</w:t>
      </w:r>
      <w:r w:rsidR="00CC72AF" w:rsidRPr="007C3350">
        <w:rPr>
          <w:rFonts w:cs="Times New Roman"/>
          <w:color w:val="auto"/>
          <w:szCs w:val="24"/>
        </w:rPr>
        <w:t xml:space="preserve"> but not determined to be unfitting by the PEB.  However the DVA, operating under a different set of laws (Title 38, United States Code), is empowered to compensate all service</w:t>
      </w:r>
      <w:r w:rsidR="001953B0">
        <w:rPr>
          <w:rFonts w:cs="Times New Roman"/>
          <w:color w:val="auto"/>
          <w:szCs w:val="24"/>
        </w:rPr>
        <w:t>-</w:t>
      </w:r>
      <w:r w:rsidR="00CC72AF" w:rsidRPr="007C3350">
        <w:rPr>
          <w:rFonts w:cs="Times New Roman"/>
          <w:color w:val="auto"/>
          <w:szCs w:val="24"/>
        </w:rPr>
        <w:t xml:space="preserve">connected conditions and to periodically re-evaluate said conditions for the purpose of adjusting the </w:t>
      </w:r>
      <w:r w:rsidR="001953B0">
        <w:rPr>
          <w:rFonts w:cs="Times New Roman"/>
          <w:color w:val="auto"/>
          <w:szCs w:val="24"/>
        </w:rPr>
        <w:t>V</w:t>
      </w:r>
      <w:r w:rsidR="00CC72AF" w:rsidRPr="007C3350">
        <w:rPr>
          <w:rFonts w:cs="Times New Roman"/>
          <w:color w:val="auto"/>
          <w:szCs w:val="24"/>
        </w:rPr>
        <w:t xml:space="preserve">eteran’s disability rating should his degree of impairment vary over time.  The Board’s role is confined to the review of medical records and all evidence at hand to assess the fairness of PEB rating determinations, compared to </w:t>
      </w:r>
      <w:r w:rsidR="00CC72AF" w:rsidRPr="001953B0">
        <w:rPr>
          <w:rFonts w:cs="Times New Roman"/>
          <w:color w:val="auto"/>
          <w:szCs w:val="24"/>
        </w:rPr>
        <w:t>VASRD</w:t>
      </w:r>
      <w:r w:rsidR="00CC72AF" w:rsidRPr="007C3350">
        <w:rPr>
          <w:rFonts w:cs="Times New Roman"/>
          <w:color w:val="auto"/>
          <w:szCs w:val="24"/>
        </w:rPr>
        <w:t xml:space="preserve"> standards, based on severity at </w:t>
      </w:r>
      <w:r w:rsidR="00CC72AF" w:rsidRPr="00337286">
        <w:rPr>
          <w:rFonts w:cs="Times New Roman"/>
          <w:color w:val="auto"/>
          <w:szCs w:val="24"/>
        </w:rPr>
        <w:t>the time of separation.  The Board noted the letter from the CI requesting additional treatment.  While the Board recognized that this is most likely a copy of a letter sent by the CI to the VA, it wishes to emphasize that recommendations for treatment lie outside the Board’s authority.</w:t>
      </w:r>
    </w:p>
    <w:p w:rsidR="00BA4018" w:rsidRDefault="00BA4018" w:rsidP="00B22D42">
      <w:pPr>
        <w:jc w:val="both"/>
        <w:rPr>
          <w:color w:val="auto"/>
        </w:rPr>
      </w:pPr>
    </w:p>
    <w:p w:rsidR="0069687C" w:rsidRPr="00CC72AF" w:rsidRDefault="0043735C" w:rsidP="0069687C">
      <w:pPr>
        <w:jc w:val="both"/>
        <w:rPr>
          <w:strike/>
          <w:color w:val="auto"/>
          <w:szCs w:val="24"/>
        </w:rPr>
      </w:pPr>
      <w:proofErr w:type="gramStart"/>
      <w:r w:rsidRPr="0043735C">
        <w:rPr>
          <w:color w:val="auto"/>
          <w:u w:val="single"/>
        </w:rPr>
        <w:t>Chronic Low Back Pain Secondary to Degenerative Disc and Bone Condition</w:t>
      </w:r>
      <w:r w:rsidR="00AD2379" w:rsidRPr="0043735C">
        <w:rPr>
          <w:color w:val="auto"/>
        </w:rPr>
        <w:t>.</w:t>
      </w:r>
      <w:proofErr w:type="gramEnd"/>
      <w:r w:rsidR="00AD2379" w:rsidRPr="00F64312">
        <w:rPr>
          <w:color w:val="auto"/>
        </w:rPr>
        <w:t xml:space="preserve"> </w:t>
      </w:r>
      <w:r w:rsidR="00385708" w:rsidRPr="00F64312">
        <w:rPr>
          <w:color w:val="auto"/>
        </w:rPr>
        <w:t xml:space="preserve"> </w:t>
      </w:r>
      <w:r w:rsidR="00B73129">
        <w:rPr>
          <w:color w:val="auto"/>
          <w:szCs w:val="24"/>
        </w:rPr>
        <w:t>There w</w:t>
      </w:r>
      <w:r w:rsidR="00A47A84">
        <w:rPr>
          <w:color w:val="auto"/>
          <w:szCs w:val="24"/>
        </w:rPr>
        <w:t>ere t</w:t>
      </w:r>
      <w:r w:rsidR="00BA13B5">
        <w:rPr>
          <w:color w:val="auto"/>
          <w:szCs w:val="24"/>
        </w:rPr>
        <w:t>wo</w:t>
      </w:r>
      <w:r w:rsidR="00B73129">
        <w:rPr>
          <w:color w:val="auto"/>
          <w:szCs w:val="24"/>
        </w:rPr>
        <w:t xml:space="preserve"> </w:t>
      </w:r>
      <w:r w:rsidR="00001EFC">
        <w:rPr>
          <w:color w:val="auto"/>
          <w:szCs w:val="24"/>
        </w:rPr>
        <w:t>range</w:t>
      </w:r>
      <w:r w:rsidR="001953B0">
        <w:rPr>
          <w:color w:val="auto"/>
          <w:szCs w:val="24"/>
        </w:rPr>
        <w:t>-</w:t>
      </w:r>
      <w:r w:rsidR="00001EFC">
        <w:rPr>
          <w:color w:val="auto"/>
          <w:szCs w:val="24"/>
        </w:rPr>
        <w:t>of</w:t>
      </w:r>
      <w:r w:rsidR="001953B0">
        <w:rPr>
          <w:color w:val="auto"/>
          <w:szCs w:val="24"/>
        </w:rPr>
        <w:t>-</w:t>
      </w:r>
      <w:r w:rsidR="0069687C" w:rsidRPr="00F64312">
        <w:rPr>
          <w:color w:val="auto"/>
          <w:szCs w:val="24"/>
        </w:rPr>
        <w:t>motion (ROM) evaluations in evidence, with documentation of additional ratable criteria, which the Board weighed in arriving at its rating recommendation</w:t>
      </w:r>
      <w:r w:rsidR="00080DEB">
        <w:rPr>
          <w:color w:val="auto"/>
          <w:szCs w:val="24"/>
        </w:rPr>
        <w:t>,</w:t>
      </w:r>
      <w:r w:rsidR="0069687C" w:rsidRPr="00F64312">
        <w:rPr>
          <w:color w:val="auto"/>
          <w:szCs w:val="24"/>
        </w:rPr>
        <w:t xml:space="preserve"> as summarized in the chart below.</w:t>
      </w:r>
    </w:p>
    <w:p w:rsidR="00836B7B" w:rsidRPr="00F64312" w:rsidRDefault="00836B7B" w:rsidP="0069687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7"/>
        <w:gridCol w:w="2160"/>
        <w:gridCol w:w="2707"/>
      </w:tblGrid>
      <w:tr w:rsidR="00BA13B5" w:rsidRPr="00F64312" w:rsidTr="005E1A61">
        <w:trPr>
          <w:jc w:val="center"/>
        </w:trPr>
        <w:tc>
          <w:tcPr>
            <w:tcW w:w="198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A13B5" w:rsidRDefault="00BA13B5" w:rsidP="0002051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Thoracolumbar ROM</w:t>
            </w:r>
          </w:p>
          <w:p w:rsidR="00BA13B5" w:rsidRPr="00F64312" w:rsidRDefault="00BA13B5" w:rsidP="0002051A">
            <w:pPr>
              <w:pStyle w:val="ListParagraph"/>
              <w:spacing w:after="0" w:line="200" w:lineRule="exact"/>
              <w:ind w:left="0"/>
              <w:rPr>
                <w:rFonts w:asciiTheme="majorHAnsi" w:eastAsia="Calibri" w:hAnsiTheme="majorHAnsi" w:cstheme="majorHAnsi"/>
                <w:b/>
                <w:sz w:val="18"/>
                <w:szCs w:val="18"/>
              </w:rPr>
            </w:pPr>
            <w:r>
              <w:rPr>
                <w:rFonts w:asciiTheme="majorHAnsi" w:eastAsia="Calibri" w:hAnsiTheme="majorHAnsi" w:cstheme="majorHAnsi"/>
                <w:sz w:val="18"/>
                <w:szCs w:val="18"/>
              </w:rPr>
              <w:t>Degrees</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207A0" w:rsidRDefault="00BA13B5"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NARSUM</w:t>
            </w:r>
          </w:p>
          <w:p w:rsidR="00BA13B5" w:rsidRPr="00F64312" w:rsidRDefault="00BA13B5" w:rsidP="00E207A0">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 Pre-Sep</w:t>
            </w:r>
          </w:p>
        </w:tc>
        <w:tc>
          <w:tcPr>
            <w:tcW w:w="27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207A0" w:rsidRDefault="00BA13B5" w:rsidP="0002051A">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w:t>
            </w:r>
          </w:p>
          <w:p w:rsidR="00BA13B5" w:rsidRPr="00F64312" w:rsidRDefault="00BA13B5" w:rsidP="00E207A0">
            <w:pPr>
              <w:spacing w:line="200" w:lineRule="exact"/>
              <w:contextualSpacing/>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 xml:space="preserve">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1</w:t>
            </w:r>
            <w:r w:rsidRPr="00F64312">
              <w:rPr>
                <w:rFonts w:asciiTheme="majorHAnsi" w:eastAsia="Calibri" w:hAnsiTheme="majorHAnsi" w:cstheme="majorHAnsi"/>
                <w:color w:val="auto"/>
                <w:sz w:val="18"/>
                <w:szCs w:val="18"/>
              </w:rPr>
              <w:t xml:space="preserve"> Mo. Post-Sep</w:t>
            </w:r>
          </w:p>
        </w:tc>
      </w:tr>
      <w:tr w:rsidR="00BA13B5" w:rsidRPr="00F64312" w:rsidTr="005E1A61">
        <w:trPr>
          <w:jc w:val="center"/>
        </w:trPr>
        <w:tc>
          <w:tcPr>
            <w:tcW w:w="1987" w:type="dxa"/>
            <w:tcBorders>
              <w:top w:val="single" w:sz="4" w:space="0" w:color="000000"/>
              <w:left w:val="single" w:sz="4" w:space="0" w:color="000000"/>
              <w:bottom w:val="single" w:sz="4" w:space="0" w:color="000000"/>
              <w:right w:val="single" w:sz="4" w:space="0" w:color="000000"/>
            </w:tcBorders>
            <w:hideMark/>
          </w:tcPr>
          <w:p w:rsidR="00BA13B5" w:rsidRPr="00F64312" w:rsidRDefault="00BA13B5" w:rsidP="005E1A61">
            <w:pPr>
              <w:pStyle w:val="ListParagraph"/>
              <w:spacing w:after="0" w:line="200" w:lineRule="exact"/>
              <w:ind w:left="0"/>
              <w:rPr>
                <w:rFonts w:asciiTheme="majorHAnsi" w:eastAsia="Calibri" w:hAnsiTheme="majorHAnsi" w:cstheme="majorHAnsi"/>
                <w:sz w:val="18"/>
                <w:szCs w:val="18"/>
              </w:rPr>
            </w:pPr>
            <w:r>
              <w:rPr>
                <w:rFonts w:asciiTheme="majorHAnsi" w:hAnsiTheme="majorHAnsi" w:cstheme="majorHAnsi"/>
                <w:sz w:val="18"/>
                <w:szCs w:val="18"/>
              </w:rPr>
              <w:t>Flexion (90</w:t>
            </w:r>
            <w:r w:rsidRPr="00F64312">
              <w:rPr>
                <w:rFonts w:asciiTheme="majorHAnsi" w:hAnsiTheme="majorHAnsi" w:cstheme="majorHAnsi"/>
                <w:sz w:val="18"/>
                <w:szCs w:val="18"/>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BA13B5" w:rsidRPr="009333FA" w:rsidRDefault="00BA13B5" w:rsidP="00337286">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40</w:t>
            </w:r>
          </w:p>
        </w:tc>
        <w:tc>
          <w:tcPr>
            <w:tcW w:w="2707" w:type="dxa"/>
            <w:tcBorders>
              <w:top w:val="single" w:sz="4" w:space="0" w:color="000000"/>
              <w:left w:val="single" w:sz="4" w:space="0" w:color="000000"/>
              <w:bottom w:val="single" w:sz="4" w:space="0" w:color="000000"/>
              <w:right w:val="single" w:sz="4" w:space="0" w:color="000000"/>
            </w:tcBorders>
            <w:vAlign w:val="center"/>
          </w:tcPr>
          <w:p w:rsidR="00BA13B5" w:rsidRPr="00C83C3E" w:rsidRDefault="00BA13B5" w:rsidP="00BA13B5">
            <w:pPr>
              <w:spacing w:line="200" w:lineRule="exact"/>
              <w:contextualSpacing/>
              <w:rPr>
                <w:rFonts w:asciiTheme="majorHAnsi" w:eastAsia="Calibri" w:hAnsiTheme="majorHAnsi" w:cstheme="majorHAnsi"/>
                <w:color w:val="auto"/>
                <w:sz w:val="18"/>
                <w:szCs w:val="18"/>
              </w:rPr>
            </w:pPr>
            <w:r w:rsidRPr="00C83C3E">
              <w:rPr>
                <w:rFonts w:asciiTheme="majorHAnsi" w:eastAsia="Calibri" w:hAnsiTheme="majorHAnsi" w:cstheme="majorHAnsi"/>
                <w:color w:val="auto"/>
                <w:sz w:val="18"/>
                <w:szCs w:val="18"/>
              </w:rPr>
              <w:t>80</w:t>
            </w:r>
          </w:p>
        </w:tc>
      </w:tr>
      <w:tr w:rsidR="00BA13B5" w:rsidRPr="00F64312" w:rsidTr="005E1A61">
        <w:trPr>
          <w:jc w:val="center"/>
        </w:trPr>
        <w:tc>
          <w:tcPr>
            <w:tcW w:w="1987" w:type="dxa"/>
            <w:tcBorders>
              <w:top w:val="single" w:sz="4" w:space="0" w:color="000000"/>
              <w:left w:val="single" w:sz="4" w:space="0" w:color="000000"/>
              <w:bottom w:val="single" w:sz="4" w:space="0" w:color="000000"/>
              <w:right w:val="single" w:sz="4" w:space="0" w:color="000000"/>
            </w:tcBorders>
            <w:hideMark/>
          </w:tcPr>
          <w:p w:rsidR="00BA13B5" w:rsidRPr="00C83C3E" w:rsidRDefault="00BA13B5" w:rsidP="005E1A61">
            <w:pPr>
              <w:pStyle w:val="ListParagraph"/>
              <w:spacing w:after="0" w:line="200" w:lineRule="exact"/>
              <w:ind w:left="0"/>
              <w:rPr>
                <w:rFonts w:asciiTheme="majorHAnsi" w:eastAsia="Calibri" w:hAnsiTheme="majorHAnsi" w:cstheme="majorHAnsi"/>
                <w:sz w:val="18"/>
                <w:szCs w:val="18"/>
              </w:rPr>
            </w:pPr>
            <w:r w:rsidRPr="00C83C3E">
              <w:rPr>
                <w:rFonts w:asciiTheme="majorHAnsi" w:eastAsia="Calibri" w:hAnsiTheme="majorHAnsi" w:cstheme="majorHAnsi"/>
                <w:sz w:val="18"/>
                <w:szCs w:val="18"/>
              </w:rPr>
              <w:t>Ext</w:t>
            </w:r>
            <w:r w:rsidR="00CF37C0">
              <w:rPr>
                <w:rFonts w:asciiTheme="majorHAnsi" w:eastAsia="Calibri" w:hAnsiTheme="majorHAnsi" w:cstheme="majorHAnsi"/>
                <w:sz w:val="18"/>
                <w:szCs w:val="18"/>
              </w:rPr>
              <w:t>ension</w:t>
            </w:r>
            <w:r w:rsidRPr="00C83C3E">
              <w:rPr>
                <w:rFonts w:asciiTheme="majorHAnsi" w:eastAsia="Calibri" w:hAnsiTheme="majorHAnsi" w:cstheme="majorHAnsi"/>
                <w:sz w:val="18"/>
                <w:szCs w:val="18"/>
              </w:rPr>
              <w:t xml:space="preserve"> (30)</w:t>
            </w:r>
          </w:p>
        </w:tc>
        <w:tc>
          <w:tcPr>
            <w:tcW w:w="2160" w:type="dxa"/>
            <w:tcBorders>
              <w:top w:val="single" w:sz="4" w:space="0" w:color="000000"/>
              <w:left w:val="single" w:sz="4" w:space="0" w:color="000000"/>
              <w:bottom w:val="single" w:sz="4" w:space="0" w:color="000000"/>
              <w:right w:val="single" w:sz="4" w:space="0" w:color="000000"/>
            </w:tcBorders>
            <w:vAlign w:val="center"/>
          </w:tcPr>
          <w:p w:rsidR="00BA13B5" w:rsidRPr="009333FA" w:rsidRDefault="00BA13B5" w:rsidP="00337286">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25</w:t>
            </w:r>
          </w:p>
        </w:tc>
        <w:tc>
          <w:tcPr>
            <w:tcW w:w="2707" w:type="dxa"/>
            <w:tcBorders>
              <w:top w:val="single" w:sz="4" w:space="0" w:color="000000"/>
              <w:left w:val="single" w:sz="4" w:space="0" w:color="000000"/>
              <w:bottom w:val="single" w:sz="4" w:space="0" w:color="000000"/>
              <w:right w:val="single" w:sz="4" w:space="0" w:color="000000"/>
            </w:tcBorders>
            <w:vAlign w:val="center"/>
          </w:tcPr>
          <w:p w:rsidR="00BA13B5" w:rsidRPr="00C83C3E" w:rsidRDefault="00BA13B5"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p>
        </w:tc>
      </w:tr>
      <w:tr w:rsidR="00BA13B5" w:rsidRPr="00F64312" w:rsidTr="005E1A61">
        <w:trPr>
          <w:jc w:val="center"/>
        </w:trPr>
        <w:tc>
          <w:tcPr>
            <w:tcW w:w="1987" w:type="dxa"/>
            <w:tcBorders>
              <w:top w:val="single" w:sz="4" w:space="0" w:color="000000"/>
              <w:left w:val="single" w:sz="4" w:space="0" w:color="000000"/>
              <w:bottom w:val="single" w:sz="4" w:space="0" w:color="000000"/>
              <w:right w:val="single" w:sz="4" w:space="0" w:color="000000"/>
            </w:tcBorders>
            <w:hideMark/>
          </w:tcPr>
          <w:p w:rsidR="00BA13B5" w:rsidRPr="00F64312" w:rsidRDefault="00BA13B5" w:rsidP="005E1A61">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Combined (240</w:t>
            </w:r>
            <w:r w:rsidRPr="00F64312">
              <w:rPr>
                <w:rFonts w:asciiTheme="majorHAnsi" w:eastAsia="Calibri" w:hAnsiTheme="majorHAnsi" w:cstheme="majorHAnsi"/>
                <w:sz w:val="18"/>
                <w:szCs w:val="18"/>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BA13B5" w:rsidRPr="009333FA" w:rsidRDefault="00BA13B5" w:rsidP="0002051A">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185</w:t>
            </w:r>
          </w:p>
        </w:tc>
        <w:tc>
          <w:tcPr>
            <w:tcW w:w="2707" w:type="dxa"/>
            <w:tcBorders>
              <w:top w:val="single" w:sz="4" w:space="0" w:color="000000"/>
              <w:left w:val="single" w:sz="4" w:space="0" w:color="000000"/>
              <w:bottom w:val="single" w:sz="4" w:space="0" w:color="000000"/>
              <w:right w:val="single" w:sz="4" w:space="0" w:color="000000"/>
            </w:tcBorders>
            <w:vAlign w:val="center"/>
          </w:tcPr>
          <w:p w:rsidR="00BA13B5" w:rsidRPr="00F64312" w:rsidRDefault="00BA13B5" w:rsidP="0002051A">
            <w:pPr>
              <w:spacing w:line="200" w:lineRule="exact"/>
              <w:rPr>
                <w:rFonts w:asciiTheme="majorHAnsi" w:hAnsiTheme="majorHAnsi" w:cstheme="majorHAnsi"/>
                <w:color w:val="auto"/>
                <w:sz w:val="18"/>
                <w:szCs w:val="18"/>
                <w:highlight w:val="lightGray"/>
              </w:rPr>
            </w:pPr>
            <w:r w:rsidRPr="00C83C3E">
              <w:rPr>
                <w:rFonts w:asciiTheme="majorHAnsi" w:eastAsia="Calibri" w:hAnsiTheme="majorHAnsi" w:cstheme="majorHAnsi"/>
                <w:color w:val="auto"/>
                <w:sz w:val="18"/>
                <w:szCs w:val="18"/>
              </w:rPr>
              <w:t>230</w:t>
            </w:r>
          </w:p>
        </w:tc>
      </w:tr>
      <w:tr w:rsidR="00BA13B5" w:rsidRPr="00F64312" w:rsidTr="005E1A61">
        <w:trPr>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BA13B5" w:rsidRPr="00F64312" w:rsidRDefault="00BA13B5" w:rsidP="0002051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160" w:type="dxa"/>
            <w:tcBorders>
              <w:top w:val="single" w:sz="4" w:space="0" w:color="000000"/>
              <w:left w:val="single" w:sz="4" w:space="0" w:color="000000"/>
              <w:bottom w:val="single" w:sz="4" w:space="0" w:color="000000"/>
              <w:right w:val="single" w:sz="4" w:space="0" w:color="000000"/>
            </w:tcBorders>
          </w:tcPr>
          <w:p w:rsidR="005E1A61" w:rsidRDefault="005E1A61" w:rsidP="005E1A61">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 xml:space="preserve">Strength </w:t>
            </w:r>
            <w:r w:rsidR="00BA13B5">
              <w:rPr>
                <w:rFonts w:asciiTheme="majorHAnsi" w:eastAsia="Calibri" w:hAnsiTheme="majorHAnsi" w:cstheme="majorHAnsi"/>
                <w:sz w:val="18"/>
                <w:szCs w:val="18"/>
              </w:rPr>
              <w:t>normal</w:t>
            </w:r>
            <w:r>
              <w:rPr>
                <w:rFonts w:asciiTheme="majorHAnsi" w:eastAsia="Calibri" w:hAnsiTheme="majorHAnsi" w:cstheme="majorHAnsi"/>
                <w:sz w:val="18"/>
                <w:szCs w:val="18"/>
              </w:rPr>
              <w:t>.</w:t>
            </w:r>
          </w:p>
          <w:p w:rsidR="00BA13B5" w:rsidRPr="00F64312" w:rsidRDefault="005E1A61" w:rsidP="005E1A61">
            <w:pPr>
              <w:pStyle w:val="ListParagraph"/>
              <w:spacing w:after="0" w:line="200" w:lineRule="exact"/>
              <w:ind w:left="0"/>
              <w:jc w:val="left"/>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 xml:space="preserve">Neg. </w:t>
            </w:r>
            <w:r w:rsidR="00BA13B5">
              <w:rPr>
                <w:rFonts w:asciiTheme="majorHAnsi" w:eastAsia="Calibri" w:hAnsiTheme="majorHAnsi" w:cstheme="majorHAnsi"/>
                <w:sz w:val="18"/>
                <w:szCs w:val="18"/>
              </w:rPr>
              <w:t>straight leg</w:t>
            </w:r>
            <w:r>
              <w:rPr>
                <w:rFonts w:asciiTheme="majorHAnsi" w:eastAsia="Calibri" w:hAnsiTheme="majorHAnsi" w:cstheme="majorHAnsi"/>
                <w:sz w:val="18"/>
                <w:szCs w:val="18"/>
              </w:rPr>
              <w:t>.</w:t>
            </w:r>
          </w:p>
        </w:tc>
        <w:tc>
          <w:tcPr>
            <w:tcW w:w="2707" w:type="dxa"/>
            <w:tcBorders>
              <w:top w:val="single" w:sz="4" w:space="0" w:color="000000"/>
              <w:left w:val="single" w:sz="4" w:space="0" w:color="000000"/>
              <w:bottom w:val="single" w:sz="4" w:space="0" w:color="000000"/>
              <w:right w:val="single" w:sz="4" w:space="0" w:color="000000"/>
            </w:tcBorders>
            <w:vAlign w:val="center"/>
          </w:tcPr>
          <w:p w:rsidR="00BA13B5" w:rsidRPr="00F64312" w:rsidRDefault="00BA13B5" w:rsidP="001D49BB">
            <w:pPr>
              <w:pStyle w:val="ListParagraph"/>
              <w:spacing w:after="0" w:line="200" w:lineRule="exact"/>
              <w:ind w:left="0"/>
              <w:jc w:val="left"/>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No pain, fatigue, weakness, or incoordination on repeat testing; flexion limited by stiffness</w:t>
            </w:r>
          </w:p>
        </w:tc>
      </w:tr>
      <w:tr w:rsidR="00BA13B5" w:rsidRPr="00F64312" w:rsidTr="005E1A61">
        <w:trPr>
          <w:jc w:val="center"/>
        </w:trPr>
        <w:tc>
          <w:tcPr>
            <w:tcW w:w="1987" w:type="dxa"/>
            <w:tcBorders>
              <w:top w:val="single" w:sz="4" w:space="0" w:color="000000"/>
              <w:left w:val="single" w:sz="4" w:space="0" w:color="000000"/>
              <w:bottom w:val="single" w:sz="4" w:space="0" w:color="000000"/>
              <w:right w:val="single" w:sz="4" w:space="0" w:color="000000"/>
            </w:tcBorders>
            <w:vAlign w:val="center"/>
            <w:hideMark/>
          </w:tcPr>
          <w:p w:rsidR="00BA13B5" w:rsidRPr="00F64312" w:rsidRDefault="00BA13B5" w:rsidP="0002051A">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160" w:type="dxa"/>
            <w:tcBorders>
              <w:top w:val="single" w:sz="4" w:space="0" w:color="000000"/>
              <w:left w:val="single" w:sz="4" w:space="0" w:color="000000"/>
              <w:bottom w:val="single" w:sz="4" w:space="0" w:color="000000"/>
              <w:right w:val="single" w:sz="4" w:space="0" w:color="000000"/>
            </w:tcBorders>
            <w:vAlign w:val="center"/>
          </w:tcPr>
          <w:p w:rsidR="00BA13B5" w:rsidRPr="00F64312" w:rsidRDefault="00BA13B5" w:rsidP="0002051A">
            <w:pPr>
              <w:pStyle w:val="ListParagraph"/>
              <w:spacing w:after="0" w:line="200" w:lineRule="exact"/>
              <w:ind w:left="0"/>
              <w:rPr>
                <w:rFonts w:asciiTheme="majorHAnsi" w:eastAsia="Calibri" w:hAnsiTheme="majorHAnsi" w:cstheme="majorHAnsi"/>
                <w:sz w:val="18"/>
                <w:szCs w:val="18"/>
                <w:highlight w:val="lightGray"/>
              </w:rPr>
            </w:pPr>
            <w:r w:rsidRPr="00FB1838">
              <w:rPr>
                <w:rFonts w:asciiTheme="majorHAnsi" w:eastAsia="Calibri" w:hAnsiTheme="majorHAnsi" w:cstheme="majorHAnsi"/>
                <w:sz w:val="18"/>
                <w:szCs w:val="18"/>
              </w:rPr>
              <w:t>20%</w:t>
            </w:r>
          </w:p>
        </w:tc>
        <w:tc>
          <w:tcPr>
            <w:tcW w:w="2707" w:type="dxa"/>
            <w:tcBorders>
              <w:top w:val="single" w:sz="4" w:space="0" w:color="000000"/>
              <w:left w:val="single" w:sz="4" w:space="0" w:color="000000"/>
              <w:bottom w:val="single" w:sz="4" w:space="0" w:color="000000"/>
              <w:right w:val="single" w:sz="4" w:space="0" w:color="000000"/>
            </w:tcBorders>
            <w:vAlign w:val="center"/>
          </w:tcPr>
          <w:p w:rsidR="00BA13B5" w:rsidRPr="00F64312" w:rsidRDefault="00BA13B5" w:rsidP="0002051A">
            <w:pPr>
              <w:pStyle w:val="ListParagraph"/>
              <w:spacing w:after="0" w:line="200" w:lineRule="exact"/>
              <w:ind w:left="0"/>
              <w:rPr>
                <w:rFonts w:asciiTheme="majorHAnsi" w:eastAsia="Calibri" w:hAnsiTheme="majorHAnsi" w:cstheme="majorHAnsi"/>
                <w:sz w:val="18"/>
                <w:szCs w:val="18"/>
                <w:highlight w:val="lightGray"/>
              </w:rPr>
            </w:pPr>
            <w:r w:rsidRPr="00C83C3E">
              <w:rPr>
                <w:rFonts w:asciiTheme="majorHAnsi" w:eastAsia="Calibri" w:hAnsiTheme="majorHAnsi" w:cstheme="majorHAnsi"/>
                <w:sz w:val="18"/>
                <w:szCs w:val="18"/>
              </w:rPr>
              <w:t>10%</w:t>
            </w:r>
          </w:p>
        </w:tc>
      </w:tr>
    </w:tbl>
    <w:p w:rsidR="00BA13B5" w:rsidRPr="002A14A4" w:rsidRDefault="00BA13B5" w:rsidP="007B7C4E">
      <w:pPr>
        <w:jc w:val="left"/>
        <w:rPr>
          <w:rFonts w:asciiTheme="majorHAnsi" w:eastAsiaTheme="minorHAnsi" w:hAnsiTheme="majorHAnsi" w:cstheme="majorHAnsi"/>
          <w:color w:val="auto"/>
          <w:szCs w:val="24"/>
        </w:rPr>
      </w:pPr>
    </w:p>
    <w:p w:rsidR="001953B0" w:rsidRDefault="005C0128" w:rsidP="00145FDA">
      <w:pPr>
        <w:jc w:val="both"/>
        <w:rPr>
          <w:color w:val="auto"/>
          <w:szCs w:val="24"/>
        </w:rPr>
      </w:pPr>
      <w:r>
        <w:rPr>
          <w:color w:val="auto"/>
          <w:szCs w:val="24"/>
        </w:rPr>
        <w:t>The CI had an insidious onset of LBP while deployed to Iraq</w:t>
      </w:r>
      <w:r w:rsidR="006E52B5">
        <w:rPr>
          <w:color w:val="auto"/>
          <w:szCs w:val="24"/>
        </w:rPr>
        <w:t xml:space="preserve"> (July 2003 to May 2004) variously related to heavy lifting and a fall from a truck in December 2003, and sought care for chronic back pain after return from Iraq.  Imaging with X-rays was unremarkable (“questionable underlying L5-S1 intervertebral disc degeneration”) and a bone scan was normal.  </w:t>
      </w:r>
      <w:r w:rsidR="006E52B5">
        <w:rPr>
          <w:rFonts w:cs="Times New Roman"/>
          <w:color w:val="auto"/>
        </w:rPr>
        <w:t xml:space="preserve">A </w:t>
      </w:r>
      <w:r w:rsidR="006E52B5" w:rsidRPr="00337286">
        <w:rPr>
          <w:rFonts w:cs="Times New Roman"/>
          <w:color w:val="auto"/>
        </w:rPr>
        <w:t>chiropractic examination</w:t>
      </w:r>
      <w:r w:rsidR="001953B0">
        <w:rPr>
          <w:rFonts w:cs="Times New Roman"/>
          <w:color w:val="auto"/>
        </w:rPr>
        <w:t xml:space="preserve"> performed</w:t>
      </w:r>
      <w:r w:rsidR="006E52B5" w:rsidRPr="00337286">
        <w:rPr>
          <w:rFonts w:cs="Times New Roman"/>
          <w:color w:val="auto"/>
        </w:rPr>
        <w:t xml:space="preserve"> on </w:t>
      </w:r>
      <w:r w:rsidR="006E52B5" w:rsidRPr="00337286">
        <w:rPr>
          <w:rFonts w:asciiTheme="majorHAnsi" w:eastAsiaTheme="minorHAnsi" w:hAnsiTheme="majorHAnsi" w:cstheme="majorHAnsi"/>
          <w:color w:val="auto"/>
          <w:szCs w:val="24"/>
        </w:rPr>
        <w:t>16 August 2004 measured the lumbar flexion at 52 degrees with a normal of 60 degrees for lumbar flexion</w:t>
      </w:r>
      <w:r w:rsidR="00E944B3">
        <w:rPr>
          <w:rFonts w:asciiTheme="majorHAnsi" w:eastAsiaTheme="minorHAnsi" w:hAnsiTheme="majorHAnsi" w:cstheme="majorHAnsi"/>
          <w:color w:val="auto"/>
          <w:szCs w:val="24"/>
        </w:rPr>
        <w:t xml:space="preserve"> (does not incorporate thoracic spine motion)</w:t>
      </w:r>
      <w:r w:rsidR="006E52B5" w:rsidRPr="00337286">
        <w:rPr>
          <w:rFonts w:asciiTheme="majorHAnsi" w:eastAsiaTheme="minorHAnsi" w:hAnsiTheme="majorHAnsi" w:cstheme="majorHAnsi"/>
          <w:color w:val="auto"/>
          <w:szCs w:val="24"/>
        </w:rPr>
        <w:t>.</w:t>
      </w:r>
      <w:r w:rsidR="006E52B5">
        <w:rPr>
          <w:rFonts w:asciiTheme="majorHAnsi" w:eastAsiaTheme="minorHAnsi" w:hAnsiTheme="majorHAnsi" w:cstheme="majorHAnsi"/>
          <w:color w:val="auto"/>
          <w:szCs w:val="24"/>
        </w:rPr>
        <w:t xml:space="preserve">  </w:t>
      </w:r>
      <w:r w:rsidR="00745996">
        <w:rPr>
          <w:color w:val="auto"/>
          <w:szCs w:val="24"/>
        </w:rPr>
        <w:t xml:space="preserve">An orthopedic examination </w:t>
      </w:r>
      <w:r w:rsidR="001953B0">
        <w:rPr>
          <w:color w:val="auto"/>
          <w:szCs w:val="24"/>
        </w:rPr>
        <w:t xml:space="preserve">performed </w:t>
      </w:r>
      <w:r w:rsidR="00745996">
        <w:rPr>
          <w:color w:val="auto"/>
          <w:szCs w:val="24"/>
        </w:rPr>
        <w:t>on 25 August 2004 noted that he had mechanical LBP</w:t>
      </w:r>
      <w:r w:rsidR="006E52B5">
        <w:rPr>
          <w:color w:val="auto"/>
          <w:szCs w:val="24"/>
        </w:rPr>
        <w:t xml:space="preserve"> and </w:t>
      </w:r>
      <w:r w:rsidR="00080DEB">
        <w:rPr>
          <w:color w:val="auto"/>
          <w:szCs w:val="24"/>
        </w:rPr>
        <w:lastRenderedPageBreak/>
        <w:t xml:space="preserve">the examiner </w:t>
      </w:r>
      <w:r w:rsidR="00745996">
        <w:rPr>
          <w:color w:val="auto"/>
          <w:szCs w:val="24"/>
        </w:rPr>
        <w:t xml:space="preserve">recommended consideration </w:t>
      </w:r>
      <w:r w:rsidR="004518FE">
        <w:rPr>
          <w:color w:val="auto"/>
          <w:szCs w:val="24"/>
        </w:rPr>
        <w:t>by an</w:t>
      </w:r>
      <w:r w:rsidR="00745996">
        <w:rPr>
          <w:color w:val="auto"/>
          <w:szCs w:val="24"/>
        </w:rPr>
        <w:t xml:space="preserve"> MEB.</w:t>
      </w:r>
      <w:r w:rsidR="006E52B5">
        <w:rPr>
          <w:color w:val="auto"/>
          <w:szCs w:val="24"/>
        </w:rPr>
        <w:t xml:space="preserve">  The commander’s letter </w:t>
      </w:r>
      <w:r w:rsidR="00BD538E">
        <w:rPr>
          <w:color w:val="auto"/>
          <w:szCs w:val="24"/>
        </w:rPr>
        <w:t>noted that the CI was not able to meet the basic soldiering duties due to his back and neck pain and</w:t>
      </w:r>
      <w:r w:rsidR="006E52B5">
        <w:rPr>
          <w:color w:val="auto"/>
          <w:szCs w:val="24"/>
        </w:rPr>
        <w:t xml:space="preserve"> </w:t>
      </w:r>
      <w:r w:rsidR="00BD538E">
        <w:rPr>
          <w:color w:val="auto"/>
          <w:szCs w:val="24"/>
        </w:rPr>
        <w:t>was not able to perform his duties</w:t>
      </w:r>
      <w:r w:rsidR="00745996">
        <w:rPr>
          <w:color w:val="auto"/>
          <w:szCs w:val="24"/>
        </w:rPr>
        <w:t xml:space="preserve"> in supply</w:t>
      </w:r>
      <w:r w:rsidR="00BD538E">
        <w:rPr>
          <w:color w:val="auto"/>
          <w:szCs w:val="24"/>
        </w:rPr>
        <w:t xml:space="preserve">.  The commander also noted that the CI had been relieved of his duties in September 2004 for disrespect to the Troop Supply Sergeant and that UCMJ action was being considered.  The CI was entered into the DES process two months later in November.  </w:t>
      </w:r>
      <w:r w:rsidR="00CF0280" w:rsidRPr="00F64312">
        <w:rPr>
          <w:color w:val="auto"/>
          <w:szCs w:val="24"/>
        </w:rPr>
        <w:t xml:space="preserve">At the MEB </w:t>
      </w:r>
      <w:r w:rsidR="009F5799">
        <w:rPr>
          <w:color w:val="auto"/>
          <w:szCs w:val="24"/>
        </w:rPr>
        <w:t xml:space="preserve">separation </w:t>
      </w:r>
      <w:r w:rsidR="00CF0280" w:rsidRPr="00F64312">
        <w:rPr>
          <w:color w:val="auto"/>
          <w:szCs w:val="24"/>
        </w:rPr>
        <w:t>exam</w:t>
      </w:r>
      <w:r w:rsidR="009F5799">
        <w:rPr>
          <w:color w:val="auto"/>
          <w:szCs w:val="24"/>
        </w:rPr>
        <w:t xml:space="preserve"> on 3 November 2004</w:t>
      </w:r>
      <w:r w:rsidR="00CF0280" w:rsidRPr="00F64312">
        <w:rPr>
          <w:color w:val="auto"/>
          <w:szCs w:val="24"/>
        </w:rPr>
        <w:t xml:space="preserve">, </w:t>
      </w:r>
      <w:r w:rsidR="00BD538E">
        <w:rPr>
          <w:color w:val="auto"/>
          <w:szCs w:val="24"/>
        </w:rPr>
        <w:t xml:space="preserve">just over </w:t>
      </w:r>
      <w:r w:rsidR="001953B0">
        <w:rPr>
          <w:color w:val="auto"/>
          <w:szCs w:val="24"/>
        </w:rPr>
        <w:t>6</w:t>
      </w:r>
      <w:r w:rsidR="009F5799">
        <w:rPr>
          <w:color w:val="auto"/>
          <w:szCs w:val="24"/>
        </w:rPr>
        <w:t xml:space="preserve"> months prior to separation, </w:t>
      </w:r>
      <w:r w:rsidR="00CF0280" w:rsidRPr="00F64312">
        <w:rPr>
          <w:color w:val="auto"/>
          <w:szCs w:val="24"/>
        </w:rPr>
        <w:t>the CI reported</w:t>
      </w:r>
      <w:r w:rsidR="009F5799">
        <w:rPr>
          <w:color w:val="auto"/>
          <w:szCs w:val="24"/>
        </w:rPr>
        <w:t xml:space="preserve"> constant LBP. </w:t>
      </w:r>
      <w:r w:rsidR="00CF0280" w:rsidRPr="00F64312">
        <w:rPr>
          <w:color w:val="auto"/>
          <w:szCs w:val="24"/>
        </w:rPr>
        <w:t xml:space="preserve"> The</w:t>
      </w:r>
      <w:r w:rsidR="00745996">
        <w:rPr>
          <w:color w:val="auto"/>
          <w:szCs w:val="24"/>
        </w:rPr>
        <w:t>re was</w:t>
      </w:r>
      <w:r w:rsidR="00CF0280" w:rsidRPr="00F64312">
        <w:rPr>
          <w:color w:val="auto"/>
          <w:szCs w:val="24"/>
        </w:rPr>
        <w:t xml:space="preserve"> </w:t>
      </w:r>
      <w:r w:rsidR="009F5799">
        <w:rPr>
          <w:color w:val="auto"/>
          <w:szCs w:val="24"/>
        </w:rPr>
        <w:t>lumbar tenderness</w:t>
      </w:r>
      <w:r w:rsidR="00745996">
        <w:rPr>
          <w:color w:val="auto"/>
          <w:szCs w:val="24"/>
        </w:rPr>
        <w:t xml:space="preserve"> on</w:t>
      </w:r>
      <w:r w:rsidR="00745996" w:rsidRPr="00745996">
        <w:rPr>
          <w:color w:val="auto"/>
          <w:szCs w:val="24"/>
        </w:rPr>
        <w:t xml:space="preserve"> </w:t>
      </w:r>
      <w:r w:rsidR="00745996">
        <w:rPr>
          <w:color w:val="auto"/>
          <w:szCs w:val="24"/>
        </w:rPr>
        <w:t>examination</w:t>
      </w:r>
      <w:r w:rsidR="009F5799">
        <w:rPr>
          <w:color w:val="auto"/>
          <w:szCs w:val="24"/>
        </w:rPr>
        <w:t xml:space="preserve">.  </w:t>
      </w:r>
      <w:r w:rsidR="00BD538E">
        <w:rPr>
          <w:color w:val="auto"/>
          <w:szCs w:val="24"/>
        </w:rPr>
        <w:t>A</w:t>
      </w:r>
      <w:r w:rsidR="009F5799">
        <w:rPr>
          <w:color w:val="auto"/>
          <w:szCs w:val="24"/>
        </w:rPr>
        <w:t>n orthopedic examination was performed two weeks later</w:t>
      </w:r>
      <w:r w:rsidR="00630A99">
        <w:rPr>
          <w:color w:val="auto"/>
          <w:szCs w:val="24"/>
        </w:rPr>
        <w:t xml:space="preserve"> on 17 November 2004</w:t>
      </w:r>
      <w:r w:rsidR="00BD538E">
        <w:rPr>
          <w:color w:val="auto"/>
          <w:szCs w:val="24"/>
        </w:rPr>
        <w:t xml:space="preserve">, </w:t>
      </w:r>
      <w:r w:rsidR="001953B0">
        <w:rPr>
          <w:color w:val="auto"/>
          <w:szCs w:val="24"/>
        </w:rPr>
        <w:t>6</w:t>
      </w:r>
      <w:r w:rsidR="00BD538E">
        <w:rPr>
          <w:color w:val="auto"/>
          <w:szCs w:val="24"/>
        </w:rPr>
        <w:t xml:space="preserve"> months prior to separation, </w:t>
      </w:r>
      <w:r w:rsidR="0002051A">
        <w:rPr>
          <w:color w:val="auto"/>
          <w:szCs w:val="24"/>
        </w:rPr>
        <w:t>specifically for the MEB process</w:t>
      </w:r>
      <w:r w:rsidR="00BD538E">
        <w:rPr>
          <w:color w:val="auto"/>
          <w:szCs w:val="24"/>
        </w:rPr>
        <w:t xml:space="preserve">.  </w:t>
      </w:r>
      <w:r w:rsidR="009F5799">
        <w:rPr>
          <w:color w:val="auto"/>
          <w:szCs w:val="24"/>
        </w:rPr>
        <w:t>The pain was noted to be non-radiating and he denied bowel or bladder incontinence.  He ha</w:t>
      </w:r>
      <w:r w:rsidR="00630A99">
        <w:rPr>
          <w:color w:val="auto"/>
          <w:szCs w:val="24"/>
        </w:rPr>
        <w:t>d</w:t>
      </w:r>
      <w:r w:rsidR="009F5799">
        <w:rPr>
          <w:color w:val="auto"/>
          <w:szCs w:val="24"/>
        </w:rPr>
        <w:t xml:space="preserve"> normal </w:t>
      </w:r>
      <w:r w:rsidR="009F5799" w:rsidRPr="00337286">
        <w:rPr>
          <w:color w:val="auto"/>
          <w:szCs w:val="24"/>
        </w:rPr>
        <w:t xml:space="preserve">motor and deep tendon reflex (DTR) examinations.  Gait was non-antalgic and heel/toe gait normal.  </w:t>
      </w:r>
      <w:r w:rsidR="00163CEF" w:rsidRPr="00337286">
        <w:rPr>
          <w:color w:val="auto"/>
          <w:szCs w:val="24"/>
        </w:rPr>
        <w:t>The</w:t>
      </w:r>
      <w:r w:rsidR="009F5799" w:rsidRPr="00337286">
        <w:rPr>
          <w:color w:val="auto"/>
          <w:szCs w:val="24"/>
        </w:rPr>
        <w:t xml:space="preserve"> straight leg raise (SLR) </w:t>
      </w:r>
      <w:r w:rsidR="00163CEF" w:rsidRPr="00337286">
        <w:rPr>
          <w:color w:val="auto"/>
          <w:szCs w:val="24"/>
        </w:rPr>
        <w:t>was negative for signs of radiculopathy</w:t>
      </w:r>
      <w:r w:rsidR="009F5799" w:rsidRPr="00337286">
        <w:rPr>
          <w:color w:val="auto"/>
          <w:szCs w:val="24"/>
        </w:rPr>
        <w:t>.</w:t>
      </w:r>
      <w:r w:rsidR="006E27B0" w:rsidRPr="00337286">
        <w:rPr>
          <w:color w:val="auto"/>
          <w:szCs w:val="24"/>
        </w:rPr>
        <w:t xml:space="preserve"> </w:t>
      </w:r>
      <w:r w:rsidR="009F5799" w:rsidRPr="00337286">
        <w:rPr>
          <w:color w:val="auto"/>
          <w:szCs w:val="24"/>
        </w:rPr>
        <w:t xml:space="preserve"> Imaging was reviewed and noted to show “mild lumbar curvature.</w:t>
      </w:r>
      <w:r w:rsidR="004518FE">
        <w:rPr>
          <w:color w:val="auto"/>
          <w:szCs w:val="24"/>
        </w:rPr>
        <w:t>”</w:t>
      </w:r>
      <w:r w:rsidR="009F5799" w:rsidRPr="00337286">
        <w:rPr>
          <w:color w:val="auto"/>
          <w:szCs w:val="24"/>
        </w:rPr>
        <w:t xml:space="preserve">  </w:t>
      </w:r>
      <w:r w:rsidR="0002051A" w:rsidRPr="00337286">
        <w:rPr>
          <w:color w:val="auto"/>
          <w:szCs w:val="24"/>
        </w:rPr>
        <w:t xml:space="preserve">No ROM measurements for the lumbar spine were documented.  Mechanical LBP was diagnosed.  </w:t>
      </w:r>
      <w:r w:rsidR="00463CE5" w:rsidRPr="00337286">
        <w:rPr>
          <w:color w:val="auto"/>
          <w:szCs w:val="24"/>
        </w:rPr>
        <w:t>Th</w:t>
      </w:r>
      <w:r w:rsidR="00163CEF" w:rsidRPr="00337286">
        <w:rPr>
          <w:color w:val="auto"/>
          <w:szCs w:val="24"/>
        </w:rPr>
        <w:t xml:space="preserve">ere </w:t>
      </w:r>
      <w:r w:rsidR="00BA13B5" w:rsidRPr="00337286">
        <w:rPr>
          <w:color w:val="auto"/>
          <w:szCs w:val="24"/>
        </w:rPr>
        <w:t>w</w:t>
      </w:r>
      <w:r w:rsidR="00163CEF" w:rsidRPr="00337286">
        <w:rPr>
          <w:color w:val="auto"/>
          <w:szCs w:val="24"/>
        </w:rPr>
        <w:t xml:space="preserve">as pain on three </w:t>
      </w:r>
      <w:r w:rsidR="006E27B0" w:rsidRPr="00337286">
        <w:rPr>
          <w:color w:val="auto"/>
          <w:szCs w:val="24"/>
        </w:rPr>
        <w:t xml:space="preserve">maneuvers not expected to produce pain based on </w:t>
      </w:r>
      <w:r w:rsidR="00C4547F">
        <w:rPr>
          <w:color w:val="auto"/>
          <w:szCs w:val="24"/>
        </w:rPr>
        <w:t xml:space="preserve">known </w:t>
      </w:r>
      <w:r w:rsidR="006E27B0" w:rsidRPr="00337286">
        <w:rPr>
          <w:color w:val="auto"/>
          <w:szCs w:val="24"/>
        </w:rPr>
        <w:t>pathology</w:t>
      </w:r>
      <w:r w:rsidR="00163CEF" w:rsidRPr="00337286">
        <w:rPr>
          <w:color w:val="auto"/>
          <w:szCs w:val="24"/>
        </w:rPr>
        <w:t>.</w:t>
      </w:r>
      <w:r w:rsidR="00163CEF" w:rsidRPr="00163CEF">
        <w:rPr>
          <w:color w:val="auto"/>
          <w:szCs w:val="24"/>
        </w:rPr>
        <w:t xml:space="preserve">  </w:t>
      </w:r>
      <w:r w:rsidR="0002051A" w:rsidRPr="00337286">
        <w:rPr>
          <w:color w:val="auto"/>
          <w:szCs w:val="24"/>
        </w:rPr>
        <w:t xml:space="preserve">The examiner commented that the LBP contributed to the inability of the CI to pass his physical fitness training (PFT) and meet duty requirements.  </w:t>
      </w:r>
    </w:p>
    <w:p w:rsidR="001953B0" w:rsidRDefault="001953B0" w:rsidP="00145FDA">
      <w:pPr>
        <w:jc w:val="both"/>
        <w:rPr>
          <w:color w:val="auto"/>
          <w:szCs w:val="24"/>
        </w:rPr>
      </w:pPr>
    </w:p>
    <w:p w:rsidR="00145FDA" w:rsidRPr="00F64312" w:rsidRDefault="0002051A" w:rsidP="00145FDA">
      <w:pPr>
        <w:jc w:val="both"/>
        <w:rPr>
          <w:rFonts w:eastAsia="Calibri" w:cs="Times New Roman"/>
          <w:color w:val="auto"/>
          <w:szCs w:val="24"/>
        </w:rPr>
      </w:pPr>
      <w:r w:rsidRPr="00337286">
        <w:rPr>
          <w:color w:val="auto"/>
          <w:szCs w:val="24"/>
        </w:rPr>
        <w:t>The Board noted that the CI had failed a PFT test on 18 August 2003</w:t>
      </w:r>
      <w:r w:rsidR="00163CEF" w:rsidRPr="00337286">
        <w:rPr>
          <w:color w:val="auto"/>
          <w:szCs w:val="24"/>
        </w:rPr>
        <w:t xml:space="preserve"> due to being overweight</w:t>
      </w:r>
      <w:r w:rsidRPr="00337286">
        <w:rPr>
          <w:color w:val="auto"/>
          <w:szCs w:val="24"/>
        </w:rPr>
        <w:t>, prior to his fall</w:t>
      </w:r>
      <w:r w:rsidR="00163CEF" w:rsidRPr="00337286">
        <w:rPr>
          <w:color w:val="auto"/>
          <w:szCs w:val="24"/>
        </w:rPr>
        <w:t xml:space="preserve"> that December</w:t>
      </w:r>
      <w:r w:rsidRPr="00337286">
        <w:rPr>
          <w:color w:val="auto"/>
          <w:szCs w:val="24"/>
        </w:rPr>
        <w:t xml:space="preserve">, </w:t>
      </w:r>
      <w:r w:rsidR="00163CEF" w:rsidRPr="00337286">
        <w:rPr>
          <w:color w:val="auto"/>
          <w:szCs w:val="24"/>
        </w:rPr>
        <w:t xml:space="preserve">but </w:t>
      </w:r>
      <w:r w:rsidRPr="00337286">
        <w:rPr>
          <w:color w:val="auto"/>
          <w:szCs w:val="24"/>
        </w:rPr>
        <w:t xml:space="preserve">that he </w:t>
      </w:r>
      <w:r w:rsidR="00163CEF" w:rsidRPr="00337286">
        <w:rPr>
          <w:color w:val="auto"/>
          <w:szCs w:val="24"/>
        </w:rPr>
        <w:t xml:space="preserve">passed </w:t>
      </w:r>
      <w:r w:rsidR="00DC7BC9">
        <w:rPr>
          <w:color w:val="auto"/>
          <w:szCs w:val="24"/>
        </w:rPr>
        <w:t>one</w:t>
      </w:r>
      <w:r w:rsidR="00163CEF" w:rsidRPr="00337286">
        <w:rPr>
          <w:color w:val="auto"/>
          <w:szCs w:val="24"/>
        </w:rPr>
        <w:t xml:space="preserve"> in October 2003 and </w:t>
      </w:r>
      <w:r w:rsidRPr="00337286">
        <w:rPr>
          <w:color w:val="auto"/>
          <w:szCs w:val="24"/>
        </w:rPr>
        <w:t xml:space="preserve">also was able to pass </w:t>
      </w:r>
      <w:r w:rsidR="00DC7BC9">
        <w:rPr>
          <w:color w:val="auto"/>
          <w:szCs w:val="24"/>
        </w:rPr>
        <w:t>one</w:t>
      </w:r>
      <w:r w:rsidRPr="00337286">
        <w:rPr>
          <w:color w:val="auto"/>
          <w:szCs w:val="24"/>
        </w:rPr>
        <w:t xml:space="preserve"> at least once after the fall, in February 2004</w:t>
      </w:r>
      <w:r w:rsidR="00163CEF" w:rsidRPr="00337286">
        <w:rPr>
          <w:color w:val="auto"/>
          <w:szCs w:val="24"/>
        </w:rPr>
        <w:t xml:space="preserve">.  </w:t>
      </w:r>
      <w:r w:rsidR="00DC7BC9">
        <w:rPr>
          <w:color w:val="auto"/>
          <w:szCs w:val="24"/>
        </w:rPr>
        <w:t xml:space="preserve">He failed </w:t>
      </w:r>
      <w:r w:rsidR="006E52B5">
        <w:rPr>
          <w:color w:val="auto"/>
          <w:szCs w:val="24"/>
        </w:rPr>
        <w:t>A</w:t>
      </w:r>
      <w:r w:rsidR="00DC7BC9">
        <w:rPr>
          <w:color w:val="auto"/>
          <w:szCs w:val="24"/>
        </w:rPr>
        <w:t>PFT</w:t>
      </w:r>
      <w:r w:rsidR="0005710A" w:rsidRPr="00337286">
        <w:rPr>
          <w:color w:val="auto"/>
          <w:szCs w:val="24"/>
        </w:rPr>
        <w:t xml:space="preserve"> on 14 January 2004 due to weight</w:t>
      </w:r>
      <w:r w:rsidR="00DC7BC9">
        <w:rPr>
          <w:color w:val="auto"/>
          <w:szCs w:val="24"/>
        </w:rPr>
        <w:t xml:space="preserve"> </w:t>
      </w:r>
      <w:r w:rsidR="006E52B5">
        <w:rPr>
          <w:color w:val="auto"/>
          <w:szCs w:val="24"/>
        </w:rPr>
        <w:t xml:space="preserve">(with passing scores for the run, pushups and sit-ups) </w:t>
      </w:r>
      <w:r w:rsidR="00DC7BC9">
        <w:rPr>
          <w:color w:val="auto"/>
          <w:szCs w:val="24"/>
        </w:rPr>
        <w:t>and also</w:t>
      </w:r>
      <w:r w:rsidR="00DC7BC9" w:rsidRPr="00337286">
        <w:rPr>
          <w:color w:val="auto"/>
          <w:szCs w:val="24"/>
        </w:rPr>
        <w:t xml:space="preserve"> </w:t>
      </w:r>
      <w:r w:rsidR="00DC7BC9">
        <w:rPr>
          <w:color w:val="auto"/>
          <w:szCs w:val="24"/>
        </w:rPr>
        <w:t>failed</w:t>
      </w:r>
      <w:r w:rsidR="0005710A" w:rsidRPr="00337286">
        <w:rPr>
          <w:color w:val="auto"/>
          <w:szCs w:val="24"/>
        </w:rPr>
        <w:t xml:space="preserve"> on 21 January due to both weight and a low score on the two mile run.</w:t>
      </w:r>
      <w:r w:rsidR="00E944B3">
        <w:rPr>
          <w:color w:val="auto"/>
          <w:szCs w:val="24"/>
        </w:rPr>
        <w:t xml:space="preserve">  </w:t>
      </w:r>
      <w:r w:rsidR="00413497" w:rsidRPr="00337286">
        <w:rPr>
          <w:color w:val="auto"/>
        </w:rPr>
        <w:t xml:space="preserve">The narrative summary (NARSUM) </w:t>
      </w:r>
      <w:r w:rsidRPr="00337286">
        <w:rPr>
          <w:color w:val="auto"/>
        </w:rPr>
        <w:t xml:space="preserve">was dictated 11 February 2005, less than </w:t>
      </w:r>
      <w:r w:rsidR="001953B0">
        <w:rPr>
          <w:color w:val="auto"/>
        </w:rPr>
        <w:t>2</w:t>
      </w:r>
      <w:r w:rsidRPr="00337286">
        <w:rPr>
          <w:color w:val="auto"/>
        </w:rPr>
        <w:t xml:space="preserve"> months prior to separation.  The examiner documented that the CI could walk at his own pace without significant limitations, but that otherwise his</w:t>
      </w:r>
      <w:r w:rsidR="00463CE5" w:rsidRPr="00337286">
        <w:rPr>
          <w:color w:val="auto"/>
        </w:rPr>
        <w:t xml:space="preserve"> activities were </w:t>
      </w:r>
      <w:r w:rsidRPr="00337286">
        <w:rPr>
          <w:color w:val="auto"/>
        </w:rPr>
        <w:t>impaired</w:t>
      </w:r>
      <w:r w:rsidR="00242C47" w:rsidRPr="00337286">
        <w:rPr>
          <w:color w:val="auto"/>
        </w:rPr>
        <w:t xml:space="preserve"> and that duty restrictions had not been sufficient for improvement in his condition</w:t>
      </w:r>
      <w:r w:rsidRPr="00337286">
        <w:rPr>
          <w:color w:val="auto"/>
        </w:rPr>
        <w:t xml:space="preserve">.  </w:t>
      </w:r>
      <w:r w:rsidR="00463CE5" w:rsidRPr="00337286">
        <w:rPr>
          <w:color w:val="auto"/>
        </w:rPr>
        <w:t xml:space="preserve">There was tenderness over the lumbar paraspinal muscles without spasm or deformity. </w:t>
      </w:r>
      <w:r w:rsidR="0005710A" w:rsidRPr="00337286">
        <w:rPr>
          <w:color w:val="auto"/>
        </w:rPr>
        <w:t xml:space="preserve"> The ROM is </w:t>
      </w:r>
      <w:r w:rsidR="00DD4245">
        <w:rPr>
          <w:color w:val="auto"/>
        </w:rPr>
        <w:t xml:space="preserve">in the chart </w:t>
      </w:r>
      <w:r w:rsidR="0005710A" w:rsidRPr="00337286">
        <w:rPr>
          <w:color w:val="auto"/>
        </w:rPr>
        <w:t xml:space="preserve">above.  </w:t>
      </w:r>
      <w:r w:rsidR="0005710A" w:rsidRPr="00337286">
        <w:rPr>
          <w:color w:val="auto"/>
          <w:szCs w:val="24"/>
        </w:rPr>
        <w:t>There</w:t>
      </w:r>
      <w:r w:rsidR="00DD4245">
        <w:rPr>
          <w:color w:val="auto"/>
          <w:szCs w:val="24"/>
        </w:rPr>
        <w:t xml:space="preserve"> w</w:t>
      </w:r>
      <w:r w:rsidR="0005710A" w:rsidRPr="00337286">
        <w:rPr>
          <w:color w:val="auto"/>
          <w:szCs w:val="24"/>
        </w:rPr>
        <w:t xml:space="preserve">as pain on one maneuver not expected to produce pain based on pathology.  </w:t>
      </w:r>
      <w:r w:rsidR="00463CE5" w:rsidRPr="00337286">
        <w:rPr>
          <w:color w:val="auto"/>
        </w:rPr>
        <w:t>He was noted to have DDD of the lumbar spine unresponsive to conservative treatment with secondary limitations in physical activity.</w:t>
      </w:r>
      <w:r w:rsidR="00463CE5">
        <w:rPr>
          <w:color w:val="auto"/>
        </w:rPr>
        <w:t xml:space="preserve">  </w:t>
      </w:r>
      <w:r w:rsidR="00625094" w:rsidRPr="00F64312">
        <w:rPr>
          <w:color w:val="auto"/>
          <w:szCs w:val="24"/>
        </w:rPr>
        <w:t>At the VA Compensation and Pension (C&amp;P) exam</w:t>
      </w:r>
      <w:r w:rsidR="00625094">
        <w:rPr>
          <w:color w:val="auto"/>
          <w:szCs w:val="24"/>
        </w:rPr>
        <w:t xml:space="preserve"> </w:t>
      </w:r>
      <w:r w:rsidR="001953B0">
        <w:rPr>
          <w:color w:val="auto"/>
          <w:szCs w:val="24"/>
        </w:rPr>
        <w:t xml:space="preserve">performed </w:t>
      </w:r>
      <w:r w:rsidR="00625094">
        <w:rPr>
          <w:color w:val="auto"/>
          <w:szCs w:val="24"/>
        </w:rPr>
        <w:t xml:space="preserve">on 19 May 2005, </w:t>
      </w:r>
      <w:r w:rsidR="001953B0">
        <w:rPr>
          <w:color w:val="auto"/>
          <w:szCs w:val="24"/>
        </w:rPr>
        <w:t>6</w:t>
      </w:r>
      <w:r w:rsidR="00625094">
        <w:rPr>
          <w:color w:val="auto"/>
          <w:szCs w:val="24"/>
        </w:rPr>
        <w:t xml:space="preserve"> weeks </w:t>
      </w:r>
      <w:r w:rsidR="00625094" w:rsidRPr="00D531C2">
        <w:rPr>
          <w:color w:val="auto"/>
          <w:szCs w:val="24"/>
        </w:rPr>
        <w:t>after</w:t>
      </w:r>
      <w:r w:rsidR="00625094">
        <w:rPr>
          <w:color w:val="auto"/>
          <w:szCs w:val="24"/>
        </w:rPr>
        <w:t xml:space="preserve"> separation</w:t>
      </w:r>
      <w:r w:rsidR="00625094" w:rsidRPr="00F64312">
        <w:rPr>
          <w:color w:val="auto"/>
          <w:szCs w:val="24"/>
        </w:rPr>
        <w:t>, the CI reported</w:t>
      </w:r>
      <w:r w:rsidR="00625094">
        <w:rPr>
          <w:color w:val="auto"/>
          <w:szCs w:val="24"/>
        </w:rPr>
        <w:t xml:space="preserve"> that he had daily pain rated at 7/10 and needed bed rest twice a week for 30 minutes to two hours.  He denied sciatica.  He could </w:t>
      </w:r>
      <w:r w:rsidR="00625094" w:rsidRPr="00337286">
        <w:rPr>
          <w:color w:val="auto"/>
          <w:szCs w:val="24"/>
        </w:rPr>
        <w:t xml:space="preserve">lift 15 pounds, sit for one to two hours and stand for 15 minutes.  </w:t>
      </w:r>
      <w:r w:rsidR="00625094" w:rsidRPr="00DD4245">
        <w:rPr>
          <w:color w:val="auto"/>
          <w:szCs w:val="24"/>
        </w:rPr>
        <w:t xml:space="preserve">On examination, </w:t>
      </w:r>
      <w:r w:rsidR="00DD4245" w:rsidRPr="00DD4245">
        <w:rPr>
          <w:color w:val="auto"/>
          <w:szCs w:val="24"/>
        </w:rPr>
        <w:t xml:space="preserve">the </w:t>
      </w:r>
      <w:r w:rsidR="00625094" w:rsidRPr="00337286">
        <w:rPr>
          <w:color w:val="auto"/>
          <w:szCs w:val="24"/>
        </w:rPr>
        <w:t xml:space="preserve">lumbar spine was grossly intact.  No assistive devices were used and he had no limp.  There was no difficulty rising from a chair or changing positions on the examination table.  </w:t>
      </w:r>
      <w:r w:rsidR="008E5CCD" w:rsidRPr="00337286">
        <w:rPr>
          <w:color w:val="auto"/>
          <w:szCs w:val="24"/>
        </w:rPr>
        <w:t>Sensation, strength and reflexes were noted to be essentially normal</w:t>
      </w:r>
      <w:r w:rsidR="0005710A" w:rsidRPr="00337286">
        <w:rPr>
          <w:color w:val="auto"/>
          <w:szCs w:val="24"/>
        </w:rPr>
        <w:t>.</w:t>
      </w:r>
      <w:r w:rsidR="006E27B0" w:rsidRPr="00337286">
        <w:rPr>
          <w:color w:val="auto"/>
          <w:szCs w:val="24"/>
        </w:rPr>
        <w:t xml:space="preserve"> </w:t>
      </w:r>
      <w:r w:rsidR="00625094" w:rsidRPr="00337286">
        <w:rPr>
          <w:color w:val="auto"/>
          <w:szCs w:val="24"/>
        </w:rPr>
        <w:t xml:space="preserve"> He was able to perform repetitive ROM without difficulty; the </w:t>
      </w:r>
      <w:r w:rsidR="00C4547F">
        <w:rPr>
          <w:color w:val="auto"/>
          <w:szCs w:val="24"/>
        </w:rPr>
        <w:t xml:space="preserve">ROM </w:t>
      </w:r>
      <w:r w:rsidR="00625094" w:rsidRPr="00337286">
        <w:rPr>
          <w:color w:val="auto"/>
          <w:szCs w:val="24"/>
        </w:rPr>
        <w:t>values</w:t>
      </w:r>
      <w:r w:rsidR="00DD4245">
        <w:rPr>
          <w:color w:val="auto"/>
          <w:szCs w:val="24"/>
        </w:rPr>
        <w:t xml:space="preserve"> were mildly reduced and </w:t>
      </w:r>
      <w:r w:rsidR="00625094" w:rsidRPr="00337286">
        <w:rPr>
          <w:color w:val="auto"/>
          <w:szCs w:val="24"/>
        </w:rPr>
        <w:t xml:space="preserve">are </w:t>
      </w:r>
      <w:r w:rsidR="00DD4245">
        <w:rPr>
          <w:color w:val="auto"/>
          <w:szCs w:val="24"/>
        </w:rPr>
        <w:t xml:space="preserve">in the chart </w:t>
      </w:r>
      <w:r w:rsidR="00625094" w:rsidRPr="00337286">
        <w:rPr>
          <w:color w:val="auto"/>
          <w:szCs w:val="24"/>
        </w:rPr>
        <w:t xml:space="preserve">above.  </w:t>
      </w:r>
      <w:r w:rsidR="00C609A0" w:rsidRPr="00337286">
        <w:rPr>
          <w:color w:val="auto"/>
          <w:szCs w:val="24"/>
        </w:rPr>
        <w:t>DeLuca criteria were negative</w:t>
      </w:r>
      <w:r w:rsidR="00C609A0">
        <w:rPr>
          <w:color w:val="auto"/>
          <w:szCs w:val="24"/>
        </w:rPr>
        <w:t>.</w:t>
      </w:r>
      <w:r w:rsidR="00E944B3">
        <w:rPr>
          <w:color w:val="auto"/>
          <w:szCs w:val="24"/>
        </w:rPr>
        <w:t xml:space="preserve">  </w:t>
      </w:r>
      <w:r w:rsidR="006A73EE">
        <w:rPr>
          <w:color w:val="auto"/>
          <w:szCs w:val="24"/>
        </w:rPr>
        <w:t xml:space="preserve">There were no other records in evidence in the post separation period until the VA C&amp;P examination </w:t>
      </w:r>
      <w:r w:rsidR="00145FDA">
        <w:rPr>
          <w:color w:val="auto"/>
          <w:szCs w:val="24"/>
        </w:rPr>
        <w:t xml:space="preserve">dated 16 February 2011, </w:t>
      </w:r>
      <w:r w:rsidR="006A73EE">
        <w:rPr>
          <w:color w:val="auto"/>
          <w:szCs w:val="24"/>
        </w:rPr>
        <w:t xml:space="preserve">almost </w:t>
      </w:r>
      <w:r w:rsidR="00F74DA2">
        <w:rPr>
          <w:color w:val="auto"/>
          <w:szCs w:val="24"/>
        </w:rPr>
        <w:t>6</w:t>
      </w:r>
      <w:r w:rsidR="006A73EE">
        <w:rPr>
          <w:color w:val="auto"/>
          <w:szCs w:val="24"/>
        </w:rPr>
        <w:t xml:space="preserve"> years after separation.  </w:t>
      </w:r>
      <w:r w:rsidR="00DD4245">
        <w:rPr>
          <w:color w:val="auto"/>
          <w:szCs w:val="24"/>
        </w:rPr>
        <w:t>Although t</w:t>
      </w:r>
      <w:r w:rsidR="00D06B87">
        <w:rPr>
          <w:color w:val="auto"/>
          <w:szCs w:val="24"/>
        </w:rPr>
        <w:t>his examination is well outside the 12</w:t>
      </w:r>
      <w:r w:rsidR="00F74DA2">
        <w:rPr>
          <w:color w:val="auto"/>
          <w:szCs w:val="24"/>
        </w:rPr>
        <w:t xml:space="preserve"> </w:t>
      </w:r>
      <w:r w:rsidR="00D06B87">
        <w:rPr>
          <w:color w:val="auto"/>
          <w:szCs w:val="24"/>
        </w:rPr>
        <w:t>month post-separation window normally used by the Board in assessing disability</w:t>
      </w:r>
      <w:r w:rsidR="00DD4245">
        <w:rPr>
          <w:color w:val="auto"/>
          <w:szCs w:val="24"/>
        </w:rPr>
        <w:t xml:space="preserve"> it is </w:t>
      </w:r>
      <w:r w:rsidR="00D06B87">
        <w:rPr>
          <w:color w:val="auto"/>
          <w:szCs w:val="24"/>
        </w:rPr>
        <w:t>similar</w:t>
      </w:r>
      <w:r w:rsidR="00DD4245">
        <w:rPr>
          <w:color w:val="auto"/>
          <w:szCs w:val="24"/>
        </w:rPr>
        <w:t xml:space="preserve"> to the first post separation C&amp;P examination</w:t>
      </w:r>
      <w:r w:rsidR="00D06B87">
        <w:rPr>
          <w:color w:val="auto"/>
          <w:szCs w:val="24"/>
        </w:rPr>
        <w:t xml:space="preserve"> strengthening the </w:t>
      </w:r>
      <w:r w:rsidR="003C75E5">
        <w:rPr>
          <w:color w:val="auto"/>
          <w:szCs w:val="24"/>
        </w:rPr>
        <w:t xml:space="preserve">value to the </w:t>
      </w:r>
      <w:r w:rsidR="00DD4245">
        <w:rPr>
          <w:color w:val="auto"/>
          <w:szCs w:val="24"/>
        </w:rPr>
        <w:t xml:space="preserve">initial </w:t>
      </w:r>
      <w:r w:rsidR="003C75E5">
        <w:rPr>
          <w:color w:val="auto"/>
          <w:szCs w:val="24"/>
        </w:rPr>
        <w:t>C&amp;P examination and demonstrating stability of the back (and neck) condition.</w:t>
      </w:r>
      <w:r w:rsidR="00DD4245">
        <w:rPr>
          <w:color w:val="auto"/>
          <w:szCs w:val="24"/>
        </w:rPr>
        <w:t xml:space="preserve">  </w:t>
      </w:r>
      <w:r w:rsidR="006A73EE">
        <w:rPr>
          <w:color w:val="auto"/>
          <w:szCs w:val="24"/>
        </w:rPr>
        <w:t>At this examination, the CI endorsed progressive worsening of his symptoms since separation</w:t>
      </w:r>
      <w:r w:rsidR="006F39DE">
        <w:rPr>
          <w:color w:val="auto"/>
          <w:szCs w:val="24"/>
        </w:rPr>
        <w:t>;</w:t>
      </w:r>
      <w:r w:rsidR="00DD4245">
        <w:rPr>
          <w:color w:val="auto"/>
          <w:szCs w:val="24"/>
        </w:rPr>
        <w:t xml:space="preserve"> however</w:t>
      </w:r>
      <w:r w:rsidR="006F39DE">
        <w:rPr>
          <w:color w:val="auto"/>
          <w:szCs w:val="24"/>
        </w:rPr>
        <w:t>,</w:t>
      </w:r>
      <w:r w:rsidR="00DD4245">
        <w:rPr>
          <w:color w:val="auto"/>
          <w:szCs w:val="24"/>
        </w:rPr>
        <w:t xml:space="preserve"> he </w:t>
      </w:r>
      <w:r w:rsidR="0055339D">
        <w:rPr>
          <w:color w:val="auto"/>
          <w:szCs w:val="24"/>
        </w:rPr>
        <w:t>report</w:t>
      </w:r>
      <w:r w:rsidR="00145FDA">
        <w:rPr>
          <w:color w:val="auto"/>
          <w:szCs w:val="24"/>
        </w:rPr>
        <w:t xml:space="preserve">ed </w:t>
      </w:r>
      <w:r w:rsidR="006A73EE">
        <w:rPr>
          <w:color w:val="auto"/>
          <w:szCs w:val="24"/>
        </w:rPr>
        <w:t xml:space="preserve">that he had been working full-time as a carpenter.  </w:t>
      </w:r>
      <w:r w:rsidR="00301DAB">
        <w:rPr>
          <w:color w:val="auto"/>
          <w:szCs w:val="24"/>
        </w:rPr>
        <w:t xml:space="preserve">He </w:t>
      </w:r>
      <w:r w:rsidR="00E944B3">
        <w:rPr>
          <w:color w:val="auto"/>
          <w:szCs w:val="24"/>
        </w:rPr>
        <w:t xml:space="preserve">reported he </w:t>
      </w:r>
      <w:r w:rsidR="00301DAB">
        <w:rPr>
          <w:color w:val="auto"/>
          <w:szCs w:val="24"/>
        </w:rPr>
        <w:t xml:space="preserve">had missed four and one half weeks of work due to his back pain.  </w:t>
      </w:r>
      <w:r w:rsidR="00DD4245">
        <w:rPr>
          <w:color w:val="auto"/>
          <w:szCs w:val="24"/>
        </w:rPr>
        <w:t>T</w:t>
      </w:r>
      <w:r w:rsidR="00301DAB">
        <w:rPr>
          <w:color w:val="auto"/>
          <w:szCs w:val="24"/>
        </w:rPr>
        <w:t xml:space="preserve">here was no physician directed bed rest meeting the incapacitation description.  </w:t>
      </w:r>
      <w:r w:rsidR="00E944B3">
        <w:rPr>
          <w:color w:val="auto"/>
          <w:szCs w:val="24"/>
        </w:rPr>
        <w:t xml:space="preserve">Gait was normal and he </w:t>
      </w:r>
      <w:r w:rsidR="00301DAB">
        <w:rPr>
          <w:color w:val="auto"/>
          <w:szCs w:val="24"/>
        </w:rPr>
        <w:t xml:space="preserve">was able to get onto the examination table without assistance or the use of a step stool and remove his shoes and socks without difficulty.  </w:t>
      </w:r>
      <w:r w:rsidR="00E944B3">
        <w:rPr>
          <w:color w:val="auto"/>
          <w:szCs w:val="24"/>
        </w:rPr>
        <w:t xml:space="preserve">On examination there was </w:t>
      </w:r>
      <w:r w:rsidR="00301DAB">
        <w:rPr>
          <w:color w:val="auto"/>
          <w:szCs w:val="24"/>
        </w:rPr>
        <w:t>tender</w:t>
      </w:r>
      <w:r w:rsidR="00E944B3">
        <w:rPr>
          <w:color w:val="auto"/>
          <w:szCs w:val="24"/>
        </w:rPr>
        <w:t>ness without muscle</w:t>
      </w:r>
      <w:r w:rsidR="00301DAB">
        <w:rPr>
          <w:color w:val="auto"/>
          <w:szCs w:val="24"/>
        </w:rPr>
        <w:t xml:space="preserve"> spasm.  Flexion was 70 degrees and rotation 25 degrees bilaterally, but </w:t>
      </w:r>
      <w:r w:rsidR="00E92267">
        <w:rPr>
          <w:color w:val="auto"/>
          <w:szCs w:val="24"/>
        </w:rPr>
        <w:t xml:space="preserve">ROM </w:t>
      </w:r>
      <w:r w:rsidR="00301DAB">
        <w:rPr>
          <w:color w:val="auto"/>
          <w:szCs w:val="24"/>
        </w:rPr>
        <w:t>was otherwise normal.  DeLuca criteria were absent.  The sensory exam was inconsistent and the changes non-anatomic.  Motor and DTR examinations were normal.  No atrophy was noted.</w:t>
      </w:r>
      <w:r w:rsidR="00E944B3">
        <w:rPr>
          <w:color w:val="auto"/>
          <w:szCs w:val="24"/>
        </w:rPr>
        <w:t xml:space="preserve">  </w:t>
      </w:r>
      <w:r w:rsidR="00AD2379" w:rsidRPr="00F64312">
        <w:rPr>
          <w:rFonts w:cs="Times New Roman"/>
          <w:color w:val="auto"/>
        </w:rPr>
        <w:t>The Board directs attenti</w:t>
      </w:r>
      <w:r w:rsidR="00782CC1" w:rsidRPr="00F64312">
        <w:rPr>
          <w:rFonts w:cs="Times New Roman"/>
          <w:color w:val="auto"/>
        </w:rPr>
        <w:t>on to its rating recommendation</w:t>
      </w:r>
      <w:r w:rsidR="00AD2379" w:rsidRPr="00F64312">
        <w:rPr>
          <w:rFonts w:cs="Times New Roman"/>
          <w:color w:val="auto"/>
        </w:rPr>
        <w:t xml:space="preserve"> </w:t>
      </w:r>
      <w:r w:rsidR="00B13A51" w:rsidRPr="00F64312">
        <w:rPr>
          <w:rFonts w:cs="Times New Roman"/>
          <w:color w:val="auto"/>
        </w:rPr>
        <w:t>based on the above evidence</w:t>
      </w:r>
      <w:r w:rsidR="00AD2379" w:rsidRPr="00F64312">
        <w:rPr>
          <w:rFonts w:cs="Times New Roman"/>
          <w:color w:val="auto"/>
        </w:rPr>
        <w:t>.</w:t>
      </w:r>
      <w:r w:rsidR="00165C7B" w:rsidRPr="00F64312">
        <w:rPr>
          <w:rFonts w:cs="Times New Roman"/>
          <w:color w:val="auto"/>
        </w:rPr>
        <w:t xml:space="preserve">  </w:t>
      </w:r>
      <w:r w:rsidR="00A950A2">
        <w:rPr>
          <w:rFonts w:cs="Times New Roman"/>
          <w:color w:val="auto"/>
        </w:rPr>
        <w:t>The VA and PEB both rated the back</w:t>
      </w:r>
      <w:r w:rsidR="00E944B3">
        <w:rPr>
          <w:rFonts w:cs="Times New Roman"/>
          <w:color w:val="auto"/>
        </w:rPr>
        <w:t xml:space="preserve"> pain condition </w:t>
      </w:r>
      <w:r w:rsidR="00A950A2">
        <w:rPr>
          <w:rFonts w:cs="Times New Roman"/>
          <w:color w:val="auto"/>
        </w:rPr>
        <w:t xml:space="preserve">10%.  </w:t>
      </w:r>
      <w:r w:rsidR="002A14A4">
        <w:rPr>
          <w:rFonts w:cs="Times New Roman"/>
          <w:color w:val="auto"/>
        </w:rPr>
        <w:t>The different codes chosen by</w:t>
      </w:r>
      <w:r w:rsidR="00A950A2">
        <w:rPr>
          <w:rFonts w:cs="Times New Roman"/>
          <w:color w:val="auto"/>
        </w:rPr>
        <w:t xml:space="preserve"> the PEB </w:t>
      </w:r>
      <w:r w:rsidR="002A14A4">
        <w:rPr>
          <w:rFonts w:cs="Times New Roman"/>
          <w:color w:val="auto"/>
        </w:rPr>
        <w:t>(</w:t>
      </w:r>
      <w:r w:rsidR="00A950A2" w:rsidRPr="002A14A4">
        <w:rPr>
          <w:rFonts w:cs="Times New Roman"/>
          <w:color w:val="auto"/>
        </w:rPr>
        <w:t>5242</w:t>
      </w:r>
      <w:r w:rsidR="00650B2E" w:rsidRPr="002A14A4">
        <w:rPr>
          <w:rFonts w:cs="Times New Roman"/>
          <w:color w:val="auto"/>
        </w:rPr>
        <w:t>-</w:t>
      </w:r>
      <w:r w:rsidR="00A950A2" w:rsidRPr="002A14A4">
        <w:rPr>
          <w:rFonts w:cs="Times New Roman"/>
          <w:color w:val="auto"/>
        </w:rPr>
        <w:t>5237</w:t>
      </w:r>
      <w:r w:rsidR="002A14A4">
        <w:rPr>
          <w:rFonts w:cs="Times New Roman"/>
          <w:color w:val="auto"/>
        </w:rPr>
        <w:t xml:space="preserve"> </w:t>
      </w:r>
      <w:r w:rsidR="00A950A2">
        <w:rPr>
          <w:rFonts w:cs="Times New Roman"/>
          <w:color w:val="auto"/>
        </w:rPr>
        <w:t>degenerative arthritis and lumbosacral strain</w:t>
      </w:r>
      <w:r w:rsidR="002A14A4">
        <w:rPr>
          <w:rFonts w:cs="Times New Roman"/>
          <w:color w:val="auto"/>
        </w:rPr>
        <w:t xml:space="preserve">) </w:t>
      </w:r>
      <w:r w:rsidR="00A950A2">
        <w:rPr>
          <w:rFonts w:cs="Times New Roman"/>
          <w:color w:val="auto"/>
        </w:rPr>
        <w:t xml:space="preserve">and the VA </w:t>
      </w:r>
      <w:r w:rsidR="002A14A4">
        <w:rPr>
          <w:rFonts w:cs="Times New Roman"/>
          <w:color w:val="auto"/>
        </w:rPr>
        <w:t>(</w:t>
      </w:r>
      <w:r w:rsidR="00A950A2">
        <w:rPr>
          <w:rFonts w:cs="Times New Roman"/>
          <w:color w:val="auto"/>
        </w:rPr>
        <w:t>5243, intervertebral disc syndrome</w:t>
      </w:r>
      <w:r w:rsidR="002A14A4">
        <w:rPr>
          <w:rFonts w:cs="Times New Roman"/>
          <w:color w:val="auto"/>
        </w:rPr>
        <w:t xml:space="preserve">) </w:t>
      </w:r>
      <w:r w:rsidR="002A14A4" w:rsidRPr="002A14A4">
        <w:rPr>
          <w:rFonts w:cs="Times New Roman"/>
          <w:color w:val="auto"/>
          <w:szCs w:val="24"/>
        </w:rPr>
        <w:t xml:space="preserve">had no </w:t>
      </w:r>
      <w:r w:rsidR="002A14A4" w:rsidRPr="002A14A4">
        <w:rPr>
          <w:rFonts w:cs="Times New Roman"/>
          <w:color w:val="auto"/>
          <w:szCs w:val="24"/>
        </w:rPr>
        <w:lastRenderedPageBreak/>
        <w:t>bearing on the rating as all are rated under the general rating formula for the back</w:t>
      </w:r>
      <w:r w:rsidR="00A950A2" w:rsidRPr="002A14A4">
        <w:rPr>
          <w:rFonts w:cs="Times New Roman"/>
          <w:color w:val="auto"/>
          <w:szCs w:val="24"/>
        </w:rPr>
        <w:t xml:space="preserve">.  </w:t>
      </w:r>
      <w:r w:rsidR="002A14A4" w:rsidRPr="002A14A4">
        <w:rPr>
          <w:rFonts w:cs="Times New Roman"/>
          <w:color w:val="auto"/>
          <w:szCs w:val="24"/>
        </w:rPr>
        <w:t xml:space="preserve">The Board does note that the PEB most likely utilized the </w:t>
      </w:r>
      <w:r w:rsidR="00E92267">
        <w:rPr>
          <w:rFonts w:cs="Times New Roman"/>
          <w:color w:val="auto"/>
          <w:szCs w:val="24"/>
        </w:rPr>
        <w:t>USPDA p</w:t>
      </w:r>
      <w:r w:rsidR="002A14A4" w:rsidRPr="002A14A4">
        <w:rPr>
          <w:rFonts w:cs="Times New Roman"/>
          <w:color w:val="auto"/>
          <w:szCs w:val="24"/>
        </w:rPr>
        <w:t xml:space="preserve">ain </w:t>
      </w:r>
      <w:r w:rsidR="00E92267">
        <w:rPr>
          <w:rFonts w:cs="Times New Roman"/>
          <w:color w:val="auto"/>
          <w:szCs w:val="24"/>
        </w:rPr>
        <w:t>p</w:t>
      </w:r>
      <w:r w:rsidR="002A14A4" w:rsidRPr="002A14A4">
        <w:rPr>
          <w:rFonts w:cs="Times New Roman"/>
          <w:color w:val="auto"/>
          <w:szCs w:val="24"/>
        </w:rPr>
        <w:t xml:space="preserve">olicy when rating the back.  </w:t>
      </w:r>
      <w:r w:rsidR="00D06B87" w:rsidRPr="002A14A4">
        <w:rPr>
          <w:rFonts w:cs="Times New Roman"/>
          <w:color w:val="auto"/>
          <w:szCs w:val="24"/>
        </w:rPr>
        <w:t>There</w:t>
      </w:r>
      <w:r w:rsidR="00D06B87">
        <w:rPr>
          <w:rFonts w:cs="Times New Roman"/>
          <w:color w:val="auto"/>
        </w:rPr>
        <w:t xml:space="preserve"> was</w:t>
      </w:r>
      <w:r w:rsidR="00301DAB">
        <w:rPr>
          <w:rFonts w:cs="Times New Roman"/>
          <w:color w:val="auto"/>
        </w:rPr>
        <w:t xml:space="preserve"> </w:t>
      </w:r>
      <w:r w:rsidR="00E944B3">
        <w:rPr>
          <w:rFonts w:cs="Times New Roman"/>
          <w:color w:val="auto"/>
        </w:rPr>
        <w:t xml:space="preserve">moderate </w:t>
      </w:r>
      <w:r w:rsidR="00301DAB">
        <w:rPr>
          <w:rFonts w:cs="Times New Roman"/>
          <w:color w:val="auto"/>
        </w:rPr>
        <w:t>reduction in flexion and extension seen on the PEB examination</w:t>
      </w:r>
      <w:r w:rsidR="0048611C">
        <w:rPr>
          <w:rFonts w:cs="Times New Roman"/>
          <w:color w:val="auto"/>
        </w:rPr>
        <w:t>,</w:t>
      </w:r>
      <w:r w:rsidR="00301DAB">
        <w:rPr>
          <w:rFonts w:cs="Times New Roman"/>
          <w:color w:val="auto"/>
        </w:rPr>
        <w:t xml:space="preserve"> but not </w:t>
      </w:r>
      <w:r w:rsidR="0048611C">
        <w:rPr>
          <w:rFonts w:cs="Times New Roman"/>
          <w:color w:val="auto"/>
        </w:rPr>
        <w:t xml:space="preserve">observed on </w:t>
      </w:r>
      <w:r w:rsidR="00301DAB">
        <w:rPr>
          <w:rFonts w:cs="Times New Roman"/>
          <w:color w:val="auto"/>
        </w:rPr>
        <w:t xml:space="preserve">the </w:t>
      </w:r>
      <w:r w:rsidR="00E944B3">
        <w:rPr>
          <w:rFonts w:cs="Times New Roman"/>
          <w:color w:val="auto"/>
        </w:rPr>
        <w:t xml:space="preserve">initial C&amp;P </w:t>
      </w:r>
      <w:r w:rsidR="00301DAB" w:rsidRPr="0048611C">
        <w:rPr>
          <w:rFonts w:cs="Times New Roman"/>
          <w:color w:val="auto"/>
        </w:rPr>
        <w:t xml:space="preserve">examination.  </w:t>
      </w:r>
      <w:r w:rsidR="0048611C" w:rsidRPr="0048611C">
        <w:rPr>
          <w:color w:val="auto"/>
          <w:szCs w:val="24"/>
        </w:rPr>
        <w:t xml:space="preserve">It is obvious that there is a clear disparity between </w:t>
      </w:r>
      <w:r w:rsidR="0048611C" w:rsidRPr="00337286">
        <w:rPr>
          <w:color w:val="auto"/>
          <w:szCs w:val="24"/>
        </w:rPr>
        <w:t xml:space="preserve">these examinations, with implications regarding the Board's rating recommendation. </w:t>
      </w:r>
      <w:r w:rsidR="003C7A35" w:rsidRPr="00337286">
        <w:rPr>
          <w:color w:val="auto"/>
          <w:szCs w:val="24"/>
        </w:rPr>
        <w:t xml:space="preserve"> </w:t>
      </w:r>
      <w:r w:rsidR="0048611C" w:rsidRPr="00337286">
        <w:rPr>
          <w:color w:val="auto"/>
          <w:szCs w:val="24"/>
        </w:rPr>
        <w:t>The Board t</w:t>
      </w:r>
      <w:r w:rsidR="00D06B87" w:rsidRPr="00337286">
        <w:rPr>
          <w:color w:val="auto"/>
          <w:szCs w:val="24"/>
        </w:rPr>
        <w:t>hus carefully deliberated the probative value assigned</w:t>
      </w:r>
      <w:r w:rsidR="0048611C" w:rsidRPr="00337286">
        <w:rPr>
          <w:color w:val="auto"/>
          <w:szCs w:val="24"/>
        </w:rPr>
        <w:t xml:space="preserve"> to these conflicting evaluations and reviewed the service file for corroborating evidence in the 12-month period prior to separation.  The Board </w:t>
      </w:r>
      <w:r w:rsidR="00301DAB" w:rsidRPr="00337286">
        <w:rPr>
          <w:rFonts w:cs="Times New Roman"/>
          <w:color w:val="auto"/>
        </w:rPr>
        <w:t xml:space="preserve">noted that the ROM limitation on the PEB examination is not consistent with the </w:t>
      </w:r>
      <w:r w:rsidR="0048611C" w:rsidRPr="00337286">
        <w:rPr>
          <w:rFonts w:cs="Times New Roman"/>
          <w:color w:val="auto"/>
        </w:rPr>
        <w:t xml:space="preserve">remainder of the service treatment record, the </w:t>
      </w:r>
      <w:r w:rsidR="00301DAB" w:rsidRPr="00337286">
        <w:rPr>
          <w:rFonts w:cs="Times New Roman"/>
          <w:color w:val="auto"/>
        </w:rPr>
        <w:t>remainder of the physical examination</w:t>
      </w:r>
      <w:r w:rsidR="0048611C" w:rsidRPr="00337286">
        <w:rPr>
          <w:rFonts w:cs="Times New Roman"/>
          <w:color w:val="auto"/>
        </w:rPr>
        <w:t xml:space="preserve"> done that same day,</w:t>
      </w:r>
      <w:r w:rsidR="00301DAB" w:rsidRPr="00337286">
        <w:rPr>
          <w:rFonts w:cs="Times New Roman"/>
          <w:color w:val="auto"/>
        </w:rPr>
        <w:t xml:space="preserve"> nor the imaging obtained.  </w:t>
      </w:r>
      <w:r w:rsidR="002A14A4" w:rsidRPr="00337286">
        <w:rPr>
          <w:rFonts w:cs="Times New Roman"/>
          <w:color w:val="auto"/>
        </w:rPr>
        <w:t xml:space="preserve">It specifically noted that </w:t>
      </w:r>
      <w:r w:rsidR="00E944B3">
        <w:rPr>
          <w:rFonts w:cs="Times New Roman"/>
          <w:color w:val="auto"/>
        </w:rPr>
        <w:t xml:space="preserve">the </w:t>
      </w:r>
      <w:r w:rsidR="002A14A4" w:rsidRPr="00337286">
        <w:rPr>
          <w:rFonts w:cs="Times New Roman"/>
          <w:color w:val="auto"/>
        </w:rPr>
        <w:t xml:space="preserve">chiropractic examination </w:t>
      </w:r>
      <w:r w:rsidR="00BA13B5" w:rsidRPr="00337286">
        <w:rPr>
          <w:rFonts w:asciiTheme="majorHAnsi" w:eastAsiaTheme="minorHAnsi" w:hAnsiTheme="majorHAnsi" w:cstheme="majorHAnsi"/>
          <w:color w:val="auto"/>
          <w:szCs w:val="24"/>
        </w:rPr>
        <w:t xml:space="preserve">16 August 2004 </w:t>
      </w:r>
      <w:r w:rsidR="00E944B3">
        <w:rPr>
          <w:rFonts w:asciiTheme="majorHAnsi" w:eastAsiaTheme="minorHAnsi" w:hAnsiTheme="majorHAnsi" w:cstheme="majorHAnsi"/>
          <w:color w:val="auto"/>
          <w:szCs w:val="24"/>
        </w:rPr>
        <w:t xml:space="preserve">documenting near normal </w:t>
      </w:r>
      <w:r w:rsidR="00BA13B5" w:rsidRPr="00337286">
        <w:rPr>
          <w:rFonts w:asciiTheme="majorHAnsi" w:eastAsiaTheme="minorHAnsi" w:hAnsiTheme="majorHAnsi" w:cstheme="majorHAnsi"/>
          <w:color w:val="auto"/>
          <w:szCs w:val="24"/>
        </w:rPr>
        <w:t xml:space="preserve">lumbar flexion </w:t>
      </w:r>
      <w:r w:rsidR="00E944B3">
        <w:rPr>
          <w:rFonts w:asciiTheme="majorHAnsi" w:eastAsiaTheme="minorHAnsi" w:hAnsiTheme="majorHAnsi" w:cstheme="majorHAnsi"/>
          <w:color w:val="auto"/>
          <w:szCs w:val="24"/>
        </w:rPr>
        <w:t>(</w:t>
      </w:r>
      <w:r w:rsidR="00BA13B5" w:rsidRPr="00337286">
        <w:rPr>
          <w:rFonts w:asciiTheme="majorHAnsi" w:eastAsiaTheme="minorHAnsi" w:hAnsiTheme="majorHAnsi" w:cstheme="majorHAnsi"/>
          <w:color w:val="auto"/>
          <w:szCs w:val="24"/>
        </w:rPr>
        <w:t>52 degrees with a normal of 60 degrees</w:t>
      </w:r>
      <w:r w:rsidR="00E944B3">
        <w:rPr>
          <w:rFonts w:asciiTheme="majorHAnsi" w:eastAsiaTheme="minorHAnsi" w:hAnsiTheme="majorHAnsi" w:cstheme="majorHAnsi"/>
          <w:color w:val="auto"/>
          <w:szCs w:val="24"/>
        </w:rPr>
        <w:t xml:space="preserve">) </w:t>
      </w:r>
      <w:r w:rsidR="00BA13B5" w:rsidRPr="00337286">
        <w:rPr>
          <w:rFonts w:asciiTheme="majorHAnsi" w:eastAsiaTheme="minorHAnsi" w:hAnsiTheme="majorHAnsi" w:cstheme="majorHAnsi"/>
          <w:color w:val="auto"/>
          <w:szCs w:val="24"/>
        </w:rPr>
        <w:t>consistent with the near normal thoraco-lumbar flexion measured by the C&amp;P examiner</w:t>
      </w:r>
      <w:r w:rsidR="006F39DE">
        <w:rPr>
          <w:rFonts w:asciiTheme="majorHAnsi" w:eastAsiaTheme="minorHAnsi" w:hAnsiTheme="majorHAnsi" w:cstheme="majorHAnsi"/>
          <w:color w:val="auto"/>
          <w:szCs w:val="24"/>
        </w:rPr>
        <w:t>,</w:t>
      </w:r>
      <w:r w:rsidR="00BA13B5" w:rsidRPr="00337286">
        <w:rPr>
          <w:rFonts w:asciiTheme="majorHAnsi" w:eastAsiaTheme="minorHAnsi" w:hAnsiTheme="majorHAnsi" w:cstheme="majorHAnsi"/>
          <w:color w:val="auto"/>
          <w:szCs w:val="24"/>
        </w:rPr>
        <w:t xml:space="preserve"> which included both the lumbar and thoracic spine flexion components.  </w:t>
      </w:r>
      <w:r w:rsidR="00BA13B5" w:rsidRPr="00337286">
        <w:rPr>
          <w:rFonts w:cs="Times New Roman"/>
          <w:color w:val="auto"/>
        </w:rPr>
        <w:t>The CI had pain with maneuvers not expected to produce pain on more than one examination prior to separation</w:t>
      </w:r>
      <w:r w:rsidR="00301DAB" w:rsidRPr="00337286">
        <w:rPr>
          <w:rFonts w:cs="Times New Roman"/>
          <w:color w:val="auto"/>
        </w:rPr>
        <w:t xml:space="preserve">.  </w:t>
      </w:r>
      <w:r w:rsidR="0051471B">
        <w:rPr>
          <w:rFonts w:cs="Times New Roman"/>
          <w:color w:val="auto"/>
        </w:rPr>
        <w:t>Notably</w:t>
      </w:r>
      <w:r w:rsidR="00BA13B5" w:rsidRPr="00337286">
        <w:rPr>
          <w:rFonts w:cs="Times New Roman"/>
          <w:color w:val="auto"/>
        </w:rPr>
        <w:t>, on the chiropractic examination with near normal lumbar flexion, these signs were absent</w:t>
      </w:r>
      <w:r w:rsidR="0051471B">
        <w:rPr>
          <w:rFonts w:cs="Times New Roman"/>
          <w:color w:val="auto"/>
        </w:rPr>
        <w:t xml:space="preserve"> and t</w:t>
      </w:r>
      <w:r w:rsidR="00692D58" w:rsidRPr="00337286">
        <w:rPr>
          <w:rFonts w:cs="Times New Roman"/>
          <w:color w:val="auto"/>
        </w:rPr>
        <w:t>his examination was consistent with the post-separation C&amp;P examination</w:t>
      </w:r>
      <w:r w:rsidR="0051471B">
        <w:rPr>
          <w:rFonts w:cs="Times New Roman"/>
          <w:color w:val="auto"/>
        </w:rPr>
        <w:t xml:space="preserve"> as noted above</w:t>
      </w:r>
      <w:r w:rsidR="00692D58" w:rsidRPr="00337286">
        <w:rPr>
          <w:rFonts w:cs="Times New Roman"/>
          <w:color w:val="auto"/>
        </w:rPr>
        <w:t xml:space="preserve">.  </w:t>
      </w:r>
      <w:r w:rsidR="00145FDA">
        <w:rPr>
          <w:rFonts w:cs="Times New Roman"/>
          <w:color w:val="auto"/>
        </w:rPr>
        <w:t xml:space="preserve">The Board determined that the C&amp;P examination ROM values were more probative than those from the PEB process due to consistency </w:t>
      </w:r>
      <w:r w:rsidR="00E92267">
        <w:rPr>
          <w:rFonts w:cs="Times New Roman"/>
          <w:color w:val="auto"/>
        </w:rPr>
        <w:t>with the evidence of the trea</w:t>
      </w:r>
      <w:r w:rsidR="006E52B5">
        <w:rPr>
          <w:rFonts w:cs="Times New Roman"/>
          <w:color w:val="auto"/>
        </w:rPr>
        <w:t xml:space="preserve">tment records, </w:t>
      </w:r>
      <w:r w:rsidR="00E92267">
        <w:rPr>
          <w:rFonts w:cs="Times New Roman"/>
          <w:color w:val="auto"/>
        </w:rPr>
        <w:t>other examinations</w:t>
      </w:r>
      <w:r w:rsidR="006E52B5">
        <w:rPr>
          <w:rFonts w:cs="Times New Roman"/>
          <w:color w:val="auto"/>
        </w:rPr>
        <w:t>,</w:t>
      </w:r>
      <w:r w:rsidR="00E92267">
        <w:rPr>
          <w:rFonts w:cs="Times New Roman"/>
          <w:color w:val="auto"/>
        </w:rPr>
        <w:t xml:space="preserve"> and the expected severity from the known pathology.  </w:t>
      </w:r>
      <w:r w:rsidR="00145FDA"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145FDA">
        <w:rPr>
          <w:rFonts w:eastAsia="Calibri" w:cs="Times New Roman"/>
          <w:color w:val="auto"/>
          <w:szCs w:val="24"/>
        </w:rPr>
        <w:t>back</w:t>
      </w:r>
      <w:r w:rsidR="006F39DE">
        <w:rPr>
          <w:rFonts w:eastAsia="Calibri" w:cs="Times New Roman"/>
          <w:color w:val="auto"/>
          <w:szCs w:val="24"/>
        </w:rPr>
        <w:t xml:space="preserve"> condition.</w:t>
      </w:r>
    </w:p>
    <w:p w:rsidR="00AD2379" w:rsidRPr="00F64312" w:rsidRDefault="00AD2379" w:rsidP="00BF0E94">
      <w:pPr>
        <w:jc w:val="left"/>
        <w:rPr>
          <w:rFonts w:eastAsia="HiddenHorzOCR"/>
          <w:color w:val="auto"/>
          <w:highlight w:val="magenta"/>
          <w:u w:val="single"/>
        </w:rPr>
      </w:pPr>
    </w:p>
    <w:p w:rsidR="0043735C" w:rsidRPr="00F64312" w:rsidRDefault="0043735C" w:rsidP="0043735C">
      <w:pPr>
        <w:jc w:val="both"/>
        <w:rPr>
          <w:color w:val="auto"/>
          <w:szCs w:val="24"/>
        </w:rPr>
      </w:pPr>
      <w:proofErr w:type="gramStart"/>
      <w:r w:rsidRPr="0043735C">
        <w:rPr>
          <w:color w:val="auto"/>
          <w:u w:val="single"/>
        </w:rPr>
        <w:t>Chronic Neck Pain Due to Strain and Degenerative Changes Condition</w:t>
      </w:r>
      <w:r w:rsidRPr="00F64312">
        <w:rPr>
          <w:color w:val="auto"/>
        </w:rPr>
        <w:t>.</w:t>
      </w:r>
      <w:proofErr w:type="gramEnd"/>
      <w:r w:rsidRPr="00F64312">
        <w:rPr>
          <w:color w:val="auto"/>
        </w:rPr>
        <w:t xml:space="preserve">  </w:t>
      </w:r>
      <w:r w:rsidRPr="00F64312">
        <w:rPr>
          <w:color w:val="auto"/>
          <w:szCs w:val="24"/>
        </w:rPr>
        <w:t xml:space="preserve">There were </w:t>
      </w:r>
      <w:r w:rsidR="00A47A84">
        <w:rPr>
          <w:color w:val="auto"/>
          <w:szCs w:val="24"/>
        </w:rPr>
        <w:t>four</w:t>
      </w:r>
      <w:r w:rsidR="00524FBA">
        <w:rPr>
          <w:color w:val="auto"/>
          <w:szCs w:val="24"/>
        </w:rPr>
        <w:t xml:space="preserve"> </w:t>
      </w:r>
      <w:r w:rsidRPr="00F64312">
        <w:rPr>
          <w:color w:val="auto"/>
          <w:szCs w:val="24"/>
        </w:rPr>
        <w:t>ROM evaluations in evidence, with documentation of additional ratable criteria, which the Board weighed in arriving at its rating recommendation as summarized below.</w:t>
      </w:r>
    </w:p>
    <w:p w:rsidR="0043735C" w:rsidRPr="00F64312" w:rsidRDefault="0043735C" w:rsidP="0043735C">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4"/>
        <w:gridCol w:w="1899"/>
        <w:gridCol w:w="1900"/>
        <w:gridCol w:w="1899"/>
        <w:gridCol w:w="1900"/>
      </w:tblGrid>
      <w:tr w:rsidR="00751D73" w:rsidRPr="00F64312" w:rsidTr="00337286">
        <w:trPr>
          <w:trHeight w:val="544"/>
          <w:jc w:val="center"/>
        </w:trPr>
        <w:tc>
          <w:tcPr>
            <w:tcW w:w="162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51D73" w:rsidRDefault="00751D73" w:rsidP="0002051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Cervical ROM</w:t>
            </w:r>
          </w:p>
          <w:p w:rsidR="00751D73" w:rsidRPr="00F64312" w:rsidRDefault="00751D73" w:rsidP="0002051A">
            <w:pPr>
              <w:spacing w:line="180" w:lineRule="exact"/>
              <w:contextualSpacing/>
              <w:rPr>
                <w:rFonts w:asciiTheme="majorHAnsi" w:eastAsia="Calibri" w:hAnsiTheme="majorHAnsi" w:cstheme="majorHAnsi"/>
                <w:b/>
                <w:color w:val="auto"/>
                <w:sz w:val="18"/>
                <w:szCs w:val="18"/>
              </w:rPr>
            </w:pPr>
            <w:r>
              <w:rPr>
                <w:rFonts w:asciiTheme="majorHAnsi" w:eastAsia="Calibri" w:hAnsiTheme="majorHAnsi" w:cstheme="majorHAnsi"/>
                <w:color w:val="auto"/>
                <w:sz w:val="18"/>
                <w:szCs w:val="18"/>
              </w:rPr>
              <w:t>Degrees</w:t>
            </w:r>
          </w:p>
        </w:tc>
        <w:tc>
          <w:tcPr>
            <w:tcW w:w="1899" w:type="dxa"/>
            <w:tcBorders>
              <w:top w:val="single" w:sz="4" w:space="0" w:color="000000"/>
              <w:left w:val="single" w:sz="4" w:space="0" w:color="000000"/>
              <w:bottom w:val="single" w:sz="4" w:space="0" w:color="000000"/>
              <w:right w:val="single" w:sz="4" w:space="0" w:color="000000"/>
            </w:tcBorders>
            <w:shd w:val="pct15" w:color="auto" w:fill="auto"/>
          </w:tcPr>
          <w:p w:rsidR="00751D73" w:rsidRDefault="00751D73"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 xml:space="preserve">Chiropractic </w:t>
            </w:r>
          </w:p>
          <w:p w:rsidR="00751D73" w:rsidRDefault="00E207A0"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w:t>
            </w:r>
            <w:r w:rsidR="00A47A84">
              <w:rPr>
                <w:rFonts w:asciiTheme="majorHAnsi" w:eastAsia="Calibri" w:hAnsiTheme="majorHAnsi" w:cstheme="majorHAnsi"/>
                <w:color w:val="auto"/>
                <w:sz w:val="18"/>
                <w:szCs w:val="18"/>
              </w:rPr>
              <w:t xml:space="preserve">8 </w:t>
            </w:r>
            <w:r>
              <w:rPr>
                <w:rFonts w:asciiTheme="majorHAnsi" w:eastAsia="Calibri" w:hAnsiTheme="majorHAnsi" w:cstheme="majorHAnsi"/>
                <w:color w:val="auto"/>
                <w:sz w:val="18"/>
                <w:szCs w:val="18"/>
              </w:rPr>
              <w:t xml:space="preserve">Mo. </w:t>
            </w:r>
            <w:r w:rsidR="00A47A84">
              <w:rPr>
                <w:rFonts w:asciiTheme="majorHAnsi" w:eastAsia="Calibri" w:hAnsiTheme="majorHAnsi" w:cstheme="majorHAnsi"/>
                <w:color w:val="auto"/>
                <w:sz w:val="18"/>
                <w:szCs w:val="18"/>
              </w:rPr>
              <w:t>pre-sep</w:t>
            </w:r>
          </w:p>
          <w:p w:rsidR="00A47A84" w:rsidRDefault="00A47A84" w:rsidP="0002051A">
            <w:pPr>
              <w:spacing w:line="200" w:lineRule="exact"/>
              <w:contextualSpacing/>
              <w:rPr>
                <w:rFonts w:asciiTheme="majorHAnsi" w:eastAsia="Calibri" w:hAnsiTheme="majorHAnsi" w:cstheme="majorHAnsi"/>
                <w:color w:val="auto"/>
                <w:sz w:val="18"/>
                <w:szCs w:val="18"/>
              </w:rPr>
            </w:pPr>
          </w:p>
        </w:tc>
        <w:tc>
          <w:tcPr>
            <w:tcW w:w="19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207A0" w:rsidRDefault="00751D73"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MEB</w:t>
            </w:r>
            <w:r w:rsidR="005C4132">
              <w:rPr>
                <w:rFonts w:asciiTheme="majorHAnsi" w:eastAsia="Calibri" w:hAnsiTheme="majorHAnsi" w:cstheme="majorHAnsi"/>
                <w:color w:val="auto"/>
                <w:sz w:val="18"/>
                <w:szCs w:val="18"/>
              </w:rPr>
              <w:t xml:space="preserve"> Ortho</w:t>
            </w:r>
            <w:r>
              <w:rPr>
                <w:rFonts w:asciiTheme="majorHAnsi" w:eastAsia="Calibri" w:hAnsiTheme="majorHAnsi" w:cstheme="majorHAnsi"/>
                <w:color w:val="auto"/>
                <w:sz w:val="18"/>
                <w:szCs w:val="18"/>
              </w:rPr>
              <w:t xml:space="preserve"> Consult</w:t>
            </w:r>
            <w:r w:rsidRPr="00F64312">
              <w:rPr>
                <w:rFonts w:asciiTheme="majorHAnsi" w:eastAsia="Calibri" w:hAnsiTheme="majorHAnsi" w:cstheme="majorHAnsi"/>
                <w:color w:val="auto"/>
                <w:sz w:val="18"/>
                <w:szCs w:val="18"/>
              </w:rPr>
              <w:t xml:space="preserve"> </w:t>
            </w:r>
          </w:p>
          <w:p w:rsidR="00751D73" w:rsidRPr="00F64312" w:rsidRDefault="00751D73" w:rsidP="0002051A">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5</w:t>
            </w:r>
            <w:r w:rsidRPr="00F64312">
              <w:rPr>
                <w:rFonts w:asciiTheme="majorHAnsi" w:eastAsia="Calibri" w:hAnsiTheme="majorHAnsi" w:cstheme="majorHAnsi"/>
                <w:color w:val="auto"/>
                <w:sz w:val="18"/>
                <w:szCs w:val="18"/>
              </w:rPr>
              <w:t xml:space="preserve"> Mo. Pre-Sep</w:t>
            </w:r>
          </w:p>
          <w:p w:rsidR="00751D73" w:rsidRPr="00F64312" w:rsidRDefault="00751D73" w:rsidP="0002051A">
            <w:pPr>
              <w:spacing w:line="180" w:lineRule="exact"/>
              <w:contextualSpacing/>
              <w:rPr>
                <w:rFonts w:asciiTheme="majorHAnsi" w:eastAsia="Calibri" w:hAnsiTheme="majorHAnsi" w:cstheme="majorHAnsi"/>
                <w:color w:val="auto"/>
                <w:sz w:val="18"/>
                <w:szCs w:val="18"/>
              </w:rPr>
            </w:pPr>
          </w:p>
        </w:tc>
        <w:tc>
          <w:tcPr>
            <w:tcW w:w="189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51D73" w:rsidRDefault="00751D73"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NARSUM</w:t>
            </w:r>
          </w:p>
          <w:p w:rsidR="00751D73" w:rsidRPr="00F64312" w:rsidRDefault="00751D73" w:rsidP="0002051A">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 Pre-Sep</w:t>
            </w:r>
          </w:p>
          <w:p w:rsidR="00751D73" w:rsidRPr="00F64312" w:rsidRDefault="00751D73" w:rsidP="00C7460E">
            <w:pPr>
              <w:spacing w:line="180" w:lineRule="exact"/>
              <w:contextualSpacing/>
              <w:rPr>
                <w:rFonts w:asciiTheme="majorHAnsi" w:eastAsia="Calibri" w:hAnsiTheme="majorHAnsi" w:cstheme="majorHAnsi"/>
                <w:color w:val="auto"/>
                <w:sz w:val="18"/>
                <w:szCs w:val="18"/>
              </w:rPr>
            </w:pPr>
          </w:p>
        </w:tc>
        <w:tc>
          <w:tcPr>
            <w:tcW w:w="19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207A0" w:rsidRDefault="00751D73" w:rsidP="0002051A">
            <w:pPr>
              <w:spacing w:line="200" w:lineRule="exact"/>
              <w:contextualSpacing/>
              <w:rPr>
                <w:rFonts w:asciiTheme="majorHAnsi" w:eastAsiaTheme="minorHAns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w:t>
            </w:r>
          </w:p>
          <w:p w:rsidR="00751D73" w:rsidRPr="00F64312" w:rsidRDefault="00751D73" w:rsidP="0002051A">
            <w:pPr>
              <w:spacing w:line="200" w:lineRule="exact"/>
              <w:contextualSpacing/>
              <w:rPr>
                <w:rFonts w:asciiTheme="majorHAnsi" w:eastAsia="Calibri" w:hAnsiTheme="majorHAnsi" w:cstheme="majorHAnsi"/>
                <w:color w:val="auto"/>
                <w:sz w:val="18"/>
                <w:szCs w:val="18"/>
              </w:rPr>
            </w:pPr>
            <w:r w:rsidRPr="00F64312">
              <w:rPr>
                <w:rFonts w:asciiTheme="majorHAnsi" w:eastAsiaTheme="minorHAnsi" w:hAnsiTheme="majorHAnsi" w:cstheme="majorHAnsi"/>
                <w:color w:val="auto"/>
                <w:sz w:val="18"/>
                <w:szCs w:val="18"/>
              </w:rPr>
              <w:t xml:space="preserve">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1</w:t>
            </w:r>
            <w:r w:rsidRPr="00F64312">
              <w:rPr>
                <w:rFonts w:asciiTheme="majorHAnsi" w:eastAsia="Calibri" w:hAnsiTheme="majorHAnsi" w:cstheme="majorHAnsi"/>
                <w:color w:val="auto"/>
                <w:sz w:val="18"/>
                <w:szCs w:val="18"/>
              </w:rPr>
              <w:t xml:space="preserve"> Mo. Post-Sep</w:t>
            </w:r>
          </w:p>
          <w:p w:rsidR="00751D73" w:rsidRPr="00F64312" w:rsidRDefault="00751D73" w:rsidP="0002051A">
            <w:pPr>
              <w:spacing w:line="180" w:lineRule="exact"/>
              <w:contextualSpacing/>
              <w:rPr>
                <w:rFonts w:asciiTheme="majorHAnsi" w:eastAsiaTheme="minorHAnsi" w:hAnsiTheme="majorHAnsi" w:cstheme="majorHAnsi"/>
                <w:color w:val="auto"/>
                <w:sz w:val="18"/>
                <w:szCs w:val="18"/>
              </w:rPr>
            </w:pPr>
          </w:p>
        </w:tc>
      </w:tr>
      <w:tr w:rsidR="00751D73" w:rsidRPr="00F64312" w:rsidTr="00337286">
        <w:trPr>
          <w:trHeight w:val="190"/>
          <w:jc w:val="center"/>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751D73" w:rsidRPr="00F64312" w:rsidRDefault="00751D73" w:rsidP="00E944B3">
            <w:pPr>
              <w:spacing w:line="180" w:lineRule="exact"/>
              <w:contextualSpacing/>
              <w:rPr>
                <w:rFonts w:asciiTheme="majorHAnsi" w:eastAsia="Calibri" w:hAnsiTheme="majorHAnsi" w:cstheme="majorHAnsi"/>
                <w:color w:val="auto"/>
                <w:sz w:val="18"/>
                <w:szCs w:val="18"/>
                <w:highlight w:val="yellow"/>
              </w:rPr>
            </w:pPr>
            <w:r>
              <w:rPr>
                <w:rFonts w:asciiTheme="majorHAnsi" w:eastAsia="Calibri" w:hAnsiTheme="majorHAnsi" w:cstheme="majorHAnsi"/>
                <w:color w:val="auto"/>
                <w:sz w:val="18"/>
                <w:szCs w:val="18"/>
              </w:rPr>
              <w:t>Flex</w:t>
            </w:r>
            <w:r w:rsidR="00E944B3">
              <w:rPr>
                <w:rFonts w:asciiTheme="majorHAnsi" w:eastAsia="Calibri" w:hAnsiTheme="majorHAnsi" w:cstheme="majorHAnsi"/>
                <w:color w:val="auto"/>
                <w:sz w:val="18"/>
                <w:szCs w:val="18"/>
              </w:rPr>
              <w:t>ion</w:t>
            </w:r>
            <w:r>
              <w:rPr>
                <w:rFonts w:asciiTheme="majorHAnsi" w:eastAsia="Calibri" w:hAnsiTheme="majorHAnsi" w:cstheme="majorHAnsi"/>
                <w:color w:val="auto"/>
                <w:sz w:val="18"/>
                <w:szCs w:val="18"/>
              </w:rPr>
              <w:t xml:space="preserve"> (45</w:t>
            </w:r>
            <w:r w:rsidRPr="00F64312">
              <w:rPr>
                <w:rFonts w:asciiTheme="majorHAnsi" w:eastAsia="Calibri" w:hAnsiTheme="majorHAnsi" w:cstheme="majorHAnsi"/>
                <w:color w:val="auto"/>
                <w:sz w:val="18"/>
                <w:szCs w:val="18"/>
              </w:rPr>
              <w:t>)</w:t>
            </w:r>
          </w:p>
        </w:tc>
        <w:tc>
          <w:tcPr>
            <w:tcW w:w="1899" w:type="dxa"/>
            <w:tcBorders>
              <w:top w:val="single" w:sz="4" w:space="0" w:color="000000"/>
              <w:left w:val="single" w:sz="4" w:space="0" w:color="000000"/>
              <w:bottom w:val="single" w:sz="4" w:space="0" w:color="000000"/>
              <w:right w:val="single" w:sz="4" w:space="0" w:color="000000"/>
            </w:tcBorders>
          </w:tcPr>
          <w:p w:rsidR="00751D73" w:rsidRDefault="00A47A84"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45</w:t>
            </w:r>
          </w:p>
        </w:tc>
        <w:tc>
          <w:tcPr>
            <w:tcW w:w="1900" w:type="dxa"/>
            <w:tcBorders>
              <w:top w:val="single" w:sz="4" w:space="0" w:color="000000"/>
              <w:left w:val="single" w:sz="4" w:space="0" w:color="000000"/>
              <w:bottom w:val="single" w:sz="4" w:space="0" w:color="000000"/>
              <w:right w:val="single" w:sz="4" w:space="0" w:color="000000"/>
            </w:tcBorders>
            <w:vAlign w:val="center"/>
          </w:tcPr>
          <w:p w:rsidR="00751D73" w:rsidRPr="001D49BB" w:rsidRDefault="00751D73"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p>
        </w:tc>
        <w:tc>
          <w:tcPr>
            <w:tcW w:w="1899" w:type="dxa"/>
            <w:tcBorders>
              <w:top w:val="single" w:sz="4" w:space="0" w:color="000000"/>
              <w:left w:val="single" w:sz="4" w:space="0" w:color="000000"/>
              <w:bottom w:val="single" w:sz="4" w:space="0" w:color="000000"/>
              <w:right w:val="single" w:sz="4" w:space="0" w:color="000000"/>
            </w:tcBorders>
            <w:vAlign w:val="center"/>
          </w:tcPr>
          <w:p w:rsidR="00751D73" w:rsidRPr="00F64312" w:rsidRDefault="00751D73" w:rsidP="00080EDB">
            <w:pPr>
              <w:spacing w:line="180" w:lineRule="exact"/>
              <w:contextualSpacing/>
              <w:rPr>
                <w:rFonts w:asciiTheme="majorHAnsi" w:eastAsia="Calibri" w:hAnsiTheme="majorHAnsi" w:cstheme="majorHAnsi"/>
                <w:color w:val="auto"/>
                <w:sz w:val="18"/>
                <w:szCs w:val="18"/>
                <w:highlight w:val="yellow"/>
              </w:rPr>
            </w:pPr>
            <w:r>
              <w:rPr>
                <w:rFonts w:asciiTheme="majorHAnsi" w:eastAsia="Calibri" w:hAnsiTheme="majorHAnsi" w:cstheme="majorHAnsi"/>
                <w:color w:val="auto"/>
                <w:sz w:val="18"/>
                <w:szCs w:val="18"/>
              </w:rPr>
              <w:t>40</w:t>
            </w:r>
          </w:p>
        </w:tc>
        <w:tc>
          <w:tcPr>
            <w:tcW w:w="1900" w:type="dxa"/>
            <w:tcBorders>
              <w:top w:val="single" w:sz="4" w:space="0" w:color="000000"/>
              <w:left w:val="single" w:sz="4" w:space="0" w:color="000000"/>
              <w:bottom w:val="single" w:sz="4" w:space="0" w:color="000000"/>
              <w:right w:val="single" w:sz="4" w:space="0" w:color="000000"/>
            </w:tcBorders>
            <w:vAlign w:val="center"/>
          </w:tcPr>
          <w:p w:rsidR="00751D73" w:rsidRPr="008E61E4" w:rsidRDefault="00751D73" w:rsidP="0002051A">
            <w:pPr>
              <w:spacing w:line="18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35</w:t>
            </w:r>
          </w:p>
        </w:tc>
      </w:tr>
      <w:tr w:rsidR="00751D73" w:rsidRPr="00F64312" w:rsidTr="00337286">
        <w:trPr>
          <w:trHeight w:val="190"/>
          <w:jc w:val="center"/>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751D73" w:rsidRPr="00751D73" w:rsidRDefault="00751D73" w:rsidP="00E944B3">
            <w:pPr>
              <w:spacing w:line="180" w:lineRule="exact"/>
              <w:contextualSpacing/>
              <w:rPr>
                <w:rFonts w:asciiTheme="majorHAnsi" w:eastAsia="Calibri" w:hAnsiTheme="majorHAnsi" w:cstheme="majorHAnsi"/>
                <w:color w:val="auto"/>
                <w:sz w:val="18"/>
                <w:szCs w:val="18"/>
              </w:rPr>
            </w:pPr>
            <w:r w:rsidRPr="00751D73">
              <w:rPr>
                <w:rFonts w:asciiTheme="majorHAnsi" w:eastAsia="Calibri" w:hAnsiTheme="majorHAnsi" w:cstheme="majorHAnsi"/>
                <w:color w:val="auto"/>
                <w:sz w:val="18"/>
                <w:szCs w:val="18"/>
              </w:rPr>
              <w:t>Ext</w:t>
            </w:r>
            <w:r w:rsidR="00E944B3">
              <w:rPr>
                <w:rFonts w:asciiTheme="majorHAnsi" w:eastAsia="Calibri" w:hAnsiTheme="majorHAnsi" w:cstheme="majorHAnsi"/>
                <w:color w:val="auto"/>
                <w:sz w:val="18"/>
                <w:szCs w:val="18"/>
              </w:rPr>
              <w:t>ension</w:t>
            </w:r>
            <w:r w:rsidRPr="00751D73">
              <w:rPr>
                <w:rFonts w:asciiTheme="majorHAnsi" w:eastAsia="Calibri" w:hAnsiTheme="majorHAnsi" w:cstheme="majorHAnsi"/>
                <w:color w:val="auto"/>
                <w:sz w:val="18"/>
                <w:szCs w:val="18"/>
              </w:rPr>
              <w:t xml:space="preserve"> (45)</w:t>
            </w:r>
          </w:p>
        </w:tc>
        <w:tc>
          <w:tcPr>
            <w:tcW w:w="1899" w:type="dxa"/>
            <w:tcBorders>
              <w:top w:val="single" w:sz="4" w:space="0" w:color="000000"/>
              <w:left w:val="single" w:sz="4" w:space="0" w:color="000000"/>
              <w:bottom w:val="single" w:sz="4" w:space="0" w:color="000000"/>
              <w:right w:val="single" w:sz="4" w:space="0" w:color="000000"/>
            </w:tcBorders>
          </w:tcPr>
          <w:p w:rsidR="00751D73" w:rsidRPr="001D49BB" w:rsidRDefault="00A47A84" w:rsidP="0002051A">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45 (60)</w:t>
            </w:r>
          </w:p>
        </w:tc>
        <w:tc>
          <w:tcPr>
            <w:tcW w:w="1900" w:type="dxa"/>
            <w:tcBorders>
              <w:top w:val="single" w:sz="4" w:space="0" w:color="000000"/>
              <w:left w:val="single" w:sz="4" w:space="0" w:color="000000"/>
              <w:bottom w:val="single" w:sz="4" w:space="0" w:color="000000"/>
              <w:right w:val="single" w:sz="4" w:space="0" w:color="000000"/>
            </w:tcBorders>
            <w:vAlign w:val="center"/>
          </w:tcPr>
          <w:p w:rsidR="00751D73" w:rsidRPr="001D49BB" w:rsidRDefault="00751D73" w:rsidP="0002051A">
            <w:pPr>
              <w:spacing w:line="200" w:lineRule="exact"/>
              <w:contextualSpacing/>
              <w:rPr>
                <w:rFonts w:asciiTheme="majorHAnsi" w:eastAsia="Calibri" w:hAnsiTheme="majorHAnsi" w:cstheme="majorHAnsi"/>
                <w:color w:val="auto"/>
                <w:sz w:val="18"/>
                <w:szCs w:val="18"/>
              </w:rPr>
            </w:pPr>
            <w:r w:rsidRPr="001D49BB">
              <w:rPr>
                <w:rFonts w:asciiTheme="majorHAnsi" w:eastAsia="Calibri" w:hAnsiTheme="majorHAnsi" w:cstheme="majorHAnsi"/>
                <w:color w:val="auto"/>
                <w:sz w:val="18"/>
                <w:szCs w:val="18"/>
              </w:rPr>
              <w:t>40</w:t>
            </w:r>
          </w:p>
        </w:tc>
        <w:tc>
          <w:tcPr>
            <w:tcW w:w="1899" w:type="dxa"/>
            <w:tcBorders>
              <w:top w:val="single" w:sz="4" w:space="0" w:color="000000"/>
              <w:left w:val="single" w:sz="4" w:space="0" w:color="000000"/>
              <w:bottom w:val="single" w:sz="4" w:space="0" w:color="000000"/>
              <w:right w:val="single" w:sz="4" w:space="0" w:color="000000"/>
            </w:tcBorders>
            <w:vAlign w:val="center"/>
          </w:tcPr>
          <w:p w:rsidR="00751D73" w:rsidRPr="00F64312" w:rsidRDefault="00751D73" w:rsidP="00080EDB">
            <w:pPr>
              <w:spacing w:line="180" w:lineRule="exact"/>
              <w:contextualSpacing/>
              <w:rPr>
                <w:rFonts w:asciiTheme="majorHAnsi" w:eastAsia="Calibri" w:hAnsiTheme="majorHAnsi" w:cstheme="majorHAnsi"/>
                <w:color w:val="auto"/>
                <w:sz w:val="18"/>
                <w:szCs w:val="18"/>
                <w:highlight w:val="yellow"/>
              </w:rPr>
            </w:pPr>
            <w:r>
              <w:rPr>
                <w:rFonts w:asciiTheme="majorHAnsi" w:eastAsia="Calibri" w:hAnsiTheme="majorHAnsi" w:cstheme="majorHAnsi"/>
                <w:color w:val="auto"/>
                <w:sz w:val="18"/>
                <w:szCs w:val="18"/>
              </w:rPr>
              <w:t>45</w:t>
            </w:r>
          </w:p>
        </w:tc>
        <w:tc>
          <w:tcPr>
            <w:tcW w:w="1900" w:type="dxa"/>
            <w:tcBorders>
              <w:top w:val="single" w:sz="4" w:space="0" w:color="000000"/>
              <w:left w:val="single" w:sz="4" w:space="0" w:color="000000"/>
              <w:bottom w:val="single" w:sz="4" w:space="0" w:color="000000"/>
              <w:right w:val="single" w:sz="4" w:space="0" w:color="000000"/>
            </w:tcBorders>
            <w:vAlign w:val="center"/>
          </w:tcPr>
          <w:p w:rsidR="00751D73" w:rsidRPr="008E61E4" w:rsidRDefault="00751D73" w:rsidP="00080EDB">
            <w:pPr>
              <w:spacing w:line="180" w:lineRule="exact"/>
              <w:contextualSpacing/>
              <w:rPr>
                <w:rFonts w:asciiTheme="majorHAnsi" w:eastAsia="Calibri" w:hAnsiTheme="majorHAnsi" w:cstheme="majorHAnsi"/>
                <w:color w:val="auto"/>
                <w:sz w:val="18"/>
                <w:szCs w:val="18"/>
              </w:rPr>
            </w:pPr>
            <w:r w:rsidRPr="008E61E4">
              <w:rPr>
                <w:rFonts w:asciiTheme="majorHAnsi" w:eastAsia="Calibri" w:hAnsiTheme="majorHAnsi" w:cstheme="majorHAnsi"/>
                <w:color w:val="auto"/>
                <w:sz w:val="18"/>
                <w:szCs w:val="18"/>
              </w:rPr>
              <w:t>45</w:t>
            </w:r>
          </w:p>
        </w:tc>
      </w:tr>
      <w:tr w:rsidR="00751D73" w:rsidRPr="00F64312" w:rsidTr="00337286">
        <w:trPr>
          <w:trHeight w:val="190"/>
          <w:jc w:val="center"/>
        </w:trPr>
        <w:tc>
          <w:tcPr>
            <w:tcW w:w="1624" w:type="dxa"/>
            <w:tcBorders>
              <w:top w:val="single" w:sz="4" w:space="0" w:color="000000"/>
              <w:left w:val="single" w:sz="4" w:space="0" w:color="000000"/>
              <w:bottom w:val="single" w:sz="4" w:space="0" w:color="000000"/>
              <w:right w:val="single" w:sz="4" w:space="0" w:color="000000"/>
            </w:tcBorders>
            <w:vAlign w:val="center"/>
            <w:hideMark/>
          </w:tcPr>
          <w:p w:rsidR="00751D73" w:rsidRPr="00F64312" w:rsidRDefault="00751D73" w:rsidP="00E944B3">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w:t>
            </w:r>
            <w:r w:rsidR="00E944B3">
              <w:rPr>
                <w:rFonts w:asciiTheme="majorHAnsi" w:eastAsia="Calibri" w:hAnsiTheme="majorHAnsi" w:cstheme="majorHAnsi"/>
                <w:color w:val="auto"/>
                <w:sz w:val="18"/>
                <w:szCs w:val="18"/>
              </w:rPr>
              <w:t>ombined</w:t>
            </w:r>
            <w:r w:rsidRPr="00F64312">
              <w:rPr>
                <w:rFonts w:asciiTheme="majorHAnsi" w:eastAsia="Calibri" w:hAnsiTheme="majorHAnsi" w:cstheme="majorHAnsi"/>
                <w:color w:val="auto"/>
                <w:sz w:val="18"/>
                <w:szCs w:val="18"/>
              </w:rPr>
              <w:t xml:space="preserve"> (340)</w:t>
            </w:r>
          </w:p>
        </w:tc>
        <w:tc>
          <w:tcPr>
            <w:tcW w:w="1899" w:type="dxa"/>
            <w:tcBorders>
              <w:top w:val="single" w:sz="4" w:space="0" w:color="000000"/>
              <w:left w:val="single" w:sz="4" w:space="0" w:color="000000"/>
              <w:bottom w:val="single" w:sz="4" w:space="0" w:color="000000"/>
              <w:right w:val="single" w:sz="4" w:space="0" w:color="000000"/>
            </w:tcBorders>
          </w:tcPr>
          <w:p w:rsidR="00751D73" w:rsidRPr="001D49BB" w:rsidRDefault="00A47A84" w:rsidP="00145FD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255</w:t>
            </w:r>
          </w:p>
        </w:tc>
        <w:tc>
          <w:tcPr>
            <w:tcW w:w="1900" w:type="dxa"/>
            <w:tcBorders>
              <w:top w:val="single" w:sz="4" w:space="0" w:color="000000"/>
              <w:left w:val="single" w:sz="4" w:space="0" w:color="000000"/>
              <w:bottom w:val="single" w:sz="4" w:space="0" w:color="000000"/>
              <w:right w:val="single" w:sz="4" w:space="0" w:color="000000"/>
            </w:tcBorders>
            <w:vAlign w:val="center"/>
          </w:tcPr>
          <w:p w:rsidR="00751D73" w:rsidRPr="001D49BB" w:rsidRDefault="00751D73" w:rsidP="00145FDA">
            <w:pPr>
              <w:pStyle w:val="ListParagraph"/>
              <w:spacing w:after="0" w:line="200" w:lineRule="exact"/>
              <w:ind w:left="0"/>
              <w:rPr>
                <w:rFonts w:asciiTheme="majorHAnsi" w:eastAsia="Calibri" w:hAnsiTheme="majorHAnsi" w:cstheme="majorHAnsi"/>
                <w:sz w:val="18"/>
                <w:szCs w:val="18"/>
              </w:rPr>
            </w:pPr>
            <w:r w:rsidRPr="001D49BB">
              <w:rPr>
                <w:rFonts w:asciiTheme="majorHAnsi" w:eastAsia="Calibri" w:hAnsiTheme="majorHAnsi" w:cstheme="majorHAnsi"/>
                <w:sz w:val="18"/>
                <w:szCs w:val="18"/>
              </w:rPr>
              <w:t xml:space="preserve">Not </w:t>
            </w:r>
            <w:r>
              <w:rPr>
                <w:rFonts w:asciiTheme="majorHAnsi" w:eastAsia="Calibri" w:hAnsiTheme="majorHAnsi" w:cstheme="majorHAnsi"/>
                <w:sz w:val="18"/>
                <w:szCs w:val="18"/>
              </w:rPr>
              <w:t>applicable</w:t>
            </w:r>
          </w:p>
        </w:tc>
        <w:tc>
          <w:tcPr>
            <w:tcW w:w="1899" w:type="dxa"/>
            <w:tcBorders>
              <w:top w:val="single" w:sz="4" w:space="0" w:color="000000"/>
              <w:left w:val="single" w:sz="4" w:space="0" w:color="000000"/>
              <w:bottom w:val="single" w:sz="4" w:space="0" w:color="000000"/>
              <w:right w:val="single" w:sz="4" w:space="0" w:color="000000"/>
            </w:tcBorders>
            <w:vAlign w:val="center"/>
          </w:tcPr>
          <w:p w:rsidR="00751D73" w:rsidRPr="00F64312" w:rsidRDefault="00751D73" w:rsidP="0002051A">
            <w:pPr>
              <w:spacing w:line="180" w:lineRule="exact"/>
              <w:rPr>
                <w:rFonts w:asciiTheme="majorHAnsi" w:hAnsiTheme="majorHAnsi" w:cstheme="majorHAnsi"/>
                <w:color w:val="auto"/>
                <w:sz w:val="18"/>
                <w:szCs w:val="18"/>
                <w:highlight w:val="lightGray"/>
              </w:rPr>
            </w:pPr>
            <w:r>
              <w:rPr>
                <w:rFonts w:asciiTheme="majorHAnsi" w:eastAsia="Calibri" w:hAnsiTheme="majorHAnsi" w:cstheme="majorHAnsi"/>
                <w:color w:val="auto"/>
                <w:sz w:val="18"/>
                <w:szCs w:val="18"/>
              </w:rPr>
              <w:t>210</w:t>
            </w:r>
          </w:p>
        </w:tc>
        <w:tc>
          <w:tcPr>
            <w:tcW w:w="1900" w:type="dxa"/>
            <w:tcBorders>
              <w:top w:val="single" w:sz="4" w:space="0" w:color="000000"/>
              <w:left w:val="single" w:sz="4" w:space="0" w:color="000000"/>
              <w:bottom w:val="single" w:sz="4" w:space="0" w:color="000000"/>
              <w:right w:val="single" w:sz="4" w:space="0" w:color="000000"/>
            </w:tcBorders>
            <w:vAlign w:val="center"/>
          </w:tcPr>
          <w:p w:rsidR="00751D73" w:rsidRPr="00F64312" w:rsidRDefault="00751D73" w:rsidP="0002051A">
            <w:pPr>
              <w:spacing w:line="180" w:lineRule="exact"/>
              <w:rPr>
                <w:rFonts w:asciiTheme="majorHAnsi" w:hAnsiTheme="majorHAnsi" w:cstheme="majorHAnsi"/>
                <w:color w:val="auto"/>
                <w:sz w:val="18"/>
                <w:szCs w:val="18"/>
                <w:highlight w:val="lightGray"/>
              </w:rPr>
            </w:pPr>
            <w:r w:rsidRPr="008E61E4">
              <w:rPr>
                <w:rFonts w:asciiTheme="majorHAnsi" w:eastAsia="Calibri" w:hAnsiTheme="majorHAnsi" w:cstheme="majorHAnsi"/>
                <w:color w:val="auto"/>
                <w:sz w:val="18"/>
                <w:szCs w:val="18"/>
              </w:rPr>
              <w:t>305</w:t>
            </w:r>
          </w:p>
        </w:tc>
      </w:tr>
      <w:tr w:rsidR="00751D73" w:rsidRPr="00F64312" w:rsidTr="00E944B3">
        <w:trPr>
          <w:trHeight w:val="638"/>
          <w:jc w:val="center"/>
        </w:trPr>
        <w:tc>
          <w:tcPr>
            <w:tcW w:w="1624" w:type="dxa"/>
            <w:tcBorders>
              <w:top w:val="single" w:sz="4" w:space="0" w:color="000000"/>
              <w:left w:val="single" w:sz="4" w:space="0" w:color="000000"/>
              <w:bottom w:val="single" w:sz="4" w:space="0" w:color="auto"/>
              <w:right w:val="single" w:sz="4" w:space="0" w:color="000000"/>
            </w:tcBorders>
            <w:vAlign w:val="center"/>
            <w:hideMark/>
          </w:tcPr>
          <w:p w:rsidR="00751D73" w:rsidRPr="00F64312" w:rsidRDefault="00751D73" w:rsidP="0064043C">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Comment</w:t>
            </w:r>
          </w:p>
        </w:tc>
        <w:tc>
          <w:tcPr>
            <w:tcW w:w="1899" w:type="dxa"/>
            <w:tcBorders>
              <w:top w:val="single" w:sz="4" w:space="0" w:color="000000"/>
              <w:left w:val="single" w:sz="4" w:space="0" w:color="000000"/>
              <w:bottom w:val="single" w:sz="4" w:space="0" w:color="auto"/>
              <w:right w:val="single" w:sz="4" w:space="0" w:color="000000"/>
            </w:tcBorders>
          </w:tcPr>
          <w:p w:rsidR="00A47A84" w:rsidRPr="004C3A57" w:rsidRDefault="00A47A84" w:rsidP="00E944B3">
            <w:pPr>
              <w:pStyle w:val="ListParagraph"/>
              <w:spacing w:after="0" w:line="200" w:lineRule="exact"/>
              <w:ind w:left="0"/>
              <w:jc w:val="left"/>
              <w:rPr>
                <w:rFonts w:asciiTheme="majorHAnsi" w:eastAsia="Calibri" w:hAnsiTheme="majorHAnsi" w:cstheme="majorHAnsi"/>
                <w:strike/>
                <w:sz w:val="18"/>
                <w:szCs w:val="18"/>
              </w:rPr>
            </w:pPr>
            <w:r>
              <w:rPr>
                <w:rFonts w:asciiTheme="majorHAnsi" w:eastAsia="Calibri" w:hAnsiTheme="majorHAnsi" w:cstheme="majorHAnsi"/>
                <w:sz w:val="18"/>
                <w:szCs w:val="18"/>
              </w:rPr>
              <w:t>Pain with motion</w:t>
            </w:r>
            <w:r w:rsidR="00E944B3">
              <w:rPr>
                <w:rFonts w:asciiTheme="majorHAnsi" w:eastAsia="Calibri" w:hAnsiTheme="majorHAnsi" w:cstheme="majorHAnsi"/>
                <w:sz w:val="18"/>
                <w:szCs w:val="18"/>
              </w:rPr>
              <w:t>.</w:t>
            </w:r>
          </w:p>
        </w:tc>
        <w:tc>
          <w:tcPr>
            <w:tcW w:w="1900" w:type="dxa"/>
            <w:tcBorders>
              <w:top w:val="single" w:sz="4" w:space="0" w:color="000000"/>
              <w:left w:val="single" w:sz="4" w:space="0" w:color="000000"/>
              <w:bottom w:val="single" w:sz="4" w:space="0" w:color="auto"/>
              <w:right w:val="single" w:sz="4" w:space="0" w:color="000000"/>
            </w:tcBorders>
          </w:tcPr>
          <w:p w:rsidR="00E944B3" w:rsidRDefault="00E944B3" w:rsidP="00E944B3">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Spurling neg.</w:t>
            </w:r>
          </w:p>
          <w:p w:rsidR="00751D73" w:rsidRPr="00F64312" w:rsidRDefault="00751D73" w:rsidP="00E944B3">
            <w:pPr>
              <w:pStyle w:val="ListParagraph"/>
              <w:spacing w:after="0" w:line="200" w:lineRule="exact"/>
              <w:ind w:left="0"/>
              <w:jc w:val="left"/>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ROM limited by pain</w:t>
            </w:r>
            <w:r w:rsidR="00E944B3">
              <w:rPr>
                <w:rFonts w:asciiTheme="majorHAnsi" w:eastAsia="Calibri" w:hAnsiTheme="majorHAnsi" w:cstheme="majorHAnsi"/>
                <w:sz w:val="18"/>
                <w:szCs w:val="18"/>
              </w:rPr>
              <w:t>.</w:t>
            </w:r>
          </w:p>
        </w:tc>
        <w:tc>
          <w:tcPr>
            <w:tcW w:w="1899" w:type="dxa"/>
            <w:tcBorders>
              <w:top w:val="single" w:sz="4" w:space="0" w:color="000000"/>
              <w:left w:val="single" w:sz="4" w:space="0" w:color="000000"/>
              <w:bottom w:val="single" w:sz="4" w:space="0" w:color="auto"/>
              <w:right w:val="single" w:sz="4" w:space="0" w:color="000000"/>
            </w:tcBorders>
          </w:tcPr>
          <w:p w:rsidR="00E944B3" w:rsidRDefault="00E944B3" w:rsidP="00E944B3">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M</w:t>
            </w:r>
            <w:r w:rsidR="00751D73">
              <w:rPr>
                <w:rFonts w:asciiTheme="majorHAnsi" w:eastAsia="Calibri" w:hAnsiTheme="majorHAnsi" w:cstheme="majorHAnsi"/>
                <w:sz w:val="18"/>
                <w:szCs w:val="18"/>
              </w:rPr>
              <w:t>otor normal</w:t>
            </w:r>
            <w:r>
              <w:rPr>
                <w:rFonts w:asciiTheme="majorHAnsi" w:eastAsia="Calibri" w:hAnsiTheme="majorHAnsi" w:cstheme="majorHAnsi"/>
                <w:sz w:val="18"/>
                <w:szCs w:val="18"/>
              </w:rPr>
              <w:t>.</w:t>
            </w:r>
          </w:p>
          <w:p w:rsidR="00E944B3" w:rsidRDefault="00751D73" w:rsidP="00E944B3">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 xml:space="preserve"> Spurling</w:t>
            </w:r>
            <w:r w:rsidR="00E944B3">
              <w:rPr>
                <w:rFonts w:asciiTheme="majorHAnsi" w:eastAsia="Calibri" w:hAnsiTheme="majorHAnsi" w:cstheme="majorHAnsi"/>
                <w:sz w:val="18"/>
                <w:szCs w:val="18"/>
              </w:rPr>
              <w:t xml:space="preserve"> neg.</w:t>
            </w:r>
          </w:p>
          <w:p w:rsidR="00751D73" w:rsidRPr="00F64312" w:rsidRDefault="00751D73" w:rsidP="00E944B3">
            <w:pPr>
              <w:pStyle w:val="ListParagraph"/>
              <w:spacing w:after="0" w:line="200" w:lineRule="exact"/>
              <w:ind w:left="0"/>
              <w:jc w:val="left"/>
              <w:rPr>
                <w:rFonts w:asciiTheme="majorHAnsi" w:eastAsia="Calibri" w:hAnsiTheme="majorHAnsi" w:cstheme="majorHAnsi"/>
                <w:sz w:val="18"/>
                <w:szCs w:val="18"/>
                <w:highlight w:val="lightGray"/>
              </w:rPr>
            </w:pPr>
            <w:r>
              <w:rPr>
                <w:rFonts w:asciiTheme="majorHAnsi" w:eastAsia="Calibri" w:hAnsiTheme="majorHAnsi" w:cstheme="majorHAnsi"/>
                <w:sz w:val="18"/>
                <w:szCs w:val="18"/>
              </w:rPr>
              <w:t xml:space="preserve"> ROM limited by pain</w:t>
            </w:r>
            <w:r w:rsidR="00E944B3">
              <w:rPr>
                <w:rFonts w:asciiTheme="majorHAnsi" w:eastAsia="Calibri" w:hAnsiTheme="majorHAnsi" w:cstheme="majorHAnsi"/>
                <w:sz w:val="18"/>
                <w:szCs w:val="18"/>
              </w:rPr>
              <w:t>.</w:t>
            </w:r>
          </w:p>
        </w:tc>
        <w:tc>
          <w:tcPr>
            <w:tcW w:w="1900" w:type="dxa"/>
            <w:tcBorders>
              <w:top w:val="single" w:sz="4" w:space="0" w:color="000000"/>
              <w:left w:val="single" w:sz="4" w:space="0" w:color="000000"/>
              <w:bottom w:val="single" w:sz="4" w:space="0" w:color="auto"/>
              <w:right w:val="single" w:sz="4" w:space="0" w:color="000000"/>
            </w:tcBorders>
          </w:tcPr>
          <w:p w:rsidR="00E944B3" w:rsidRDefault="00751D73" w:rsidP="00E944B3">
            <w:pPr>
              <w:pStyle w:val="ListParagraph"/>
              <w:spacing w:after="0" w:line="200" w:lineRule="exact"/>
              <w:ind w:left="0"/>
              <w:jc w:val="left"/>
              <w:rPr>
                <w:rFonts w:asciiTheme="majorHAnsi" w:eastAsia="Calibri" w:hAnsiTheme="majorHAnsi" w:cstheme="majorHAnsi"/>
                <w:sz w:val="18"/>
                <w:szCs w:val="18"/>
              </w:rPr>
            </w:pPr>
            <w:r w:rsidRPr="0050434A">
              <w:rPr>
                <w:rFonts w:asciiTheme="majorHAnsi" w:eastAsia="Calibri" w:hAnsiTheme="majorHAnsi" w:cstheme="majorHAnsi"/>
                <w:sz w:val="18"/>
                <w:szCs w:val="18"/>
              </w:rPr>
              <w:t>Tenderness</w:t>
            </w:r>
            <w:r w:rsidR="00E944B3">
              <w:rPr>
                <w:rFonts w:asciiTheme="majorHAnsi" w:eastAsia="Calibri" w:hAnsiTheme="majorHAnsi" w:cstheme="majorHAnsi"/>
                <w:sz w:val="18"/>
                <w:szCs w:val="18"/>
              </w:rPr>
              <w:t>.</w:t>
            </w:r>
          </w:p>
          <w:p w:rsidR="00E944B3" w:rsidRDefault="006F39DE" w:rsidP="00E944B3">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 xml:space="preserve">No </w:t>
            </w:r>
            <w:r w:rsidR="00751D73">
              <w:rPr>
                <w:rFonts w:asciiTheme="majorHAnsi" w:eastAsia="Calibri" w:hAnsiTheme="majorHAnsi" w:cstheme="majorHAnsi"/>
                <w:sz w:val="18"/>
                <w:szCs w:val="18"/>
              </w:rPr>
              <w:t>spasm</w:t>
            </w:r>
            <w:r w:rsidR="00E944B3">
              <w:rPr>
                <w:rFonts w:asciiTheme="majorHAnsi" w:eastAsia="Calibri" w:hAnsiTheme="majorHAnsi" w:cstheme="majorHAnsi"/>
                <w:sz w:val="18"/>
                <w:szCs w:val="18"/>
              </w:rPr>
              <w:t>.</w:t>
            </w:r>
          </w:p>
          <w:p w:rsidR="00751D73" w:rsidRPr="0050434A" w:rsidRDefault="00E944B3" w:rsidP="00E944B3">
            <w:pPr>
              <w:pStyle w:val="ListParagraph"/>
              <w:spacing w:after="0" w:line="200" w:lineRule="exact"/>
              <w:ind w:left="0"/>
              <w:jc w:val="left"/>
              <w:rPr>
                <w:rFonts w:asciiTheme="majorHAnsi" w:eastAsia="Calibri" w:hAnsiTheme="majorHAnsi" w:cstheme="majorHAnsi"/>
                <w:sz w:val="18"/>
                <w:szCs w:val="18"/>
              </w:rPr>
            </w:pPr>
            <w:r>
              <w:rPr>
                <w:rFonts w:asciiTheme="majorHAnsi" w:eastAsia="Calibri" w:hAnsiTheme="majorHAnsi" w:cstheme="majorHAnsi"/>
                <w:sz w:val="18"/>
                <w:szCs w:val="18"/>
              </w:rPr>
              <w:t>P</w:t>
            </w:r>
            <w:r w:rsidR="00751D73">
              <w:rPr>
                <w:rFonts w:asciiTheme="majorHAnsi" w:eastAsia="Calibri" w:hAnsiTheme="majorHAnsi" w:cstheme="majorHAnsi"/>
                <w:sz w:val="18"/>
                <w:szCs w:val="18"/>
              </w:rPr>
              <w:t>ain not exhibited</w:t>
            </w:r>
            <w:r>
              <w:rPr>
                <w:rFonts w:asciiTheme="majorHAnsi" w:eastAsia="Calibri" w:hAnsiTheme="majorHAnsi" w:cstheme="majorHAnsi"/>
                <w:sz w:val="18"/>
                <w:szCs w:val="18"/>
              </w:rPr>
              <w:t>.</w:t>
            </w:r>
          </w:p>
        </w:tc>
      </w:tr>
      <w:tr w:rsidR="00751D73" w:rsidRPr="00F64312" w:rsidTr="00337286">
        <w:trPr>
          <w:trHeight w:val="197"/>
          <w:jc w:val="center"/>
        </w:trPr>
        <w:tc>
          <w:tcPr>
            <w:tcW w:w="1624" w:type="dxa"/>
            <w:tcBorders>
              <w:top w:val="single" w:sz="4" w:space="0" w:color="000000"/>
              <w:left w:val="single" w:sz="4" w:space="0" w:color="000000"/>
              <w:bottom w:val="single" w:sz="4" w:space="0" w:color="auto"/>
              <w:right w:val="single" w:sz="4" w:space="0" w:color="000000"/>
            </w:tcBorders>
            <w:vAlign w:val="center"/>
            <w:hideMark/>
          </w:tcPr>
          <w:p w:rsidR="00751D73" w:rsidRPr="00F64312" w:rsidRDefault="00751D73" w:rsidP="0002051A">
            <w:pPr>
              <w:spacing w:line="18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4.71a Rating</w:t>
            </w:r>
          </w:p>
        </w:tc>
        <w:tc>
          <w:tcPr>
            <w:tcW w:w="1899" w:type="dxa"/>
            <w:tcBorders>
              <w:top w:val="single" w:sz="4" w:space="0" w:color="000000"/>
              <w:left w:val="single" w:sz="4" w:space="0" w:color="000000"/>
              <w:bottom w:val="single" w:sz="4" w:space="0" w:color="auto"/>
              <w:right w:val="single" w:sz="4" w:space="0" w:color="000000"/>
            </w:tcBorders>
          </w:tcPr>
          <w:p w:rsidR="00751D73" w:rsidRPr="00FB0A42" w:rsidRDefault="0064043C" w:rsidP="0002051A">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1900" w:type="dxa"/>
            <w:tcBorders>
              <w:top w:val="single" w:sz="4" w:space="0" w:color="000000"/>
              <w:left w:val="single" w:sz="4" w:space="0" w:color="000000"/>
              <w:bottom w:val="single" w:sz="4" w:space="0" w:color="auto"/>
              <w:right w:val="single" w:sz="4" w:space="0" w:color="000000"/>
            </w:tcBorders>
            <w:vAlign w:val="center"/>
          </w:tcPr>
          <w:p w:rsidR="00751D73" w:rsidRPr="00F64312" w:rsidRDefault="00751D73" w:rsidP="0002051A">
            <w:pPr>
              <w:pStyle w:val="ListParagraph"/>
              <w:spacing w:after="0" w:line="200" w:lineRule="exact"/>
              <w:ind w:left="0"/>
              <w:rPr>
                <w:rFonts w:asciiTheme="majorHAnsi" w:eastAsia="Calibri" w:hAnsiTheme="majorHAnsi" w:cstheme="majorHAnsi"/>
                <w:sz w:val="18"/>
                <w:szCs w:val="18"/>
                <w:highlight w:val="lightGray"/>
              </w:rPr>
            </w:pPr>
            <w:r w:rsidRPr="00FB0A42">
              <w:rPr>
                <w:rFonts w:asciiTheme="majorHAnsi" w:eastAsia="Calibri" w:hAnsiTheme="majorHAnsi" w:cstheme="majorHAnsi"/>
                <w:sz w:val="18"/>
                <w:szCs w:val="18"/>
              </w:rPr>
              <w:t>20%</w:t>
            </w:r>
          </w:p>
        </w:tc>
        <w:tc>
          <w:tcPr>
            <w:tcW w:w="1899" w:type="dxa"/>
            <w:tcBorders>
              <w:top w:val="single" w:sz="4" w:space="0" w:color="000000"/>
              <w:left w:val="single" w:sz="4" w:space="0" w:color="000000"/>
              <w:bottom w:val="single" w:sz="4" w:space="0" w:color="auto"/>
              <w:right w:val="single" w:sz="4" w:space="0" w:color="000000"/>
            </w:tcBorders>
            <w:vAlign w:val="center"/>
          </w:tcPr>
          <w:p w:rsidR="00751D73" w:rsidRPr="00F64312" w:rsidRDefault="00751D73" w:rsidP="0002051A">
            <w:pPr>
              <w:pStyle w:val="ListParagraph"/>
              <w:spacing w:after="0" w:line="200" w:lineRule="exact"/>
              <w:ind w:left="0"/>
              <w:rPr>
                <w:rFonts w:asciiTheme="majorHAnsi" w:eastAsia="Calibri" w:hAnsiTheme="majorHAnsi" w:cstheme="majorHAnsi"/>
                <w:sz w:val="18"/>
                <w:szCs w:val="18"/>
                <w:highlight w:val="lightGray"/>
              </w:rPr>
            </w:pPr>
            <w:r w:rsidRPr="00485418">
              <w:rPr>
                <w:rFonts w:asciiTheme="majorHAnsi" w:eastAsia="Calibri" w:hAnsiTheme="majorHAnsi" w:cstheme="majorHAnsi"/>
                <w:sz w:val="18"/>
                <w:szCs w:val="18"/>
              </w:rPr>
              <w:t>10%</w:t>
            </w:r>
          </w:p>
        </w:tc>
        <w:tc>
          <w:tcPr>
            <w:tcW w:w="1900" w:type="dxa"/>
            <w:tcBorders>
              <w:top w:val="single" w:sz="4" w:space="0" w:color="000000"/>
              <w:left w:val="single" w:sz="4" w:space="0" w:color="000000"/>
              <w:bottom w:val="single" w:sz="4" w:space="0" w:color="auto"/>
              <w:right w:val="single" w:sz="4" w:space="0" w:color="000000"/>
            </w:tcBorders>
            <w:vAlign w:val="center"/>
          </w:tcPr>
          <w:p w:rsidR="00751D73" w:rsidRPr="0050434A" w:rsidRDefault="00751D73" w:rsidP="0002051A">
            <w:pPr>
              <w:pStyle w:val="ListParagraph"/>
              <w:spacing w:after="0" w:line="200" w:lineRule="exact"/>
              <w:ind w:left="0"/>
              <w:rPr>
                <w:rFonts w:asciiTheme="majorHAnsi" w:eastAsia="Calibri" w:hAnsiTheme="majorHAnsi" w:cstheme="majorHAnsi"/>
                <w:sz w:val="18"/>
                <w:szCs w:val="18"/>
              </w:rPr>
            </w:pPr>
            <w:r w:rsidRPr="0050434A">
              <w:rPr>
                <w:rFonts w:asciiTheme="majorHAnsi" w:eastAsia="Calibri" w:hAnsiTheme="majorHAnsi" w:cstheme="majorHAnsi"/>
                <w:sz w:val="18"/>
                <w:szCs w:val="18"/>
              </w:rPr>
              <w:t>10%</w:t>
            </w:r>
          </w:p>
        </w:tc>
      </w:tr>
    </w:tbl>
    <w:p w:rsidR="0043735C" w:rsidRDefault="0043735C" w:rsidP="0043735C">
      <w:pPr>
        <w:jc w:val="both"/>
        <w:rPr>
          <w:color w:val="auto"/>
          <w:szCs w:val="24"/>
        </w:rPr>
      </w:pPr>
    </w:p>
    <w:p w:rsidR="00F74DA2" w:rsidRDefault="00E207A0" w:rsidP="00DC7BC9">
      <w:pPr>
        <w:jc w:val="both"/>
        <w:rPr>
          <w:rFonts w:cs="Times New Roman"/>
          <w:color w:val="auto"/>
        </w:rPr>
      </w:pPr>
      <w:r>
        <w:rPr>
          <w:color w:val="auto"/>
          <w:szCs w:val="24"/>
        </w:rPr>
        <w:t>T</w:t>
      </w:r>
      <w:r w:rsidR="0064043C" w:rsidRPr="00337286">
        <w:rPr>
          <w:color w:val="auto"/>
          <w:szCs w:val="24"/>
        </w:rPr>
        <w:t>he 17 November 2004 orthopedic note</w:t>
      </w:r>
      <w:r>
        <w:rPr>
          <w:color w:val="auto"/>
          <w:szCs w:val="24"/>
        </w:rPr>
        <w:t xml:space="preserve"> recorded that </w:t>
      </w:r>
      <w:r w:rsidR="00751D73" w:rsidRPr="00337286">
        <w:rPr>
          <w:color w:val="auto"/>
          <w:szCs w:val="24"/>
        </w:rPr>
        <w:t xml:space="preserve">the CI fell off of a truck while deployed to Iraq in December 2003.  </w:t>
      </w:r>
      <w:r w:rsidR="00F74DA2">
        <w:rPr>
          <w:color w:val="auto"/>
          <w:szCs w:val="24"/>
        </w:rPr>
        <w:t>Magnetic resonance i</w:t>
      </w:r>
      <w:r w:rsidR="00763052">
        <w:rPr>
          <w:color w:val="auto"/>
          <w:szCs w:val="24"/>
        </w:rPr>
        <w:t>maging</w:t>
      </w:r>
      <w:r w:rsidR="00F74DA2">
        <w:rPr>
          <w:color w:val="auto"/>
          <w:szCs w:val="24"/>
        </w:rPr>
        <w:t xml:space="preserve"> (MRI)</w:t>
      </w:r>
      <w:r w:rsidR="00763052">
        <w:rPr>
          <w:color w:val="auto"/>
          <w:szCs w:val="24"/>
        </w:rPr>
        <w:t xml:space="preserve"> obtained 26 July 2004 showed cervical lordotic straightening and moderate reversal consistent with significant spasm.  It was otherwise unremarkable.  </w:t>
      </w:r>
      <w:r>
        <w:rPr>
          <w:color w:val="auto"/>
          <w:szCs w:val="24"/>
        </w:rPr>
        <w:t xml:space="preserve">A bone scan </w:t>
      </w:r>
      <w:r w:rsidR="00F74DA2">
        <w:rPr>
          <w:color w:val="auto"/>
          <w:szCs w:val="24"/>
        </w:rPr>
        <w:t xml:space="preserve">performed on </w:t>
      </w:r>
      <w:r>
        <w:rPr>
          <w:color w:val="auto"/>
          <w:szCs w:val="24"/>
        </w:rPr>
        <w:t xml:space="preserve">8 September 2004 was unremarkable.  </w:t>
      </w:r>
      <w:r w:rsidR="00763052">
        <w:rPr>
          <w:color w:val="auto"/>
          <w:szCs w:val="24"/>
        </w:rPr>
        <w:t xml:space="preserve">He was referred for chiropractic manipulation which did not resolve the pain.  Repeat cervical films </w:t>
      </w:r>
      <w:r w:rsidR="00F74DA2">
        <w:rPr>
          <w:color w:val="auto"/>
          <w:szCs w:val="24"/>
        </w:rPr>
        <w:t xml:space="preserve">performed </w:t>
      </w:r>
      <w:r w:rsidR="00763052">
        <w:rPr>
          <w:color w:val="auto"/>
          <w:szCs w:val="24"/>
        </w:rPr>
        <w:t xml:space="preserve">on 15 November 2004 </w:t>
      </w:r>
      <w:r>
        <w:rPr>
          <w:color w:val="auto"/>
          <w:szCs w:val="24"/>
        </w:rPr>
        <w:t xml:space="preserve">and again 19 November 2004 </w:t>
      </w:r>
      <w:r w:rsidR="00F74DA2">
        <w:rPr>
          <w:color w:val="auto"/>
          <w:szCs w:val="24"/>
        </w:rPr>
        <w:t>was</w:t>
      </w:r>
      <w:r w:rsidR="00763052">
        <w:rPr>
          <w:color w:val="auto"/>
          <w:szCs w:val="24"/>
        </w:rPr>
        <w:t xml:space="preserve"> normal without evidence of spasm.  A MRI </w:t>
      </w:r>
      <w:r w:rsidR="00F74DA2">
        <w:rPr>
          <w:color w:val="auto"/>
          <w:szCs w:val="24"/>
        </w:rPr>
        <w:t xml:space="preserve">performed </w:t>
      </w:r>
      <w:r w:rsidR="00763052">
        <w:rPr>
          <w:color w:val="auto"/>
          <w:szCs w:val="24"/>
        </w:rPr>
        <w:t xml:space="preserve">on 23 February 2005, </w:t>
      </w:r>
      <w:r w:rsidR="00F74DA2">
        <w:rPr>
          <w:color w:val="auto"/>
          <w:szCs w:val="24"/>
        </w:rPr>
        <w:t>6</w:t>
      </w:r>
      <w:r w:rsidR="00763052">
        <w:rPr>
          <w:color w:val="auto"/>
          <w:szCs w:val="24"/>
        </w:rPr>
        <w:t xml:space="preserve"> weeks prior to separation, showed early degenerative changes </w:t>
      </w:r>
      <w:r w:rsidR="006B55CF">
        <w:rPr>
          <w:color w:val="auto"/>
          <w:szCs w:val="24"/>
        </w:rPr>
        <w:t xml:space="preserve">of the vertebral foramina </w:t>
      </w:r>
      <w:r w:rsidR="00763052">
        <w:rPr>
          <w:color w:val="auto"/>
          <w:szCs w:val="24"/>
        </w:rPr>
        <w:t xml:space="preserve">at C3-4 and </w:t>
      </w:r>
      <w:r w:rsidR="006B55CF">
        <w:rPr>
          <w:color w:val="auto"/>
          <w:szCs w:val="24"/>
        </w:rPr>
        <w:t xml:space="preserve">of the </w:t>
      </w:r>
      <w:r w:rsidR="00763052">
        <w:rPr>
          <w:color w:val="auto"/>
          <w:szCs w:val="24"/>
        </w:rPr>
        <w:t xml:space="preserve">C5-6 </w:t>
      </w:r>
      <w:r w:rsidR="00E07CD2">
        <w:rPr>
          <w:color w:val="auto"/>
          <w:szCs w:val="24"/>
        </w:rPr>
        <w:t xml:space="preserve">disc </w:t>
      </w:r>
      <w:r w:rsidR="006B55CF">
        <w:rPr>
          <w:color w:val="auto"/>
          <w:szCs w:val="24"/>
        </w:rPr>
        <w:t>with a small right paracentral posterior disc protrusion</w:t>
      </w:r>
      <w:r w:rsidR="0048611C">
        <w:rPr>
          <w:color w:val="auto"/>
          <w:szCs w:val="24"/>
        </w:rPr>
        <w:t>.  There was no</w:t>
      </w:r>
      <w:r w:rsidR="00763052">
        <w:rPr>
          <w:color w:val="auto"/>
          <w:szCs w:val="24"/>
        </w:rPr>
        <w:t xml:space="preserve"> nerve root or cord impingement.</w:t>
      </w:r>
      <w:r>
        <w:rPr>
          <w:color w:val="auto"/>
          <w:szCs w:val="24"/>
        </w:rPr>
        <w:t xml:space="preserve">  </w:t>
      </w:r>
      <w:r w:rsidR="00763052" w:rsidRPr="00F64312">
        <w:rPr>
          <w:color w:val="auto"/>
          <w:szCs w:val="24"/>
        </w:rPr>
        <w:t xml:space="preserve">At the MEB </w:t>
      </w:r>
      <w:r w:rsidR="00763052">
        <w:rPr>
          <w:color w:val="auto"/>
          <w:szCs w:val="24"/>
        </w:rPr>
        <w:t xml:space="preserve">separation </w:t>
      </w:r>
      <w:r w:rsidR="00763052" w:rsidRPr="00F64312">
        <w:rPr>
          <w:color w:val="auto"/>
          <w:szCs w:val="24"/>
        </w:rPr>
        <w:t>exam</w:t>
      </w:r>
      <w:r w:rsidR="00763052">
        <w:rPr>
          <w:color w:val="auto"/>
          <w:szCs w:val="24"/>
        </w:rPr>
        <w:t xml:space="preserve"> </w:t>
      </w:r>
      <w:r w:rsidR="00F74DA2">
        <w:rPr>
          <w:color w:val="auto"/>
          <w:szCs w:val="24"/>
        </w:rPr>
        <w:t xml:space="preserve">performed </w:t>
      </w:r>
      <w:r w:rsidR="00763052">
        <w:rPr>
          <w:color w:val="auto"/>
          <w:szCs w:val="24"/>
        </w:rPr>
        <w:t>on 3 November 2004</w:t>
      </w:r>
      <w:r w:rsidR="00763052" w:rsidRPr="00F64312">
        <w:rPr>
          <w:color w:val="auto"/>
          <w:szCs w:val="24"/>
        </w:rPr>
        <w:t xml:space="preserve">, </w:t>
      </w:r>
      <w:r w:rsidR="00763052">
        <w:rPr>
          <w:color w:val="auto"/>
          <w:szCs w:val="24"/>
        </w:rPr>
        <w:t xml:space="preserve">just over </w:t>
      </w:r>
      <w:r w:rsidR="00F74DA2">
        <w:rPr>
          <w:color w:val="auto"/>
          <w:szCs w:val="24"/>
        </w:rPr>
        <w:t>6</w:t>
      </w:r>
      <w:r w:rsidR="00763052">
        <w:rPr>
          <w:color w:val="auto"/>
          <w:szCs w:val="24"/>
        </w:rPr>
        <w:t xml:space="preserve"> months prior to separation, </w:t>
      </w:r>
      <w:r w:rsidR="00763052" w:rsidRPr="00F64312">
        <w:rPr>
          <w:color w:val="auto"/>
          <w:szCs w:val="24"/>
        </w:rPr>
        <w:t>the CI reported</w:t>
      </w:r>
      <w:r w:rsidR="00763052">
        <w:rPr>
          <w:color w:val="auto"/>
          <w:szCs w:val="24"/>
        </w:rPr>
        <w:t xml:space="preserve"> intermittent numbness and tingling in the </w:t>
      </w:r>
      <w:r w:rsidR="00763052" w:rsidRPr="003F79F8">
        <w:rPr>
          <w:color w:val="auto"/>
          <w:szCs w:val="24"/>
        </w:rPr>
        <w:t>left ri</w:t>
      </w:r>
      <w:r w:rsidR="0064043C" w:rsidRPr="003F79F8">
        <w:rPr>
          <w:color w:val="auto"/>
          <w:szCs w:val="24"/>
        </w:rPr>
        <w:t>ng</w:t>
      </w:r>
      <w:r w:rsidR="00763052" w:rsidRPr="003F79F8">
        <w:rPr>
          <w:color w:val="auto"/>
          <w:szCs w:val="24"/>
        </w:rPr>
        <w:t xml:space="preserve"> and</w:t>
      </w:r>
      <w:r w:rsidR="00763052">
        <w:rPr>
          <w:color w:val="auto"/>
          <w:szCs w:val="24"/>
        </w:rPr>
        <w:t xml:space="preserve"> pinky finger</w:t>
      </w:r>
      <w:r w:rsidR="0064043C">
        <w:rPr>
          <w:color w:val="auto"/>
          <w:szCs w:val="24"/>
        </w:rPr>
        <w:t>s</w:t>
      </w:r>
      <w:r w:rsidR="00763052">
        <w:rPr>
          <w:color w:val="auto"/>
          <w:szCs w:val="24"/>
        </w:rPr>
        <w:t xml:space="preserve">. </w:t>
      </w:r>
      <w:r w:rsidR="0064043C">
        <w:rPr>
          <w:color w:val="auto"/>
          <w:szCs w:val="24"/>
        </w:rPr>
        <w:t xml:space="preserve"> </w:t>
      </w:r>
      <w:r w:rsidR="00763052" w:rsidRPr="00337286">
        <w:rPr>
          <w:color w:val="auto"/>
          <w:szCs w:val="24"/>
        </w:rPr>
        <w:t xml:space="preserve">Tenderness was noted over the cervical spine by the examiner.  </w:t>
      </w:r>
      <w:r w:rsidR="005C4132" w:rsidRPr="00337286">
        <w:rPr>
          <w:color w:val="auto"/>
          <w:szCs w:val="24"/>
        </w:rPr>
        <w:t xml:space="preserve">An orthopedic examination </w:t>
      </w:r>
      <w:r>
        <w:rPr>
          <w:color w:val="auto"/>
          <w:szCs w:val="24"/>
        </w:rPr>
        <w:t xml:space="preserve">was performed </w:t>
      </w:r>
      <w:r w:rsidR="00F74DA2">
        <w:rPr>
          <w:color w:val="auto"/>
          <w:szCs w:val="24"/>
        </w:rPr>
        <w:t>2</w:t>
      </w:r>
      <w:r w:rsidR="005C4132" w:rsidRPr="00337286">
        <w:rPr>
          <w:color w:val="auto"/>
          <w:szCs w:val="24"/>
        </w:rPr>
        <w:t xml:space="preserve"> weeks later</w:t>
      </w:r>
      <w:r>
        <w:rPr>
          <w:color w:val="auto"/>
          <w:szCs w:val="24"/>
        </w:rPr>
        <w:t xml:space="preserve"> </w:t>
      </w:r>
      <w:r w:rsidR="0064043C" w:rsidRPr="00337286">
        <w:rPr>
          <w:color w:val="auto"/>
          <w:szCs w:val="24"/>
        </w:rPr>
        <w:t>specifically for the MEB process</w:t>
      </w:r>
      <w:r w:rsidR="005C4132" w:rsidRPr="00337286">
        <w:rPr>
          <w:color w:val="auto"/>
          <w:szCs w:val="24"/>
        </w:rPr>
        <w:t xml:space="preserve">, </w:t>
      </w:r>
      <w:r w:rsidR="00F74DA2">
        <w:rPr>
          <w:color w:val="auto"/>
          <w:szCs w:val="24"/>
        </w:rPr>
        <w:t>6</w:t>
      </w:r>
      <w:r w:rsidR="005C4132" w:rsidRPr="00337286">
        <w:rPr>
          <w:color w:val="auto"/>
          <w:szCs w:val="24"/>
        </w:rPr>
        <w:t xml:space="preserve"> months prior to separation</w:t>
      </w:r>
      <w:r w:rsidR="003C75E5" w:rsidRPr="00337286">
        <w:rPr>
          <w:color w:val="auto"/>
          <w:szCs w:val="24"/>
        </w:rPr>
        <w:t xml:space="preserve">.  </w:t>
      </w:r>
      <w:r w:rsidR="005C4132" w:rsidRPr="00337286">
        <w:rPr>
          <w:color w:val="auto"/>
          <w:szCs w:val="24"/>
        </w:rPr>
        <w:t xml:space="preserve">On examination, he was noted to have normal </w:t>
      </w:r>
      <w:r w:rsidR="0064043C" w:rsidRPr="00337286">
        <w:rPr>
          <w:color w:val="auto"/>
          <w:szCs w:val="24"/>
        </w:rPr>
        <w:t>strength and reflexes</w:t>
      </w:r>
      <w:r w:rsidR="005C4132" w:rsidRPr="00337286">
        <w:rPr>
          <w:color w:val="auto"/>
          <w:szCs w:val="24"/>
        </w:rPr>
        <w:t xml:space="preserve"> of the upper extremities. </w:t>
      </w:r>
      <w:r w:rsidR="0064043C" w:rsidRPr="00337286">
        <w:rPr>
          <w:color w:val="auto"/>
          <w:szCs w:val="24"/>
        </w:rPr>
        <w:t xml:space="preserve"> P</w:t>
      </w:r>
      <w:r w:rsidR="004873AE" w:rsidRPr="00337286">
        <w:rPr>
          <w:color w:val="auto"/>
          <w:szCs w:val="24"/>
        </w:rPr>
        <w:t xml:space="preserve">rovocative examination maneuvers for nerve root impingement or irritation </w:t>
      </w:r>
      <w:r w:rsidR="0064043C" w:rsidRPr="00337286">
        <w:rPr>
          <w:color w:val="auto"/>
          <w:szCs w:val="24"/>
        </w:rPr>
        <w:t>(Spurling test) were negative.</w:t>
      </w:r>
      <w:r>
        <w:rPr>
          <w:color w:val="auto"/>
          <w:szCs w:val="24"/>
        </w:rPr>
        <w:t xml:space="preserve">  </w:t>
      </w:r>
      <w:r w:rsidR="006B55CF" w:rsidRPr="00337286">
        <w:rPr>
          <w:color w:val="auto"/>
        </w:rPr>
        <w:t xml:space="preserve">The </w:t>
      </w:r>
      <w:r w:rsidR="006B55CF" w:rsidRPr="00F74DA2">
        <w:rPr>
          <w:color w:val="auto"/>
        </w:rPr>
        <w:t>NARSUM</w:t>
      </w:r>
      <w:r w:rsidR="006B55CF" w:rsidRPr="00337286">
        <w:rPr>
          <w:color w:val="auto"/>
        </w:rPr>
        <w:t xml:space="preserve"> was dictated 11 February 2005, less than </w:t>
      </w:r>
      <w:r w:rsidR="00F74DA2">
        <w:rPr>
          <w:color w:val="auto"/>
        </w:rPr>
        <w:t>2</w:t>
      </w:r>
      <w:r w:rsidR="006B55CF" w:rsidRPr="00337286">
        <w:rPr>
          <w:color w:val="auto"/>
        </w:rPr>
        <w:t xml:space="preserve"> months prior to separation</w:t>
      </w:r>
      <w:r w:rsidR="006B55CF">
        <w:rPr>
          <w:color w:val="auto"/>
        </w:rPr>
        <w:t xml:space="preserve">.  The CI reported that the neck pain began after he fell on the truck in Iraq and that </w:t>
      </w:r>
      <w:r w:rsidR="006B55CF">
        <w:rPr>
          <w:color w:val="auto"/>
        </w:rPr>
        <w:lastRenderedPageBreak/>
        <w:t xml:space="preserve">he also had recurrent </w:t>
      </w:r>
      <w:r w:rsidR="006B55CF" w:rsidRPr="00892D49">
        <w:rPr>
          <w:color w:val="auto"/>
        </w:rPr>
        <w:t xml:space="preserve">numbness which radiated down his left arm.  He again reinjured it while lifting after his return to </w:t>
      </w:r>
      <w:r w:rsidR="00892D49" w:rsidRPr="00892D49">
        <w:rPr>
          <w:color w:val="auto"/>
        </w:rPr>
        <w:t xml:space="preserve">home station. </w:t>
      </w:r>
      <w:r w:rsidR="004873AE" w:rsidRPr="00892D49">
        <w:rPr>
          <w:color w:val="auto"/>
        </w:rPr>
        <w:t xml:space="preserve"> </w:t>
      </w:r>
      <w:r w:rsidR="006B55CF" w:rsidRPr="00892D49">
        <w:rPr>
          <w:color w:val="auto"/>
        </w:rPr>
        <w:t>He</w:t>
      </w:r>
      <w:r w:rsidR="006B55CF">
        <w:rPr>
          <w:color w:val="auto"/>
        </w:rPr>
        <w:t xml:space="preserve"> failed to improve adequately with conservative management which included medications, chiropractic manipulation and physical therapy.  On examination, he was noted to have tenderness of the cervical muscles without spasm or visible deformity.  There was normal </w:t>
      </w:r>
      <w:r w:rsidR="00892D49">
        <w:rPr>
          <w:color w:val="auto"/>
        </w:rPr>
        <w:t>stregnth “</w:t>
      </w:r>
      <w:r w:rsidR="006B55CF">
        <w:rPr>
          <w:color w:val="auto"/>
        </w:rPr>
        <w:t xml:space="preserve">Slight sensation over the triceps and ulnar forearm and hand was noted.”  The </w:t>
      </w:r>
      <w:r w:rsidR="00892D49">
        <w:rPr>
          <w:color w:val="auto"/>
        </w:rPr>
        <w:t>reflexes</w:t>
      </w:r>
      <w:r w:rsidR="006B55CF">
        <w:rPr>
          <w:color w:val="auto"/>
        </w:rPr>
        <w:t xml:space="preserve"> were essentially absent bilaterally except for 2+ on the left brachioradialis</w:t>
      </w:r>
      <w:r w:rsidR="00337286">
        <w:rPr>
          <w:color w:val="auto"/>
        </w:rPr>
        <w:t xml:space="preserve">. </w:t>
      </w:r>
      <w:r w:rsidR="006B55CF">
        <w:rPr>
          <w:color w:val="auto"/>
        </w:rPr>
        <w:t xml:space="preserve"> The ROM is above and was limited by pain.  </w:t>
      </w:r>
      <w:r w:rsidR="006B55CF" w:rsidRPr="00F64312">
        <w:rPr>
          <w:color w:val="auto"/>
          <w:szCs w:val="24"/>
        </w:rPr>
        <w:t>At the C&amp;P)</w:t>
      </w:r>
      <w:r w:rsidR="00F74DA2">
        <w:rPr>
          <w:color w:val="auto"/>
          <w:szCs w:val="24"/>
        </w:rPr>
        <w:t xml:space="preserve"> </w:t>
      </w:r>
      <w:r w:rsidR="006B55CF" w:rsidRPr="00F64312">
        <w:rPr>
          <w:color w:val="auto"/>
          <w:szCs w:val="24"/>
        </w:rPr>
        <w:t>exam</w:t>
      </w:r>
      <w:r w:rsidR="006B55CF">
        <w:rPr>
          <w:color w:val="auto"/>
          <w:szCs w:val="24"/>
        </w:rPr>
        <w:t xml:space="preserve"> </w:t>
      </w:r>
      <w:r w:rsidR="00F74DA2">
        <w:rPr>
          <w:color w:val="auto"/>
          <w:szCs w:val="24"/>
        </w:rPr>
        <w:t xml:space="preserve">performed </w:t>
      </w:r>
      <w:r w:rsidR="006B55CF">
        <w:rPr>
          <w:color w:val="auto"/>
          <w:szCs w:val="24"/>
        </w:rPr>
        <w:t xml:space="preserve">on 19 May 2005, </w:t>
      </w:r>
      <w:r w:rsidR="00F74DA2">
        <w:rPr>
          <w:color w:val="auto"/>
          <w:szCs w:val="24"/>
        </w:rPr>
        <w:t>6</w:t>
      </w:r>
      <w:r w:rsidR="006B55CF">
        <w:rPr>
          <w:color w:val="auto"/>
          <w:szCs w:val="24"/>
        </w:rPr>
        <w:t xml:space="preserve"> weeks </w:t>
      </w:r>
      <w:r w:rsidR="006B55CF" w:rsidRPr="00D531C2">
        <w:rPr>
          <w:color w:val="auto"/>
          <w:szCs w:val="24"/>
        </w:rPr>
        <w:t>after</w:t>
      </w:r>
      <w:r w:rsidR="006B55CF">
        <w:rPr>
          <w:color w:val="auto"/>
          <w:szCs w:val="24"/>
        </w:rPr>
        <w:t xml:space="preserve"> separation</w:t>
      </w:r>
      <w:r w:rsidR="006B55CF" w:rsidRPr="00F64312">
        <w:rPr>
          <w:color w:val="auto"/>
          <w:szCs w:val="24"/>
        </w:rPr>
        <w:t>, the CI reported</w:t>
      </w:r>
      <w:r w:rsidR="006B55CF">
        <w:rPr>
          <w:color w:val="auto"/>
          <w:szCs w:val="24"/>
        </w:rPr>
        <w:t xml:space="preserve"> that he had daily pain rated at 8/10</w:t>
      </w:r>
      <w:r w:rsidR="004870C6">
        <w:rPr>
          <w:color w:val="auto"/>
          <w:szCs w:val="24"/>
        </w:rPr>
        <w:t xml:space="preserve"> with radiation down his arms, left greater than the right.  He had not required bed rest.  He had numbness in the fourth and fifth fingers and tingling from the elbows to the fingers.  He was noted to be able to work overhead and look over his shoulder while driving.  Sensory and motor exams were noted to be grossly normal.  There was no tenderness to palpation, no </w:t>
      </w:r>
      <w:r>
        <w:rPr>
          <w:color w:val="auto"/>
          <w:szCs w:val="24"/>
        </w:rPr>
        <w:t xml:space="preserve">muscle </w:t>
      </w:r>
      <w:r w:rsidR="004870C6">
        <w:rPr>
          <w:color w:val="auto"/>
          <w:szCs w:val="24"/>
        </w:rPr>
        <w:t xml:space="preserve">spasm </w:t>
      </w:r>
      <w:r w:rsidR="00242C47">
        <w:rPr>
          <w:color w:val="auto"/>
          <w:szCs w:val="24"/>
        </w:rPr>
        <w:t xml:space="preserve">was present </w:t>
      </w:r>
      <w:r w:rsidR="004870C6">
        <w:rPr>
          <w:color w:val="auto"/>
          <w:szCs w:val="24"/>
        </w:rPr>
        <w:t xml:space="preserve">and the </w:t>
      </w:r>
      <w:r>
        <w:rPr>
          <w:color w:val="auto"/>
          <w:szCs w:val="24"/>
        </w:rPr>
        <w:t xml:space="preserve">spinal </w:t>
      </w:r>
      <w:r w:rsidR="004870C6">
        <w:rPr>
          <w:color w:val="auto"/>
          <w:szCs w:val="24"/>
        </w:rPr>
        <w:t xml:space="preserve">contour was normal.  </w:t>
      </w:r>
      <w:r>
        <w:rPr>
          <w:color w:val="auto"/>
          <w:szCs w:val="24"/>
        </w:rPr>
        <w:t>Although well outside the 12</w:t>
      </w:r>
      <w:r w:rsidR="004518FE">
        <w:rPr>
          <w:color w:val="auto"/>
          <w:szCs w:val="24"/>
        </w:rPr>
        <w:t>-</w:t>
      </w:r>
      <w:r>
        <w:rPr>
          <w:color w:val="auto"/>
          <w:szCs w:val="24"/>
        </w:rPr>
        <w:t xml:space="preserve">month post-separation window normally used by the Board in assessing disability, the Board noted the C&amp;P examination </w:t>
      </w:r>
      <w:r w:rsidR="00F74DA2">
        <w:rPr>
          <w:color w:val="auto"/>
          <w:szCs w:val="24"/>
        </w:rPr>
        <w:t xml:space="preserve">performed on </w:t>
      </w:r>
      <w:r w:rsidR="00303125" w:rsidRPr="00DC7BC9">
        <w:rPr>
          <w:color w:val="auto"/>
          <w:szCs w:val="24"/>
        </w:rPr>
        <w:t>16 February 2011</w:t>
      </w:r>
      <w:r>
        <w:rPr>
          <w:color w:val="auto"/>
          <w:szCs w:val="24"/>
        </w:rPr>
        <w:t xml:space="preserve"> which concluded there was no evidence</w:t>
      </w:r>
      <w:r w:rsidR="00892D49" w:rsidRPr="00DC7BC9">
        <w:rPr>
          <w:color w:val="auto"/>
          <w:szCs w:val="24"/>
        </w:rPr>
        <w:t xml:space="preserve"> of cervical radiculopathy.  The complaints of arm and finger numbness were </w:t>
      </w:r>
      <w:r w:rsidR="00E07CD2" w:rsidRPr="00DC7BC9">
        <w:rPr>
          <w:color w:val="auto"/>
          <w:szCs w:val="24"/>
        </w:rPr>
        <w:t>determin</w:t>
      </w:r>
      <w:r w:rsidR="00892D49" w:rsidRPr="00DC7BC9">
        <w:rPr>
          <w:color w:val="auto"/>
          <w:szCs w:val="24"/>
        </w:rPr>
        <w:t>ed to be secondary to ulnar neuropathy</w:t>
      </w:r>
      <w:r w:rsidR="00DC7BC9" w:rsidRPr="00DC7BC9">
        <w:rPr>
          <w:color w:val="auto"/>
          <w:szCs w:val="24"/>
        </w:rPr>
        <w:t xml:space="preserve">. </w:t>
      </w:r>
      <w:r w:rsidR="004873AE" w:rsidRPr="00DC7BC9">
        <w:rPr>
          <w:color w:val="auto"/>
          <w:szCs w:val="24"/>
        </w:rPr>
        <w:t xml:space="preserve"> </w:t>
      </w:r>
      <w:r w:rsidR="0043735C" w:rsidRPr="00DC7BC9">
        <w:rPr>
          <w:rFonts w:cs="Times New Roman"/>
          <w:color w:val="auto"/>
        </w:rPr>
        <w:t xml:space="preserve">The Board directs attention to its rating recommendation based on the above evidence.  </w:t>
      </w:r>
      <w:r w:rsidR="00892D49" w:rsidRPr="00DC7BC9">
        <w:rPr>
          <w:rFonts w:cs="Times New Roman"/>
          <w:color w:val="auto"/>
        </w:rPr>
        <w:t>T</w:t>
      </w:r>
      <w:r w:rsidR="00A950A2" w:rsidRPr="00DC7BC9">
        <w:rPr>
          <w:rFonts w:cs="Times New Roman"/>
          <w:color w:val="auto"/>
        </w:rPr>
        <w:t>he cervical ROM of motion values for both the PEB and for the VA rate</w:t>
      </w:r>
      <w:r w:rsidR="00745996" w:rsidRPr="00DC7BC9">
        <w:rPr>
          <w:rFonts w:cs="Times New Roman"/>
          <w:color w:val="auto"/>
        </w:rPr>
        <w:t xml:space="preserve"> at the 10% disability level.  While t</w:t>
      </w:r>
      <w:r w:rsidR="00A950A2" w:rsidRPr="00DC7BC9">
        <w:rPr>
          <w:rFonts w:cs="Times New Roman"/>
          <w:color w:val="auto"/>
        </w:rPr>
        <w:t>he VA and PEB both rated the neck at 10%</w:t>
      </w:r>
      <w:r w:rsidR="00745996" w:rsidRPr="00DC7BC9">
        <w:rPr>
          <w:rFonts w:cs="Times New Roman"/>
          <w:color w:val="auto"/>
        </w:rPr>
        <w:t xml:space="preserve">, </w:t>
      </w:r>
      <w:r w:rsidR="00A950A2" w:rsidRPr="00DC7BC9">
        <w:rPr>
          <w:rFonts w:cs="Times New Roman"/>
          <w:color w:val="auto"/>
        </w:rPr>
        <w:t xml:space="preserve">the PEB coded the neck as 5242 5237, degenerative arthritis and cervical strain, and the VA as 5243, intervertebral disc syndrome. </w:t>
      </w:r>
      <w:r w:rsidR="00892D49" w:rsidRPr="00DC7BC9">
        <w:rPr>
          <w:rFonts w:cs="Times New Roman"/>
          <w:color w:val="auto"/>
        </w:rPr>
        <w:t xml:space="preserve"> </w:t>
      </w:r>
      <w:r w:rsidR="00BA0AE3" w:rsidRPr="00DC7BC9">
        <w:rPr>
          <w:rFonts w:cs="Times New Roman"/>
          <w:color w:val="auto"/>
        </w:rPr>
        <w:t xml:space="preserve">However, this provides no benefit to the CI in the absence of incapacitating episodes.  </w:t>
      </w:r>
    </w:p>
    <w:p w:rsidR="00F74DA2" w:rsidRDefault="00F74DA2" w:rsidP="00DC7BC9">
      <w:pPr>
        <w:jc w:val="both"/>
        <w:rPr>
          <w:rFonts w:cs="Times New Roman"/>
          <w:color w:val="auto"/>
        </w:rPr>
      </w:pPr>
    </w:p>
    <w:p w:rsidR="0043735C" w:rsidRPr="00F64312" w:rsidRDefault="00A950A2" w:rsidP="00DC7BC9">
      <w:pPr>
        <w:jc w:val="both"/>
        <w:rPr>
          <w:rFonts w:eastAsia="Calibri" w:cs="Times New Roman"/>
          <w:color w:val="auto"/>
          <w:szCs w:val="24"/>
        </w:rPr>
      </w:pPr>
      <w:r w:rsidRPr="00DC7BC9">
        <w:rPr>
          <w:rFonts w:cs="Times New Roman"/>
          <w:color w:val="auto"/>
        </w:rPr>
        <w:t xml:space="preserve">The Board reviewed the other coding options and determined that none was a better description of the underlying disability nor did any provide a rating advantage to the CI.  </w:t>
      </w:r>
      <w:r w:rsidR="00BA0AE3" w:rsidRPr="00DC7BC9">
        <w:rPr>
          <w:color w:val="auto"/>
          <w:szCs w:val="24"/>
        </w:rPr>
        <w:t xml:space="preserve">The Board noted that the VA also rated for bilateral cervical radiculopathy due to the neck condition.  Based on all the evidence, the Board concluded there was no associated cervical radiculopathy present at separation.  Regardless of cause, there was no evidence </w:t>
      </w:r>
      <w:r w:rsidR="00E07CD2" w:rsidRPr="00DC7BC9">
        <w:rPr>
          <w:color w:val="auto"/>
          <w:szCs w:val="24"/>
        </w:rPr>
        <w:t xml:space="preserve">that the </w:t>
      </w:r>
      <w:r w:rsidR="00BA0AE3" w:rsidRPr="00DC7BC9">
        <w:rPr>
          <w:color w:val="auto"/>
          <w:szCs w:val="24"/>
        </w:rPr>
        <w:t xml:space="preserve">left arm </w:t>
      </w:r>
      <w:r w:rsidR="00E07CD2" w:rsidRPr="00DC7BC9">
        <w:rPr>
          <w:color w:val="auto"/>
          <w:szCs w:val="24"/>
        </w:rPr>
        <w:t xml:space="preserve">and </w:t>
      </w:r>
      <w:r w:rsidR="00BA0AE3" w:rsidRPr="00DC7BC9">
        <w:rPr>
          <w:color w:val="auto"/>
          <w:szCs w:val="24"/>
        </w:rPr>
        <w:t xml:space="preserve">hand numbness interfered with duty. </w:t>
      </w:r>
      <w:r w:rsidR="00E07CD2">
        <w:rPr>
          <w:color w:val="auto"/>
          <w:szCs w:val="24"/>
        </w:rPr>
        <w:t xml:space="preserve"> </w:t>
      </w:r>
      <w:r w:rsidR="00C01999"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C01999">
        <w:rPr>
          <w:rFonts w:eastAsia="Calibri" w:cs="Times New Roman"/>
          <w:color w:val="auto"/>
          <w:szCs w:val="24"/>
        </w:rPr>
        <w:t>neck</w:t>
      </w:r>
      <w:r w:rsidR="00E976A0">
        <w:rPr>
          <w:rFonts w:eastAsia="Calibri" w:cs="Times New Roman"/>
          <w:color w:val="auto"/>
          <w:szCs w:val="24"/>
        </w:rPr>
        <w:t xml:space="preserve"> condition.</w:t>
      </w:r>
    </w:p>
    <w:p w:rsidR="00870A73" w:rsidRPr="00870A73" w:rsidRDefault="00870A73" w:rsidP="004870C6">
      <w:pPr>
        <w:jc w:val="both"/>
        <w:rPr>
          <w:color w:val="auto"/>
          <w:szCs w:val="24"/>
        </w:rPr>
      </w:pPr>
    </w:p>
    <w:p w:rsidR="003863E9" w:rsidRPr="00792790" w:rsidRDefault="006B690F" w:rsidP="003863E9">
      <w:pPr>
        <w:jc w:val="both"/>
        <w:rPr>
          <w:rFonts w:eastAsia="Calibri" w:cs="Times New Roman"/>
          <w:color w:val="auto"/>
          <w:szCs w:val="24"/>
        </w:rPr>
      </w:pPr>
      <w:proofErr w:type="gramStart"/>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proofErr w:type="gramEnd"/>
      <w:r w:rsidR="0001281C" w:rsidRPr="00F64312">
        <w:rPr>
          <w:rFonts w:eastAsia="HiddenHorzOCR"/>
          <w:color w:val="auto"/>
        </w:rPr>
        <w:t xml:space="preserve">  </w:t>
      </w:r>
      <w:r w:rsidR="003863E9" w:rsidRPr="00517ED0">
        <w:rPr>
          <w:rFonts w:eastAsia="Calibri" w:cs="Times New Roman"/>
          <w:color w:val="auto"/>
          <w:szCs w:val="24"/>
        </w:rPr>
        <w:t xml:space="preserve">The contended condition adjudicated as </w:t>
      </w:r>
      <w:r w:rsidR="001C545A" w:rsidRPr="00517ED0">
        <w:rPr>
          <w:rFonts w:eastAsia="Calibri" w:cs="Times New Roman"/>
          <w:color w:val="auto"/>
          <w:szCs w:val="24"/>
        </w:rPr>
        <w:t xml:space="preserve">not </w:t>
      </w:r>
      <w:r w:rsidR="003863E9" w:rsidRPr="00517ED0">
        <w:rPr>
          <w:rFonts w:eastAsia="Calibri" w:cs="Times New Roman"/>
          <w:color w:val="auto"/>
          <w:szCs w:val="24"/>
        </w:rPr>
        <w:t>unfitting by the PEB w</w:t>
      </w:r>
      <w:r w:rsidR="008425AD" w:rsidRPr="00517ED0">
        <w:rPr>
          <w:rFonts w:eastAsia="Calibri" w:cs="Times New Roman"/>
          <w:color w:val="auto"/>
          <w:szCs w:val="24"/>
        </w:rPr>
        <w:t>as depressive disorder, NOS</w:t>
      </w:r>
      <w:r w:rsidR="00723E1C">
        <w:rPr>
          <w:rFonts w:eastAsia="Calibri" w:cs="Times New Roman"/>
          <w:color w:val="auto"/>
          <w:szCs w:val="24"/>
        </w:rPr>
        <w:t xml:space="preserve">.  </w:t>
      </w:r>
      <w:r w:rsidR="003863E9" w:rsidRPr="00792790">
        <w:rPr>
          <w:rFonts w:eastAsia="Calibri" w:cs="Times New Roman"/>
          <w:color w:val="auto"/>
          <w:szCs w:val="24"/>
        </w:rPr>
        <w:t>The Board’s fi</w:t>
      </w:r>
      <w:r w:rsidR="00723E1C">
        <w:rPr>
          <w:rFonts w:eastAsia="Calibri" w:cs="Times New Roman"/>
          <w:color w:val="auto"/>
          <w:szCs w:val="24"/>
        </w:rPr>
        <w:t>rst charge with respect to this condition</w:t>
      </w:r>
      <w:r w:rsidR="003863E9" w:rsidRPr="00792790">
        <w:rPr>
          <w:rFonts w:eastAsia="Calibri" w:cs="Times New Roman"/>
          <w:color w:val="auto"/>
          <w:szCs w:val="24"/>
        </w:rPr>
        <w:t xml:space="preserve"> is an assessment of the appropriateness of the PEB’s fitness adjudications.  The Board’s threshold for countering fitness determinations is higher than the VASRD §4.3 (reasonable doubt) standard used for its rating recommendations, but </w:t>
      </w:r>
      <w:r w:rsidR="003863E9" w:rsidRPr="00DC7BC9">
        <w:rPr>
          <w:rFonts w:eastAsia="Calibri" w:cs="Times New Roman"/>
          <w:color w:val="auto"/>
          <w:szCs w:val="24"/>
        </w:rPr>
        <w:t xml:space="preserve">remains adherent to the DoDI 6040.44 </w:t>
      </w:r>
      <w:r w:rsidR="00F0651B" w:rsidRPr="00DC7BC9">
        <w:rPr>
          <w:rFonts w:eastAsia="Calibri" w:cs="Times New Roman"/>
          <w:color w:val="auto"/>
          <w:szCs w:val="24"/>
        </w:rPr>
        <w:t>“fair and equitable” standard.</w:t>
      </w:r>
      <w:r w:rsidR="00F539A6" w:rsidRPr="00DC7BC9">
        <w:rPr>
          <w:rFonts w:eastAsia="Calibri" w:cs="Times New Roman"/>
          <w:color w:val="auto"/>
          <w:szCs w:val="24"/>
        </w:rPr>
        <w:t xml:space="preserve">  </w:t>
      </w:r>
      <w:r w:rsidR="00F523C8" w:rsidRPr="00DC7BC9">
        <w:rPr>
          <w:color w:val="000000"/>
        </w:rPr>
        <w:t xml:space="preserve">Depression was reviewed by the action officer and considered by the Board. </w:t>
      </w:r>
      <w:r w:rsidR="00F0651B" w:rsidRPr="00DC7BC9">
        <w:rPr>
          <w:color w:val="000000"/>
        </w:rPr>
        <w:t>This condition was</w:t>
      </w:r>
      <w:r w:rsidR="003863E9" w:rsidRPr="00DC7BC9">
        <w:rPr>
          <w:color w:val="000000"/>
        </w:rPr>
        <w:t xml:space="preserve"> </w:t>
      </w:r>
      <w:r w:rsidR="00F0651B" w:rsidRPr="00DC7BC9">
        <w:rPr>
          <w:color w:val="000000"/>
        </w:rPr>
        <w:t xml:space="preserve">not </w:t>
      </w:r>
      <w:r w:rsidR="003863E9" w:rsidRPr="00DC7BC9">
        <w:rPr>
          <w:color w:val="000000"/>
        </w:rPr>
        <w:t xml:space="preserve">profiled; </w:t>
      </w:r>
      <w:r w:rsidR="008C6EE6" w:rsidRPr="00DC7BC9">
        <w:rPr>
          <w:color w:val="000000"/>
        </w:rPr>
        <w:t>th</w:t>
      </w:r>
      <w:r w:rsidR="003863E9" w:rsidRPr="00DC7BC9">
        <w:rPr>
          <w:color w:val="000000"/>
        </w:rPr>
        <w:t>e commander’s statement</w:t>
      </w:r>
      <w:r w:rsidR="00F0651B" w:rsidRPr="00DC7BC9">
        <w:rPr>
          <w:color w:val="000000"/>
        </w:rPr>
        <w:t xml:space="preserve"> </w:t>
      </w:r>
      <w:r w:rsidR="00E75916" w:rsidRPr="00DC7BC9">
        <w:rPr>
          <w:color w:val="000000"/>
        </w:rPr>
        <w:t xml:space="preserve">simply </w:t>
      </w:r>
      <w:r w:rsidR="008C6EE6" w:rsidRPr="00DC7BC9">
        <w:rPr>
          <w:color w:val="000000"/>
        </w:rPr>
        <w:t>states the CI “became very depressed in Iraq</w:t>
      </w:r>
      <w:r w:rsidR="00E75916" w:rsidRPr="00DC7BC9">
        <w:rPr>
          <w:color w:val="000000"/>
        </w:rPr>
        <w:t xml:space="preserve"> and has been on anti-depressants since</w:t>
      </w:r>
      <w:r w:rsidR="00142050">
        <w:rPr>
          <w:color w:val="000000"/>
        </w:rPr>
        <w:t>.</w:t>
      </w:r>
      <w:r w:rsidR="00F74DA2">
        <w:rPr>
          <w:color w:val="000000"/>
        </w:rPr>
        <w:t>”</w:t>
      </w:r>
      <w:r w:rsidR="00142050">
        <w:rPr>
          <w:color w:val="000000"/>
        </w:rPr>
        <w:t xml:space="preserve">  The condition</w:t>
      </w:r>
      <w:r w:rsidR="00F0651B">
        <w:rPr>
          <w:color w:val="000000"/>
        </w:rPr>
        <w:t xml:space="preserve"> was not </w:t>
      </w:r>
      <w:r w:rsidR="003863E9">
        <w:rPr>
          <w:color w:val="000000"/>
        </w:rPr>
        <w:t>judged to</w:t>
      </w:r>
      <w:r w:rsidR="003863E9" w:rsidRPr="00244791">
        <w:rPr>
          <w:color w:val="000000"/>
        </w:rPr>
        <w:t xml:space="preserve"> </w:t>
      </w:r>
      <w:r w:rsidR="003863E9">
        <w:rPr>
          <w:color w:val="000000"/>
        </w:rPr>
        <w:t>fail</w:t>
      </w:r>
      <w:r w:rsidR="003863E9" w:rsidRPr="00244791">
        <w:rPr>
          <w:color w:val="000000"/>
        </w:rPr>
        <w:t xml:space="preserve"> retention standards.</w:t>
      </w:r>
      <w:r w:rsidR="003863E9" w:rsidRPr="001F29F9">
        <w:rPr>
          <w:color w:val="000000"/>
        </w:rPr>
        <w:t xml:space="preserve"> </w:t>
      </w:r>
      <w:r w:rsidR="003863E9">
        <w:rPr>
          <w:color w:val="000000"/>
        </w:rPr>
        <w:t xml:space="preserve"> </w:t>
      </w:r>
      <w:r w:rsidR="00142050">
        <w:rPr>
          <w:color w:val="000000"/>
        </w:rPr>
        <w:t>T</w:t>
      </w:r>
      <w:r w:rsidR="007801C7">
        <w:rPr>
          <w:color w:val="000000"/>
        </w:rPr>
        <w:t>he CI was specifically evaluated by a psychiatrist for this condition at the request of the MEB</w:t>
      </w:r>
      <w:r w:rsidR="00F523C8">
        <w:rPr>
          <w:color w:val="000000"/>
        </w:rPr>
        <w:t xml:space="preserve">. </w:t>
      </w:r>
      <w:r w:rsidR="00BA0AE3">
        <w:rPr>
          <w:color w:val="000000"/>
        </w:rPr>
        <w:t xml:space="preserve"> </w:t>
      </w:r>
      <w:r w:rsidR="00BA0AE3" w:rsidRPr="00DC7BC9">
        <w:rPr>
          <w:color w:val="000000"/>
          <w:szCs w:val="24"/>
        </w:rPr>
        <w:t>T</w:t>
      </w:r>
      <w:r w:rsidR="00E1269B" w:rsidRPr="00DC7BC9">
        <w:rPr>
          <w:color w:val="000000"/>
          <w:szCs w:val="24"/>
        </w:rPr>
        <w:t xml:space="preserve">he MEB psychiatry evaluation noted </w:t>
      </w:r>
      <w:r w:rsidR="00DC7BC9">
        <w:rPr>
          <w:color w:val="000000"/>
          <w:szCs w:val="24"/>
        </w:rPr>
        <w:t xml:space="preserve">that the CI had </w:t>
      </w:r>
      <w:r w:rsidR="00E1269B" w:rsidRPr="00DC7BC9">
        <w:rPr>
          <w:color w:val="000000"/>
          <w:szCs w:val="24"/>
        </w:rPr>
        <w:t xml:space="preserve">symptoms of depression in </w:t>
      </w:r>
      <w:r w:rsidR="00BA0AE3" w:rsidRPr="00DC7BC9">
        <w:rPr>
          <w:color w:val="000000"/>
          <w:szCs w:val="24"/>
        </w:rPr>
        <w:t xml:space="preserve">advanced infantry training </w:t>
      </w:r>
      <w:r w:rsidR="00E1269B" w:rsidRPr="00DC7BC9">
        <w:rPr>
          <w:color w:val="000000"/>
          <w:szCs w:val="24"/>
        </w:rPr>
        <w:t>in 2003</w:t>
      </w:r>
      <w:r w:rsidR="008E5CCD" w:rsidRPr="00DC7BC9">
        <w:rPr>
          <w:color w:val="000000"/>
          <w:szCs w:val="24"/>
        </w:rPr>
        <w:t xml:space="preserve">, prior to the </w:t>
      </w:r>
      <w:r w:rsidR="00E1269B" w:rsidRPr="00DC7BC9">
        <w:rPr>
          <w:color w:val="000000"/>
          <w:szCs w:val="24"/>
        </w:rPr>
        <w:t>deployment to Iraq</w:t>
      </w:r>
      <w:r w:rsidR="008E5CCD" w:rsidRPr="00DC7BC9">
        <w:rPr>
          <w:color w:val="000000"/>
          <w:szCs w:val="24"/>
        </w:rPr>
        <w:t xml:space="preserve">, which </w:t>
      </w:r>
      <w:r w:rsidR="006626E1" w:rsidRPr="00DC7BC9">
        <w:rPr>
          <w:color w:val="000000"/>
          <w:szCs w:val="24"/>
        </w:rPr>
        <w:t xml:space="preserve">improved </w:t>
      </w:r>
      <w:r w:rsidR="007172AF" w:rsidRPr="00DC7BC9">
        <w:rPr>
          <w:color w:val="000000"/>
          <w:szCs w:val="24"/>
        </w:rPr>
        <w:t>with treatment</w:t>
      </w:r>
      <w:r w:rsidR="008E5CCD" w:rsidRPr="00DC7BC9">
        <w:rPr>
          <w:color w:val="000000"/>
          <w:szCs w:val="24"/>
        </w:rPr>
        <w:t xml:space="preserve">.  While deployed to Iraq, he discontinued his medications with recurrent symptoms.  He was restarted on medications while still in theater.  The </w:t>
      </w:r>
      <w:r w:rsidR="007172AF" w:rsidRPr="00DC7BC9">
        <w:rPr>
          <w:color w:val="000000"/>
          <w:szCs w:val="24"/>
        </w:rPr>
        <w:t>CI dismissed any stress from his combat experience</w:t>
      </w:r>
      <w:r w:rsidR="00E75916" w:rsidRPr="00DC7BC9">
        <w:rPr>
          <w:color w:val="000000"/>
          <w:szCs w:val="24"/>
        </w:rPr>
        <w:t xml:space="preserve"> as</w:t>
      </w:r>
      <w:r w:rsidR="007172AF" w:rsidRPr="00DC7BC9">
        <w:rPr>
          <w:color w:val="000000"/>
          <w:szCs w:val="24"/>
        </w:rPr>
        <w:t xml:space="preserve"> “nothing much</w:t>
      </w:r>
      <w:r w:rsidR="00E75916" w:rsidRPr="00DC7BC9">
        <w:rPr>
          <w:color w:val="000000"/>
          <w:szCs w:val="24"/>
        </w:rPr>
        <w:t>.</w:t>
      </w:r>
      <w:r w:rsidR="007172AF" w:rsidRPr="00DC7BC9">
        <w:rPr>
          <w:color w:val="000000"/>
          <w:szCs w:val="24"/>
        </w:rPr>
        <w:t>”</w:t>
      </w:r>
      <w:r w:rsidR="008E5CCD" w:rsidRPr="00DC7BC9">
        <w:rPr>
          <w:color w:val="000000"/>
          <w:szCs w:val="24"/>
        </w:rPr>
        <w:t xml:space="preserve">  After his return </w:t>
      </w:r>
      <w:r w:rsidR="007172AF" w:rsidRPr="00DC7BC9">
        <w:rPr>
          <w:color w:val="000000"/>
          <w:szCs w:val="24"/>
        </w:rPr>
        <w:t>from Iraq and resuming t</w:t>
      </w:r>
      <w:r w:rsidR="008E5CCD" w:rsidRPr="00DC7BC9">
        <w:rPr>
          <w:color w:val="000000"/>
          <w:szCs w:val="24"/>
        </w:rPr>
        <w:t>reatment, he stated he “feels o</w:t>
      </w:r>
      <w:r w:rsidR="007172AF" w:rsidRPr="00DC7BC9">
        <w:rPr>
          <w:color w:val="000000"/>
          <w:szCs w:val="24"/>
        </w:rPr>
        <w:t>verall pretty well, and things are going well for him</w:t>
      </w:r>
      <w:r w:rsidR="00E75916" w:rsidRPr="00DC7BC9">
        <w:rPr>
          <w:color w:val="000000"/>
          <w:szCs w:val="24"/>
        </w:rPr>
        <w:t>.</w:t>
      </w:r>
      <w:r w:rsidR="007172AF" w:rsidRPr="00DC7BC9">
        <w:rPr>
          <w:color w:val="000000"/>
          <w:szCs w:val="24"/>
        </w:rPr>
        <w:t xml:space="preserve">” </w:t>
      </w:r>
      <w:r w:rsidR="008E5CCD" w:rsidRPr="00DC7BC9">
        <w:rPr>
          <w:color w:val="000000"/>
          <w:szCs w:val="24"/>
        </w:rPr>
        <w:t xml:space="preserve"> </w:t>
      </w:r>
      <w:r w:rsidR="007801C7">
        <w:rPr>
          <w:color w:val="000000"/>
        </w:rPr>
        <w:t xml:space="preserve">The psychiatrist noted that the CI was on medications and had responded favorably to them with </w:t>
      </w:r>
      <w:r w:rsidR="00517ED0">
        <w:rPr>
          <w:color w:val="000000"/>
        </w:rPr>
        <w:t xml:space="preserve">good results in his mood and future </w:t>
      </w:r>
      <w:r w:rsidR="00517ED0" w:rsidRPr="00DC7BC9">
        <w:rPr>
          <w:color w:val="000000"/>
        </w:rPr>
        <w:t xml:space="preserve">plans.  </w:t>
      </w:r>
      <w:r w:rsidR="00723E1C" w:rsidRPr="00DC7BC9">
        <w:rPr>
          <w:color w:val="000000"/>
        </w:rPr>
        <w:t>PTSD</w:t>
      </w:r>
      <w:r w:rsidR="00517ED0" w:rsidRPr="00DC7BC9">
        <w:rPr>
          <w:color w:val="000000"/>
        </w:rPr>
        <w:t xml:space="preserve"> was excluded as a diagnosis</w:t>
      </w:r>
      <w:r w:rsidR="00E75916" w:rsidRPr="00DC7BC9">
        <w:rPr>
          <w:color w:val="000000"/>
        </w:rPr>
        <w:t>, although it was noted that some symptoms of PTSD were present</w:t>
      </w:r>
      <w:r w:rsidR="00517ED0" w:rsidRPr="00DC7BC9">
        <w:rPr>
          <w:color w:val="000000"/>
        </w:rPr>
        <w:t xml:space="preserve">.  </w:t>
      </w:r>
      <w:r w:rsidR="00E75916" w:rsidRPr="00DC7BC9">
        <w:rPr>
          <w:color w:val="000000"/>
        </w:rPr>
        <w:t xml:space="preserve">While the VA did diagnose PTSD, it did so </w:t>
      </w:r>
      <w:r w:rsidR="00DC7BC9">
        <w:rPr>
          <w:color w:val="000000"/>
        </w:rPr>
        <w:t>well</w:t>
      </w:r>
      <w:r w:rsidR="00E75916" w:rsidRPr="00DC7BC9">
        <w:rPr>
          <w:color w:val="000000"/>
        </w:rPr>
        <w:t xml:space="preserve"> after separation.  </w:t>
      </w:r>
      <w:r w:rsidR="003863E9" w:rsidRPr="00DC7BC9">
        <w:rPr>
          <w:color w:val="000000"/>
        </w:rPr>
        <w:t>There was no indication from the record that th</w:t>
      </w:r>
      <w:r w:rsidR="00E75916" w:rsidRPr="00DC7BC9">
        <w:rPr>
          <w:color w:val="000000"/>
        </w:rPr>
        <w:t>e mental health</w:t>
      </w:r>
      <w:r w:rsidR="00F0651B" w:rsidRPr="00DC7BC9">
        <w:rPr>
          <w:color w:val="000000"/>
        </w:rPr>
        <w:t xml:space="preserve"> condition</w:t>
      </w:r>
      <w:r w:rsidR="003863E9" w:rsidRPr="00DC7BC9">
        <w:rPr>
          <w:color w:val="000000"/>
        </w:rPr>
        <w:t xml:space="preserve"> significantly interfered</w:t>
      </w:r>
      <w:r w:rsidR="003863E9" w:rsidRPr="001F29F9">
        <w:rPr>
          <w:color w:val="000000"/>
        </w:rPr>
        <w:t xml:space="preserve"> with </w:t>
      </w:r>
      <w:r w:rsidR="00F0651B">
        <w:rPr>
          <w:color w:val="000000"/>
        </w:rPr>
        <w:t>satisfactory duty performance.</w:t>
      </w:r>
      <w:r w:rsidR="00517ED0">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w:t>
      </w:r>
      <w:r w:rsidR="003863E9" w:rsidRPr="00792790">
        <w:rPr>
          <w:rFonts w:eastAsia="Calibri" w:cs="Times New Roman"/>
          <w:color w:val="auto"/>
          <w:szCs w:val="24"/>
        </w:rPr>
        <w:lastRenderedPageBreak/>
        <w:t xml:space="preserve">insufficient cause to recommend a change in the PEB fitness determination for </w:t>
      </w:r>
      <w:r w:rsidR="00F0651B">
        <w:rPr>
          <w:rFonts w:eastAsia="Calibri" w:cs="Times New Roman"/>
          <w:color w:val="auto"/>
          <w:szCs w:val="24"/>
        </w:rPr>
        <w:t xml:space="preserve">the </w:t>
      </w:r>
      <w:r w:rsidR="003863E9" w:rsidRPr="00792790">
        <w:rPr>
          <w:rFonts w:eastAsia="Calibri" w:cs="Times New Roman"/>
          <w:color w:val="auto"/>
          <w:szCs w:val="24"/>
        </w:rPr>
        <w:t>contended condition;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DC7BC9" w:rsidRDefault="00AD2379" w:rsidP="006364ED">
      <w:pPr>
        <w:jc w:val="left"/>
        <w:rPr>
          <w:color w:val="auto"/>
        </w:rPr>
      </w:pPr>
    </w:p>
    <w:p w:rsidR="00417BED" w:rsidRPr="00DC7BC9" w:rsidRDefault="00AD2379" w:rsidP="00417BED">
      <w:pPr>
        <w:jc w:val="both"/>
        <w:rPr>
          <w:rFonts w:eastAsia="Calibri" w:cs="Times New Roman"/>
          <w:color w:val="auto"/>
          <w:szCs w:val="24"/>
        </w:rPr>
      </w:pPr>
      <w:r w:rsidRPr="00DC7BC9">
        <w:rPr>
          <w:color w:val="auto"/>
          <w:u w:val="single"/>
        </w:rPr>
        <w:t>BOARD FINDINGS</w:t>
      </w:r>
      <w:r w:rsidRPr="00DC7BC9">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DC7BC9">
        <w:rPr>
          <w:rFonts w:cs="Times New Roman"/>
          <w:color w:val="auto"/>
        </w:rPr>
        <w:t>.</w:t>
      </w:r>
      <w:r w:rsidR="006B690F" w:rsidRPr="00DC7BC9">
        <w:rPr>
          <w:rFonts w:cs="Times New Roman"/>
          <w:color w:val="auto"/>
        </w:rPr>
        <w:t xml:space="preserve">  </w:t>
      </w:r>
      <w:r w:rsidR="008E5CCD" w:rsidRPr="00DC7BC9">
        <w:rPr>
          <w:rFonts w:eastAsia="Calibri" w:cs="Times New Roman"/>
          <w:color w:val="auto"/>
          <w:szCs w:val="24"/>
        </w:rPr>
        <w:t xml:space="preserve">As discussed above, PEB reliance on the USAPDA pain policy for rating the back was most likely operant in this case and the condition was adjudicated independently of that policy by the Board.  </w:t>
      </w:r>
      <w:r w:rsidR="004C3A57" w:rsidRPr="00DC7BC9">
        <w:rPr>
          <w:rFonts w:eastAsia="Calibri" w:cs="Times New Roman"/>
          <w:color w:val="auto"/>
          <w:szCs w:val="24"/>
        </w:rPr>
        <w:t xml:space="preserve">In the matter of the back condition and IAW VASRD §4.71a, the Board unanimously recommends no change in the PEB adjudication.  In the matter of the neck condition and IAW VASRD §4.71a, the Board unanimously recommends no change in the PEB adjudication.  </w:t>
      </w:r>
      <w:r w:rsidR="006844C3" w:rsidRPr="00DC7BC9">
        <w:rPr>
          <w:rFonts w:eastAsia="Calibri" w:cs="Times New Roman"/>
          <w:color w:val="auto"/>
          <w:szCs w:val="24"/>
        </w:rPr>
        <w:t xml:space="preserve">In the matter of the contended mental health condition, the Board unanimously recommends no change from the PEB determination as not unfitting.  </w:t>
      </w:r>
      <w:r w:rsidR="00417BED" w:rsidRPr="00DC7BC9">
        <w:rPr>
          <w:rFonts w:eastAsia="Calibri" w:cs="Times New Roman"/>
          <w:color w:val="auto"/>
          <w:szCs w:val="24"/>
        </w:rPr>
        <w:t>There were no other conditions within the Board’s scope of review for consideration.</w:t>
      </w:r>
    </w:p>
    <w:p w:rsidR="00AD2379" w:rsidRPr="00DC7BC9" w:rsidRDefault="00AD2379" w:rsidP="00BF0E94">
      <w:pPr>
        <w:pBdr>
          <w:bottom w:val="single" w:sz="12" w:space="1" w:color="auto"/>
        </w:pBdr>
        <w:tabs>
          <w:tab w:val="left" w:pos="288"/>
          <w:tab w:val="left" w:pos="4752"/>
        </w:tabs>
        <w:jc w:val="both"/>
        <w:rPr>
          <w:color w:val="auto"/>
        </w:rPr>
      </w:pPr>
    </w:p>
    <w:p w:rsidR="00AD2379" w:rsidRPr="00DC7BC9" w:rsidRDefault="00AD2379" w:rsidP="006364ED">
      <w:pPr>
        <w:jc w:val="left"/>
        <w:rPr>
          <w:color w:val="auto"/>
        </w:rPr>
      </w:pPr>
    </w:p>
    <w:p w:rsidR="00AD2379" w:rsidRPr="00DC7BC9" w:rsidRDefault="00AD2379" w:rsidP="00B22D42">
      <w:pPr>
        <w:jc w:val="left"/>
        <w:rPr>
          <w:color w:val="auto"/>
        </w:rPr>
      </w:pPr>
      <w:r w:rsidRPr="00DC7BC9">
        <w:rPr>
          <w:color w:val="auto"/>
          <w:u w:val="single"/>
        </w:rPr>
        <w:t>RECOMMENDATION</w:t>
      </w:r>
      <w:r w:rsidRPr="00DC7BC9">
        <w:rPr>
          <w:color w:val="auto"/>
        </w:rPr>
        <w:t xml:space="preserve">: </w:t>
      </w:r>
      <w:r w:rsidR="006B690F" w:rsidRPr="00DC7BC9">
        <w:rPr>
          <w:color w:val="auto"/>
        </w:rPr>
        <w:t xml:space="preserve"> </w:t>
      </w:r>
      <w:r w:rsidRPr="00DC7BC9">
        <w:rPr>
          <w:color w:val="auto"/>
        </w:rPr>
        <w:t>The Board, therefore, recommends that there be no recharacterization of the CI’s disability and separation determination, as follows:</w:t>
      </w:r>
    </w:p>
    <w:p w:rsidR="00BF0C49" w:rsidRPr="00DC7BC9" w:rsidRDefault="00BF0C49" w:rsidP="00B22D42">
      <w:pPr>
        <w:jc w:val="both"/>
        <w:rPr>
          <w:color w:val="auto"/>
        </w:rPr>
      </w:pPr>
    </w:p>
    <w:tbl>
      <w:tblPr>
        <w:tblW w:w="9539" w:type="dxa"/>
        <w:jc w:val="center"/>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57"/>
        <w:gridCol w:w="1620"/>
        <w:gridCol w:w="1262"/>
      </w:tblGrid>
      <w:tr w:rsidR="00AD2379" w:rsidRPr="00DC7BC9" w:rsidTr="00142050">
        <w:trPr>
          <w:trHeight w:val="233"/>
          <w:jc w:val="center"/>
        </w:trPr>
        <w:tc>
          <w:tcPr>
            <w:tcW w:w="6657" w:type="dxa"/>
            <w:shd w:val="clear" w:color="auto" w:fill="D9D9D9"/>
            <w:vAlign w:val="center"/>
          </w:tcPr>
          <w:p w:rsidR="00AD2379" w:rsidRPr="00DC7BC9" w:rsidRDefault="00AD2379" w:rsidP="006B690F">
            <w:pPr>
              <w:tabs>
                <w:tab w:val="left" w:pos="288"/>
                <w:tab w:val="left" w:pos="4752"/>
              </w:tabs>
              <w:rPr>
                <w:b/>
                <w:color w:val="auto"/>
              </w:rPr>
            </w:pPr>
            <w:r w:rsidRPr="00DC7BC9">
              <w:rPr>
                <w:b/>
                <w:color w:val="auto"/>
              </w:rPr>
              <w:t>UNFITTING CONDITION</w:t>
            </w:r>
          </w:p>
        </w:tc>
        <w:tc>
          <w:tcPr>
            <w:tcW w:w="1620" w:type="dxa"/>
            <w:shd w:val="clear" w:color="auto" w:fill="D9D9D9"/>
            <w:vAlign w:val="center"/>
          </w:tcPr>
          <w:p w:rsidR="00AD2379" w:rsidRPr="00DC7BC9" w:rsidRDefault="00AD2379" w:rsidP="006B690F">
            <w:pPr>
              <w:tabs>
                <w:tab w:val="left" w:pos="288"/>
                <w:tab w:val="left" w:pos="4752"/>
              </w:tabs>
              <w:rPr>
                <w:b/>
                <w:color w:val="auto"/>
              </w:rPr>
            </w:pPr>
            <w:r w:rsidRPr="00DC7BC9">
              <w:rPr>
                <w:b/>
                <w:color w:val="auto"/>
              </w:rPr>
              <w:t>VASRD CODE</w:t>
            </w:r>
          </w:p>
        </w:tc>
        <w:tc>
          <w:tcPr>
            <w:tcW w:w="1262" w:type="dxa"/>
            <w:shd w:val="clear" w:color="auto" w:fill="D9D9D9"/>
            <w:vAlign w:val="center"/>
          </w:tcPr>
          <w:p w:rsidR="00AD2379" w:rsidRPr="00DC7BC9" w:rsidRDefault="00AD2379" w:rsidP="006B690F">
            <w:pPr>
              <w:tabs>
                <w:tab w:val="left" w:pos="288"/>
                <w:tab w:val="left" w:pos="4752"/>
              </w:tabs>
              <w:rPr>
                <w:b/>
                <w:color w:val="auto"/>
              </w:rPr>
            </w:pPr>
            <w:r w:rsidRPr="00DC7BC9">
              <w:rPr>
                <w:b/>
                <w:color w:val="auto"/>
              </w:rPr>
              <w:t>RATING</w:t>
            </w:r>
          </w:p>
        </w:tc>
      </w:tr>
      <w:tr w:rsidR="00AD2379" w:rsidRPr="00DC7BC9" w:rsidTr="00142050">
        <w:trPr>
          <w:jc w:val="center"/>
        </w:trPr>
        <w:tc>
          <w:tcPr>
            <w:tcW w:w="6657" w:type="dxa"/>
            <w:vAlign w:val="center"/>
          </w:tcPr>
          <w:p w:rsidR="00AD2379" w:rsidRPr="00DC7BC9" w:rsidRDefault="00BF0C49" w:rsidP="00142050">
            <w:pPr>
              <w:tabs>
                <w:tab w:val="left" w:pos="288"/>
                <w:tab w:val="left" w:pos="4752"/>
              </w:tabs>
              <w:jc w:val="left"/>
              <w:rPr>
                <w:color w:val="auto"/>
              </w:rPr>
            </w:pPr>
            <w:r w:rsidRPr="00DC7BC9">
              <w:rPr>
                <w:color w:val="auto"/>
              </w:rPr>
              <w:t>Chronic Low Back Pain</w:t>
            </w:r>
            <w:r w:rsidR="00142050">
              <w:rPr>
                <w:color w:val="auto"/>
              </w:rPr>
              <w:t xml:space="preserve">; </w:t>
            </w:r>
            <w:r w:rsidRPr="00DC7BC9">
              <w:rPr>
                <w:color w:val="auto"/>
              </w:rPr>
              <w:t>Degenerative Disc and Bone Disease</w:t>
            </w:r>
          </w:p>
        </w:tc>
        <w:tc>
          <w:tcPr>
            <w:tcW w:w="1620" w:type="dxa"/>
            <w:vAlign w:val="center"/>
          </w:tcPr>
          <w:p w:rsidR="00AD2379" w:rsidRPr="00DC7BC9" w:rsidRDefault="00BF0C49" w:rsidP="006B690F">
            <w:pPr>
              <w:tabs>
                <w:tab w:val="left" w:pos="288"/>
                <w:tab w:val="left" w:pos="4752"/>
              </w:tabs>
              <w:rPr>
                <w:color w:val="auto"/>
              </w:rPr>
            </w:pPr>
            <w:r w:rsidRPr="00DC7BC9">
              <w:rPr>
                <w:color w:val="auto"/>
              </w:rPr>
              <w:t>5242-5237</w:t>
            </w:r>
          </w:p>
        </w:tc>
        <w:tc>
          <w:tcPr>
            <w:tcW w:w="1262" w:type="dxa"/>
            <w:vAlign w:val="center"/>
          </w:tcPr>
          <w:p w:rsidR="00AD2379" w:rsidRPr="00DC7BC9" w:rsidRDefault="00BF0C49" w:rsidP="006B690F">
            <w:pPr>
              <w:tabs>
                <w:tab w:val="left" w:pos="288"/>
                <w:tab w:val="left" w:pos="4752"/>
              </w:tabs>
              <w:rPr>
                <w:color w:val="auto"/>
              </w:rPr>
            </w:pPr>
            <w:r w:rsidRPr="00DC7BC9">
              <w:rPr>
                <w:color w:val="auto"/>
              </w:rPr>
              <w:t>1</w:t>
            </w:r>
            <w:r w:rsidR="00AD2379" w:rsidRPr="00DC7BC9">
              <w:rPr>
                <w:color w:val="auto"/>
              </w:rPr>
              <w:t>0%</w:t>
            </w:r>
          </w:p>
        </w:tc>
      </w:tr>
      <w:tr w:rsidR="00C6357D" w:rsidRPr="00DC7BC9" w:rsidTr="00142050">
        <w:trPr>
          <w:jc w:val="center"/>
        </w:trPr>
        <w:tc>
          <w:tcPr>
            <w:tcW w:w="6657" w:type="dxa"/>
            <w:vAlign w:val="center"/>
          </w:tcPr>
          <w:p w:rsidR="00C6357D" w:rsidRPr="00DC7BC9" w:rsidRDefault="00C6357D" w:rsidP="00C6357D">
            <w:pPr>
              <w:contextualSpacing/>
              <w:jc w:val="left"/>
              <w:rPr>
                <w:color w:val="auto"/>
                <w:szCs w:val="24"/>
              </w:rPr>
            </w:pPr>
            <w:r w:rsidRPr="00DC7BC9">
              <w:rPr>
                <w:color w:val="auto"/>
                <w:szCs w:val="24"/>
              </w:rPr>
              <w:t>Chronic Neck Pain Due to Strain and Degenerative Changes</w:t>
            </w:r>
          </w:p>
        </w:tc>
        <w:tc>
          <w:tcPr>
            <w:tcW w:w="1620" w:type="dxa"/>
            <w:vAlign w:val="center"/>
          </w:tcPr>
          <w:p w:rsidR="00C6357D" w:rsidRPr="00DC7BC9" w:rsidRDefault="00C6357D" w:rsidP="00C6357D">
            <w:pPr>
              <w:contextualSpacing/>
              <w:rPr>
                <w:color w:val="auto"/>
                <w:szCs w:val="24"/>
              </w:rPr>
            </w:pPr>
            <w:r w:rsidRPr="00DC7BC9">
              <w:rPr>
                <w:color w:val="auto"/>
                <w:szCs w:val="24"/>
              </w:rPr>
              <w:t>5242-5237</w:t>
            </w:r>
          </w:p>
        </w:tc>
        <w:tc>
          <w:tcPr>
            <w:tcW w:w="1262" w:type="dxa"/>
            <w:vAlign w:val="center"/>
          </w:tcPr>
          <w:p w:rsidR="00C6357D" w:rsidRPr="00DC7BC9" w:rsidRDefault="00C6357D" w:rsidP="00C6357D">
            <w:pPr>
              <w:rPr>
                <w:color w:val="auto"/>
                <w:szCs w:val="24"/>
              </w:rPr>
            </w:pPr>
            <w:r w:rsidRPr="00DC7BC9">
              <w:rPr>
                <w:color w:val="auto"/>
                <w:szCs w:val="24"/>
              </w:rPr>
              <w:t>10%</w:t>
            </w:r>
          </w:p>
        </w:tc>
      </w:tr>
      <w:tr w:rsidR="00AD2379" w:rsidRPr="00F64312" w:rsidTr="00142050">
        <w:tblPrEx>
          <w:tblLook w:val="0000"/>
        </w:tblPrEx>
        <w:trPr>
          <w:gridBefore w:val="1"/>
          <w:wBefore w:w="6657" w:type="dxa"/>
          <w:trHeight w:val="152"/>
          <w:jc w:val="center"/>
        </w:trPr>
        <w:tc>
          <w:tcPr>
            <w:tcW w:w="1620" w:type="dxa"/>
            <w:tcBorders>
              <w:left w:val="single" w:sz="4" w:space="0" w:color="auto"/>
            </w:tcBorders>
            <w:shd w:val="clear" w:color="auto" w:fill="D9D9D9"/>
            <w:vAlign w:val="center"/>
          </w:tcPr>
          <w:p w:rsidR="00AD2379" w:rsidRPr="00DC7BC9" w:rsidRDefault="00AD2379" w:rsidP="006B690F">
            <w:pPr>
              <w:tabs>
                <w:tab w:val="left" w:pos="288"/>
                <w:tab w:val="left" w:pos="4752"/>
              </w:tabs>
              <w:rPr>
                <w:b/>
                <w:color w:val="auto"/>
              </w:rPr>
            </w:pPr>
            <w:r w:rsidRPr="00DC7BC9">
              <w:rPr>
                <w:b/>
                <w:color w:val="auto"/>
              </w:rPr>
              <w:t>COMBINED</w:t>
            </w:r>
          </w:p>
        </w:tc>
        <w:tc>
          <w:tcPr>
            <w:tcW w:w="1262" w:type="dxa"/>
            <w:shd w:val="clear" w:color="auto" w:fill="D9D9D9"/>
            <w:vAlign w:val="center"/>
          </w:tcPr>
          <w:p w:rsidR="00AD2379" w:rsidRPr="00F64312" w:rsidRDefault="00C6357D" w:rsidP="006B690F">
            <w:pPr>
              <w:tabs>
                <w:tab w:val="left" w:pos="288"/>
                <w:tab w:val="left" w:pos="4752"/>
              </w:tabs>
              <w:rPr>
                <w:b/>
                <w:color w:val="auto"/>
              </w:rPr>
            </w:pPr>
            <w:r w:rsidRPr="00DC7BC9">
              <w:rPr>
                <w:b/>
                <w:color w:val="auto"/>
              </w:rPr>
              <w:t>2</w:t>
            </w:r>
            <w:r w:rsidR="00AD2379" w:rsidRPr="00DC7BC9">
              <w:rPr>
                <w:b/>
                <w:color w:val="auto"/>
              </w:rPr>
              <w:t>0</w:t>
            </w:r>
            <w:r w:rsidR="00142050">
              <w:rPr>
                <w:b/>
                <w:color w:val="auto"/>
              </w:rPr>
              <w:t>%</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2C1838">
        <w:rPr>
          <w:color w:val="auto"/>
        </w:rPr>
        <w:t>20</w:t>
      </w:r>
      <w:r w:rsidR="002C1838" w:rsidRPr="002C1838">
        <w:rPr>
          <w:color w:val="auto"/>
        </w:rPr>
        <w:t>110923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544E5A">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544E5A" w:rsidRDefault="00AD2379" w:rsidP="0051471B">
      <w:pPr>
        <w:tabs>
          <w:tab w:val="left" w:pos="0"/>
          <w:tab w:val="left" w:pos="4320"/>
        </w:tabs>
        <w:jc w:val="both"/>
        <w:rPr>
          <w:color w:val="auto"/>
        </w:rPr>
      </w:pPr>
      <w:r w:rsidRPr="00F64312">
        <w:rPr>
          <w:color w:val="auto"/>
        </w:rPr>
        <w:tab/>
        <w:t xml:space="preserve">           Physical Disability Board of Review</w:t>
      </w:r>
    </w:p>
    <w:p w:rsidR="00544E5A" w:rsidRDefault="00544E5A" w:rsidP="00544E5A">
      <w:pPr>
        <w:spacing w:line="240" w:lineRule="auto"/>
        <w:jc w:val="left"/>
      </w:pPr>
      <w:r>
        <w:rPr>
          <w:color w:val="auto"/>
        </w:rPr>
        <w:br w:type="page"/>
      </w:r>
      <w:r>
        <w:lastRenderedPageBreak/>
        <w:t>SFMR-RB</w:t>
      </w:r>
      <w:r>
        <w:tab/>
      </w:r>
      <w:r>
        <w:tab/>
      </w:r>
      <w:r>
        <w:tab/>
      </w:r>
      <w:r>
        <w:tab/>
      </w:r>
      <w:r>
        <w:tab/>
      </w:r>
      <w:r>
        <w:tab/>
      </w:r>
      <w:r>
        <w:tab/>
      </w:r>
      <w:r>
        <w:tab/>
      </w:r>
      <w:r>
        <w:tab/>
      </w:r>
    </w:p>
    <w:p w:rsidR="00544E5A" w:rsidRDefault="00544E5A" w:rsidP="00544E5A">
      <w:pPr>
        <w:pStyle w:val="Header"/>
        <w:tabs>
          <w:tab w:val="left" w:pos="720"/>
        </w:tabs>
        <w:jc w:val="left"/>
      </w:pPr>
    </w:p>
    <w:p w:rsidR="00544E5A" w:rsidRDefault="00544E5A" w:rsidP="00544E5A">
      <w:pPr>
        <w:jc w:val="left"/>
      </w:pPr>
    </w:p>
    <w:p w:rsidR="00544E5A" w:rsidRDefault="00544E5A" w:rsidP="00544E5A">
      <w:pPr>
        <w:jc w:val="left"/>
      </w:pPr>
      <w:r>
        <w:t xml:space="preserve">MEMORANDUM FOR Commander, US Army Physical Disability Agency </w:t>
      </w:r>
    </w:p>
    <w:p w:rsidR="00544E5A" w:rsidRDefault="00544E5A" w:rsidP="00544E5A">
      <w:pPr>
        <w:jc w:val="left"/>
      </w:pPr>
      <w:r>
        <w:t xml:space="preserve">(TAPD-ZB </w:t>
      </w:r>
      <w:proofErr w:type="gramStart"/>
      <w:r>
        <w:t>/  )</w:t>
      </w:r>
      <w:proofErr w:type="gramEnd"/>
      <w:r>
        <w:t>, 2900 Crystal Drive, Suite 300, Arlington, VA  22202-3557</w:t>
      </w:r>
    </w:p>
    <w:p w:rsidR="00544E5A" w:rsidRDefault="00544E5A" w:rsidP="00544E5A">
      <w:pPr>
        <w:jc w:val="left"/>
      </w:pPr>
    </w:p>
    <w:p w:rsidR="00544E5A" w:rsidRDefault="00544E5A" w:rsidP="00544E5A">
      <w:pPr>
        <w:ind w:right="-180"/>
        <w:jc w:val="left"/>
      </w:pPr>
      <w:r>
        <w:t>SUBJECT:  Department of Defense Physical Disability Board of Review Recommendation for XXXXXXXXXXXXXXXXXXXXXXXX, AR20120018610 (PD201100865)</w:t>
      </w:r>
    </w:p>
    <w:p w:rsidR="00544E5A" w:rsidRDefault="00544E5A" w:rsidP="00544E5A">
      <w:pPr>
        <w:pStyle w:val="Header"/>
        <w:tabs>
          <w:tab w:val="left" w:pos="720"/>
        </w:tabs>
        <w:jc w:val="left"/>
      </w:pPr>
    </w:p>
    <w:p w:rsidR="00544E5A" w:rsidRDefault="00544E5A" w:rsidP="00544E5A">
      <w:pPr>
        <w:jc w:val="left"/>
      </w:pPr>
    </w:p>
    <w:p w:rsidR="00544E5A" w:rsidRDefault="00544E5A" w:rsidP="00544E5A">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44E5A" w:rsidRDefault="00544E5A" w:rsidP="00544E5A">
      <w:pPr>
        <w:jc w:val="left"/>
      </w:pPr>
      <w:r>
        <w:t>This decision is final.  The individual concerned, counsel (if any), and any Members of Congress who have shown interest in this application have been notified of this decision by mail.</w:t>
      </w:r>
    </w:p>
    <w:p w:rsidR="00544E5A" w:rsidRDefault="00544E5A" w:rsidP="00544E5A">
      <w:pPr>
        <w:jc w:val="left"/>
      </w:pPr>
    </w:p>
    <w:p w:rsidR="00544E5A" w:rsidRDefault="00544E5A" w:rsidP="00544E5A">
      <w:pPr>
        <w:jc w:val="left"/>
      </w:pPr>
      <w:r>
        <w:t xml:space="preserve"> BY ORDER OF THE SECRETARY OF THE ARMY:</w:t>
      </w:r>
    </w:p>
    <w:p w:rsidR="00544E5A" w:rsidRDefault="00544E5A" w:rsidP="00544E5A">
      <w:pPr>
        <w:jc w:val="left"/>
      </w:pPr>
    </w:p>
    <w:p w:rsidR="00544E5A" w:rsidRDefault="00544E5A" w:rsidP="00544E5A">
      <w:pPr>
        <w:jc w:val="left"/>
      </w:pPr>
    </w:p>
    <w:p w:rsidR="00544E5A" w:rsidRDefault="00544E5A" w:rsidP="00544E5A">
      <w:pPr>
        <w:pStyle w:val="Header"/>
        <w:tabs>
          <w:tab w:val="left" w:pos="720"/>
        </w:tabs>
        <w:jc w:val="left"/>
      </w:pPr>
    </w:p>
    <w:p w:rsidR="00544E5A" w:rsidRDefault="00544E5A" w:rsidP="00544E5A">
      <w:pPr>
        <w:jc w:val="left"/>
      </w:pPr>
    </w:p>
    <w:p w:rsidR="00544E5A" w:rsidRDefault="00544E5A" w:rsidP="00544E5A">
      <w:pPr>
        <w:jc w:val="left"/>
      </w:pPr>
      <w:bookmarkStart w:id="0" w:name="OLE_LINK4"/>
      <w:bookmarkStart w:id="1" w:name="OLE_LINK3"/>
      <w:r>
        <w:t>Encl</w:t>
      </w:r>
      <w:r>
        <w:tab/>
      </w:r>
      <w:r>
        <w:tab/>
      </w:r>
      <w:r>
        <w:tab/>
      </w:r>
      <w:r>
        <w:tab/>
      </w:r>
      <w:r>
        <w:tab/>
      </w:r>
      <w:r>
        <w:tab/>
        <w:t xml:space="preserve">     XXXXXXXXXXXXXXX</w:t>
      </w:r>
    </w:p>
    <w:p w:rsidR="00544E5A" w:rsidRDefault="00544E5A" w:rsidP="00544E5A">
      <w:pPr>
        <w:jc w:val="left"/>
      </w:pPr>
      <w:r>
        <w:tab/>
      </w:r>
      <w:r>
        <w:tab/>
      </w:r>
      <w:r>
        <w:tab/>
      </w:r>
      <w:r>
        <w:tab/>
      </w:r>
      <w:r>
        <w:tab/>
      </w:r>
      <w:r>
        <w:tab/>
        <w:t xml:space="preserve">     Deputy Assistant Secretary</w:t>
      </w:r>
    </w:p>
    <w:p w:rsidR="00544E5A" w:rsidRDefault="00544E5A" w:rsidP="00544E5A">
      <w:pPr>
        <w:jc w:val="left"/>
      </w:pPr>
      <w:r>
        <w:tab/>
      </w:r>
      <w:r>
        <w:tab/>
      </w:r>
      <w:r>
        <w:tab/>
      </w:r>
      <w:r>
        <w:tab/>
      </w:r>
      <w:r>
        <w:tab/>
      </w:r>
      <w:r>
        <w:tab/>
        <w:t xml:space="preserve">         (Army Review Boards)</w:t>
      </w:r>
      <w:bookmarkEnd w:id="0"/>
      <w:bookmarkEnd w:id="1"/>
    </w:p>
    <w:p w:rsidR="00544E5A" w:rsidRDefault="00544E5A" w:rsidP="00544E5A">
      <w:pPr>
        <w:jc w:val="left"/>
      </w:pPr>
    </w:p>
    <w:p w:rsidR="00544E5A" w:rsidRDefault="00544E5A" w:rsidP="00544E5A">
      <w:pPr>
        <w:jc w:val="left"/>
      </w:pPr>
      <w:r>
        <w:t xml:space="preserve">CF: </w:t>
      </w:r>
    </w:p>
    <w:p w:rsidR="00544E5A" w:rsidRDefault="00544E5A" w:rsidP="00544E5A">
      <w:pPr>
        <w:jc w:val="left"/>
      </w:pPr>
      <w:r>
        <w:t xml:space="preserve">(  ) </w:t>
      </w:r>
      <w:proofErr w:type="spellStart"/>
      <w:proofErr w:type="gramStart"/>
      <w:r>
        <w:t>DoD</w:t>
      </w:r>
      <w:proofErr w:type="spellEnd"/>
      <w:proofErr w:type="gramEnd"/>
      <w:r>
        <w:t xml:space="preserve"> PDBR</w:t>
      </w:r>
    </w:p>
    <w:p w:rsidR="00544E5A" w:rsidRDefault="00544E5A" w:rsidP="00544E5A">
      <w:pPr>
        <w:jc w:val="left"/>
      </w:pPr>
      <w:r>
        <w:t>(  ) DVA</w:t>
      </w:r>
    </w:p>
    <w:p w:rsidR="00544E5A" w:rsidRDefault="00544E5A" w:rsidP="00544E5A">
      <w:pPr>
        <w:jc w:val="left"/>
      </w:pPr>
    </w:p>
    <w:p w:rsidR="0095270D" w:rsidRPr="00F64312" w:rsidRDefault="0095270D" w:rsidP="0051471B">
      <w:pPr>
        <w:tabs>
          <w:tab w:val="left" w:pos="0"/>
          <w:tab w:val="left" w:pos="4320"/>
        </w:tabs>
        <w:jc w:val="both"/>
        <w:rPr>
          <w:color w:val="auto"/>
          <w:u w:val="single"/>
        </w:rPr>
      </w:pPr>
    </w:p>
    <w:sectPr w:rsidR="0095270D"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5AB" w:rsidRDefault="003125AB">
      <w:r>
        <w:separator/>
      </w:r>
    </w:p>
  </w:endnote>
  <w:endnote w:type="continuationSeparator" w:id="0">
    <w:p w:rsidR="003125AB" w:rsidRDefault="003125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EF" w:rsidRPr="00374247" w:rsidRDefault="00163CEF" w:rsidP="00726F84">
    <w:pPr>
      <w:pStyle w:val="Footer"/>
      <w:ind w:firstLine="4320"/>
      <w:rPr>
        <w:color w:val="auto"/>
      </w:rPr>
    </w:pPr>
    <w:r w:rsidRPr="00374247">
      <w:rPr>
        <w:color w:val="auto"/>
      </w:rPr>
      <w:t xml:space="preserve">   </w:t>
    </w:r>
    <w:fldSimple w:instr=" PAGE   \* MERGEFORMAT ">
      <w:r w:rsidR="00544E5A" w:rsidRPr="00544E5A">
        <w:rPr>
          <w:noProof/>
          <w:color w:val="auto"/>
        </w:rPr>
        <w:t>6</w:t>
      </w:r>
    </w:fldSimple>
    <w:r w:rsidRPr="00374247">
      <w:rPr>
        <w:color w:val="auto"/>
      </w:rPr>
      <w:t xml:space="preserve">                                                           </w:t>
    </w:r>
    <w:r w:rsidR="00C729B9">
      <w:rPr>
        <w:color w:val="auto"/>
      </w:rPr>
      <w:t>PD11</w:t>
    </w:r>
    <w:r w:rsidRPr="001D49BB">
      <w:rPr>
        <w:color w:val="auto"/>
      </w:rPr>
      <w:t>00865</w:t>
    </w:r>
  </w:p>
  <w:p w:rsidR="00163CEF" w:rsidRPr="00684CE6" w:rsidRDefault="00163CEF">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5AB" w:rsidRDefault="003125AB">
      <w:r>
        <w:separator/>
      </w:r>
    </w:p>
  </w:footnote>
  <w:footnote w:type="continuationSeparator" w:id="0">
    <w:p w:rsidR="003125AB" w:rsidRDefault="00312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39CB"/>
    <w:rsid w:val="000145C2"/>
    <w:rsid w:val="0001473F"/>
    <w:rsid w:val="00014A47"/>
    <w:rsid w:val="00014A9E"/>
    <w:rsid w:val="00017778"/>
    <w:rsid w:val="0002051A"/>
    <w:rsid w:val="00020941"/>
    <w:rsid w:val="00021361"/>
    <w:rsid w:val="00022609"/>
    <w:rsid w:val="00022CF3"/>
    <w:rsid w:val="00023562"/>
    <w:rsid w:val="00023913"/>
    <w:rsid w:val="00023D43"/>
    <w:rsid w:val="00024002"/>
    <w:rsid w:val="000240A0"/>
    <w:rsid w:val="00024DE7"/>
    <w:rsid w:val="00025447"/>
    <w:rsid w:val="00026092"/>
    <w:rsid w:val="00027C24"/>
    <w:rsid w:val="00027F16"/>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D4B"/>
    <w:rsid w:val="00051F89"/>
    <w:rsid w:val="0005200F"/>
    <w:rsid w:val="00052234"/>
    <w:rsid w:val="00053D7C"/>
    <w:rsid w:val="0005710A"/>
    <w:rsid w:val="00057451"/>
    <w:rsid w:val="000575C5"/>
    <w:rsid w:val="000577C9"/>
    <w:rsid w:val="00060C18"/>
    <w:rsid w:val="00060FFD"/>
    <w:rsid w:val="00061D69"/>
    <w:rsid w:val="00063BE5"/>
    <w:rsid w:val="0006431E"/>
    <w:rsid w:val="000647B0"/>
    <w:rsid w:val="000652EA"/>
    <w:rsid w:val="00065A32"/>
    <w:rsid w:val="00065E21"/>
    <w:rsid w:val="000673ED"/>
    <w:rsid w:val="00067803"/>
    <w:rsid w:val="00067854"/>
    <w:rsid w:val="00070DED"/>
    <w:rsid w:val="00071071"/>
    <w:rsid w:val="00071F0D"/>
    <w:rsid w:val="00072433"/>
    <w:rsid w:val="00072B3E"/>
    <w:rsid w:val="0007488B"/>
    <w:rsid w:val="00075702"/>
    <w:rsid w:val="00075A0C"/>
    <w:rsid w:val="0007757E"/>
    <w:rsid w:val="000775C2"/>
    <w:rsid w:val="00077835"/>
    <w:rsid w:val="000801EF"/>
    <w:rsid w:val="0008023D"/>
    <w:rsid w:val="000806AD"/>
    <w:rsid w:val="00080BDF"/>
    <w:rsid w:val="00080C57"/>
    <w:rsid w:val="00080DEB"/>
    <w:rsid w:val="00080EDB"/>
    <w:rsid w:val="000820AC"/>
    <w:rsid w:val="00082482"/>
    <w:rsid w:val="00082CA0"/>
    <w:rsid w:val="00084CF2"/>
    <w:rsid w:val="00084FE5"/>
    <w:rsid w:val="00085D7B"/>
    <w:rsid w:val="0008708B"/>
    <w:rsid w:val="00092619"/>
    <w:rsid w:val="00092C66"/>
    <w:rsid w:val="00092CC9"/>
    <w:rsid w:val="000949DD"/>
    <w:rsid w:val="00094E4F"/>
    <w:rsid w:val="000A1728"/>
    <w:rsid w:val="000A2BCE"/>
    <w:rsid w:val="000A3160"/>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845"/>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685B"/>
    <w:rsid w:val="000D7D55"/>
    <w:rsid w:val="000E0993"/>
    <w:rsid w:val="000E2568"/>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050"/>
    <w:rsid w:val="001421FD"/>
    <w:rsid w:val="001425C8"/>
    <w:rsid w:val="00142EBA"/>
    <w:rsid w:val="00143AC7"/>
    <w:rsid w:val="00143B79"/>
    <w:rsid w:val="00145965"/>
    <w:rsid w:val="00145FDA"/>
    <w:rsid w:val="0014767E"/>
    <w:rsid w:val="00150B8A"/>
    <w:rsid w:val="00150DCB"/>
    <w:rsid w:val="00151906"/>
    <w:rsid w:val="00151912"/>
    <w:rsid w:val="00153740"/>
    <w:rsid w:val="001537D8"/>
    <w:rsid w:val="00153D88"/>
    <w:rsid w:val="001541C5"/>
    <w:rsid w:val="001554E4"/>
    <w:rsid w:val="00155B06"/>
    <w:rsid w:val="0015623F"/>
    <w:rsid w:val="00156585"/>
    <w:rsid w:val="00156BA9"/>
    <w:rsid w:val="00161642"/>
    <w:rsid w:val="00161761"/>
    <w:rsid w:val="00161BD5"/>
    <w:rsid w:val="00162B4E"/>
    <w:rsid w:val="00163CEF"/>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3B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4484"/>
    <w:rsid w:val="001C545A"/>
    <w:rsid w:val="001C553F"/>
    <w:rsid w:val="001C5BDA"/>
    <w:rsid w:val="001C5CFC"/>
    <w:rsid w:val="001C68B2"/>
    <w:rsid w:val="001C7231"/>
    <w:rsid w:val="001C7418"/>
    <w:rsid w:val="001C7EBE"/>
    <w:rsid w:val="001D0051"/>
    <w:rsid w:val="001D150B"/>
    <w:rsid w:val="001D169A"/>
    <w:rsid w:val="001D2224"/>
    <w:rsid w:val="001D31AA"/>
    <w:rsid w:val="001D37B9"/>
    <w:rsid w:val="001D3DC0"/>
    <w:rsid w:val="001D49BB"/>
    <w:rsid w:val="001D4F88"/>
    <w:rsid w:val="001D64F3"/>
    <w:rsid w:val="001D68CF"/>
    <w:rsid w:val="001D6A8C"/>
    <w:rsid w:val="001D7A56"/>
    <w:rsid w:val="001E0291"/>
    <w:rsid w:val="001E15C0"/>
    <w:rsid w:val="001E16D5"/>
    <w:rsid w:val="001E18E0"/>
    <w:rsid w:val="001E18E2"/>
    <w:rsid w:val="001E19D0"/>
    <w:rsid w:val="001E2A30"/>
    <w:rsid w:val="001E2FF1"/>
    <w:rsid w:val="001E3828"/>
    <w:rsid w:val="001E3FE1"/>
    <w:rsid w:val="001E41FE"/>
    <w:rsid w:val="001E4989"/>
    <w:rsid w:val="001E635C"/>
    <w:rsid w:val="001E6620"/>
    <w:rsid w:val="001F0297"/>
    <w:rsid w:val="001F29F9"/>
    <w:rsid w:val="001F57B0"/>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0B77"/>
    <w:rsid w:val="002310C3"/>
    <w:rsid w:val="002316F6"/>
    <w:rsid w:val="00232C9B"/>
    <w:rsid w:val="00232E73"/>
    <w:rsid w:val="00232F09"/>
    <w:rsid w:val="002335D5"/>
    <w:rsid w:val="002338CA"/>
    <w:rsid w:val="00233FE5"/>
    <w:rsid w:val="00234B3B"/>
    <w:rsid w:val="00234D98"/>
    <w:rsid w:val="00235AD0"/>
    <w:rsid w:val="00236018"/>
    <w:rsid w:val="0023704B"/>
    <w:rsid w:val="002374C9"/>
    <w:rsid w:val="0024162D"/>
    <w:rsid w:val="0024174E"/>
    <w:rsid w:val="00241B01"/>
    <w:rsid w:val="00241ECD"/>
    <w:rsid w:val="00242238"/>
    <w:rsid w:val="0024227D"/>
    <w:rsid w:val="00242C47"/>
    <w:rsid w:val="00242D14"/>
    <w:rsid w:val="002432F4"/>
    <w:rsid w:val="0024501A"/>
    <w:rsid w:val="00246860"/>
    <w:rsid w:val="002468D9"/>
    <w:rsid w:val="00246995"/>
    <w:rsid w:val="00246DFF"/>
    <w:rsid w:val="00246E89"/>
    <w:rsid w:val="002503E1"/>
    <w:rsid w:val="002504D6"/>
    <w:rsid w:val="0025183C"/>
    <w:rsid w:val="00251FED"/>
    <w:rsid w:val="00252351"/>
    <w:rsid w:val="002528EC"/>
    <w:rsid w:val="00252A84"/>
    <w:rsid w:val="00253EAA"/>
    <w:rsid w:val="00255049"/>
    <w:rsid w:val="00257538"/>
    <w:rsid w:val="00257AFF"/>
    <w:rsid w:val="00257DE5"/>
    <w:rsid w:val="00260531"/>
    <w:rsid w:val="00260B9A"/>
    <w:rsid w:val="002618FD"/>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054"/>
    <w:rsid w:val="00296686"/>
    <w:rsid w:val="00297A00"/>
    <w:rsid w:val="00297A45"/>
    <w:rsid w:val="00297E20"/>
    <w:rsid w:val="002A14A4"/>
    <w:rsid w:val="002A223D"/>
    <w:rsid w:val="002A233F"/>
    <w:rsid w:val="002A2D58"/>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1838"/>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1DAB"/>
    <w:rsid w:val="0030281A"/>
    <w:rsid w:val="003029D5"/>
    <w:rsid w:val="00303125"/>
    <w:rsid w:val="0030433B"/>
    <w:rsid w:val="00304511"/>
    <w:rsid w:val="00305856"/>
    <w:rsid w:val="00305867"/>
    <w:rsid w:val="0030678B"/>
    <w:rsid w:val="00306D16"/>
    <w:rsid w:val="0030700A"/>
    <w:rsid w:val="00307595"/>
    <w:rsid w:val="00307DA6"/>
    <w:rsid w:val="0031090F"/>
    <w:rsid w:val="00310CD7"/>
    <w:rsid w:val="003125AB"/>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286"/>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6B29"/>
    <w:rsid w:val="00366FEC"/>
    <w:rsid w:val="003674A9"/>
    <w:rsid w:val="00367D4F"/>
    <w:rsid w:val="00370743"/>
    <w:rsid w:val="00370EF5"/>
    <w:rsid w:val="0037135B"/>
    <w:rsid w:val="003718CD"/>
    <w:rsid w:val="00372251"/>
    <w:rsid w:val="00373F64"/>
    <w:rsid w:val="00374247"/>
    <w:rsid w:val="00374C4E"/>
    <w:rsid w:val="00374EA1"/>
    <w:rsid w:val="003751AA"/>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6DE6"/>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2A2D"/>
    <w:rsid w:val="003A3F3D"/>
    <w:rsid w:val="003A40B4"/>
    <w:rsid w:val="003A41BA"/>
    <w:rsid w:val="003A4EBE"/>
    <w:rsid w:val="003A4FA3"/>
    <w:rsid w:val="003A5097"/>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03E5"/>
    <w:rsid w:val="003C247E"/>
    <w:rsid w:val="003C294B"/>
    <w:rsid w:val="003C34DF"/>
    <w:rsid w:val="003C5046"/>
    <w:rsid w:val="003C53E8"/>
    <w:rsid w:val="003C5B54"/>
    <w:rsid w:val="003C6068"/>
    <w:rsid w:val="003C75E5"/>
    <w:rsid w:val="003C78FD"/>
    <w:rsid w:val="003C7A35"/>
    <w:rsid w:val="003C7AEC"/>
    <w:rsid w:val="003D103E"/>
    <w:rsid w:val="003D2BA3"/>
    <w:rsid w:val="003D316B"/>
    <w:rsid w:val="003D3C22"/>
    <w:rsid w:val="003D56A0"/>
    <w:rsid w:val="003D609F"/>
    <w:rsid w:val="003D69F5"/>
    <w:rsid w:val="003D6B26"/>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0FF"/>
    <w:rsid w:val="003F44FD"/>
    <w:rsid w:val="003F58B0"/>
    <w:rsid w:val="003F630B"/>
    <w:rsid w:val="003F776F"/>
    <w:rsid w:val="003F79F8"/>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497"/>
    <w:rsid w:val="00413C9D"/>
    <w:rsid w:val="00415EA4"/>
    <w:rsid w:val="0041604B"/>
    <w:rsid w:val="004172DB"/>
    <w:rsid w:val="004174F0"/>
    <w:rsid w:val="004176F6"/>
    <w:rsid w:val="00417999"/>
    <w:rsid w:val="00417BED"/>
    <w:rsid w:val="00420A1D"/>
    <w:rsid w:val="00420B1E"/>
    <w:rsid w:val="004211FD"/>
    <w:rsid w:val="00421485"/>
    <w:rsid w:val="004216DA"/>
    <w:rsid w:val="00421DEA"/>
    <w:rsid w:val="00422B75"/>
    <w:rsid w:val="00424458"/>
    <w:rsid w:val="004245AB"/>
    <w:rsid w:val="00424612"/>
    <w:rsid w:val="0042528C"/>
    <w:rsid w:val="00425672"/>
    <w:rsid w:val="00425A6A"/>
    <w:rsid w:val="00426A23"/>
    <w:rsid w:val="00427C7F"/>
    <w:rsid w:val="00427F54"/>
    <w:rsid w:val="004306E0"/>
    <w:rsid w:val="004316FD"/>
    <w:rsid w:val="00431E9D"/>
    <w:rsid w:val="00433F36"/>
    <w:rsid w:val="00434694"/>
    <w:rsid w:val="00434860"/>
    <w:rsid w:val="00434BBD"/>
    <w:rsid w:val="0043503A"/>
    <w:rsid w:val="0043735C"/>
    <w:rsid w:val="00437B8A"/>
    <w:rsid w:val="00437D18"/>
    <w:rsid w:val="00437D77"/>
    <w:rsid w:val="00441D99"/>
    <w:rsid w:val="00442609"/>
    <w:rsid w:val="004429D9"/>
    <w:rsid w:val="004435BE"/>
    <w:rsid w:val="0044384F"/>
    <w:rsid w:val="0044411E"/>
    <w:rsid w:val="00444472"/>
    <w:rsid w:val="00444893"/>
    <w:rsid w:val="00444B93"/>
    <w:rsid w:val="00444F80"/>
    <w:rsid w:val="004452A4"/>
    <w:rsid w:val="00445599"/>
    <w:rsid w:val="00446018"/>
    <w:rsid w:val="0044769D"/>
    <w:rsid w:val="0045027B"/>
    <w:rsid w:val="004504E7"/>
    <w:rsid w:val="004518FE"/>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3CE5"/>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286"/>
    <w:rsid w:val="004848C3"/>
    <w:rsid w:val="00484BA9"/>
    <w:rsid w:val="00485418"/>
    <w:rsid w:val="0048599A"/>
    <w:rsid w:val="0048611C"/>
    <w:rsid w:val="00486818"/>
    <w:rsid w:val="004870C6"/>
    <w:rsid w:val="004873AE"/>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3A57"/>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092"/>
    <w:rsid w:val="004E6866"/>
    <w:rsid w:val="004F0C58"/>
    <w:rsid w:val="004F10EB"/>
    <w:rsid w:val="004F3222"/>
    <w:rsid w:val="004F3639"/>
    <w:rsid w:val="004F3BFA"/>
    <w:rsid w:val="004F4E3C"/>
    <w:rsid w:val="004F5538"/>
    <w:rsid w:val="004F5A1A"/>
    <w:rsid w:val="004F675A"/>
    <w:rsid w:val="004F77A3"/>
    <w:rsid w:val="005000AB"/>
    <w:rsid w:val="00500EAF"/>
    <w:rsid w:val="00500F3C"/>
    <w:rsid w:val="005025EE"/>
    <w:rsid w:val="00503401"/>
    <w:rsid w:val="00503D35"/>
    <w:rsid w:val="00503DDF"/>
    <w:rsid w:val="0050434A"/>
    <w:rsid w:val="00505524"/>
    <w:rsid w:val="005056D4"/>
    <w:rsid w:val="005058D5"/>
    <w:rsid w:val="00506688"/>
    <w:rsid w:val="00510588"/>
    <w:rsid w:val="00510F9C"/>
    <w:rsid w:val="0051146C"/>
    <w:rsid w:val="00511881"/>
    <w:rsid w:val="0051220B"/>
    <w:rsid w:val="00512253"/>
    <w:rsid w:val="00512484"/>
    <w:rsid w:val="00514449"/>
    <w:rsid w:val="005144A7"/>
    <w:rsid w:val="0051471B"/>
    <w:rsid w:val="00515419"/>
    <w:rsid w:val="005157BD"/>
    <w:rsid w:val="0051594B"/>
    <w:rsid w:val="0051633B"/>
    <w:rsid w:val="00517ED0"/>
    <w:rsid w:val="005214A3"/>
    <w:rsid w:val="005222E7"/>
    <w:rsid w:val="00523488"/>
    <w:rsid w:val="00523A8B"/>
    <w:rsid w:val="00523E04"/>
    <w:rsid w:val="00524D3A"/>
    <w:rsid w:val="00524ED7"/>
    <w:rsid w:val="00524FBA"/>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67CF"/>
    <w:rsid w:val="00537238"/>
    <w:rsid w:val="005400C5"/>
    <w:rsid w:val="005404CD"/>
    <w:rsid w:val="00540BE0"/>
    <w:rsid w:val="00540BEF"/>
    <w:rsid w:val="00541FF3"/>
    <w:rsid w:val="00542022"/>
    <w:rsid w:val="00542B34"/>
    <w:rsid w:val="00542C9A"/>
    <w:rsid w:val="005436C2"/>
    <w:rsid w:val="005442D4"/>
    <w:rsid w:val="00544E5A"/>
    <w:rsid w:val="0054586A"/>
    <w:rsid w:val="0054631F"/>
    <w:rsid w:val="00546C24"/>
    <w:rsid w:val="005471BA"/>
    <w:rsid w:val="00547BDA"/>
    <w:rsid w:val="00547BE6"/>
    <w:rsid w:val="0055034F"/>
    <w:rsid w:val="00550476"/>
    <w:rsid w:val="0055288D"/>
    <w:rsid w:val="0055339D"/>
    <w:rsid w:val="005533DE"/>
    <w:rsid w:val="00553A5F"/>
    <w:rsid w:val="00555259"/>
    <w:rsid w:val="00555C66"/>
    <w:rsid w:val="005569EF"/>
    <w:rsid w:val="00556BDE"/>
    <w:rsid w:val="005575E1"/>
    <w:rsid w:val="0056056C"/>
    <w:rsid w:val="00560D57"/>
    <w:rsid w:val="00560F12"/>
    <w:rsid w:val="00562922"/>
    <w:rsid w:val="00562A94"/>
    <w:rsid w:val="00563FAD"/>
    <w:rsid w:val="00565636"/>
    <w:rsid w:val="00566479"/>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4A8"/>
    <w:rsid w:val="005B56E0"/>
    <w:rsid w:val="005B5B3D"/>
    <w:rsid w:val="005B5E8F"/>
    <w:rsid w:val="005B64CF"/>
    <w:rsid w:val="005B72DA"/>
    <w:rsid w:val="005C0128"/>
    <w:rsid w:val="005C0951"/>
    <w:rsid w:val="005C0E87"/>
    <w:rsid w:val="005C1398"/>
    <w:rsid w:val="005C16F3"/>
    <w:rsid w:val="005C3758"/>
    <w:rsid w:val="005C4132"/>
    <w:rsid w:val="005C4D72"/>
    <w:rsid w:val="005C50C1"/>
    <w:rsid w:val="005C62C2"/>
    <w:rsid w:val="005D0ABC"/>
    <w:rsid w:val="005D2306"/>
    <w:rsid w:val="005D2562"/>
    <w:rsid w:val="005D2666"/>
    <w:rsid w:val="005D4548"/>
    <w:rsid w:val="005D4A74"/>
    <w:rsid w:val="005D519F"/>
    <w:rsid w:val="005D5E91"/>
    <w:rsid w:val="005D67EF"/>
    <w:rsid w:val="005E1416"/>
    <w:rsid w:val="005E1A61"/>
    <w:rsid w:val="005E3064"/>
    <w:rsid w:val="005E42E7"/>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4276"/>
    <w:rsid w:val="00605AAB"/>
    <w:rsid w:val="00606BEB"/>
    <w:rsid w:val="00607AC8"/>
    <w:rsid w:val="0061010C"/>
    <w:rsid w:val="0061014A"/>
    <w:rsid w:val="0061054B"/>
    <w:rsid w:val="006110FB"/>
    <w:rsid w:val="006114BB"/>
    <w:rsid w:val="00612625"/>
    <w:rsid w:val="00612FB0"/>
    <w:rsid w:val="0061356D"/>
    <w:rsid w:val="00613E26"/>
    <w:rsid w:val="00615231"/>
    <w:rsid w:val="00615641"/>
    <w:rsid w:val="00615A66"/>
    <w:rsid w:val="00616959"/>
    <w:rsid w:val="0062036E"/>
    <w:rsid w:val="006211D0"/>
    <w:rsid w:val="00621595"/>
    <w:rsid w:val="0062359D"/>
    <w:rsid w:val="006235F5"/>
    <w:rsid w:val="00623634"/>
    <w:rsid w:val="00624D0C"/>
    <w:rsid w:val="00625094"/>
    <w:rsid w:val="00626902"/>
    <w:rsid w:val="00626A0F"/>
    <w:rsid w:val="006274B4"/>
    <w:rsid w:val="006307BA"/>
    <w:rsid w:val="00630A99"/>
    <w:rsid w:val="006315BA"/>
    <w:rsid w:val="006315CB"/>
    <w:rsid w:val="00632A9B"/>
    <w:rsid w:val="00634C4A"/>
    <w:rsid w:val="0063532E"/>
    <w:rsid w:val="0063579F"/>
    <w:rsid w:val="006364ED"/>
    <w:rsid w:val="00637063"/>
    <w:rsid w:val="0063719D"/>
    <w:rsid w:val="0063737C"/>
    <w:rsid w:val="00637BDC"/>
    <w:rsid w:val="00640363"/>
    <w:rsid w:val="0064043C"/>
    <w:rsid w:val="00640622"/>
    <w:rsid w:val="006418C9"/>
    <w:rsid w:val="00641DEE"/>
    <w:rsid w:val="00642BD6"/>
    <w:rsid w:val="00643C8F"/>
    <w:rsid w:val="00645046"/>
    <w:rsid w:val="0064527A"/>
    <w:rsid w:val="006458FD"/>
    <w:rsid w:val="00645DE8"/>
    <w:rsid w:val="00645EA2"/>
    <w:rsid w:val="00650B2E"/>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57E54"/>
    <w:rsid w:val="00661BA2"/>
    <w:rsid w:val="006626E1"/>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77A07"/>
    <w:rsid w:val="00680450"/>
    <w:rsid w:val="0068098E"/>
    <w:rsid w:val="006810BD"/>
    <w:rsid w:val="0068119F"/>
    <w:rsid w:val="00681350"/>
    <w:rsid w:val="0068160C"/>
    <w:rsid w:val="00682486"/>
    <w:rsid w:val="006833A7"/>
    <w:rsid w:val="006844C3"/>
    <w:rsid w:val="00684CE6"/>
    <w:rsid w:val="00684E2B"/>
    <w:rsid w:val="006857A0"/>
    <w:rsid w:val="006870CE"/>
    <w:rsid w:val="00687C7E"/>
    <w:rsid w:val="00687D3D"/>
    <w:rsid w:val="00690569"/>
    <w:rsid w:val="00690721"/>
    <w:rsid w:val="00690FDA"/>
    <w:rsid w:val="00691E61"/>
    <w:rsid w:val="00692180"/>
    <w:rsid w:val="00692D58"/>
    <w:rsid w:val="006937C6"/>
    <w:rsid w:val="00693C5E"/>
    <w:rsid w:val="00693CEE"/>
    <w:rsid w:val="00694EEA"/>
    <w:rsid w:val="006950E0"/>
    <w:rsid w:val="006955B4"/>
    <w:rsid w:val="00695DEF"/>
    <w:rsid w:val="00696476"/>
    <w:rsid w:val="0069687C"/>
    <w:rsid w:val="00696C74"/>
    <w:rsid w:val="00697C9B"/>
    <w:rsid w:val="006A0909"/>
    <w:rsid w:val="006A10FA"/>
    <w:rsid w:val="006A12E0"/>
    <w:rsid w:val="006A3D6C"/>
    <w:rsid w:val="006A40E6"/>
    <w:rsid w:val="006A41B9"/>
    <w:rsid w:val="006A516B"/>
    <w:rsid w:val="006A5362"/>
    <w:rsid w:val="006A543A"/>
    <w:rsid w:val="006A5C07"/>
    <w:rsid w:val="006A73EE"/>
    <w:rsid w:val="006A75FA"/>
    <w:rsid w:val="006B07D5"/>
    <w:rsid w:val="006B1309"/>
    <w:rsid w:val="006B31E6"/>
    <w:rsid w:val="006B3923"/>
    <w:rsid w:val="006B3F3E"/>
    <w:rsid w:val="006B4AA2"/>
    <w:rsid w:val="006B4C4D"/>
    <w:rsid w:val="006B53C4"/>
    <w:rsid w:val="006B55CF"/>
    <w:rsid w:val="006B586B"/>
    <w:rsid w:val="006B5923"/>
    <w:rsid w:val="006B67D9"/>
    <w:rsid w:val="006B690F"/>
    <w:rsid w:val="006B6C14"/>
    <w:rsid w:val="006B7159"/>
    <w:rsid w:val="006B715E"/>
    <w:rsid w:val="006B7BE0"/>
    <w:rsid w:val="006C1D6E"/>
    <w:rsid w:val="006C2008"/>
    <w:rsid w:val="006C2EF6"/>
    <w:rsid w:val="006C3A68"/>
    <w:rsid w:val="006C3B08"/>
    <w:rsid w:val="006C6AB1"/>
    <w:rsid w:val="006C6E6B"/>
    <w:rsid w:val="006C714C"/>
    <w:rsid w:val="006C73D4"/>
    <w:rsid w:val="006D145F"/>
    <w:rsid w:val="006D2000"/>
    <w:rsid w:val="006D2237"/>
    <w:rsid w:val="006D2D39"/>
    <w:rsid w:val="006D2F31"/>
    <w:rsid w:val="006D4250"/>
    <w:rsid w:val="006D4E0E"/>
    <w:rsid w:val="006D5861"/>
    <w:rsid w:val="006D5CE2"/>
    <w:rsid w:val="006D5E1E"/>
    <w:rsid w:val="006D7854"/>
    <w:rsid w:val="006E06D1"/>
    <w:rsid w:val="006E122E"/>
    <w:rsid w:val="006E1313"/>
    <w:rsid w:val="006E154E"/>
    <w:rsid w:val="006E25A9"/>
    <w:rsid w:val="006E27B0"/>
    <w:rsid w:val="006E2DC8"/>
    <w:rsid w:val="006E52B5"/>
    <w:rsid w:val="006E58CB"/>
    <w:rsid w:val="006E68C4"/>
    <w:rsid w:val="006E6B68"/>
    <w:rsid w:val="006E7089"/>
    <w:rsid w:val="006E7356"/>
    <w:rsid w:val="006E77C8"/>
    <w:rsid w:val="006F0F9C"/>
    <w:rsid w:val="006F149D"/>
    <w:rsid w:val="006F1A46"/>
    <w:rsid w:val="006F2B5B"/>
    <w:rsid w:val="006F3129"/>
    <w:rsid w:val="006F39DE"/>
    <w:rsid w:val="006F45A0"/>
    <w:rsid w:val="006F4F06"/>
    <w:rsid w:val="006F5A4E"/>
    <w:rsid w:val="006F5D37"/>
    <w:rsid w:val="006F6005"/>
    <w:rsid w:val="006F6422"/>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003"/>
    <w:rsid w:val="007165CE"/>
    <w:rsid w:val="007172AF"/>
    <w:rsid w:val="00717CEB"/>
    <w:rsid w:val="0072035D"/>
    <w:rsid w:val="00720968"/>
    <w:rsid w:val="00721705"/>
    <w:rsid w:val="00721B7A"/>
    <w:rsid w:val="00721D12"/>
    <w:rsid w:val="00721F8B"/>
    <w:rsid w:val="007236E0"/>
    <w:rsid w:val="007237CE"/>
    <w:rsid w:val="00723E1C"/>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996"/>
    <w:rsid w:val="00745B0A"/>
    <w:rsid w:val="00745DBE"/>
    <w:rsid w:val="007468AC"/>
    <w:rsid w:val="00746AE2"/>
    <w:rsid w:val="00750C82"/>
    <w:rsid w:val="00750E3A"/>
    <w:rsid w:val="00751D73"/>
    <w:rsid w:val="00752035"/>
    <w:rsid w:val="0076100C"/>
    <w:rsid w:val="00761127"/>
    <w:rsid w:val="007612A5"/>
    <w:rsid w:val="00763052"/>
    <w:rsid w:val="007635A8"/>
    <w:rsid w:val="00763CAE"/>
    <w:rsid w:val="00763F95"/>
    <w:rsid w:val="007651ED"/>
    <w:rsid w:val="00766C87"/>
    <w:rsid w:val="00771043"/>
    <w:rsid w:val="0077272B"/>
    <w:rsid w:val="00773AF7"/>
    <w:rsid w:val="00773C45"/>
    <w:rsid w:val="00774FFD"/>
    <w:rsid w:val="00775CF8"/>
    <w:rsid w:val="007801C7"/>
    <w:rsid w:val="00780378"/>
    <w:rsid w:val="0078085E"/>
    <w:rsid w:val="00781BD4"/>
    <w:rsid w:val="00782562"/>
    <w:rsid w:val="007828B4"/>
    <w:rsid w:val="00782CC1"/>
    <w:rsid w:val="00784832"/>
    <w:rsid w:val="00784EA0"/>
    <w:rsid w:val="00785B26"/>
    <w:rsid w:val="00785C75"/>
    <w:rsid w:val="00785D77"/>
    <w:rsid w:val="00786111"/>
    <w:rsid w:val="00786EB3"/>
    <w:rsid w:val="00790963"/>
    <w:rsid w:val="0079150B"/>
    <w:rsid w:val="0079154B"/>
    <w:rsid w:val="00791EED"/>
    <w:rsid w:val="00791F1E"/>
    <w:rsid w:val="007927BE"/>
    <w:rsid w:val="007935B8"/>
    <w:rsid w:val="00794ADE"/>
    <w:rsid w:val="00794F3D"/>
    <w:rsid w:val="00795CE9"/>
    <w:rsid w:val="00796045"/>
    <w:rsid w:val="007968AC"/>
    <w:rsid w:val="007969AB"/>
    <w:rsid w:val="00796C26"/>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B7C4E"/>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DCB"/>
    <w:rsid w:val="007F30E4"/>
    <w:rsid w:val="007F6F0F"/>
    <w:rsid w:val="0080064F"/>
    <w:rsid w:val="00801B85"/>
    <w:rsid w:val="00803850"/>
    <w:rsid w:val="008039E8"/>
    <w:rsid w:val="00804385"/>
    <w:rsid w:val="00804E0E"/>
    <w:rsid w:val="008051EB"/>
    <w:rsid w:val="0080588E"/>
    <w:rsid w:val="00805AFD"/>
    <w:rsid w:val="00806397"/>
    <w:rsid w:val="008078D8"/>
    <w:rsid w:val="0080790D"/>
    <w:rsid w:val="0080798E"/>
    <w:rsid w:val="00811BD9"/>
    <w:rsid w:val="00811D5B"/>
    <w:rsid w:val="00813C51"/>
    <w:rsid w:val="00816CCB"/>
    <w:rsid w:val="00817572"/>
    <w:rsid w:val="00817713"/>
    <w:rsid w:val="008208C3"/>
    <w:rsid w:val="008218FF"/>
    <w:rsid w:val="008220F1"/>
    <w:rsid w:val="0082340B"/>
    <w:rsid w:val="00823D6A"/>
    <w:rsid w:val="00825A81"/>
    <w:rsid w:val="00827B29"/>
    <w:rsid w:val="00827DB6"/>
    <w:rsid w:val="008304B2"/>
    <w:rsid w:val="0083073B"/>
    <w:rsid w:val="00830999"/>
    <w:rsid w:val="00830D5E"/>
    <w:rsid w:val="00830F69"/>
    <w:rsid w:val="00831940"/>
    <w:rsid w:val="008324D9"/>
    <w:rsid w:val="00832CFE"/>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5AD"/>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D45"/>
    <w:rsid w:val="00865FA3"/>
    <w:rsid w:val="00866231"/>
    <w:rsid w:val="008670F6"/>
    <w:rsid w:val="00870A73"/>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2D49"/>
    <w:rsid w:val="00896535"/>
    <w:rsid w:val="00896683"/>
    <w:rsid w:val="00896C01"/>
    <w:rsid w:val="00896E71"/>
    <w:rsid w:val="0089750B"/>
    <w:rsid w:val="00897589"/>
    <w:rsid w:val="008A0C99"/>
    <w:rsid w:val="008A0D4F"/>
    <w:rsid w:val="008A1CC3"/>
    <w:rsid w:val="008A204E"/>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6EE6"/>
    <w:rsid w:val="008C710E"/>
    <w:rsid w:val="008D0D25"/>
    <w:rsid w:val="008D1484"/>
    <w:rsid w:val="008D1EEB"/>
    <w:rsid w:val="008D29E7"/>
    <w:rsid w:val="008D5104"/>
    <w:rsid w:val="008D75F4"/>
    <w:rsid w:val="008D795D"/>
    <w:rsid w:val="008D7B07"/>
    <w:rsid w:val="008E0D8F"/>
    <w:rsid w:val="008E0F4E"/>
    <w:rsid w:val="008E1E94"/>
    <w:rsid w:val="008E2D99"/>
    <w:rsid w:val="008E30D4"/>
    <w:rsid w:val="008E38B0"/>
    <w:rsid w:val="008E3C90"/>
    <w:rsid w:val="008E4A60"/>
    <w:rsid w:val="008E5CCD"/>
    <w:rsid w:val="008E61E4"/>
    <w:rsid w:val="008E744D"/>
    <w:rsid w:val="008F1E08"/>
    <w:rsid w:val="008F30F4"/>
    <w:rsid w:val="008F58E1"/>
    <w:rsid w:val="008F6E05"/>
    <w:rsid w:val="008F6FC8"/>
    <w:rsid w:val="009001FA"/>
    <w:rsid w:val="0090045D"/>
    <w:rsid w:val="00900644"/>
    <w:rsid w:val="00900906"/>
    <w:rsid w:val="00900D8F"/>
    <w:rsid w:val="00901229"/>
    <w:rsid w:val="009014E3"/>
    <w:rsid w:val="00901538"/>
    <w:rsid w:val="009020ED"/>
    <w:rsid w:val="009026E8"/>
    <w:rsid w:val="00902FDD"/>
    <w:rsid w:val="00903541"/>
    <w:rsid w:val="009059EB"/>
    <w:rsid w:val="00905EA6"/>
    <w:rsid w:val="00905EEF"/>
    <w:rsid w:val="00906919"/>
    <w:rsid w:val="00906EB7"/>
    <w:rsid w:val="00907FE6"/>
    <w:rsid w:val="009102BF"/>
    <w:rsid w:val="00911490"/>
    <w:rsid w:val="009115F2"/>
    <w:rsid w:val="00911B11"/>
    <w:rsid w:val="00914ADB"/>
    <w:rsid w:val="00915196"/>
    <w:rsid w:val="00916735"/>
    <w:rsid w:val="00917182"/>
    <w:rsid w:val="00920251"/>
    <w:rsid w:val="00920259"/>
    <w:rsid w:val="00920436"/>
    <w:rsid w:val="00921CFD"/>
    <w:rsid w:val="00921DEE"/>
    <w:rsid w:val="00921F7F"/>
    <w:rsid w:val="009239C0"/>
    <w:rsid w:val="00923B25"/>
    <w:rsid w:val="0092402E"/>
    <w:rsid w:val="009259BA"/>
    <w:rsid w:val="00926451"/>
    <w:rsid w:val="00926C0A"/>
    <w:rsid w:val="00926FCB"/>
    <w:rsid w:val="00927086"/>
    <w:rsid w:val="009303BB"/>
    <w:rsid w:val="0093108A"/>
    <w:rsid w:val="009319EF"/>
    <w:rsid w:val="00931B6D"/>
    <w:rsid w:val="0093311A"/>
    <w:rsid w:val="009333FA"/>
    <w:rsid w:val="009346D0"/>
    <w:rsid w:val="009357B8"/>
    <w:rsid w:val="009369A6"/>
    <w:rsid w:val="00936E38"/>
    <w:rsid w:val="00937433"/>
    <w:rsid w:val="00937F57"/>
    <w:rsid w:val="0094031E"/>
    <w:rsid w:val="009419B4"/>
    <w:rsid w:val="00941A4C"/>
    <w:rsid w:val="00942645"/>
    <w:rsid w:val="00942A3A"/>
    <w:rsid w:val="009461E6"/>
    <w:rsid w:val="00950A3A"/>
    <w:rsid w:val="00951C61"/>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B2E"/>
    <w:rsid w:val="00962F2D"/>
    <w:rsid w:val="00963A7A"/>
    <w:rsid w:val="009672CD"/>
    <w:rsid w:val="00971810"/>
    <w:rsid w:val="00971B49"/>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F6A"/>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D77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5799"/>
    <w:rsid w:val="009F5E0C"/>
    <w:rsid w:val="009F6292"/>
    <w:rsid w:val="009F6EC5"/>
    <w:rsid w:val="009F777D"/>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2A9"/>
    <w:rsid w:val="00A2270B"/>
    <w:rsid w:val="00A23B89"/>
    <w:rsid w:val="00A23C4F"/>
    <w:rsid w:val="00A23FE3"/>
    <w:rsid w:val="00A248C3"/>
    <w:rsid w:val="00A2496E"/>
    <w:rsid w:val="00A2515A"/>
    <w:rsid w:val="00A253E8"/>
    <w:rsid w:val="00A258B7"/>
    <w:rsid w:val="00A25A0C"/>
    <w:rsid w:val="00A25A83"/>
    <w:rsid w:val="00A25F09"/>
    <w:rsid w:val="00A262B6"/>
    <w:rsid w:val="00A27FB8"/>
    <w:rsid w:val="00A305AD"/>
    <w:rsid w:val="00A314B6"/>
    <w:rsid w:val="00A31DE7"/>
    <w:rsid w:val="00A31FE2"/>
    <w:rsid w:val="00A32743"/>
    <w:rsid w:val="00A35564"/>
    <w:rsid w:val="00A361A2"/>
    <w:rsid w:val="00A36444"/>
    <w:rsid w:val="00A36CD4"/>
    <w:rsid w:val="00A40356"/>
    <w:rsid w:val="00A40FFB"/>
    <w:rsid w:val="00A41468"/>
    <w:rsid w:val="00A414A9"/>
    <w:rsid w:val="00A44141"/>
    <w:rsid w:val="00A44CCA"/>
    <w:rsid w:val="00A44D75"/>
    <w:rsid w:val="00A47A84"/>
    <w:rsid w:val="00A47CF1"/>
    <w:rsid w:val="00A50418"/>
    <w:rsid w:val="00A50B17"/>
    <w:rsid w:val="00A514A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0A2"/>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4E50"/>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4C5"/>
    <w:rsid w:val="00B1176B"/>
    <w:rsid w:val="00B11858"/>
    <w:rsid w:val="00B13A51"/>
    <w:rsid w:val="00B13FF3"/>
    <w:rsid w:val="00B140B8"/>
    <w:rsid w:val="00B14FAA"/>
    <w:rsid w:val="00B15BED"/>
    <w:rsid w:val="00B15D30"/>
    <w:rsid w:val="00B15F09"/>
    <w:rsid w:val="00B16D18"/>
    <w:rsid w:val="00B177DE"/>
    <w:rsid w:val="00B20280"/>
    <w:rsid w:val="00B20624"/>
    <w:rsid w:val="00B21F2F"/>
    <w:rsid w:val="00B22D42"/>
    <w:rsid w:val="00B23436"/>
    <w:rsid w:val="00B23504"/>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8B8"/>
    <w:rsid w:val="00B64DD6"/>
    <w:rsid w:val="00B64F78"/>
    <w:rsid w:val="00B66505"/>
    <w:rsid w:val="00B6710C"/>
    <w:rsid w:val="00B67E84"/>
    <w:rsid w:val="00B72076"/>
    <w:rsid w:val="00B72303"/>
    <w:rsid w:val="00B727A9"/>
    <w:rsid w:val="00B72C72"/>
    <w:rsid w:val="00B72D6F"/>
    <w:rsid w:val="00B72ED9"/>
    <w:rsid w:val="00B7312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0AE3"/>
    <w:rsid w:val="00BA13B5"/>
    <w:rsid w:val="00BA1824"/>
    <w:rsid w:val="00BA2D98"/>
    <w:rsid w:val="00BA2F0C"/>
    <w:rsid w:val="00BA301E"/>
    <w:rsid w:val="00BA30D1"/>
    <w:rsid w:val="00BA30E1"/>
    <w:rsid w:val="00BA4018"/>
    <w:rsid w:val="00BA4609"/>
    <w:rsid w:val="00BA5BE2"/>
    <w:rsid w:val="00BA60FC"/>
    <w:rsid w:val="00BA6A9C"/>
    <w:rsid w:val="00BA7F46"/>
    <w:rsid w:val="00BB0388"/>
    <w:rsid w:val="00BB0A0A"/>
    <w:rsid w:val="00BB133C"/>
    <w:rsid w:val="00BB1F04"/>
    <w:rsid w:val="00BB2FB5"/>
    <w:rsid w:val="00BB455B"/>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538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755C"/>
    <w:rsid w:val="00BF01B7"/>
    <w:rsid w:val="00BF0B7F"/>
    <w:rsid w:val="00BF0C49"/>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1999"/>
    <w:rsid w:val="00C0359D"/>
    <w:rsid w:val="00C038EC"/>
    <w:rsid w:val="00C03C21"/>
    <w:rsid w:val="00C05C6D"/>
    <w:rsid w:val="00C0671A"/>
    <w:rsid w:val="00C072D7"/>
    <w:rsid w:val="00C07673"/>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809"/>
    <w:rsid w:val="00C25978"/>
    <w:rsid w:val="00C261C6"/>
    <w:rsid w:val="00C26621"/>
    <w:rsid w:val="00C2662E"/>
    <w:rsid w:val="00C26B27"/>
    <w:rsid w:val="00C26E7C"/>
    <w:rsid w:val="00C276CD"/>
    <w:rsid w:val="00C27827"/>
    <w:rsid w:val="00C309A8"/>
    <w:rsid w:val="00C30A97"/>
    <w:rsid w:val="00C31BDD"/>
    <w:rsid w:val="00C31DDC"/>
    <w:rsid w:val="00C321AE"/>
    <w:rsid w:val="00C3223A"/>
    <w:rsid w:val="00C34066"/>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47F"/>
    <w:rsid w:val="00C45B27"/>
    <w:rsid w:val="00C4652E"/>
    <w:rsid w:val="00C472C7"/>
    <w:rsid w:val="00C477C5"/>
    <w:rsid w:val="00C5019E"/>
    <w:rsid w:val="00C50C8C"/>
    <w:rsid w:val="00C51962"/>
    <w:rsid w:val="00C5377C"/>
    <w:rsid w:val="00C53E8A"/>
    <w:rsid w:val="00C54DF3"/>
    <w:rsid w:val="00C560A7"/>
    <w:rsid w:val="00C566C9"/>
    <w:rsid w:val="00C56A1F"/>
    <w:rsid w:val="00C56FC8"/>
    <w:rsid w:val="00C609A0"/>
    <w:rsid w:val="00C60F23"/>
    <w:rsid w:val="00C6170B"/>
    <w:rsid w:val="00C62EB2"/>
    <w:rsid w:val="00C63431"/>
    <w:rsid w:val="00C6357D"/>
    <w:rsid w:val="00C64C87"/>
    <w:rsid w:val="00C65414"/>
    <w:rsid w:val="00C6590A"/>
    <w:rsid w:val="00C65BE0"/>
    <w:rsid w:val="00C665FE"/>
    <w:rsid w:val="00C71BEC"/>
    <w:rsid w:val="00C729B9"/>
    <w:rsid w:val="00C73942"/>
    <w:rsid w:val="00C73A83"/>
    <w:rsid w:val="00C7460E"/>
    <w:rsid w:val="00C74D3A"/>
    <w:rsid w:val="00C75F3D"/>
    <w:rsid w:val="00C80511"/>
    <w:rsid w:val="00C80655"/>
    <w:rsid w:val="00C81937"/>
    <w:rsid w:val="00C826F5"/>
    <w:rsid w:val="00C83740"/>
    <w:rsid w:val="00C83C3E"/>
    <w:rsid w:val="00C84527"/>
    <w:rsid w:val="00C845FF"/>
    <w:rsid w:val="00C84AD1"/>
    <w:rsid w:val="00C85579"/>
    <w:rsid w:val="00C8590C"/>
    <w:rsid w:val="00C862F1"/>
    <w:rsid w:val="00C863E5"/>
    <w:rsid w:val="00C87BE6"/>
    <w:rsid w:val="00C87F76"/>
    <w:rsid w:val="00C910DE"/>
    <w:rsid w:val="00C931FC"/>
    <w:rsid w:val="00C932C5"/>
    <w:rsid w:val="00C932D7"/>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6CBC"/>
    <w:rsid w:val="00CA720B"/>
    <w:rsid w:val="00CB1B18"/>
    <w:rsid w:val="00CB20DC"/>
    <w:rsid w:val="00CB23DC"/>
    <w:rsid w:val="00CB2487"/>
    <w:rsid w:val="00CB28E2"/>
    <w:rsid w:val="00CB2F20"/>
    <w:rsid w:val="00CB3395"/>
    <w:rsid w:val="00CB3F63"/>
    <w:rsid w:val="00CB5248"/>
    <w:rsid w:val="00CB5801"/>
    <w:rsid w:val="00CB758D"/>
    <w:rsid w:val="00CB7A3E"/>
    <w:rsid w:val="00CB7FF7"/>
    <w:rsid w:val="00CC0D0E"/>
    <w:rsid w:val="00CC1253"/>
    <w:rsid w:val="00CC19B3"/>
    <w:rsid w:val="00CC2044"/>
    <w:rsid w:val="00CC39D2"/>
    <w:rsid w:val="00CC55D6"/>
    <w:rsid w:val="00CC59B4"/>
    <w:rsid w:val="00CC69EC"/>
    <w:rsid w:val="00CC72AF"/>
    <w:rsid w:val="00CC78A2"/>
    <w:rsid w:val="00CC7DF8"/>
    <w:rsid w:val="00CD15BE"/>
    <w:rsid w:val="00CD1651"/>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E4F46"/>
    <w:rsid w:val="00CF0280"/>
    <w:rsid w:val="00CF095C"/>
    <w:rsid w:val="00CF158D"/>
    <w:rsid w:val="00CF2166"/>
    <w:rsid w:val="00CF37C0"/>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6B87"/>
    <w:rsid w:val="00D074FF"/>
    <w:rsid w:val="00D07A72"/>
    <w:rsid w:val="00D10577"/>
    <w:rsid w:val="00D12405"/>
    <w:rsid w:val="00D12A4E"/>
    <w:rsid w:val="00D1323B"/>
    <w:rsid w:val="00D14BAE"/>
    <w:rsid w:val="00D15107"/>
    <w:rsid w:val="00D1648B"/>
    <w:rsid w:val="00D16819"/>
    <w:rsid w:val="00D17DD9"/>
    <w:rsid w:val="00D200D5"/>
    <w:rsid w:val="00D20AC0"/>
    <w:rsid w:val="00D2118A"/>
    <w:rsid w:val="00D229E7"/>
    <w:rsid w:val="00D2321B"/>
    <w:rsid w:val="00D23350"/>
    <w:rsid w:val="00D237E7"/>
    <w:rsid w:val="00D23DE4"/>
    <w:rsid w:val="00D25A5C"/>
    <w:rsid w:val="00D26873"/>
    <w:rsid w:val="00D27C99"/>
    <w:rsid w:val="00D31683"/>
    <w:rsid w:val="00D32107"/>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54D"/>
    <w:rsid w:val="00D5062C"/>
    <w:rsid w:val="00D50AB9"/>
    <w:rsid w:val="00D50C8C"/>
    <w:rsid w:val="00D5164F"/>
    <w:rsid w:val="00D52393"/>
    <w:rsid w:val="00D523E4"/>
    <w:rsid w:val="00D5279D"/>
    <w:rsid w:val="00D52A1B"/>
    <w:rsid w:val="00D52AA7"/>
    <w:rsid w:val="00D52FCC"/>
    <w:rsid w:val="00D53148"/>
    <w:rsid w:val="00D531C2"/>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56B"/>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5FA4"/>
    <w:rsid w:val="00D9706F"/>
    <w:rsid w:val="00D972D4"/>
    <w:rsid w:val="00DA0614"/>
    <w:rsid w:val="00DA0FE3"/>
    <w:rsid w:val="00DA195B"/>
    <w:rsid w:val="00DA27F3"/>
    <w:rsid w:val="00DA2D1E"/>
    <w:rsid w:val="00DA3EC8"/>
    <w:rsid w:val="00DA40C1"/>
    <w:rsid w:val="00DA5564"/>
    <w:rsid w:val="00DA56D4"/>
    <w:rsid w:val="00DA6B55"/>
    <w:rsid w:val="00DA6B97"/>
    <w:rsid w:val="00DA6CEE"/>
    <w:rsid w:val="00DA7997"/>
    <w:rsid w:val="00DB0015"/>
    <w:rsid w:val="00DB0359"/>
    <w:rsid w:val="00DB0ABB"/>
    <w:rsid w:val="00DB1320"/>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BC9"/>
    <w:rsid w:val="00DD286D"/>
    <w:rsid w:val="00DD2CAF"/>
    <w:rsid w:val="00DD3593"/>
    <w:rsid w:val="00DD4245"/>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4D6"/>
    <w:rsid w:val="00DF071B"/>
    <w:rsid w:val="00DF3B06"/>
    <w:rsid w:val="00DF4EF6"/>
    <w:rsid w:val="00DF5C84"/>
    <w:rsid w:val="00DF5D3A"/>
    <w:rsid w:val="00DF5EC0"/>
    <w:rsid w:val="00DF650A"/>
    <w:rsid w:val="00DF6EF8"/>
    <w:rsid w:val="00DF6EFE"/>
    <w:rsid w:val="00DF70F4"/>
    <w:rsid w:val="00E00A69"/>
    <w:rsid w:val="00E017BC"/>
    <w:rsid w:val="00E017E4"/>
    <w:rsid w:val="00E017F0"/>
    <w:rsid w:val="00E01A0E"/>
    <w:rsid w:val="00E025FE"/>
    <w:rsid w:val="00E0346A"/>
    <w:rsid w:val="00E041E4"/>
    <w:rsid w:val="00E04AEE"/>
    <w:rsid w:val="00E06BBD"/>
    <w:rsid w:val="00E07CD2"/>
    <w:rsid w:val="00E100E3"/>
    <w:rsid w:val="00E1012B"/>
    <w:rsid w:val="00E103C8"/>
    <w:rsid w:val="00E1085B"/>
    <w:rsid w:val="00E10FA5"/>
    <w:rsid w:val="00E1261E"/>
    <w:rsid w:val="00E1269B"/>
    <w:rsid w:val="00E1308B"/>
    <w:rsid w:val="00E14581"/>
    <w:rsid w:val="00E14623"/>
    <w:rsid w:val="00E15539"/>
    <w:rsid w:val="00E16541"/>
    <w:rsid w:val="00E17EC9"/>
    <w:rsid w:val="00E202F4"/>
    <w:rsid w:val="00E207A0"/>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0BC5"/>
    <w:rsid w:val="00E322F7"/>
    <w:rsid w:val="00E3369B"/>
    <w:rsid w:val="00E362D2"/>
    <w:rsid w:val="00E36D76"/>
    <w:rsid w:val="00E40478"/>
    <w:rsid w:val="00E405EA"/>
    <w:rsid w:val="00E4088F"/>
    <w:rsid w:val="00E408B7"/>
    <w:rsid w:val="00E41049"/>
    <w:rsid w:val="00E412EB"/>
    <w:rsid w:val="00E41637"/>
    <w:rsid w:val="00E42789"/>
    <w:rsid w:val="00E43304"/>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6041"/>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916"/>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5C8B"/>
    <w:rsid w:val="00E8608F"/>
    <w:rsid w:val="00E86C1D"/>
    <w:rsid w:val="00E90703"/>
    <w:rsid w:val="00E90A62"/>
    <w:rsid w:val="00E9168F"/>
    <w:rsid w:val="00E92267"/>
    <w:rsid w:val="00E9265E"/>
    <w:rsid w:val="00E944B3"/>
    <w:rsid w:val="00E956DB"/>
    <w:rsid w:val="00E957D7"/>
    <w:rsid w:val="00E9763D"/>
    <w:rsid w:val="00E976A0"/>
    <w:rsid w:val="00EA00A4"/>
    <w:rsid w:val="00EA037A"/>
    <w:rsid w:val="00EA0566"/>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3B66"/>
    <w:rsid w:val="00EF4C74"/>
    <w:rsid w:val="00EF5268"/>
    <w:rsid w:val="00EF608E"/>
    <w:rsid w:val="00EF6C4A"/>
    <w:rsid w:val="00F0044B"/>
    <w:rsid w:val="00F00E60"/>
    <w:rsid w:val="00F020E5"/>
    <w:rsid w:val="00F02F9F"/>
    <w:rsid w:val="00F03525"/>
    <w:rsid w:val="00F038B6"/>
    <w:rsid w:val="00F039A8"/>
    <w:rsid w:val="00F0424D"/>
    <w:rsid w:val="00F04957"/>
    <w:rsid w:val="00F053F0"/>
    <w:rsid w:val="00F05807"/>
    <w:rsid w:val="00F06451"/>
    <w:rsid w:val="00F0651B"/>
    <w:rsid w:val="00F07052"/>
    <w:rsid w:val="00F0706C"/>
    <w:rsid w:val="00F111B6"/>
    <w:rsid w:val="00F11EBE"/>
    <w:rsid w:val="00F12293"/>
    <w:rsid w:val="00F12BA8"/>
    <w:rsid w:val="00F12D7A"/>
    <w:rsid w:val="00F130D0"/>
    <w:rsid w:val="00F132F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23B3"/>
    <w:rsid w:val="00F33826"/>
    <w:rsid w:val="00F33CF0"/>
    <w:rsid w:val="00F33D56"/>
    <w:rsid w:val="00F34E08"/>
    <w:rsid w:val="00F355E8"/>
    <w:rsid w:val="00F40E54"/>
    <w:rsid w:val="00F41D6D"/>
    <w:rsid w:val="00F41D91"/>
    <w:rsid w:val="00F41F52"/>
    <w:rsid w:val="00F41FA1"/>
    <w:rsid w:val="00F42363"/>
    <w:rsid w:val="00F427C4"/>
    <w:rsid w:val="00F43AD6"/>
    <w:rsid w:val="00F43D6C"/>
    <w:rsid w:val="00F459F8"/>
    <w:rsid w:val="00F46964"/>
    <w:rsid w:val="00F46F9A"/>
    <w:rsid w:val="00F470FD"/>
    <w:rsid w:val="00F50F30"/>
    <w:rsid w:val="00F5126A"/>
    <w:rsid w:val="00F5126E"/>
    <w:rsid w:val="00F516EF"/>
    <w:rsid w:val="00F51755"/>
    <w:rsid w:val="00F523C8"/>
    <w:rsid w:val="00F531D9"/>
    <w:rsid w:val="00F539A6"/>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4DA2"/>
    <w:rsid w:val="00F75C12"/>
    <w:rsid w:val="00F764AF"/>
    <w:rsid w:val="00F76D01"/>
    <w:rsid w:val="00F77BEB"/>
    <w:rsid w:val="00F80B43"/>
    <w:rsid w:val="00F80C97"/>
    <w:rsid w:val="00F81C35"/>
    <w:rsid w:val="00F82981"/>
    <w:rsid w:val="00F8311F"/>
    <w:rsid w:val="00F83248"/>
    <w:rsid w:val="00F83376"/>
    <w:rsid w:val="00F853AE"/>
    <w:rsid w:val="00F85575"/>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A42"/>
    <w:rsid w:val="00FB0E80"/>
    <w:rsid w:val="00FB101D"/>
    <w:rsid w:val="00FB1725"/>
    <w:rsid w:val="00FB1838"/>
    <w:rsid w:val="00FB2365"/>
    <w:rsid w:val="00FB2493"/>
    <w:rsid w:val="00FB3573"/>
    <w:rsid w:val="00FB42B7"/>
    <w:rsid w:val="00FB4484"/>
    <w:rsid w:val="00FB593A"/>
    <w:rsid w:val="00FB6410"/>
    <w:rsid w:val="00FB6E82"/>
    <w:rsid w:val="00FB792E"/>
    <w:rsid w:val="00FB7CF0"/>
    <w:rsid w:val="00FC0042"/>
    <w:rsid w:val="00FC1E67"/>
    <w:rsid w:val="00FC293E"/>
    <w:rsid w:val="00FC2A13"/>
    <w:rsid w:val="00FC4284"/>
    <w:rsid w:val="00FC4576"/>
    <w:rsid w:val="00FC494C"/>
    <w:rsid w:val="00FC5FF5"/>
    <w:rsid w:val="00FC6285"/>
    <w:rsid w:val="00FC78FB"/>
    <w:rsid w:val="00FC7DBC"/>
    <w:rsid w:val="00FD076A"/>
    <w:rsid w:val="00FD0AA0"/>
    <w:rsid w:val="00FD1D5A"/>
    <w:rsid w:val="00FD4805"/>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64A1"/>
    <w:rsid w:val="00FE7C22"/>
    <w:rsid w:val="00FE7C6D"/>
    <w:rsid w:val="00FE7DA2"/>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Title">
    <w:name w:val="Title"/>
    <w:basedOn w:val="Normal"/>
    <w:link w:val="TitleChar"/>
    <w:qFormat/>
    <w:rsid w:val="00D95FA4"/>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D95FA4"/>
    <w:rPr>
      <w:rFonts w:ascii="Verdana" w:hAnsi="Verdana" w:cs="Times New Roman"/>
      <w:b/>
      <w:bCs/>
      <w:color w:val="800000"/>
      <w:sz w:val="24"/>
      <w:szCs w:val="24"/>
    </w:rPr>
  </w:style>
</w:styles>
</file>

<file path=word/webSettings.xml><?xml version="1.0" encoding="utf-8"?>
<w:webSettings xmlns:r="http://schemas.openxmlformats.org/officeDocument/2006/relationships" xmlns:w="http://schemas.openxmlformats.org/wordprocessingml/2006/main">
  <w:divs>
    <w:div w:id="167136533">
      <w:bodyDiv w:val="1"/>
      <w:marLeft w:val="0"/>
      <w:marRight w:val="0"/>
      <w:marTop w:val="0"/>
      <w:marBottom w:val="0"/>
      <w:divBdr>
        <w:top w:val="none" w:sz="0" w:space="0" w:color="auto"/>
        <w:left w:val="none" w:sz="0" w:space="0" w:color="auto"/>
        <w:bottom w:val="none" w:sz="0" w:space="0" w:color="auto"/>
        <w:right w:val="none" w:sz="0" w:space="0" w:color="auto"/>
      </w:divBdr>
    </w:div>
    <w:div w:id="92198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C230-FEA4-4BEC-B525-C021F176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2012-10-11T15:35:00Z</cp:lastPrinted>
  <dcterms:created xsi:type="dcterms:W3CDTF">2012-10-31T18:48:00Z</dcterms:created>
  <dcterms:modified xsi:type="dcterms:W3CDTF">2012-10-31T18:48:00Z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