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6D0931">
      <w:pPr>
        <w:tabs>
          <w:tab w:val="left" w:pos="288"/>
          <w:tab w:val="left" w:pos="4752"/>
          <w:tab w:val="left" w:pos="6480"/>
          <w:tab w:val="left" w:pos="9270"/>
        </w:tabs>
        <w:jc w:val="both"/>
        <w:rPr>
          <w:caps/>
          <w:color w:val="000000" w:themeColor="text1"/>
        </w:rPr>
      </w:pPr>
      <w:r w:rsidRPr="001F29F9">
        <w:rPr>
          <w:caps/>
          <w:color w:val="000000" w:themeColor="text1"/>
        </w:rPr>
        <w:t xml:space="preserve">NAME:  </w:t>
      </w:r>
      <w:r w:rsidR="004979AF">
        <w:rPr>
          <w:caps/>
          <w:color w:val="000000" w:themeColor="text1"/>
        </w:rPr>
        <w:t>XXXXXXXXXXXXXXXXXX</w:t>
      </w:r>
      <w:r w:rsidR="001B4520" w:rsidRPr="001F29F9">
        <w:rPr>
          <w:caps/>
          <w:color w:val="000000" w:themeColor="text1"/>
        </w:rPr>
        <w:t xml:space="preserve"> </w:t>
      </w:r>
      <w:r w:rsidRPr="001F29F9">
        <w:rPr>
          <w:caps/>
          <w:color w:val="000000" w:themeColor="text1"/>
        </w:rPr>
        <w:t xml:space="preserve">                </w:t>
      </w:r>
      <w:r w:rsidR="006D0931">
        <w:rPr>
          <w:caps/>
          <w:color w:val="000000" w:themeColor="text1"/>
        </w:rPr>
        <w:tab/>
        <w:t xml:space="preserve">                           </w:t>
      </w:r>
      <w:r w:rsidRPr="001F29F9">
        <w:rPr>
          <w:caps/>
          <w:color w:val="000000" w:themeColor="text1"/>
        </w:rPr>
        <w:t xml:space="preserve">BRANCH OF </w:t>
      </w:r>
      <w:r w:rsidRPr="001B4520">
        <w:rPr>
          <w:caps/>
          <w:color w:val="000000" w:themeColor="text1"/>
        </w:rPr>
        <w:t>SERVICE:  Army</w:t>
      </w:r>
      <w:r w:rsidRPr="00BA4A38">
        <w:rPr>
          <w:caps/>
          <w:color w:val="000000" w:themeColor="text1"/>
        </w:rPr>
        <w:t xml:space="preserve"> </w:t>
      </w:r>
    </w:p>
    <w:p w:rsidR="0095270D" w:rsidRDefault="0095270D" w:rsidP="006D0931">
      <w:pPr>
        <w:tabs>
          <w:tab w:val="left" w:pos="288"/>
          <w:tab w:val="left" w:pos="5130"/>
          <w:tab w:val="left" w:pos="6300"/>
        </w:tabs>
        <w:jc w:val="both"/>
        <w:rPr>
          <w:color w:val="000000" w:themeColor="text1"/>
        </w:rPr>
      </w:pPr>
      <w:r w:rsidRPr="001F29F9">
        <w:rPr>
          <w:caps/>
          <w:color w:val="000000" w:themeColor="text1"/>
        </w:rPr>
        <w:t>CASE NUMBER:  PD11</w:t>
      </w:r>
      <w:r>
        <w:rPr>
          <w:caps/>
          <w:color w:val="000000" w:themeColor="text1"/>
        </w:rPr>
        <w:t>00</w:t>
      </w:r>
      <w:r w:rsidR="001B4520" w:rsidRPr="00FF4B5C">
        <w:rPr>
          <w:caps/>
          <w:color w:val="000000" w:themeColor="text1"/>
        </w:rPr>
        <w:t>860</w:t>
      </w:r>
      <w:r w:rsidRPr="001F29F9">
        <w:rPr>
          <w:color w:val="000000" w:themeColor="text1"/>
        </w:rPr>
        <w:t xml:space="preserve">                            </w:t>
      </w:r>
      <w:r w:rsidR="005F0F72">
        <w:rPr>
          <w:color w:val="000000" w:themeColor="text1"/>
        </w:rPr>
        <w:tab/>
        <w:t xml:space="preserve">                    </w:t>
      </w:r>
      <w:r w:rsidRPr="001F29F9">
        <w:rPr>
          <w:color w:val="000000" w:themeColor="text1"/>
        </w:rPr>
        <w:t>SEPARATION</w:t>
      </w:r>
      <w:r w:rsidR="006D0931">
        <w:rPr>
          <w:color w:val="000000" w:themeColor="text1"/>
        </w:rPr>
        <w:t xml:space="preserve"> D</w:t>
      </w:r>
      <w:r w:rsidRPr="001F29F9">
        <w:rPr>
          <w:color w:val="000000" w:themeColor="text1"/>
        </w:rPr>
        <w:t xml:space="preserve">ATE:  </w:t>
      </w:r>
      <w:r w:rsidR="001B4520" w:rsidRPr="001F29F9">
        <w:rPr>
          <w:color w:val="000000" w:themeColor="text1"/>
        </w:rPr>
        <w:t>200</w:t>
      </w:r>
      <w:r w:rsidR="001B4520">
        <w:rPr>
          <w:color w:val="000000" w:themeColor="text1"/>
        </w:rPr>
        <w:t>90722</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351C51">
        <w:rPr>
          <w:caps/>
          <w:color w:val="000000"/>
        </w:rPr>
        <w:t>0807</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t>
      </w:r>
      <w:r w:rsidRPr="00FE2443">
        <w:rPr>
          <w:color w:val="000000"/>
        </w:rPr>
        <w:t>was a</w:t>
      </w:r>
      <w:r w:rsidR="006D0931">
        <w:rPr>
          <w:color w:val="000000"/>
        </w:rPr>
        <w:t>n activated</w:t>
      </w:r>
      <w:r w:rsidRPr="00FE2443">
        <w:rPr>
          <w:color w:val="000000"/>
        </w:rPr>
        <w:t xml:space="preserve"> </w:t>
      </w:r>
      <w:r w:rsidR="00463478" w:rsidRPr="00FE2443">
        <w:rPr>
          <w:color w:val="000000"/>
        </w:rPr>
        <w:t xml:space="preserve">National </w:t>
      </w:r>
      <w:r w:rsidRPr="00FE2443">
        <w:rPr>
          <w:color w:val="000000"/>
        </w:rPr>
        <w:t>Guard</w:t>
      </w:r>
      <w:r w:rsidR="00542022" w:rsidRPr="00FE2443">
        <w:rPr>
          <w:color w:val="000000"/>
        </w:rPr>
        <w:t xml:space="preserve"> member</w:t>
      </w:r>
      <w:r w:rsidR="006D0931">
        <w:rPr>
          <w:color w:val="000000"/>
        </w:rPr>
        <w:t xml:space="preserve"> on a temporary tour of active duty</w:t>
      </w:r>
      <w:r w:rsidRPr="00FE2443">
        <w:rPr>
          <w:color w:val="000000"/>
        </w:rPr>
        <w:t xml:space="preserve">, </w:t>
      </w:r>
      <w:r w:rsidR="001B0052" w:rsidRPr="00FE2443">
        <w:rPr>
          <w:color w:val="000000" w:themeColor="text1"/>
          <w:szCs w:val="24"/>
        </w:rPr>
        <w:t>SSG/E-6 (63B38, Track Vehicle Repair</w:t>
      </w:r>
      <w:r w:rsidR="00A70270" w:rsidRPr="00FE2443">
        <w:rPr>
          <w:color w:val="000000"/>
        </w:rPr>
        <w:t>)</w:t>
      </w:r>
      <w:r w:rsidR="00565636" w:rsidRPr="00FE2443">
        <w:rPr>
          <w:color w:val="000000"/>
        </w:rPr>
        <w:t>,</w:t>
      </w:r>
      <w:r w:rsidR="00A70270" w:rsidRPr="00FE2443">
        <w:rPr>
          <w:color w:val="000000"/>
        </w:rPr>
        <w:t xml:space="preserve"> </w:t>
      </w:r>
      <w:r w:rsidRPr="00FE2443">
        <w:rPr>
          <w:color w:val="000000"/>
        </w:rPr>
        <w:t xml:space="preserve">medically separated for </w:t>
      </w:r>
      <w:r w:rsidR="00261B7E" w:rsidRPr="00FE2443">
        <w:rPr>
          <w:color w:val="000000"/>
        </w:rPr>
        <w:t xml:space="preserve">a </w:t>
      </w:r>
      <w:r w:rsidR="001B0052" w:rsidRPr="00FE2443">
        <w:rPr>
          <w:color w:val="000000"/>
        </w:rPr>
        <w:t>lumbar spine</w:t>
      </w:r>
      <w:r w:rsidRPr="00FE2443">
        <w:rPr>
          <w:color w:val="000000"/>
        </w:rPr>
        <w:t xml:space="preserve"> </w:t>
      </w:r>
      <w:r w:rsidR="00261B7E" w:rsidRPr="00FE2443">
        <w:rPr>
          <w:color w:val="000000"/>
        </w:rPr>
        <w:t>condition</w:t>
      </w:r>
      <w:r w:rsidRPr="00FE2443">
        <w:rPr>
          <w:color w:val="000000"/>
        </w:rPr>
        <w:t xml:space="preserve">. </w:t>
      </w:r>
      <w:r w:rsidR="00261B7E" w:rsidRPr="00FE2443">
        <w:rPr>
          <w:color w:val="000000"/>
        </w:rPr>
        <w:t xml:space="preserve"> </w:t>
      </w:r>
      <w:r w:rsidR="00B374BF">
        <w:rPr>
          <w:color w:val="000000"/>
        </w:rPr>
        <w:t xml:space="preserve">He experienced an onset of back pain </w:t>
      </w:r>
      <w:r w:rsidR="004A1847">
        <w:rPr>
          <w:color w:val="000000"/>
        </w:rPr>
        <w:t xml:space="preserve">in 2005 </w:t>
      </w:r>
      <w:r w:rsidR="00B374BF">
        <w:rPr>
          <w:color w:val="000000"/>
        </w:rPr>
        <w:t>after a deployment</w:t>
      </w:r>
      <w:r w:rsidR="004A1847">
        <w:rPr>
          <w:color w:val="000000"/>
        </w:rPr>
        <w:t xml:space="preserve"> to Iraq.</w:t>
      </w:r>
      <w:r w:rsidR="00B374BF">
        <w:rPr>
          <w:color w:val="000000"/>
        </w:rPr>
        <w:t xml:space="preserve"> </w:t>
      </w:r>
      <w:r w:rsidR="004A1847">
        <w:rPr>
          <w:color w:val="000000"/>
        </w:rPr>
        <w:t xml:space="preserve"> He </w:t>
      </w:r>
      <w:r w:rsidR="00B374BF">
        <w:rPr>
          <w:color w:val="000000"/>
        </w:rPr>
        <w:t>was subsequently diagnosed with lumbar disc disease</w:t>
      </w:r>
      <w:r w:rsidR="00B374BF" w:rsidRPr="00B374BF">
        <w:rPr>
          <w:color w:val="000000"/>
        </w:rPr>
        <w:t xml:space="preserve"> </w:t>
      </w:r>
      <w:r w:rsidR="00B374BF">
        <w:rPr>
          <w:color w:val="000000"/>
        </w:rPr>
        <w:t>and underwent fusion surgery in 2007.  The condition</w:t>
      </w:r>
      <w:r w:rsidR="00F566B7" w:rsidRPr="00FE2443">
        <w:rPr>
          <w:color w:val="000000"/>
        </w:rPr>
        <w:t xml:space="preserve"> could not be adequately rehabilitated to meet the physical requirements of his Military Occupational Specialty (MOS) or satis</w:t>
      </w:r>
      <w:r w:rsidR="009C12A1" w:rsidRPr="00FE2443">
        <w:rPr>
          <w:color w:val="000000"/>
        </w:rPr>
        <w:t>fy physical fitness standards.</w:t>
      </w:r>
      <w:r w:rsidR="00F566B7" w:rsidRPr="00FE2443">
        <w:rPr>
          <w:color w:val="000000"/>
        </w:rPr>
        <w:t xml:space="preserve"> </w:t>
      </w:r>
      <w:r w:rsidR="009C12A1" w:rsidRPr="00FE2443">
        <w:rPr>
          <w:color w:val="000000"/>
        </w:rPr>
        <w:t xml:space="preserve"> He </w:t>
      </w:r>
      <w:r w:rsidR="00F566B7" w:rsidRPr="00FE2443">
        <w:rPr>
          <w:color w:val="000000"/>
        </w:rPr>
        <w:t xml:space="preserve">was </w:t>
      </w:r>
      <w:r w:rsidR="00271871" w:rsidRPr="00FE2443">
        <w:rPr>
          <w:color w:val="000000"/>
        </w:rPr>
        <w:t>consequently</w:t>
      </w:r>
      <w:r w:rsidR="009C12A1" w:rsidRPr="00FE2443">
        <w:rPr>
          <w:color w:val="000000"/>
        </w:rPr>
        <w:t xml:space="preserve"> </w:t>
      </w:r>
      <w:r w:rsidR="00F566B7" w:rsidRPr="00FE2443">
        <w:rPr>
          <w:color w:val="000000"/>
        </w:rPr>
        <w:t>issued a permanent L3 profile and</w:t>
      </w:r>
      <w:r w:rsidR="009C12A1" w:rsidRPr="00FE2443">
        <w:rPr>
          <w:color w:val="000000"/>
        </w:rPr>
        <w:t xml:space="preserve"> </w:t>
      </w:r>
      <w:r w:rsidR="00F566B7" w:rsidRPr="00FE2443">
        <w:rPr>
          <w:color w:val="000000"/>
        </w:rPr>
        <w:t xml:space="preserve">referred for a Medical Evaluation Board (MEB).  The </w:t>
      </w:r>
      <w:r w:rsidR="001B0052" w:rsidRPr="00FE2443">
        <w:rPr>
          <w:color w:val="000000"/>
        </w:rPr>
        <w:t xml:space="preserve">lumbar spine </w:t>
      </w:r>
      <w:r w:rsidR="00F566B7" w:rsidRPr="00FE2443">
        <w:rPr>
          <w:color w:val="000000"/>
        </w:rPr>
        <w:t>condition was forwarded to the Physical Evaluation Board (PEB) as medical</w:t>
      </w:r>
      <w:r w:rsidR="004A1847">
        <w:rPr>
          <w:color w:val="000000"/>
        </w:rPr>
        <w:t xml:space="preserve">ly unacceptable IAW AR 40-501.  </w:t>
      </w:r>
      <w:r w:rsidR="001B0052" w:rsidRPr="00FE2443">
        <w:rPr>
          <w:color w:val="000000"/>
        </w:rPr>
        <w:t>A right knee condition was also</w:t>
      </w:r>
      <w:r w:rsidR="00B144AE" w:rsidRPr="00FE2443">
        <w:rPr>
          <w:color w:val="000000"/>
        </w:rPr>
        <w:t xml:space="preserve"> addressed by the MEB, and forwarded as meeting retention standards.</w:t>
      </w:r>
      <w:r w:rsidR="00380601" w:rsidRPr="00FE2443">
        <w:rPr>
          <w:color w:val="000000"/>
        </w:rPr>
        <w:t xml:space="preserve">  </w:t>
      </w:r>
      <w:r w:rsidRPr="00FE2443">
        <w:rPr>
          <w:color w:val="000000"/>
        </w:rPr>
        <w:t xml:space="preserve">The PEB adjudicated the </w:t>
      </w:r>
      <w:r w:rsidR="00FE2443" w:rsidRPr="00FE2443">
        <w:rPr>
          <w:color w:val="000000"/>
        </w:rPr>
        <w:t xml:space="preserve">lumbar spine </w:t>
      </w:r>
      <w:r w:rsidR="008530E3" w:rsidRPr="00FE2443">
        <w:rPr>
          <w:color w:val="000000"/>
        </w:rPr>
        <w:t xml:space="preserve">condition as unfitting, rated </w:t>
      </w:r>
      <w:r w:rsidR="00FE2443" w:rsidRPr="00FE2443">
        <w:rPr>
          <w:color w:val="000000"/>
        </w:rPr>
        <w:t>2</w:t>
      </w:r>
      <w:r w:rsidRPr="00FE2443">
        <w:rPr>
          <w:color w:val="000000"/>
        </w:rPr>
        <w:t xml:space="preserve">0%, </w:t>
      </w:r>
      <w:r w:rsidR="00FA24F2" w:rsidRPr="00FE2443">
        <w:rPr>
          <w:color w:val="000000"/>
        </w:rPr>
        <w:t xml:space="preserve">referencing </w:t>
      </w:r>
      <w:r w:rsidRPr="00FE2443">
        <w:rPr>
          <w:color w:val="000000"/>
        </w:rPr>
        <w:t xml:space="preserve">the Veterans Administration Schedule for Rating Disabilities (VASRD). </w:t>
      </w:r>
      <w:r w:rsidR="00261B7E" w:rsidRPr="00FE2443">
        <w:rPr>
          <w:color w:val="000000"/>
        </w:rPr>
        <w:t xml:space="preserve"> </w:t>
      </w:r>
      <w:r w:rsidR="00380601" w:rsidRPr="00FE2443">
        <w:rPr>
          <w:color w:val="000000"/>
        </w:rPr>
        <w:t xml:space="preserve">The </w:t>
      </w:r>
      <w:r w:rsidR="00FE2443" w:rsidRPr="00FE2443">
        <w:rPr>
          <w:color w:val="000000"/>
        </w:rPr>
        <w:t>right knee condition was</w:t>
      </w:r>
      <w:r w:rsidR="00380601" w:rsidRPr="00FE2443">
        <w:rPr>
          <w:color w:val="000000"/>
        </w:rPr>
        <w:t xml:space="preserve"> determined to be not unfitting.  </w:t>
      </w:r>
      <w:r w:rsidR="00F20ABB">
        <w:rPr>
          <w:color w:val="000000"/>
        </w:rPr>
        <w:t>An initi</w:t>
      </w:r>
      <w:r w:rsidR="006D0931">
        <w:rPr>
          <w:color w:val="000000"/>
        </w:rPr>
        <w:t xml:space="preserve">al appeal for a </w:t>
      </w:r>
      <w:r w:rsidR="005F0F72">
        <w:rPr>
          <w:color w:val="000000"/>
        </w:rPr>
        <w:t>F</w:t>
      </w:r>
      <w:r w:rsidR="006D0931">
        <w:rPr>
          <w:color w:val="000000"/>
        </w:rPr>
        <w:t xml:space="preserve">ormal PEB </w:t>
      </w:r>
      <w:r w:rsidR="005F0F72">
        <w:rPr>
          <w:color w:val="000000"/>
        </w:rPr>
        <w:t xml:space="preserve">(FPEB) </w:t>
      </w:r>
      <w:r w:rsidR="006D0931">
        <w:rPr>
          <w:color w:val="000000"/>
        </w:rPr>
        <w:t>was withdrawn</w:t>
      </w:r>
      <w:r w:rsidR="00F20ABB">
        <w:rPr>
          <w:color w:val="000000"/>
        </w:rPr>
        <w:t>, and t</w:t>
      </w:r>
      <w:r w:rsidRPr="00FE2443">
        <w:rPr>
          <w:color w:val="000000"/>
        </w:rPr>
        <w:t xml:space="preserve">he CI was </w:t>
      </w:r>
      <w:r w:rsidR="006D0931">
        <w:rPr>
          <w:color w:val="000000"/>
        </w:rPr>
        <w:t>found to be unfit for further duty by reason of physical disability and released from active duty</w:t>
      </w:r>
      <w:r w:rsidRPr="00FE2443">
        <w:rPr>
          <w:color w:val="000000"/>
        </w:rPr>
        <w:t xml:space="preserve"> with </w:t>
      </w:r>
      <w:r w:rsidR="00FE2443" w:rsidRPr="00FE2443">
        <w:rPr>
          <w:color w:val="000000"/>
        </w:rPr>
        <w:t>a 20%</w:t>
      </w:r>
      <w:r w:rsidRPr="00FE2443">
        <w:rPr>
          <w:color w:val="000000"/>
        </w:rPr>
        <w:t xml:space="preserve"> disability rating.</w:t>
      </w:r>
      <w:r w:rsidR="004A1847">
        <w:rPr>
          <w:color w:val="000000"/>
        </w:rPr>
        <w:t xml:space="preserve">  He elected to transfer to the </w:t>
      </w:r>
      <w:r w:rsidR="00A962A8">
        <w:rPr>
          <w:color w:val="000000"/>
        </w:rPr>
        <w:t>R</w:t>
      </w:r>
      <w:r w:rsidR="004A1847">
        <w:rPr>
          <w:color w:val="000000"/>
        </w:rPr>
        <w:t xml:space="preserve">etired </w:t>
      </w:r>
      <w:r w:rsidR="00A962A8">
        <w:rPr>
          <w:color w:val="000000"/>
        </w:rPr>
        <w:t>R</w:t>
      </w:r>
      <w:r w:rsidR="004A1847">
        <w:rPr>
          <w:color w:val="000000"/>
        </w:rPr>
        <w:t>eserve</w:t>
      </w:r>
      <w:r w:rsidR="00A962A8">
        <w:rPr>
          <w:color w:val="000000"/>
        </w:rPr>
        <w:t xml:space="preserve"> List awaiting pay at age 60, in lieu of disability severance pay</w:t>
      </w:r>
      <w:r w:rsidR="004A1847">
        <w:rPr>
          <w:color w:val="000000"/>
        </w:rPr>
        <w:t>.</w:t>
      </w:r>
      <w:r w:rsidR="00E438A4">
        <w:rPr>
          <w:color w:val="000000"/>
        </w:rPr>
        <w:t xml:space="preserve">  </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4A1847">
        <w:rPr>
          <w:color w:val="000000"/>
        </w:rPr>
        <w:t xml:space="preserve"> With the assistance of</w:t>
      </w:r>
      <w:r w:rsidR="00083F67">
        <w:rPr>
          <w:color w:val="000000"/>
        </w:rPr>
        <w:t xml:space="preserve"> a representative, the CI submits: </w:t>
      </w:r>
      <w:r w:rsidR="00083F67">
        <w:rPr>
          <w:color w:val="000000" w:themeColor="text1"/>
        </w:rPr>
        <w:t>“</w:t>
      </w:r>
      <w:r w:rsidR="00083F67" w:rsidRPr="00B81012">
        <w:rPr>
          <w:color w:val="000000" w:themeColor="text1"/>
        </w:rPr>
        <w:t>The rating the A</w:t>
      </w:r>
      <w:r w:rsidR="00083F67">
        <w:rPr>
          <w:color w:val="000000" w:themeColor="text1"/>
        </w:rPr>
        <w:t>rm</w:t>
      </w:r>
      <w:r w:rsidR="00083F67" w:rsidRPr="00B81012">
        <w:rPr>
          <w:color w:val="000000" w:themeColor="text1"/>
        </w:rPr>
        <w:t xml:space="preserve">y awarded him for his low back pain </w:t>
      </w:r>
      <w:r w:rsidR="00083F67">
        <w:rPr>
          <w:color w:val="000000" w:themeColor="text1"/>
        </w:rPr>
        <w:t>s/p</w:t>
      </w:r>
      <w:r w:rsidR="00083F67" w:rsidRPr="00B81012">
        <w:rPr>
          <w:color w:val="000000" w:themeColor="text1"/>
        </w:rPr>
        <w:t xml:space="preserve"> spinal fusion was 20% in March 2009, but the VA rated his status post lumbar f</w:t>
      </w:r>
      <w:r w:rsidR="00083F67">
        <w:rPr>
          <w:color w:val="000000" w:themeColor="text1"/>
        </w:rPr>
        <w:t>u</w:t>
      </w:r>
      <w:r w:rsidR="00083F67" w:rsidRPr="00B81012">
        <w:rPr>
          <w:color w:val="000000" w:themeColor="text1"/>
        </w:rPr>
        <w:t>si</w:t>
      </w:r>
      <w:r w:rsidR="00083F67">
        <w:rPr>
          <w:color w:val="000000" w:themeColor="text1"/>
        </w:rPr>
        <w:t>o</w:t>
      </w:r>
      <w:r w:rsidR="00083F67" w:rsidRPr="00B81012">
        <w:rPr>
          <w:color w:val="000000" w:themeColor="text1"/>
        </w:rPr>
        <w:t>n</w:t>
      </w:r>
      <w:r w:rsidR="00083F67">
        <w:rPr>
          <w:color w:val="000000" w:themeColor="text1"/>
        </w:rPr>
        <w:t xml:space="preserve"> </w:t>
      </w:r>
      <w:r w:rsidR="00083F67" w:rsidRPr="00B81012">
        <w:rPr>
          <w:color w:val="000000" w:themeColor="text1"/>
        </w:rPr>
        <w:t>at 40% effective July 2009.</w:t>
      </w:r>
      <w:r w:rsidR="00083F67">
        <w:rPr>
          <w:color w:val="000000" w:themeColor="text1"/>
        </w:rPr>
        <w:t xml:space="preserve">” </w:t>
      </w:r>
      <w:r w:rsidR="00083F67">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4F61A0" w:rsidRPr="001F29F9" w:rsidRDefault="00F14638" w:rsidP="00FE2443">
      <w:pPr>
        <w:jc w:val="both"/>
        <w:rPr>
          <w:color w:val="000000"/>
        </w:rPr>
      </w:pPr>
      <w:r w:rsidRPr="006A714F">
        <w:rPr>
          <w:color w:val="auto"/>
          <w:u w:val="single"/>
        </w:rPr>
        <w:t>SCOPE OF REVIEW</w:t>
      </w:r>
      <w:r>
        <w:rPr>
          <w:color w:val="auto"/>
        </w:rPr>
        <w:t xml:space="preserve">:  </w:t>
      </w:r>
      <w:r w:rsidR="00FE2443" w:rsidRPr="00FE2443">
        <w:rPr>
          <w:color w:val="auto"/>
        </w:rPr>
        <w:t>The Board wishes to clarify that the scope of its review as defined in Department of Defense Instruction (DoDI)</w:t>
      </w:r>
      <w:r w:rsidR="00FE2443">
        <w:rPr>
          <w:color w:val="auto"/>
        </w:rPr>
        <w:t xml:space="preserve"> </w:t>
      </w:r>
      <w:r w:rsidR="00FE2443" w:rsidRPr="00FE2443">
        <w:rPr>
          <w:color w:val="auto"/>
        </w:rPr>
        <w:t>6040.44 (Enclosure 3, paragraph 5.e.2) is limited to those conditions which were determined by the PEB to be specifically unfitting for continued military service; or, when requested by the CI, those condition(s) “identified but not determined to be unfitting by the PEB.</w:t>
      </w:r>
      <w:r w:rsidR="004A1847">
        <w:rPr>
          <w:color w:val="auto"/>
        </w:rPr>
        <w:t>”</w:t>
      </w:r>
      <w:r w:rsidR="00FE2443" w:rsidRPr="00FE2443">
        <w:rPr>
          <w:color w:val="auto"/>
        </w:rPr>
        <w:t xml:space="preserve">  </w:t>
      </w:r>
      <w:r w:rsidR="007B23B8">
        <w:rPr>
          <w:color w:val="auto"/>
        </w:rPr>
        <w:t>T</w:t>
      </w:r>
      <w:r w:rsidR="00FE2443" w:rsidRPr="00FE2443">
        <w:rPr>
          <w:color w:val="auto"/>
        </w:rPr>
        <w:t xml:space="preserve">he </w:t>
      </w:r>
      <w:r w:rsidR="007B23B8">
        <w:rPr>
          <w:color w:val="auto"/>
        </w:rPr>
        <w:t xml:space="preserve">right </w:t>
      </w:r>
      <w:r w:rsidR="00FE2443">
        <w:rPr>
          <w:color w:val="auto"/>
        </w:rPr>
        <w:t>knee condition</w:t>
      </w:r>
      <w:r w:rsidR="00FE2443" w:rsidRPr="00FE2443">
        <w:rPr>
          <w:color w:val="auto"/>
        </w:rPr>
        <w:t xml:space="preserve"> </w:t>
      </w:r>
      <w:r w:rsidR="00B374BF">
        <w:rPr>
          <w:color w:val="auto"/>
        </w:rPr>
        <w:t>adjudicated as</w:t>
      </w:r>
      <w:r w:rsidR="00FE2443" w:rsidRPr="00FE2443">
        <w:rPr>
          <w:color w:val="auto"/>
        </w:rPr>
        <w:t xml:space="preserve"> </w:t>
      </w:r>
      <w:r w:rsidR="00FE2019">
        <w:rPr>
          <w:color w:val="auto"/>
        </w:rPr>
        <w:t xml:space="preserve">not </w:t>
      </w:r>
      <w:r w:rsidR="00FE2443" w:rsidRPr="00FE2443">
        <w:rPr>
          <w:color w:val="auto"/>
        </w:rPr>
        <w:t xml:space="preserve">unfitting by the PEB </w:t>
      </w:r>
      <w:r w:rsidR="00FE2019">
        <w:rPr>
          <w:color w:val="auto"/>
        </w:rPr>
        <w:t>was not</w:t>
      </w:r>
      <w:r w:rsidR="007B23B8">
        <w:rPr>
          <w:color w:val="auto"/>
        </w:rPr>
        <w:t xml:space="preserve"> requested for review</w:t>
      </w:r>
      <w:r w:rsidR="004A1847">
        <w:rPr>
          <w:color w:val="auto"/>
        </w:rPr>
        <w:t>,</w:t>
      </w:r>
      <w:r w:rsidR="007B23B8">
        <w:rPr>
          <w:color w:val="auto"/>
        </w:rPr>
        <w:t xml:space="preserve"> therefore, </w:t>
      </w:r>
      <w:r w:rsidR="00FE2443" w:rsidRPr="00FE2443">
        <w:rPr>
          <w:color w:val="auto"/>
        </w:rPr>
        <w:t xml:space="preserve">only the </w:t>
      </w:r>
      <w:r w:rsidR="00B374BF">
        <w:rPr>
          <w:color w:val="auto"/>
        </w:rPr>
        <w:t>unfitting</w:t>
      </w:r>
      <w:r w:rsidR="00FE2443" w:rsidRPr="00FE2443">
        <w:rPr>
          <w:color w:val="auto"/>
        </w:rPr>
        <w:t xml:space="preserve"> </w:t>
      </w:r>
      <w:r w:rsidR="00FE2019">
        <w:rPr>
          <w:color w:val="auto"/>
        </w:rPr>
        <w:t xml:space="preserve">lumbar </w:t>
      </w:r>
      <w:r w:rsidR="007B23B8">
        <w:rPr>
          <w:color w:val="auto"/>
        </w:rPr>
        <w:t xml:space="preserve">spine </w:t>
      </w:r>
      <w:r w:rsidR="00FE2443" w:rsidRPr="00FE2443">
        <w:rPr>
          <w:color w:val="auto"/>
        </w:rPr>
        <w:t xml:space="preserve">condition is addressed </w:t>
      </w:r>
      <w:r w:rsidR="007B23B8">
        <w:rPr>
          <w:color w:val="auto"/>
        </w:rPr>
        <w:t>by the Board in this case</w:t>
      </w:r>
      <w:r w:rsidR="00FE2443" w:rsidRPr="00FE2443">
        <w:rPr>
          <w:color w:val="auto"/>
        </w:rPr>
        <w:t>.</w:t>
      </w:r>
      <w:r w:rsidR="00FE2443">
        <w:rPr>
          <w:color w:val="auto"/>
        </w:rPr>
        <w:t xml:space="preserve">  </w:t>
      </w:r>
      <w:r w:rsidR="00FE2443" w:rsidRPr="00FE2443">
        <w:rPr>
          <w:color w:val="auto"/>
        </w:rPr>
        <w:t>Any conditions or contention not requested in this application, or otherwise outside the Board’s defined scope of review, remain eligible for future consideration by the Army Board for the Correction of Military Records</w:t>
      </w:r>
      <w:r w:rsidR="00A962A8">
        <w:rPr>
          <w:color w:val="auto"/>
        </w:rPr>
        <w:t>.</w:t>
      </w:r>
    </w:p>
    <w:p w:rsidR="00FE2019" w:rsidRPr="001F29F9" w:rsidRDefault="00FE2019" w:rsidP="00FE2019">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Default="00AD2379" w:rsidP="00FE7C22">
      <w:pPr>
        <w:jc w:val="both"/>
        <w:rPr>
          <w:color w:val="000000"/>
        </w:rPr>
      </w:pPr>
    </w:p>
    <w:tbl>
      <w:tblPr>
        <w:tblStyle w:val="TableGrid"/>
        <w:tblpPr w:leftFromText="187" w:rightFromText="187" w:vertAnchor="text" w:tblpXSpec="center" w:tblpY="1"/>
        <w:tblOverlap w:val="never"/>
        <w:tblW w:w="9360" w:type="dxa"/>
        <w:jc w:val="center"/>
        <w:tblLayout w:type="fixed"/>
        <w:tblLook w:val="04A0"/>
      </w:tblPr>
      <w:tblGrid>
        <w:gridCol w:w="2988"/>
        <w:gridCol w:w="630"/>
        <w:gridCol w:w="720"/>
        <w:gridCol w:w="2124"/>
        <w:gridCol w:w="1080"/>
        <w:gridCol w:w="828"/>
        <w:gridCol w:w="990"/>
      </w:tblGrid>
      <w:tr w:rsidR="00B67D7D" w:rsidRPr="001F29F9" w:rsidTr="00143DEC">
        <w:trPr>
          <w:trHeight w:val="233"/>
          <w:jc w:val="center"/>
        </w:trPr>
        <w:tc>
          <w:tcPr>
            <w:tcW w:w="4338" w:type="dxa"/>
            <w:gridSpan w:val="3"/>
            <w:tcBorders>
              <w:right w:val="thinThickThinSmallGap" w:sz="24" w:space="0" w:color="auto"/>
            </w:tcBorders>
            <w:shd w:val="clear" w:color="auto" w:fill="D9D9D9" w:themeFill="background1" w:themeFillShade="D9"/>
            <w:vAlign w:val="center"/>
          </w:tcPr>
          <w:p w:rsidR="00B67D7D" w:rsidRPr="001F29F9" w:rsidRDefault="00B67D7D" w:rsidP="00831148">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90416</w:t>
            </w:r>
          </w:p>
        </w:tc>
        <w:tc>
          <w:tcPr>
            <w:tcW w:w="5022" w:type="dxa"/>
            <w:gridSpan w:val="4"/>
            <w:tcBorders>
              <w:left w:val="thinThickThinSmallGap" w:sz="24" w:space="0" w:color="auto"/>
            </w:tcBorders>
            <w:shd w:val="clear" w:color="auto" w:fill="D9D9D9" w:themeFill="background1" w:themeFillShade="D9"/>
            <w:vAlign w:val="center"/>
          </w:tcPr>
          <w:p w:rsidR="00B67D7D" w:rsidRPr="001F29F9" w:rsidRDefault="00B67D7D" w:rsidP="00831148">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4</w:t>
            </w:r>
            <w:r w:rsidRPr="001F29F9">
              <w:rPr>
                <w:rFonts w:cs="Calibri"/>
                <w:b/>
                <w:color w:val="000000" w:themeColor="text1"/>
                <w:sz w:val="18"/>
                <w:szCs w:val="18"/>
              </w:rPr>
              <w:t xml:space="preserve"> Mo</w:t>
            </w:r>
            <w:r w:rsidRPr="00D837F1">
              <w:rPr>
                <w:rFonts w:cs="Calibri"/>
                <w:b/>
                <w:color w:val="000000" w:themeColor="text1"/>
                <w:sz w:val="18"/>
                <w:szCs w:val="18"/>
              </w:rPr>
              <w:t>. Pre</w:t>
            </w:r>
            <w:r>
              <w:rPr>
                <w:rFonts w:cs="Calibri"/>
                <w:b/>
                <w:color w:val="000000" w:themeColor="text1"/>
                <w:sz w:val="18"/>
                <w:szCs w:val="18"/>
              </w:rPr>
              <w:t>-</w:t>
            </w:r>
            <w:r w:rsidRPr="001F29F9">
              <w:rPr>
                <w:rFonts w:cs="Calibri"/>
                <w:b/>
                <w:color w:val="000000" w:themeColor="text1"/>
                <w:sz w:val="18"/>
                <w:szCs w:val="18"/>
              </w:rPr>
              <w:t>Separation) – All Effective 200</w:t>
            </w:r>
            <w:r>
              <w:rPr>
                <w:rFonts w:cs="Calibri"/>
                <w:b/>
                <w:color w:val="000000" w:themeColor="text1"/>
                <w:sz w:val="18"/>
                <w:szCs w:val="18"/>
              </w:rPr>
              <w:t>90723</w:t>
            </w:r>
          </w:p>
        </w:tc>
      </w:tr>
      <w:tr w:rsidR="00B67D7D" w:rsidRPr="001F29F9" w:rsidTr="00143DEC">
        <w:trPr>
          <w:trHeight w:val="100"/>
          <w:jc w:val="center"/>
        </w:trPr>
        <w:tc>
          <w:tcPr>
            <w:tcW w:w="2988" w:type="dxa"/>
            <w:tcBorders>
              <w:bottom w:val="single" w:sz="4" w:space="0" w:color="000000" w:themeColor="text1"/>
              <w:right w:val="single" w:sz="4" w:space="0" w:color="auto"/>
            </w:tcBorders>
            <w:shd w:val="clear" w:color="auto" w:fill="D9D9D9" w:themeFill="background1" w:themeFillShade="D9"/>
            <w:vAlign w:val="center"/>
          </w:tcPr>
          <w:p w:rsidR="00B67D7D" w:rsidRPr="001F29F9" w:rsidRDefault="00B67D7D" w:rsidP="00831148">
            <w:pPr>
              <w:contextualSpacing/>
              <w:rPr>
                <w:rFonts w:cs="Calibri"/>
                <w:b/>
                <w:color w:val="000000" w:themeColor="text1"/>
                <w:sz w:val="18"/>
                <w:szCs w:val="18"/>
              </w:rPr>
            </w:pPr>
            <w:r w:rsidRPr="001F29F9">
              <w:rPr>
                <w:rFonts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B67D7D" w:rsidRPr="001F29F9" w:rsidRDefault="00B67D7D" w:rsidP="00831148">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B67D7D" w:rsidRPr="001F29F9" w:rsidRDefault="00B67D7D" w:rsidP="00831148">
            <w:pPr>
              <w:contextualSpacing/>
              <w:rPr>
                <w:rFonts w:cs="Calibri"/>
                <w:b/>
                <w:color w:val="000000" w:themeColor="text1"/>
                <w:sz w:val="18"/>
                <w:szCs w:val="18"/>
              </w:rPr>
            </w:pPr>
            <w:r w:rsidRPr="001F29F9">
              <w:rPr>
                <w:rFonts w:cs="Calibri"/>
                <w:b/>
                <w:color w:val="000000" w:themeColor="text1"/>
                <w:sz w:val="18"/>
                <w:szCs w:val="18"/>
              </w:rPr>
              <w:t>Rating</w:t>
            </w:r>
          </w:p>
        </w:tc>
        <w:tc>
          <w:tcPr>
            <w:tcW w:w="2124" w:type="dxa"/>
            <w:tcBorders>
              <w:left w:val="thinThickThinSmallGap" w:sz="24" w:space="0" w:color="auto"/>
              <w:bottom w:val="single" w:sz="4" w:space="0" w:color="000000" w:themeColor="text1"/>
            </w:tcBorders>
            <w:shd w:val="clear" w:color="auto" w:fill="D9D9D9" w:themeFill="background1" w:themeFillShade="D9"/>
            <w:vAlign w:val="center"/>
          </w:tcPr>
          <w:p w:rsidR="00B67D7D" w:rsidRPr="001F29F9" w:rsidRDefault="00B67D7D" w:rsidP="00831148">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B67D7D" w:rsidRPr="001F29F9" w:rsidRDefault="00B67D7D" w:rsidP="00831148">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B67D7D" w:rsidRPr="001F29F9" w:rsidRDefault="00B67D7D" w:rsidP="00831148">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B67D7D" w:rsidRPr="001F29F9" w:rsidRDefault="00B67D7D" w:rsidP="00831148">
            <w:pPr>
              <w:contextualSpacing/>
              <w:rPr>
                <w:rFonts w:cs="Calibri"/>
                <w:b/>
                <w:color w:val="000000" w:themeColor="text1"/>
                <w:sz w:val="18"/>
                <w:szCs w:val="18"/>
              </w:rPr>
            </w:pPr>
            <w:r w:rsidRPr="001F29F9">
              <w:rPr>
                <w:rFonts w:cs="Calibri"/>
                <w:b/>
                <w:color w:val="000000" w:themeColor="text1"/>
                <w:sz w:val="18"/>
                <w:szCs w:val="18"/>
              </w:rPr>
              <w:t>Exam</w:t>
            </w:r>
          </w:p>
        </w:tc>
      </w:tr>
      <w:tr w:rsidR="00B67D7D" w:rsidRPr="001F29F9" w:rsidTr="00143DEC">
        <w:trPr>
          <w:trHeight w:val="118"/>
          <w:jc w:val="center"/>
        </w:trPr>
        <w:tc>
          <w:tcPr>
            <w:tcW w:w="2988" w:type="dxa"/>
            <w:vMerge w:val="restart"/>
            <w:tcBorders>
              <w:right w:val="single" w:sz="4" w:space="0" w:color="auto"/>
            </w:tcBorders>
            <w:shd w:val="clear" w:color="auto" w:fill="FFFFFF" w:themeFill="background1"/>
            <w:vAlign w:val="center"/>
          </w:tcPr>
          <w:p w:rsidR="00B67D7D" w:rsidRPr="001F29F9" w:rsidRDefault="00B67D7D" w:rsidP="00831148">
            <w:pPr>
              <w:spacing w:line="220" w:lineRule="exact"/>
              <w:contextualSpacing/>
              <w:jc w:val="left"/>
              <w:rPr>
                <w:rFonts w:cs="Calibri"/>
                <w:color w:val="000000" w:themeColor="text1"/>
                <w:sz w:val="18"/>
                <w:szCs w:val="18"/>
              </w:rPr>
            </w:pPr>
            <w:r>
              <w:rPr>
                <w:rFonts w:cs="Calibri"/>
                <w:color w:val="000000" w:themeColor="text1"/>
                <w:sz w:val="18"/>
                <w:szCs w:val="18"/>
              </w:rPr>
              <w:t>Low Back Pain, S/P Fusion</w:t>
            </w:r>
          </w:p>
        </w:tc>
        <w:tc>
          <w:tcPr>
            <w:tcW w:w="630" w:type="dxa"/>
            <w:vMerge w:val="restart"/>
            <w:tcBorders>
              <w:left w:val="single" w:sz="4" w:space="0" w:color="auto"/>
            </w:tcBorders>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Pr>
                <w:rFonts w:cs="Calibri"/>
                <w:color w:val="000000" w:themeColor="text1"/>
                <w:sz w:val="18"/>
                <w:szCs w:val="18"/>
              </w:rPr>
              <w:t>5241</w:t>
            </w:r>
          </w:p>
        </w:tc>
        <w:tc>
          <w:tcPr>
            <w:tcW w:w="720" w:type="dxa"/>
            <w:vMerge w:val="restart"/>
            <w:tcBorders>
              <w:right w:val="thinThickThinSmallGap" w:sz="24" w:space="0" w:color="auto"/>
            </w:tcBorders>
            <w:shd w:val="clear" w:color="auto" w:fill="FFFFFF" w:themeFill="background1"/>
            <w:vAlign w:val="center"/>
          </w:tcPr>
          <w:p w:rsidR="00B67D7D" w:rsidRPr="001F29F9" w:rsidRDefault="00B67D7D" w:rsidP="00831148">
            <w:pPr>
              <w:spacing w:line="220" w:lineRule="exact"/>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2124" w:type="dxa"/>
            <w:tcBorders>
              <w:left w:val="thinThickThinSmallGap" w:sz="24" w:space="0" w:color="auto"/>
            </w:tcBorders>
            <w:shd w:val="clear" w:color="auto" w:fill="FFFFFF" w:themeFill="background1"/>
            <w:vAlign w:val="center"/>
          </w:tcPr>
          <w:p w:rsidR="00B67D7D" w:rsidRPr="001F29F9" w:rsidRDefault="00B67D7D" w:rsidP="00831148">
            <w:pPr>
              <w:spacing w:line="220" w:lineRule="exact"/>
              <w:contextualSpacing/>
              <w:jc w:val="left"/>
              <w:rPr>
                <w:rFonts w:cs="Calibri"/>
                <w:color w:val="000000" w:themeColor="text1"/>
                <w:sz w:val="18"/>
                <w:szCs w:val="18"/>
              </w:rPr>
            </w:pPr>
            <w:r>
              <w:rPr>
                <w:rFonts w:cs="Calibri"/>
                <w:color w:val="000000" w:themeColor="text1"/>
                <w:sz w:val="18"/>
                <w:szCs w:val="18"/>
              </w:rPr>
              <w:t>S/P Lumbar Fusion</w:t>
            </w:r>
          </w:p>
        </w:tc>
        <w:tc>
          <w:tcPr>
            <w:tcW w:w="1080" w:type="dxa"/>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Pr>
                <w:rFonts w:cs="Calibri"/>
                <w:color w:val="000000" w:themeColor="text1"/>
                <w:sz w:val="18"/>
                <w:szCs w:val="18"/>
              </w:rPr>
              <w:t>5241</w:t>
            </w:r>
          </w:p>
        </w:tc>
        <w:tc>
          <w:tcPr>
            <w:tcW w:w="828" w:type="dxa"/>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Pr>
                <w:rFonts w:cs="Calibri"/>
                <w:color w:val="000000" w:themeColor="text1"/>
                <w:sz w:val="18"/>
                <w:szCs w:val="18"/>
              </w:rPr>
              <w:t>40</w:t>
            </w:r>
            <w:r w:rsidRPr="001F29F9">
              <w:rPr>
                <w:rFonts w:cs="Calibri"/>
                <w:color w:val="000000" w:themeColor="text1"/>
                <w:sz w:val="18"/>
                <w:szCs w:val="18"/>
              </w:rPr>
              <w:t>%</w:t>
            </w:r>
          </w:p>
        </w:tc>
        <w:tc>
          <w:tcPr>
            <w:tcW w:w="990" w:type="dxa"/>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90317</w:t>
            </w:r>
          </w:p>
        </w:tc>
      </w:tr>
      <w:tr w:rsidR="00B67D7D" w:rsidRPr="001F29F9" w:rsidTr="00143DEC">
        <w:trPr>
          <w:trHeight w:val="66"/>
          <w:jc w:val="center"/>
        </w:trPr>
        <w:tc>
          <w:tcPr>
            <w:tcW w:w="2988" w:type="dxa"/>
            <w:vMerge/>
            <w:tcBorders>
              <w:right w:val="single" w:sz="4" w:space="0" w:color="auto"/>
            </w:tcBorders>
            <w:shd w:val="clear" w:color="auto" w:fill="FFFFFF" w:themeFill="background1"/>
            <w:vAlign w:val="center"/>
          </w:tcPr>
          <w:p w:rsidR="00B67D7D" w:rsidRPr="001F29F9" w:rsidRDefault="00B67D7D" w:rsidP="00831148">
            <w:pPr>
              <w:spacing w:line="220" w:lineRule="exact"/>
              <w:contextualSpacing/>
              <w:jc w:val="left"/>
              <w:rPr>
                <w:rFonts w:cs="Calibri"/>
                <w:color w:val="000000" w:themeColor="text1"/>
                <w:sz w:val="18"/>
                <w:szCs w:val="18"/>
              </w:rPr>
            </w:pPr>
          </w:p>
        </w:tc>
        <w:tc>
          <w:tcPr>
            <w:tcW w:w="630" w:type="dxa"/>
            <w:vMerge/>
            <w:tcBorders>
              <w:left w:val="single" w:sz="4" w:space="0" w:color="auto"/>
            </w:tcBorders>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p>
        </w:tc>
        <w:tc>
          <w:tcPr>
            <w:tcW w:w="720" w:type="dxa"/>
            <w:vMerge/>
            <w:tcBorders>
              <w:right w:val="thinThickThinSmallGap" w:sz="24" w:space="0" w:color="auto"/>
            </w:tcBorders>
            <w:shd w:val="clear" w:color="auto" w:fill="FFFFFF" w:themeFill="background1"/>
            <w:vAlign w:val="center"/>
          </w:tcPr>
          <w:p w:rsidR="00B67D7D" w:rsidRPr="001F29F9" w:rsidRDefault="00B67D7D" w:rsidP="00831148">
            <w:pPr>
              <w:spacing w:line="220" w:lineRule="exact"/>
              <w:rPr>
                <w:rFonts w:cs="Calibri"/>
                <w:color w:val="000000" w:themeColor="text1"/>
                <w:sz w:val="18"/>
                <w:szCs w:val="18"/>
              </w:rPr>
            </w:pPr>
          </w:p>
        </w:tc>
        <w:tc>
          <w:tcPr>
            <w:tcW w:w="2124" w:type="dxa"/>
            <w:tcBorders>
              <w:left w:val="thinThickThinSmallGap" w:sz="24" w:space="0" w:color="auto"/>
              <w:right w:val="single" w:sz="4" w:space="0" w:color="auto"/>
            </w:tcBorders>
            <w:shd w:val="clear" w:color="auto" w:fill="FFFFFF" w:themeFill="background1"/>
            <w:vAlign w:val="center"/>
          </w:tcPr>
          <w:p w:rsidR="00B67D7D" w:rsidRPr="001F29F9" w:rsidRDefault="00B67D7D" w:rsidP="00831148">
            <w:pPr>
              <w:spacing w:line="220" w:lineRule="exact"/>
              <w:contextualSpacing/>
              <w:jc w:val="left"/>
              <w:rPr>
                <w:rFonts w:cs="Calibri"/>
                <w:color w:val="000000" w:themeColor="text1"/>
                <w:sz w:val="18"/>
                <w:szCs w:val="18"/>
              </w:rPr>
            </w:pPr>
            <w:r w:rsidRPr="00095E54">
              <w:rPr>
                <w:rFonts w:cs="Calibri"/>
                <w:color w:val="000000" w:themeColor="text1"/>
                <w:sz w:val="18"/>
                <w:szCs w:val="18"/>
              </w:rPr>
              <w:t>Left L</w:t>
            </w:r>
            <w:r>
              <w:rPr>
                <w:rFonts w:cs="Calibri"/>
                <w:color w:val="000000" w:themeColor="text1"/>
                <w:sz w:val="18"/>
                <w:szCs w:val="18"/>
              </w:rPr>
              <w:t>5</w:t>
            </w:r>
            <w:r w:rsidRPr="00095E54">
              <w:rPr>
                <w:rFonts w:cs="Calibri"/>
                <w:color w:val="000000" w:themeColor="text1"/>
                <w:sz w:val="18"/>
                <w:szCs w:val="18"/>
              </w:rPr>
              <w:t>-S</w:t>
            </w:r>
            <w:r>
              <w:rPr>
                <w:rFonts w:cs="Calibri"/>
                <w:color w:val="000000" w:themeColor="text1"/>
                <w:sz w:val="18"/>
                <w:szCs w:val="18"/>
              </w:rPr>
              <w:t>1</w:t>
            </w:r>
            <w:r w:rsidRPr="00095E54">
              <w:rPr>
                <w:rFonts w:cs="Calibri"/>
                <w:color w:val="000000" w:themeColor="text1"/>
                <w:sz w:val="18"/>
                <w:szCs w:val="18"/>
              </w:rPr>
              <w:t xml:space="preserve"> Radiculopathy</w:t>
            </w:r>
          </w:p>
        </w:tc>
        <w:tc>
          <w:tcPr>
            <w:tcW w:w="1080" w:type="dxa"/>
            <w:tcBorders>
              <w:left w:val="single" w:sz="4" w:space="0" w:color="auto"/>
            </w:tcBorders>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Pr>
                <w:rFonts w:cs="Calibri"/>
                <w:color w:val="000000" w:themeColor="text1"/>
                <w:sz w:val="18"/>
                <w:szCs w:val="18"/>
              </w:rPr>
              <w:t>8599-8520</w:t>
            </w:r>
          </w:p>
        </w:tc>
        <w:tc>
          <w:tcPr>
            <w:tcW w:w="828" w:type="dxa"/>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990" w:type="dxa"/>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90317</w:t>
            </w:r>
          </w:p>
        </w:tc>
      </w:tr>
      <w:tr w:rsidR="00B67D7D" w:rsidRPr="001F29F9" w:rsidTr="00143DEC">
        <w:trPr>
          <w:trHeight w:val="109"/>
          <w:jc w:val="center"/>
        </w:trPr>
        <w:tc>
          <w:tcPr>
            <w:tcW w:w="2988" w:type="dxa"/>
            <w:tcBorders>
              <w:right w:val="single" w:sz="4" w:space="0" w:color="auto"/>
            </w:tcBorders>
            <w:shd w:val="clear" w:color="auto" w:fill="FFFFFF" w:themeFill="background1"/>
            <w:vAlign w:val="center"/>
          </w:tcPr>
          <w:p w:rsidR="00B67D7D" w:rsidRPr="001F29F9" w:rsidRDefault="00143DEC" w:rsidP="00831148">
            <w:pPr>
              <w:spacing w:line="220" w:lineRule="exact"/>
              <w:contextualSpacing/>
              <w:jc w:val="left"/>
              <w:rPr>
                <w:rFonts w:cs="Calibri"/>
                <w:color w:val="000000" w:themeColor="text1"/>
                <w:sz w:val="18"/>
                <w:szCs w:val="18"/>
              </w:rPr>
            </w:pPr>
            <w:r>
              <w:rPr>
                <w:rFonts w:cs="Calibri"/>
                <w:color w:val="000000" w:themeColor="text1"/>
                <w:sz w:val="18"/>
                <w:szCs w:val="18"/>
              </w:rPr>
              <w:t>PFS/</w:t>
            </w:r>
            <w:r w:rsidR="00B67D7D">
              <w:rPr>
                <w:rFonts w:cs="Calibri"/>
                <w:color w:val="000000" w:themeColor="text1"/>
                <w:sz w:val="18"/>
                <w:szCs w:val="18"/>
              </w:rPr>
              <w:t>Surgical Residuals</w:t>
            </w:r>
            <w:r>
              <w:rPr>
                <w:rFonts w:cs="Calibri"/>
                <w:color w:val="000000" w:themeColor="text1"/>
                <w:sz w:val="18"/>
                <w:szCs w:val="18"/>
              </w:rPr>
              <w:t>,  Right Knee</w:t>
            </w:r>
          </w:p>
        </w:tc>
        <w:tc>
          <w:tcPr>
            <w:tcW w:w="1350" w:type="dxa"/>
            <w:gridSpan w:val="2"/>
            <w:tcBorders>
              <w:left w:val="single" w:sz="4" w:space="0" w:color="auto"/>
              <w:right w:val="thinThickThinSmallGap" w:sz="24" w:space="0" w:color="auto"/>
            </w:tcBorders>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Not Unfitting</w:t>
            </w:r>
          </w:p>
        </w:tc>
        <w:tc>
          <w:tcPr>
            <w:tcW w:w="2124" w:type="dxa"/>
            <w:tcBorders>
              <w:left w:val="thinThickThinSmallGap" w:sz="24" w:space="0" w:color="auto"/>
              <w:right w:val="single" w:sz="4" w:space="0" w:color="auto"/>
            </w:tcBorders>
            <w:shd w:val="clear" w:color="auto" w:fill="FFFFFF" w:themeFill="background1"/>
            <w:vAlign w:val="center"/>
          </w:tcPr>
          <w:p w:rsidR="00B67D7D" w:rsidRPr="001F29F9" w:rsidRDefault="00B67D7D" w:rsidP="00831148">
            <w:pPr>
              <w:spacing w:line="220" w:lineRule="exact"/>
              <w:contextualSpacing/>
              <w:jc w:val="left"/>
              <w:rPr>
                <w:rFonts w:cs="Calibri"/>
                <w:color w:val="000000" w:themeColor="text1"/>
                <w:sz w:val="18"/>
                <w:szCs w:val="18"/>
              </w:rPr>
            </w:pPr>
            <w:r>
              <w:rPr>
                <w:rFonts w:cs="Calibri"/>
                <w:color w:val="000000" w:themeColor="text1"/>
                <w:sz w:val="18"/>
                <w:szCs w:val="18"/>
              </w:rPr>
              <w:t>PFS, Right Knee</w:t>
            </w:r>
          </w:p>
        </w:tc>
        <w:tc>
          <w:tcPr>
            <w:tcW w:w="1080" w:type="dxa"/>
            <w:tcBorders>
              <w:left w:val="single" w:sz="4" w:space="0" w:color="auto"/>
            </w:tcBorders>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Pr>
                <w:rFonts w:cs="Calibri"/>
                <w:color w:val="000000" w:themeColor="text1"/>
                <w:sz w:val="18"/>
                <w:szCs w:val="18"/>
              </w:rPr>
              <w:t>5299-5260</w:t>
            </w:r>
          </w:p>
        </w:tc>
        <w:tc>
          <w:tcPr>
            <w:tcW w:w="828" w:type="dxa"/>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90317</w:t>
            </w:r>
          </w:p>
        </w:tc>
      </w:tr>
      <w:tr w:rsidR="00B67D7D" w:rsidRPr="001F29F9" w:rsidTr="00143DEC">
        <w:trPr>
          <w:trHeight w:val="66"/>
          <w:jc w:val="center"/>
        </w:trPr>
        <w:tc>
          <w:tcPr>
            <w:tcW w:w="4338" w:type="dxa"/>
            <w:gridSpan w:val="3"/>
            <w:vMerge w:val="restart"/>
            <w:tcBorders>
              <w:right w:val="thinThickThinSmallGap" w:sz="24" w:space="0" w:color="auto"/>
            </w:tcBorders>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sidRPr="000D5DBE">
              <w:rPr>
                <w:color w:val="000000"/>
                <w:sz w:val="18"/>
              </w:rPr>
              <w:t>No Additional MEB/PEB Entries</w:t>
            </w:r>
          </w:p>
        </w:tc>
        <w:tc>
          <w:tcPr>
            <w:tcW w:w="2124" w:type="dxa"/>
            <w:tcBorders>
              <w:left w:val="thinThickThinSmallGap" w:sz="24" w:space="0" w:color="auto"/>
              <w:right w:val="single" w:sz="4" w:space="0" w:color="auto"/>
            </w:tcBorders>
            <w:shd w:val="clear" w:color="auto" w:fill="FFFFFF" w:themeFill="background1"/>
            <w:vAlign w:val="center"/>
          </w:tcPr>
          <w:p w:rsidR="00B67D7D" w:rsidRDefault="00B67D7D" w:rsidP="00831148">
            <w:pPr>
              <w:spacing w:line="220" w:lineRule="exact"/>
              <w:contextualSpacing/>
              <w:jc w:val="left"/>
              <w:rPr>
                <w:rFonts w:cs="Calibri"/>
                <w:color w:val="000000" w:themeColor="text1"/>
                <w:sz w:val="18"/>
                <w:szCs w:val="18"/>
              </w:rPr>
            </w:pPr>
            <w:r>
              <w:rPr>
                <w:rFonts w:cs="Calibri"/>
                <w:color w:val="000000" w:themeColor="text1"/>
                <w:sz w:val="18"/>
                <w:szCs w:val="18"/>
              </w:rPr>
              <w:t>Insomnia</w:t>
            </w:r>
          </w:p>
        </w:tc>
        <w:tc>
          <w:tcPr>
            <w:tcW w:w="1080" w:type="dxa"/>
            <w:tcBorders>
              <w:left w:val="single" w:sz="4" w:space="0" w:color="auto"/>
            </w:tcBorders>
            <w:shd w:val="clear" w:color="auto" w:fill="FFFFFF" w:themeFill="background1"/>
            <w:vAlign w:val="center"/>
          </w:tcPr>
          <w:p w:rsidR="00B67D7D" w:rsidRDefault="00B67D7D" w:rsidP="00831148">
            <w:pPr>
              <w:spacing w:line="220" w:lineRule="exact"/>
              <w:contextualSpacing/>
              <w:rPr>
                <w:rFonts w:cs="Calibri"/>
                <w:color w:val="000000" w:themeColor="text1"/>
                <w:sz w:val="18"/>
                <w:szCs w:val="18"/>
              </w:rPr>
            </w:pPr>
            <w:r>
              <w:rPr>
                <w:rFonts w:cs="Calibri"/>
                <w:color w:val="000000" w:themeColor="text1"/>
                <w:sz w:val="18"/>
                <w:szCs w:val="18"/>
              </w:rPr>
              <w:t>6399-6354</w:t>
            </w:r>
          </w:p>
        </w:tc>
        <w:tc>
          <w:tcPr>
            <w:tcW w:w="828" w:type="dxa"/>
            <w:shd w:val="clear" w:color="auto" w:fill="FFFFFF" w:themeFill="background1"/>
            <w:vAlign w:val="center"/>
          </w:tcPr>
          <w:p w:rsidR="00B67D7D" w:rsidRDefault="00B67D7D" w:rsidP="00831148">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90317</w:t>
            </w:r>
          </w:p>
        </w:tc>
      </w:tr>
      <w:tr w:rsidR="00B67D7D" w:rsidRPr="001F29F9" w:rsidTr="00143DEC">
        <w:trPr>
          <w:trHeight w:val="91"/>
          <w:jc w:val="center"/>
        </w:trPr>
        <w:tc>
          <w:tcPr>
            <w:tcW w:w="4338" w:type="dxa"/>
            <w:gridSpan w:val="3"/>
            <w:vMerge/>
            <w:tcBorders>
              <w:right w:val="thinThickThinSmallGap" w:sz="24" w:space="0" w:color="auto"/>
            </w:tcBorders>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highlight w:val="yellow"/>
              </w:rPr>
            </w:pPr>
          </w:p>
        </w:tc>
        <w:tc>
          <w:tcPr>
            <w:tcW w:w="2124" w:type="dxa"/>
            <w:tcBorders>
              <w:left w:val="thinThickThinSmallGap" w:sz="24" w:space="0" w:color="auto"/>
              <w:right w:val="single" w:sz="4" w:space="0" w:color="auto"/>
            </w:tcBorders>
            <w:shd w:val="clear" w:color="auto" w:fill="FFFFFF" w:themeFill="background1"/>
            <w:vAlign w:val="center"/>
          </w:tcPr>
          <w:p w:rsidR="00B67D7D" w:rsidRPr="001F29F9" w:rsidRDefault="00B67D7D" w:rsidP="00831148">
            <w:pPr>
              <w:spacing w:line="220" w:lineRule="exact"/>
              <w:contextualSpacing/>
              <w:jc w:val="left"/>
              <w:rPr>
                <w:rFonts w:cs="Calibri"/>
                <w:color w:val="000000" w:themeColor="text1"/>
                <w:sz w:val="18"/>
                <w:szCs w:val="18"/>
              </w:rPr>
            </w:pPr>
            <w:r>
              <w:rPr>
                <w:rFonts w:cs="Calibri"/>
                <w:color w:val="000000" w:themeColor="text1"/>
                <w:sz w:val="18"/>
                <w:szCs w:val="18"/>
              </w:rPr>
              <w:t>Right Thigh Numbness</w:t>
            </w:r>
          </w:p>
        </w:tc>
        <w:tc>
          <w:tcPr>
            <w:tcW w:w="1080" w:type="dxa"/>
            <w:tcBorders>
              <w:left w:val="single" w:sz="4" w:space="0" w:color="auto"/>
            </w:tcBorders>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Pr>
                <w:rFonts w:cs="Calibri"/>
                <w:color w:val="000000" w:themeColor="text1"/>
                <w:sz w:val="18"/>
                <w:szCs w:val="18"/>
              </w:rPr>
              <w:t>8599-8521</w:t>
            </w:r>
          </w:p>
        </w:tc>
        <w:tc>
          <w:tcPr>
            <w:tcW w:w="828" w:type="dxa"/>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90317</w:t>
            </w:r>
          </w:p>
        </w:tc>
      </w:tr>
      <w:tr w:rsidR="00B67D7D" w:rsidRPr="001F29F9" w:rsidTr="00143DEC">
        <w:trPr>
          <w:trHeight w:val="66"/>
          <w:jc w:val="center"/>
        </w:trPr>
        <w:tc>
          <w:tcPr>
            <w:tcW w:w="4338" w:type="dxa"/>
            <w:gridSpan w:val="3"/>
            <w:vMerge/>
            <w:tcBorders>
              <w:right w:val="thinThickThinSmallGap" w:sz="24" w:space="0" w:color="auto"/>
            </w:tcBorders>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p>
        </w:tc>
        <w:tc>
          <w:tcPr>
            <w:tcW w:w="4032" w:type="dxa"/>
            <w:gridSpan w:val="3"/>
            <w:tcBorders>
              <w:left w:val="thinThickThinSmallGap" w:sz="24" w:space="0" w:color="auto"/>
            </w:tcBorders>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 xml:space="preserve">2 </w:t>
            </w:r>
            <w:r w:rsidRPr="001F29F9">
              <w:rPr>
                <w:rFonts w:cs="Calibri"/>
                <w:color w:val="000000" w:themeColor="text1"/>
                <w:sz w:val="18"/>
                <w:szCs w:val="18"/>
              </w:rPr>
              <w:t>/</w:t>
            </w:r>
            <w:r>
              <w:rPr>
                <w:rFonts w:cs="Calibri"/>
                <w:color w:val="000000" w:themeColor="text1"/>
                <w:sz w:val="18"/>
                <w:szCs w:val="18"/>
              </w:rPr>
              <w:t xml:space="preserve"> </w:t>
            </w:r>
            <w:r w:rsidR="005F0F72">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4</w:t>
            </w:r>
          </w:p>
        </w:tc>
        <w:tc>
          <w:tcPr>
            <w:tcW w:w="990" w:type="dxa"/>
            <w:shd w:val="clear" w:color="auto" w:fill="FFFFFF" w:themeFill="background1"/>
            <w:vAlign w:val="center"/>
          </w:tcPr>
          <w:p w:rsidR="00B67D7D" w:rsidRPr="001F29F9" w:rsidRDefault="00B67D7D" w:rsidP="00831148">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90317</w:t>
            </w:r>
          </w:p>
        </w:tc>
      </w:tr>
      <w:tr w:rsidR="00B67D7D" w:rsidRPr="001F29F9" w:rsidTr="00143DEC">
        <w:trPr>
          <w:trHeight w:val="242"/>
          <w:jc w:val="center"/>
        </w:trPr>
        <w:tc>
          <w:tcPr>
            <w:tcW w:w="4338" w:type="dxa"/>
            <w:gridSpan w:val="3"/>
            <w:tcBorders>
              <w:right w:val="thinThickThinSmallGap" w:sz="24" w:space="0" w:color="auto"/>
            </w:tcBorders>
            <w:shd w:val="clear" w:color="auto" w:fill="D9D9D9" w:themeFill="background1" w:themeFillShade="D9"/>
          </w:tcPr>
          <w:p w:rsidR="00B67D7D" w:rsidRPr="001F29F9" w:rsidRDefault="00B67D7D" w:rsidP="00831148">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022" w:type="dxa"/>
            <w:gridSpan w:val="4"/>
            <w:tcBorders>
              <w:left w:val="thinThickThinSmallGap" w:sz="24" w:space="0" w:color="auto"/>
            </w:tcBorders>
            <w:shd w:val="clear" w:color="auto" w:fill="D9D9D9" w:themeFill="background1" w:themeFillShade="D9"/>
          </w:tcPr>
          <w:p w:rsidR="00B67D7D" w:rsidRPr="001F29F9" w:rsidRDefault="00B67D7D" w:rsidP="00831148">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7</w:t>
            </w:r>
            <w:r w:rsidRPr="001F29F9">
              <w:rPr>
                <w:rFonts w:cs="Calibri"/>
                <w:b/>
                <w:color w:val="000000" w:themeColor="text1"/>
                <w:sz w:val="18"/>
                <w:szCs w:val="18"/>
              </w:rPr>
              <w:t>0%</w:t>
            </w:r>
          </w:p>
        </w:tc>
      </w:tr>
    </w:tbl>
    <w:p w:rsidR="00AD2379" w:rsidRPr="00B374BF" w:rsidRDefault="00AD2379" w:rsidP="00B374BF">
      <w:pPr>
        <w:spacing w:line="240" w:lineRule="auto"/>
        <w:jc w:val="left"/>
        <w:rPr>
          <w:color w:val="000000"/>
          <w:u w:val="single"/>
        </w:rPr>
      </w:pPr>
      <w:r w:rsidRPr="001F29F9">
        <w:rPr>
          <w:color w:val="000000"/>
          <w:u w:val="single"/>
        </w:rPr>
        <w:t>ANALYSIS SUMMARY</w:t>
      </w:r>
      <w:r w:rsidRPr="001F29F9">
        <w:rPr>
          <w:color w:val="000000"/>
        </w:rPr>
        <w:t>:</w:t>
      </w:r>
      <w:r>
        <w:rPr>
          <w:color w:val="000000"/>
        </w:rPr>
        <w:t xml:space="preserve"> </w:t>
      </w:r>
    </w:p>
    <w:p w:rsidR="00A962A8" w:rsidRDefault="00A962A8" w:rsidP="00B22D42">
      <w:pPr>
        <w:jc w:val="both"/>
        <w:rPr>
          <w:color w:val="000000"/>
          <w:u w:val="single"/>
        </w:rPr>
      </w:pPr>
    </w:p>
    <w:p w:rsidR="009E404E" w:rsidRPr="001819F2" w:rsidRDefault="007B23B8" w:rsidP="00B22D42">
      <w:pPr>
        <w:jc w:val="both"/>
        <w:rPr>
          <w:color w:val="000000"/>
          <w:szCs w:val="24"/>
        </w:rPr>
      </w:pPr>
      <w:proofErr w:type="gramStart"/>
      <w:r>
        <w:rPr>
          <w:color w:val="000000"/>
          <w:u w:val="single"/>
        </w:rPr>
        <w:t>Lumbar Spine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w:t>
      </w:r>
      <w:r>
        <w:rPr>
          <w:color w:val="000000"/>
        </w:rPr>
        <w:t xml:space="preserve">Upon redeployment from Iraq in November 2005, the CI was placed on medical hold for </w:t>
      </w:r>
      <w:r w:rsidR="009739A5">
        <w:rPr>
          <w:color w:val="000000"/>
        </w:rPr>
        <w:t xml:space="preserve">evaluation of </w:t>
      </w:r>
      <w:r>
        <w:rPr>
          <w:color w:val="000000"/>
        </w:rPr>
        <w:t>back pain</w:t>
      </w:r>
      <w:r w:rsidR="009739A5">
        <w:rPr>
          <w:color w:val="000000"/>
        </w:rPr>
        <w:t xml:space="preserve"> which began without known injury near the end of the tour</w:t>
      </w:r>
      <w:r>
        <w:rPr>
          <w:color w:val="000000"/>
        </w:rPr>
        <w:t xml:space="preserve">.  </w:t>
      </w:r>
      <w:r w:rsidR="009739A5">
        <w:rPr>
          <w:color w:val="000000"/>
        </w:rPr>
        <w:t xml:space="preserve">Imaging revealed L5/S1 disc herniation with left neural encroachment (confirmed electrodiagnostically).  He underwent L4-S1 fusion in May 2007, but suffered two recurrent falls which contributed to recalcitrant </w:t>
      </w:r>
      <w:r w:rsidR="00A00F9B">
        <w:rPr>
          <w:color w:val="000000"/>
        </w:rPr>
        <w:t xml:space="preserve">back and radicular </w:t>
      </w:r>
      <w:r w:rsidR="009739A5">
        <w:rPr>
          <w:color w:val="000000"/>
        </w:rPr>
        <w:t xml:space="preserve">pain that </w:t>
      </w:r>
      <w:r w:rsidR="00A00F9B">
        <w:rPr>
          <w:color w:val="000000"/>
        </w:rPr>
        <w:t xml:space="preserve">improved little with continued conservative measures.  </w:t>
      </w:r>
      <w:r w:rsidR="00B76843">
        <w:rPr>
          <w:color w:val="000000"/>
        </w:rPr>
        <w:t xml:space="preserve">Post-operative x-rays showed </w:t>
      </w:r>
      <w:r w:rsidR="00EE7814">
        <w:rPr>
          <w:color w:val="000000"/>
        </w:rPr>
        <w:t xml:space="preserve">normal hardware alignment, and neurologic testing was normal except for minor sensory deficits. </w:t>
      </w:r>
      <w:r w:rsidR="005F40F5">
        <w:rPr>
          <w:color w:val="000000"/>
        </w:rPr>
        <w:t xml:space="preserve"> </w:t>
      </w:r>
      <w:r w:rsidR="00EE7814">
        <w:rPr>
          <w:color w:val="000000"/>
        </w:rPr>
        <w:t xml:space="preserve">Orthopedics recommended no additional surgical intervention. </w:t>
      </w:r>
      <w:r w:rsidR="005F40F5">
        <w:rPr>
          <w:color w:val="000000"/>
        </w:rPr>
        <w:t xml:space="preserve"> </w:t>
      </w:r>
      <w:r w:rsidR="00A00F9B">
        <w:rPr>
          <w:color w:val="000000"/>
        </w:rPr>
        <w:t xml:space="preserve">The narrative summary (NARSUM) cited “very limiting” physical restrictions, and the CI was confined to administrative duties.  The physical exam </w:t>
      </w:r>
      <w:r w:rsidR="00EE7814">
        <w:rPr>
          <w:color w:val="000000"/>
        </w:rPr>
        <w:t xml:space="preserve">noted pain bilaterally with straight leg raising and a proximal sciatic sensory deficit on the right.  </w:t>
      </w:r>
      <w:r w:rsidR="00EE7814">
        <w:rPr>
          <w:color w:val="000000"/>
          <w:szCs w:val="24"/>
        </w:rPr>
        <w:t>At the VA</w:t>
      </w:r>
      <w:bookmarkStart w:id="0" w:name="_GoBack"/>
      <w:bookmarkEnd w:id="0"/>
      <w:r w:rsidR="00EE7814">
        <w:rPr>
          <w:color w:val="000000"/>
          <w:szCs w:val="24"/>
        </w:rPr>
        <w:t xml:space="preserve"> </w:t>
      </w:r>
      <w:r w:rsidR="00EE7814" w:rsidRPr="00CF0280">
        <w:rPr>
          <w:color w:val="000000"/>
          <w:szCs w:val="24"/>
        </w:rPr>
        <w:t>Compensation and Pension (C&amp;P)</w:t>
      </w:r>
      <w:r w:rsidR="00EE7814">
        <w:rPr>
          <w:color w:val="000000"/>
          <w:szCs w:val="24"/>
        </w:rPr>
        <w:t xml:space="preserve"> exam</w:t>
      </w:r>
      <w:r w:rsidR="005F0F72">
        <w:rPr>
          <w:color w:val="000000"/>
          <w:szCs w:val="24"/>
        </w:rPr>
        <w:t>, prior to separation</w:t>
      </w:r>
      <w:r w:rsidR="00EE7814">
        <w:rPr>
          <w:color w:val="000000"/>
          <w:szCs w:val="24"/>
        </w:rPr>
        <w:t xml:space="preserve">, the CI reported baseline pain rated 3-4/10 with </w:t>
      </w:r>
      <w:r w:rsidR="00FC5377">
        <w:rPr>
          <w:color w:val="000000"/>
          <w:szCs w:val="24"/>
        </w:rPr>
        <w:t xml:space="preserve">flares to 8/10 (via prolonged standing or sitting, bending, twisting).  He noted occasional numbness of his left foot, to which he attributed difficulty with balance and a recent fall.  The VA physical exam noted </w:t>
      </w:r>
      <w:r w:rsidR="001819F2">
        <w:rPr>
          <w:color w:val="000000"/>
          <w:szCs w:val="24"/>
        </w:rPr>
        <w:t>antalgic</w:t>
      </w:r>
      <w:r w:rsidR="00FC5377">
        <w:rPr>
          <w:color w:val="000000"/>
          <w:szCs w:val="24"/>
        </w:rPr>
        <w:t xml:space="preserve"> gait</w:t>
      </w:r>
      <w:r w:rsidR="001819F2">
        <w:rPr>
          <w:color w:val="000000"/>
          <w:szCs w:val="24"/>
        </w:rPr>
        <w:t xml:space="preserve"> and paraspinal tenderness without spasm.  Neurologic testing documented a left sciatic sensory deficit, but 5/5 motor strength with normal reflexes.  The</w:t>
      </w:r>
      <w:r w:rsidR="005F0F72">
        <w:rPr>
          <w:color w:val="000000"/>
          <w:szCs w:val="24"/>
        </w:rPr>
        <w:t xml:space="preserve"> goniometric range-of-</w:t>
      </w:r>
      <w:r w:rsidR="001819F2" w:rsidRPr="00B652C3">
        <w:rPr>
          <w:color w:val="000000"/>
          <w:szCs w:val="24"/>
        </w:rPr>
        <w:t>motion</w:t>
      </w:r>
      <w:r w:rsidR="001819F2">
        <w:rPr>
          <w:color w:val="000000"/>
          <w:szCs w:val="24"/>
        </w:rPr>
        <w:t xml:space="preserve"> (ROM) evaluations in evidence</w:t>
      </w:r>
      <w:r w:rsidR="001819F2" w:rsidRPr="00B652C3">
        <w:rPr>
          <w:color w:val="000000"/>
          <w:szCs w:val="24"/>
        </w:rPr>
        <w:t>, which the Board weighed in arrivi</w:t>
      </w:r>
      <w:r w:rsidR="001819F2">
        <w:rPr>
          <w:color w:val="000000"/>
          <w:szCs w:val="24"/>
        </w:rPr>
        <w:t>ng at its rating recommendation,</w:t>
      </w:r>
      <w:r w:rsidR="001819F2" w:rsidRPr="00B652C3">
        <w:rPr>
          <w:color w:val="000000"/>
          <w:szCs w:val="24"/>
        </w:rPr>
        <w:t xml:space="preserve"> </w:t>
      </w:r>
      <w:r w:rsidR="001819F2">
        <w:rPr>
          <w:color w:val="000000"/>
          <w:szCs w:val="24"/>
        </w:rPr>
        <w:t>are</w:t>
      </w:r>
      <w:r w:rsidR="001819F2" w:rsidRPr="00B652C3">
        <w:rPr>
          <w:color w:val="000000"/>
          <w:szCs w:val="24"/>
        </w:rPr>
        <w:t xml:space="preserve"> summarized in the chart below.</w:t>
      </w:r>
    </w:p>
    <w:p w:rsidR="009E404E" w:rsidRDefault="004D5D65" w:rsidP="00B22D42">
      <w:pPr>
        <w:jc w:val="both"/>
        <w:rPr>
          <w:color w:val="000000"/>
        </w:rPr>
      </w:pPr>
      <w:r>
        <w:rPr>
          <w:color w:val="000000"/>
        </w:rPr>
        <w:tab/>
      </w:r>
      <w:r>
        <w:rPr>
          <w:color w:val="000000"/>
        </w:rPr>
        <w:tab/>
      </w:r>
      <w:r>
        <w:rPr>
          <w:color w:val="000000"/>
        </w:rPr>
        <w:tab/>
      </w:r>
      <w:r>
        <w:rPr>
          <w:color w:val="000000"/>
        </w:rPr>
        <w:tab/>
      </w:r>
      <w:r>
        <w:rPr>
          <w:color w:val="000000"/>
        </w:rPr>
        <w:tab/>
        <w:t xml:space="preserve">   </w:t>
      </w:r>
    </w:p>
    <w:tbl>
      <w:tblPr>
        <w:tblW w:w="8594"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96"/>
        <w:gridCol w:w="2508"/>
        <w:gridCol w:w="3690"/>
      </w:tblGrid>
      <w:tr w:rsidR="009E404E" w:rsidRPr="009E404E" w:rsidTr="00EE7814">
        <w:trPr>
          <w:jc w:val="center"/>
        </w:trPr>
        <w:tc>
          <w:tcPr>
            <w:tcW w:w="2396" w:type="dxa"/>
            <w:shd w:val="clear" w:color="auto" w:fill="D9D9D9"/>
            <w:vAlign w:val="center"/>
          </w:tcPr>
          <w:p w:rsidR="009E404E" w:rsidRPr="009E404E" w:rsidRDefault="009E404E" w:rsidP="009E404E">
            <w:pPr>
              <w:contextualSpacing/>
              <w:rPr>
                <w:rFonts w:cs="Times New Roman"/>
                <w:color w:val="auto"/>
                <w:sz w:val="22"/>
              </w:rPr>
            </w:pPr>
            <w:r w:rsidRPr="009E404E">
              <w:rPr>
                <w:rFonts w:cs="Times New Roman"/>
                <w:color w:val="auto"/>
                <w:sz w:val="22"/>
              </w:rPr>
              <w:t>Thoracolumbar ROM</w:t>
            </w:r>
          </w:p>
        </w:tc>
        <w:tc>
          <w:tcPr>
            <w:tcW w:w="2508" w:type="dxa"/>
            <w:shd w:val="clear" w:color="auto" w:fill="D9D9D9"/>
            <w:vAlign w:val="center"/>
          </w:tcPr>
          <w:p w:rsidR="009E404E" w:rsidRPr="009E404E" w:rsidRDefault="009E404E" w:rsidP="009E404E">
            <w:pPr>
              <w:contextualSpacing/>
              <w:rPr>
                <w:rFonts w:cs="Times New Roman"/>
                <w:color w:val="auto"/>
                <w:sz w:val="22"/>
              </w:rPr>
            </w:pPr>
            <w:r>
              <w:rPr>
                <w:rFonts w:cs="Times New Roman"/>
                <w:color w:val="auto"/>
                <w:sz w:val="22"/>
              </w:rPr>
              <w:t xml:space="preserve">MEB </w:t>
            </w:r>
            <w:r w:rsidR="00EE7814">
              <w:rPr>
                <w:rFonts w:cs="Times New Roman"/>
                <w:color w:val="auto"/>
                <w:sz w:val="22"/>
              </w:rPr>
              <w:t xml:space="preserve">PT </w:t>
            </w:r>
            <w:r>
              <w:rPr>
                <w:rFonts w:cs="Times New Roman"/>
                <w:color w:val="auto"/>
                <w:sz w:val="22"/>
              </w:rPr>
              <w:t>~13</w:t>
            </w:r>
            <w:r w:rsidRPr="009E404E">
              <w:rPr>
                <w:rFonts w:cs="Times New Roman"/>
                <w:color w:val="auto"/>
                <w:sz w:val="22"/>
              </w:rPr>
              <w:t xml:space="preserve"> Mo. Pre-Sep</w:t>
            </w:r>
          </w:p>
        </w:tc>
        <w:tc>
          <w:tcPr>
            <w:tcW w:w="3690" w:type="dxa"/>
            <w:shd w:val="clear" w:color="auto" w:fill="D9D9D9"/>
            <w:vAlign w:val="center"/>
          </w:tcPr>
          <w:p w:rsidR="009E404E" w:rsidRPr="009E404E" w:rsidRDefault="009E404E" w:rsidP="009E404E">
            <w:pPr>
              <w:contextualSpacing/>
              <w:rPr>
                <w:rFonts w:cs="Times New Roman"/>
                <w:color w:val="auto"/>
                <w:sz w:val="22"/>
              </w:rPr>
            </w:pPr>
            <w:r w:rsidRPr="009E404E">
              <w:rPr>
                <w:rFonts w:cs="Times New Roman"/>
                <w:color w:val="auto"/>
                <w:sz w:val="22"/>
              </w:rPr>
              <w:t>VA C&amp;P ~</w:t>
            </w:r>
            <w:r w:rsidR="007B23B8">
              <w:rPr>
                <w:rFonts w:cs="Times New Roman"/>
                <w:color w:val="auto"/>
                <w:sz w:val="22"/>
              </w:rPr>
              <w:t>4</w:t>
            </w:r>
            <w:r w:rsidR="007B23B8" w:rsidRPr="009E404E">
              <w:rPr>
                <w:rFonts w:cs="Times New Roman"/>
                <w:color w:val="auto"/>
                <w:sz w:val="22"/>
              </w:rPr>
              <w:t xml:space="preserve"> Mo. </w:t>
            </w:r>
            <w:r w:rsidRPr="009E404E">
              <w:rPr>
                <w:rFonts w:cs="Times New Roman"/>
                <w:color w:val="auto"/>
                <w:sz w:val="22"/>
              </w:rPr>
              <w:t>Pre-Sep</w:t>
            </w:r>
          </w:p>
        </w:tc>
      </w:tr>
      <w:tr w:rsidR="009E404E" w:rsidRPr="009E404E" w:rsidTr="00EE7814">
        <w:trPr>
          <w:jc w:val="center"/>
        </w:trPr>
        <w:tc>
          <w:tcPr>
            <w:tcW w:w="2396" w:type="dxa"/>
            <w:vAlign w:val="center"/>
          </w:tcPr>
          <w:p w:rsidR="009E404E" w:rsidRPr="009E404E" w:rsidRDefault="009E404E" w:rsidP="009E404E">
            <w:pPr>
              <w:contextualSpacing/>
              <w:rPr>
                <w:rFonts w:cs="Times New Roman"/>
                <w:color w:val="auto"/>
                <w:sz w:val="22"/>
              </w:rPr>
            </w:pPr>
            <w:r w:rsidRPr="009E404E">
              <w:rPr>
                <w:rFonts w:cs="Times New Roman"/>
                <w:color w:val="auto"/>
                <w:sz w:val="22"/>
              </w:rPr>
              <w:t>Flexion (90⁰ Normal)</w:t>
            </w:r>
          </w:p>
        </w:tc>
        <w:tc>
          <w:tcPr>
            <w:tcW w:w="2508" w:type="dxa"/>
            <w:vAlign w:val="center"/>
          </w:tcPr>
          <w:p w:rsidR="009E404E" w:rsidRPr="009E404E" w:rsidRDefault="009E404E" w:rsidP="009E404E">
            <w:pPr>
              <w:contextualSpacing/>
              <w:rPr>
                <w:rFonts w:cs="Times New Roman"/>
                <w:color w:val="auto"/>
                <w:sz w:val="22"/>
              </w:rPr>
            </w:pPr>
            <w:r>
              <w:rPr>
                <w:rFonts w:cs="Times New Roman"/>
                <w:color w:val="auto"/>
                <w:sz w:val="22"/>
              </w:rPr>
              <w:t>6</w:t>
            </w:r>
            <w:r w:rsidRPr="009E404E">
              <w:rPr>
                <w:rFonts w:cs="Times New Roman"/>
                <w:color w:val="auto"/>
                <w:sz w:val="22"/>
              </w:rPr>
              <w:t>0⁰</w:t>
            </w:r>
          </w:p>
        </w:tc>
        <w:tc>
          <w:tcPr>
            <w:tcW w:w="3690" w:type="dxa"/>
            <w:vAlign w:val="center"/>
          </w:tcPr>
          <w:p w:rsidR="009E404E" w:rsidRPr="009E404E" w:rsidRDefault="009E404E" w:rsidP="009E404E">
            <w:pPr>
              <w:contextualSpacing/>
              <w:rPr>
                <w:rFonts w:cs="Times New Roman"/>
                <w:color w:val="auto"/>
                <w:sz w:val="22"/>
              </w:rPr>
            </w:pPr>
            <w:r>
              <w:rPr>
                <w:rFonts w:cs="Times New Roman"/>
                <w:color w:val="auto"/>
                <w:sz w:val="22"/>
              </w:rPr>
              <w:t>50</w:t>
            </w:r>
            <w:r w:rsidRPr="009E404E">
              <w:rPr>
                <w:color w:val="auto"/>
                <w:sz w:val="22"/>
              </w:rPr>
              <w:t>⁰</w:t>
            </w:r>
          </w:p>
        </w:tc>
      </w:tr>
      <w:tr w:rsidR="009E404E" w:rsidRPr="009E404E" w:rsidTr="00EE7814">
        <w:trPr>
          <w:jc w:val="center"/>
        </w:trPr>
        <w:tc>
          <w:tcPr>
            <w:tcW w:w="2396" w:type="dxa"/>
            <w:vAlign w:val="center"/>
          </w:tcPr>
          <w:p w:rsidR="009E404E" w:rsidRPr="009E404E" w:rsidRDefault="009E404E" w:rsidP="009E404E">
            <w:pPr>
              <w:contextualSpacing/>
              <w:rPr>
                <w:rFonts w:cs="Times New Roman"/>
                <w:color w:val="auto"/>
                <w:sz w:val="22"/>
              </w:rPr>
            </w:pPr>
            <w:r w:rsidRPr="009E404E">
              <w:rPr>
                <w:rFonts w:cs="Times New Roman"/>
                <w:color w:val="auto"/>
                <w:sz w:val="22"/>
              </w:rPr>
              <w:t>Combined (240⁰)</w:t>
            </w:r>
          </w:p>
        </w:tc>
        <w:tc>
          <w:tcPr>
            <w:tcW w:w="2508" w:type="dxa"/>
            <w:vAlign w:val="center"/>
          </w:tcPr>
          <w:p w:rsidR="009E404E" w:rsidRPr="009E404E" w:rsidRDefault="009E404E" w:rsidP="009E404E">
            <w:pPr>
              <w:contextualSpacing/>
              <w:rPr>
                <w:rFonts w:cs="Times New Roman"/>
                <w:color w:val="auto"/>
                <w:sz w:val="22"/>
              </w:rPr>
            </w:pPr>
            <w:r>
              <w:rPr>
                <w:rFonts w:cs="Times New Roman"/>
                <w:color w:val="auto"/>
                <w:sz w:val="22"/>
              </w:rPr>
              <w:t>150</w:t>
            </w:r>
            <w:r w:rsidRPr="009E404E">
              <w:rPr>
                <w:rFonts w:cs="Times New Roman"/>
                <w:color w:val="auto"/>
                <w:sz w:val="22"/>
              </w:rPr>
              <w:t>⁰</w:t>
            </w:r>
          </w:p>
        </w:tc>
        <w:tc>
          <w:tcPr>
            <w:tcW w:w="3690" w:type="dxa"/>
            <w:vAlign w:val="center"/>
          </w:tcPr>
          <w:p w:rsidR="009E404E" w:rsidRPr="009E404E" w:rsidRDefault="009E404E" w:rsidP="009E404E">
            <w:pPr>
              <w:contextualSpacing/>
              <w:rPr>
                <w:rFonts w:cs="Times New Roman"/>
                <w:color w:val="auto"/>
                <w:sz w:val="22"/>
              </w:rPr>
            </w:pPr>
            <w:r>
              <w:rPr>
                <w:rFonts w:cs="Times New Roman"/>
                <w:color w:val="auto"/>
                <w:sz w:val="22"/>
              </w:rPr>
              <w:t>18</w:t>
            </w:r>
            <w:r w:rsidRPr="009E404E">
              <w:rPr>
                <w:rFonts w:cs="Times New Roman"/>
                <w:color w:val="auto"/>
                <w:sz w:val="22"/>
              </w:rPr>
              <w:t>0⁰</w:t>
            </w:r>
          </w:p>
        </w:tc>
      </w:tr>
      <w:tr w:rsidR="009E404E" w:rsidRPr="009E404E" w:rsidTr="00EE7814">
        <w:trPr>
          <w:trHeight w:val="58"/>
          <w:jc w:val="center"/>
        </w:trPr>
        <w:tc>
          <w:tcPr>
            <w:tcW w:w="2396" w:type="dxa"/>
            <w:vAlign w:val="center"/>
          </w:tcPr>
          <w:p w:rsidR="009E404E" w:rsidRPr="009E404E" w:rsidRDefault="009E404E" w:rsidP="009E404E">
            <w:pPr>
              <w:tabs>
                <w:tab w:val="left" w:pos="288"/>
                <w:tab w:val="left" w:pos="4752"/>
              </w:tabs>
              <w:rPr>
                <w:rFonts w:cs="Times New Roman"/>
                <w:color w:val="auto"/>
                <w:sz w:val="22"/>
              </w:rPr>
            </w:pPr>
            <w:r w:rsidRPr="009E404E">
              <w:rPr>
                <w:rFonts w:cs="Times New Roman"/>
                <w:color w:val="auto"/>
                <w:sz w:val="22"/>
              </w:rPr>
              <w:t>Comments</w:t>
            </w:r>
          </w:p>
        </w:tc>
        <w:tc>
          <w:tcPr>
            <w:tcW w:w="2508" w:type="dxa"/>
            <w:vAlign w:val="center"/>
          </w:tcPr>
          <w:p w:rsidR="009E404E" w:rsidRPr="009E404E" w:rsidRDefault="009E404E" w:rsidP="009E404E">
            <w:pPr>
              <w:tabs>
                <w:tab w:val="left" w:pos="288"/>
                <w:tab w:val="left" w:pos="4752"/>
              </w:tabs>
              <w:rPr>
                <w:rFonts w:cs="Times New Roman"/>
                <w:color w:val="auto"/>
                <w:sz w:val="22"/>
              </w:rPr>
            </w:pPr>
            <w:r>
              <w:rPr>
                <w:rFonts w:cs="Times New Roman"/>
                <w:color w:val="auto"/>
                <w:sz w:val="22"/>
              </w:rPr>
              <w:t>Abnormal gait</w:t>
            </w:r>
            <w:r w:rsidRPr="009E404E">
              <w:rPr>
                <w:rFonts w:cs="Times New Roman"/>
                <w:color w:val="auto"/>
                <w:sz w:val="22"/>
              </w:rPr>
              <w:t>.</w:t>
            </w:r>
          </w:p>
        </w:tc>
        <w:tc>
          <w:tcPr>
            <w:tcW w:w="3690" w:type="dxa"/>
            <w:vAlign w:val="center"/>
          </w:tcPr>
          <w:p w:rsidR="009E404E" w:rsidRPr="009E404E" w:rsidRDefault="009E404E" w:rsidP="009E404E">
            <w:pPr>
              <w:tabs>
                <w:tab w:val="left" w:pos="288"/>
                <w:tab w:val="left" w:pos="4752"/>
              </w:tabs>
              <w:rPr>
                <w:rFonts w:cs="Times New Roman"/>
                <w:color w:val="auto"/>
                <w:sz w:val="22"/>
              </w:rPr>
            </w:pPr>
            <w:r>
              <w:rPr>
                <w:color w:val="auto"/>
                <w:sz w:val="22"/>
              </w:rPr>
              <w:t xml:space="preserve">Onset </w:t>
            </w:r>
            <w:r w:rsidR="00314216">
              <w:rPr>
                <w:color w:val="auto"/>
                <w:sz w:val="22"/>
              </w:rPr>
              <w:t xml:space="preserve">of </w:t>
            </w:r>
            <w:r>
              <w:rPr>
                <w:color w:val="auto"/>
                <w:sz w:val="22"/>
              </w:rPr>
              <w:t xml:space="preserve">painful motion at </w:t>
            </w:r>
            <w:r w:rsidRPr="009E404E">
              <w:rPr>
                <w:rFonts w:cs="Times New Roman"/>
                <w:color w:val="auto"/>
                <w:sz w:val="22"/>
              </w:rPr>
              <w:t>10</w:t>
            </w:r>
            <w:r w:rsidRPr="009E404E">
              <w:rPr>
                <w:color w:val="auto"/>
                <w:sz w:val="22"/>
              </w:rPr>
              <w:t>⁰</w:t>
            </w:r>
            <w:r>
              <w:rPr>
                <w:color w:val="auto"/>
                <w:sz w:val="22"/>
              </w:rPr>
              <w:t xml:space="preserve"> </w:t>
            </w:r>
            <w:r w:rsidRPr="009E404E">
              <w:rPr>
                <w:rFonts w:cs="Times New Roman"/>
                <w:color w:val="auto"/>
                <w:sz w:val="22"/>
              </w:rPr>
              <w:t>flexion.</w:t>
            </w:r>
          </w:p>
        </w:tc>
      </w:tr>
      <w:tr w:rsidR="009E404E" w:rsidRPr="009E404E" w:rsidTr="00EE7814">
        <w:trPr>
          <w:trHeight w:val="70"/>
          <w:jc w:val="center"/>
        </w:trPr>
        <w:tc>
          <w:tcPr>
            <w:tcW w:w="2396" w:type="dxa"/>
            <w:vAlign w:val="center"/>
          </w:tcPr>
          <w:p w:rsidR="009E404E" w:rsidRPr="009E404E" w:rsidRDefault="009E404E" w:rsidP="009E404E">
            <w:pPr>
              <w:tabs>
                <w:tab w:val="left" w:pos="288"/>
                <w:tab w:val="left" w:pos="4752"/>
              </w:tabs>
              <w:rPr>
                <w:rFonts w:cs="Times New Roman"/>
                <w:color w:val="auto"/>
                <w:sz w:val="22"/>
              </w:rPr>
            </w:pPr>
            <w:r w:rsidRPr="009E404E">
              <w:rPr>
                <w:rFonts w:cs="Times New Roman"/>
                <w:color w:val="auto"/>
                <w:sz w:val="22"/>
              </w:rPr>
              <w:t>§4.71a Rating</w:t>
            </w:r>
          </w:p>
        </w:tc>
        <w:tc>
          <w:tcPr>
            <w:tcW w:w="2508" w:type="dxa"/>
            <w:vAlign w:val="center"/>
          </w:tcPr>
          <w:p w:rsidR="009E404E" w:rsidRPr="009E404E" w:rsidRDefault="009E404E" w:rsidP="009E404E">
            <w:pPr>
              <w:tabs>
                <w:tab w:val="left" w:pos="288"/>
                <w:tab w:val="left" w:pos="4752"/>
              </w:tabs>
              <w:rPr>
                <w:rFonts w:cs="Times New Roman"/>
                <w:color w:val="auto"/>
                <w:sz w:val="22"/>
              </w:rPr>
            </w:pPr>
            <w:r w:rsidRPr="009E404E">
              <w:rPr>
                <w:rFonts w:cs="Times New Roman"/>
                <w:color w:val="auto"/>
                <w:sz w:val="22"/>
              </w:rPr>
              <w:t>20%</w:t>
            </w:r>
          </w:p>
        </w:tc>
        <w:tc>
          <w:tcPr>
            <w:tcW w:w="3690" w:type="dxa"/>
            <w:vAlign w:val="center"/>
          </w:tcPr>
          <w:p w:rsidR="009E404E" w:rsidRPr="009E404E" w:rsidRDefault="009E404E" w:rsidP="009E404E">
            <w:pPr>
              <w:tabs>
                <w:tab w:val="left" w:pos="288"/>
                <w:tab w:val="left" w:pos="4752"/>
              </w:tabs>
              <w:rPr>
                <w:rFonts w:cs="Times New Roman"/>
                <w:color w:val="auto"/>
                <w:sz w:val="22"/>
              </w:rPr>
            </w:pPr>
            <w:r w:rsidRPr="009E404E">
              <w:rPr>
                <w:rFonts w:cs="Times New Roman"/>
                <w:color w:val="auto"/>
                <w:sz w:val="22"/>
              </w:rPr>
              <w:t>20%*</w:t>
            </w:r>
          </w:p>
        </w:tc>
      </w:tr>
    </w:tbl>
    <w:p w:rsidR="009E404E" w:rsidRPr="009E404E" w:rsidRDefault="007A6187" w:rsidP="00B22D42">
      <w:pPr>
        <w:jc w:val="both"/>
        <w:rPr>
          <w:color w:val="000000"/>
          <w:sz w:val="22"/>
          <w:szCs w:val="22"/>
        </w:rPr>
      </w:pPr>
      <w:r>
        <w:rPr>
          <w:color w:val="000000"/>
          <w:sz w:val="22"/>
          <w:szCs w:val="22"/>
        </w:rPr>
        <w:t xml:space="preserve">           </w:t>
      </w:r>
      <w:r w:rsidR="00314216">
        <w:rPr>
          <w:color w:val="000000"/>
          <w:sz w:val="22"/>
          <w:szCs w:val="22"/>
        </w:rPr>
        <w:t>*</w:t>
      </w:r>
      <w:r w:rsidR="009E404E" w:rsidRPr="009E404E">
        <w:rPr>
          <w:color w:val="000000"/>
          <w:sz w:val="22"/>
          <w:szCs w:val="22"/>
        </w:rPr>
        <w:t>VA rating decision</w:t>
      </w:r>
      <w:r w:rsidR="009E404E">
        <w:rPr>
          <w:color w:val="000000"/>
          <w:sz w:val="22"/>
          <w:szCs w:val="22"/>
        </w:rPr>
        <w:t xml:space="preserve"> quoted painful motion thresholds in support of </w:t>
      </w:r>
      <w:r w:rsidR="007B23B8">
        <w:rPr>
          <w:color w:val="000000"/>
          <w:sz w:val="22"/>
          <w:szCs w:val="22"/>
        </w:rPr>
        <w:t xml:space="preserve">a </w:t>
      </w:r>
      <w:r w:rsidR="009E404E">
        <w:rPr>
          <w:color w:val="000000"/>
          <w:sz w:val="22"/>
          <w:szCs w:val="22"/>
        </w:rPr>
        <w:t>40% rating</w:t>
      </w:r>
      <w:r>
        <w:rPr>
          <w:color w:val="000000"/>
          <w:sz w:val="22"/>
          <w:szCs w:val="22"/>
        </w:rPr>
        <w:t xml:space="preserve"> (see below)</w:t>
      </w:r>
      <w:r w:rsidR="00314216">
        <w:rPr>
          <w:color w:val="000000"/>
          <w:sz w:val="22"/>
          <w:szCs w:val="22"/>
        </w:rPr>
        <w:t>.</w:t>
      </w:r>
    </w:p>
    <w:p w:rsidR="001819F2" w:rsidRDefault="001819F2" w:rsidP="00FB00AD">
      <w:pPr>
        <w:tabs>
          <w:tab w:val="left" w:pos="288"/>
          <w:tab w:val="left" w:pos="4752"/>
        </w:tabs>
        <w:jc w:val="both"/>
        <w:rPr>
          <w:color w:val="000000"/>
        </w:rPr>
      </w:pPr>
    </w:p>
    <w:p w:rsidR="0060578D" w:rsidRDefault="00AD2379" w:rsidP="0060578D">
      <w:pPr>
        <w:jc w:val="both"/>
        <w:rPr>
          <w:color w:val="000000"/>
          <w:szCs w:val="24"/>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60578D">
        <w:rPr>
          <w:color w:val="000000"/>
          <w:szCs w:val="24"/>
        </w:rPr>
        <w:t>The PEB’s 2</w:t>
      </w:r>
      <w:r w:rsidR="0060578D" w:rsidRPr="00C50329">
        <w:rPr>
          <w:color w:val="000000"/>
          <w:szCs w:val="24"/>
        </w:rPr>
        <w:t xml:space="preserve">0% </w:t>
      </w:r>
      <w:r w:rsidR="0060578D" w:rsidRPr="0060578D">
        <w:rPr>
          <w:color w:val="000000"/>
          <w:szCs w:val="24"/>
        </w:rPr>
        <w:t>rating was consistent VASRD §4.71a criteria for the ROMs and findings under consideration.</w:t>
      </w:r>
      <w:r w:rsidR="0060578D">
        <w:rPr>
          <w:color w:val="000000"/>
          <w:szCs w:val="24"/>
        </w:rPr>
        <w:t xml:space="preserve">  The </w:t>
      </w:r>
      <w:r w:rsidR="007A6187">
        <w:rPr>
          <w:color w:val="000000"/>
          <w:szCs w:val="24"/>
        </w:rPr>
        <w:t xml:space="preserve">VA rating decision cited the baseline ROMs charted above, but additionally elaborated examiner comments for “degrees at which painful motion begins and ends” (including onset of pain with flexion at 10⁰).  It can only be assumed that the rater’s </w:t>
      </w:r>
      <w:r w:rsidR="0060578D">
        <w:rPr>
          <w:color w:val="000000"/>
          <w:szCs w:val="24"/>
        </w:rPr>
        <w:t xml:space="preserve">40% </w:t>
      </w:r>
      <w:r w:rsidR="007A6187">
        <w:rPr>
          <w:color w:val="000000"/>
          <w:szCs w:val="24"/>
        </w:rPr>
        <w:t xml:space="preserve">determination was premised on these pain thresholds.  </w:t>
      </w:r>
      <w:r w:rsidR="00564AD2">
        <w:rPr>
          <w:color w:val="000000"/>
          <w:szCs w:val="24"/>
        </w:rPr>
        <w:t xml:space="preserve">The </w:t>
      </w:r>
      <w:r w:rsidR="007A6187">
        <w:rPr>
          <w:color w:val="000000"/>
          <w:szCs w:val="24"/>
        </w:rPr>
        <w:t xml:space="preserve">VA </w:t>
      </w:r>
      <w:r w:rsidR="00564AD2">
        <w:rPr>
          <w:color w:val="000000"/>
          <w:szCs w:val="24"/>
        </w:rPr>
        <w:t>exam</w:t>
      </w:r>
      <w:r w:rsidR="007A6187">
        <w:rPr>
          <w:color w:val="000000"/>
          <w:szCs w:val="24"/>
        </w:rPr>
        <w:t>iner, however,</w:t>
      </w:r>
      <w:r w:rsidR="00564AD2">
        <w:rPr>
          <w:color w:val="000000"/>
          <w:szCs w:val="24"/>
        </w:rPr>
        <w:t xml:space="preserve"> did not document repetitions or DeLuca findings</w:t>
      </w:r>
      <w:r w:rsidR="007A6187">
        <w:rPr>
          <w:color w:val="000000"/>
          <w:szCs w:val="24"/>
        </w:rPr>
        <w:t>;</w:t>
      </w:r>
      <w:r w:rsidR="00564AD2">
        <w:rPr>
          <w:color w:val="000000"/>
          <w:szCs w:val="24"/>
        </w:rPr>
        <w:t xml:space="preserve"> which is the only </w:t>
      </w:r>
      <w:r w:rsidR="007A6187">
        <w:rPr>
          <w:color w:val="000000"/>
          <w:szCs w:val="24"/>
        </w:rPr>
        <w:t>VA</w:t>
      </w:r>
      <w:r w:rsidR="00564AD2">
        <w:rPr>
          <w:color w:val="000000"/>
          <w:szCs w:val="24"/>
        </w:rPr>
        <w:t xml:space="preserve"> sanctioned route for adjustment of ratable ROM measurements.  IAW </w:t>
      </w:r>
      <w:r w:rsidR="00564AD2" w:rsidRPr="0060578D">
        <w:rPr>
          <w:color w:val="000000"/>
          <w:szCs w:val="24"/>
        </w:rPr>
        <w:t>VASRD §4.71a</w:t>
      </w:r>
      <w:r w:rsidR="00564AD2">
        <w:rPr>
          <w:color w:val="000000"/>
          <w:szCs w:val="24"/>
        </w:rPr>
        <w:t xml:space="preserve"> and by well established precedent, the Board does not apply such findings outside the context of justification for the minimum compensable rating under §4.59 (painful motion).  </w:t>
      </w:r>
      <w:r w:rsidR="005E118E">
        <w:rPr>
          <w:color w:val="000000"/>
          <w:szCs w:val="24"/>
        </w:rPr>
        <w:t>There was no documentation of incapacitating episodes which would support a rating higher than 20% under the alternate rating formula.</w:t>
      </w:r>
    </w:p>
    <w:p w:rsidR="00564AD2" w:rsidRDefault="00564AD2" w:rsidP="0060578D">
      <w:pPr>
        <w:jc w:val="both"/>
        <w:rPr>
          <w:color w:val="000000"/>
          <w:szCs w:val="24"/>
        </w:rPr>
      </w:pPr>
    </w:p>
    <w:p w:rsidR="00626902" w:rsidRPr="005F40F5" w:rsidRDefault="005E118E" w:rsidP="00241B01">
      <w:pPr>
        <w:jc w:val="both"/>
        <w:rPr>
          <w:color w:val="000000"/>
          <w:szCs w:val="24"/>
        </w:rPr>
      </w:pPr>
      <w:r w:rsidRPr="005E118E">
        <w:rPr>
          <w:color w:val="000000"/>
          <w:szCs w:val="24"/>
        </w:rPr>
        <w:t xml:space="preserve">The Board considered whether additional rating could be recommended under </w:t>
      </w:r>
      <w:r>
        <w:rPr>
          <w:color w:val="000000"/>
          <w:szCs w:val="24"/>
        </w:rPr>
        <w:t xml:space="preserve">a </w:t>
      </w:r>
      <w:r w:rsidRPr="005E118E">
        <w:rPr>
          <w:color w:val="000000"/>
          <w:szCs w:val="24"/>
        </w:rPr>
        <w:t xml:space="preserve">peripheral nerve code, as conferred by the VA, for the residual sciatic radiculopathy at separation.  Firm Board precedence requires a functional impairment tied to fitness to support a recommendation for addition of a peripheral nerve rating to disability in spine cases.  The pain component of a radiculopathy is subsumed under the general spine rating as specified in §4.71a.  The sensory component in this case has no functional implications, </w:t>
      </w:r>
      <w:r>
        <w:rPr>
          <w:color w:val="000000"/>
          <w:szCs w:val="24"/>
        </w:rPr>
        <w:t>unless the balance issues raised during the VA C&amp;P evaluation are considered to be of unfitting significance</w:t>
      </w:r>
      <w:r w:rsidR="004A1847">
        <w:rPr>
          <w:color w:val="000000"/>
          <w:szCs w:val="24"/>
        </w:rPr>
        <w:t>,</w:t>
      </w:r>
      <w:r>
        <w:rPr>
          <w:color w:val="000000"/>
          <w:szCs w:val="24"/>
        </w:rPr>
        <w:t xml:space="preserve"> </w:t>
      </w:r>
      <w:r w:rsidRPr="005E118E">
        <w:rPr>
          <w:color w:val="000000"/>
          <w:szCs w:val="24"/>
        </w:rPr>
        <w:t xml:space="preserve">and </w:t>
      </w:r>
      <w:r w:rsidRPr="005E118E">
        <w:rPr>
          <w:color w:val="000000"/>
          <w:szCs w:val="24"/>
        </w:rPr>
        <w:lastRenderedPageBreak/>
        <w:t>no motor weakness was in evidence</w:t>
      </w:r>
      <w:r>
        <w:rPr>
          <w:color w:val="000000"/>
          <w:szCs w:val="24"/>
        </w:rPr>
        <w:t xml:space="preserve">.  The members deliberated if the functional impairment attributable to the occasional interference of the sensory deficit with ambulation </w:t>
      </w:r>
      <w:r w:rsidR="006E5F05">
        <w:rPr>
          <w:color w:val="000000"/>
          <w:szCs w:val="24"/>
        </w:rPr>
        <w:t xml:space="preserve">(reported falls, as above) </w:t>
      </w:r>
      <w:r>
        <w:rPr>
          <w:color w:val="000000"/>
          <w:szCs w:val="24"/>
        </w:rPr>
        <w:t>was adequate support for a</w:t>
      </w:r>
      <w:r w:rsidR="006E5F05">
        <w:rPr>
          <w:color w:val="000000"/>
          <w:szCs w:val="24"/>
        </w:rPr>
        <w:t>n argument that the sciatic neuropathy was</w:t>
      </w:r>
      <w:r>
        <w:rPr>
          <w:color w:val="000000"/>
          <w:szCs w:val="24"/>
        </w:rPr>
        <w:t xml:space="preserve"> </w:t>
      </w:r>
      <w:r w:rsidR="006E5F05">
        <w:rPr>
          <w:color w:val="000000"/>
          <w:szCs w:val="24"/>
        </w:rPr>
        <w:t>itself unfitting</w:t>
      </w:r>
      <w:r w:rsidR="00B02DF2">
        <w:rPr>
          <w:color w:val="000000"/>
          <w:szCs w:val="24"/>
        </w:rPr>
        <w:t>.  It was noted</w:t>
      </w:r>
      <w:r w:rsidR="005F0F72">
        <w:rPr>
          <w:color w:val="000000"/>
          <w:szCs w:val="24"/>
        </w:rPr>
        <w:t>;</w:t>
      </w:r>
      <w:r w:rsidR="00B02DF2">
        <w:rPr>
          <w:color w:val="000000"/>
          <w:szCs w:val="24"/>
        </w:rPr>
        <w:t xml:space="preserve"> however, that there was no corroborating evidence in the </w:t>
      </w:r>
      <w:r w:rsidR="005F0F72">
        <w:rPr>
          <w:color w:val="000000"/>
          <w:szCs w:val="24"/>
        </w:rPr>
        <w:t>s</w:t>
      </w:r>
      <w:r w:rsidR="00B02DF2">
        <w:rPr>
          <w:color w:val="000000"/>
          <w:szCs w:val="24"/>
        </w:rPr>
        <w:t xml:space="preserve">ervice record for such occurrences; no other clinical documentation of balance issues; and, no exam findings consistent with the fairly dense sensory deficit normally associated with significant </w:t>
      </w:r>
      <w:r w:rsidR="0003571F">
        <w:rPr>
          <w:color w:val="000000"/>
          <w:szCs w:val="24"/>
        </w:rPr>
        <w:t>impairment of proprioception and balance.  It was ultimately concluded that t</w:t>
      </w:r>
      <w:r w:rsidRPr="005E118E">
        <w:rPr>
          <w:color w:val="000000"/>
          <w:szCs w:val="24"/>
        </w:rPr>
        <w:t xml:space="preserve">here is </w:t>
      </w:r>
      <w:r w:rsidR="0003571F">
        <w:rPr>
          <w:color w:val="000000"/>
          <w:szCs w:val="24"/>
        </w:rPr>
        <w:t>insufficient</w:t>
      </w:r>
      <w:r w:rsidRPr="005E118E">
        <w:rPr>
          <w:color w:val="000000"/>
          <w:szCs w:val="24"/>
        </w:rPr>
        <w:t xml:space="preserve"> evidence of a separately ratable functional impairment (with fitness implications) from the residual radiculopathy</w:t>
      </w:r>
      <w:r w:rsidR="004A1847">
        <w:rPr>
          <w:color w:val="000000"/>
          <w:szCs w:val="24"/>
        </w:rPr>
        <w:t>,</w:t>
      </w:r>
      <w:r w:rsidRPr="005E118E">
        <w:rPr>
          <w:color w:val="000000"/>
          <w:szCs w:val="24"/>
        </w:rPr>
        <w:t xml:space="preserve"> and the Board cannot support a recommendation for an additional disability rating on this basis.</w:t>
      </w:r>
      <w:r w:rsidR="0003571F">
        <w:rPr>
          <w:color w:val="000000"/>
          <w:szCs w:val="24"/>
        </w:rPr>
        <w:t xml:space="preserve">  </w:t>
      </w:r>
      <w:r w:rsidR="00626902"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w:t>
      </w:r>
      <w:r w:rsidR="00BB5F68">
        <w:rPr>
          <w:rFonts w:eastAsia="Calibri" w:cs="Times New Roman"/>
          <w:color w:val="auto"/>
          <w:szCs w:val="24"/>
        </w:rPr>
        <w:t>of</w:t>
      </w:r>
      <w:r w:rsidR="00626902" w:rsidRPr="00626902">
        <w:rPr>
          <w:rFonts w:eastAsia="Calibri" w:cs="Times New Roman"/>
          <w:color w:val="auto"/>
          <w:szCs w:val="24"/>
        </w:rPr>
        <w:t xml:space="preserve"> the </w:t>
      </w:r>
      <w:r w:rsidR="0003571F">
        <w:rPr>
          <w:rFonts w:eastAsia="Calibri" w:cs="Times New Roman"/>
          <w:color w:val="auto"/>
          <w:szCs w:val="24"/>
        </w:rPr>
        <w:t>lumbar spine</w:t>
      </w:r>
      <w:r w:rsidR="00626902" w:rsidRPr="00626902">
        <w:rPr>
          <w:rFonts w:eastAsia="Calibri" w:cs="Times New Roman"/>
          <w:color w:val="auto"/>
          <w:szCs w:val="24"/>
        </w:rPr>
        <w:t xml:space="preserve"> condition.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C3C98" w:rsidRPr="00560F12" w:rsidRDefault="00AD2379" w:rsidP="00624E0A">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w:t>
      </w:r>
      <w:r w:rsidRPr="005F40F5">
        <w:rPr>
          <w:rFonts w:cs="Times New Roman"/>
          <w:color w:val="auto"/>
        </w:rPr>
        <w:t>from the record or PEB ruling in this case that any prerogatives outside the VASRD were exercised.</w:t>
      </w:r>
      <w:r w:rsidR="008734E7" w:rsidRPr="005F40F5">
        <w:rPr>
          <w:rFonts w:cs="Times New Roman"/>
          <w:color w:val="auto"/>
        </w:rPr>
        <w:t xml:space="preserve"> </w:t>
      </w:r>
      <w:r w:rsidRPr="005F40F5">
        <w:rPr>
          <w:rFonts w:cs="Times New Roman"/>
          <w:color w:val="auto"/>
        </w:rPr>
        <w:t xml:space="preserve"> </w:t>
      </w:r>
      <w:r w:rsidR="00560F12" w:rsidRPr="005F40F5">
        <w:rPr>
          <w:rFonts w:eastAsia="Calibri" w:cs="Times New Roman"/>
          <w:color w:val="auto"/>
          <w:szCs w:val="24"/>
        </w:rPr>
        <w:t xml:space="preserve">In the matter of the </w:t>
      </w:r>
      <w:r w:rsidR="0003571F" w:rsidRPr="005F40F5">
        <w:rPr>
          <w:rFonts w:eastAsia="Calibri" w:cs="Times New Roman"/>
          <w:color w:val="auto"/>
          <w:szCs w:val="24"/>
        </w:rPr>
        <w:t>lumbar spine</w:t>
      </w:r>
      <w:r w:rsidR="00560F12" w:rsidRPr="005F40F5">
        <w:rPr>
          <w:rFonts w:eastAsia="Calibri" w:cs="Times New Roman"/>
          <w:color w:val="auto"/>
          <w:szCs w:val="24"/>
        </w:rPr>
        <w:t xml:space="preserve"> condition and IAW VASRD §4.71a, the Board unanimously recommends no change in the PEB adjudication.  </w:t>
      </w:r>
      <w:r w:rsidR="0003571F" w:rsidRPr="005F40F5">
        <w:rPr>
          <w:rFonts w:eastAsia="Calibri" w:cs="Times New Roman"/>
          <w:color w:val="auto"/>
          <w:szCs w:val="24"/>
        </w:rPr>
        <w:t>There were no other conditions within the Board’s scope</w:t>
      </w:r>
      <w:r w:rsidR="0003571F" w:rsidRPr="003471C5">
        <w:rPr>
          <w:rFonts w:eastAsia="Calibri" w:cs="Times New Roman"/>
          <w:color w:val="auto"/>
          <w:szCs w:val="24"/>
        </w:rPr>
        <w:t xml:space="preserv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Default="00AD2379" w:rsidP="00B22D42">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recharacterization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5F40F5" w:rsidRDefault="00AD2379" w:rsidP="00BF0E94">
            <w:pPr>
              <w:tabs>
                <w:tab w:val="left" w:pos="288"/>
                <w:tab w:val="left" w:pos="4752"/>
              </w:tabs>
              <w:rPr>
                <w:b/>
                <w:color w:val="000000"/>
              </w:rPr>
            </w:pPr>
            <w:r w:rsidRPr="005F40F5">
              <w:rPr>
                <w:b/>
                <w:color w:val="000000"/>
              </w:rPr>
              <w:t>VASRD CODE</w:t>
            </w:r>
          </w:p>
        </w:tc>
        <w:tc>
          <w:tcPr>
            <w:tcW w:w="1026" w:type="dxa"/>
            <w:shd w:val="clear" w:color="auto" w:fill="D9D9D9"/>
            <w:vAlign w:val="center"/>
          </w:tcPr>
          <w:p w:rsidR="00AD2379" w:rsidRPr="005F40F5" w:rsidRDefault="00AD2379" w:rsidP="00BF0E94">
            <w:pPr>
              <w:tabs>
                <w:tab w:val="left" w:pos="288"/>
                <w:tab w:val="left" w:pos="4752"/>
              </w:tabs>
              <w:rPr>
                <w:b/>
                <w:color w:val="000000"/>
              </w:rPr>
            </w:pPr>
            <w:r w:rsidRPr="005F40F5">
              <w:rPr>
                <w:b/>
                <w:color w:val="000000"/>
              </w:rPr>
              <w:t>RATING</w:t>
            </w:r>
          </w:p>
        </w:tc>
      </w:tr>
      <w:tr w:rsidR="00AD2379" w:rsidRPr="000D5DBE" w:rsidTr="00C42AED">
        <w:trPr>
          <w:jc w:val="center"/>
        </w:trPr>
        <w:tc>
          <w:tcPr>
            <w:tcW w:w="6768" w:type="dxa"/>
            <w:vAlign w:val="center"/>
          </w:tcPr>
          <w:p w:rsidR="00AD2379" w:rsidRPr="000D5DBE" w:rsidRDefault="00370129" w:rsidP="00BF0E94">
            <w:pPr>
              <w:tabs>
                <w:tab w:val="left" w:pos="288"/>
                <w:tab w:val="left" w:pos="4752"/>
              </w:tabs>
              <w:jc w:val="left"/>
              <w:rPr>
                <w:color w:val="000000"/>
              </w:rPr>
            </w:pPr>
            <w:r>
              <w:rPr>
                <w:color w:val="000000"/>
              </w:rPr>
              <w:t>Lumbar Disc Disease with Residuals of Spinal Fusion</w:t>
            </w:r>
          </w:p>
        </w:tc>
        <w:tc>
          <w:tcPr>
            <w:tcW w:w="1530" w:type="dxa"/>
            <w:vAlign w:val="center"/>
          </w:tcPr>
          <w:p w:rsidR="00AD2379" w:rsidRPr="005F40F5" w:rsidRDefault="00370129" w:rsidP="00BF0E94">
            <w:pPr>
              <w:tabs>
                <w:tab w:val="left" w:pos="288"/>
                <w:tab w:val="left" w:pos="4752"/>
              </w:tabs>
              <w:rPr>
                <w:color w:val="000000"/>
              </w:rPr>
            </w:pPr>
            <w:r w:rsidRPr="005F40F5">
              <w:rPr>
                <w:color w:val="000000"/>
              </w:rPr>
              <w:t>5241</w:t>
            </w:r>
          </w:p>
        </w:tc>
        <w:tc>
          <w:tcPr>
            <w:tcW w:w="1026" w:type="dxa"/>
            <w:vAlign w:val="center"/>
          </w:tcPr>
          <w:p w:rsidR="00AD2379" w:rsidRPr="005F40F5" w:rsidRDefault="00370129" w:rsidP="00BF0E94">
            <w:pPr>
              <w:tabs>
                <w:tab w:val="left" w:pos="288"/>
                <w:tab w:val="left" w:pos="4752"/>
              </w:tabs>
              <w:rPr>
                <w:color w:val="000000"/>
              </w:rPr>
            </w:pPr>
            <w:r w:rsidRPr="005F40F5">
              <w:rPr>
                <w:color w:val="000000"/>
              </w:rPr>
              <w:t>2</w:t>
            </w:r>
            <w:r w:rsidR="00AD2379" w:rsidRPr="005F40F5">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5F40F5" w:rsidRDefault="00AD2379" w:rsidP="00BF0E94">
            <w:pPr>
              <w:tabs>
                <w:tab w:val="left" w:pos="288"/>
                <w:tab w:val="left" w:pos="4752"/>
              </w:tabs>
              <w:rPr>
                <w:b/>
                <w:color w:val="000000"/>
              </w:rPr>
            </w:pPr>
            <w:r w:rsidRPr="005F40F5">
              <w:rPr>
                <w:b/>
                <w:color w:val="000000"/>
              </w:rPr>
              <w:t>COMBINED</w:t>
            </w:r>
          </w:p>
        </w:tc>
        <w:tc>
          <w:tcPr>
            <w:tcW w:w="1026" w:type="dxa"/>
            <w:shd w:val="clear" w:color="auto" w:fill="D9D9D9"/>
            <w:vAlign w:val="center"/>
          </w:tcPr>
          <w:p w:rsidR="00AD2379" w:rsidRPr="005F40F5" w:rsidRDefault="00370129" w:rsidP="005F40F5">
            <w:pPr>
              <w:tabs>
                <w:tab w:val="left" w:pos="288"/>
                <w:tab w:val="left" w:pos="4752"/>
              </w:tabs>
              <w:rPr>
                <w:b/>
                <w:color w:val="000000"/>
              </w:rPr>
            </w:pPr>
            <w:r w:rsidRPr="005F40F5">
              <w:rPr>
                <w:b/>
                <w:color w:val="000000"/>
              </w:rPr>
              <w:t>2</w:t>
            </w:r>
            <w:r w:rsidR="00AD2379" w:rsidRPr="005F40F5">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083F67" w:rsidRPr="001F29F9">
        <w:rPr>
          <w:color w:val="000000" w:themeColor="text1"/>
          <w:szCs w:val="24"/>
        </w:rPr>
        <w:t>201</w:t>
      </w:r>
      <w:r w:rsidR="00083F67">
        <w:rPr>
          <w:color w:val="000000" w:themeColor="text1"/>
          <w:szCs w:val="24"/>
        </w:rPr>
        <w:t>10915</w:t>
      </w:r>
      <w:r w:rsidR="005F0F72">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5F0F72">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5F0F72">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4979AF">
        <w:rPr>
          <w:color w:val="000000"/>
        </w:rPr>
        <w:t>XXXXXXXXXXXXXXXXXXXXXXX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4979AF" w:rsidRDefault="00AD2379" w:rsidP="005F40F5">
      <w:pPr>
        <w:tabs>
          <w:tab w:val="left" w:pos="0"/>
          <w:tab w:val="left" w:pos="4320"/>
        </w:tabs>
        <w:jc w:val="both"/>
        <w:rPr>
          <w:color w:val="000000"/>
        </w:rPr>
      </w:pPr>
      <w:r w:rsidRPr="001F29F9">
        <w:rPr>
          <w:color w:val="000000"/>
        </w:rPr>
        <w:tab/>
        <w:t xml:space="preserve">           Physical Disability Board of Review</w:t>
      </w:r>
    </w:p>
    <w:p w:rsidR="004979AF" w:rsidRDefault="004979AF">
      <w:pPr>
        <w:spacing w:line="240" w:lineRule="auto"/>
        <w:jc w:val="left"/>
        <w:rPr>
          <w:color w:val="000000"/>
        </w:rPr>
      </w:pPr>
      <w:r>
        <w:rPr>
          <w:color w:val="000000"/>
        </w:rPr>
        <w:br w:type="page"/>
      </w:r>
    </w:p>
    <w:p w:rsidR="004979AF" w:rsidRDefault="004979AF" w:rsidP="004979AF">
      <w:pPr>
        <w:sectPr w:rsidR="004979AF">
          <w:pgSz w:w="12240" w:h="15840"/>
          <w:pgMar w:top="2160" w:right="1440" w:bottom="1440" w:left="1440" w:header="720" w:footer="720" w:gutter="0"/>
          <w:cols w:space="720"/>
        </w:sectPr>
      </w:pPr>
    </w:p>
    <w:p w:rsidR="004979AF" w:rsidRDefault="004979AF" w:rsidP="004979AF">
      <w:pPr>
        <w:pStyle w:val="Header"/>
        <w:tabs>
          <w:tab w:val="left" w:pos="720"/>
        </w:tabs>
        <w:jc w:val="left"/>
      </w:pPr>
      <w:r>
        <w:lastRenderedPageBreak/>
        <w:t>SFMR-RB</w:t>
      </w:r>
      <w:r>
        <w:tab/>
      </w:r>
      <w:r>
        <w:tab/>
      </w:r>
      <w:r>
        <w:tab/>
      </w:r>
      <w:r>
        <w:tab/>
      </w:r>
      <w:r>
        <w:tab/>
      </w:r>
      <w:r>
        <w:tab/>
      </w:r>
      <w:r>
        <w:tab/>
      </w:r>
      <w:r>
        <w:tab/>
      </w:r>
      <w:r>
        <w:tab/>
      </w:r>
    </w:p>
    <w:p w:rsidR="004979AF" w:rsidRDefault="004979AF" w:rsidP="004979AF">
      <w:pPr>
        <w:pStyle w:val="Header"/>
        <w:tabs>
          <w:tab w:val="left" w:pos="720"/>
        </w:tabs>
        <w:jc w:val="left"/>
      </w:pPr>
    </w:p>
    <w:p w:rsidR="004979AF" w:rsidRDefault="004979AF" w:rsidP="004979AF">
      <w:pPr>
        <w:jc w:val="left"/>
      </w:pPr>
    </w:p>
    <w:p w:rsidR="004979AF" w:rsidRDefault="004979AF" w:rsidP="004979AF">
      <w:pPr>
        <w:jc w:val="left"/>
      </w:pPr>
      <w:r>
        <w:t xml:space="preserve">MEMORANDUM FOR Commander, US Army Physical Disability Agency </w:t>
      </w:r>
    </w:p>
    <w:p w:rsidR="004979AF" w:rsidRDefault="004979AF" w:rsidP="004979AF">
      <w:pPr>
        <w:jc w:val="left"/>
      </w:pPr>
      <w:r>
        <w:t xml:space="preserve">(TAPD-ZB </w:t>
      </w:r>
      <w:proofErr w:type="gramStart"/>
      <w:r>
        <w:t>/  )</w:t>
      </w:r>
      <w:proofErr w:type="gramEnd"/>
      <w:r>
        <w:t>, WRAMC, Building 7, Washington, D.C.  20307-5001</w:t>
      </w:r>
    </w:p>
    <w:p w:rsidR="004979AF" w:rsidRDefault="004979AF" w:rsidP="004979AF">
      <w:pPr>
        <w:jc w:val="left"/>
      </w:pPr>
    </w:p>
    <w:p w:rsidR="004979AF" w:rsidRDefault="004979AF" w:rsidP="004979AF">
      <w:pPr>
        <w:ind w:right="-180"/>
        <w:jc w:val="left"/>
      </w:pPr>
      <w:r>
        <w:t>SUBJECT:  Department of Defense Physical Disability Board of Review Recommendation for XXXXXXXXXXXXXXXXXXXXXXXXXXXXXXXXXXX, AR20120015255 (PD201100860)</w:t>
      </w:r>
    </w:p>
    <w:p w:rsidR="004979AF" w:rsidRDefault="004979AF" w:rsidP="004979AF">
      <w:pPr>
        <w:pStyle w:val="Header"/>
        <w:tabs>
          <w:tab w:val="left" w:pos="720"/>
        </w:tabs>
        <w:jc w:val="left"/>
      </w:pPr>
    </w:p>
    <w:p w:rsidR="004979AF" w:rsidRDefault="004979AF" w:rsidP="004979AF">
      <w:pPr>
        <w:jc w:val="left"/>
      </w:pPr>
    </w:p>
    <w:p w:rsidR="004979AF" w:rsidRDefault="004979AF" w:rsidP="004979A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4979AF" w:rsidRDefault="004979AF" w:rsidP="004979AF">
      <w:pPr>
        <w:jc w:val="left"/>
      </w:pPr>
      <w:r>
        <w:t>This decision is final.  The individual concerned, counsel (if any), and any Members of Congress who have shown interest in this application have been notified of this decision by mail.</w:t>
      </w:r>
    </w:p>
    <w:p w:rsidR="004979AF" w:rsidRDefault="004979AF" w:rsidP="004979AF">
      <w:pPr>
        <w:jc w:val="left"/>
      </w:pPr>
    </w:p>
    <w:p w:rsidR="004979AF" w:rsidRDefault="004979AF" w:rsidP="004979AF">
      <w:pPr>
        <w:jc w:val="left"/>
      </w:pPr>
      <w:r>
        <w:t>BY ORDER OF THE SECRETARY OF THE ARMY:</w:t>
      </w:r>
    </w:p>
    <w:p w:rsidR="004979AF" w:rsidRDefault="004979AF" w:rsidP="004979AF">
      <w:pPr>
        <w:jc w:val="left"/>
      </w:pPr>
    </w:p>
    <w:p w:rsidR="004979AF" w:rsidRDefault="004979AF" w:rsidP="004979AF">
      <w:pPr>
        <w:jc w:val="left"/>
      </w:pPr>
    </w:p>
    <w:p w:rsidR="004979AF" w:rsidRDefault="004979AF" w:rsidP="004979AF">
      <w:pPr>
        <w:pStyle w:val="Header"/>
        <w:tabs>
          <w:tab w:val="left" w:pos="720"/>
        </w:tabs>
        <w:jc w:val="left"/>
      </w:pPr>
    </w:p>
    <w:p w:rsidR="004979AF" w:rsidRDefault="004979AF" w:rsidP="004979AF">
      <w:pPr>
        <w:jc w:val="left"/>
      </w:pPr>
    </w:p>
    <w:p w:rsidR="004979AF" w:rsidRDefault="004979AF" w:rsidP="004979AF">
      <w:pPr>
        <w:jc w:val="left"/>
      </w:pPr>
      <w:bookmarkStart w:id="1" w:name="OLE_LINK4"/>
      <w:bookmarkStart w:id="2" w:name="OLE_LINK3"/>
      <w:r>
        <w:t>Encl</w:t>
      </w:r>
      <w:r>
        <w:tab/>
      </w:r>
      <w:r>
        <w:tab/>
      </w:r>
      <w:r>
        <w:tab/>
      </w:r>
      <w:r>
        <w:tab/>
      </w:r>
      <w:r>
        <w:tab/>
      </w:r>
      <w:r>
        <w:tab/>
        <w:t xml:space="preserve">     XXXXXXXXXXXXXXXXXXXXXXXXX</w:t>
      </w:r>
    </w:p>
    <w:p w:rsidR="004979AF" w:rsidRDefault="004979AF" w:rsidP="004979AF">
      <w:pPr>
        <w:jc w:val="left"/>
      </w:pPr>
      <w:r>
        <w:tab/>
      </w:r>
      <w:r>
        <w:tab/>
      </w:r>
      <w:r>
        <w:tab/>
      </w:r>
      <w:r>
        <w:tab/>
      </w:r>
      <w:r>
        <w:tab/>
      </w:r>
      <w:r>
        <w:tab/>
        <w:t xml:space="preserve">     Deputy Assistant Secretary</w:t>
      </w:r>
    </w:p>
    <w:p w:rsidR="004979AF" w:rsidRDefault="004979AF" w:rsidP="004979AF">
      <w:pPr>
        <w:jc w:val="left"/>
      </w:pPr>
      <w:r>
        <w:tab/>
      </w:r>
      <w:r>
        <w:tab/>
      </w:r>
      <w:r>
        <w:tab/>
      </w:r>
      <w:r>
        <w:tab/>
      </w:r>
      <w:r>
        <w:tab/>
      </w:r>
      <w:r>
        <w:tab/>
        <w:t xml:space="preserve">         (Army Review Boards)</w:t>
      </w:r>
      <w:bookmarkEnd w:id="1"/>
      <w:bookmarkEnd w:id="2"/>
    </w:p>
    <w:p w:rsidR="004979AF" w:rsidRDefault="004979AF" w:rsidP="004979AF">
      <w:pPr>
        <w:jc w:val="left"/>
      </w:pPr>
    </w:p>
    <w:p w:rsidR="004979AF" w:rsidRDefault="004979AF" w:rsidP="004979AF">
      <w:pPr>
        <w:jc w:val="left"/>
      </w:pPr>
      <w:r>
        <w:t xml:space="preserve">CF: </w:t>
      </w:r>
    </w:p>
    <w:p w:rsidR="004979AF" w:rsidRDefault="004979AF" w:rsidP="004979AF">
      <w:pPr>
        <w:jc w:val="left"/>
      </w:pPr>
      <w:r>
        <w:t xml:space="preserve">(  ) </w:t>
      </w:r>
      <w:proofErr w:type="spellStart"/>
      <w:proofErr w:type="gramStart"/>
      <w:r>
        <w:t>DoD</w:t>
      </w:r>
      <w:proofErr w:type="spellEnd"/>
      <w:proofErr w:type="gramEnd"/>
      <w:r>
        <w:t xml:space="preserve"> PDBR</w:t>
      </w:r>
    </w:p>
    <w:p w:rsidR="004979AF" w:rsidRDefault="004979AF" w:rsidP="004979AF">
      <w:pPr>
        <w:jc w:val="left"/>
      </w:pPr>
      <w:r>
        <w:t>(  ) DVA</w:t>
      </w:r>
    </w:p>
    <w:p w:rsidR="004979AF" w:rsidRDefault="004979AF" w:rsidP="004979AF">
      <w:pPr>
        <w:jc w:val="left"/>
      </w:pPr>
    </w:p>
    <w:p w:rsidR="0060578D" w:rsidRPr="0060578D" w:rsidRDefault="0060578D" w:rsidP="005F40F5">
      <w:pPr>
        <w:tabs>
          <w:tab w:val="left" w:pos="0"/>
          <w:tab w:val="left" w:pos="4320"/>
        </w:tabs>
        <w:jc w:val="both"/>
        <w:rPr>
          <w:rFonts w:ascii="Times New Roman" w:hAnsi="Times New Roman" w:cs="Times New Roman"/>
          <w:color w:val="auto"/>
          <w:szCs w:val="24"/>
        </w:rPr>
      </w:pPr>
    </w:p>
    <w:p w:rsidR="00FE7EB9" w:rsidRPr="006235F5" w:rsidRDefault="00FE7EB9" w:rsidP="006235F5">
      <w:pPr>
        <w:tabs>
          <w:tab w:val="left" w:pos="288"/>
          <w:tab w:val="left" w:pos="4752"/>
        </w:tabs>
        <w:jc w:val="both"/>
        <w:rPr>
          <w:rFonts w:eastAsia="Calibri" w:cs="Times New Roman"/>
          <w:color w:val="auto"/>
          <w:szCs w:val="24"/>
        </w:rPr>
      </w:pPr>
    </w:p>
    <w:sectPr w:rsidR="00FE7EB9" w:rsidRPr="006235F5"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D0" w:rsidRDefault="003D29D0">
      <w:r>
        <w:separator/>
      </w:r>
    </w:p>
  </w:endnote>
  <w:endnote w:type="continuationSeparator" w:id="0">
    <w:p w:rsidR="003D29D0" w:rsidRDefault="003D29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Default="00AD2379" w:rsidP="00726F84">
    <w:pPr>
      <w:pStyle w:val="Footer"/>
      <w:ind w:firstLine="4320"/>
      <w:rPr>
        <w:color w:val="auto"/>
      </w:rPr>
    </w:pPr>
    <w:r w:rsidRPr="00374247">
      <w:rPr>
        <w:color w:val="auto"/>
      </w:rPr>
      <w:t xml:space="preserve">   </w:t>
    </w:r>
    <w:r w:rsidR="003D55B0" w:rsidRPr="003D55B0">
      <w:fldChar w:fldCharType="begin"/>
    </w:r>
    <w:r w:rsidR="003D29D0">
      <w:instrText xml:space="preserve"> PAGE   \* MERGEFORMAT </w:instrText>
    </w:r>
    <w:r w:rsidR="003D55B0" w:rsidRPr="003D55B0">
      <w:fldChar w:fldCharType="separate"/>
    </w:r>
    <w:r w:rsidR="004979AF" w:rsidRPr="004979AF">
      <w:rPr>
        <w:noProof/>
        <w:color w:val="auto"/>
      </w:rPr>
      <w:t>4</w:t>
    </w:r>
    <w:r w:rsidR="003D55B0">
      <w:rPr>
        <w:noProof/>
        <w:color w:val="auto"/>
      </w:rPr>
      <w:fldChar w:fldCharType="end"/>
    </w:r>
    <w:r w:rsidRPr="00374247">
      <w:rPr>
        <w:color w:val="auto"/>
      </w:rPr>
      <w:t xml:space="preserve">                                                           </w:t>
    </w:r>
    <w:r w:rsidRPr="001D64F3">
      <w:rPr>
        <w:color w:val="auto"/>
      </w:rPr>
      <w:t>PD1</w:t>
    </w:r>
    <w:r w:rsidRPr="009369A6">
      <w:rPr>
        <w:color w:val="auto"/>
      </w:rPr>
      <w:t>100</w:t>
    </w:r>
    <w:r w:rsidR="009A7088">
      <w:rPr>
        <w:color w:val="auto"/>
      </w:rPr>
      <w:t>860</w:t>
    </w:r>
  </w:p>
  <w:p w:rsidR="009A7088" w:rsidRPr="00374247" w:rsidRDefault="009A7088" w:rsidP="009A7088">
    <w:pPr>
      <w:pStyle w:val="Footer"/>
      <w:ind w:firstLine="4320"/>
      <w:jc w:val="both"/>
      <w:rPr>
        <w:color w:val="auto"/>
      </w:rPr>
    </w:pP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D0" w:rsidRDefault="003D29D0">
      <w:r>
        <w:separator/>
      </w:r>
    </w:p>
  </w:footnote>
  <w:footnote w:type="continuationSeparator" w:id="0">
    <w:p w:rsidR="003D29D0" w:rsidRDefault="003D2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71F"/>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67"/>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5BDE"/>
    <w:rsid w:val="001272AE"/>
    <w:rsid w:val="00130756"/>
    <w:rsid w:val="001315DD"/>
    <w:rsid w:val="0013358B"/>
    <w:rsid w:val="0013525F"/>
    <w:rsid w:val="00135385"/>
    <w:rsid w:val="00136204"/>
    <w:rsid w:val="001364D1"/>
    <w:rsid w:val="001374C7"/>
    <w:rsid w:val="00140FA4"/>
    <w:rsid w:val="00141BC9"/>
    <w:rsid w:val="001421FD"/>
    <w:rsid w:val="001425C8"/>
    <w:rsid w:val="00142EBA"/>
    <w:rsid w:val="00143AC7"/>
    <w:rsid w:val="00143B79"/>
    <w:rsid w:val="00143DEC"/>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19F2"/>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052"/>
    <w:rsid w:val="001B06FB"/>
    <w:rsid w:val="001B0B1A"/>
    <w:rsid w:val="001B20E6"/>
    <w:rsid w:val="001B4520"/>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3D22"/>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D7E65"/>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DC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216"/>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1C51"/>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384"/>
    <w:rsid w:val="00365767"/>
    <w:rsid w:val="003659C0"/>
    <w:rsid w:val="003660DF"/>
    <w:rsid w:val="003674A9"/>
    <w:rsid w:val="00367D4F"/>
    <w:rsid w:val="00370129"/>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9D0"/>
    <w:rsid w:val="003D2BA3"/>
    <w:rsid w:val="003D316B"/>
    <w:rsid w:val="003D371E"/>
    <w:rsid w:val="003D3C22"/>
    <w:rsid w:val="003D55B0"/>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3B2"/>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979AF"/>
    <w:rsid w:val="004A0BFF"/>
    <w:rsid w:val="004A0C79"/>
    <w:rsid w:val="004A1847"/>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65"/>
    <w:rsid w:val="004D5D82"/>
    <w:rsid w:val="004D6E90"/>
    <w:rsid w:val="004D6F2B"/>
    <w:rsid w:val="004E0248"/>
    <w:rsid w:val="004E21A3"/>
    <w:rsid w:val="004E32EA"/>
    <w:rsid w:val="004E3517"/>
    <w:rsid w:val="004E413B"/>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4AD2"/>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02A3"/>
    <w:rsid w:val="005E118E"/>
    <w:rsid w:val="005E1416"/>
    <w:rsid w:val="005E224F"/>
    <w:rsid w:val="005E3064"/>
    <w:rsid w:val="005E54DC"/>
    <w:rsid w:val="005E65DC"/>
    <w:rsid w:val="005E6AEE"/>
    <w:rsid w:val="005E72B2"/>
    <w:rsid w:val="005E79A0"/>
    <w:rsid w:val="005F097E"/>
    <w:rsid w:val="005F0F72"/>
    <w:rsid w:val="005F1115"/>
    <w:rsid w:val="005F1AB6"/>
    <w:rsid w:val="005F27F2"/>
    <w:rsid w:val="005F2B27"/>
    <w:rsid w:val="005F3567"/>
    <w:rsid w:val="005F3AFE"/>
    <w:rsid w:val="005F40F5"/>
    <w:rsid w:val="005F424D"/>
    <w:rsid w:val="005F4F57"/>
    <w:rsid w:val="005F5342"/>
    <w:rsid w:val="005F55F5"/>
    <w:rsid w:val="005F5EC1"/>
    <w:rsid w:val="005F67A9"/>
    <w:rsid w:val="005F6B6D"/>
    <w:rsid w:val="005F73CA"/>
    <w:rsid w:val="006002FE"/>
    <w:rsid w:val="006008F8"/>
    <w:rsid w:val="006030D3"/>
    <w:rsid w:val="006036C2"/>
    <w:rsid w:val="0060578D"/>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4E0A"/>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3D4"/>
    <w:rsid w:val="006D0931"/>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5F05"/>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25B9"/>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0D2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187"/>
    <w:rsid w:val="007A65A9"/>
    <w:rsid w:val="007A7FD8"/>
    <w:rsid w:val="007B0128"/>
    <w:rsid w:val="007B0635"/>
    <w:rsid w:val="007B0A06"/>
    <w:rsid w:val="007B0B24"/>
    <w:rsid w:val="007B0F8B"/>
    <w:rsid w:val="007B1C83"/>
    <w:rsid w:val="007B23B8"/>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39"/>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39A5"/>
    <w:rsid w:val="0097438A"/>
    <w:rsid w:val="00974647"/>
    <w:rsid w:val="00974A9B"/>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088"/>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04E"/>
    <w:rsid w:val="009E4C9B"/>
    <w:rsid w:val="009E4DFC"/>
    <w:rsid w:val="009E5789"/>
    <w:rsid w:val="009E57B1"/>
    <w:rsid w:val="009E6379"/>
    <w:rsid w:val="009F020F"/>
    <w:rsid w:val="009F3B63"/>
    <w:rsid w:val="009F43E2"/>
    <w:rsid w:val="009F491F"/>
    <w:rsid w:val="009F4DB3"/>
    <w:rsid w:val="009F6292"/>
    <w:rsid w:val="009F6EC5"/>
    <w:rsid w:val="009F7809"/>
    <w:rsid w:val="009F7822"/>
    <w:rsid w:val="009F7AF5"/>
    <w:rsid w:val="00A00613"/>
    <w:rsid w:val="00A006F1"/>
    <w:rsid w:val="00A007A7"/>
    <w:rsid w:val="00A00D14"/>
    <w:rsid w:val="00A00F9B"/>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11F"/>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2A8"/>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2DF2"/>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4BF"/>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7D"/>
    <w:rsid w:val="00B67E84"/>
    <w:rsid w:val="00B72076"/>
    <w:rsid w:val="00B72303"/>
    <w:rsid w:val="00B727A9"/>
    <w:rsid w:val="00B72C72"/>
    <w:rsid w:val="00B72ED9"/>
    <w:rsid w:val="00B731E4"/>
    <w:rsid w:val="00B751CE"/>
    <w:rsid w:val="00B75A8B"/>
    <w:rsid w:val="00B75B61"/>
    <w:rsid w:val="00B76796"/>
    <w:rsid w:val="00B76843"/>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2D6F"/>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755"/>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14"/>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0377"/>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0ABB"/>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377"/>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019"/>
    <w:rsid w:val="00FE2443"/>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2271125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2012-08-21T16:22:00Z</cp:lastPrinted>
  <dcterms:created xsi:type="dcterms:W3CDTF">2012-09-12T16:13:00Z</dcterms:created>
  <dcterms:modified xsi:type="dcterms:W3CDTF">2012-09-12T16:13:00Z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