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C857DF">
        <w:rPr>
          <w:caps/>
          <w:color w:val="000000" w:themeColor="text1"/>
        </w:rPr>
        <w:t>XXXXXXXXXX</w:t>
      </w:r>
      <w:r>
        <w:rPr>
          <w:caps/>
          <w:color w:val="000000" w:themeColor="text1"/>
        </w:rPr>
        <w:tab/>
        <w:t xml:space="preserve">                   </w:t>
      </w:r>
      <w:r w:rsidR="00197D9D">
        <w:rPr>
          <w:caps/>
          <w:color w:val="000000" w:themeColor="text1"/>
        </w:rPr>
        <w:t xml:space="preserve">    </w:t>
      </w:r>
      <w:r>
        <w:rPr>
          <w:caps/>
          <w:color w:val="000000" w:themeColor="text1"/>
        </w:rPr>
        <w:t xml:space="preserve">          </w:t>
      </w:r>
      <w:r w:rsidRPr="001F29F9">
        <w:rPr>
          <w:caps/>
          <w:color w:val="000000" w:themeColor="text1"/>
        </w:rPr>
        <w:t>BRANCH OF SERVICE</w:t>
      </w:r>
      <w:r w:rsidRPr="00BA4A38">
        <w:rPr>
          <w:caps/>
          <w:color w:val="000000" w:themeColor="text1"/>
        </w:rPr>
        <w:t xml:space="preserve">:  Army </w:t>
      </w:r>
    </w:p>
    <w:p w:rsidR="0095270D" w:rsidRDefault="0095270D" w:rsidP="0095270D">
      <w:pPr>
        <w:tabs>
          <w:tab w:val="left" w:pos="288"/>
          <w:tab w:val="left" w:pos="5130"/>
        </w:tabs>
        <w:jc w:val="both"/>
        <w:rPr>
          <w:color w:val="000000" w:themeColor="text1"/>
        </w:rPr>
      </w:pPr>
      <w:r w:rsidRPr="001F29F9">
        <w:rPr>
          <w:caps/>
          <w:color w:val="000000" w:themeColor="text1"/>
        </w:rPr>
        <w:t xml:space="preserve">CASE NUMBER:  </w:t>
      </w:r>
      <w:r w:rsidR="00595318" w:rsidRPr="001F29F9">
        <w:rPr>
          <w:caps/>
          <w:color w:val="000000" w:themeColor="text1"/>
        </w:rPr>
        <w:t>PD</w:t>
      </w:r>
      <w:r w:rsidR="00595318" w:rsidRPr="009807E2">
        <w:rPr>
          <w:caps/>
          <w:color w:val="000000" w:themeColor="text1"/>
        </w:rPr>
        <w:t>1100859</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w:t>
      </w:r>
      <w:r w:rsidR="00595318" w:rsidRPr="001F29F9">
        <w:rPr>
          <w:color w:val="000000" w:themeColor="text1"/>
        </w:rPr>
        <w:t>200</w:t>
      </w:r>
      <w:r w:rsidR="00595318">
        <w:rPr>
          <w:color w:val="000000" w:themeColor="text1"/>
        </w:rPr>
        <w:t>80725</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F828FE">
        <w:rPr>
          <w:caps/>
          <w:color w:val="000000"/>
        </w:rPr>
        <w:t>0412</w:t>
      </w:r>
      <w:r w:rsidRPr="001F29F9">
        <w:rPr>
          <w:caps/>
          <w:color w:val="000000"/>
        </w:rPr>
        <w:t xml:space="preserve">         </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Default="00AD2379"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AC5376">
        <w:rPr>
          <w:color w:val="000000" w:themeColor="text1"/>
          <w:szCs w:val="24"/>
        </w:rPr>
        <w:t>SPC/E4</w:t>
      </w:r>
      <w:r w:rsidRPr="001F29F9">
        <w:rPr>
          <w:color w:val="000000"/>
        </w:rPr>
        <w:t xml:space="preserve"> (</w:t>
      </w:r>
      <w:r w:rsidR="00AC5376">
        <w:rPr>
          <w:color w:val="000000" w:themeColor="text1"/>
          <w:szCs w:val="24"/>
        </w:rPr>
        <w:t>68W, Health Care Specialist</w:t>
      </w:r>
      <w:r w:rsidR="00A70270">
        <w:rPr>
          <w:color w:val="000000"/>
        </w:rPr>
        <w:t xml:space="preserve">) </w:t>
      </w:r>
      <w:r w:rsidRPr="001F29F9">
        <w:rPr>
          <w:color w:val="000000"/>
        </w:rPr>
        <w:t xml:space="preserve">medically separated for </w:t>
      </w:r>
      <w:r w:rsidR="00AC5376">
        <w:rPr>
          <w:color w:val="000000"/>
        </w:rPr>
        <w:t>lumbar disc disease</w:t>
      </w:r>
      <w:r w:rsidRPr="001F29F9">
        <w:rPr>
          <w:color w:val="000000"/>
        </w:rPr>
        <w:t xml:space="preserve">. </w:t>
      </w:r>
      <w:r w:rsidR="00261B7E">
        <w:rPr>
          <w:color w:val="000000"/>
        </w:rPr>
        <w:t xml:space="preserve"> </w:t>
      </w:r>
      <w:r w:rsidR="00AC5376">
        <w:rPr>
          <w:color w:val="000000"/>
        </w:rPr>
        <w:t>He injured his back in 2007</w:t>
      </w:r>
      <w:r w:rsidR="00F828FE">
        <w:rPr>
          <w:color w:val="000000"/>
        </w:rPr>
        <w:t>,</w:t>
      </w:r>
      <w:r w:rsidR="00AC5376">
        <w:rPr>
          <w:color w:val="000000"/>
        </w:rPr>
        <w:t xml:space="preserve"> and was subsequently diagnosed with a bulging disc </w:t>
      </w:r>
      <w:r w:rsidR="00F828FE">
        <w:rPr>
          <w:color w:val="000000"/>
        </w:rPr>
        <w:t>causing</w:t>
      </w:r>
      <w:r w:rsidR="0027107D">
        <w:rPr>
          <w:color w:val="000000"/>
        </w:rPr>
        <w:t xml:space="preserve"> nerve root compression at L4-5</w:t>
      </w:r>
      <w:r w:rsidR="00AC5376">
        <w:rPr>
          <w:color w:val="000000"/>
        </w:rPr>
        <w:t xml:space="preserve">.  Surgical intervention was deferred and conservative treatment pursued.  The spine condition, however, </w:t>
      </w:r>
      <w:r w:rsidR="00F566B7" w:rsidRPr="00F566B7">
        <w:rPr>
          <w:color w:val="000000"/>
        </w:rPr>
        <w:t>could not be adequately rehabilitated to meet the physical requirements of his Military Occupational Specialty (MOS) or satis</w:t>
      </w:r>
      <w:r w:rsidR="009C12A1">
        <w:rPr>
          <w:color w:val="000000"/>
        </w:rPr>
        <w:t>fy physical fitness standards.</w:t>
      </w:r>
      <w:r w:rsidR="00F566B7" w:rsidRPr="00F566B7">
        <w:rPr>
          <w:color w:val="000000"/>
        </w:rPr>
        <w:t xml:space="preserve"> </w:t>
      </w:r>
      <w:r w:rsidR="009C12A1">
        <w:rPr>
          <w:color w:val="000000"/>
        </w:rPr>
        <w:t xml:space="preserve"> He </w:t>
      </w:r>
      <w:r w:rsidR="00F566B7" w:rsidRPr="00F566B7">
        <w:rPr>
          <w:color w:val="000000"/>
        </w:rPr>
        <w:t xml:space="preserve">was </w:t>
      </w:r>
      <w:r w:rsidR="009C12A1">
        <w:rPr>
          <w:color w:val="000000"/>
        </w:rPr>
        <w:t xml:space="preserve">thus </w:t>
      </w:r>
      <w:r w:rsidR="00F566B7" w:rsidRPr="00F566B7">
        <w:rPr>
          <w:color w:val="000000"/>
        </w:rPr>
        <w:t>issued a permanent L3 profile and</w:t>
      </w:r>
      <w:r w:rsidR="009C12A1">
        <w:rPr>
          <w:color w:val="000000"/>
        </w:rPr>
        <w:t xml:space="preserve"> </w:t>
      </w:r>
      <w:r w:rsidR="00F566B7" w:rsidRPr="00F566B7">
        <w:rPr>
          <w:color w:val="000000"/>
        </w:rPr>
        <w:t xml:space="preserve">referred for a Medical Evaluation Board (MEB).  The </w:t>
      </w:r>
      <w:r w:rsidR="00AC5376">
        <w:rPr>
          <w:color w:val="000000"/>
        </w:rPr>
        <w:t>lumbar spine</w:t>
      </w:r>
      <w:r w:rsidR="00F566B7" w:rsidRPr="00F566B7">
        <w:rPr>
          <w:color w:val="000000"/>
        </w:rPr>
        <w:t xml:space="preserve"> condition characterized as “</w:t>
      </w:r>
      <w:r w:rsidR="00AC5376">
        <w:rPr>
          <w:color w:val="000000"/>
        </w:rPr>
        <w:t>lumbar degenerative disc disease, L4-5, with chronic lumbago, spondylosis L4-L5, L5-S1 with multilevel facet hypertrophy and L5 left nerve root impingement</w:t>
      </w:r>
      <w:r w:rsidR="00F566B7" w:rsidRPr="00F566B7">
        <w:rPr>
          <w:color w:val="000000"/>
        </w:rPr>
        <w:t>”</w:t>
      </w:r>
      <w:r w:rsidR="00AC5376">
        <w:rPr>
          <w:color w:val="000000"/>
        </w:rPr>
        <w:t xml:space="preserve"> </w:t>
      </w:r>
      <w:r w:rsidR="00F566B7" w:rsidRPr="00F566B7">
        <w:rPr>
          <w:color w:val="000000"/>
        </w:rPr>
        <w:t>was forwarded to the Physical Evaluation Board (PEB) as medically unacceptable IAW AR 40-501.  No other conditions were submitted by the MEB; but, other conditions</w:t>
      </w:r>
      <w:r w:rsidR="00380601">
        <w:rPr>
          <w:color w:val="000000"/>
        </w:rPr>
        <w:t>, contended or</w:t>
      </w:r>
      <w:r w:rsidR="00F566B7" w:rsidRPr="00F566B7">
        <w:rPr>
          <w:color w:val="000000"/>
        </w:rPr>
        <w:t xml:space="preserve"> evidenced in the Disability Evaluation System (DES) file, are addressed below.</w:t>
      </w:r>
      <w:r w:rsidR="00F566B7">
        <w:rPr>
          <w:color w:val="000000"/>
        </w:rPr>
        <w:t xml:space="preserve">  </w:t>
      </w:r>
      <w:r w:rsidRPr="001F29F9">
        <w:rPr>
          <w:color w:val="000000"/>
        </w:rPr>
        <w:t xml:space="preserve">The </w:t>
      </w:r>
      <w:r w:rsidRPr="00726F84">
        <w:rPr>
          <w:color w:val="000000"/>
        </w:rPr>
        <w:t xml:space="preserve">PEB adjudicated the </w:t>
      </w:r>
      <w:r w:rsidR="00D16BEB">
        <w:rPr>
          <w:color w:val="000000"/>
        </w:rPr>
        <w:t>lumbar spine</w:t>
      </w:r>
      <w:r w:rsidRPr="00726F84">
        <w:rPr>
          <w:color w:val="000000"/>
        </w:rPr>
        <w:t xml:space="preserve"> condition as unfitting, rated 20%, </w:t>
      </w:r>
      <w:r w:rsidR="00261B7E">
        <w:rPr>
          <w:color w:val="000000"/>
        </w:rPr>
        <w:t>citing criteria of</w:t>
      </w:r>
      <w:r w:rsidRPr="00726F84">
        <w:rPr>
          <w:color w:val="000000"/>
        </w:rPr>
        <w:t xml:space="preserve"> the </w:t>
      </w:r>
      <w:r w:rsidRPr="009A7578">
        <w:rPr>
          <w:color w:val="000000"/>
        </w:rPr>
        <w:t>Veterans Administration Schedule for Rating Disabilities (VASRD)</w:t>
      </w:r>
      <w:r w:rsidRPr="00726F84">
        <w:rPr>
          <w:color w:val="000000"/>
        </w:rPr>
        <w:t>.</w:t>
      </w:r>
      <w:r w:rsidRPr="001F29F9">
        <w:rPr>
          <w:color w:val="000000"/>
        </w:rPr>
        <w:t xml:space="preserve"> </w:t>
      </w:r>
      <w:r w:rsidR="00261B7E">
        <w:rPr>
          <w:color w:val="000000"/>
        </w:rPr>
        <w:t xml:space="preserve"> </w:t>
      </w:r>
      <w:r w:rsidRPr="001F29F9">
        <w:rPr>
          <w:color w:val="000000"/>
        </w:rPr>
        <w:t xml:space="preserve">The CI made no appeals, and was medically </w:t>
      </w:r>
      <w:r w:rsidRPr="00726F84">
        <w:rPr>
          <w:color w:val="000000"/>
        </w:rPr>
        <w:t xml:space="preserve">separated with </w:t>
      </w:r>
      <w:r w:rsidR="00197D9D">
        <w:rPr>
          <w:color w:val="000000"/>
        </w:rPr>
        <w:t>a 20%</w:t>
      </w:r>
      <w:r w:rsidRPr="001F29F9">
        <w:rPr>
          <w:color w:val="000000"/>
        </w:rPr>
        <w:t xml:space="preserve"> disability rating.</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DB21EB">
        <w:rPr>
          <w:color w:val="000000" w:themeColor="text1"/>
        </w:rPr>
        <w:t xml:space="preserve">EMG results prior to discharge not considered in PEB show persistent, chronic neuropathic process.  </w:t>
      </w:r>
      <w:proofErr w:type="gramStart"/>
      <w:r w:rsidR="00DB21EB">
        <w:rPr>
          <w:color w:val="000000" w:themeColor="text1"/>
        </w:rPr>
        <w:t>Continued weakness in both legs causing severe limitations in daily activities.</w:t>
      </w:r>
      <w:proofErr w:type="gramEnd"/>
      <w:r w:rsidR="00DB21EB">
        <w:rPr>
          <w:color w:val="000000" w:themeColor="text1"/>
        </w:rPr>
        <w:t xml:space="preserve">  High cholesterol and hypertension not included in combined rating.  No combined rating done.  Neuropathy being treated since before discharge not included in rating.  Loss of range of motion not included.  I believe that the EMG results requested by the PEB on 4 March 2008 were not considered as the PEB made 20% determination specifying DDD without motor neurologic deficits.  Neuropathy was original complaint and more seriously limiting condition.</w:t>
      </w:r>
      <w:r w:rsidR="00773C45">
        <w:rPr>
          <w:color w:val="000000"/>
        </w:rPr>
        <w:t>”</w:t>
      </w:r>
      <w:r w:rsidR="004A2728">
        <w:rPr>
          <w:color w:val="000000"/>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808"/>
        <w:gridCol w:w="1080"/>
        <w:gridCol w:w="720"/>
        <w:gridCol w:w="2430"/>
        <w:gridCol w:w="630"/>
        <w:gridCol w:w="720"/>
        <w:gridCol w:w="960"/>
      </w:tblGrid>
      <w:tr w:rsidR="00926C0A" w:rsidRPr="000D5DBE" w:rsidTr="00595318">
        <w:trPr>
          <w:trHeight w:val="170"/>
        </w:trPr>
        <w:tc>
          <w:tcPr>
            <w:tcW w:w="4608" w:type="dxa"/>
            <w:gridSpan w:val="3"/>
            <w:tcBorders>
              <w:right w:val="thinThickThinSmallGap" w:sz="24" w:space="0" w:color="auto"/>
            </w:tcBorders>
            <w:shd w:val="clear" w:color="auto" w:fill="D9D9D9"/>
            <w:vAlign w:val="center"/>
          </w:tcPr>
          <w:p w:rsidR="00926C0A" w:rsidRPr="00947728" w:rsidRDefault="00926C0A" w:rsidP="00926C0A">
            <w:pPr>
              <w:contextualSpacing/>
              <w:rPr>
                <w:rFonts w:cs="Calibri"/>
                <w:b/>
                <w:color w:val="auto"/>
                <w:sz w:val="18"/>
              </w:rPr>
            </w:pPr>
            <w:r w:rsidRPr="00947728">
              <w:rPr>
                <w:b/>
                <w:color w:val="auto"/>
                <w:sz w:val="18"/>
              </w:rPr>
              <w:t xml:space="preserve">Service IPEB – Dated </w:t>
            </w:r>
            <w:r w:rsidR="00595318" w:rsidRPr="001F29F9">
              <w:rPr>
                <w:rFonts w:cs="Calibri"/>
                <w:b/>
                <w:color w:val="000000" w:themeColor="text1"/>
                <w:sz w:val="18"/>
                <w:szCs w:val="18"/>
              </w:rPr>
              <w:t>200</w:t>
            </w:r>
            <w:r w:rsidR="00595318">
              <w:rPr>
                <w:rFonts w:cs="Calibri"/>
                <w:b/>
                <w:color w:val="000000" w:themeColor="text1"/>
                <w:sz w:val="18"/>
                <w:szCs w:val="18"/>
              </w:rPr>
              <w:t>80328</w:t>
            </w:r>
          </w:p>
        </w:tc>
        <w:tc>
          <w:tcPr>
            <w:tcW w:w="4740" w:type="dxa"/>
            <w:gridSpan w:val="4"/>
            <w:tcBorders>
              <w:left w:val="thinThickThinSmallGap" w:sz="24" w:space="0" w:color="auto"/>
            </w:tcBorders>
            <w:shd w:val="clear" w:color="auto" w:fill="D9D9D9"/>
            <w:vAlign w:val="center"/>
          </w:tcPr>
          <w:p w:rsidR="00926C0A" w:rsidRPr="00947728" w:rsidRDefault="00D473B0" w:rsidP="00926C0A">
            <w:pPr>
              <w:contextualSpacing/>
              <w:rPr>
                <w:rFonts w:cs="Calibri"/>
                <w:b/>
                <w:color w:val="auto"/>
                <w:sz w:val="18"/>
              </w:rPr>
            </w:pPr>
            <w:r>
              <w:rPr>
                <w:b/>
                <w:color w:val="auto"/>
                <w:sz w:val="18"/>
              </w:rPr>
              <w:t>VA (7</w:t>
            </w:r>
            <w:r w:rsidR="00926C0A" w:rsidRPr="00947728">
              <w:rPr>
                <w:b/>
                <w:color w:val="auto"/>
                <w:sz w:val="18"/>
              </w:rPr>
              <w:t xml:space="preserve"> Mo. Post-Separation) – All Effective Date </w:t>
            </w:r>
            <w:r w:rsidR="00595318" w:rsidRPr="001F29F9">
              <w:rPr>
                <w:rFonts w:cs="Calibri"/>
                <w:b/>
                <w:color w:val="000000" w:themeColor="text1"/>
                <w:sz w:val="18"/>
                <w:szCs w:val="18"/>
              </w:rPr>
              <w:t>200</w:t>
            </w:r>
            <w:r w:rsidR="00595318">
              <w:rPr>
                <w:rFonts w:cs="Calibri"/>
                <w:b/>
                <w:color w:val="000000" w:themeColor="text1"/>
                <w:sz w:val="18"/>
                <w:szCs w:val="18"/>
              </w:rPr>
              <w:t>80726</w:t>
            </w:r>
          </w:p>
        </w:tc>
      </w:tr>
      <w:tr w:rsidR="00261B7E" w:rsidRPr="000D5DBE" w:rsidTr="00595318">
        <w:trPr>
          <w:trHeight w:val="97"/>
        </w:trPr>
        <w:tc>
          <w:tcPr>
            <w:tcW w:w="2808" w:type="dxa"/>
            <w:tcBorders>
              <w:righ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1080" w:type="dxa"/>
            <w:tcBorders>
              <w:lef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2430" w:type="dxa"/>
            <w:tcBorders>
              <w:lef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63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Exam</w:t>
            </w:r>
          </w:p>
        </w:tc>
      </w:tr>
      <w:tr w:rsidR="00595318" w:rsidRPr="000D5DBE" w:rsidTr="00595318">
        <w:trPr>
          <w:trHeight w:val="118"/>
        </w:trPr>
        <w:tc>
          <w:tcPr>
            <w:tcW w:w="2808" w:type="dxa"/>
            <w:tcBorders>
              <w:right w:val="single" w:sz="4" w:space="0" w:color="auto"/>
            </w:tcBorders>
            <w:shd w:val="clear" w:color="auto" w:fill="FFFFFF"/>
            <w:vAlign w:val="center"/>
          </w:tcPr>
          <w:p w:rsidR="00595318" w:rsidRPr="001F29F9" w:rsidRDefault="00595318" w:rsidP="00595318">
            <w:pPr>
              <w:spacing w:line="220" w:lineRule="exact"/>
              <w:contextualSpacing/>
              <w:jc w:val="left"/>
              <w:rPr>
                <w:rFonts w:cs="Calibri"/>
                <w:color w:val="000000"/>
                <w:sz w:val="18"/>
              </w:rPr>
            </w:pPr>
            <w:r>
              <w:rPr>
                <w:rFonts w:cs="Calibri"/>
                <w:color w:val="000000"/>
                <w:sz w:val="18"/>
              </w:rPr>
              <w:t xml:space="preserve">Lumbar DDD w/o </w:t>
            </w:r>
            <w:proofErr w:type="spellStart"/>
            <w:r>
              <w:rPr>
                <w:rFonts w:cs="Calibri"/>
                <w:color w:val="000000"/>
                <w:sz w:val="18"/>
              </w:rPr>
              <w:t>Neuro</w:t>
            </w:r>
            <w:proofErr w:type="spellEnd"/>
            <w:r>
              <w:rPr>
                <w:rFonts w:cs="Calibri"/>
                <w:color w:val="000000"/>
                <w:sz w:val="18"/>
              </w:rPr>
              <w:t xml:space="preserve"> Deficits</w:t>
            </w:r>
          </w:p>
        </w:tc>
        <w:tc>
          <w:tcPr>
            <w:tcW w:w="1080" w:type="dxa"/>
            <w:tcBorders>
              <w:left w:val="single" w:sz="4" w:space="0" w:color="auto"/>
            </w:tcBorders>
            <w:shd w:val="clear" w:color="auto" w:fill="FFFFFF"/>
            <w:vAlign w:val="center"/>
          </w:tcPr>
          <w:p w:rsidR="00595318" w:rsidRPr="001F29F9" w:rsidRDefault="00595318" w:rsidP="00595318">
            <w:pPr>
              <w:spacing w:line="180" w:lineRule="exact"/>
              <w:contextualSpacing/>
              <w:rPr>
                <w:rFonts w:cs="Calibri"/>
                <w:color w:val="000000" w:themeColor="text1"/>
                <w:sz w:val="18"/>
                <w:szCs w:val="18"/>
              </w:rPr>
            </w:pPr>
            <w:r>
              <w:rPr>
                <w:rFonts w:cs="Calibri"/>
                <w:color w:val="000000" w:themeColor="text1"/>
                <w:sz w:val="18"/>
                <w:szCs w:val="18"/>
              </w:rPr>
              <w:t>5299-5242</w:t>
            </w:r>
          </w:p>
        </w:tc>
        <w:tc>
          <w:tcPr>
            <w:tcW w:w="720" w:type="dxa"/>
            <w:tcBorders>
              <w:right w:val="thinThickThinSmallGap" w:sz="24" w:space="0" w:color="auto"/>
            </w:tcBorders>
            <w:shd w:val="clear" w:color="auto" w:fill="FFFFFF"/>
            <w:vAlign w:val="center"/>
          </w:tcPr>
          <w:p w:rsidR="00595318" w:rsidRPr="001F29F9" w:rsidRDefault="00595318" w:rsidP="00595318">
            <w:pPr>
              <w:spacing w:line="180" w:lineRule="exact"/>
              <w:rPr>
                <w:rFonts w:cs="Calibri"/>
                <w:color w:val="000000" w:themeColor="text1"/>
                <w:sz w:val="18"/>
                <w:szCs w:val="18"/>
              </w:rPr>
            </w:pPr>
            <w:r>
              <w:rPr>
                <w:rFonts w:cs="Calibri"/>
                <w:color w:val="000000" w:themeColor="text1"/>
                <w:sz w:val="18"/>
                <w:szCs w:val="18"/>
              </w:rPr>
              <w:t>20%</w:t>
            </w:r>
          </w:p>
        </w:tc>
        <w:tc>
          <w:tcPr>
            <w:tcW w:w="2430" w:type="dxa"/>
            <w:tcBorders>
              <w:left w:val="thinThickThinSmallGap" w:sz="24" w:space="0" w:color="auto"/>
            </w:tcBorders>
            <w:shd w:val="clear" w:color="auto" w:fill="FFFFFF"/>
            <w:vAlign w:val="center"/>
          </w:tcPr>
          <w:p w:rsidR="00595318" w:rsidRPr="001F29F9" w:rsidRDefault="00595318" w:rsidP="00595318">
            <w:pPr>
              <w:spacing w:line="220" w:lineRule="exact"/>
              <w:contextualSpacing/>
              <w:jc w:val="left"/>
              <w:rPr>
                <w:rFonts w:cs="Calibri"/>
                <w:color w:val="000000"/>
                <w:sz w:val="18"/>
              </w:rPr>
            </w:pPr>
            <w:r>
              <w:rPr>
                <w:rFonts w:cs="Calibri"/>
                <w:color w:val="000000"/>
                <w:sz w:val="18"/>
              </w:rPr>
              <w:t>Lumbar DDD</w:t>
            </w:r>
          </w:p>
        </w:tc>
        <w:tc>
          <w:tcPr>
            <w:tcW w:w="630" w:type="dxa"/>
            <w:shd w:val="clear" w:color="auto" w:fill="FFFFFF"/>
            <w:vAlign w:val="center"/>
          </w:tcPr>
          <w:p w:rsidR="00595318" w:rsidRPr="001F29F9" w:rsidRDefault="00595318" w:rsidP="00595318">
            <w:pPr>
              <w:spacing w:line="180" w:lineRule="exact"/>
              <w:contextualSpacing/>
              <w:rPr>
                <w:rFonts w:cs="Calibri"/>
                <w:color w:val="000000" w:themeColor="text1"/>
                <w:sz w:val="18"/>
                <w:szCs w:val="18"/>
              </w:rPr>
            </w:pPr>
            <w:r>
              <w:rPr>
                <w:rFonts w:cs="Calibri"/>
                <w:color w:val="000000" w:themeColor="text1"/>
                <w:sz w:val="18"/>
                <w:szCs w:val="18"/>
              </w:rPr>
              <w:t>5242</w:t>
            </w:r>
          </w:p>
        </w:tc>
        <w:tc>
          <w:tcPr>
            <w:tcW w:w="720" w:type="dxa"/>
            <w:shd w:val="clear" w:color="auto" w:fill="FFFFFF"/>
            <w:vAlign w:val="center"/>
          </w:tcPr>
          <w:p w:rsidR="00595318" w:rsidRPr="001F29F9" w:rsidRDefault="00595318" w:rsidP="00595318">
            <w:pPr>
              <w:spacing w:line="180" w:lineRule="exact"/>
              <w:contextualSpacing/>
              <w:rPr>
                <w:rFonts w:cs="Calibri"/>
                <w:color w:val="000000" w:themeColor="text1"/>
                <w:sz w:val="18"/>
                <w:szCs w:val="18"/>
              </w:rPr>
            </w:pPr>
            <w:r>
              <w:rPr>
                <w:rFonts w:cs="Calibri"/>
                <w:color w:val="000000" w:themeColor="text1"/>
                <w:sz w:val="18"/>
                <w:szCs w:val="18"/>
              </w:rPr>
              <w:t>20%</w:t>
            </w:r>
          </w:p>
        </w:tc>
        <w:tc>
          <w:tcPr>
            <w:tcW w:w="960" w:type="dxa"/>
            <w:shd w:val="clear" w:color="auto" w:fill="FFFFFF"/>
            <w:vAlign w:val="center"/>
          </w:tcPr>
          <w:p w:rsidR="00595318" w:rsidRPr="001F29F9" w:rsidRDefault="00595318" w:rsidP="00595318">
            <w:pPr>
              <w:spacing w:line="220" w:lineRule="exact"/>
              <w:contextualSpacing/>
              <w:rPr>
                <w:rFonts w:cs="Calibri"/>
                <w:color w:val="000000"/>
                <w:sz w:val="18"/>
              </w:rPr>
            </w:pPr>
            <w:r w:rsidRPr="001F29F9">
              <w:rPr>
                <w:rFonts w:cs="Calibri"/>
                <w:color w:val="000000" w:themeColor="text1"/>
                <w:sz w:val="18"/>
                <w:szCs w:val="18"/>
              </w:rPr>
              <w:t>200</w:t>
            </w:r>
            <w:r>
              <w:rPr>
                <w:rFonts w:cs="Calibri"/>
                <w:color w:val="000000" w:themeColor="text1"/>
                <w:sz w:val="18"/>
                <w:szCs w:val="18"/>
              </w:rPr>
              <w:t>90202</w:t>
            </w:r>
          </w:p>
        </w:tc>
      </w:tr>
      <w:tr w:rsidR="00AD2379" w:rsidRPr="000D5DBE" w:rsidTr="00595318">
        <w:trPr>
          <w:trHeight w:val="172"/>
        </w:trPr>
        <w:tc>
          <w:tcPr>
            <w:tcW w:w="4608" w:type="dxa"/>
            <w:gridSpan w:val="3"/>
            <w:tcBorders>
              <w:right w:val="thinThickThinSmallGap" w:sz="24" w:space="0" w:color="auto"/>
            </w:tcBorders>
            <w:shd w:val="clear" w:color="auto" w:fill="FFFFFF"/>
            <w:vAlign w:val="center"/>
          </w:tcPr>
          <w:p w:rsidR="00AD2379" w:rsidRPr="001F29F9" w:rsidRDefault="00AD2379" w:rsidP="001968BB">
            <w:pPr>
              <w:spacing w:line="220" w:lineRule="exact"/>
              <w:contextualSpacing/>
              <w:rPr>
                <w:rFonts w:cs="Calibri"/>
                <w:color w:val="000000"/>
                <w:sz w:val="18"/>
              </w:rPr>
            </w:pPr>
            <w:r w:rsidRPr="000D5DBE">
              <w:rPr>
                <w:color w:val="000000"/>
                <w:sz w:val="18"/>
              </w:rPr>
              <w:t>No Additional MEB/PEB Entries</w:t>
            </w:r>
          </w:p>
        </w:tc>
        <w:tc>
          <w:tcPr>
            <w:tcW w:w="3780" w:type="dxa"/>
            <w:gridSpan w:val="3"/>
            <w:tcBorders>
              <w:left w:val="thinThickThinSmallGap" w:sz="24" w:space="0" w:color="auto"/>
            </w:tcBorders>
            <w:shd w:val="clear" w:color="auto" w:fill="FFFFFF"/>
            <w:vAlign w:val="center"/>
          </w:tcPr>
          <w:p w:rsidR="00AD2379" w:rsidRPr="001F29F9" w:rsidRDefault="0069687C" w:rsidP="00595318">
            <w:pPr>
              <w:spacing w:line="220" w:lineRule="exact"/>
              <w:contextualSpacing/>
              <w:rPr>
                <w:rFonts w:cs="Calibri"/>
                <w:color w:val="000000"/>
                <w:sz w:val="18"/>
              </w:rPr>
            </w:pPr>
            <w:r>
              <w:rPr>
                <w:color w:val="000000"/>
                <w:sz w:val="18"/>
              </w:rPr>
              <w:t xml:space="preserve">0% X </w:t>
            </w:r>
            <w:r w:rsidR="00595318">
              <w:rPr>
                <w:color w:val="000000"/>
                <w:sz w:val="18"/>
              </w:rPr>
              <w:t>3</w:t>
            </w:r>
          </w:p>
        </w:tc>
        <w:tc>
          <w:tcPr>
            <w:tcW w:w="960" w:type="dxa"/>
            <w:shd w:val="clear" w:color="auto" w:fill="FFFFFF"/>
            <w:vAlign w:val="center"/>
          </w:tcPr>
          <w:p w:rsidR="00AD2379" w:rsidRPr="001F29F9" w:rsidRDefault="00595318" w:rsidP="001968BB">
            <w:pPr>
              <w:spacing w:line="220" w:lineRule="exact"/>
              <w:contextualSpacing/>
              <w:rPr>
                <w:rFonts w:cs="Calibri"/>
                <w:color w:val="000000"/>
                <w:sz w:val="18"/>
              </w:rPr>
            </w:pPr>
            <w:r w:rsidRPr="001F29F9">
              <w:rPr>
                <w:rFonts w:cs="Calibri"/>
                <w:color w:val="000000" w:themeColor="text1"/>
                <w:sz w:val="18"/>
                <w:szCs w:val="18"/>
              </w:rPr>
              <w:t>200</w:t>
            </w:r>
            <w:r>
              <w:rPr>
                <w:rFonts w:cs="Calibri"/>
                <w:color w:val="000000" w:themeColor="text1"/>
                <w:sz w:val="18"/>
                <w:szCs w:val="18"/>
              </w:rPr>
              <w:t>90202</w:t>
            </w:r>
          </w:p>
        </w:tc>
      </w:tr>
      <w:tr w:rsidR="00AD2379" w:rsidRPr="000D5DBE" w:rsidTr="00595318">
        <w:trPr>
          <w:trHeight w:val="124"/>
        </w:trPr>
        <w:tc>
          <w:tcPr>
            <w:tcW w:w="4608" w:type="dxa"/>
            <w:gridSpan w:val="3"/>
            <w:tcBorders>
              <w:right w:val="thinThickThinSmallGap" w:sz="24" w:space="0" w:color="auto"/>
            </w:tcBorders>
            <w:shd w:val="clear" w:color="auto" w:fill="D9D9D9"/>
          </w:tcPr>
          <w:p w:rsidR="00AD2379" w:rsidRPr="000D5DBE" w:rsidRDefault="00AD2379" w:rsidP="001968BB">
            <w:pPr>
              <w:contextualSpacing/>
              <w:rPr>
                <w:rFonts w:cs="Calibri"/>
                <w:b/>
                <w:color w:val="000000"/>
                <w:sz w:val="18"/>
              </w:rPr>
            </w:pPr>
            <w:r w:rsidRPr="000D5DBE">
              <w:rPr>
                <w:b/>
                <w:color w:val="000000"/>
                <w:sz w:val="18"/>
              </w:rPr>
              <w:t>Combined:  20%</w:t>
            </w:r>
          </w:p>
        </w:tc>
        <w:tc>
          <w:tcPr>
            <w:tcW w:w="4740" w:type="dxa"/>
            <w:gridSpan w:val="4"/>
            <w:tcBorders>
              <w:left w:val="thinThickThinSmallGap" w:sz="24" w:space="0" w:color="auto"/>
            </w:tcBorders>
            <w:shd w:val="clear" w:color="auto" w:fill="D9D9D9"/>
          </w:tcPr>
          <w:p w:rsidR="00AD2379" w:rsidRPr="000D5DBE" w:rsidRDefault="00595318" w:rsidP="001968BB">
            <w:pPr>
              <w:contextualSpacing/>
              <w:rPr>
                <w:rFonts w:cs="Calibri"/>
                <w:b/>
                <w:color w:val="000000"/>
                <w:sz w:val="18"/>
              </w:rPr>
            </w:pPr>
            <w:r>
              <w:rPr>
                <w:b/>
                <w:color w:val="000000"/>
                <w:sz w:val="18"/>
              </w:rPr>
              <w:t>Combined:  2</w:t>
            </w:r>
            <w:r w:rsidR="00AD2379" w:rsidRPr="000D5DBE">
              <w:rPr>
                <w:b/>
                <w:color w:val="000000"/>
                <w:sz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AF7792">
        <w:rPr>
          <w:color w:val="000000"/>
        </w:rPr>
        <w:t xml:space="preserve"> </w:t>
      </w:r>
      <w:r w:rsidR="00AF7792" w:rsidRPr="00AF7792">
        <w:rPr>
          <w:color w:val="000000"/>
        </w:rPr>
        <w:t xml:space="preserve">The Board acknowledges the sentiment expressed in the CI’s application regarding the significant impairment with which his service-incurred condition continues to burden him.  The Board wishes to clarify that it is subject to the same laws for disability entitlements as those under which the </w:t>
      </w:r>
      <w:r w:rsidR="00F828FE">
        <w:rPr>
          <w:color w:val="000000"/>
        </w:rPr>
        <w:t xml:space="preserve">DES operates.  The </w:t>
      </w:r>
      <w:r w:rsidR="00AF7792" w:rsidRPr="00AF7792">
        <w:rPr>
          <w:color w:val="000000"/>
        </w:rPr>
        <w:t xml:space="preserve">DES has neither the role nor the authority to compensate service members for anticipated future severity or potential </w:t>
      </w:r>
      <w:r w:rsidR="00AF7792" w:rsidRPr="00AF7792">
        <w:rPr>
          <w:color w:val="000000"/>
        </w:rPr>
        <w:lastRenderedPageBreak/>
        <w:t xml:space="preserve">complications of conditions resulting in medical separation.  That role and authority is granted by Congress to the Department of </w:t>
      </w:r>
      <w:proofErr w:type="spellStart"/>
      <w:r w:rsidR="00AF7792" w:rsidRPr="00AF7792">
        <w:rPr>
          <w:color w:val="000000"/>
        </w:rPr>
        <w:t>Veteran</w:t>
      </w:r>
      <w:r w:rsidR="00197D9D">
        <w:rPr>
          <w:color w:val="000000"/>
        </w:rPr>
        <w:t>'s</w:t>
      </w:r>
      <w:proofErr w:type="spellEnd"/>
      <w:r w:rsidR="00AF7792" w:rsidRPr="00AF7792">
        <w:rPr>
          <w:color w:val="000000"/>
        </w:rPr>
        <w:t xml:space="preserve"> Affairs (DVA), operating under a different set of laws (Title 38, United States Code).  The Board evaluates </w:t>
      </w:r>
      <w:r w:rsidR="00197D9D">
        <w:rPr>
          <w:color w:val="000000"/>
        </w:rPr>
        <w:t>D</w:t>
      </w:r>
      <w:r w:rsidR="00AF7792" w:rsidRPr="00AF7792">
        <w:rPr>
          <w:color w:val="000000"/>
        </w:rPr>
        <w:t xml:space="preserve">VA evidence proximal to separation in arriving at its recommendations, but its authority resides in evaluating the fairness of fitness decisions and rating determinations for disability at the time of separation.  The Board further acknowledges the CI’s contention for </w:t>
      </w:r>
      <w:r w:rsidR="005C15CC">
        <w:rPr>
          <w:color w:val="000000"/>
        </w:rPr>
        <w:t>a rating</w:t>
      </w:r>
      <w:r w:rsidR="00AF7792" w:rsidRPr="00AF7792">
        <w:rPr>
          <w:color w:val="000000"/>
        </w:rPr>
        <w:t xml:space="preserve"> for other conditions </w:t>
      </w:r>
      <w:r w:rsidR="005C15CC">
        <w:rPr>
          <w:color w:val="000000"/>
        </w:rPr>
        <w:t xml:space="preserve">(lumbar neuropathy) </w:t>
      </w:r>
      <w:r w:rsidR="00AF7792" w:rsidRPr="00AF7792">
        <w:rPr>
          <w:color w:val="000000"/>
        </w:rPr>
        <w:t>documented at the time of separation, and notes that its recommendations in that regard must comply with t</w:t>
      </w:r>
      <w:r w:rsidR="00F828FE">
        <w:rPr>
          <w:color w:val="000000"/>
        </w:rPr>
        <w:t xml:space="preserve">he same governance.  While the </w:t>
      </w:r>
      <w:r w:rsidR="00AF7792" w:rsidRPr="00AF7792">
        <w:rPr>
          <w:color w:val="000000"/>
        </w:rPr>
        <w:t>DES considers all of the service member's medical conditions, compensation can only be offered for those med</w:t>
      </w:r>
      <w:r w:rsidR="00F828FE">
        <w:rPr>
          <w:color w:val="000000"/>
        </w:rPr>
        <w:t>ical conditions that cut short the</w:t>
      </w:r>
      <w:r w:rsidR="00AF7792" w:rsidRPr="00AF7792">
        <w:rPr>
          <w:color w:val="000000"/>
        </w:rPr>
        <w:t xml:space="preserve"> member’s </w:t>
      </w:r>
      <w:r w:rsidR="00197D9D">
        <w:rPr>
          <w:color w:val="000000"/>
        </w:rPr>
        <w:t>ca</w:t>
      </w:r>
      <w:r w:rsidR="00AF7792" w:rsidRPr="00AF7792">
        <w:rPr>
          <w:color w:val="000000"/>
        </w:rPr>
        <w:t>reer, and then only to the degree of severity present at the time of final disposition.  The DVA, however, is empowered to compensate service</w:t>
      </w:r>
      <w:r w:rsidR="00197D9D">
        <w:rPr>
          <w:color w:val="000000"/>
        </w:rPr>
        <w:t>-</w:t>
      </w:r>
      <w:r w:rsidR="00AF7792" w:rsidRPr="00AF7792">
        <w:rPr>
          <w:color w:val="000000"/>
        </w:rPr>
        <w:t xml:space="preserve">connected conditions and to periodically re-evaluate said conditions for the purpose of adjusting the </w:t>
      </w:r>
      <w:r w:rsidR="00197D9D">
        <w:rPr>
          <w:color w:val="000000"/>
        </w:rPr>
        <w:t>V</w:t>
      </w:r>
      <w:r w:rsidR="00AF7792" w:rsidRPr="00AF7792">
        <w:rPr>
          <w:color w:val="000000"/>
        </w:rPr>
        <w:t>eteran’s disability rating should his degree of impairment vary over time.</w:t>
      </w:r>
    </w:p>
    <w:p w:rsidR="00AD2379" w:rsidRPr="001F29F9" w:rsidRDefault="00AD2379" w:rsidP="00B22D42">
      <w:pPr>
        <w:jc w:val="both"/>
        <w:rPr>
          <w:color w:val="000000"/>
          <w:highlight w:val="yellow"/>
        </w:rPr>
      </w:pPr>
    </w:p>
    <w:p w:rsidR="0069687C" w:rsidRPr="00580C73" w:rsidRDefault="005C15CC" w:rsidP="0069687C">
      <w:pPr>
        <w:jc w:val="both"/>
        <w:rPr>
          <w:color w:val="000000"/>
        </w:rPr>
      </w:pPr>
      <w:proofErr w:type="gramStart"/>
      <w:r>
        <w:rPr>
          <w:color w:val="000000"/>
          <w:u w:val="single"/>
        </w:rPr>
        <w:t>Lumbar Spine</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Pr>
          <w:color w:val="000000"/>
        </w:rPr>
        <w:t xml:space="preserve"> The narrative summary (NARSUM) notes a lumbar strain injury in 2004, but a primary onset of symptoms in 2007 during a road march with </w:t>
      </w:r>
      <w:r w:rsidR="009346A1">
        <w:rPr>
          <w:color w:val="000000"/>
        </w:rPr>
        <w:t xml:space="preserve">load bearing.  </w:t>
      </w:r>
      <w:r w:rsidR="0027107D">
        <w:rPr>
          <w:color w:val="000000"/>
        </w:rPr>
        <w:t xml:space="preserve">Symptoms included bilateral </w:t>
      </w:r>
      <w:r w:rsidR="002275CD">
        <w:rPr>
          <w:color w:val="000000"/>
        </w:rPr>
        <w:t>radicular radiation</w:t>
      </w:r>
      <w:r w:rsidR="0027107D">
        <w:rPr>
          <w:color w:val="000000"/>
        </w:rPr>
        <w:t xml:space="preserve"> with sensory symptoms</w:t>
      </w:r>
      <w:r w:rsidR="002275CD">
        <w:rPr>
          <w:color w:val="000000"/>
        </w:rPr>
        <w:t>.</w:t>
      </w:r>
      <w:r w:rsidR="00CF7136">
        <w:rPr>
          <w:color w:val="000000"/>
        </w:rPr>
        <w:t xml:space="preserve"> </w:t>
      </w:r>
      <w:r w:rsidR="002275CD">
        <w:rPr>
          <w:color w:val="000000"/>
        </w:rPr>
        <w:t xml:space="preserve"> Imaging revealed multilevel </w:t>
      </w:r>
      <w:r w:rsidR="00F828FE">
        <w:rPr>
          <w:color w:val="000000"/>
        </w:rPr>
        <w:t>degenerative disease with an L4-</w:t>
      </w:r>
      <w:r w:rsidR="002275CD">
        <w:rPr>
          <w:color w:val="000000"/>
        </w:rPr>
        <w:t>5 bulging disc compressing the left nerve root.  A surgical option was discussed, but reasonably declined; and, the CI underwent a series of epidural steroid injections.  His pain improved and the radicular symptoms resolved, but the symptoms rebounded</w:t>
      </w:r>
      <w:r w:rsidR="00580C73">
        <w:rPr>
          <w:color w:val="000000"/>
        </w:rPr>
        <w:t xml:space="preserve"> and failed further conservative measures.  Per the NARSUM opinion, “Surgery is not recommended at this time, although it may become necessary in the future.”  </w:t>
      </w:r>
      <w:r w:rsidR="0069687C" w:rsidRPr="00B652C3">
        <w:rPr>
          <w:color w:val="000000"/>
          <w:szCs w:val="24"/>
        </w:rPr>
        <w:t xml:space="preserve">There were </w:t>
      </w:r>
      <w:r w:rsidR="00197D9D">
        <w:rPr>
          <w:color w:val="000000"/>
          <w:szCs w:val="24"/>
        </w:rPr>
        <w:t>two</w:t>
      </w:r>
      <w:r w:rsidR="0069687C" w:rsidRPr="00B652C3">
        <w:rPr>
          <w:color w:val="000000"/>
          <w:szCs w:val="24"/>
        </w:rPr>
        <w:t xml:space="preserve"> goniometric range</w:t>
      </w:r>
      <w:r w:rsidR="00197D9D">
        <w:rPr>
          <w:color w:val="000000"/>
          <w:szCs w:val="24"/>
        </w:rPr>
        <w:t>-</w:t>
      </w:r>
      <w:r w:rsidR="0069687C" w:rsidRPr="00B652C3">
        <w:rPr>
          <w:color w:val="000000"/>
          <w:szCs w:val="24"/>
        </w:rPr>
        <w:t>of</w:t>
      </w:r>
      <w:r w:rsidR="00197D9D">
        <w:rPr>
          <w:color w:val="000000"/>
          <w:szCs w:val="24"/>
        </w:rPr>
        <w:t>-</w:t>
      </w:r>
      <w:r w:rsidR="0069687C" w:rsidRPr="00B652C3">
        <w:rPr>
          <w:color w:val="000000"/>
          <w:szCs w:val="24"/>
        </w:rPr>
        <w:t>motion (ROM) evaluations in evidence, with documentation of additional ratable criteria, which the Board weighed in arriving at its rating recommendation; as summarized in the chart below.</w:t>
      </w:r>
    </w:p>
    <w:p w:rsidR="00CF0280" w:rsidRDefault="00CF0280" w:rsidP="0069687C">
      <w:pPr>
        <w:jc w:val="both"/>
        <w:rPr>
          <w:color w:val="000000"/>
          <w:szCs w:val="24"/>
        </w:rPr>
      </w:pPr>
    </w:p>
    <w:tbl>
      <w:tblPr>
        <w:tblW w:w="8128" w:type="dxa"/>
        <w:jc w:val="center"/>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96"/>
        <w:gridCol w:w="2762"/>
        <w:gridCol w:w="2970"/>
      </w:tblGrid>
      <w:tr w:rsidR="00D473B0" w:rsidRPr="00D473B0" w:rsidTr="00580C73">
        <w:trPr>
          <w:jc w:val="center"/>
        </w:trPr>
        <w:tc>
          <w:tcPr>
            <w:tcW w:w="2396" w:type="dxa"/>
            <w:shd w:val="clear" w:color="auto" w:fill="D9D9D9"/>
            <w:vAlign w:val="center"/>
          </w:tcPr>
          <w:p w:rsidR="00D473B0" w:rsidRPr="00D473B0" w:rsidRDefault="00D473B0" w:rsidP="00D473B0">
            <w:pPr>
              <w:contextualSpacing/>
              <w:rPr>
                <w:rFonts w:cs="Times New Roman"/>
                <w:color w:val="auto"/>
                <w:sz w:val="22"/>
              </w:rPr>
            </w:pPr>
            <w:r w:rsidRPr="00D473B0">
              <w:rPr>
                <w:rFonts w:cs="Times New Roman"/>
                <w:color w:val="auto"/>
                <w:sz w:val="22"/>
              </w:rPr>
              <w:t>Thoracolumbar ROM</w:t>
            </w:r>
          </w:p>
        </w:tc>
        <w:tc>
          <w:tcPr>
            <w:tcW w:w="2762" w:type="dxa"/>
            <w:shd w:val="clear" w:color="auto" w:fill="D9D9D9"/>
            <w:vAlign w:val="center"/>
          </w:tcPr>
          <w:p w:rsidR="00D473B0" w:rsidRPr="00D473B0" w:rsidRDefault="00D473B0" w:rsidP="00D473B0">
            <w:pPr>
              <w:contextualSpacing/>
              <w:rPr>
                <w:rFonts w:cs="Times New Roman"/>
                <w:color w:val="auto"/>
                <w:sz w:val="22"/>
              </w:rPr>
            </w:pPr>
            <w:r>
              <w:rPr>
                <w:rFonts w:cs="Times New Roman"/>
                <w:color w:val="auto"/>
                <w:sz w:val="22"/>
              </w:rPr>
              <w:t xml:space="preserve">MEB </w:t>
            </w:r>
            <w:r w:rsidR="00580C73">
              <w:rPr>
                <w:rFonts w:cs="Times New Roman"/>
                <w:color w:val="auto"/>
                <w:sz w:val="22"/>
              </w:rPr>
              <w:t xml:space="preserve">Ortho </w:t>
            </w:r>
            <w:r>
              <w:rPr>
                <w:rFonts w:cs="Times New Roman"/>
                <w:color w:val="auto"/>
                <w:sz w:val="22"/>
              </w:rPr>
              <w:t>~4</w:t>
            </w:r>
            <w:r w:rsidRPr="00D473B0">
              <w:rPr>
                <w:rFonts w:cs="Times New Roman"/>
                <w:color w:val="auto"/>
                <w:sz w:val="22"/>
              </w:rPr>
              <w:t xml:space="preserve"> Mo. Pre-Sep</w:t>
            </w:r>
          </w:p>
        </w:tc>
        <w:tc>
          <w:tcPr>
            <w:tcW w:w="2970" w:type="dxa"/>
            <w:shd w:val="clear" w:color="auto" w:fill="D9D9D9"/>
            <w:vAlign w:val="center"/>
          </w:tcPr>
          <w:p w:rsidR="00D473B0" w:rsidRPr="00D473B0" w:rsidRDefault="00D473B0" w:rsidP="00D473B0">
            <w:pPr>
              <w:contextualSpacing/>
              <w:rPr>
                <w:rFonts w:cs="Times New Roman"/>
                <w:color w:val="auto"/>
                <w:sz w:val="22"/>
              </w:rPr>
            </w:pPr>
            <w:r w:rsidRPr="00D473B0">
              <w:rPr>
                <w:rFonts w:cs="Times New Roman"/>
                <w:color w:val="auto"/>
                <w:sz w:val="22"/>
              </w:rPr>
              <w:t>VA C&amp;P ~</w:t>
            </w:r>
            <w:r>
              <w:rPr>
                <w:rFonts w:cs="Times New Roman"/>
                <w:color w:val="auto"/>
                <w:sz w:val="22"/>
              </w:rPr>
              <w:t>7</w:t>
            </w:r>
            <w:r w:rsidRPr="00D473B0">
              <w:rPr>
                <w:rFonts w:cs="Times New Roman"/>
                <w:color w:val="auto"/>
                <w:sz w:val="22"/>
              </w:rPr>
              <w:t xml:space="preserve"> Mo. </w:t>
            </w:r>
            <w:r>
              <w:rPr>
                <w:rFonts w:cs="Times New Roman"/>
                <w:color w:val="auto"/>
                <w:sz w:val="22"/>
              </w:rPr>
              <w:t>Post</w:t>
            </w:r>
            <w:r w:rsidRPr="00D473B0">
              <w:rPr>
                <w:rFonts w:cs="Times New Roman"/>
                <w:color w:val="auto"/>
                <w:sz w:val="22"/>
              </w:rPr>
              <w:t>-Sep</w:t>
            </w:r>
          </w:p>
        </w:tc>
      </w:tr>
      <w:tr w:rsidR="00D473B0" w:rsidRPr="00D473B0" w:rsidTr="00580C73">
        <w:trPr>
          <w:jc w:val="center"/>
        </w:trPr>
        <w:tc>
          <w:tcPr>
            <w:tcW w:w="2396" w:type="dxa"/>
            <w:vAlign w:val="center"/>
          </w:tcPr>
          <w:p w:rsidR="00D473B0" w:rsidRPr="00D473B0" w:rsidRDefault="00D473B0" w:rsidP="00D473B0">
            <w:pPr>
              <w:contextualSpacing/>
              <w:rPr>
                <w:rFonts w:cs="Times New Roman"/>
                <w:color w:val="auto"/>
                <w:sz w:val="22"/>
              </w:rPr>
            </w:pPr>
            <w:r w:rsidRPr="00D473B0">
              <w:rPr>
                <w:rFonts w:cs="Times New Roman"/>
                <w:color w:val="auto"/>
                <w:sz w:val="22"/>
              </w:rPr>
              <w:t>Flexion (90⁰ Normal)</w:t>
            </w:r>
          </w:p>
        </w:tc>
        <w:tc>
          <w:tcPr>
            <w:tcW w:w="2762" w:type="dxa"/>
            <w:vAlign w:val="center"/>
          </w:tcPr>
          <w:p w:rsidR="00D473B0" w:rsidRPr="00D473B0" w:rsidRDefault="00D473B0" w:rsidP="00D473B0">
            <w:pPr>
              <w:contextualSpacing/>
              <w:rPr>
                <w:rFonts w:cs="Times New Roman"/>
                <w:color w:val="auto"/>
                <w:sz w:val="22"/>
              </w:rPr>
            </w:pPr>
            <w:r>
              <w:rPr>
                <w:rFonts w:cs="Times New Roman"/>
                <w:color w:val="auto"/>
                <w:sz w:val="22"/>
              </w:rPr>
              <w:t>6</w:t>
            </w:r>
            <w:r w:rsidRPr="00D473B0">
              <w:rPr>
                <w:rFonts w:cs="Times New Roman"/>
                <w:color w:val="auto"/>
                <w:sz w:val="22"/>
              </w:rPr>
              <w:t>0⁰</w:t>
            </w:r>
          </w:p>
        </w:tc>
        <w:tc>
          <w:tcPr>
            <w:tcW w:w="2970" w:type="dxa"/>
            <w:vAlign w:val="center"/>
          </w:tcPr>
          <w:p w:rsidR="00D473B0" w:rsidRPr="00D473B0" w:rsidRDefault="00D473B0" w:rsidP="00D473B0">
            <w:pPr>
              <w:contextualSpacing/>
              <w:rPr>
                <w:rFonts w:cs="Times New Roman"/>
                <w:color w:val="auto"/>
                <w:sz w:val="22"/>
              </w:rPr>
            </w:pPr>
            <w:r>
              <w:rPr>
                <w:rFonts w:cs="Times New Roman"/>
                <w:color w:val="auto"/>
                <w:sz w:val="22"/>
              </w:rPr>
              <w:t>6</w:t>
            </w:r>
            <w:r w:rsidRPr="00D473B0">
              <w:rPr>
                <w:rFonts w:cs="Times New Roman"/>
                <w:color w:val="auto"/>
                <w:sz w:val="22"/>
              </w:rPr>
              <w:t>0⁰</w:t>
            </w:r>
          </w:p>
        </w:tc>
      </w:tr>
      <w:tr w:rsidR="00D473B0" w:rsidRPr="00D473B0" w:rsidTr="00580C73">
        <w:trPr>
          <w:jc w:val="center"/>
        </w:trPr>
        <w:tc>
          <w:tcPr>
            <w:tcW w:w="2396" w:type="dxa"/>
            <w:vAlign w:val="center"/>
          </w:tcPr>
          <w:p w:rsidR="00D473B0" w:rsidRPr="00D473B0" w:rsidRDefault="00D473B0" w:rsidP="00D473B0">
            <w:pPr>
              <w:contextualSpacing/>
              <w:rPr>
                <w:rFonts w:cs="Times New Roman"/>
                <w:color w:val="auto"/>
                <w:sz w:val="22"/>
              </w:rPr>
            </w:pPr>
            <w:r w:rsidRPr="00D473B0">
              <w:rPr>
                <w:rFonts w:cs="Times New Roman"/>
                <w:color w:val="auto"/>
                <w:sz w:val="22"/>
              </w:rPr>
              <w:t>Combined (240⁰)</w:t>
            </w:r>
          </w:p>
        </w:tc>
        <w:tc>
          <w:tcPr>
            <w:tcW w:w="2762" w:type="dxa"/>
            <w:vAlign w:val="center"/>
          </w:tcPr>
          <w:p w:rsidR="00D473B0" w:rsidRPr="00D473B0" w:rsidRDefault="00D473B0" w:rsidP="00D473B0">
            <w:pPr>
              <w:contextualSpacing/>
              <w:rPr>
                <w:rFonts w:cs="Times New Roman"/>
                <w:color w:val="auto"/>
                <w:sz w:val="22"/>
              </w:rPr>
            </w:pPr>
            <w:r>
              <w:rPr>
                <w:rFonts w:cs="Times New Roman"/>
                <w:color w:val="auto"/>
                <w:sz w:val="22"/>
              </w:rPr>
              <w:t>14</w:t>
            </w:r>
            <w:r w:rsidRPr="00D473B0">
              <w:rPr>
                <w:rFonts w:cs="Times New Roman"/>
                <w:color w:val="auto"/>
                <w:sz w:val="22"/>
              </w:rPr>
              <w:t>5⁰</w:t>
            </w:r>
          </w:p>
        </w:tc>
        <w:tc>
          <w:tcPr>
            <w:tcW w:w="2970" w:type="dxa"/>
            <w:vAlign w:val="center"/>
          </w:tcPr>
          <w:p w:rsidR="00D473B0" w:rsidRPr="00D473B0" w:rsidRDefault="00D473B0" w:rsidP="00D473B0">
            <w:pPr>
              <w:contextualSpacing/>
              <w:rPr>
                <w:rFonts w:cs="Times New Roman"/>
                <w:color w:val="auto"/>
                <w:sz w:val="22"/>
              </w:rPr>
            </w:pPr>
            <w:r>
              <w:rPr>
                <w:rFonts w:cs="Times New Roman"/>
                <w:color w:val="auto"/>
                <w:sz w:val="22"/>
              </w:rPr>
              <w:t>20</w:t>
            </w:r>
            <w:r w:rsidRPr="00D473B0">
              <w:rPr>
                <w:rFonts w:cs="Times New Roman"/>
                <w:color w:val="auto"/>
                <w:sz w:val="22"/>
              </w:rPr>
              <w:t>0⁰</w:t>
            </w:r>
          </w:p>
        </w:tc>
      </w:tr>
      <w:tr w:rsidR="00D473B0" w:rsidRPr="00D473B0" w:rsidTr="00580C73">
        <w:trPr>
          <w:trHeight w:val="58"/>
          <w:jc w:val="center"/>
        </w:trPr>
        <w:tc>
          <w:tcPr>
            <w:tcW w:w="2396" w:type="dxa"/>
            <w:vAlign w:val="center"/>
          </w:tcPr>
          <w:p w:rsidR="00D473B0" w:rsidRPr="00D473B0" w:rsidRDefault="00D473B0" w:rsidP="00D473B0">
            <w:pPr>
              <w:tabs>
                <w:tab w:val="left" w:pos="288"/>
                <w:tab w:val="left" w:pos="4752"/>
              </w:tabs>
              <w:rPr>
                <w:rFonts w:cs="Times New Roman"/>
                <w:color w:val="auto"/>
                <w:sz w:val="22"/>
              </w:rPr>
            </w:pPr>
            <w:r w:rsidRPr="00D473B0">
              <w:rPr>
                <w:rFonts w:cs="Times New Roman"/>
                <w:color w:val="auto"/>
                <w:sz w:val="22"/>
              </w:rPr>
              <w:t>Comments</w:t>
            </w:r>
          </w:p>
        </w:tc>
        <w:tc>
          <w:tcPr>
            <w:tcW w:w="2762" w:type="dxa"/>
            <w:vAlign w:val="center"/>
          </w:tcPr>
          <w:p w:rsidR="00D473B0" w:rsidRPr="00D473B0" w:rsidRDefault="007B03F2" w:rsidP="00DE45AB">
            <w:pPr>
              <w:tabs>
                <w:tab w:val="left" w:pos="288"/>
                <w:tab w:val="left" w:pos="4752"/>
              </w:tabs>
              <w:rPr>
                <w:rFonts w:cs="Times New Roman"/>
                <w:color w:val="auto"/>
                <w:sz w:val="22"/>
              </w:rPr>
            </w:pPr>
            <w:r>
              <w:rPr>
                <w:rFonts w:cs="Times New Roman"/>
                <w:color w:val="auto"/>
                <w:sz w:val="22"/>
              </w:rPr>
              <w:t>+ Spasm; p</w:t>
            </w:r>
            <w:r w:rsidR="00D473B0" w:rsidRPr="00D473B0">
              <w:rPr>
                <w:rFonts w:cs="Times New Roman"/>
                <w:color w:val="auto"/>
                <w:sz w:val="22"/>
              </w:rPr>
              <w:t>ain</w:t>
            </w:r>
            <w:r w:rsidR="00DE45AB">
              <w:rPr>
                <w:rFonts w:cs="Times New Roman"/>
                <w:color w:val="auto"/>
                <w:sz w:val="22"/>
              </w:rPr>
              <w:t xml:space="preserve"> at 30</w:t>
            </w:r>
            <w:r w:rsidR="00DE45AB">
              <w:rPr>
                <w:color w:val="auto"/>
                <w:sz w:val="22"/>
              </w:rPr>
              <w:t>⁰</w:t>
            </w:r>
            <w:r w:rsidR="00DE45AB">
              <w:rPr>
                <w:rFonts w:cs="Times New Roman"/>
                <w:color w:val="auto"/>
                <w:sz w:val="22"/>
              </w:rPr>
              <w:t xml:space="preserve"> flex</w:t>
            </w:r>
            <w:r w:rsidR="00D473B0" w:rsidRPr="00D473B0">
              <w:rPr>
                <w:rFonts w:cs="Times New Roman"/>
                <w:color w:val="auto"/>
                <w:sz w:val="22"/>
              </w:rPr>
              <w:t>.</w:t>
            </w:r>
          </w:p>
        </w:tc>
        <w:tc>
          <w:tcPr>
            <w:tcW w:w="2970" w:type="dxa"/>
            <w:vAlign w:val="center"/>
          </w:tcPr>
          <w:p w:rsidR="00D473B0" w:rsidRPr="00D473B0" w:rsidRDefault="007B03F2" w:rsidP="007B03F2">
            <w:pPr>
              <w:tabs>
                <w:tab w:val="left" w:pos="288"/>
                <w:tab w:val="left" w:pos="4752"/>
              </w:tabs>
              <w:rPr>
                <w:rFonts w:cs="Times New Roman"/>
                <w:color w:val="auto"/>
                <w:sz w:val="22"/>
              </w:rPr>
            </w:pPr>
            <w:r>
              <w:rPr>
                <w:rFonts w:cs="Times New Roman"/>
                <w:color w:val="auto"/>
                <w:sz w:val="22"/>
              </w:rPr>
              <w:t>+ Tenderness; p</w:t>
            </w:r>
            <w:r w:rsidRPr="00D473B0">
              <w:rPr>
                <w:rFonts w:cs="Times New Roman"/>
                <w:color w:val="auto"/>
                <w:sz w:val="22"/>
              </w:rPr>
              <w:t>ain</w:t>
            </w:r>
            <w:r>
              <w:rPr>
                <w:rFonts w:cs="Times New Roman"/>
                <w:color w:val="auto"/>
                <w:sz w:val="22"/>
              </w:rPr>
              <w:t>ful</w:t>
            </w:r>
            <w:r w:rsidRPr="00D473B0">
              <w:rPr>
                <w:rFonts w:cs="Times New Roman"/>
                <w:color w:val="auto"/>
                <w:sz w:val="22"/>
              </w:rPr>
              <w:t xml:space="preserve"> motion.</w:t>
            </w:r>
          </w:p>
        </w:tc>
      </w:tr>
      <w:tr w:rsidR="00D473B0" w:rsidRPr="00D473B0" w:rsidTr="00580C73">
        <w:trPr>
          <w:trHeight w:val="70"/>
          <w:jc w:val="center"/>
        </w:trPr>
        <w:tc>
          <w:tcPr>
            <w:tcW w:w="2396" w:type="dxa"/>
            <w:vAlign w:val="center"/>
          </w:tcPr>
          <w:p w:rsidR="00D473B0" w:rsidRPr="00D473B0" w:rsidRDefault="00D473B0" w:rsidP="00D473B0">
            <w:pPr>
              <w:tabs>
                <w:tab w:val="left" w:pos="288"/>
                <w:tab w:val="left" w:pos="4752"/>
              </w:tabs>
              <w:rPr>
                <w:rFonts w:cs="Times New Roman"/>
                <w:color w:val="auto"/>
                <w:sz w:val="22"/>
              </w:rPr>
            </w:pPr>
            <w:r w:rsidRPr="00D473B0">
              <w:rPr>
                <w:rFonts w:cs="Times New Roman"/>
                <w:color w:val="auto"/>
                <w:sz w:val="22"/>
              </w:rPr>
              <w:t>§4.71a Rating</w:t>
            </w:r>
          </w:p>
        </w:tc>
        <w:tc>
          <w:tcPr>
            <w:tcW w:w="2762" w:type="dxa"/>
            <w:vAlign w:val="center"/>
          </w:tcPr>
          <w:p w:rsidR="00D473B0" w:rsidRPr="00D473B0" w:rsidRDefault="00D473B0" w:rsidP="00D473B0">
            <w:pPr>
              <w:tabs>
                <w:tab w:val="left" w:pos="288"/>
                <w:tab w:val="left" w:pos="4752"/>
              </w:tabs>
              <w:rPr>
                <w:rFonts w:cs="Times New Roman"/>
                <w:color w:val="auto"/>
                <w:sz w:val="22"/>
              </w:rPr>
            </w:pPr>
            <w:r w:rsidRPr="00D473B0">
              <w:rPr>
                <w:rFonts w:cs="Times New Roman"/>
                <w:color w:val="auto"/>
                <w:sz w:val="22"/>
              </w:rPr>
              <w:t>20%</w:t>
            </w:r>
          </w:p>
        </w:tc>
        <w:tc>
          <w:tcPr>
            <w:tcW w:w="2970" w:type="dxa"/>
            <w:vAlign w:val="center"/>
          </w:tcPr>
          <w:p w:rsidR="00D473B0" w:rsidRPr="00D473B0" w:rsidRDefault="00D473B0" w:rsidP="00D473B0">
            <w:pPr>
              <w:tabs>
                <w:tab w:val="left" w:pos="288"/>
                <w:tab w:val="left" w:pos="4752"/>
              </w:tabs>
              <w:rPr>
                <w:rFonts w:cs="Times New Roman"/>
                <w:color w:val="auto"/>
                <w:sz w:val="22"/>
              </w:rPr>
            </w:pPr>
            <w:r w:rsidRPr="00D473B0">
              <w:rPr>
                <w:rFonts w:cs="Times New Roman"/>
                <w:color w:val="auto"/>
                <w:sz w:val="22"/>
              </w:rPr>
              <w:t>20%</w:t>
            </w:r>
          </w:p>
        </w:tc>
      </w:tr>
    </w:tbl>
    <w:p w:rsidR="00D473B0" w:rsidRDefault="00D473B0" w:rsidP="0069687C">
      <w:pPr>
        <w:jc w:val="both"/>
        <w:rPr>
          <w:color w:val="000000"/>
          <w:szCs w:val="24"/>
        </w:rPr>
      </w:pPr>
    </w:p>
    <w:p w:rsidR="00CF0280" w:rsidRDefault="00FB0A39" w:rsidP="00CF0280">
      <w:pPr>
        <w:jc w:val="both"/>
        <w:rPr>
          <w:color w:val="000000"/>
          <w:szCs w:val="24"/>
        </w:rPr>
      </w:pPr>
      <w:r>
        <w:rPr>
          <w:color w:val="000000"/>
          <w:szCs w:val="24"/>
        </w:rPr>
        <w:t xml:space="preserve">The MEB examiner noted functional restrictions of lifting more than 25 pounds, marching, load bearing and “strenuous repetitive activity”. </w:t>
      </w:r>
      <w:r w:rsidR="00197D9D">
        <w:rPr>
          <w:color w:val="000000"/>
          <w:szCs w:val="24"/>
        </w:rPr>
        <w:t xml:space="preserve"> </w:t>
      </w:r>
      <w:r>
        <w:rPr>
          <w:color w:val="000000"/>
          <w:szCs w:val="24"/>
        </w:rPr>
        <w:t xml:space="preserve">By physical exam there was paravertebral spasm, but normal spinal contour.  Gait was normal at the time, but notation was made that the CI “sometimes gets pain and altered gait with worsening of pain”.  The ROMs charted above were measured by the orthopedist who </w:t>
      </w:r>
      <w:r w:rsidR="008D2397">
        <w:rPr>
          <w:color w:val="000000"/>
          <w:szCs w:val="24"/>
        </w:rPr>
        <w:t>an</w:t>
      </w:r>
      <w:r>
        <w:rPr>
          <w:color w:val="000000"/>
          <w:szCs w:val="24"/>
        </w:rPr>
        <w:t>no</w:t>
      </w:r>
      <w:r w:rsidR="008D2397">
        <w:rPr>
          <w:color w:val="000000"/>
          <w:szCs w:val="24"/>
        </w:rPr>
        <w:t>ta</w:t>
      </w:r>
      <w:r>
        <w:rPr>
          <w:color w:val="000000"/>
          <w:szCs w:val="24"/>
        </w:rPr>
        <w:t>ted “with pain limiting at 30 degrees on flexion, but able to stretch to 60 degrees with pain</w:t>
      </w:r>
      <w:r w:rsidR="00197D9D">
        <w:rPr>
          <w:color w:val="000000"/>
          <w:szCs w:val="24"/>
        </w:rPr>
        <w:t>.</w:t>
      </w:r>
      <w:r>
        <w:rPr>
          <w:color w:val="000000"/>
          <w:szCs w:val="24"/>
        </w:rPr>
        <w:t xml:space="preserve">” </w:t>
      </w:r>
      <w:r w:rsidR="002A306B">
        <w:rPr>
          <w:color w:val="000000"/>
          <w:szCs w:val="24"/>
        </w:rPr>
        <w:t xml:space="preserve"> </w:t>
      </w:r>
      <w:r w:rsidR="00CF0280">
        <w:rPr>
          <w:color w:val="000000"/>
          <w:szCs w:val="24"/>
        </w:rPr>
        <w:t xml:space="preserve">At the </w:t>
      </w:r>
      <w:r w:rsidR="00CF0280" w:rsidRPr="002A306B">
        <w:rPr>
          <w:color w:val="000000"/>
          <w:szCs w:val="24"/>
        </w:rPr>
        <w:t>post-separation</w:t>
      </w:r>
      <w:r w:rsidR="00CF0280">
        <w:rPr>
          <w:color w:val="000000"/>
          <w:szCs w:val="24"/>
        </w:rPr>
        <w:t xml:space="preserve"> VA </w:t>
      </w:r>
      <w:r w:rsidR="00CF0280" w:rsidRPr="00CF0280">
        <w:rPr>
          <w:color w:val="000000"/>
          <w:szCs w:val="24"/>
        </w:rPr>
        <w:t>Compensation and Pension (C&amp;P)</w:t>
      </w:r>
      <w:r w:rsidR="002A306B">
        <w:rPr>
          <w:color w:val="000000"/>
          <w:szCs w:val="24"/>
        </w:rPr>
        <w:t xml:space="preserve"> exam, the CI reported constant pain rated 6 of 10 “elicited by physical activity and quick movement”.  It was noted that he “can function with medication” and that “his condition has not resulted in any incapacitation”; but, that “Bending, tying shoes, lifting or twisting cause pain enough to require immediate rest and medication.”  The VA physical exam noted </w:t>
      </w:r>
      <w:proofErr w:type="spellStart"/>
      <w:r w:rsidR="002A306B">
        <w:rPr>
          <w:color w:val="000000"/>
          <w:szCs w:val="24"/>
        </w:rPr>
        <w:t>paralumbar</w:t>
      </w:r>
      <w:proofErr w:type="spellEnd"/>
      <w:r w:rsidR="002A306B">
        <w:rPr>
          <w:color w:val="000000"/>
          <w:szCs w:val="24"/>
        </w:rPr>
        <w:t xml:space="preserve"> tenderness, but no spasm and normal gait.</w:t>
      </w:r>
      <w:r w:rsidR="002F4DD5">
        <w:rPr>
          <w:color w:val="000000"/>
          <w:szCs w:val="24"/>
        </w:rPr>
        <w:t xml:space="preserve">  The ROMs are charted above, and there was no degradation of ROM with repetitions (negative DeLuca criteria).  </w:t>
      </w:r>
    </w:p>
    <w:p w:rsidR="00CF0280" w:rsidRDefault="00CF0280" w:rsidP="0069687C">
      <w:pPr>
        <w:jc w:val="both"/>
        <w:rPr>
          <w:color w:val="000000"/>
          <w:szCs w:val="24"/>
        </w:rPr>
      </w:pPr>
    </w:p>
    <w:p w:rsidR="00626902" w:rsidRPr="00573E01" w:rsidRDefault="00AD2379" w:rsidP="00573E01">
      <w:pPr>
        <w:tabs>
          <w:tab w:val="left" w:pos="288"/>
          <w:tab w:val="left" w:pos="4752"/>
        </w:tabs>
        <w:jc w:val="both"/>
        <w:rPr>
          <w:color w:val="000000"/>
          <w:szCs w:val="24"/>
        </w:rPr>
      </w:pPr>
      <w:r w:rsidRPr="009A7578">
        <w:rPr>
          <w:rFonts w:cs="Times New Roman"/>
          <w:color w:val="auto"/>
        </w:rPr>
        <w:t>The Board directs attenti</w:t>
      </w:r>
      <w:r w:rsidR="00782CC1">
        <w:rPr>
          <w:rFonts w:cs="Times New Roman"/>
          <w:color w:val="auto"/>
        </w:rPr>
        <w:t>on to its rating recommendation</w:t>
      </w:r>
      <w:r w:rsidRPr="009A7578">
        <w:rPr>
          <w:rFonts w:cs="Times New Roman"/>
          <w:color w:val="auto"/>
        </w:rPr>
        <w:t xml:space="preserve"> </w:t>
      </w:r>
      <w:r w:rsidR="00B13A51">
        <w:rPr>
          <w:rFonts w:cs="Times New Roman"/>
          <w:color w:val="auto"/>
        </w:rPr>
        <w:t>based on the above evidence</w:t>
      </w:r>
      <w:r w:rsidRPr="002F4DD5">
        <w:rPr>
          <w:color w:val="000000"/>
          <w:szCs w:val="24"/>
        </w:rPr>
        <w:t xml:space="preserve">. </w:t>
      </w:r>
      <w:r w:rsidR="00192392" w:rsidRPr="002F4DD5">
        <w:rPr>
          <w:color w:val="000000"/>
          <w:szCs w:val="24"/>
        </w:rPr>
        <w:t xml:space="preserve"> </w:t>
      </w:r>
      <w:r w:rsidR="002F4DD5">
        <w:rPr>
          <w:color w:val="000000"/>
          <w:szCs w:val="24"/>
        </w:rPr>
        <w:t xml:space="preserve">Both the PEB and VA applied the code </w:t>
      </w:r>
      <w:r w:rsidR="002F4DD5" w:rsidRPr="002F4DD5">
        <w:rPr>
          <w:color w:val="000000"/>
          <w:szCs w:val="24"/>
        </w:rPr>
        <w:t>5242</w:t>
      </w:r>
      <w:r w:rsidR="002F4DD5">
        <w:rPr>
          <w:color w:val="000000"/>
          <w:szCs w:val="24"/>
        </w:rPr>
        <w:t xml:space="preserve"> (d</w:t>
      </w:r>
      <w:r w:rsidR="002F4DD5" w:rsidRPr="002F4DD5">
        <w:rPr>
          <w:color w:val="000000"/>
          <w:szCs w:val="24"/>
        </w:rPr>
        <w:t>egenerative arthritis of the spine</w:t>
      </w:r>
      <w:r w:rsidR="002F4DD5">
        <w:rPr>
          <w:color w:val="000000"/>
          <w:szCs w:val="24"/>
        </w:rPr>
        <w:t>)</w:t>
      </w:r>
      <w:r w:rsidR="00387586">
        <w:rPr>
          <w:color w:val="000000"/>
          <w:szCs w:val="24"/>
        </w:rPr>
        <w:t xml:space="preserve">, which is appropriate to the pathology. </w:t>
      </w:r>
      <w:r w:rsidR="00573E01">
        <w:rPr>
          <w:color w:val="000000"/>
          <w:szCs w:val="24"/>
        </w:rPr>
        <w:t xml:space="preserve"> </w:t>
      </w:r>
      <w:r w:rsidR="00387586">
        <w:rPr>
          <w:color w:val="000000"/>
          <w:szCs w:val="24"/>
        </w:rPr>
        <w:t xml:space="preserve">The </w:t>
      </w:r>
      <w:r w:rsidR="002F4DD5">
        <w:rPr>
          <w:color w:val="000000"/>
          <w:szCs w:val="24"/>
        </w:rPr>
        <w:t xml:space="preserve">ROM findings </w:t>
      </w:r>
      <w:r w:rsidR="00573E01">
        <w:rPr>
          <w:color w:val="000000"/>
          <w:szCs w:val="24"/>
        </w:rPr>
        <w:t xml:space="preserve">rated by the MEB and VA were </w:t>
      </w:r>
      <w:r w:rsidR="00387586">
        <w:rPr>
          <w:color w:val="000000"/>
          <w:szCs w:val="24"/>
        </w:rPr>
        <w:t>similar</w:t>
      </w:r>
      <w:r w:rsidR="00573E01">
        <w:rPr>
          <w:color w:val="000000"/>
          <w:szCs w:val="24"/>
        </w:rPr>
        <w:t>, each</w:t>
      </w:r>
      <w:r w:rsidR="00387586">
        <w:rPr>
          <w:color w:val="000000"/>
          <w:szCs w:val="24"/>
        </w:rPr>
        <w:t xml:space="preserve"> </w:t>
      </w:r>
      <w:r w:rsidR="00573E01">
        <w:rPr>
          <w:color w:val="000000"/>
          <w:szCs w:val="24"/>
        </w:rPr>
        <w:t xml:space="preserve">yielding </w:t>
      </w:r>
      <w:r w:rsidR="008D2397">
        <w:rPr>
          <w:color w:val="000000"/>
          <w:szCs w:val="24"/>
        </w:rPr>
        <w:t>a 20% rating</w:t>
      </w:r>
      <w:r w:rsidR="00573E01">
        <w:rPr>
          <w:color w:val="000000"/>
          <w:szCs w:val="24"/>
        </w:rPr>
        <w:t xml:space="preserve"> </w:t>
      </w:r>
      <w:r w:rsidR="002F4DD5">
        <w:rPr>
          <w:color w:val="000000"/>
          <w:szCs w:val="24"/>
        </w:rPr>
        <w:t xml:space="preserve">under the </w:t>
      </w:r>
      <w:r w:rsidR="00387586">
        <w:rPr>
          <w:color w:val="000000"/>
          <w:szCs w:val="24"/>
        </w:rPr>
        <w:t xml:space="preserve">VASRD </w:t>
      </w:r>
      <w:r w:rsidR="002F4DD5" w:rsidRPr="002F4DD5">
        <w:rPr>
          <w:color w:val="000000"/>
          <w:szCs w:val="24"/>
        </w:rPr>
        <w:t>§4.</w:t>
      </w:r>
      <w:r w:rsidR="002F4DD5">
        <w:rPr>
          <w:color w:val="000000"/>
          <w:szCs w:val="24"/>
        </w:rPr>
        <w:t xml:space="preserve">71a general spine formula.  </w:t>
      </w:r>
      <w:r w:rsidR="00387586">
        <w:rPr>
          <w:color w:val="000000"/>
          <w:szCs w:val="24"/>
        </w:rPr>
        <w:t xml:space="preserve">Although the MEB examiner did not document measurements with repetition, there are no relevant probative </w:t>
      </w:r>
      <w:r w:rsidR="003543EC">
        <w:rPr>
          <w:color w:val="000000"/>
          <w:szCs w:val="24"/>
        </w:rPr>
        <w:t xml:space="preserve">value distinctions </w:t>
      </w:r>
      <w:r w:rsidR="003543EC">
        <w:rPr>
          <w:color w:val="000000"/>
          <w:szCs w:val="24"/>
        </w:rPr>
        <w:lastRenderedPageBreak/>
        <w:t>between the se</w:t>
      </w:r>
      <w:r w:rsidR="00387586">
        <w:rPr>
          <w:color w:val="000000"/>
          <w:szCs w:val="24"/>
        </w:rPr>
        <w:t xml:space="preserve">rvice and VA evaluations.  Both were accurately rated and there was no </w:t>
      </w:r>
      <w:r w:rsidR="00573E01">
        <w:rPr>
          <w:color w:val="000000"/>
          <w:szCs w:val="24"/>
        </w:rPr>
        <w:t>evidence</w:t>
      </w:r>
      <w:r w:rsidR="00387586">
        <w:rPr>
          <w:color w:val="000000"/>
          <w:szCs w:val="24"/>
        </w:rPr>
        <w:t xml:space="preserve"> of incapacitating episode</w:t>
      </w:r>
      <w:r w:rsidR="00573E01">
        <w:rPr>
          <w:color w:val="000000"/>
          <w:szCs w:val="24"/>
        </w:rPr>
        <w:t>s</w:t>
      </w:r>
      <w:r w:rsidR="00387586">
        <w:rPr>
          <w:color w:val="000000"/>
          <w:szCs w:val="24"/>
        </w:rPr>
        <w:t xml:space="preserve"> to achieve a higher rating under </w:t>
      </w:r>
      <w:r w:rsidR="00573E01">
        <w:rPr>
          <w:color w:val="000000"/>
          <w:szCs w:val="24"/>
        </w:rPr>
        <w:t>the</w:t>
      </w:r>
      <w:r w:rsidR="00387586">
        <w:rPr>
          <w:color w:val="000000"/>
          <w:szCs w:val="24"/>
        </w:rPr>
        <w:t xml:space="preserve"> alternate formula.</w:t>
      </w:r>
      <w:r w:rsidR="00573E01">
        <w:rPr>
          <w:color w:val="000000"/>
          <w:szCs w:val="24"/>
        </w:rPr>
        <w:t xml:space="preserve">  </w:t>
      </w:r>
      <w:r w:rsidR="00626902"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573E01">
        <w:rPr>
          <w:rFonts w:eastAsia="Calibri" w:cs="Times New Roman"/>
          <w:color w:val="auto"/>
          <w:szCs w:val="24"/>
        </w:rPr>
        <w:t>lumbar spine</w:t>
      </w:r>
      <w:r w:rsidR="00626902" w:rsidRPr="00626902">
        <w:rPr>
          <w:rFonts w:eastAsia="Calibri" w:cs="Times New Roman"/>
          <w:color w:val="auto"/>
          <w:szCs w:val="24"/>
        </w:rPr>
        <w:t xml:space="preserve"> condition.</w:t>
      </w:r>
    </w:p>
    <w:p w:rsidR="006002FE" w:rsidRDefault="006002FE" w:rsidP="009A7578">
      <w:pPr>
        <w:jc w:val="both"/>
        <w:rPr>
          <w:color w:val="000000"/>
        </w:rPr>
      </w:pPr>
    </w:p>
    <w:p w:rsidR="006002FE" w:rsidRDefault="006002FE" w:rsidP="00446CBA">
      <w:pPr>
        <w:jc w:val="both"/>
        <w:rPr>
          <w:rFonts w:eastAsia="Calibri" w:cs="Times New Roman"/>
          <w:color w:val="auto"/>
          <w:szCs w:val="24"/>
        </w:rPr>
      </w:pPr>
      <w:proofErr w:type="gramStart"/>
      <w:r w:rsidRPr="006002FE">
        <w:rPr>
          <w:rFonts w:eastAsia="Calibri" w:cs="Times New Roman"/>
          <w:color w:val="auto"/>
          <w:szCs w:val="24"/>
          <w:u w:val="single"/>
        </w:rPr>
        <w:t xml:space="preserve">Contended </w:t>
      </w:r>
      <w:r w:rsidR="00DB21EB">
        <w:rPr>
          <w:rFonts w:eastAsia="Calibri" w:cs="Times New Roman"/>
          <w:color w:val="auto"/>
          <w:szCs w:val="24"/>
          <w:u w:val="single"/>
        </w:rPr>
        <w:t>Neuropathy</w:t>
      </w:r>
      <w:r w:rsidRPr="006002FE">
        <w:rPr>
          <w:rFonts w:eastAsia="Calibri" w:cs="Times New Roman"/>
          <w:color w:val="auto"/>
          <w:szCs w:val="24"/>
        </w:rPr>
        <w:t>.</w:t>
      </w:r>
      <w:proofErr w:type="gramEnd"/>
      <w:r w:rsidRPr="006002FE">
        <w:rPr>
          <w:rFonts w:eastAsia="Calibri" w:cs="Times New Roman"/>
          <w:color w:val="auto"/>
          <w:szCs w:val="24"/>
        </w:rPr>
        <w:t xml:space="preserve">  </w:t>
      </w:r>
      <w:r w:rsidR="00573E01">
        <w:rPr>
          <w:rFonts w:eastAsia="Calibri" w:cs="Times New Roman"/>
          <w:color w:val="auto"/>
          <w:szCs w:val="24"/>
        </w:rPr>
        <w:t xml:space="preserve">The </w:t>
      </w:r>
      <w:proofErr w:type="spellStart"/>
      <w:r w:rsidR="00573E01">
        <w:rPr>
          <w:rFonts w:eastAsia="Calibri" w:cs="Times New Roman"/>
          <w:color w:val="auto"/>
          <w:szCs w:val="24"/>
        </w:rPr>
        <w:t>electromyelogram</w:t>
      </w:r>
      <w:proofErr w:type="spellEnd"/>
      <w:r w:rsidR="00573E01">
        <w:rPr>
          <w:rFonts w:eastAsia="Calibri" w:cs="Times New Roman"/>
          <w:color w:val="auto"/>
          <w:szCs w:val="24"/>
        </w:rPr>
        <w:t xml:space="preserve"> </w:t>
      </w:r>
      <w:r w:rsidR="00D12A7D">
        <w:rPr>
          <w:rFonts w:eastAsia="Calibri" w:cs="Times New Roman"/>
          <w:color w:val="auto"/>
          <w:szCs w:val="24"/>
        </w:rPr>
        <w:t xml:space="preserve">(EMG) </w:t>
      </w:r>
      <w:r w:rsidR="00573E01">
        <w:rPr>
          <w:rFonts w:eastAsia="Calibri" w:cs="Times New Roman"/>
          <w:color w:val="auto"/>
          <w:szCs w:val="24"/>
        </w:rPr>
        <w:t xml:space="preserve">results referenced in the contention were in fact </w:t>
      </w:r>
      <w:proofErr w:type="spellStart"/>
      <w:r w:rsidR="00573E01">
        <w:rPr>
          <w:rFonts w:eastAsia="Calibri" w:cs="Times New Roman"/>
          <w:color w:val="auto"/>
          <w:szCs w:val="24"/>
        </w:rPr>
        <w:t>addended</w:t>
      </w:r>
      <w:proofErr w:type="spellEnd"/>
      <w:r w:rsidR="00573E01">
        <w:rPr>
          <w:rFonts w:eastAsia="Calibri" w:cs="Times New Roman"/>
          <w:color w:val="auto"/>
          <w:szCs w:val="24"/>
        </w:rPr>
        <w:t xml:space="preserve"> to the NARSUM on March 21, 2008</w:t>
      </w:r>
      <w:r w:rsidR="00D12A7D">
        <w:rPr>
          <w:rFonts w:eastAsia="Calibri" w:cs="Times New Roman"/>
          <w:color w:val="auto"/>
          <w:szCs w:val="24"/>
        </w:rPr>
        <w:t>;</w:t>
      </w:r>
      <w:r w:rsidR="00573E01">
        <w:rPr>
          <w:rFonts w:eastAsia="Calibri" w:cs="Times New Roman"/>
          <w:color w:val="auto"/>
          <w:szCs w:val="24"/>
        </w:rPr>
        <w:t xml:space="preserve"> and</w:t>
      </w:r>
      <w:r w:rsidR="00D12A7D">
        <w:rPr>
          <w:rFonts w:eastAsia="Calibri" w:cs="Times New Roman"/>
          <w:color w:val="auto"/>
          <w:szCs w:val="24"/>
        </w:rPr>
        <w:t>,</w:t>
      </w:r>
      <w:r w:rsidR="00573E01">
        <w:rPr>
          <w:rFonts w:eastAsia="Calibri" w:cs="Times New Roman"/>
          <w:color w:val="auto"/>
          <w:szCs w:val="24"/>
        </w:rPr>
        <w:t xml:space="preserve"> were presumably available to the PEB which convened on March 28.  </w:t>
      </w:r>
      <w:r w:rsidR="00D12A7D">
        <w:rPr>
          <w:rFonts w:eastAsia="Calibri" w:cs="Times New Roman"/>
          <w:color w:val="auto"/>
          <w:szCs w:val="24"/>
        </w:rPr>
        <w:t xml:space="preserve">The EMG report documented “evidence of bilateral (left &gt; right) neuropathic process … consistent with lower lumbar </w:t>
      </w:r>
      <w:proofErr w:type="spellStart"/>
      <w:r w:rsidR="00D12A7D">
        <w:rPr>
          <w:rFonts w:eastAsia="Calibri" w:cs="Times New Roman"/>
          <w:color w:val="auto"/>
          <w:szCs w:val="24"/>
        </w:rPr>
        <w:t>polyradiculitis</w:t>
      </w:r>
      <w:proofErr w:type="spellEnd"/>
      <w:r w:rsidR="00D12A7D">
        <w:rPr>
          <w:rFonts w:eastAsia="Calibri" w:cs="Times New Roman"/>
          <w:color w:val="auto"/>
          <w:szCs w:val="24"/>
        </w:rPr>
        <w:t xml:space="preserve"> … does not show a focal neuropathy”.  The NARSUM orthopedist opined that these were expected EMG findings in light of the imaging results.  The NARSUM </w:t>
      </w:r>
      <w:r w:rsidR="00D16DDF">
        <w:rPr>
          <w:rFonts w:eastAsia="Calibri" w:cs="Times New Roman"/>
          <w:color w:val="auto"/>
          <w:szCs w:val="24"/>
        </w:rPr>
        <w:t xml:space="preserve">did not document the presence or absence of concurrent </w:t>
      </w:r>
      <w:r w:rsidR="00D12A7D">
        <w:rPr>
          <w:rFonts w:eastAsia="Calibri" w:cs="Times New Roman"/>
          <w:color w:val="auto"/>
          <w:szCs w:val="24"/>
        </w:rPr>
        <w:t xml:space="preserve">neurologic </w:t>
      </w:r>
      <w:r w:rsidR="00D16DDF">
        <w:rPr>
          <w:rFonts w:eastAsia="Calibri" w:cs="Times New Roman"/>
          <w:color w:val="auto"/>
          <w:szCs w:val="24"/>
        </w:rPr>
        <w:t xml:space="preserve">symptoms; but, exam </w:t>
      </w:r>
      <w:r w:rsidR="00D12A7D">
        <w:rPr>
          <w:rFonts w:eastAsia="Calibri" w:cs="Times New Roman"/>
          <w:color w:val="auto"/>
          <w:szCs w:val="24"/>
        </w:rPr>
        <w:t xml:space="preserve">findings were 5/5 motor strength throughout and symmetric reflexes.  </w:t>
      </w:r>
      <w:r w:rsidR="00D16DDF">
        <w:rPr>
          <w:rFonts w:eastAsia="Calibri" w:cs="Times New Roman"/>
          <w:color w:val="auto"/>
          <w:szCs w:val="24"/>
        </w:rPr>
        <w:t>There was a mild sensory deficit in the left L5/S1 dermatome.  The post-separation VA examiner reported that “numbness affects legs intermittently several times a week</w:t>
      </w:r>
      <w:r w:rsidR="003543EC">
        <w:rPr>
          <w:rFonts w:eastAsia="Calibri" w:cs="Times New Roman"/>
          <w:color w:val="auto"/>
          <w:szCs w:val="24"/>
        </w:rPr>
        <w:t>.</w:t>
      </w:r>
      <w:r w:rsidR="00D16DDF">
        <w:rPr>
          <w:rFonts w:eastAsia="Calibri" w:cs="Times New Roman"/>
          <w:color w:val="auto"/>
          <w:szCs w:val="24"/>
        </w:rPr>
        <w:t>”  On the VA exam there was “no evidence of radiating pain on movement</w:t>
      </w:r>
      <w:r w:rsidR="003543EC">
        <w:rPr>
          <w:rFonts w:eastAsia="Calibri" w:cs="Times New Roman"/>
          <w:color w:val="auto"/>
          <w:szCs w:val="24"/>
        </w:rPr>
        <w:t>,</w:t>
      </w:r>
      <w:r w:rsidR="00D16DDF">
        <w:rPr>
          <w:rFonts w:eastAsia="Calibri" w:cs="Times New Roman"/>
          <w:color w:val="auto"/>
          <w:szCs w:val="24"/>
        </w:rPr>
        <w:t xml:space="preserve">” and normal neurologic </w:t>
      </w:r>
      <w:r w:rsidR="00115DB2">
        <w:rPr>
          <w:rFonts w:eastAsia="Calibri" w:cs="Times New Roman"/>
          <w:color w:val="auto"/>
          <w:szCs w:val="24"/>
        </w:rPr>
        <w:t>testing was detailed</w:t>
      </w:r>
      <w:r w:rsidR="00D16DDF">
        <w:rPr>
          <w:rFonts w:eastAsia="Calibri" w:cs="Times New Roman"/>
          <w:color w:val="auto"/>
          <w:szCs w:val="24"/>
        </w:rPr>
        <w:t xml:space="preserve">.  </w:t>
      </w:r>
      <w:r w:rsidR="00115DB2">
        <w:rPr>
          <w:rFonts w:eastAsia="Calibri" w:cs="Times New Roman"/>
          <w:color w:val="auto"/>
          <w:szCs w:val="24"/>
        </w:rPr>
        <w:t xml:space="preserve">The VA examiner opined, “There are no signs of lumbar </w:t>
      </w:r>
      <w:proofErr w:type="spellStart"/>
      <w:r w:rsidR="00115DB2">
        <w:rPr>
          <w:rFonts w:eastAsia="Calibri" w:cs="Times New Roman"/>
          <w:color w:val="auto"/>
          <w:szCs w:val="24"/>
        </w:rPr>
        <w:t>intervertebral</w:t>
      </w:r>
      <w:proofErr w:type="spellEnd"/>
      <w:r w:rsidR="00115DB2">
        <w:rPr>
          <w:rFonts w:eastAsia="Calibri" w:cs="Times New Roman"/>
          <w:color w:val="auto"/>
          <w:szCs w:val="24"/>
        </w:rPr>
        <w:t xml:space="preserve"> disc syndrome with chronic and permanent nerve root involvement.”  There was consequently no additional rating for neuropathy awarded by the VA.  </w:t>
      </w:r>
      <w:r w:rsidR="00115DB2" w:rsidRPr="00115DB2">
        <w:rPr>
          <w:rFonts w:eastAsia="Calibri" w:cs="Times New Roman"/>
          <w:color w:val="auto"/>
          <w:szCs w:val="24"/>
        </w:rPr>
        <w:t xml:space="preserve">Firm Board precedent requires a functional impairment tied to fitness to support a recommendation for addition of a peripheral nerve rating to </w:t>
      </w:r>
      <w:r w:rsidR="003543EC">
        <w:rPr>
          <w:rFonts w:eastAsia="Calibri" w:cs="Times New Roman"/>
          <w:color w:val="auto"/>
          <w:szCs w:val="24"/>
        </w:rPr>
        <w:t>s</w:t>
      </w:r>
      <w:r w:rsidR="00115DB2" w:rsidRPr="00115DB2">
        <w:rPr>
          <w:rFonts w:eastAsia="Calibri" w:cs="Times New Roman"/>
          <w:color w:val="auto"/>
          <w:szCs w:val="24"/>
        </w:rPr>
        <w:t xml:space="preserve">ervice disability in spine cases.  The pain component of a radiculopathy is subsumed under the general spine rating as specified in §4.71a.  The </w:t>
      </w:r>
      <w:r w:rsidR="00115DB2">
        <w:rPr>
          <w:rFonts w:eastAsia="Calibri" w:cs="Times New Roman"/>
          <w:color w:val="auto"/>
          <w:szCs w:val="24"/>
        </w:rPr>
        <w:t xml:space="preserve">presumptive </w:t>
      </w:r>
      <w:r w:rsidR="00115DB2" w:rsidRPr="00115DB2">
        <w:rPr>
          <w:rFonts w:eastAsia="Calibri" w:cs="Times New Roman"/>
          <w:color w:val="auto"/>
          <w:szCs w:val="24"/>
        </w:rPr>
        <w:t xml:space="preserve">sensory component in this case has no functional implications, and no motor weakness was in evidence. </w:t>
      </w:r>
      <w:r w:rsidR="00115DB2">
        <w:rPr>
          <w:rFonts w:eastAsia="Calibri" w:cs="Times New Roman"/>
          <w:color w:val="auto"/>
          <w:szCs w:val="24"/>
        </w:rPr>
        <w:t xml:space="preserve"> </w:t>
      </w:r>
      <w:r w:rsidR="00115DB2" w:rsidRPr="00115DB2">
        <w:rPr>
          <w:rFonts w:eastAsia="Calibri" w:cs="Times New Roman"/>
          <w:color w:val="auto"/>
          <w:szCs w:val="24"/>
        </w:rPr>
        <w:t>Since no evidence of functional impairment exists in this case, the Board cannot support a</w:t>
      </w:r>
      <w:r w:rsidR="003543EC">
        <w:rPr>
          <w:rFonts w:eastAsia="Calibri" w:cs="Times New Roman"/>
          <w:color w:val="auto"/>
          <w:szCs w:val="24"/>
        </w:rPr>
        <w:t xml:space="preserve"> recommendation for additional d</w:t>
      </w:r>
      <w:r w:rsidR="00446CBA">
        <w:rPr>
          <w:rFonts w:eastAsia="Calibri" w:cs="Times New Roman"/>
          <w:color w:val="auto"/>
          <w:szCs w:val="24"/>
        </w:rPr>
        <w:t xml:space="preserve">isability </w:t>
      </w:r>
      <w:r w:rsidR="00115DB2" w:rsidRPr="00115DB2">
        <w:rPr>
          <w:rFonts w:eastAsia="Calibri" w:cs="Times New Roman"/>
          <w:color w:val="auto"/>
          <w:szCs w:val="24"/>
        </w:rPr>
        <w:t xml:space="preserve">rating </w:t>
      </w:r>
      <w:r w:rsidR="00446CBA">
        <w:rPr>
          <w:rFonts w:eastAsia="Calibri" w:cs="Times New Roman"/>
          <w:color w:val="auto"/>
          <w:szCs w:val="24"/>
        </w:rPr>
        <w:t>for a</w:t>
      </w:r>
      <w:r w:rsidR="00115DB2" w:rsidRPr="00115DB2">
        <w:rPr>
          <w:rFonts w:eastAsia="Calibri" w:cs="Times New Roman"/>
          <w:color w:val="auto"/>
          <w:szCs w:val="24"/>
        </w:rPr>
        <w:t xml:space="preserve"> peripheral </w:t>
      </w:r>
      <w:r w:rsidR="00446CBA">
        <w:rPr>
          <w:rFonts w:eastAsia="Calibri" w:cs="Times New Roman"/>
          <w:color w:val="auto"/>
          <w:szCs w:val="24"/>
        </w:rPr>
        <w:t>neuropathy</w:t>
      </w:r>
      <w:r w:rsidR="00115DB2" w:rsidRPr="00115DB2">
        <w:rPr>
          <w:rFonts w:eastAsia="Calibri" w:cs="Times New Roman"/>
          <w:color w:val="auto"/>
          <w:szCs w:val="24"/>
        </w:rPr>
        <w:t>.</w:t>
      </w:r>
      <w:r w:rsidRPr="006002FE">
        <w:rPr>
          <w:rFonts w:eastAsia="Calibri" w:cs="Times New Roman"/>
          <w:color w:val="auto"/>
          <w:szCs w:val="24"/>
        </w:rPr>
        <w:t xml:space="preserve"> </w:t>
      </w:r>
    </w:p>
    <w:p w:rsidR="00EC148D" w:rsidRDefault="00EC148D" w:rsidP="009A7578">
      <w:pPr>
        <w:jc w:val="both"/>
        <w:rPr>
          <w:rFonts w:eastAsia="Calibri" w:cs="Times New Roman"/>
          <w:color w:val="auto"/>
          <w:szCs w:val="24"/>
        </w:rPr>
      </w:pPr>
    </w:p>
    <w:p w:rsidR="00434694" w:rsidRDefault="00AD2379" w:rsidP="00A02AA8">
      <w:pPr>
        <w:jc w:val="both"/>
        <w:rPr>
          <w:color w:val="000000"/>
        </w:rPr>
      </w:pPr>
      <w:proofErr w:type="gramStart"/>
      <w:r w:rsidRPr="00D8352E">
        <w:rPr>
          <w:color w:val="000000"/>
          <w:u w:val="single"/>
        </w:rPr>
        <w:t>Remaining Conditions</w:t>
      </w:r>
      <w:r w:rsidRPr="00164413">
        <w:rPr>
          <w:color w:val="000000"/>
        </w:rPr>
        <w:t>.</w:t>
      </w:r>
      <w:proofErr w:type="gramEnd"/>
      <w:r w:rsidRPr="00164413">
        <w:rPr>
          <w:color w:val="000000"/>
        </w:rPr>
        <w:t xml:space="preserve"> </w:t>
      </w:r>
      <w:r w:rsidR="00680450">
        <w:rPr>
          <w:color w:val="000000"/>
        </w:rPr>
        <w:t xml:space="preserve"> </w:t>
      </w:r>
      <w:r w:rsidR="00446CBA">
        <w:rPr>
          <w:color w:val="000000"/>
        </w:rPr>
        <w:t xml:space="preserve">Although the CI mentions hypertension and hypercholesterolemia in his contention, neither of these conditions </w:t>
      </w:r>
      <w:r w:rsidR="00F03E19">
        <w:rPr>
          <w:color w:val="000000"/>
        </w:rPr>
        <w:t>was</w:t>
      </w:r>
      <w:r w:rsidR="00446CBA">
        <w:rPr>
          <w:color w:val="000000"/>
        </w:rPr>
        <w:t xml:space="preserve"> documented in the NARSUM.  The</w:t>
      </w:r>
      <w:r w:rsidR="00F03E19">
        <w:rPr>
          <w:color w:val="000000"/>
        </w:rPr>
        <w:t>re were no medications listed for either condition.  Normal blood pressure was recorded on the MEB physical and a ‘</w:t>
      </w:r>
      <w:r w:rsidR="003543EC">
        <w:rPr>
          <w:color w:val="000000"/>
        </w:rPr>
        <w:t>N</w:t>
      </w:r>
      <w:r w:rsidR="00F03E19">
        <w:rPr>
          <w:color w:val="000000"/>
        </w:rPr>
        <w:t xml:space="preserve">o’ response checked for history of high blood pressure.  The post-separation VA C&amp;P examiner, in fact, made an entry that the CI did not have a history of hypertension.  Hypercholesterolemia </w:t>
      </w:r>
      <w:r w:rsidR="00F03E19" w:rsidRPr="00D94F76">
        <w:rPr>
          <w:color w:val="auto"/>
        </w:rPr>
        <w:t>is not a ratable condition IAW DoD and VA regulations</w:t>
      </w:r>
      <w:r w:rsidR="00F03E19">
        <w:rPr>
          <w:color w:val="auto"/>
        </w:rPr>
        <w:t xml:space="preserve">.  </w:t>
      </w:r>
      <w:r w:rsidR="00680450" w:rsidRPr="00680450">
        <w:rPr>
          <w:rFonts w:eastAsia="Calibri" w:cs="Times New Roman"/>
          <w:color w:val="auto"/>
          <w:szCs w:val="24"/>
        </w:rPr>
        <w:t xml:space="preserve">Other conditions identified in the </w:t>
      </w:r>
      <w:r w:rsidR="00033287">
        <w:rPr>
          <w:rFonts w:eastAsia="Calibri" w:cs="Times New Roman"/>
          <w:color w:val="auto"/>
          <w:szCs w:val="24"/>
        </w:rPr>
        <w:t xml:space="preserve">core </w:t>
      </w:r>
      <w:r w:rsidR="00680450" w:rsidRPr="00680450">
        <w:rPr>
          <w:rFonts w:eastAsia="Calibri" w:cs="Times New Roman"/>
          <w:color w:val="auto"/>
          <w:szCs w:val="24"/>
        </w:rPr>
        <w:t xml:space="preserve">DES file were </w:t>
      </w:r>
      <w:r w:rsidR="00F03E19">
        <w:rPr>
          <w:rFonts w:eastAsia="Calibri" w:cs="Times New Roman"/>
          <w:color w:val="auto"/>
          <w:szCs w:val="24"/>
        </w:rPr>
        <w:t xml:space="preserve">a prior appendectomy, a prior right knee injury, and a prior surgical fracture of the right hand.  </w:t>
      </w:r>
      <w:r w:rsidR="00607AC8" w:rsidRPr="00607AC8">
        <w:rPr>
          <w:color w:val="000000"/>
        </w:rPr>
        <w:t>None of these conditions were significantly clinically or occupationally active during the MEB period; none carried attached profiles; and, none were implicated in the c</w:t>
      </w:r>
      <w:r w:rsidR="00607AC8">
        <w:rPr>
          <w:color w:val="000000"/>
        </w:rPr>
        <w:t>ommander’s statement.</w:t>
      </w:r>
      <w:r w:rsidR="00607AC8" w:rsidRPr="00607AC8">
        <w:rPr>
          <w:color w:val="000000"/>
        </w:rPr>
        <w:t xml:space="preserve">  These conditions were reviewed by the </w:t>
      </w:r>
      <w:r w:rsidR="003543EC">
        <w:rPr>
          <w:color w:val="000000"/>
        </w:rPr>
        <w:t>a</w:t>
      </w:r>
      <w:r w:rsidR="00607AC8" w:rsidRPr="00607AC8">
        <w:rPr>
          <w:color w:val="000000"/>
        </w:rPr>
        <w:t xml:space="preserve">ction </w:t>
      </w:r>
      <w:r w:rsidR="003543EC">
        <w:rPr>
          <w:color w:val="000000"/>
        </w:rPr>
        <w:t>o</w:t>
      </w:r>
      <w:r w:rsidR="00607AC8" w:rsidRPr="00607AC8">
        <w:rPr>
          <w:color w:val="000000"/>
        </w:rPr>
        <w:t xml:space="preserve">fficer and considered by the Board.  </w:t>
      </w:r>
      <w:r w:rsidRPr="00D8352E">
        <w:rPr>
          <w:color w:val="000000"/>
        </w:rPr>
        <w:t xml:space="preserve">It was determined that none could be argued as unfitting and subject to separation rating. </w:t>
      </w:r>
      <w:r w:rsidR="00991691">
        <w:rPr>
          <w:color w:val="000000"/>
        </w:rPr>
        <w:t xml:space="preserve"> </w:t>
      </w:r>
      <w:r w:rsidR="00AA088E" w:rsidRPr="00D8352E">
        <w:rPr>
          <w:color w:val="000000"/>
        </w:rPr>
        <w:t>The Board therefore has no reasonable basis for recommending any additional unfitting conditions for separation rating.</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0F12" w:rsidRPr="00560F12" w:rsidRDefault="00AD2379" w:rsidP="00560F12">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surmise from </w:t>
      </w:r>
      <w:r w:rsidRPr="00991691">
        <w:rPr>
          <w:rFonts w:cs="Times New Roman"/>
          <w:color w:val="auto"/>
        </w:rPr>
        <w:t>the record or PEB ruling in this case that any prerogatives outside the VASRD were exercised.</w:t>
      </w:r>
      <w:r w:rsidR="008734E7" w:rsidRPr="00991691">
        <w:rPr>
          <w:rFonts w:cs="Times New Roman"/>
          <w:color w:val="auto"/>
        </w:rPr>
        <w:t xml:space="preserve"> </w:t>
      </w:r>
      <w:r w:rsidRPr="00991691">
        <w:rPr>
          <w:rFonts w:cs="Times New Roman"/>
          <w:color w:val="auto"/>
        </w:rPr>
        <w:t xml:space="preserve"> </w:t>
      </w:r>
      <w:r w:rsidR="00241B01" w:rsidRPr="00991691">
        <w:rPr>
          <w:rFonts w:eastAsia="Calibri" w:cs="Times New Roman"/>
          <w:color w:val="auto"/>
          <w:szCs w:val="24"/>
        </w:rPr>
        <w:t xml:space="preserve">In the matter of the </w:t>
      </w:r>
      <w:r w:rsidR="00991691" w:rsidRPr="00991691">
        <w:rPr>
          <w:rFonts w:eastAsia="Calibri" w:cs="Times New Roman"/>
          <w:color w:val="auto"/>
          <w:szCs w:val="24"/>
        </w:rPr>
        <w:t>lumbar spine</w:t>
      </w:r>
      <w:r w:rsidR="00241B01" w:rsidRPr="00991691">
        <w:rPr>
          <w:rFonts w:eastAsia="Calibri" w:cs="Times New Roman"/>
          <w:color w:val="auto"/>
          <w:szCs w:val="24"/>
        </w:rPr>
        <w:t xml:space="preserve"> condition</w:t>
      </w:r>
      <w:r w:rsidR="00991691" w:rsidRPr="00991691">
        <w:rPr>
          <w:rFonts w:eastAsia="Calibri" w:cs="Times New Roman"/>
          <w:color w:val="auto"/>
          <w:szCs w:val="24"/>
        </w:rPr>
        <w:t xml:space="preserve"> </w:t>
      </w:r>
      <w:r w:rsidR="00560F12" w:rsidRPr="00991691">
        <w:rPr>
          <w:rFonts w:eastAsia="Calibri" w:cs="Times New Roman"/>
          <w:color w:val="auto"/>
          <w:szCs w:val="24"/>
        </w:rPr>
        <w:t xml:space="preserve">and IAW VASRD §4.71a, the Board unanimously recommends no change in the PEB adjudication.  In the matter of the contended </w:t>
      </w:r>
      <w:r w:rsidR="00991691" w:rsidRPr="00991691">
        <w:rPr>
          <w:rFonts w:eastAsia="Calibri" w:cs="Times New Roman"/>
          <w:color w:val="auto"/>
          <w:szCs w:val="24"/>
        </w:rPr>
        <w:t>lumbar neuropathy, hypertension</w:t>
      </w:r>
      <w:r w:rsidR="00560F12" w:rsidRPr="00991691">
        <w:rPr>
          <w:rFonts w:eastAsia="Calibri" w:cs="Times New Roman"/>
          <w:color w:val="auto"/>
          <w:szCs w:val="24"/>
        </w:rPr>
        <w:t xml:space="preserve">, and </w:t>
      </w:r>
      <w:r w:rsidR="00991691" w:rsidRPr="00991691">
        <w:rPr>
          <w:rFonts w:eastAsia="Calibri" w:cs="Times New Roman"/>
          <w:color w:val="auto"/>
          <w:szCs w:val="24"/>
        </w:rPr>
        <w:t>hypercholesterolemia</w:t>
      </w:r>
      <w:r w:rsidR="00560F12" w:rsidRPr="00991691">
        <w:rPr>
          <w:rFonts w:eastAsia="Calibri" w:cs="Times New Roman"/>
          <w:color w:val="auto"/>
          <w:szCs w:val="24"/>
        </w:rPr>
        <w:t xml:space="preserve"> conditions, the Board unanimously agrees that it cannot</w:t>
      </w:r>
      <w:r w:rsidR="00560F12" w:rsidRPr="00991691">
        <w:rPr>
          <w:rFonts w:eastAsia="Calibri" w:cs="Times New Roman"/>
          <w:color w:val="000080"/>
          <w:szCs w:val="24"/>
        </w:rPr>
        <w:t xml:space="preserve"> </w:t>
      </w:r>
      <w:r w:rsidR="00560F12" w:rsidRPr="00991691">
        <w:rPr>
          <w:rFonts w:eastAsia="Calibri" w:cs="Times New Roman"/>
          <w:color w:val="auto"/>
          <w:szCs w:val="24"/>
        </w:rPr>
        <w:t>recommend a</w:t>
      </w:r>
      <w:r w:rsidR="00991691" w:rsidRPr="00991691">
        <w:rPr>
          <w:rFonts w:eastAsia="Calibri" w:cs="Times New Roman"/>
          <w:color w:val="auto"/>
          <w:szCs w:val="24"/>
        </w:rPr>
        <w:t>ny</w:t>
      </w:r>
      <w:r w:rsidR="00560F12" w:rsidRPr="00991691">
        <w:rPr>
          <w:rFonts w:eastAsia="Calibri" w:cs="Times New Roman"/>
          <w:color w:val="auto"/>
          <w:szCs w:val="24"/>
        </w:rPr>
        <w:t xml:space="preserve"> finding of unfit for additional disability </w:t>
      </w:r>
      <w:r w:rsidR="00560F12" w:rsidRPr="00991691">
        <w:rPr>
          <w:rFonts w:eastAsia="Calibri" w:cs="Times New Roman"/>
          <w:color w:val="auto"/>
          <w:szCs w:val="24"/>
        </w:rPr>
        <w:lastRenderedPageBreak/>
        <w:t>rating.  The Board unanimously agrees that there were no other</w:t>
      </w:r>
      <w:r w:rsidR="00560F12" w:rsidRPr="00560F12">
        <w:rPr>
          <w:rFonts w:eastAsia="Calibri" w:cs="Times New Roman"/>
          <w:color w:val="auto"/>
          <w:szCs w:val="24"/>
        </w:rPr>
        <w:t xml:space="preserve"> conditions eligible for Board consideration which could be recommended as unfitting for additional disability rating.</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AD2379" w:rsidRDefault="00AD2379" w:rsidP="00B22D42">
      <w:pPr>
        <w:jc w:val="left"/>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w:t>
      </w:r>
      <w:proofErr w:type="spellStart"/>
      <w:r w:rsidRPr="001F29F9">
        <w:rPr>
          <w:color w:val="000000"/>
        </w:rPr>
        <w:t>recharacterization</w:t>
      </w:r>
      <w:proofErr w:type="spellEnd"/>
      <w:r w:rsidRPr="001F29F9">
        <w:rPr>
          <w:color w:val="000000"/>
        </w:rPr>
        <w:t xml:space="preserve">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991691" w:rsidP="00BF0E94">
            <w:pPr>
              <w:tabs>
                <w:tab w:val="left" w:pos="288"/>
                <w:tab w:val="left" w:pos="4752"/>
              </w:tabs>
              <w:jc w:val="left"/>
              <w:rPr>
                <w:color w:val="000000"/>
              </w:rPr>
            </w:pPr>
            <w:r>
              <w:rPr>
                <w:color w:val="000000"/>
              </w:rPr>
              <w:t>Lumbar Degenerative Disc Disease</w:t>
            </w:r>
          </w:p>
        </w:tc>
        <w:tc>
          <w:tcPr>
            <w:tcW w:w="1530" w:type="dxa"/>
            <w:vAlign w:val="center"/>
          </w:tcPr>
          <w:p w:rsidR="00AD2379" w:rsidRPr="000D5DBE" w:rsidRDefault="00594C9E" w:rsidP="00BF0E94">
            <w:pPr>
              <w:tabs>
                <w:tab w:val="left" w:pos="288"/>
                <w:tab w:val="left" w:pos="4752"/>
              </w:tabs>
              <w:rPr>
                <w:color w:val="000000"/>
              </w:rPr>
            </w:pPr>
            <w:r>
              <w:rPr>
                <w:color w:val="000000"/>
              </w:rPr>
              <w:t>5299-</w:t>
            </w:r>
            <w:r w:rsidR="00991691">
              <w:rPr>
                <w:color w:val="000000"/>
              </w:rPr>
              <w:t>5242</w:t>
            </w:r>
          </w:p>
        </w:tc>
        <w:tc>
          <w:tcPr>
            <w:tcW w:w="1026" w:type="dxa"/>
            <w:vAlign w:val="center"/>
          </w:tcPr>
          <w:p w:rsidR="00AD2379" w:rsidRPr="000D5DBE" w:rsidRDefault="00991691" w:rsidP="00BF0E94">
            <w:pPr>
              <w:tabs>
                <w:tab w:val="left" w:pos="288"/>
                <w:tab w:val="left" w:pos="4752"/>
              </w:tabs>
              <w:rPr>
                <w:color w:val="000000"/>
              </w:rPr>
            </w:pPr>
            <w:r>
              <w:rPr>
                <w:color w:val="000000"/>
              </w:rPr>
              <w:t>2</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991691" w:rsidP="00BF0E94">
            <w:pPr>
              <w:tabs>
                <w:tab w:val="left" w:pos="288"/>
                <w:tab w:val="left" w:pos="4752"/>
              </w:tabs>
              <w:rPr>
                <w:b/>
                <w:color w:val="000000"/>
              </w:rPr>
            </w:pPr>
            <w:r>
              <w:rPr>
                <w:b/>
                <w:color w:val="000000"/>
              </w:rPr>
              <w:t>2</w:t>
            </w:r>
            <w:r w:rsidR="00AD2379" w:rsidRPr="000D5DBE">
              <w:rPr>
                <w:b/>
                <w:color w:val="000000"/>
              </w:rPr>
              <w:t>0%</w:t>
            </w:r>
          </w:p>
        </w:tc>
      </w:tr>
    </w:tbl>
    <w:p w:rsidR="00C852CE" w:rsidRPr="001F29F9" w:rsidRDefault="00C852CE"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Pr="001F29F9" w:rsidRDefault="00AD2379" w:rsidP="00BF0E94">
      <w:pPr>
        <w:tabs>
          <w:tab w:val="left" w:pos="288"/>
          <w:tab w:val="left" w:pos="4752"/>
        </w:tabs>
        <w:jc w:val="both"/>
        <w:rPr>
          <w:color w:val="000000"/>
        </w:rPr>
      </w:pPr>
      <w:r w:rsidRPr="001F29F9">
        <w:rPr>
          <w:color w:val="000000"/>
        </w:rPr>
        <w:t>The following documentary evidence was considered:</w:t>
      </w:r>
    </w:p>
    <w:p w:rsidR="00AD2379" w:rsidRPr="001F29F9" w:rsidRDefault="00AD2379" w:rsidP="00B3575C">
      <w:pPr>
        <w:tabs>
          <w:tab w:val="left" w:pos="288"/>
          <w:tab w:val="left" w:pos="4752"/>
        </w:tabs>
        <w:spacing w:line="440" w:lineRule="exact"/>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dated 2011</w:t>
      </w:r>
      <w:r w:rsidR="00232083">
        <w:rPr>
          <w:color w:val="auto"/>
          <w:szCs w:val="24"/>
        </w:rPr>
        <w:t>0902</w:t>
      </w:r>
      <w:r w:rsidRPr="001F29F9">
        <w:rPr>
          <w:color w:val="000000"/>
        </w:rPr>
        <w:t>, w/atchs.</w:t>
      </w:r>
    </w:p>
    <w:p w:rsidR="00AD2379" w:rsidRPr="001F29F9" w:rsidRDefault="00AD2379" w:rsidP="00BF0E94">
      <w:pPr>
        <w:tabs>
          <w:tab w:val="left" w:pos="288"/>
          <w:tab w:val="left" w:pos="4752"/>
        </w:tabs>
        <w:jc w:val="both"/>
        <w:rPr>
          <w:color w:val="000000"/>
        </w:rPr>
      </w:pPr>
      <w:r w:rsidRPr="001F29F9">
        <w:rPr>
          <w:color w:val="000000"/>
        </w:rPr>
        <w:t xml:space="preserve">Exhibit B.  </w:t>
      </w:r>
      <w:proofErr w:type="gramStart"/>
      <w:r w:rsidRPr="001F29F9">
        <w:rPr>
          <w:color w:val="000000"/>
        </w:rPr>
        <w:t>Service Treatment Record.</w:t>
      </w:r>
      <w:proofErr w:type="gramEnd"/>
    </w:p>
    <w:p w:rsidR="00AD2379" w:rsidRPr="001F29F9" w:rsidRDefault="00AD2379" w:rsidP="00BF0E94">
      <w:pPr>
        <w:tabs>
          <w:tab w:val="left" w:pos="288"/>
          <w:tab w:val="left" w:pos="4752"/>
        </w:tabs>
        <w:jc w:val="both"/>
        <w:rPr>
          <w:color w:val="000000"/>
        </w:rPr>
      </w:pPr>
      <w:r w:rsidRPr="001F29F9">
        <w:rPr>
          <w:color w:val="000000"/>
        </w:rPr>
        <w:t xml:space="preserve">Exhibit C.  </w:t>
      </w:r>
      <w:proofErr w:type="gramStart"/>
      <w:r w:rsidRPr="001F29F9">
        <w:rPr>
          <w:color w:val="000000"/>
        </w:rPr>
        <w:t>Department of Veterans Affairs Treatment Record.</w:t>
      </w:r>
      <w:proofErr w:type="gramEnd"/>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C857DF">
        <w:rPr>
          <w:color w:val="000000"/>
        </w:rPr>
        <w:t>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C857DF" w:rsidRDefault="00AD2379" w:rsidP="00CF7136">
      <w:pPr>
        <w:tabs>
          <w:tab w:val="left" w:pos="0"/>
          <w:tab w:val="left" w:pos="4320"/>
        </w:tabs>
        <w:jc w:val="both"/>
        <w:rPr>
          <w:color w:val="000000"/>
        </w:rPr>
      </w:pPr>
      <w:r w:rsidRPr="001F29F9">
        <w:rPr>
          <w:color w:val="000000"/>
        </w:rPr>
        <w:tab/>
        <w:t xml:space="preserve">           Physical Disability Board of Review</w:t>
      </w:r>
    </w:p>
    <w:p w:rsidR="00C857DF" w:rsidRDefault="00C857DF">
      <w:pPr>
        <w:spacing w:line="240" w:lineRule="auto"/>
        <w:jc w:val="left"/>
        <w:rPr>
          <w:color w:val="000000"/>
        </w:rPr>
      </w:pPr>
      <w:r>
        <w:rPr>
          <w:color w:val="000000"/>
        </w:rPr>
        <w:br w:type="page"/>
      </w:r>
    </w:p>
    <w:p w:rsidR="00C857DF" w:rsidRDefault="00C857DF" w:rsidP="00C857DF">
      <w:pPr>
        <w:sectPr w:rsidR="00C857DF">
          <w:pgSz w:w="12240" w:h="15840"/>
          <w:pgMar w:top="2160" w:right="1440" w:bottom="1440" w:left="1440" w:header="720" w:footer="720" w:gutter="0"/>
          <w:cols w:space="720"/>
        </w:sectPr>
      </w:pPr>
    </w:p>
    <w:p w:rsidR="00C857DF" w:rsidRDefault="00C857DF" w:rsidP="00C857DF">
      <w:pPr>
        <w:pStyle w:val="Header"/>
        <w:tabs>
          <w:tab w:val="left" w:pos="720"/>
        </w:tabs>
        <w:jc w:val="left"/>
      </w:pPr>
      <w:r>
        <w:lastRenderedPageBreak/>
        <w:t>SFMR-RB</w:t>
      </w:r>
      <w:r>
        <w:tab/>
      </w:r>
      <w:r>
        <w:tab/>
      </w:r>
      <w:r>
        <w:tab/>
      </w:r>
      <w:r>
        <w:tab/>
      </w:r>
      <w:r>
        <w:tab/>
      </w:r>
      <w:r>
        <w:tab/>
      </w:r>
      <w:r>
        <w:tab/>
      </w:r>
      <w:r>
        <w:tab/>
      </w:r>
      <w:r>
        <w:tab/>
      </w:r>
    </w:p>
    <w:p w:rsidR="00C857DF" w:rsidRDefault="00C857DF" w:rsidP="00C857DF">
      <w:pPr>
        <w:pStyle w:val="Header"/>
        <w:tabs>
          <w:tab w:val="left" w:pos="720"/>
        </w:tabs>
        <w:jc w:val="left"/>
      </w:pPr>
    </w:p>
    <w:p w:rsidR="00C857DF" w:rsidRDefault="00C857DF" w:rsidP="00C857DF">
      <w:pPr>
        <w:jc w:val="left"/>
      </w:pPr>
    </w:p>
    <w:p w:rsidR="00C857DF" w:rsidRDefault="00C857DF" w:rsidP="00C857DF">
      <w:pPr>
        <w:jc w:val="left"/>
      </w:pPr>
      <w:r>
        <w:t xml:space="preserve">MEMORANDUM FOR Commander, US Army Physical Disability Agency </w:t>
      </w:r>
    </w:p>
    <w:p w:rsidR="00C857DF" w:rsidRDefault="00C857DF" w:rsidP="00C857DF">
      <w:pPr>
        <w:jc w:val="left"/>
      </w:pPr>
      <w:r>
        <w:t>(TAPD-ZB /), 2900 Crystal Drive, Suite 300, Arlington, VA  22202</w:t>
      </w:r>
    </w:p>
    <w:p w:rsidR="00C857DF" w:rsidRDefault="00C857DF" w:rsidP="00C857DF">
      <w:pPr>
        <w:jc w:val="left"/>
      </w:pPr>
    </w:p>
    <w:p w:rsidR="00C857DF" w:rsidRDefault="00C857DF" w:rsidP="00C857DF">
      <w:pPr>
        <w:ind w:right="-180"/>
        <w:jc w:val="left"/>
      </w:pPr>
      <w:r>
        <w:t xml:space="preserve">SUBJECT:  Department of Defense Physical Disability Board of Review Recommendation for </w:t>
      </w:r>
      <w:r w:rsidR="00425F0F">
        <w:t>XXXXXXXXXX</w:t>
      </w:r>
      <w:r>
        <w:t>, AR20120007684 (PD201100859)</w:t>
      </w:r>
    </w:p>
    <w:p w:rsidR="00C857DF" w:rsidRDefault="00C857DF" w:rsidP="00C857DF">
      <w:pPr>
        <w:pStyle w:val="Header"/>
        <w:tabs>
          <w:tab w:val="left" w:pos="720"/>
        </w:tabs>
        <w:jc w:val="left"/>
      </w:pPr>
    </w:p>
    <w:p w:rsidR="00C857DF" w:rsidRDefault="00C857DF" w:rsidP="00C857DF">
      <w:pPr>
        <w:jc w:val="left"/>
      </w:pPr>
    </w:p>
    <w:p w:rsidR="00C857DF" w:rsidRDefault="00C857DF" w:rsidP="00C857DF">
      <w:pPr>
        <w:jc w:val="left"/>
      </w:pPr>
      <w: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C857DF" w:rsidRDefault="00C857DF" w:rsidP="00C857DF">
      <w:pPr>
        <w:jc w:val="left"/>
      </w:pPr>
      <w:r>
        <w:t>This decision is final.  The individual concerned, counsel (if any), and any Members of Congress who have shown interest in this application have been notified of this decision by mail.</w:t>
      </w:r>
    </w:p>
    <w:p w:rsidR="00C857DF" w:rsidRDefault="00C857DF" w:rsidP="00C857DF">
      <w:pPr>
        <w:jc w:val="left"/>
      </w:pPr>
    </w:p>
    <w:p w:rsidR="00C857DF" w:rsidRDefault="00C857DF" w:rsidP="00C857DF">
      <w:pPr>
        <w:jc w:val="left"/>
      </w:pPr>
      <w:r>
        <w:t xml:space="preserve"> BY ORDER OF THE SECRETARY OF THE ARMY:</w:t>
      </w:r>
    </w:p>
    <w:p w:rsidR="00C857DF" w:rsidRDefault="00C857DF" w:rsidP="00C857DF">
      <w:pPr>
        <w:jc w:val="left"/>
      </w:pPr>
    </w:p>
    <w:p w:rsidR="00C857DF" w:rsidRDefault="00C857DF" w:rsidP="00C857DF">
      <w:pPr>
        <w:jc w:val="left"/>
      </w:pPr>
    </w:p>
    <w:p w:rsidR="00C857DF" w:rsidRDefault="00C857DF" w:rsidP="00C857DF">
      <w:pPr>
        <w:pStyle w:val="Header"/>
        <w:tabs>
          <w:tab w:val="left" w:pos="720"/>
        </w:tabs>
        <w:jc w:val="left"/>
      </w:pPr>
    </w:p>
    <w:p w:rsidR="00C857DF" w:rsidRDefault="00C857DF" w:rsidP="00C857DF">
      <w:pPr>
        <w:jc w:val="left"/>
      </w:pPr>
    </w:p>
    <w:p w:rsidR="00C857DF" w:rsidRDefault="00C857DF" w:rsidP="00C857DF">
      <w:pPr>
        <w:jc w:val="left"/>
      </w:pPr>
      <w:bookmarkStart w:id="0" w:name="OLE_LINK4"/>
      <w:bookmarkStart w:id="1" w:name="OLE_LINK3"/>
      <w:r>
        <w:t>Encl</w:t>
      </w:r>
      <w:r>
        <w:tab/>
      </w:r>
      <w:r>
        <w:tab/>
      </w:r>
      <w:r>
        <w:tab/>
      </w:r>
      <w:r>
        <w:tab/>
      </w:r>
      <w:r>
        <w:tab/>
      </w:r>
      <w:r>
        <w:tab/>
        <w:t xml:space="preserve">     </w:t>
      </w:r>
      <w:r w:rsidR="00425F0F">
        <w:t>XXXXXXXXX</w:t>
      </w:r>
    </w:p>
    <w:p w:rsidR="00C857DF" w:rsidRDefault="00C857DF" w:rsidP="00C857DF">
      <w:pPr>
        <w:jc w:val="left"/>
      </w:pPr>
      <w:r>
        <w:tab/>
      </w:r>
      <w:r>
        <w:tab/>
      </w:r>
      <w:r>
        <w:tab/>
      </w:r>
      <w:r>
        <w:tab/>
      </w:r>
      <w:r>
        <w:tab/>
      </w:r>
      <w:r>
        <w:tab/>
        <w:t xml:space="preserve">     Deputy Assistant Secretary</w:t>
      </w:r>
    </w:p>
    <w:p w:rsidR="00C857DF" w:rsidRDefault="00C857DF" w:rsidP="00C857DF">
      <w:pPr>
        <w:jc w:val="left"/>
      </w:pPr>
      <w:r>
        <w:tab/>
      </w:r>
      <w:r>
        <w:tab/>
      </w:r>
      <w:r>
        <w:tab/>
      </w:r>
      <w:r>
        <w:tab/>
      </w:r>
      <w:r>
        <w:tab/>
      </w:r>
      <w:r>
        <w:tab/>
        <w:t xml:space="preserve">         (Army Review Boards)</w:t>
      </w:r>
      <w:bookmarkEnd w:id="0"/>
      <w:bookmarkEnd w:id="1"/>
    </w:p>
    <w:p w:rsidR="00C857DF" w:rsidRDefault="00C857DF" w:rsidP="00C857DF">
      <w:pPr>
        <w:jc w:val="left"/>
      </w:pPr>
    </w:p>
    <w:p w:rsidR="00C857DF" w:rsidRDefault="00C857DF" w:rsidP="00C857DF">
      <w:pPr>
        <w:jc w:val="left"/>
      </w:pPr>
      <w:r>
        <w:t xml:space="preserve">CF: </w:t>
      </w:r>
    </w:p>
    <w:p w:rsidR="00C857DF" w:rsidRDefault="00C857DF" w:rsidP="00C857DF">
      <w:pPr>
        <w:jc w:val="left"/>
      </w:pPr>
      <w:r>
        <w:t xml:space="preserve">(  ) </w:t>
      </w:r>
      <w:proofErr w:type="gramStart"/>
      <w:r>
        <w:t>DoD</w:t>
      </w:r>
      <w:proofErr w:type="gramEnd"/>
      <w:r>
        <w:t xml:space="preserve"> PDBR</w:t>
      </w:r>
    </w:p>
    <w:p w:rsidR="00C857DF" w:rsidRDefault="00C857DF" w:rsidP="00C857DF">
      <w:pPr>
        <w:jc w:val="left"/>
      </w:pPr>
      <w:r>
        <w:t>(  ) DVA</w:t>
      </w:r>
    </w:p>
    <w:p w:rsidR="00C857DF" w:rsidRDefault="00C857DF" w:rsidP="00C857DF">
      <w:pPr>
        <w:jc w:val="left"/>
      </w:pPr>
    </w:p>
    <w:p w:rsidR="002F4DD5" w:rsidRPr="00B22D42" w:rsidRDefault="002F4DD5" w:rsidP="00C857DF">
      <w:pPr>
        <w:tabs>
          <w:tab w:val="left" w:pos="0"/>
          <w:tab w:val="left" w:pos="4320"/>
        </w:tabs>
        <w:jc w:val="left"/>
        <w:rPr>
          <w:color w:val="000000"/>
        </w:rPr>
      </w:pPr>
    </w:p>
    <w:sectPr w:rsidR="002F4DD5" w:rsidRPr="00B22D42"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07" w:rsidRDefault="00771107">
      <w:r>
        <w:separator/>
      </w:r>
    </w:p>
  </w:endnote>
  <w:endnote w:type="continuationSeparator" w:id="0">
    <w:p w:rsidR="00771107" w:rsidRDefault="007711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C857DF" w:rsidRPr="00C857DF">
        <w:rPr>
          <w:noProof/>
          <w:color w:val="auto"/>
        </w:rPr>
        <w:t>5</w:t>
      </w:r>
    </w:fldSimple>
    <w:r w:rsidRPr="00374247">
      <w:rPr>
        <w:color w:val="auto"/>
      </w:rPr>
      <w:t xml:space="preserve">                                                           </w:t>
    </w:r>
    <w:r w:rsidRPr="001D64F3">
      <w:rPr>
        <w:color w:val="auto"/>
      </w:rPr>
      <w:t>PD1</w:t>
    </w:r>
    <w:r w:rsidR="00DC6DA7">
      <w:rPr>
        <w:color w:val="auto"/>
      </w:rPr>
      <w:t>100859</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07" w:rsidRDefault="00771107">
      <w:r>
        <w:separator/>
      </w:r>
    </w:p>
  </w:footnote>
  <w:footnote w:type="continuationSeparator" w:id="0">
    <w:p w:rsidR="00771107" w:rsidRDefault="00771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30776"/>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5D7B"/>
    <w:rsid w:val="0008708B"/>
    <w:rsid w:val="00092619"/>
    <w:rsid w:val="00092C66"/>
    <w:rsid w:val="00092CC9"/>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5DB2"/>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3740"/>
    <w:rsid w:val="001537D8"/>
    <w:rsid w:val="00153D88"/>
    <w:rsid w:val="001541C5"/>
    <w:rsid w:val="001554E4"/>
    <w:rsid w:val="0015623F"/>
    <w:rsid w:val="00156585"/>
    <w:rsid w:val="00156BA9"/>
    <w:rsid w:val="00161642"/>
    <w:rsid w:val="00161761"/>
    <w:rsid w:val="00164413"/>
    <w:rsid w:val="001658F6"/>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5FA8"/>
    <w:rsid w:val="001865E0"/>
    <w:rsid w:val="001870F0"/>
    <w:rsid w:val="00190E48"/>
    <w:rsid w:val="0019114B"/>
    <w:rsid w:val="00192392"/>
    <w:rsid w:val="0019273F"/>
    <w:rsid w:val="00193814"/>
    <w:rsid w:val="00193AAB"/>
    <w:rsid w:val="00193AD5"/>
    <w:rsid w:val="00194930"/>
    <w:rsid w:val="00195AAC"/>
    <w:rsid w:val="001968BB"/>
    <w:rsid w:val="00197D9D"/>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5CD"/>
    <w:rsid w:val="00227F0B"/>
    <w:rsid w:val="0023049F"/>
    <w:rsid w:val="002310C3"/>
    <w:rsid w:val="002316F6"/>
    <w:rsid w:val="00232083"/>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07D"/>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06B"/>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BF1"/>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3E3C"/>
    <w:rsid w:val="002F4DD5"/>
    <w:rsid w:val="002F6AD8"/>
    <w:rsid w:val="002F6E4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3E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D4"/>
    <w:rsid w:val="00385D6F"/>
    <w:rsid w:val="00386D43"/>
    <w:rsid w:val="00387095"/>
    <w:rsid w:val="00387586"/>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5F0F"/>
    <w:rsid w:val="00426A23"/>
    <w:rsid w:val="00427C7F"/>
    <w:rsid w:val="00427F54"/>
    <w:rsid w:val="004316FD"/>
    <w:rsid w:val="00433F36"/>
    <w:rsid w:val="00434694"/>
    <w:rsid w:val="00434860"/>
    <w:rsid w:val="00434BBD"/>
    <w:rsid w:val="0043503A"/>
    <w:rsid w:val="00437B8A"/>
    <w:rsid w:val="00437D18"/>
    <w:rsid w:val="00437D77"/>
    <w:rsid w:val="00441D99"/>
    <w:rsid w:val="004429D9"/>
    <w:rsid w:val="004435BE"/>
    <w:rsid w:val="0044384F"/>
    <w:rsid w:val="0044411E"/>
    <w:rsid w:val="00444472"/>
    <w:rsid w:val="00444B93"/>
    <w:rsid w:val="00444F80"/>
    <w:rsid w:val="00445599"/>
    <w:rsid w:val="00446018"/>
    <w:rsid w:val="00446CBA"/>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69B"/>
    <w:rsid w:val="004640E9"/>
    <w:rsid w:val="004647EB"/>
    <w:rsid w:val="00466CED"/>
    <w:rsid w:val="00466EB5"/>
    <w:rsid w:val="00467592"/>
    <w:rsid w:val="00467690"/>
    <w:rsid w:val="00467A14"/>
    <w:rsid w:val="00470C24"/>
    <w:rsid w:val="004718E7"/>
    <w:rsid w:val="00472289"/>
    <w:rsid w:val="00472535"/>
    <w:rsid w:val="004761CC"/>
    <w:rsid w:val="00476229"/>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2728"/>
    <w:rsid w:val="004A3214"/>
    <w:rsid w:val="004A392B"/>
    <w:rsid w:val="004A4136"/>
    <w:rsid w:val="004A417B"/>
    <w:rsid w:val="004A4378"/>
    <w:rsid w:val="004A712D"/>
    <w:rsid w:val="004A7C03"/>
    <w:rsid w:val="004B03F3"/>
    <w:rsid w:val="004B0CC9"/>
    <w:rsid w:val="004B1C61"/>
    <w:rsid w:val="004B2536"/>
    <w:rsid w:val="004B46D7"/>
    <w:rsid w:val="004B478D"/>
    <w:rsid w:val="004B5196"/>
    <w:rsid w:val="004B6AF3"/>
    <w:rsid w:val="004B6B34"/>
    <w:rsid w:val="004B6F1F"/>
    <w:rsid w:val="004B715E"/>
    <w:rsid w:val="004B7169"/>
    <w:rsid w:val="004B79C9"/>
    <w:rsid w:val="004C00DD"/>
    <w:rsid w:val="004C05CF"/>
    <w:rsid w:val="004C0776"/>
    <w:rsid w:val="004C18BE"/>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5419"/>
    <w:rsid w:val="005157BD"/>
    <w:rsid w:val="00516A7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3E01"/>
    <w:rsid w:val="00574A1B"/>
    <w:rsid w:val="00575963"/>
    <w:rsid w:val="00575EBE"/>
    <w:rsid w:val="0058039C"/>
    <w:rsid w:val="00580A63"/>
    <w:rsid w:val="00580C73"/>
    <w:rsid w:val="00583379"/>
    <w:rsid w:val="0058417C"/>
    <w:rsid w:val="005854F9"/>
    <w:rsid w:val="00586EC6"/>
    <w:rsid w:val="00587DDE"/>
    <w:rsid w:val="00593043"/>
    <w:rsid w:val="00594C9E"/>
    <w:rsid w:val="00595318"/>
    <w:rsid w:val="00595B60"/>
    <w:rsid w:val="00595B63"/>
    <w:rsid w:val="00595BF0"/>
    <w:rsid w:val="00597652"/>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5CC"/>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47E6E"/>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B9D"/>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62D"/>
    <w:rsid w:val="0073093B"/>
    <w:rsid w:val="0073254D"/>
    <w:rsid w:val="007340F3"/>
    <w:rsid w:val="007347BB"/>
    <w:rsid w:val="00735704"/>
    <w:rsid w:val="00736A49"/>
    <w:rsid w:val="007419A1"/>
    <w:rsid w:val="007434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4D2E"/>
    <w:rsid w:val="0076100C"/>
    <w:rsid w:val="00761127"/>
    <w:rsid w:val="007612A5"/>
    <w:rsid w:val="00763CAE"/>
    <w:rsid w:val="00763F95"/>
    <w:rsid w:val="007651ED"/>
    <w:rsid w:val="00766C87"/>
    <w:rsid w:val="00767ED9"/>
    <w:rsid w:val="00771043"/>
    <w:rsid w:val="00771107"/>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3F2"/>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397"/>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5196"/>
    <w:rsid w:val="00917182"/>
    <w:rsid w:val="00920251"/>
    <w:rsid w:val="00921CFD"/>
    <w:rsid w:val="00923B25"/>
    <w:rsid w:val="0092402E"/>
    <w:rsid w:val="009259BA"/>
    <w:rsid w:val="00926C0A"/>
    <w:rsid w:val="00926FCB"/>
    <w:rsid w:val="009303BB"/>
    <w:rsid w:val="0093108A"/>
    <w:rsid w:val="009319EF"/>
    <w:rsid w:val="00931B6D"/>
    <w:rsid w:val="0093311A"/>
    <w:rsid w:val="009346A1"/>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1691"/>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44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1CD"/>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4BA1"/>
    <w:rsid w:val="00AC5376"/>
    <w:rsid w:val="00AC62C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659D"/>
    <w:rsid w:val="00AF01B2"/>
    <w:rsid w:val="00AF1103"/>
    <w:rsid w:val="00AF1668"/>
    <w:rsid w:val="00AF1DBB"/>
    <w:rsid w:val="00AF25B2"/>
    <w:rsid w:val="00AF28DE"/>
    <w:rsid w:val="00AF41EE"/>
    <w:rsid w:val="00AF4A87"/>
    <w:rsid w:val="00AF4FA5"/>
    <w:rsid w:val="00AF5BB4"/>
    <w:rsid w:val="00AF6ECC"/>
    <w:rsid w:val="00AF7792"/>
    <w:rsid w:val="00B02145"/>
    <w:rsid w:val="00B022DC"/>
    <w:rsid w:val="00B04562"/>
    <w:rsid w:val="00B0472F"/>
    <w:rsid w:val="00B06930"/>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3F0"/>
    <w:rsid w:val="00B33498"/>
    <w:rsid w:val="00B33598"/>
    <w:rsid w:val="00B34FD7"/>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879"/>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2CE"/>
    <w:rsid w:val="00C85579"/>
    <w:rsid w:val="00C857DF"/>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82F"/>
    <w:rsid w:val="00CF0280"/>
    <w:rsid w:val="00CF158D"/>
    <w:rsid w:val="00CF2166"/>
    <w:rsid w:val="00CF4340"/>
    <w:rsid w:val="00CF4394"/>
    <w:rsid w:val="00CF48B4"/>
    <w:rsid w:val="00CF5C12"/>
    <w:rsid w:val="00CF7136"/>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2A7D"/>
    <w:rsid w:val="00D1323B"/>
    <w:rsid w:val="00D14BAE"/>
    <w:rsid w:val="00D15107"/>
    <w:rsid w:val="00D1648B"/>
    <w:rsid w:val="00D16819"/>
    <w:rsid w:val="00D16BEB"/>
    <w:rsid w:val="00D16DDF"/>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73B0"/>
    <w:rsid w:val="00D5062C"/>
    <w:rsid w:val="00D50C8C"/>
    <w:rsid w:val="00D52309"/>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0C5E"/>
    <w:rsid w:val="00D91040"/>
    <w:rsid w:val="00D910C2"/>
    <w:rsid w:val="00D9168C"/>
    <w:rsid w:val="00D9189B"/>
    <w:rsid w:val="00D91DA6"/>
    <w:rsid w:val="00D921A0"/>
    <w:rsid w:val="00D93A41"/>
    <w:rsid w:val="00D93B9A"/>
    <w:rsid w:val="00D94F76"/>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1EB"/>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A3C"/>
    <w:rsid w:val="00DC4FA4"/>
    <w:rsid w:val="00DC5028"/>
    <w:rsid w:val="00DC51CB"/>
    <w:rsid w:val="00DC5B37"/>
    <w:rsid w:val="00DC6DA7"/>
    <w:rsid w:val="00DD286D"/>
    <w:rsid w:val="00DD2CAF"/>
    <w:rsid w:val="00DD3593"/>
    <w:rsid w:val="00DD462A"/>
    <w:rsid w:val="00DD64E0"/>
    <w:rsid w:val="00DD775C"/>
    <w:rsid w:val="00DD7BE0"/>
    <w:rsid w:val="00DE0C67"/>
    <w:rsid w:val="00DE3555"/>
    <w:rsid w:val="00DE3AAD"/>
    <w:rsid w:val="00DE45AB"/>
    <w:rsid w:val="00DE598A"/>
    <w:rsid w:val="00DE6952"/>
    <w:rsid w:val="00DE6FBE"/>
    <w:rsid w:val="00DE7A7D"/>
    <w:rsid w:val="00DE7E74"/>
    <w:rsid w:val="00DF071B"/>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77575"/>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148D"/>
    <w:rsid w:val="00EC2938"/>
    <w:rsid w:val="00EC337D"/>
    <w:rsid w:val="00EC38EF"/>
    <w:rsid w:val="00EC50C9"/>
    <w:rsid w:val="00EC58B4"/>
    <w:rsid w:val="00EC5BB2"/>
    <w:rsid w:val="00EC75AF"/>
    <w:rsid w:val="00ED05B1"/>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3E19"/>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499"/>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8FE"/>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6CA9"/>
    <w:rsid w:val="00FA78C8"/>
    <w:rsid w:val="00FA7A2F"/>
    <w:rsid w:val="00FB09FE"/>
    <w:rsid w:val="00FB0A39"/>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86220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2012-04-25T13:33:00Z</cp:lastPrinted>
  <dcterms:created xsi:type="dcterms:W3CDTF">2012-05-16T15:40:00Z</dcterms:created>
  <dcterms:modified xsi:type="dcterms:W3CDTF">2012-05-23T13:32:00Z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