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79" w:rsidRPr="001F29F9" w:rsidRDefault="00AD2379" w:rsidP="00BF0E94">
      <w:pPr>
        <w:tabs>
          <w:tab w:val="left" w:pos="288"/>
          <w:tab w:val="left" w:pos="4752"/>
        </w:tabs>
        <w:rPr>
          <w:color w:val="000000"/>
        </w:rPr>
      </w:pPr>
      <w:bookmarkStart w:id="0" w:name="_GoBack"/>
      <w:bookmarkEnd w:id="0"/>
      <w:r w:rsidRPr="001F29F9">
        <w:rPr>
          <w:color w:val="000000"/>
        </w:rPr>
        <w:t>RECORD OF PROCEEDINGS</w:t>
      </w:r>
    </w:p>
    <w:p w:rsidR="00AD2379" w:rsidRPr="001F29F9" w:rsidRDefault="00AD2379" w:rsidP="00BF0E94">
      <w:pPr>
        <w:tabs>
          <w:tab w:val="left" w:pos="288"/>
          <w:tab w:val="left" w:pos="4752"/>
        </w:tabs>
        <w:rPr>
          <w:color w:val="000000"/>
        </w:rPr>
      </w:pPr>
      <w:r w:rsidRPr="001F29F9">
        <w:rPr>
          <w:color w:val="000000"/>
        </w:rPr>
        <w:t>PHYSICAL DISABILITY BOARD OF REVIEW</w:t>
      </w:r>
    </w:p>
    <w:p w:rsidR="00AD2379" w:rsidRPr="001F29F9" w:rsidRDefault="00AD2379" w:rsidP="00BF0E94">
      <w:pPr>
        <w:tabs>
          <w:tab w:val="left" w:pos="288"/>
          <w:tab w:val="left" w:pos="4752"/>
        </w:tabs>
        <w:jc w:val="both"/>
        <w:rPr>
          <w:caps/>
          <w:color w:val="000000"/>
        </w:rPr>
      </w:pPr>
    </w:p>
    <w:p w:rsidR="0095270D" w:rsidRPr="001F29F9" w:rsidRDefault="0095270D" w:rsidP="0095270D">
      <w:pPr>
        <w:tabs>
          <w:tab w:val="left" w:pos="288"/>
          <w:tab w:val="left" w:pos="4752"/>
          <w:tab w:val="left" w:pos="6390"/>
          <w:tab w:val="left" w:pos="9270"/>
        </w:tabs>
        <w:jc w:val="both"/>
        <w:rPr>
          <w:caps/>
          <w:color w:val="000000" w:themeColor="text1"/>
        </w:rPr>
      </w:pPr>
      <w:r w:rsidRPr="001F29F9">
        <w:rPr>
          <w:caps/>
          <w:color w:val="000000" w:themeColor="text1"/>
        </w:rPr>
        <w:t xml:space="preserve">NAME:  </w:t>
      </w:r>
      <w:r w:rsidR="000F0E6E">
        <w:rPr>
          <w:caps/>
          <w:color w:val="auto"/>
        </w:rPr>
        <w:t>XXXXXXXXXXXXXXXX</w:t>
      </w:r>
      <w:r>
        <w:rPr>
          <w:caps/>
          <w:color w:val="000000" w:themeColor="text1"/>
        </w:rPr>
        <w:tab/>
        <w:t xml:space="preserve">                             </w:t>
      </w:r>
      <w:r w:rsidR="003E6E1D">
        <w:rPr>
          <w:caps/>
          <w:color w:val="000000" w:themeColor="text1"/>
        </w:rPr>
        <w:t xml:space="preserve"> </w:t>
      </w:r>
      <w:r w:rsidRPr="001F29F9">
        <w:rPr>
          <w:caps/>
          <w:color w:val="000000" w:themeColor="text1"/>
        </w:rPr>
        <w:t xml:space="preserve">BRANCH OF </w:t>
      </w:r>
      <w:r w:rsidRPr="00C8258E">
        <w:rPr>
          <w:caps/>
          <w:color w:val="000000" w:themeColor="text1"/>
        </w:rPr>
        <w:t>SERVICE:  Army</w:t>
      </w:r>
      <w:r w:rsidRPr="00BA4A38">
        <w:rPr>
          <w:caps/>
          <w:color w:val="000000" w:themeColor="text1"/>
        </w:rPr>
        <w:t xml:space="preserve"> </w:t>
      </w:r>
    </w:p>
    <w:p w:rsidR="0095270D" w:rsidRDefault="0095270D" w:rsidP="0095270D">
      <w:pPr>
        <w:tabs>
          <w:tab w:val="left" w:pos="288"/>
          <w:tab w:val="left" w:pos="5130"/>
        </w:tabs>
        <w:jc w:val="both"/>
        <w:rPr>
          <w:color w:val="000000" w:themeColor="text1"/>
        </w:rPr>
      </w:pPr>
      <w:r w:rsidRPr="001F29F9">
        <w:rPr>
          <w:caps/>
          <w:color w:val="000000" w:themeColor="text1"/>
        </w:rPr>
        <w:t>CASE NUMBER:  PD11</w:t>
      </w:r>
      <w:r>
        <w:rPr>
          <w:caps/>
          <w:color w:val="000000" w:themeColor="text1"/>
        </w:rPr>
        <w:t>00</w:t>
      </w:r>
      <w:r w:rsidR="00C8258E" w:rsidRPr="00342F6B">
        <w:rPr>
          <w:caps/>
          <w:color w:val="auto"/>
        </w:rPr>
        <w:t>851</w:t>
      </w:r>
      <w:r w:rsidRPr="001F29F9">
        <w:rPr>
          <w:color w:val="000000" w:themeColor="text1"/>
        </w:rPr>
        <w:t xml:space="preserve">                            </w:t>
      </w:r>
      <w:r>
        <w:rPr>
          <w:color w:val="000000" w:themeColor="text1"/>
        </w:rPr>
        <w:tab/>
      </w:r>
      <w:r>
        <w:rPr>
          <w:color w:val="000000" w:themeColor="text1"/>
        </w:rPr>
        <w:tab/>
        <w:t xml:space="preserve">          </w:t>
      </w:r>
      <w:r w:rsidRPr="001F29F9">
        <w:rPr>
          <w:color w:val="000000" w:themeColor="text1"/>
        </w:rPr>
        <w:t xml:space="preserve"> SEPARATION DATE:  </w:t>
      </w:r>
      <w:r w:rsidR="00C8258E" w:rsidRPr="00342F6B">
        <w:rPr>
          <w:color w:val="auto"/>
        </w:rPr>
        <w:t>20090823</w:t>
      </w:r>
    </w:p>
    <w:p w:rsidR="00AD2379" w:rsidRDefault="0095270D" w:rsidP="0095270D">
      <w:pPr>
        <w:pBdr>
          <w:bottom w:val="single" w:sz="12" w:space="1" w:color="auto"/>
        </w:pBdr>
        <w:tabs>
          <w:tab w:val="left" w:pos="288"/>
          <w:tab w:val="left" w:pos="4752"/>
        </w:tabs>
        <w:jc w:val="both"/>
        <w:rPr>
          <w:rFonts w:cs="Times New Roman"/>
          <w:caps/>
          <w:color w:val="000000"/>
        </w:rPr>
      </w:pPr>
      <w:r>
        <w:rPr>
          <w:caps/>
          <w:color w:val="000000"/>
        </w:rPr>
        <w:t>BOARD DATE:  2012</w:t>
      </w:r>
      <w:r w:rsidR="00D757A2">
        <w:rPr>
          <w:caps/>
          <w:color w:val="000000"/>
        </w:rPr>
        <w:t>0807</w:t>
      </w:r>
      <w:r>
        <w:rPr>
          <w:rFonts w:cs="Times New Roman"/>
          <w:caps/>
          <w:color w:val="000000"/>
        </w:rPr>
        <w:tab/>
      </w:r>
    </w:p>
    <w:p w:rsidR="0095270D" w:rsidRPr="001F29F9" w:rsidRDefault="0095270D" w:rsidP="0095270D">
      <w:pPr>
        <w:pBdr>
          <w:bottom w:val="single" w:sz="12" w:space="1" w:color="auto"/>
        </w:pBdr>
        <w:tabs>
          <w:tab w:val="left" w:pos="288"/>
          <w:tab w:val="left" w:pos="4752"/>
        </w:tabs>
        <w:jc w:val="both"/>
        <w:rPr>
          <w:color w:val="000000"/>
        </w:rPr>
      </w:pPr>
    </w:p>
    <w:p w:rsidR="00AD2379" w:rsidRPr="001F29F9" w:rsidRDefault="00AD2379" w:rsidP="00BF0E94">
      <w:pPr>
        <w:tabs>
          <w:tab w:val="left" w:pos="288"/>
          <w:tab w:val="left" w:pos="4752"/>
        </w:tabs>
        <w:jc w:val="both"/>
        <w:rPr>
          <w:color w:val="000000"/>
        </w:rPr>
      </w:pPr>
    </w:p>
    <w:p w:rsidR="005B29E3" w:rsidRDefault="00AD2379" w:rsidP="00404753">
      <w:pPr>
        <w:tabs>
          <w:tab w:val="left" w:pos="288"/>
          <w:tab w:val="left" w:pos="4752"/>
        </w:tabs>
        <w:jc w:val="both"/>
        <w:rPr>
          <w:color w:val="000000"/>
        </w:rPr>
      </w:pPr>
      <w:r w:rsidRPr="001F29F9">
        <w:rPr>
          <w:color w:val="000000"/>
          <w:u w:val="single"/>
        </w:rPr>
        <w:t>SUMMARY OF CASE</w:t>
      </w:r>
      <w:r w:rsidRPr="001F29F9">
        <w:rPr>
          <w:color w:val="000000"/>
        </w:rPr>
        <w:t xml:space="preserve">: Data extracted from the available evidence of record reflects that this covered individual (CI) was </w:t>
      </w:r>
      <w:r w:rsidR="00A70270">
        <w:rPr>
          <w:color w:val="000000"/>
        </w:rPr>
        <w:t>an active duty SGT/E-5</w:t>
      </w:r>
      <w:r w:rsidRPr="001F29F9">
        <w:rPr>
          <w:color w:val="000000"/>
        </w:rPr>
        <w:t xml:space="preserve"> (</w:t>
      </w:r>
      <w:r w:rsidR="00C8258E">
        <w:rPr>
          <w:color w:val="auto"/>
        </w:rPr>
        <w:t>21W</w:t>
      </w:r>
      <w:r w:rsidR="00C8258E" w:rsidRPr="00342F6B">
        <w:rPr>
          <w:color w:val="auto"/>
        </w:rPr>
        <w:t>, Carpenter</w:t>
      </w:r>
      <w:r w:rsidR="00A70270">
        <w:rPr>
          <w:color w:val="000000"/>
        </w:rPr>
        <w:t xml:space="preserve">) </w:t>
      </w:r>
      <w:r w:rsidRPr="001F29F9">
        <w:rPr>
          <w:color w:val="000000"/>
        </w:rPr>
        <w:t xml:space="preserve">medically separated for </w:t>
      </w:r>
      <w:r w:rsidR="00C8258E">
        <w:rPr>
          <w:color w:val="auto"/>
          <w:szCs w:val="24"/>
        </w:rPr>
        <w:t xml:space="preserve">bilateral </w:t>
      </w:r>
      <w:r w:rsidR="009314E0">
        <w:rPr>
          <w:color w:val="auto"/>
        </w:rPr>
        <w:t>epididymitis/scrotal pain</w:t>
      </w:r>
      <w:r w:rsidR="005B29E3">
        <w:rPr>
          <w:color w:val="auto"/>
        </w:rPr>
        <w:t xml:space="preserve">; which </w:t>
      </w:r>
      <w:r w:rsidR="005B29E3">
        <w:rPr>
          <w:color w:val="000000"/>
        </w:rPr>
        <w:t xml:space="preserve">was a complication of a vasectomy performed in 2008.  The chronic pain </w:t>
      </w:r>
      <w:r w:rsidR="00F566B7" w:rsidRPr="00404753">
        <w:rPr>
          <w:color w:val="000000"/>
        </w:rPr>
        <w:t xml:space="preserve">could not be adequately </w:t>
      </w:r>
      <w:r w:rsidR="005B29E3">
        <w:rPr>
          <w:color w:val="000000"/>
        </w:rPr>
        <w:t>controlled</w:t>
      </w:r>
      <w:r w:rsidR="00F566B7" w:rsidRPr="00404753">
        <w:rPr>
          <w:color w:val="000000"/>
        </w:rPr>
        <w:t xml:space="preserve"> to meet the physical requirements of his Military Occupational Specialty (MOS) or satis</w:t>
      </w:r>
      <w:r w:rsidR="009C12A1" w:rsidRPr="00404753">
        <w:rPr>
          <w:color w:val="000000"/>
        </w:rPr>
        <w:t>fy physical fitness standards.</w:t>
      </w:r>
      <w:r w:rsidR="00F566B7" w:rsidRPr="00404753">
        <w:rPr>
          <w:color w:val="000000"/>
        </w:rPr>
        <w:t xml:space="preserve"> </w:t>
      </w:r>
      <w:r w:rsidR="009C12A1" w:rsidRPr="00404753">
        <w:rPr>
          <w:color w:val="000000"/>
        </w:rPr>
        <w:t xml:space="preserve"> He </w:t>
      </w:r>
      <w:r w:rsidR="00F566B7" w:rsidRPr="00404753">
        <w:rPr>
          <w:color w:val="000000"/>
        </w:rPr>
        <w:t xml:space="preserve">was </w:t>
      </w:r>
      <w:r w:rsidR="00271871" w:rsidRPr="00404753">
        <w:rPr>
          <w:color w:val="000000"/>
        </w:rPr>
        <w:t>consequently</w:t>
      </w:r>
      <w:r w:rsidR="009C12A1" w:rsidRPr="00404753">
        <w:rPr>
          <w:color w:val="000000"/>
        </w:rPr>
        <w:t xml:space="preserve"> </w:t>
      </w:r>
      <w:r w:rsidR="00F566B7" w:rsidRPr="00404753">
        <w:rPr>
          <w:color w:val="000000"/>
        </w:rPr>
        <w:t xml:space="preserve">issued a permanent </w:t>
      </w:r>
      <w:r w:rsidR="00C8258E" w:rsidRPr="00404753">
        <w:rPr>
          <w:color w:val="000000"/>
        </w:rPr>
        <w:t>P</w:t>
      </w:r>
      <w:r w:rsidR="00F566B7" w:rsidRPr="00404753">
        <w:rPr>
          <w:color w:val="000000"/>
        </w:rPr>
        <w:t>3 profile and</w:t>
      </w:r>
      <w:r w:rsidR="009C12A1" w:rsidRPr="00404753">
        <w:rPr>
          <w:color w:val="000000"/>
        </w:rPr>
        <w:t xml:space="preserve"> </w:t>
      </w:r>
      <w:r w:rsidR="00F566B7" w:rsidRPr="00404753">
        <w:rPr>
          <w:color w:val="000000"/>
        </w:rPr>
        <w:t>referred for a Medical Evaluation Board (MEB).  The condition</w:t>
      </w:r>
      <w:r w:rsidR="00B63EAE" w:rsidRPr="00404753">
        <w:rPr>
          <w:color w:val="000000"/>
        </w:rPr>
        <w:t>,</w:t>
      </w:r>
      <w:r w:rsidR="00F566B7" w:rsidRPr="00404753">
        <w:rPr>
          <w:color w:val="000000"/>
        </w:rPr>
        <w:t xml:space="preserve"> characterized as “</w:t>
      </w:r>
      <w:r w:rsidR="00C8258E" w:rsidRPr="00404753">
        <w:rPr>
          <w:color w:val="000000"/>
        </w:rPr>
        <w:t>chronic scrotal pain s/p vasectomy</w:t>
      </w:r>
      <w:r w:rsidR="003E6E1D">
        <w:rPr>
          <w:color w:val="000000"/>
        </w:rPr>
        <w:t>,</w:t>
      </w:r>
      <w:r w:rsidR="00F566B7" w:rsidRPr="00404753">
        <w:rPr>
          <w:color w:val="000000"/>
        </w:rPr>
        <w:t>”</w:t>
      </w:r>
      <w:r w:rsidR="00B63EAE" w:rsidRPr="00404753">
        <w:rPr>
          <w:color w:val="000000"/>
        </w:rPr>
        <w:t xml:space="preserve"> </w:t>
      </w:r>
      <w:r w:rsidR="00F566B7" w:rsidRPr="00404753">
        <w:rPr>
          <w:color w:val="000000"/>
        </w:rPr>
        <w:t>was forwarded to the Physical Evaluation Board (PEB) as medically unacceptable IAW AR 40-501.  No other condi</w:t>
      </w:r>
      <w:r w:rsidR="00B63EAE" w:rsidRPr="00404753">
        <w:rPr>
          <w:color w:val="000000"/>
        </w:rPr>
        <w:t>tions were submitted by the MEB</w:t>
      </w:r>
      <w:r w:rsidR="00F566B7" w:rsidRPr="00404753">
        <w:rPr>
          <w:color w:val="000000"/>
        </w:rPr>
        <w:t xml:space="preserve">.  </w:t>
      </w:r>
      <w:r w:rsidR="00404753" w:rsidRPr="00404753">
        <w:rPr>
          <w:color w:val="000000"/>
        </w:rPr>
        <w:t>Three</w:t>
      </w:r>
      <w:r w:rsidR="00B144AE" w:rsidRPr="00404753">
        <w:rPr>
          <w:color w:val="000000"/>
        </w:rPr>
        <w:t xml:space="preserve"> other conditions (</w:t>
      </w:r>
      <w:r w:rsidR="009314E0">
        <w:rPr>
          <w:color w:val="000000"/>
        </w:rPr>
        <w:t>obstructive sleep apnea [OSA]</w:t>
      </w:r>
      <w:r w:rsidR="00B144AE" w:rsidRPr="00404753">
        <w:rPr>
          <w:color w:val="000000"/>
        </w:rPr>
        <w:t>)</w:t>
      </w:r>
      <w:r w:rsidR="009314E0">
        <w:rPr>
          <w:color w:val="000000"/>
        </w:rPr>
        <w:t>, hypertension, and a right knee meniscal tear)</w:t>
      </w:r>
      <w:r w:rsidR="00B144AE" w:rsidRPr="00404753">
        <w:rPr>
          <w:color w:val="000000"/>
        </w:rPr>
        <w:t xml:space="preserve"> were addressed by the MEB, and forwarded as meeting retention standards.</w:t>
      </w:r>
      <w:r w:rsidR="00380601" w:rsidRPr="00404753">
        <w:rPr>
          <w:color w:val="000000"/>
        </w:rPr>
        <w:t xml:space="preserve">  </w:t>
      </w:r>
      <w:r w:rsidRPr="00404753">
        <w:rPr>
          <w:color w:val="000000"/>
        </w:rPr>
        <w:t xml:space="preserve">The PEB adjudicated </w:t>
      </w:r>
      <w:r w:rsidR="00404753" w:rsidRPr="00404753">
        <w:rPr>
          <w:color w:val="000000"/>
        </w:rPr>
        <w:t>“</w:t>
      </w:r>
      <w:r w:rsidR="00404753" w:rsidRPr="00404753">
        <w:rPr>
          <w:color w:val="auto"/>
          <w:szCs w:val="24"/>
        </w:rPr>
        <w:t>bilateral epididymitis</w:t>
      </w:r>
      <w:r w:rsidR="00404753" w:rsidRPr="00404753">
        <w:rPr>
          <w:color w:val="000000"/>
        </w:rPr>
        <w:t xml:space="preserve"> with persistent scrotal pain status post vasectomy” </w:t>
      </w:r>
      <w:r w:rsidR="008530E3" w:rsidRPr="00404753">
        <w:rPr>
          <w:color w:val="000000"/>
        </w:rPr>
        <w:t xml:space="preserve">as unfitting, rated </w:t>
      </w:r>
      <w:r w:rsidRPr="00404753">
        <w:rPr>
          <w:color w:val="000000"/>
        </w:rPr>
        <w:t xml:space="preserve">0%, </w:t>
      </w:r>
      <w:r w:rsidR="00404753" w:rsidRPr="00404753">
        <w:rPr>
          <w:color w:val="000000"/>
        </w:rPr>
        <w:t>IAW</w:t>
      </w:r>
      <w:r w:rsidR="00FA24F2" w:rsidRPr="00404753">
        <w:rPr>
          <w:color w:val="000000"/>
        </w:rPr>
        <w:t xml:space="preserve"> </w:t>
      </w:r>
      <w:r w:rsidRPr="00404753">
        <w:rPr>
          <w:color w:val="000000"/>
        </w:rPr>
        <w:t>the Veterans Administration Schedule for Rating Disabilities (VASRD).</w:t>
      </w:r>
      <w:r w:rsidRPr="001F29F9">
        <w:rPr>
          <w:color w:val="000000"/>
        </w:rPr>
        <w:t xml:space="preserve"> </w:t>
      </w:r>
      <w:r w:rsidR="00261B7E">
        <w:rPr>
          <w:color w:val="000000"/>
        </w:rPr>
        <w:t xml:space="preserve"> </w:t>
      </w:r>
      <w:r w:rsidRPr="001F29F9">
        <w:rPr>
          <w:color w:val="000000"/>
        </w:rPr>
        <w:t xml:space="preserve">The CI made no appeals, and was medically </w:t>
      </w:r>
      <w:r w:rsidRPr="00726F84">
        <w:rPr>
          <w:color w:val="000000"/>
        </w:rPr>
        <w:t xml:space="preserve">separated with </w:t>
      </w:r>
      <w:r w:rsidR="00261B7E">
        <w:rPr>
          <w:color w:val="000000"/>
        </w:rPr>
        <w:t>that</w:t>
      </w:r>
      <w:r w:rsidRPr="001F29F9">
        <w:rPr>
          <w:color w:val="000000"/>
        </w:rPr>
        <w:t xml:space="preserve"> disability rating</w:t>
      </w:r>
      <w:r w:rsidR="00404753">
        <w:rPr>
          <w:color w:val="000000"/>
        </w:rPr>
        <w:t>.</w:t>
      </w:r>
    </w:p>
    <w:p w:rsidR="00331C13" w:rsidRPr="001F29F9" w:rsidRDefault="00331C13" w:rsidP="00BF0E94">
      <w:pPr>
        <w:pBdr>
          <w:bottom w:val="single" w:sz="12" w:space="1" w:color="auto"/>
        </w:pBdr>
        <w:tabs>
          <w:tab w:val="left" w:pos="288"/>
          <w:tab w:val="left" w:pos="4752"/>
        </w:tabs>
        <w:jc w:val="both"/>
        <w:rPr>
          <w:color w:val="000000"/>
        </w:rPr>
      </w:pPr>
    </w:p>
    <w:p w:rsidR="00AD2379" w:rsidRPr="001F29F9" w:rsidRDefault="00AD2379" w:rsidP="00BF0E94">
      <w:pPr>
        <w:tabs>
          <w:tab w:val="left" w:pos="288"/>
          <w:tab w:val="left" w:pos="4752"/>
        </w:tabs>
        <w:jc w:val="both"/>
        <w:rPr>
          <w:color w:val="000000"/>
        </w:rPr>
      </w:pPr>
    </w:p>
    <w:p w:rsidR="00FC494C" w:rsidRPr="009314E0" w:rsidRDefault="00AD2379" w:rsidP="00BF0E94">
      <w:pPr>
        <w:tabs>
          <w:tab w:val="left" w:pos="288"/>
          <w:tab w:val="left" w:pos="4752"/>
        </w:tabs>
        <w:jc w:val="both"/>
        <w:rPr>
          <w:color w:val="000000" w:themeColor="text1"/>
        </w:rPr>
      </w:pPr>
      <w:r w:rsidRPr="001F29F9">
        <w:rPr>
          <w:color w:val="000000"/>
          <w:u w:val="single"/>
        </w:rPr>
        <w:t>CI CONTENTION</w:t>
      </w:r>
      <w:r w:rsidRPr="001F29F9">
        <w:rPr>
          <w:color w:val="000000"/>
        </w:rPr>
        <w:t>:</w:t>
      </w:r>
      <w:r w:rsidRPr="00726F84">
        <w:rPr>
          <w:color w:val="000000"/>
        </w:rPr>
        <w:t xml:space="preserve"> </w:t>
      </w:r>
      <w:r w:rsidR="00404753" w:rsidRPr="000E4A2B">
        <w:rPr>
          <w:rFonts w:asciiTheme="majorHAnsi" w:hAnsiTheme="majorHAnsi"/>
          <w:color w:val="auto"/>
          <w:szCs w:val="24"/>
        </w:rPr>
        <w:t>“</w:t>
      </w:r>
      <w:r w:rsidR="00404753" w:rsidRPr="000E4A2B">
        <w:rPr>
          <w:rFonts w:asciiTheme="majorHAnsi" w:hAnsiTheme="majorHAnsi" w:cs="Times New Roman"/>
          <w:color w:val="auto"/>
          <w:szCs w:val="24"/>
        </w:rPr>
        <w:t xml:space="preserve">My </w:t>
      </w:r>
      <w:proofErr w:type="gramStart"/>
      <w:r w:rsidR="00404753" w:rsidRPr="000E4A2B">
        <w:rPr>
          <w:rFonts w:asciiTheme="majorHAnsi" w:hAnsiTheme="majorHAnsi" w:cs="Times New Roman"/>
          <w:color w:val="auto"/>
          <w:szCs w:val="24"/>
        </w:rPr>
        <w:t xml:space="preserve">conditions </w:t>
      </w:r>
      <w:r w:rsidR="00404753">
        <w:rPr>
          <w:rFonts w:asciiTheme="majorHAnsi" w:hAnsiTheme="majorHAnsi" w:cs="Times New Roman"/>
          <w:color w:val="auto"/>
          <w:szCs w:val="24"/>
        </w:rPr>
        <w:t>[</w:t>
      </w:r>
      <w:r w:rsidR="00404753" w:rsidRPr="00404753">
        <w:rPr>
          <w:rFonts w:asciiTheme="majorHAnsi" w:hAnsiTheme="majorHAnsi" w:cs="Times New Roman"/>
          <w:i/>
          <w:color w:val="auto"/>
          <w:szCs w:val="24"/>
        </w:rPr>
        <w:t>sic</w:t>
      </w:r>
      <w:r w:rsidR="00404753">
        <w:rPr>
          <w:rFonts w:asciiTheme="majorHAnsi" w:hAnsiTheme="majorHAnsi" w:cs="Times New Roman"/>
          <w:color w:val="auto"/>
          <w:szCs w:val="24"/>
        </w:rPr>
        <w:t xml:space="preserve">] </w:t>
      </w:r>
      <w:r w:rsidR="00404753" w:rsidRPr="000E4A2B">
        <w:rPr>
          <w:rFonts w:asciiTheme="majorHAnsi" w:hAnsiTheme="majorHAnsi" w:cs="Times New Roman"/>
          <w:color w:val="auto"/>
          <w:szCs w:val="24"/>
        </w:rPr>
        <w:t>has</w:t>
      </w:r>
      <w:proofErr w:type="gramEnd"/>
      <w:r w:rsidR="00404753" w:rsidRPr="000E4A2B">
        <w:rPr>
          <w:rFonts w:asciiTheme="majorHAnsi" w:hAnsiTheme="majorHAnsi" w:cs="Times New Roman"/>
          <w:color w:val="auto"/>
          <w:szCs w:val="24"/>
        </w:rPr>
        <w:t xml:space="preserve"> worsen since I was medically discharge. I am in constant pain each hour of the day. </w:t>
      </w:r>
      <w:r w:rsidR="00404753">
        <w:rPr>
          <w:rFonts w:asciiTheme="majorHAnsi" w:hAnsiTheme="majorHAnsi" w:cs="Times New Roman"/>
          <w:color w:val="auto"/>
          <w:szCs w:val="24"/>
        </w:rPr>
        <w:t xml:space="preserve"> </w:t>
      </w:r>
      <w:r w:rsidR="00404753" w:rsidRPr="000E4A2B">
        <w:rPr>
          <w:rFonts w:asciiTheme="majorHAnsi" w:hAnsiTheme="majorHAnsi" w:cs="Times New Roman"/>
          <w:color w:val="auto"/>
          <w:szCs w:val="24"/>
        </w:rPr>
        <w:t>I have to take pain medications constantly everyday for pain.</w:t>
      </w:r>
      <w:r w:rsidR="00404753">
        <w:rPr>
          <w:rFonts w:asciiTheme="majorHAnsi" w:hAnsiTheme="majorHAnsi" w:cs="Times New Roman"/>
          <w:color w:val="auto"/>
          <w:szCs w:val="24"/>
        </w:rPr>
        <w:t xml:space="preserve"> </w:t>
      </w:r>
      <w:r w:rsidR="00404753" w:rsidRPr="000E4A2B">
        <w:rPr>
          <w:rFonts w:asciiTheme="majorHAnsi" w:hAnsiTheme="majorHAnsi" w:cs="Times New Roman"/>
          <w:color w:val="auto"/>
          <w:szCs w:val="24"/>
        </w:rPr>
        <w:t xml:space="preserve"> My marriage and day to day activities have greatly been change.”</w:t>
      </w:r>
      <w:r w:rsidR="00404753">
        <w:rPr>
          <w:rFonts w:asciiTheme="majorHAnsi" w:hAnsiTheme="majorHAnsi" w:cs="Times New Roman"/>
          <w:color w:val="auto"/>
          <w:szCs w:val="24"/>
        </w:rPr>
        <w:t xml:space="preserve"> </w:t>
      </w:r>
      <w:r w:rsidR="004A2728">
        <w:rPr>
          <w:color w:val="000000"/>
        </w:rPr>
        <w:t xml:space="preserve"> </w:t>
      </w:r>
      <w:r w:rsidR="004A2728" w:rsidRPr="00F72DEB">
        <w:rPr>
          <w:rFonts w:eastAsiaTheme="minorHAnsi"/>
          <w:color w:val="000000" w:themeColor="text1"/>
          <w:szCs w:val="24"/>
        </w:rPr>
        <w:t xml:space="preserve">He does not elaborate further or </w:t>
      </w:r>
      <w:r w:rsidR="00A358BA" w:rsidRPr="00F72DEB">
        <w:rPr>
          <w:rFonts w:eastAsiaTheme="minorHAnsi"/>
          <w:color w:val="000000" w:themeColor="text1"/>
          <w:szCs w:val="24"/>
        </w:rPr>
        <w:t>specify a request for Board consideration of any additional</w:t>
      </w:r>
      <w:r w:rsidR="004A2728" w:rsidRPr="00F72DEB">
        <w:rPr>
          <w:rFonts w:eastAsiaTheme="minorHAnsi"/>
          <w:color w:val="000000" w:themeColor="text1"/>
          <w:szCs w:val="24"/>
        </w:rPr>
        <w:t xml:space="preserve"> conditions.</w:t>
      </w:r>
      <w:r w:rsidR="004A2728">
        <w:rPr>
          <w:color w:val="000000" w:themeColor="text1"/>
        </w:rPr>
        <w:t xml:space="preserve"> </w:t>
      </w:r>
    </w:p>
    <w:p w:rsidR="00AD2379" w:rsidRPr="001F29F9" w:rsidRDefault="00AD2379" w:rsidP="00BF0E94">
      <w:pPr>
        <w:pBdr>
          <w:bottom w:val="single" w:sz="12" w:space="1" w:color="auto"/>
        </w:pBdr>
        <w:tabs>
          <w:tab w:val="left" w:pos="288"/>
          <w:tab w:val="left" w:pos="4752"/>
        </w:tabs>
        <w:jc w:val="both"/>
        <w:rPr>
          <w:color w:val="000000"/>
        </w:rPr>
      </w:pPr>
    </w:p>
    <w:p w:rsidR="00AD2379" w:rsidRPr="001F29F9" w:rsidRDefault="00AD2379" w:rsidP="00BF0E94">
      <w:pPr>
        <w:tabs>
          <w:tab w:val="left" w:pos="288"/>
          <w:tab w:val="left" w:pos="4752"/>
        </w:tabs>
        <w:jc w:val="both"/>
        <w:rPr>
          <w:color w:val="000000"/>
        </w:rPr>
      </w:pPr>
    </w:p>
    <w:p w:rsidR="009314E0" w:rsidRPr="009314E0" w:rsidRDefault="00F14638" w:rsidP="009314E0">
      <w:pPr>
        <w:jc w:val="both"/>
        <w:rPr>
          <w:color w:val="auto"/>
        </w:rPr>
      </w:pPr>
      <w:r w:rsidRPr="006A714F">
        <w:rPr>
          <w:color w:val="auto"/>
          <w:u w:val="single"/>
        </w:rPr>
        <w:t>SCOPE OF REVIEW</w:t>
      </w:r>
      <w:r>
        <w:rPr>
          <w:color w:val="auto"/>
        </w:rPr>
        <w:t xml:space="preserve">:  </w:t>
      </w:r>
      <w:r w:rsidR="009314E0" w:rsidRPr="009314E0">
        <w:rPr>
          <w:color w:val="auto"/>
        </w:rPr>
        <w:t>The Board wishes to clarify that the scope of its review as defined in Department of Defense Instruction (DoDI)</w:t>
      </w:r>
      <w:r w:rsidR="009314E0">
        <w:rPr>
          <w:color w:val="auto"/>
        </w:rPr>
        <w:t xml:space="preserve"> </w:t>
      </w:r>
      <w:r w:rsidR="009314E0" w:rsidRPr="009314E0">
        <w:rPr>
          <w:color w:val="auto"/>
        </w:rPr>
        <w:t>6040.44 (Enclosure 3, paragraph 5.e.2) is limited to those conditions which were determined by the PEB to be specifically unfitting for continued military service; or, when requested by the CI, those condition(s) “identified but not determined to be unfitting by the PEB</w:t>
      </w:r>
      <w:r w:rsidR="003E6E1D">
        <w:rPr>
          <w:color w:val="auto"/>
        </w:rPr>
        <w:t>.”</w:t>
      </w:r>
      <w:r w:rsidR="009314E0" w:rsidRPr="009314E0">
        <w:rPr>
          <w:color w:val="auto"/>
        </w:rPr>
        <w:t xml:space="preserve">  The rating for the unfitting </w:t>
      </w:r>
      <w:r w:rsidR="009314E0">
        <w:rPr>
          <w:color w:val="auto"/>
        </w:rPr>
        <w:t xml:space="preserve">epididymitis/scrotal pain condition is addressed below.  The Board judged that the plural ‘conditions’ (as quoted in the contention above) was a syntax error when taken in context; </w:t>
      </w:r>
      <w:r w:rsidR="009314E0" w:rsidRPr="009314E0">
        <w:rPr>
          <w:color w:val="auto"/>
        </w:rPr>
        <w:t xml:space="preserve">and, </w:t>
      </w:r>
      <w:r w:rsidR="009314E0">
        <w:rPr>
          <w:color w:val="auto"/>
        </w:rPr>
        <w:t xml:space="preserve">did not constitute a </w:t>
      </w:r>
      <w:r w:rsidR="00A666C3">
        <w:rPr>
          <w:color w:val="auto"/>
        </w:rPr>
        <w:t xml:space="preserve">formal request for rating consideration of the conditions adjudicated as not unfitting.  Thus </w:t>
      </w:r>
      <w:r w:rsidR="009314E0" w:rsidRPr="009314E0">
        <w:rPr>
          <w:color w:val="auto"/>
        </w:rPr>
        <w:t xml:space="preserve">no additional conditions are within the DoDI 6040.44 defined purview of the Board.  </w:t>
      </w:r>
      <w:r w:rsidR="00A666C3">
        <w:rPr>
          <w:color w:val="auto"/>
        </w:rPr>
        <w:t>Those, or a</w:t>
      </w:r>
      <w:r w:rsidR="009314E0" w:rsidRPr="009314E0">
        <w:rPr>
          <w:color w:val="auto"/>
        </w:rPr>
        <w:t xml:space="preserve">ny conditions or contention not requested in this application, remain eligible for future consideration by the Army Board for the Correction of Military Records (ABCMR).  </w:t>
      </w:r>
    </w:p>
    <w:p w:rsidR="009314E0" w:rsidRPr="001F29F9" w:rsidRDefault="009314E0" w:rsidP="00F85BF3">
      <w:pPr>
        <w:pBdr>
          <w:bottom w:val="single" w:sz="12" w:space="1" w:color="auto"/>
        </w:pBdr>
        <w:tabs>
          <w:tab w:val="left" w:pos="288"/>
          <w:tab w:val="left" w:pos="4752"/>
        </w:tabs>
        <w:spacing w:after="120"/>
        <w:jc w:val="both"/>
        <w:rPr>
          <w:color w:val="000000"/>
        </w:rPr>
      </w:pPr>
    </w:p>
    <w:p w:rsidR="00AD2379" w:rsidRPr="00D757A2" w:rsidRDefault="00AD2379" w:rsidP="00D757A2">
      <w:pPr>
        <w:spacing w:line="240" w:lineRule="auto"/>
        <w:jc w:val="left"/>
        <w:rPr>
          <w:color w:val="000000"/>
          <w:u w:val="single"/>
        </w:rPr>
      </w:pPr>
      <w:r w:rsidRPr="001F29F9">
        <w:rPr>
          <w:color w:val="000000"/>
          <w:u w:val="single"/>
        </w:rPr>
        <w:t>RATING COMPARISON</w:t>
      </w:r>
      <w:r w:rsidRPr="001F29F9">
        <w:rPr>
          <w:color w:val="000000"/>
        </w:rPr>
        <w:t>:</w:t>
      </w:r>
      <w:r w:rsidRPr="00726F84">
        <w:rPr>
          <w:color w:val="000000"/>
        </w:rPr>
        <w:t xml:space="preserve"> </w:t>
      </w:r>
    </w:p>
    <w:p w:rsidR="00350273" w:rsidRDefault="00350273" w:rsidP="00BF0E94">
      <w:pPr>
        <w:jc w:val="left"/>
        <w:rPr>
          <w:color w:val="000000"/>
        </w:rPr>
      </w:pPr>
    </w:p>
    <w:tbl>
      <w:tblPr>
        <w:tblStyle w:val="TableGrid"/>
        <w:tblW w:w="9364" w:type="dxa"/>
        <w:jc w:val="center"/>
        <w:tblInd w:w="14" w:type="dxa"/>
        <w:tblLayout w:type="fixed"/>
        <w:tblLook w:val="00A0"/>
      </w:tblPr>
      <w:tblGrid>
        <w:gridCol w:w="2610"/>
        <w:gridCol w:w="634"/>
        <w:gridCol w:w="720"/>
        <w:gridCol w:w="2610"/>
        <w:gridCol w:w="1080"/>
        <w:gridCol w:w="720"/>
        <w:gridCol w:w="990"/>
      </w:tblGrid>
      <w:tr w:rsidR="00350273" w:rsidRPr="00F64312" w:rsidTr="00350273">
        <w:trPr>
          <w:trHeight w:val="170"/>
          <w:jc w:val="center"/>
        </w:trPr>
        <w:tc>
          <w:tcPr>
            <w:tcW w:w="3964" w:type="dxa"/>
            <w:gridSpan w:val="3"/>
            <w:tcBorders>
              <w:right w:val="thinThickThinSmallGap" w:sz="24" w:space="0" w:color="auto"/>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 xml:space="preserve">Service </w:t>
            </w:r>
            <w:r w:rsidRPr="00F25DE0">
              <w:rPr>
                <w:b/>
                <w:color w:val="auto"/>
                <w:sz w:val="18"/>
              </w:rPr>
              <w:t>PEB – Dated 20090515</w:t>
            </w:r>
          </w:p>
        </w:tc>
        <w:tc>
          <w:tcPr>
            <w:tcW w:w="5400" w:type="dxa"/>
            <w:gridSpan w:val="4"/>
            <w:tcBorders>
              <w:left w:val="thinThickThinSmallGap" w:sz="24" w:space="0" w:color="auto"/>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VA (</w:t>
            </w:r>
            <w:r>
              <w:rPr>
                <w:b/>
                <w:color w:val="auto"/>
                <w:sz w:val="18"/>
              </w:rPr>
              <w:t>5 Mo</w:t>
            </w:r>
            <w:r w:rsidRPr="00F64312">
              <w:rPr>
                <w:b/>
                <w:color w:val="auto"/>
                <w:sz w:val="18"/>
              </w:rPr>
              <w:t xml:space="preserve">. </w:t>
            </w:r>
            <w:r w:rsidRPr="008C38C6">
              <w:rPr>
                <w:b/>
                <w:color w:val="auto"/>
                <w:sz w:val="18"/>
              </w:rPr>
              <w:t>Pre -</w:t>
            </w:r>
            <w:r w:rsidRPr="00F64312">
              <w:rPr>
                <w:b/>
                <w:color w:val="auto"/>
                <w:sz w:val="18"/>
              </w:rPr>
              <w:t xml:space="preserve">Separation) – All Effective </w:t>
            </w:r>
            <w:r w:rsidRPr="00F25DE0">
              <w:rPr>
                <w:b/>
                <w:color w:val="auto"/>
                <w:sz w:val="18"/>
              </w:rPr>
              <w:t>20090824</w:t>
            </w:r>
          </w:p>
        </w:tc>
      </w:tr>
      <w:tr w:rsidR="00350273" w:rsidRPr="00F64312" w:rsidTr="00350273">
        <w:trPr>
          <w:trHeight w:val="97"/>
          <w:jc w:val="center"/>
        </w:trPr>
        <w:tc>
          <w:tcPr>
            <w:tcW w:w="2610" w:type="dxa"/>
            <w:tcBorders>
              <w:bottom w:val="single" w:sz="4" w:space="0" w:color="000000"/>
              <w:right w:val="single" w:sz="4" w:space="0" w:color="auto"/>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Condition</w:t>
            </w:r>
          </w:p>
        </w:tc>
        <w:tc>
          <w:tcPr>
            <w:tcW w:w="634" w:type="dxa"/>
            <w:tcBorders>
              <w:left w:val="single" w:sz="4" w:space="0" w:color="auto"/>
              <w:bottom w:val="single" w:sz="4" w:space="0" w:color="000000"/>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Code</w:t>
            </w:r>
          </w:p>
        </w:tc>
        <w:tc>
          <w:tcPr>
            <w:tcW w:w="720" w:type="dxa"/>
            <w:tcBorders>
              <w:bottom w:val="single" w:sz="4" w:space="0" w:color="000000"/>
              <w:right w:val="thinThickThinSmallGap" w:sz="24" w:space="0" w:color="auto"/>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Rating</w:t>
            </w:r>
          </w:p>
        </w:tc>
        <w:tc>
          <w:tcPr>
            <w:tcW w:w="2610" w:type="dxa"/>
            <w:tcBorders>
              <w:left w:val="thinThickThinSmallGap" w:sz="24" w:space="0" w:color="auto"/>
              <w:bottom w:val="single" w:sz="4" w:space="0" w:color="000000"/>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Condition</w:t>
            </w:r>
          </w:p>
        </w:tc>
        <w:tc>
          <w:tcPr>
            <w:tcW w:w="1080" w:type="dxa"/>
            <w:tcBorders>
              <w:bottom w:val="single" w:sz="4" w:space="0" w:color="000000"/>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Code</w:t>
            </w:r>
          </w:p>
        </w:tc>
        <w:tc>
          <w:tcPr>
            <w:tcW w:w="720" w:type="dxa"/>
            <w:tcBorders>
              <w:bottom w:val="single" w:sz="4" w:space="0" w:color="000000"/>
            </w:tcBorders>
            <w:shd w:val="clear" w:color="auto" w:fill="D9D9D9"/>
            <w:vAlign w:val="center"/>
          </w:tcPr>
          <w:p w:rsidR="00350273" w:rsidRPr="00F64312" w:rsidRDefault="00350273" w:rsidP="00D757A2">
            <w:pPr>
              <w:spacing w:line="220" w:lineRule="exact"/>
              <w:contextualSpacing/>
              <w:rPr>
                <w:rFonts w:cs="Calibri"/>
                <w:b/>
                <w:color w:val="auto"/>
                <w:sz w:val="18"/>
              </w:rPr>
            </w:pPr>
            <w:r w:rsidRPr="00F64312">
              <w:rPr>
                <w:b/>
                <w:color w:val="auto"/>
                <w:sz w:val="18"/>
              </w:rPr>
              <w:t>Rating</w:t>
            </w:r>
          </w:p>
        </w:tc>
        <w:tc>
          <w:tcPr>
            <w:tcW w:w="990" w:type="dxa"/>
            <w:tcBorders>
              <w:bottom w:val="single" w:sz="4" w:space="0" w:color="000000"/>
            </w:tcBorders>
            <w:shd w:val="clear" w:color="auto" w:fill="D9D9D9"/>
            <w:vAlign w:val="center"/>
          </w:tcPr>
          <w:p w:rsidR="00350273" w:rsidRPr="00F25DE0" w:rsidRDefault="00350273" w:rsidP="00D757A2">
            <w:pPr>
              <w:spacing w:line="220" w:lineRule="exact"/>
              <w:contextualSpacing/>
              <w:rPr>
                <w:rFonts w:cs="Calibri"/>
                <w:b/>
                <w:color w:val="auto"/>
                <w:sz w:val="18"/>
              </w:rPr>
            </w:pPr>
            <w:r w:rsidRPr="00F25DE0">
              <w:rPr>
                <w:b/>
                <w:color w:val="auto"/>
                <w:sz w:val="18"/>
              </w:rPr>
              <w:t>Exam</w:t>
            </w:r>
          </w:p>
        </w:tc>
      </w:tr>
      <w:tr w:rsidR="00350273" w:rsidRPr="00F64312" w:rsidTr="00350273">
        <w:trPr>
          <w:trHeight w:val="118"/>
          <w:jc w:val="center"/>
        </w:trPr>
        <w:tc>
          <w:tcPr>
            <w:tcW w:w="2610" w:type="dxa"/>
            <w:tcBorders>
              <w:right w:val="single" w:sz="4" w:space="0" w:color="auto"/>
            </w:tcBorders>
            <w:shd w:val="clear" w:color="auto" w:fill="FFFFFF"/>
            <w:vAlign w:val="center"/>
          </w:tcPr>
          <w:p w:rsidR="00350273" w:rsidRPr="00F64312" w:rsidRDefault="00350273" w:rsidP="00D757A2">
            <w:pPr>
              <w:spacing w:line="200" w:lineRule="exact"/>
              <w:contextualSpacing/>
              <w:jc w:val="left"/>
              <w:rPr>
                <w:rFonts w:cs="Calibri"/>
                <w:color w:val="auto"/>
                <w:sz w:val="18"/>
              </w:rPr>
            </w:pPr>
            <w:r>
              <w:rPr>
                <w:rFonts w:cs="Calibri"/>
                <w:color w:val="auto"/>
                <w:sz w:val="18"/>
              </w:rPr>
              <w:t>Bilateral Epididymitis</w:t>
            </w:r>
          </w:p>
        </w:tc>
        <w:tc>
          <w:tcPr>
            <w:tcW w:w="634" w:type="dxa"/>
            <w:tcBorders>
              <w:left w:val="single" w:sz="4" w:space="0" w:color="auto"/>
            </w:tcBorders>
            <w:shd w:val="clear" w:color="auto" w:fill="FFFFFF"/>
            <w:vAlign w:val="center"/>
          </w:tcPr>
          <w:p w:rsidR="00350273" w:rsidRPr="00F64312" w:rsidRDefault="00350273" w:rsidP="00D757A2">
            <w:pPr>
              <w:spacing w:line="200" w:lineRule="exact"/>
              <w:contextualSpacing/>
              <w:rPr>
                <w:rFonts w:cs="Calibri"/>
                <w:color w:val="auto"/>
                <w:sz w:val="18"/>
              </w:rPr>
            </w:pPr>
            <w:r>
              <w:rPr>
                <w:rFonts w:cs="Calibri"/>
                <w:color w:val="auto"/>
                <w:sz w:val="18"/>
              </w:rPr>
              <w:t>7525</w:t>
            </w:r>
          </w:p>
        </w:tc>
        <w:tc>
          <w:tcPr>
            <w:tcW w:w="720" w:type="dxa"/>
            <w:tcBorders>
              <w:right w:val="thinThickThinSmallGap" w:sz="24" w:space="0" w:color="auto"/>
            </w:tcBorders>
            <w:shd w:val="clear" w:color="auto" w:fill="FFFFFF"/>
            <w:vAlign w:val="center"/>
          </w:tcPr>
          <w:p w:rsidR="00350273" w:rsidRPr="00F64312" w:rsidRDefault="00350273" w:rsidP="00D757A2">
            <w:pPr>
              <w:spacing w:line="200" w:lineRule="exact"/>
              <w:rPr>
                <w:rFonts w:cs="Calibri"/>
                <w:color w:val="auto"/>
                <w:sz w:val="18"/>
              </w:rPr>
            </w:pPr>
            <w:r>
              <w:rPr>
                <w:rFonts w:cs="Calibri"/>
                <w:color w:val="auto"/>
                <w:sz w:val="18"/>
              </w:rPr>
              <w:t>0%</w:t>
            </w:r>
          </w:p>
        </w:tc>
        <w:tc>
          <w:tcPr>
            <w:tcW w:w="2610" w:type="dxa"/>
            <w:tcBorders>
              <w:left w:val="thinThickThinSmallGap" w:sz="24" w:space="0" w:color="auto"/>
            </w:tcBorders>
            <w:shd w:val="clear" w:color="auto" w:fill="FFFFFF"/>
            <w:vAlign w:val="center"/>
          </w:tcPr>
          <w:p w:rsidR="00350273" w:rsidRPr="00F64312" w:rsidRDefault="00350273" w:rsidP="00D757A2">
            <w:pPr>
              <w:spacing w:line="200" w:lineRule="exact"/>
              <w:contextualSpacing/>
              <w:jc w:val="left"/>
              <w:rPr>
                <w:rFonts w:cs="Calibri"/>
                <w:color w:val="auto"/>
                <w:sz w:val="18"/>
              </w:rPr>
            </w:pPr>
            <w:r>
              <w:rPr>
                <w:rFonts w:cs="Calibri"/>
                <w:color w:val="auto"/>
                <w:sz w:val="18"/>
              </w:rPr>
              <w:t>Bilateral Epididymitis</w:t>
            </w:r>
          </w:p>
        </w:tc>
        <w:tc>
          <w:tcPr>
            <w:tcW w:w="1080" w:type="dxa"/>
            <w:shd w:val="clear" w:color="auto" w:fill="FFFFFF"/>
            <w:vAlign w:val="center"/>
          </w:tcPr>
          <w:p w:rsidR="00350273" w:rsidRPr="00F64312" w:rsidRDefault="00350273" w:rsidP="00D757A2">
            <w:pPr>
              <w:spacing w:line="200" w:lineRule="exact"/>
              <w:contextualSpacing/>
              <w:rPr>
                <w:rFonts w:cs="Calibri"/>
                <w:color w:val="auto"/>
                <w:sz w:val="18"/>
              </w:rPr>
            </w:pPr>
            <w:r>
              <w:rPr>
                <w:rFonts w:cs="Calibri"/>
                <w:color w:val="auto"/>
                <w:sz w:val="18"/>
              </w:rPr>
              <w:t>7525</w:t>
            </w:r>
          </w:p>
        </w:tc>
        <w:tc>
          <w:tcPr>
            <w:tcW w:w="720" w:type="dxa"/>
            <w:shd w:val="clear" w:color="auto" w:fill="FFFFFF"/>
            <w:vAlign w:val="center"/>
          </w:tcPr>
          <w:p w:rsidR="00350273" w:rsidRPr="00F64312" w:rsidRDefault="00350273" w:rsidP="00D757A2">
            <w:pPr>
              <w:spacing w:line="200" w:lineRule="exact"/>
              <w:contextualSpacing/>
              <w:rPr>
                <w:rFonts w:cs="Calibri"/>
                <w:color w:val="auto"/>
                <w:sz w:val="18"/>
              </w:rPr>
            </w:pPr>
            <w:r>
              <w:rPr>
                <w:rFonts w:cs="Calibri"/>
                <w:color w:val="auto"/>
                <w:sz w:val="18"/>
              </w:rPr>
              <w:t>0%</w:t>
            </w:r>
          </w:p>
        </w:tc>
        <w:tc>
          <w:tcPr>
            <w:tcW w:w="990" w:type="dxa"/>
            <w:shd w:val="clear" w:color="auto" w:fill="FFFFFF"/>
            <w:vAlign w:val="center"/>
          </w:tcPr>
          <w:p w:rsidR="00350273" w:rsidRPr="00F25DE0" w:rsidRDefault="00350273" w:rsidP="00D757A2">
            <w:pPr>
              <w:spacing w:line="200" w:lineRule="exact"/>
              <w:contextualSpacing/>
              <w:rPr>
                <w:rFonts w:cs="Calibri"/>
                <w:color w:val="auto"/>
                <w:sz w:val="18"/>
              </w:rPr>
            </w:pPr>
            <w:r w:rsidRPr="00F25DE0">
              <w:rPr>
                <w:color w:val="auto"/>
                <w:sz w:val="18"/>
              </w:rPr>
              <w:t>20090330</w:t>
            </w:r>
          </w:p>
        </w:tc>
      </w:tr>
      <w:tr w:rsidR="00350273" w:rsidRPr="00F64312" w:rsidTr="00350273">
        <w:trPr>
          <w:trHeight w:val="118"/>
          <w:jc w:val="center"/>
        </w:trPr>
        <w:tc>
          <w:tcPr>
            <w:tcW w:w="2610" w:type="dxa"/>
            <w:tcBorders>
              <w:bottom w:val="single" w:sz="4" w:space="0" w:color="auto"/>
              <w:right w:val="single" w:sz="4" w:space="0" w:color="auto"/>
            </w:tcBorders>
            <w:shd w:val="clear" w:color="auto" w:fill="FFFFFF"/>
            <w:vAlign w:val="center"/>
          </w:tcPr>
          <w:p w:rsidR="00350273" w:rsidRPr="00F64312" w:rsidRDefault="00350273" w:rsidP="00D757A2">
            <w:pPr>
              <w:spacing w:line="200" w:lineRule="exact"/>
              <w:contextualSpacing/>
              <w:jc w:val="left"/>
              <w:rPr>
                <w:color w:val="auto"/>
                <w:sz w:val="18"/>
              </w:rPr>
            </w:pPr>
            <w:r>
              <w:rPr>
                <w:color w:val="auto"/>
                <w:sz w:val="18"/>
              </w:rPr>
              <w:t>OSA</w:t>
            </w:r>
          </w:p>
        </w:tc>
        <w:tc>
          <w:tcPr>
            <w:tcW w:w="1354" w:type="dxa"/>
            <w:gridSpan w:val="2"/>
            <w:tcBorders>
              <w:left w:val="single" w:sz="4" w:space="0" w:color="auto"/>
              <w:bottom w:val="single" w:sz="4" w:space="0" w:color="auto"/>
              <w:right w:val="thinThickThinSmallGap" w:sz="24" w:space="0" w:color="auto"/>
            </w:tcBorders>
            <w:shd w:val="clear" w:color="auto" w:fill="FFFFFF"/>
            <w:vAlign w:val="center"/>
          </w:tcPr>
          <w:p w:rsidR="00350273" w:rsidRPr="00F64312" w:rsidRDefault="00350273" w:rsidP="00D757A2">
            <w:pPr>
              <w:spacing w:line="200" w:lineRule="exact"/>
              <w:rPr>
                <w:color w:val="auto"/>
                <w:sz w:val="18"/>
              </w:rPr>
            </w:pPr>
            <w:r w:rsidRPr="00F64312">
              <w:rPr>
                <w:color w:val="auto"/>
                <w:sz w:val="18"/>
              </w:rPr>
              <w:t>Not Unfitting</w:t>
            </w:r>
          </w:p>
        </w:tc>
        <w:tc>
          <w:tcPr>
            <w:tcW w:w="2610" w:type="dxa"/>
            <w:tcBorders>
              <w:left w:val="thinThickThinSmallGap" w:sz="24" w:space="0" w:color="auto"/>
              <w:bottom w:val="single" w:sz="4" w:space="0" w:color="auto"/>
            </w:tcBorders>
            <w:shd w:val="clear" w:color="auto" w:fill="FFFFFF"/>
            <w:vAlign w:val="center"/>
          </w:tcPr>
          <w:p w:rsidR="00350273" w:rsidRPr="00F64312" w:rsidRDefault="00350273" w:rsidP="00D757A2">
            <w:pPr>
              <w:spacing w:line="200" w:lineRule="exact"/>
              <w:contextualSpacing/>
              <w:jc w:val="left"/>
              <w:rPr>
                <w:color w:val="auto"/>
                <w:sz w:val="18"/>
              </w:rPr>
            </w:pPr>
            <w:r>
              <w:rPr>
                <w:color w:val="auto"/>
                <w:sz w:val="18"/>
              </w:rPr>
              <w:t>OSA</w:t>
            </w:r>
          </w:p>
        </w:tc>
        <w:tc>
          <w:tcPr>
            <w:tcW w:w="1080" w:type="dxa"/>
            <w:shd w:val="clear" w:color="auto" w:fill="FFFFFF"/>
            <w:vAlign w:val="center"/>
          </w:tcPr>
          <w:p w:rsidR="00350273" w:rsidRPr="00F64312" w:rsidRDefault="00350273" w:rsidP="00D757A2">
            <w:pPr>
              <w:spacing w:line="200" w:lineRule="exact"/>
              <w:contextualSpacing/>
              <w:rPr>
                <w:color w:val="auto"/>
                <w:sz w:val="18"/>
              </w:rPr>
            </w:pPr>
            <w:r>
              <w:rPr>
                <w:color w:val="auto"/>
                <w:sz w:val="18"/>
              </w:rPr>
              <w:t>6847</w:t>
            </w:r>
          </w:p>
        </w:tc>
        <w:tc>
          <w:tcPr>
            <w:tcW w:w="720" w:type="dxa"/>
            <w:shd w:val="clear" w:color="auto" w:fill="FFFFFF"/>
            <w:vAlign w:val="center"/>
          </w:tcPr>
          <w:p w:rsidR="00350273" w:rsidRPr="00F64312" w:rsidRDefault="00350273" w:rsidP="00D757A2">
            <w:pPr>
              <w:spacing w:line="200" w:lineRule="exact"/>
              <w:contextualSpacing/>
              <w:rPr>
                <w:color w:val="auto"/>
                <w:sz w:val="18"/>
              </w:rPr>
            </w:pPr>
            <w:r>
              <w:rPr>
                <w:color w:val="auto"/>
                <w:sz w:val="18"/>
              </w:rPr>
              <w:t>50%</w:t>
            </w:r>
          </w:p>
        </w:tc>
        <w:tc>
          <w:tcPr>
            <w:tcW w:w="990" w:type="dxa"/>
            <w:shd w:val="clear" w:color="auto" w:fill="FFFFFF"/>
            <w:vAlign w:val="center"/>
          </w:tcPr>
          <w:p w:rsidR="00350273" w:rsidRPr="00F25DE0" w:rsidRDefault="00350273" w:rsidP="00D757A2">
            <w:pPr>
              <w:spacing w:line="200" w:lineRule="exact"/>
              <w:contextualSpacing/>
              <w:rPr>
                <w:rFonts w:cs="Calibri"/>
                <w:color w:val="auto"/>
                <w:sz w:val="18"/>
              </w:rPr>
            </w:pPr>
            <w:r w:rsidRPr="00F25DE0">
              <w:rPr>
                <w:color w:val="auto"/>
                <w:sz w:val="18"/>
              </w:rPr>
              <w:t>20090330</w:t>
            </w:r>
          </w:p>
        </w:tc>
      </w:tr>
      <w:tr w:rsidR="00350273" w:rsidRPr="00F64312" w:rsidTr="00350273">
        <w:trPr>
          <w:trHeight w:val="118"/>
          <w:jc w:val="center"/>
        </w:trPr>
        <w:tc>
          <w:tcPr>
            <w:tcW w:w="2610" w:type="dxa"/>
            <w:tcBorders>
              <w:top w:val="single" w:sz="4" w:space="0" w:color="auto"/>
              <w:bottom w:val="single" w:sz="4" w:space="0" w:color="auto"/>
              <w:right w:val="single" w:sz="4" w:space="0" w:color="auto"/>
            </w:tcBorders>
            <w:shd w:val="clear" w:color="auto" w:fill="FFFFFF"/>
            <w:vAlign w:val="center"/>
          </w:tcPr>
          <w:p w:rsidR="00350273" w:rsidRPr="00F64312" w:rsidRDefault="00350273" w:rsidP="00D757A2">
            <w:pPr>
              <w:spacing w:line="200" w:lineRule="exact"/>
              <w:contextualSpacing/>
              <w:jc w:val="left"/>
              <w:rPr>
                <w:color w:val="auto"/>
                <w:sz w:val="18"/>
              </w:rPr>
            </w:pPr>
            <w:r>
              <w:rPr>
                <w:color w:val="auto"/>
                <w:sz w:val="18"/>
              </w:rPr>
              <w:t>Hypertension</w:t>
            </w:r>
          </w:p>
        </w:tc>
        <w:tc>
          <w:tcPr>
            <w:tcW w:w="135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350273" w:rsidRPr="00F64312" w:rsidRDefault="00350273" w:rsidP="00D757A2">
            <w:pPr>
              <w:spacing w:line="200" w:lineRule="exact"/>
              <w:rPr>
                <w:color w:val="auto"/>
                <w:sz w:val="18"/>
              </w:rPr>
            </w:pPr>
            <w:r w:rsidRPr="00F64312">
              <w:rPr>
                <w:color w:val="auto"/>
                <w:sz w:val="18"/>
              </w:rPr>
              <w:t>Not Unfitting</w:t>
            </w:r>
          </w:p>
        </w:tc>
        <w:tc>
          <w:tcPr>
            <w:tcW w:w="2610" w:type="dxa"/>
            <w:tcBorders>
              <w:top w:val="single" w:sz="4" w:space="0" w:color="auto"/>
              <w:left w:val="thinThickThinSmallGap" w:sz="24" w:space="0" w:color="auto"/>
              <w:bottom w:val="single" w:sz="4" w:space="0" w:color="auto"/>
            </w:tcBorders>
            <w:shd w:val="clear" w:color="auto" w:fill="FFFFFF"/>
            <w:vAlign w:val="center"/>
          </w:tcPr>
          <w:p w:rsidR="00350273" w:rsidRPr="00F64312" w:rsidRDefault="00350273" w:rsidP="00D757A2">
            <w:pPr>
              <w:spacing w:line="200" w:lineRule="exact"/>
              <w:contextualSpacing/>
              <w:jc w:val="left"/>
              <w:rPr>
                <w:color w:val="auto"/>
                <w:sz w:val="18"/>
              </w:rPr>
            </w:pPr>
            <w:r>
              <w:rPr>
                <w:color w:val="auto"/>
                <w:sz w:val="18"/>
              </w:rPr>
              <w:t>Hypertension</w:t>
            </w:r>
          </w:p>
        </w:tc>
        <w:tc>
          <w:tcPr>
            <w:tcW w:w="1080" w:type="dxa"/>
            <w:shd w:val="clear" w:color="auto" w:fill="FFFFFF"/>
            <w:vAlign w:val="center"/>
          </w:tcPr>
          <w:p w:rsidR="00350273" w:rsidRPr="00F64312" w:rsidRDefault="00350273" w:rsidP="00D757A2">
            <w:pPr>
              <w:spacing w:line="200" w:lineRule="exact"/>
              <w:contextualSpacing/>
              <w:rPr>
                <w:color w:val="auto"/>
                <w:sz w:val="18"/>
              </w:rPr>
            </w:pPr>
            <w:r>
              <w:rPr>
                <w:color w:val="auto"/>
                <w:sz w:val="18"/>
              </w:rPr>
              <w:t>7101</w:t>
            </w:r>
          </w:p>
        </w:tc>
        <w:tc>
          <w:tcPr>
            <w:tcW w:w="720" w:type="dxa"/>
            <w:shd w:val="clear" w:color="auto" w:fill="FFFFFF"/>
            <w:vAlign w:val="center"/>
          </w:tcPr>
          <w:p w:rsidR="00350273" w:rsidRPr="00F64312" w:rsidRDefault="00350273" w:rsidP="00D757A2">
            <w:pPr>
              <w:spacing w:line="200" w:lineRule="exact"/>
              <w:contextualSpacing/>
              <w:rPr>
                <w:color w:val="auto"/>
                <w:sz w:val="18"/>
              </w:rPr>
            </w:pPr>
            <w:r>
              <w:rPr>
                <w:color w:val="auto"/>
                <w:sz w:val="18"/>
              </w:rPr>
              <w:t>0%</w:t>
            </w:r>
          </w:p>
        </w:tc>
        <w:tc>
          <w:tcPr>
            <w:tcW w:w="990" w:type="dxa"/>
            <w:shd w:val="clear" w:color="auto" w:fill="FFFFFF"/>
            <w:vAlign w:val="center"/>
          </w:tcPr>
          <w:p w:rsidR="00350273" w:rsidRPr="00F25DE0" w:rsidRDefault="00350273" w:rsidP="00D757A2">
            <w:pPr>
              <w:spacing w:line="200" w:lineRule="exact"/>
              <w:contextualSpacing/>
              <w:rPr>
                <w:rFonts w:cs="Calibri"/>
                <w:color w:val="auto"/>
                <w:sz w:val="18"/>
              </w:rPr>
            </w:pPr>
            <w:r w:rsidRPr="00F25DE0">
              <w:rPr>
                <w:color w:val="auto"/>
                <w:sz w:val="18"/>
              </w:rPr>
              <w:t>20090330</w:t>
            </w:r>
          </w:p>
        </w:tc>
      </w:tr>
      <w:tr w:rsidR="00350273" w:rsidRPr="00F64312" w:rsidTr="00350273">
        <w:trPr>
          <w:trHeight w:val="118"/>
          <w:jc w:val="center"/>
        </w:trPr>
        <w:tc>
          <w:tcPr>
            <w:tcW w:w="2610" w:type="dxa"/>
            <w:tcBorders>
              <w:top w:val="single" w:sz="4" w:space="0" w:color="auto"/>
              <w:right w:val="single" w:sz="4" w:space="0" w:color="auto"/>
            </w:tcBorders>
            <w:shd w:val="clear" w:color="auto" w:fill="FFFFFF"/>
            <w:vAlign w:val="center"/>
          </w:tcPr>
          <w:p w:rsidR="00350273" w:rsidRPr="00F64312" w:rsidRDefault="00350273" w:rsidP="00D757A2">
            <w:pPr>
              <w:spacing w:line="200" w:lineRule="exact"/>
              <w:contextualSpacing/>
              <w:jc w:val="left"/>
              <w:rPr>
                <w:color w:val="auto"/>
                <w:sz w:val="18"/>
              </w:rPr>
            </w:pPr>
            <w:r>
              <w:rPr>
                <w:color w:val="auto"/>
                <w:sz w:val="18"/>
              </w:rPr>
              <w:lastRenderedPageBreak/>
              <w:t>Right Knee Meniscal Tear</w:t>
            </w:r>
          </w:p>
        </w:tc>
        <w:tc>
          <w:tcPr>
            <w:tcW w:w="1354" w:type="dxa"/>
            <w:gridSpan w:val="2"/>
            <w:tcBorders>
              <w:top w:val="single" w:sz="4" w:space="0" w:color="auto"/>
              <w:left w:val="single" w:sz="4" w:space="0" w:color="auto"/>
              <w:right w:val="thinThickThinSmallGap" w:sz="24" w:space="0" w:color="auto"/>
            </w:tcBorders>
            <w:shd w:val="clear" w:color="auto" w:fill="FFFFFF"/>
            <w:vAlign w:val="center"/>
          </w:tcPr>
          <w:p w:rsidR="00350273" w:rsidRPr="00F64312" w:rsidRDefault="00350273" w:rsidP="00D757A2">
            <w:pPr>
              <w:spacing w:line="200" w:lineRule="exact"/>
              <w:rPr>
                <w:color w:val="auto"/>
                <w:sz w:val="18"/>
              </w:rPr>
            </w:pPr>
            <w:r w:rsidRPr="00F64312">
              <w:rPr>
                <w:color w:val="auto"/>
                <w:sz w:val="18"/>
              </w:rPr>
              <w:t>Not Unfitting</w:t>
            </w:r>
          </w:p>
        </w:tc>
        <w:tc>
          <w:tcPr>
            <w:tcW w:w="2610" w:type="dxa"/>
            <w:tcBorders>
              <w:top w:val="single" w:sz="4" w:space="0" w:color="auto"/>
              <w:left w:val="thinThickThinSmallGap" w:sz="24" w:space="0" w:color="auto"/>
            </w:tcBorders>
            <w:shd w:val="clear" w:color="auto" w:fill="FFFFFF"/>
            <w:vAlign w:val="center"/>
          </w:tcPr>
          <w:p w:rsidR="00350273" w:rsidRPr="00F64312" w:rsidRDefault="00350273" w:rsidP="00D757A2">
            <w:pPr>
              <w:spacing w:line="200" w:lineRule="exact"/>
              <w:contextualSpacing/>
              <w:jc w:val="left"/>
              <w:rPr>
                <w:color w:val="auto"/>
                <w:sz w:val="18"/>
              </w:rPr>
            </w:pPr>
            <w:r>
              <w:rPr>
                <w:color w:val="auto"/>
                <w:sz w:val="18"/>
              </w:rPr>
              <w:t>Degenerative Arthritis, R Knee</w:t>
            </w:r>
          </w:p>
        </w:tc>
        <w:tc>
          <w:tcPr>
            <w:tcW w:w="1080" w:type="dxa"/>
            <w:shd w:val="clear" w:color="auto" w:fill="FFFFFF"/>
            <w:vAlign w:val="center"/>
          </w:tcPr>
          <w:p w:rsidR="00350273" w:rsidRPr="00F64312" w:rsidRDefault="00350273" w:rsidP="00D757A2">
            <w:pPr>
              <w:spacing w:line="200" w:lineRule="exact"/>
              <w:contextualSpacing/>
              <w:rPr>
                <w:color w:val="auto"/>
                <w:sz w:val="18"/>
              </w:rPr>
            </w:pPr>
            <w:r>
              <w:rPr>
                <w:color w:val="auto"/>
                <w:sz w:val="18"/>
              </w:rPr>
              <w:t>5260</w:t>
            </w:r>
          </w:p>
        </w:tc>
        <w:tc>
          <w:tcPr>
            <w:tcW w:w="720" w:type="dxa"/>
            <w:shd w:val="clear" w:color="auto" w:fill="FFFFFF"/>
            <w:vAlign w:val="center"/>
          </w:tcPr>
          <w:p w:rsidR="00350273" w:rsidRPr="00F64312" w:rsidRDefault="00350273" w:rsidP="00D757A2">
            <w:pPr>
              <w:spacing w:line="200" w:lineRule="exact"/>
              <w:contextualSpacing/>
              <w:rPr>
                <w:color w:val="auto"/>
                <w:sz w:val="18"/>
              </w:rPr>
            </w:pPr>
            <w:r>
              <w:rPr>
                <w:color w:val="auto"/>
                <w:sz w:val="18"/>
              </w:rPr>
              <w:t>10%</w:t>
            </w:r>
          </w:p>
        </w:tc>
        <w:tc>
          <w:tcPr>
            <w:tcW w:w="990" w:type="dxa"/>
            <w:shd w:val="clear" w:color="auto" w:fill="FFFFFF"/>
            <w:vAlign w:val="center"/>
          </w:tcPr>
          <w:p w:rsidR="00350273" w:rsidRPr="00F25DE0" w:rsidRDefault="00350273" w:rsidP="00D757A2">
            <w:pPr>
              <w:spacing w:line="200" w:lineRule="exact"/>
              <w:contextualSpacing/>
              <w:rPr>
                <w:rFonts w:cs="Calibri"/>
                <w:color w:val="auto"/>
                <w:sz w:val="18"/>
              </w:rPr>
            </w:pPr>
            <w:r w:rsidRPr="00F25DE0">
              <w:rPr>
                <w:color w:val="auto"/>
                <w:sz w:val="18"/>
              </w:rPr>
              <w:t>20090330</w:t>
            </w:r>
          </w:p>
        </w:tc>
      </w:tr>
      <w:tr w:rsidR="00350273" w:rsidRPr="00F64312" w:rsidTr="00350273">
        <w:trPr>
          <w:trHeight w:val="118"/>
          <w:jc w:val="center"/>
        </w:trPr>
        <w:tc>
          <w:tcPr>
            <w:tcW w:w="3964" w:type="dxa"/>
            <w:gridSpan w:val="3"/>
            <w:vMerge w:val="restart"/>
            <w:tcBorders>
              <w:right w:val="thinThickThinSmallGap" w:sz="24" w:space="0" w:color="auto"/>
            </w:tcBorders>
            <w:shd w:val="clear" w:color="auto" w:fill="FFFFFF"/>
            <w:vAlign w:val="center"/>
          </w:tcPr>
          <w:p w:rsidR="00350273" w:rsidRPr="00F64312" w:rsidRDefault="00350273" w:rsidP="00D757A2">
            <w:pPr>
              <w:spacing w:line="200" w:lineRule="exact"/>
              <w:contextualSpacing/>
              <w:rPr>
                <w:color w:val="auto"/>
                <w:sz w:val="18"/>
              </w:rPr>
            </w:pPr>
            <w:r w:rsidRPr="00F64312">
              <w:rPr>
                <w:rFonts w:cs="Calibri"/>
                <w:color w:val="auto"/>
                <w:sz w:val="18"/>
                <w:szCs w:val="18"/>
              </w:rPr>
              <w:t>No Additional MEB/PEB Entries</w:t>
            </w:r>
          </w:p>
        </w:tc>
        <w:tc>
          <w:tcPr>
            <w:tcW w:w="2610" w:type="dxa"/>
            <w:tcBorders>
              <w:left w:val="thinThickThinSmallGap" w:sz="24" w:space="0" w:color="auto"/>
            </w:tcBorders>
            <w:shd w:val="clear" w:color="auto" w:fill="FFFFFF"/>
            <w:vAlign w:val="center"/>
          </w:tcPr>
          <w:p w:rsidR="00350273" w:rsidRDefault="00350273" w:rsidP="00D757A2">
            <w:pPr>
              <w:spacing w:line="200" w:lineRule="exact"/>
              <w:contextualSpacing/>
              <w:jc w:val="left"/>
              <w:rPr>
                <w:color w:val="auto"/>
                <w:sz w:val="18"/>
              </w:rPr>
            </w:pPr>
            <w:proofErr w:type="spellStart"/>
            <w:r>
              <w:rPr>
                <w:color w:val="auto"/>
                <w:sz w:val="18"/>
              </w:rPr>
              <w:t>Osteitis</w:t>
            </w:r>
            <w:proofErr w:type="spellEnd"/>
            <w:r>
              <w:rPr>
                <w:color w:val="auto"/>
                <w:sz w:val="18"/>
              </w:rPr>
              <w:t xml:space="preserve"> Pubis of the Left Hip</w:t>
            </w:r>
          </w:p>
        </w:tc>
        <w:tc>
          <w:tcPr>
            <w:tcW w:w="1080" w:type="dxa"/>
            <w:shd w:val="clear" w:color="auto" w:fill="FFFFFF"/>
            <w:vAlign w:val="center"/>
          </w:tcPr>
          <w:p w:rsidR="00350273" w:rsidRPr="00F64312" w:rsidRDefault="00350273" w:rsidP="00D757A2">
            <w:pPr>
              <w:spacing w:line="200" w:lineRule="exact"/>
              <w:contextualSpacing/>
              <w:rPr>
                <w:color w:val="auto"/>
                <w:sz w:val="18"/>
              </w:rPr>
            </w:pPr>
            <w:r>
              <w:rPr>
                <w:color w:val="auto"/>
                <w:sz w:val="18"/>
              </w:rPr>
              <w:t>5252-5024</w:t>
            </w:r>
          </w:p>
        </w:tc>
        <w:tc>
          <w:tcPr>
            <w:tcW w:w="720" w:type="dxa"/>
            <w:tcBorders>
              <w:right w:val="single" w:sz="4" w:space="0" w:color="auto"/>
            </w:tcBorders>
            <w:shd w:val="clear" w:color="auto" w:fill="FFFFFF"/>
            <w:vAlign w:val="center"/>
          </w:tcPr>
          <w:p w:rsidR="00350273" w:rsidRPr="00F64312" w:rsidRDefault="00350273" w:rsidP="00D757A2">
            <w:pPr>
              <w:spacing w:line="200" w:lineRule="exact"/>
              <w:contextualSpacing/>
              <w:rPr>
                <w:color w:val="auto"/>
                <w:sz w:val="18"/>
              </w:rPr>
            </w:pPr>
            <w:r>
              <w:rPr>
                <w:color w:val="auto"/>
                <w:sz w:val="18"/>
              </w:rPr>
              <w:t>10%</w:t>
            </w:r>
          </w:p>
        </w:tc>
        <w:tc>
          <w:tcPr>
            <w:tcW w:w="990" w:type="dxa"/>
            <w:tcBorders>
              <w:left w:val="single" w:sz="4" w:space="0" w:color="auto"/>
            </w:tcBorders>
            <w:shd w:val="clear" w:color="auto" w:fill="FFFFFF"/>
            <w:vAlign w:val="center"/>
          </w:tcPr>
          <w:p w:rsidR="00350273" w:rsidRPr="00F25DE0" w:rsidRDefault="00350273" w:rsidP="00D757A2">
            <w:pPr>
              <w:spacing w:line="200" w:lineRule="exact"/>
              <w:contextualSpacing/>
              <w:rPr>
                <w:rFonts w:cs="Calibri"/>
                <w:color w:val="auto"/>
                <w:sz w:val="18"/>
              </w:rPr>
            </w:pPr>
            <w:r w:rsidRPr="00F25DE0">
              <w:rPr>
                <w:color w:val="auto"/>
                <w:sz w:val="18"/>
              </w:rPr>
              <w:t>20090330</w:t>
            </w:r>
          </w:p>
        </w:tc>
      </w:tr>
      <w:tr w:rsidR="00350273" w:rsidRPr="00F64312" w:rsidTr="00350273">
        <w:trPr>
          <w:trHeight w:val="141"/>
          <w:jc w:val="center"/>
        </w:trPr>
        <w:tc>
          <w:tcPr>
            <w:tcW w:w="3964" w:type="dxa"/>
            <w:gridSpan w:val="3"/>
            <w:vMerge/>
            <w:tcBorders>
              <w:right w:val="thinThickThinSmallGap" w:sz="24" w:space="0" w:color="auto"/>
            </w:tcBorders>
            <w:shd w:val="clear" w:color="auto" w:fill="FFFFFF"/>
            <w:vAlign w:val="center"/>
          </w:tcPr>
          <w:p w:rsidR="00350273" w:rsidRPr="00F64312" w:rsidRDefault="00350273" w:rsidP="00D757A2">
            <w:pPr>
              <w:spacing w:line="200" w:lineRule="exact"/>
              <w:contextualSpacing/>
              <w:rPr>
                <w:color w:val="auto"/>
                <w:sz w:val="18"/>
              </w:rPr>
            </w:pPr>
          </w:p>
        </w:tc>
        <w:tc>
          <w:tcPr>
            <w:tcW w:w="4410" w:type="dxa"/>
            <w:gridSpan w:val="3"/>
            <w:tcBorders>
              <w:left w:val="thinThickThinSmallGap" w:sz="24" w:space="0" w:color="auto"/>
              <w:bottom w:val="single" w:sz="4" w:space="0" w:color="auto"/>
              <w:right w:val="single" w:sz="4" w:space="0" w:color="auto"/>
            </w:tcBorders>
            <w:shd w:val="clear" w:color="auto" w:fill="FFFFFF"/>
            <w:vAlign w:val="center"/>
          </w:tcPr>
          <w:p w:rsidR="00350273" w:rsidRPr="00F64312" w:rsidRDefault="00350273" w:rsidP="00D757A2">
            <w:pPr>
              <w:spacing w:line="200" w:lineRule="exact"/>
              <w:rPr>
                <w:color w:val="auto"/>
                <w:sz w:val="18"/>
              </w:rPr>
            </w:pPr>
            <w:r w:rsidRPr="00F64312">
              <w:rPr>
                <w:color w:val="auto"/>
                <w:sz w:val="18"/>
              </w:rPr>
              <w:t xml:space="preserve">0% X </w:t>
            </w:r>
            <w:r>
              <w:rPr>
                <w:color w:val="auto"/>
                <w:sz w:val="18"/>
              </w:rPr>
              <w:t>4</w:t>
            </w:r>
            <w:r w:rsidRPr="00F64312">
              <w:rPr>
                <w:color w:val="auto"/>
                <w:sz w:val="18"/>
              </w:rPr>
              <w:t xml:space="preserve"> </w:t>
            </w:r>
            <w:r w:rsidR="003E6E1D">
              <w:rPr>
                <w:color w:val="auto"/>
                <w:sz w:val="18"/>
              </w:rPr>
              <w:t>/ Not Service-</w:t>
            </w:r>
            <w:r w:rsidRPr="00F64312">
              <w:rPr>
                <w:color w:val="auto"/>
                <w:sz w:val="18"/>
              </w:rPr>
              <w:t xml:space="preserve">Connected x </w:t>
            </w:r>
            <w:r>
              <w:rPr>
                <w:color w:val="auto"/>
                <w:sz w:val="18"/>
              </w:rPr>
              <w:t>1</w:t>
            </w:r>
          </w:p>
        </w:tc>
        <w:tc>
          <w:tcPr>
            <w:tcW w:w="990" w:type="dxa"/>
            <w:tcBorders>
              <w:left w:val="single" w:sz="4" w:space="0" w:color="auto"/>
              <w:bottom w:val="single" w:sz="4" w:space="0" w:color="auto"/>
            </w:tcBorders>
            <w:shd w:val="clear" w:color="auto" w:fill="FFFFFF"/>
            <w:vAlign w:val="center"/>
          </w:tcPr>
          <w:p w:rsidR="00350273" w:rsidRPr="00F64312" w:rsidRDefault="00350273" w:rsidP="00D757A2">
            <w:pPr>
              <w:spacing w:line="200" w:lineRule="exact"/>
              <w:contextualSpacing/>
              <w:rPr>
                <w:color w:val="auto"/>
                <w:sz w:val="18"/>
                <w:highlight w:val="yellow"/>
              </w:rPr>
            </w:pPr>
            <w:r w:rsidRPr="00F25DE0">
              <w:rPr>
                <w:color w:val="auto"/>
                <w:sz w:val="18"/>
              </w:rPr>
              <w:t>20090330</w:t>
            </w:r>
          </w:p>
        </w:tc>
      </w:tr>
      <w:tr w:rsidR="00350273" w:rsidRPr="00F64312" w:rsidTr="00350273">
        <w:trPr>
          <w:trHeight w:val="124"/>
          <w:jc w:val="center"/>
        </w:trPr>
        <w:tc>
          <w:tcPr>
            <w:tcW w:w="3964" w:type="dxa"/>
            <w:gridSpan w:val="3"/>
            <w:tcBorders>
              <w:right w:val="thinThickThinSmallGap" w:sz="24" w:space="0" w:color="auto"/>
            </w:tcBorders>
            <w:shd w:val="clear" w:color="auto" w:fill="D9D9D9"/>
          </w:tcPr>
          <w:p w:rsidR="00350273" w:rsidRPr="00F64312" w:rsidRDefault="00350273" w:rsidP="00D757A2">
            <w:pPr>
              <w:spacing w:line="220" w:lineRule="exact"/>
              <w:contextualSpacing/>
              <w:rPr>
                <w:rFonts w:cs="Calibri"/>
                <w:b/>
                <w:color w:val="auto"/>
                <w:sz w:val="18"/>
              </w:rPr>
            </w:pPr>
            <w:r w:rsidRPr="00F64312">
              <w:rPr>
                <w:b/>
                <w:color w:val="auto"/>
                <w:sz w:val="18"/>
              </w:rPr>
              <w:t xml:space="preserve">Combined:  </w:t>
            </w:r>
            <w:r>
              <w:rPr>
                <w:b/>
                <w:color w:val="auto"/>
                <w:sz w:val="18"/>
              </w:rPr>
              <w:t>0</w:t>
            </w:r>
            <w:r w:rsidRPr="00F64312">
              <w:rPr>
                <w:b/>
                <w:color w:val="auto"/>
                <w:sz w:val="18"/>
              </w:rPr>
              <w:t>%</w:t>
            </w:r>
          </w:p>
        </w:tc>
        <w:tc>
          <w:tcPr>
            <w:tcW w:w="5400" w:type="dxa"/>
            <w:gridSpan w:val="4"/>
            <w:tcBorders>
              <w:left w:val="thinThickThinSmallGap" w:sz="24" w:space="0" w:color="auto"/>
            </w:tcBorders>
            <w:shd w:val="clear" w:color="auto" w:fill="D9D9D9"/>
          </w:tcPr>
          <w:p w:rsidR="00350273" w:rsidRPr="00F64312" w:rsidRDefault="00350273" w:rsidP="00D757A2">
            <w:pPr>
              <w:spacing w:line="220" w:lineRule="exact"/>
              <w:contextualSpacing/>
              <w:rPr>
                <w:rFonts w:cs="Calibri"/>
                <w:b/>
                <w:color w:val="auto"/>
                <w:sz w:val="18"/>
              </w:rPr>
            </w:pPr>
            <w:r w:rsidRPr="00F64312">
              <w:rPr>
                <w:b/>
                <w:color w:val="auto"/>
                <w:sz w:val="18"/>
              </w:rPr>
              <w:t xml:space="preserve">Combined:  </w:t>
            </w:r>
            <w:r>
              <w:rPr>
                <w:b/>
                <w:color w:val="auto"/>
                <w:sz w:val="18"/>
              </w:rPr>
              <w:t>60</w:t>
            </w:r>
            <w:r w:rsidRPr="00F64312">
              <w:rPr>
                <w:b/>
                <w:color w:val="auto"/>
                <w:sz w:val="18"/>
              </w:rPr>
              <w:t>%</w:t>
            </w:r>
          </w:p>
        </w:tc>
      </w:tr>
    </w:tbl>
    <w:p w:rsidR="00A666C3" w:rsidRPr="00A666C3" w:rsidRDefault="00AD2379" w:rsidP="00A666C3">
      <w:pPr>
        <w:jc w:val="both"/>
        <w:rPr>
          <w:color w:val="000000"/>
        </w:rPr>
      </w:pPr>
      <w:r w:rsidRPr="001F29F9">
        <w:rPr>
          <w:color w:val="000000"/>
          <w:u w:val="single"/>
        </w:rPr>
        <w:t>ANALYSIS SUMMARY</w:t>
      </w:r>
      <w:r w:rsidRPr="001F29F9">
        <w:rPr>
          <w:color w:val="000000"/>
        </w:rPr>
        <w:t>:</w:t>
      </w:r>
      <w:r>
        <w:rPr>
          <w:color w:val="000000"/>
        </w:rPr>
        <w:t xml:space="preserve"> </w:t>
      </w:r>
      <w:r w:rsidR="00A666C3" w:rsidRPr="00A666C3">
        <w:rPr>
          <w:color w:val="000000"/>
        </w:rPr>
        <w:t>The Board acknowledges the sentiment expressed in the CI’s application regarding the significant impairment with which his service-connected condition continue</w:t>
      </w:r>
      <w:r w:rsidR="00A666C3">
        <w:rPr>
          <w:color w:val="000000"/>
        </w:rPr>
        <w:t>s</w:t>
      </w:r>
      <w:r w:rsidR="00A666C3" w:rsidRPr="00A666C3">
        <w:rPr>
          <w:color w:val="000000"/>
        </w:rPr>
        <w:t xml:space="preserve"> to burden him.  It is a fact, however, that the </w:t>
      </w:r>
      <w:r w:rsidR="003E6E1D">
        <w:rPr>
          <w:color w:val="000000"/>
        </w:rPr>
        <w:t>Disability Evaluation System (</w:t>
      </w:r>
      <w:r w:rsidR="00A666C3" w:rsidRPr="00A666C3">
        <w:rPr>
          <w:color w:val="000000"/>
        </w:rPr>
        <w:t>DES) has neither the role nor the authority to compensate service members for anticipated future severity or potential complications of conditions resulting in medical separation.  This role and authority is granted by Congress to the Department of Veteran</w:t>
      </w:r>
      <w:r w:rsidR="003E6E1D">
        <w:rPr>
          <w:color w:val="000000"/>
        </w:rPr>
        <w:t>s’</w:t>
      </w:r>
      <w:r w:rsidR="00A666C3" w:rsidRPr="00A666C3">
        <w:rPr>
          <w:color w:val="000000"/>
        </w:rPr>
        <w:t xml:space="preserve"> Affairs (DVA).  The DVA, operating under a different set of laws (Title 38, United States Code), is </w:t>
      </w:r>
      <w:r w:rsidR="003E6E1D">
        <w:rPr>
          <w:color w:val="000000"/>
        </w:rPr>
        <w:t>empowered to compensate service-</w:t>
      </w:r>
      <w:r w:rsidR="00A666C3" w:rsidRPr="00A666C3">
        <w:rPr>
          <w:color w:val="000000"/>
        </w:rPr>
        <w:t xml:space="preserve">connected conditions and to periodically re-evaluate said conditions for the purpose of adjusting the </w:t>
      </w:r>
      <w:r w:rsidR="003E6E1D">
        <w:rPr>
          <w:color w:val="000000"/>
        </w:rPr>
        <w:t>V</w:t>
      </w:r>
      <w:r w:rsidR="00A666C3" w:rsidRPr="00A666C3">
        <w:rPr>
          <w:color w:val="000000"/>
        </w:rPr>
        <w:t xml:space="preserve">eteran’s disability rating should </w:t>
      </w:r>
      <w:r w:rsidR="003E6E1D">
        <w:rPr>
          <w:color w:val="000000"/>
        </w:rPr>
        <w:t>the</w:t>
      </w:r>
      <w:r w:rsidR="00A666C3" w:rsidRPr="00A666C3">
        <w:rPr>
          <w:color w:val="000000"/>
        </w:rPr>
        <w:t xml:space="preserve"> degree</w:t>
      </w:r>
      <w:r w:rsidR="00F85BF3">
        <w:rPr>
          <w:color w:val="000000"/>
        </w:rPr>
        <w:t xml:space="preserve"> of impairment vary over time.  </w:t>
      </w:r>
      <w:r w:rsidR="00A666C3" w:rsidRPr="00A666C3">
        <w:rPr>
          <w:color w:val="000000"/>
        </w:rPr>
        <w:t xml:space="preserve">The Board utilizes </w:t>
      </w:r>
      <w:r w:rsidR="003E6E1D">
        <w:rPr>
          <w:color w:val="000000"/>
        </w:rPr>
        <w:t>D</w:t>
      </w:r>
      <w:r w:rsidR="00A666C3" w:rsidRPr="00A666C3">
        <w:rPr>
          <w:color w:val="000000"/>
        </w:rPr>
        <w:t>VA evidence proximate to separation in arriving at its recommendations;</w:t>
      </w:r>
      <w:r w:rsidR="003E6E1D">
        <w:rPr>
          <w:color w:val="000000"/>
        </w:rPr>
        <w:t xml:space="preserve"> and, DoDI 6040.44 defines a 12-</w:t>
      </w:r>
      <w:r w:rsidR="00A666C3" w:rsidRPr="00A666C3">
        <w:rPr>
          <w:color w:val="000000"/>
        </w:rPr>
        <w:t>month interval for special consideration to post-separation evidence. The Board’s authority as defined in DoDI 6044.40, however, resides in evaluating the fairness of DES rating determinations for the disability existing at the time of separation.  Post-separation evidence therefore is probative only to the extent that it reasonably reflects the disability at the time of separation.</w:t>
      </w:r>
    </w:p>
    <w:p w:rsidR="00AD2379" w:rsidRPr="001F29F9" w:rsidRDefault="00AD2379" w:rsidP="00B22D42">
      <w:pPr>
        <w:jc w:val="both"/>
        <w:rPr>
          <w:color w:val="000000"/>
          <w:highlight w:val="yellow"/>
        </w:rPr>
      </w:pPr>
    </w:p>
    <w:p w:rsidR="008F5C72" w:rsidRDefault="00A666C3" w:rsidP="00B22D42">
      <w:pPr>
        <w:jc w:val="both"/>
        <w:rPr>
          <w:color w:val="000000"/>
          <w:szCs w:val="24"/>
        </w:rPr>
      </w:pPr>
      <w:proofErr w:type="gramStart"/>
      <w:r w:rsidRPr="00A666C3">
        <w:rPr>
          <w:color w:val="auto"/>
          <w:szCs w:val="24"/>
          <w:u w:val="single"/>
        </w:rPr>
        <w:t xml:space="preserve">Bilateral </w:t>
      </w:r>
      <w:r w:rsidRPr="00A666C3">
        <w:rPr>
          <w:color w:val="auto"/>
          <w:u w:val="single"/>
        </w:rPr>
        <w:t>Epididymitis/Scrotal Pain</w:t>
      </w:r>
      <w:r w:rsidRPr="00A666C3">
        <w:rPr>
          <w:color w:val="000000"/>
          <w:u w:val="single"/>
        </w:rPr>
        <w:t xml:space="preserve"> </w:t>
      </w:r>
      <w:r w:rsidR="00AD2379" w:rsidRPr="00A666C3">
        <w:rPr>
          <w:color w:val="000000"/>
          <w:u w:val="single"/>
        </w:rPr>
        <w:t>Condition</w:t>
      </w:r>
      <w:r w:rsidR="00AD2379" w:rsidRPr="009A7578">
        <w:rPr>
          <w:color w:val="000000"/>
        </w:rPr>
        <w:t>.</w:t>
      </w:r>
      <w:proofErr w:type="gramEnd"/>
      <w:r w:rsidR="00AD2379" w:rsidRPr="009A7578">
        <w:rPr>
          <w:color w:val="000000"/>
        </w:rPr>
        <w:t xml:space="preserve"> </w:t>
      </w:r>
      <w:r w:rsidR="00385708">
        <w:rPr>
          <w:color w:val="000000"/>
        </w:rPr>
        <w:t xml:space="preserve"> </w:t>
      </w:r>
      <w:r w:rsidR="005B29E3">
        <w:rPr>
          <w:color w:val="000000"/>
        </w:rPr>
        <w:t>A vasectomy was performed in January 2008</w:t>
      </w:r>
      <w:r w:rsidR="008C157D">
        <w:rPr>
          <w:color w:val="000000"/>
        </w:rPr>
        <w:t>;</w:t>
      </w:r>
      <w:r w:rsidR="005B29E3">
        <w:rPr>
          <w:color w:val="000000"/>
        </w:rPr>
        <w:t xml:space="preserve"> and</w:t>
      </w:r>
      <w:r w:rsidR="008C157D">
        <w:rPr>
          <w:color w:val="000000"/>
        </w:rPr>
        <w:t>,</w:t>
      </w:r>
      <w:r w:rsidR="005B29E3">
        <w:rPr>
          <w:color w:val="000000"/>
        </w:rPr>
        <w:t xml:space="preserve"> </w:t>
      </w:r>
      <w:r w:rsidR="008C157D">
        <w:rPr>
          <w:color w:val="000000"/>
        </w:rPr>
        <w:t>6 weeks post-operatively</w:t>
      </w:r>
      <w:r w:rsidR="005B29E3">
        <w:rPr>
          <w:color w:val="000000"/>
        </w:rPr>
        <w:t xml:space="preserve"> the CI continued to experience severe pain.   </w:t>
      </w:r>
      <w:r w:rsidR="008C157D">
        <w:rPr>
          <w:color w:val="000000"/>
        </w:rPr>
        <w:t xml:space="preserve">Follow-on evaluations included testicular ultrasounds which demonstrated good flow and no etiologic findings; a nuclear scan which was normal; and, abdominal imaging which demonstrated only a right fatty inguinal hernia (judged to be incidental and not surgical).  </w:t>
      </w:r>
      <w:r w:rsidR="00D757A2">
        <w:rPr>
          <w:color w:val="000000"/>
        </w:rPr>
        <w:t>A</w:t>
      </w:r>
      <w:r w:rsidR="008C157D">
        <w:rPr>
          <w:color w:val="000000"/>
        </w:rPr>
        <w:t xml:space="preserve"> left </w:t>
      </w:r>
      <w:proofErr w:type="spellStart"/>
      <w:r w:rsidR="008C157D" w:rsidRPr="005B29E3">
        <w:rPr>
          <w:color w:val="000000"/>
        </w:rPr>
        <w:t>epididymectomy</w:t>
      </w:r>
      <w:proofErr w:type="spellEnd"/>
      <w:r w:rsidR="008C157D">
        <w:rPr>
          <w:color w:val="000000"/>
        </w:rPr>
        <w:t xml:space="preserve"> </w:t>
      </w:r>
      <w:r w:rsidR="00D757A2">
        <w:rPr>
          <w:color w:val="000000"/>
        </w:rPr>
        <w:t xml:space="preserve">(surgical removal of epididymis) </w:t>
      </w:r>
      <w:r w:rsidR="008C157D">
        <w:rPr>
          <w:color w:val="000000"/>
        </w:rPr>
        <w:t xml:space="preserve">was performed in August 2008, and provided a period of relief for the left </w:t>
      </w:r>
      <w:r w:rsidR="003122E9">
        <w:rPr>
          <w:color w:val="000000"/>
        </w:rPr>
        <w:t>sided</w:t>
      </w:r>
      <w:r w:rsidR="00A17AC7">
        <w:rPr>
          <w:color w:val="000000"/>
        </w:rPr>
        <w:t xml:space="preserve"> pain</w:t>
      </w:r>
      <w:r w:rsidR="008C157D">
        <w:rPr>
          <w:color w:val="000000"/>
        </w:rPr>
        <w:t xml:space="preserve">; but, </w:t>
      </w:r>
      <w:r w:rsidR="00A17AC7">
        <w:rPr>
          <w:color w:val="000000"/>
        </w:rPr>
        <w:t>even that returned to baseline severity.</w:t>
      </w:r>
      <w:r w:rsidR="008C157D">
        <w:rPr>
          <w:color w:val="000000"/>
        </w:rPr>
        <w:t xml:space="preserve">  </w:t>
      </w:r>
      <w:r w:rsidR="003122E9">
        <w:rPr>
          <w:color w:val="000000"/>
        </w:rPr>
        <w:t>The pain was variably responsive</w:t>
      </w:r>
      <w:r w:rsidR="008C157D">
        <w:rPr>
          <w:color w:val="000000"/>
        </w:rPr>
        <w:t xml:space="preserve"> </w:t>
      </w:r>
      <w:r w:rsidR="003122E9">
        <w:rPr>
          <w:color w:val="000000"/>
        </w:rPr>
        <w:t xml:space="preserve">to </w:t>
      </w:r>
      <w:r w:rsidR="008C157D">
        <w:rPr>
          <w:color w:val="000000"/>
        </w:rPr>
        <w:t>neuralgia type analgesics (</w:t>
      </w:r>
      <w:proofErr w:type="spellStart"/>
      <w:r w:rsidR="008C157D">
        <w:rPr>
          <w:color w:val="000000"/>
        </w:rPr>
        <w:t>neurontin</w:t>
      </w:r>
      <w:proofErr w:type="spellEnd"/>
      <w:r w:rsidR="008C157D">
        <w:rPr>
          <w:color w:val="000000"/>
        </w:rPr>
        <w:t xml:space="preserve">, </w:t>
      </w:r>
      <w:proofErr w:type="spellStart"/>
      <w:r w:rsidR="008C157D">
        <w:rPr>
          <w:color w:val="000000"/>
        </w:rPr>
        <w:t>Lyrica</w:t>
      </w:r>
      <w:proofErr w:type="spellEnd"/>
      <w:r w:rsidR="008C157D">
        <w:rPr>
          <w:color w:val="000000"/>
        </w:rPr>
        <w:t>™)</w:t>
      </w:r>
      <w:r w:rsidR="003122E9">
        <w:rPr>
          <w:color w:val="000000"/>
        </w:rPr>
        <w:t>.</w:t>
      </w:r>
      <w:r w:rsidR="008F5C72">
        <w:rPr>
          <w:color w:val="000000"/>
        </w:rPr>
        <w:t xml:space="preserve">  An outpatient note</w:t>
      </w:r>
      <w:r w:rsidR="003E6E1D">
        <w:rPr>
          <w:color w:val="000000"/>
        </w:rPr>
        <w:t xml:space="preserve">, dated </w:t>
      </w:r>
      <w:r w:rsidR="008F5C72">
        <w:rPr>
          <w:color w:val="000000"/>
        </w:rPr>
        <w:t>6</w:t>
      </w:r>
      <w:r w:rsidR="003122E9">
        <w:rPr>
          <w:color w:val="000000"/>
        </w:rPr>
        <w:t xml:space="preserve"> months pr</w:t>
      </w:r>
      <w:r w:rsidR="003E6E1D">
        <w:rPr>
          <w:color w:val="000000"/>
        </w:rPr>
        <w:t xml:space="preserve">ior to </w:t>
      </w:r>
      <w:r w:rsidR="003122E9">
        <w:rPr>
          <w:color w:val="000000"/>
        </w:rPr>
        <w:t>separation</w:t>
      </w:r>
      <w:r w:rsidR="003E6E1D">
        <w:rPr>
          <w:color w:val="000000"/>
        </w:rPr>
        <w:t>,</w:t>
      </w:r>
      <w:r w:rsidR="003122E9">
        <w:rPr>
          <w:color w:val="000000"/>
        </w:rPr>
        <w:t xml:space="preserve"> </w:t>
      </w:r>
      <w:r w:rsidR="00121BAF">
        <w:rPr>
          <w:color w:val="000000"/>
        </w:rPr>
        <w:t xml:space="preserve">documented “pain that is dominant on the right side, not </w:t>
      </w:r>
      <w:r w:rsidR="00D97CBE">
        <w:rPr>
          <w:color w:val="000000"/>
        </w:rPr>
        <w:t>the surgical side.”  A right ili</w:t>
      </w:r>
      <w:r w:rsidR="00121BAF">
        <w:rPr>
          <w:color w:val="000000"/>
        </w:rPr>
        <w:t>o</w:t>
      </w:r>
      <w:r w:rsidR="00D97CBE">
        <w:rPr>
          <w:color w:val="000000"/>
        </w:rPr>
        <w:t>-</w:t>
      </w:r>
      <w:r w:rsidR="00121BAF">
        <w:rPr>
          <w:color w:val="000000"/>
        </w:rPr>
        <w:t>inguinal nerve block was performed which provided “complete relief of pain in the correct distribution within 10 minutes of the procedure.”</w:t>
      </w:r>
      <w:r w:rsidR="00B96304">
        <w:rPr>
          <w:color w:val="000000"/>
        </w:rPr>
        <w:t xml:space="preserve"> </w:t>
      </w:r>
      <w:r w:rsidR="00121BAF">
        <w:rPr>
          <w:color w:val="000000"/>
        </w:rPr>
        <w:t xml:space="preserve"> At the time of the narrati</w:t>
      </w:r>
      <w:r w:rsidR="003E6E1D">
        <w:rPr>
          <w:color w:val="000000"/>
        </w:rPr>
        <w:t xml:space="preserve">ve summary (NARSUM) evaluation, performed </w:t>
      </w:r>
      <w:r w:rsidR="008F5C72">
        <w:rPr>
          <w:color w:val="000000"/>
        </w:rPr>
        <w:t>2</w:t>
      </w:r>
      <w:r w:rsidR="00121BAF">
        <w:rPr>
          <w:color w:val="000000"/>
        </w:rPr>
        <w:t xml:space="preserve"> month</w:t>
      </w:r>
      <w:r w:rsidR="008F5C72">
        <w:rPr>
          <w:color w:val="000000"/>
        </w:rPr>
        <w:t>s</w:t>
      </w:r>
      <w:r w:rsidR="003E6E1D">
        <w:rPr>
          <w:color w:val="000000"/>
        </w:rPr>
        <w:t xml:space="preserve"> after the preceding entry,</w:t>
      </w:r>
      <w:r w:rsidR="00121BAF">
        <w:rPr>
          <w:color w:val="000000"/>
        </w:rPr>
        <w:t xml:space="preserve"> the examiner recorded that the CI “</w:t>
      </w:r>
      <w:r w:rsidR="00121BAF" w:rsidRPr="00121BAF">
        <w:rPr>
          <w:color w:val="000000"/>
        </w:rPr>
        <w:t xml:space="preserve">continues to experience constant scrotal pain at a level of </w:t>
      </w:r>
      <w:r w:rsidR="00121BAF">
        <w:rPr>
          <w:color w:val="000000"/>
        </w:rPr>
        <w:t xml:space="preserve">6-7 </w:t>
      </w:r>
      <w:r w:rsidR="00121BAF" w:rsidRPr="00121BAF">
        <w:rPr>
          <w:color w:val="000000"/>
        </w:rPr>
        <w:t>that is relieved somewhat by rest and pain meds</w:t>
      </w:r>
      <w:r w:rsidR="00121BAF">
        <w:rPr>
          <w:color w:val="000000"/>
        </w:rPr>
        <w:t xml:space="preserve"> </w:t>
      </w:r>
      <w:r w:rsidR="00121BAF" w:rsidRPr="00121BAF">
        <w:rPr>
          <w:color w:val="000000"/>
        </w:rPr>
        <w:t>and exacerbated by physical activity as well as performance of activities of daily living.</w:t>
      </w:r>
      <w:r w:rsidR="00121BAF">
        <w:rPr>
          <w:color w:val="000000"/>
        </w:rPr>
        <w:t xml:space="preserve">”  </w:t>
      </w:r>
      <w:r w:rsidR="008F5C72">
        <w:rPr>
          <w:color w:val="000000"/>
        </w:rPr>
        <w:t xml:space="preserve">At the </w:t>
      </w:r>
      <w:r w:rsidR="008F5C72">
        <w:rPr>
          <w:color w:val="000000"/>
          <w:szCs w:val="24"/>
        </w:rPr>
        <w:t xml:space="preserve">VA </w:t>
      </w:r>
      <w:r w:rsidR="008F5C72" w:rsidRPr="00CF0280">
        <w:rPr>
          <w:color w:val="000000"/>
          <w:szCs w:val="24"/>
        </w:rPr>
        <w:t>Compensation and Pension (C&amp;P)</w:t>
      </w:r>
      <w:r w:rsidR="008F5C72" w:rsidRPr="008F5C72">
        <w:rPr>
          <w:color w:val="000000"/>
        </w:rPr>
        <w:t xml:space="preserve"> </w:t>
      </w:r>
      <w:r w:rsidR="003E6E1D">
        <w:rPr>
          <w:color w:val="000000"/>
        </w:rPr>
        <w:t xml:space="preserve">evaluation, performed </w:t>
      </w:r>
      <w:r w:rsidR="008F5C72">
        <w:rPr>
          <w:color w:val="000000"/>
          <w:szCs w:val="24"/>
        </w:rPr>
        <w:t>5 months</w:t>
      </w:r>
      <w:r w:rsidR="008F5C72">
        <w:rPr>
          <w:color w:val="000000"/>
        </w:rPr>
        <w:t xml:space="preserve"> pr</w:t>
      </w:r>
      <w:r w:rsidR="003E6E1D">
        <w:rPr>
          <w:color w:val="000000"/>
        </w:rPr>
        <w:t xml:space="preserve">ior to </w:t>
      </w:r>
      <w:r w:rsidR="003E6E1D">
        <w:rPr>
          <w:color w:val="000000"/>
          <w:szCs w:val="24"/>
        </w:rPr>
        <w:t>separation</w:t>
      </w:r>
      <w:r w:rsidR="008F5C72">
        <w:rPr>
          <w:color w:val="000000"/>
          <w:szCs w:val="24"/>
        </w:rPr>
        <w:t>, the examiner recorded a “progressively worse” clinical course since onset and “pain going down both testicles.”  The physical exam noted bilateral testicular tenderness.</w:t>
      </w:r>
      <w:r w:rsidR="008475AC">
        <w:rPr>
          <w:color w:val="000000"/>
          <w:szCs w:val="24"/>
        </w:rPr>
        <w:t xml:space="preserve">  No </w:t>
      </w:r>
      <w:r w:rsidR="003E6E1D">
        <w:rPr>
          <w:color w:val="000000"/>
          <w:szCs w:val="24"/>
        </w:rPr>
        <w:t>s</w:t>
      </w:r>
      <w:r w:rsidR="008475AC">
        <w:rPr>
          <w:color w:val="000000"/>
          <w:szCs w:val="24"/>
        </w:rPr>
        <w:t xml:space="preserve">ervice or VA provider documented a specific etiologic diagnosis for the pain.  </w:t>
      </w:r>
    </w:p>
    <w:p w:rsidR="008E374A" w:rsidRDefault="008E374A" w:rsidP="00B22D42">
      <w:pPr>
        <w:jc w:val="both"/>
        <w:rPr>
          <w:color w:val="000000"/>
          <w:szCs w:val="24"/>
        </w:rPr>
      </w:pPr>
    </w:p>
    <w:p w:rsidR="00965427" w:rsidRDefault="008F5C72" w:rsidP="00D84823">
      <w:pPr>
        <w:jc w:val="both"/>
        <w:rPr>
          <w:rFonts w:cs="Times New Roman"/>
          <w:color w:val="auto"/>
        </w:rPr>
      </w:pPr>
      <w:r w:rsidRPr="009A7578">
        <w:rPr>
          <w:rFonts w:cs="Times New Roman"/>
          <w:color w:val="auto"/>
        </w:rPr>
        <w:t>The Board directs attenti</w:t>
      </w:r>
      <w:r>
        <w:rPr>
          <w:rFonts w:cs="Times New Roman"/>
          <w:color w:val="auto"/>
        </w:rPr>
        <w:t>on to its rating recommendation</w:t>
      </w:r>
      <w:r w:rsidRPr="009A7578">
        <w:rPr>
          <w:rFonts w:cs="Times New Roman"/>
          <w:color w:val="auto"/>
        </w:rPr>
        <w:t xml:space="preserve"> </w:t>
      </w:r>
      <w:r>
        <w:rPr>
          <w:rFonts w:cs="Times New Roman"/>
          <w:color w:val="auto"/>
        </w:rPr>
        <w:t>based on the above evidence</w:t>
      </w:r>
      <w:r w:rsidRPr="009A7578">
        <w:rPr>
          <w:rFonts w:cs="Times New Roman"/>
          <w:color w:val="auto"/>
        </w:rPr>
        <w:t xml:space="preserve">. </w:t>
      </w:r>
      <w:r>
        <w:rPr>
          <w:rFonts w:cs="Times New Roman"/>
          <w:color w:val="auto"/>
        </w:rPr>
        <w:t xml:space="preserve"> </w:t>
      </w:r>
      <w:r w:rsidR="00A17AC7">
        <w:rPr>
          <w:rFonts w:cs="Times New Roman"/>
          <w:color w:val="auto"/>
        </w:rPr>
        <w:t>The VASRD code chosen for rating by both the PEB and the VA was 75</w:t>
      </w:r>
      <w:r w:rsidR="008475AC">
        <w:rPr>
          <w:rFonts w:cs="Times New Roman"/>
          <w:color w:val="auto"/>
        </w:rPr>
        <w:t>25</w:t>
      </w:r>
      <w:r w:rsidR="00A17AC7" w:rsidRPr="008475AC">
        <w:rPr>
          <w:rFonts w:cs="Times New Roman"/>
          <w:color w:val="auto"/>
        </w:rPr>
        <w:t xml:space="preserve"> </w:t>
      </w:r>
      <w:r w:rsidR="008475AC">
        <w:rPr>
          <w:rFonts w:cs="Times New Roman"/>
          <w:color w:val="auto"/>
        </w:rPr>
        <w:t>(</w:t>
      </w:r>
      <w:r w:rsidR="008475AC" w:rsidRPr="008475AC">
        <w:rPr>
          <w:rFonts w:cs="Times New Roman"/>
          <w:color w:val="auto"/>
        </w:rPr>
        <w:t xml:space="preserve">chronic </w:t>
      </w:r>
      <w:proofErr w:type="spellStart"/>
      <w:r w:rsidR="008475AC">
        <w:rPr>
          <w:rFonts w:cs="Times New Roman"/>
          <w:color w:val="auto"/>
        </w:rPr>
        <w:t>epididymo-orchitis</w:t>
      </w:r>
      <w:proofErr w:type="spellEnd"/>
      <w:r w:rsidR="00A17AC7">
        <w:rPr>
          <w:rFonts w:cs="Times New Roman"/>
          <w:color w:val="auto"/>
        </w:rPr>
        <w:t>)</w:t>
      </w:r>
      <w:r w:rsidR="008475AC">
        <w:rPr>
          <w:rFonts w:cs="Times New Roman"/>
          <w:color w:val="auto"/>
        </w:rPr>
        <w:t xml:space="preserve">; which is a reasonable clinical analogy and the only available code applicable to rating the specific diagnosis of epididymitis.  </w:t>
      </w:r>
      <w:r w:rsidR="003E6E1D">
        <w:rPr>
          <w:rFonts w:cs="Times New Roman"/>
          <w:color w:val="auto"/>
        </w:rPr>
        <w:t xml:space="preserve">Code </w:t>
      </w:r>
      <w:r w:rsidR="00D97CBE">
        <w:rPr>
          <w:rFonts w:cs="Times New Roman"/>
          <w:color w:val="auto"/>
        </w:rPr>
        <w:t>7525</w:t>
      </w:r>
      <w:r w:rsidR="003E6E1D">
        <w:rPr>
          <w:rFonts w:cs="Times New Roman"/>
          <w:color w:val="auto"/>
        </w:rPr>
        <w:t xml:space="preserve">; </w:t>
      </w:r>
      <w:r w:rsidR="00D97CBE">
        <w:rPr>
          <w:rFonts w:cs="Times New Roman"/>
          <w:color w:val="auto"/>
        </w:rPr>
        <w:t xml:space="preserve">however, defaults to rating under the criteria for urinary tract infection which reflect renal and infectious complications; which are </w:t>
      </w:r>
      <w:r w:rsidR="00F85BF3">
        <w:rPr>
          <w:rFonts w:cs="Times New Roman"/>
          <w:color w:val="auto"/>
        </w:rPr>
        <w:t>not a clinical fit for the case, and</w:t>
      </w:r>
      <w:r w:rsidR="00D97CBE">
        <w:rPr>
          <w:rFonts w:cs="Times New Roman"/>
          <w:color w:val="auto"/>
        </w:rPr>
        <w:t xml:space="preserve"> do not yield a compensable rating.  The </w:t>
      </w:r>
      <w:r w:rsidR="003E6E1D">
        <w:rPr>
          <w:rFonts w:cs="Times New Roman"/>
          <w:color w:val="auto"/>
        </w:rPr>
        <w:t>a</w:t>
      </w:r>
      <w:r w:rsidR="00D97CBE">
        <w:rPr>
          <w:rFonts w:cs="Times New Roman"/>
          <w:color w:val="auto"/>
        </w:rPr>
        <w:t xml:space="preserve">ction </w:t>
      </w:r>
      <w:r w:rsidR="003E6E1D">
        <w:rPr>
          <w:rFonts w:cs="Times New Roman"/>
          <w:color w:val="auto"/>
        </w:rPr>
        <w:t>o</w:t>
      </w:r>
      <w:r w:rsidR="00D97CBE">
        <w:rPr>
          <w:rFonts w:cs="Times New Roman"/>
          <w:color w:val="auto"/>
        </w:rPr>
        <w:t xml:space="preserve">fficer judged that the better clinical fit for the pain and attendant disability, if not actually the more precise diagnosis (response to </w:t>
      </w:r>
      <w:r w:rsidR="00F85BF3">
        <w:rPr>
          <w:rFonts w:cs="Times New Roman"/>
          <w:color w:val="auto"/>
        </w:rPr>
        <w:t xml:space="preserve">neuralgia-directed pharmacology and to </w:t>
      </w:r>
      <w:r w:rsidR="00D97CBE">
        <w:rPr>
          <w:color w:val="000000"/>
        </w:rPr>
        <w:t>ilio-inguinal nerve block</w:t>
      </w:r>
      <w:r w:rsidR="00584540">
        <w:rPr>
          <w:color w:val="000000"/>
        </w:rPr>
        <w:t xml:space="preserve">; </w:t>
      </w:r>
      <w:r w:rsidR="00584540">
        <w:rPr>
          <w:rFonts w:cs="Times New Roman"/>
          <w:color w:val="auto"/>
        </w:rPr>
        <w:t>absent epididymis, yet recurrent pain on the left</w:t>
      </w:r>
      <w:r w:rsidR="00D97CBE">
        <w:rPr>
          <w:rFonts w:cs="Times New Roman"/>
          <w:color w:val="auto"/>
        </w:rPr>
        <w:t xml:space="preserve">), is code </w:t>
      </w:r>
      <w:r w:rsidR="00584540">
        <w:rPr>
          <w:rFonts w:cs="Times New Roman"/>
          <w:color w:val="auto"/>
        </w:rPr>
        <w:t>87</w:t>
      </w:r>
      <w:r w:rsidR="00D97CBE">
        <w:rPr>
          <w:rFonts w:cs="Times New Roman"/>
          <w:color w:val="auto"/>
        </w:rPr>
        <w:t>30 (ilio</w:t>
      </w:r>
      <w:r w:rsidR="00584540">
        <w:rPr>
          <w:rFonts w:cs="Times New Roman"/>
          <w:color w:val="auto"/>
        </w:rPr>
        <w:t>-inguinal neuralgia</w:t>
      </w:r>
      <w:r w:rsidR="00D97CBE">
        <w:rPr>
          <w:rFonts w:cs="Times New Roman"/>
          <w:color w:val="auto"/>
        </w:rPr>
        <w:t>)</w:t>
      </w:r>
      <w:r w:rsidR="00584540">
        <w:rPr>
          <w:rFonts w:cs="Times New Roman"/>
          <w:color w:val="auto"/>
        </w:rPr>
        <w:t xml:space="preserve">.  VASRD §4.124 permits a maximum rating for </w:t>
      </w:r>
      <w:r w:rsidR="003E6E1D">
        <w:rPr>
          <w:rFonts w:cs="Times New Roman"/>
          <w:color w:val="auto"/>
        </w:rPr>
        <w:t>“</w:t>
      </w:r>
      <w:r w:rsidR="00584540">
        <w:rPr>
          <w:rFonts w:cs="Times New Roman"/>
          <w:color w:val="auto"/>
        </w:rPr>
        <w:t>moderate</w:t>
      </w:r>
      <w:r w:rsidR="003E6E1D">
        <w:rPr>
          <w:rFonts w:cs="Times New Roman"/>
          <w:color w:val="auto"/>
        </w:rPr>
        <w:t>”</w:t>
      </w:r>
      <w:r w:rsidR="00584540">
        <w:rPr>
          <w:rFonts w:cs="Times New Roman"/>
          <w:color w:val="auto"/>
        </w:rPr>
        <w:t xml:space="preserve"> impairment under neuralgia coding; and, the </w:t>
      </w:r>
      <w:r w:rsidR="00584540">
        <w:rPr>
          <w:rFonts w:cs="Times New Roman"/>
          <w:color w:val="auto"/>
        </w:rPr>
        <w:lastRenderedPageBreak/>
        <w:t>maximum rating available for the ilio-inguinal nerve is 10% for ‘severe’ impairment; thus no compensable rating is achievable via this coding route.</w:t>
      </w:r>
    </w:p>
    <w:p w:rsidR="003E6E1D" w:rsidRDefault="003E6E1D" w:rsidP="00D84823">
      <w:pPr>
        <w:jc w:val="both"/>
        <w:rPr>
          <w:rFonts w:cs="Times New Roman"/>
          <w:color w:val="auto"/>
        </w:rPr>
      </w:pPr>
      <w:r>
        <w:rPr>
          <w:rFonts w:cs="Times New Roman"/>
          <w:color w:val="auto"/>
        </w:rPr>
        <w:t xml:space="preserve"> </w:t>
      </w:r>
    </w:p>
    <w:p w:rsidR="00D84823" w:rsidRDefault="00584540" w:rsidP="00D84823">
      <w:pPr>
        <w:jc w:val="both"/>
        <w:rPr>
          <w:rFonts w:eastAsia="Calibri" w:cs="Times New Roman"/>
          <w:color w:val="auto"/>
          <w:szCs w:val="24"/>
        </w:rPr>
      </w:pPr>
      <w:r>
        <w:rPr>
          <w:rFonts w:cs="Times New Roman"/>
          <w:color w:val="auto"/>
        </w:rPr>
        <w:t xml:space="preserve">It is defensible, however, to rate the disability in this </w:t>
      </w:r>
      <w:r w:rsidRPr="003E6E1D">
        <w:rPr>
          <w:rFonts w:cs="Times New Roman"/>
          <w:color w:val="auto"/>
        </w:rPr>
        <w:t>case as analogous to neuritis</w:t>
      </w:r>
      <w:r w:rsidR="00E73354" w:rsidRPr="00E73354">
        <w:rPr>
          <w:rFonts w:cs="Times New Roman"/>
          <w:color w:val="auto"/>
        </w:rPr>
        <w:t xml:space="preserve"> (code 8630)</w:t>
      </w:r>
      <w:r w:rsidRPr="00E73354">
        <w:rPr>
          <w:rFonts w:cs="Times New Roman"/>
          <w:color w:val="auto"/>
        </w:rPr>
        <w:t>;</w:t>
      </w:r>
      <w:r>
        <w:rPr>
          <w:rFonts w:cs="Times New Roman"/>
          <w:color w:val="auto"/>
        </w:rPr>
        <w:t xml:space="preserve"> which IAW VASRD §4.123 may encompass “constant pain, at times excruciating</w:t>
      </w:r>
      <w:r w:rsidR="003E6E1D">
        <w:rPr>
          <w:rFonts w:cs="Times New Roman"/>
          <w:color w:val="auto"/>
        </w:rPr>
        <w:t>;”</w:t>
      </w:r>
      <w:r>
        <w:rPr>
          <w:rFonts w:cs="Times New Roman"/>
          <w:color w:val="auto"/>
        </w:rPr>
        <w:t xml:space="preserve"> not an unreasonable characterization of the symptoms on record.  This </w:t>
      </w:r>
      <w:r w:rsidR="00E73354">
        <w:rPr>
          <w:rFonts w:cs="Times New Roman"/>
          <w:color w:val="auto"/>
        </w:rPr>
        <w:t>analogous coding approach</w:t>
      </w:r>
      <w:r>
        <w:rPr>
          <w:rFonts w:cs="Times New Roman"/>
          <w:color w:val="auto"/>
        </w:rPr>
        <w:t xml:space="preserve"> allows </w:t>
      </w:r>
      <w:r w:rsidR="00E73354">
        <w:rPr>
          <w:rFonts w:cs="Times New Roman"/>
          <w:color w:val="auto"/>
        </w:rPr>
        <w:t xml:space="preserve">a 10% </w:t>
      </w:r>
      <w:r w:rsidR="00F85BF3">
        <w:rPr>
          <w:rFonts w:cs="Times New Roman"/>
          <w:color w:val="auto"/>
        </w:rPr>
        <w:t xml:space="preserve">rating </w:t>
      </w:r>
      <w:r w:rsidR="00E73354">
        <w:rPr>
          <w:rFonts w:cs="Times New Roman"/>
          <w:color w:val="auto"/>
        </w:rPr>
        <w:t>under 7525-8630.  This option, as well a</w:t>
      </w:r>
      <w:r w:rsidR="00F85BF3">
        <w:rPr>
          <w:rFonts w:cs="Times New Roman"/>
          <w:color w:val="auto"/>
        </w:rPr>
        <w:t>s</w:t>
      </w:r>
      <w:r w:rsidR="00E73354">
        <w:rPr>
          <w:rFonts w:cs="Times New Roman"/>
          <w:color w:val="auto"/>
        </w:rPr>
        <w:t xml:space="preserve"> </w:t>
      </w:r>
      <w:r w:rsidR="00F85BF3">
        <w:rPr>
          <w:rFonts w:cs="Times New Roman"/>
          <w:color w:val="auto"/>
        </w:rPr>
        <w:t>separate right and left</w:t>
      </w:r>
      <w:r w:rsidR="00E73354">
        <w:rPr>
          <w:rFonts w:cs="Times New Roman"/>
          <w:color w:val="auto"/>
        </w:rPr>
        <w:t xml:space="preserve"> rating</w:t>
      </w:r>
      <w:r w:rsidR="00F85BF3">
        <w:rPr>
          <w:rFonts w:cs="Times New Roman"/>
          <w:color w:val="auto"/>
        </w:rPr>
        <w:t>s</w:t>
      </w:r>
      <w:r w:rsidR="00E73354">
        <w:rPr>
          <w:rFonts w:cs="Times New Roman"/>
          <w:color w:val="auto"/>
        </w:rPr>
        <w:t xml:space="preserve"> under the same code, was deliberated.  Members concluded that a compensable rating analogous to ilio-inguinal neuritis was the fair recommendation; but, did not agree that this approach could be reasonably stretched to bilateral ratings; since, that pathology was </w:t>
      </w:r>
      <w:r w:rsidR="00D84823">
        <w:rPr>
          <w:rFonts w:cs="Times New Roman"/>
          <w:color w:val="auto"/>
        </w:rPr>
        <w:t>clinically confirmed</w:t>
      </w:r>
      <w:r w:rsidR="00D84823" w:rsidRPr="00D84823">
        <w:rPr>
          <w:rFonts w:cs="Times New Roman"/>
          <w:color w:val="auto"/>
        </w:rPr>
        <w:t xml:space="preserve"> </w:t>
      </w:r>
      <w:r w:rsidR="00D84823">
        <w:rPr>
          <w:rFonts w:cs="Times New Roman"/>
          <w:color w:val="auto"/>
        </w:rPr>
        <w:t>only for the right ilio-inguinal nerve.</w:t>
      </w:r>
      <w:r w:rsidR="00E73354">
        <w:rPr>
          <w:rFonts w:cs="Times New Roman"/>
          <w:color w:val="auto"/>
        </w:rPr>
        <w:t xml:space="preserve"> </w:t>
      </w:r>
      <w:r w:rsidR="00965427">
        <w:rPr>
          <w:rFonts w:cs="Times New Roman"/>
          <w:color w:val="auto"/>
        </w:rPr>
        <w:t xml:space="preserve"> </w:t>
      </w:r>
      <w:r w:rsidR="00D84823" w:rsidRPr="00241B01">
        <w:rPr>
          <w:rFonts w:eastAsia="Calibri" w:cs="Times New Roman"/>
          <w:color w:val="auto"/>
          <w:szCs w:val="24"/>
        </w:rPr>
        <w:t>After due deliberation, considering all of the evidence and mindful of VASRD §4.3 (reasonable doubt)</w:t>
      </w:r>
      <w:r w:rsidR="00D84823">
        <w:rPr>
          <w:rFonts w:eastAsia="Calibri" w:cs="Times New Roman"/>
          <w:color w:val="auto"/>
          <w:szCs w:val="24"/>
        </w:rPr>
        <w:t xml:space="preserve"> and </w:t>
      </w:r>
      <w:r w:rsidR="00D84823" w:rsidRPr="00D84823">
        <w:rPr>
          <w:rFonts w:eastAsia="Calibri" w:cs="Times New Roman"/>
          <w:color w:val="auto"/>
          <w:szCs w:val="24"/>
        </w:rPr>
        <w:t>VASRD §4.7 (higher of two evaluations)</w:t>
      </w:r>
      <w:r w:rsidR="003E6E1D">
        <w:rPr>
          <w:rFonts w:eastAsia="Calibri" w:cs="Times New Roman"/>
          <w:color w:val="auto"/>
          <w:szCs w:val="24"/>
        </w:rPr>
        <w:t xml:space="preserve">, the Board recommends a </w:t>
      </w:r>
      <w:r w:rsidR="00D84823" w:rsidRPr="00241B01">
        <w:rPr>
          <w:rFonts w:eastAsia="Calibri" w:cs="Times New Roman"/>
          <w:color w:val="auto"/>
          <w:szCs w:val="24"/>
        </w:rPr>
        <w:t xml:space="preserve">disability rating of </w:t>
      </w:r>
      <w:r w:rsidR="00D84823">
        <w:rPr>
          <w:rFonts w:eastAsia="Calibri" w:cs="Times New Roman"/>
          <w:color w:val="auto"/>
          <w:szCs w:val="24"/>
        </w:rPr>
        <w:t>1</w:t>
      </w:r>
      <w:r w:rsidR="00D84823" w:rsidRPr="00241B01">
        <w:rPr>
          <w:rFonts w:eastAsia="Calibri" w:cs="Times New Roman"/>
          <w:color w:val="auto"/>
          <w:szCs w:val="24"/>
        </w:rPr>
        <w:t xml:space="preserve">0% for the </w:t>
      </w:r>
      <w:r w:rsidR="00D84823" w:rsidRPr="00D84823">
        <w:rPr>
          <w:color w:val="auto"/>
          <w:szCs w:val="24"/>
        </w:rPr>
        <w:t xml:space="preserve">bilateral </w:t>
      </w:r>
      <w:r w:rsidR="00D84823" w:rsidRPr="00D84823">
        <w:rPr>
          <w:color w:val="auto"/>
        </w:rPr>
        <w:t>epididymitis/scrotal pain</w:t>
      </w:r>
      <w:r w:rsidR="00D84823" w:rsidRPr="00D84823">
        <w:rPr>
          <w:color w:val="000000"/>
        </w:rPr>
        <w:t xml:space="preserve"> condition</w:t>
      </w:r>
      <w:r w:rsidR="00D84823">
        <w:rPr>
          <w:rFonts w:eastAsia="Calibri" w:cs="Times New Roman"/>
          <w:color w:val="auto"/>
          <w:szCs w:val="24"/>
        </w:rPr>
        <w:t xml:space="preserve"> under code </w:t>
      </w:r>
      <w:r w:rsidR="00D84823">
        <w:rPr>
          <w:rFonts w:cs="Times New Roman"/>
          <w:color w:val="auto"/>
        </w:rPr>
        <w:t xml:space="preserve">7525-8630. </w:t>
      </w:r>
    </w:p>
    <w:p w:rsidR="00AD2379" w:rsidRPr="009A7578" w:rsidRDefault="00AD2379" w:rsidP="00BF0E94">
      <w:pPr>
        <w:pBdr>
          <w:bottom w:val="single" w:sz="12" w:space="1" w:color="auto"/>
        </w:pBdr>
        <w:tabs>
          <w:tab w:val="left" w:pos="288"/>
          <w:tab w:val="left" w:pos="4752"/>
        </w:tabs>
        <w:jc w:val="both"/>
        <w:rPr>
          <w:color w:val="000000"/>
          <w:highlight w:val="magenta"/>
        </w:rPr>
      </w:pPr>
    </w:p>
    <w:p w:rsidR="00AD2379" w:rsidRPr="009A7578" w:rsidRDefault="00AD2379" w:rsidP="006364ED">
      <w:pPr>
        <w:jc w:val="left"/>
        <w:rPr>
          <w:color w:val="000000"/>
          <w:highlight w:val="magenta"/>
        </w:rPr>
      </w:pPr>
    </w:p>
    <w:p w:rsidR="006C3C98" w:rsidRPr="00560F12" w:rsidRDefault="00AD2379" w:rsidP="006C3C98">
      <w:pPr>
        <w:jc w:val="both"/>
        <w:rPr>
          <w:rFonts w:eastAsia="Calibri" w:cs="Times New Roman"/>
          <w:color w:val="auto"/>
          <w:szCs w:val="24"/>
        </w:rPr>
      </w:pPr>
      <w:r w:rsidRPr="001F29F9">
        <w:rPr>
          <w:color w:val="000000"/>
          <w:u w:val="single"/>
        </w:rPr>
        <w:t>BOARD FINDINGS</w:t>
      </w:r>
      <w:r w:rsidRPr="001F29F9">
        <w:rPr>
          <w:color w:val="000000"/>
        </w:rPr>
        <w:t xml:space="preserve">:  </w:t>
      </w:r>
      <w:r w:rsidRPr="00D8352E">
        <w:rPr>
          <w:color w:val="000000"/>
        </w:rPr>
        <w:t xml:space="preserve">IAW DoDI 6040.44, provisions of DoD or Military Department regulations or guidelines relied upon by the PEB will not be considered by the Board to the extent they were inconsistent </w:t>
      </w:r>
      <w:r w:rsidRPr="00965427">
        <w:rPr>
          <w:color w:val="000000"/>
        </w:rPr>
        <w:t>with the VASRD in effect at the time of the adjudication</w:t>
      </w:r>
      <w:r w:rsidRPr="00965427">
        <w:rPr>
          <w:rFonts w:cs="Times New Roman"/>
          <w:color w:val="auto"/>
        </w:rPr>
        <w:t xml:space="preserve">. </w:t>
      </w:r>
      <w:r w:rsidR="008734E7" w:rsidRPr="00965427">
        <w:rPr>
          <w:rFonts w:cs="Times New Roman"/>
          <w:color w:val="auto"/>
        </w:rPr>
        <w:t xml:space="preserve"> </w:t>
      </w:r>
      <w:r w:rsidRPr="00965427">
        <w:rPr>
          <w:rFonts w:cs="Times New Roman"/>
          <w:color w:val="auto"/>
        </w:rPr>
        <w:t>The Board did not surmise from the record or PEB ruling in this case that any prerogatives outside the VASRD were exercised.</w:t>
      </w:r>
      <w:r w:rsidR="008734E7" w:rsidRPr="00965427">
        <w:rPr>
          <w:rFonts w:cs="Times New Roman"/>
          <w:color w:val="auto"/>
        </w:rPr>
        <w:t xml:space="preserve"> </w:t>
      </w:r>
      <w:r w:rsidRPr="00965427">
        <w:rPr>
          <w:rFonts w:cs="Times New Roman"/>
          <w:color w:val="auto"/>
        </w:rPr>
        <w:t xml:space="preserve"> </w:t>
      </w:r>
      <w:r w:rsidR="00241B01" w:rsidRPr="00965427">
        <w:rPr>
          <w:rFonts w:eastAsia="Calibri" w:cs="Times New Roman"/>
          <w:color w:val="auto"/>
          <w:szCs w:val="24"/>
        </w:rPr>
        <w:t xml:space="preserve">In the matter of the </w:t>
      </w:r>
      <w:r w:rsidR="00090D33" w:rsidRPr="00965427">
        <w:rPr>
          <w:color w:val="auto"/>
          <w:szCs w:val="24"/>
        </w:rPr>
        <w:t xml:space="preserve">bilateral </w:t>
      </w:r>
      <w:r w:rsidR="00090D33" w:rsidRPr="00965427">
        <w:rPr>
          <w:color w:val="auto"/>
        </w:rPr>
        <w:t>epididymitis/scrotal pain</w:t>
      </w:r>
      <w:r w:rsidR="00090D33" w:rsidRPr="00965427">
        <w:rPr>
          <w:rFonts w:eastAsia="Calibri" w:cs="Times New Roman"/>
          <w:color w:val="auto"/>
          <w:szCs w:val="24"/>
        </w:rPr>
        <w:t xml:space="preserve"> </w:t>
      </w:r>
      <w:r w:rsidR="00241B01" w:rsidRPr="00965427">
        <w:rPr>
          <w:rFonts w:eastAsia="Calibri" w:cs="Times New Roman"/>
          <w:color w:val="auto"/>
          <w:szCs w:val="24"/>
        </w:rPr>
        <w:t xml:space="preserve">condition, the Board unanimously recommends a disability rating of </w:t>
      </w:r>
      <w:r w:rsidR="00090D33" w:rsidRPr="00965427">
        <w:rPr>
          <w:rFonts w:eastAsia="Calibri" w:cs="Times New Roman"/>
          <w:color w:val="auto"/>
          <w:szCs w:val="24"/>
        </w:rPr>
        <w:t>1</w:t>
      </w:r>
      <w:r w:rsidR="00241B01" w:rsidRPr="00965427">
        <w:rPr>
          <w:rFonts w:eastAsia="Calibri" w:cs="Times New Roman"/>
          <w:color w:val="auto"/>
          <w:szCs w:val="24"/>
        </w:rPr>
        <w:t xml:space="preserve">0%, coded </w:t>
      </w:r>
      <w:r w:rsidR="00090D33" w:rsidRPr="00965427">
        <w:rPr>
          <w:rFonts w:cs="Times New Roman"/>
          <w:color w:val="auto"/>
        </w:rPr>
        <w:t xml:space="preserve">7525-8630 </w:t>
      </w:r>
      <w:r w:rsidR="00241B01" w:rsidRPr="00965427">
        <w:rPr>
          <w:rFonts w:eastAsia="Calibri" w:cs="Times New Roman"/>
          <w:color w:val="auto"/>
          <w:szCs w:val="24"/>
        </w:rPr>
        <w:t xml:space="preserve">IAW VASRD </w:t>
      </w:r>
      <w:r w:rsidR="00090D33" w:rsidRPr="00965427">
        <w:rPr>
          <w:rFonts w:eastAsia="Calibri" w:cs="Times New Roman"/>
          <w:color w:val="auto"/>
          <w:szCs w:val="24"/>
        </w:rPr>
        <w:t>§4.124a</w:t>
      </w:r>
      <w:r w:rsidR="00241B01" w:rsidRPr="00965427">
        <w:rPr>
          <w:rFonts w:eastAsia="Calibri" w:cs="Times New Roman"/>
          <w:color w:val="auto"/>
          <w:szCs w:val="24"/>
        </w:rPr>
        <w:t>.</w:t>
      </w:r>
      <w:r w:rsidR="00090D33" w:rsidRPr="00965427">
        <w:rPr>
          <w:rFonts w:eastAsia="Calibri" w:cs="Times New Roman"/>
          <w:color w:val="auto"/>
          <w:szCs w:val="24"/>
        </w:rPr>
        <w:t xml:space="preserve"> </w:t>
      </w:r>
      <w:r w:rsidR="00D84823" w:rsidRPr="00965427">
        <w:rPr>
          <w:rFonts w:eastAsia="Calibri" w:cs="Times New Roman"/>
          <w:color w:val="auto"/>
          <w:szCs w:val="24"/>
        </w:rPr>
        <w:t xml:space="preserve"> </w:t>
      </w:r>
      <w:r w:rsidR="00B55FB5" w:rsidRPr="00965427">
        <w:rPr>
          <w:rFonts w:eastAsia="Calibri" w:cs="Times New Roman"/>
          <w:color w:val="auto"/>
          <w:szCs w:val="24"/>
        </w:rPr>
        <w:t>There were no other conditions within the Board’s scope</w:t>
      </w:r>
      <w:r w:rsidR="00B55FB5" w:rsidRPr="003471C5">
        <w:rPr>
          <w:rFonts w:eastAsia="Calibri" w:cs="Times New Roman"/>
          <w:color w:val="auto"/>
          <w:szCs w:val="24"/>
        </w:rPr>
        <w:t xml:space="preserve"> of review for consideration.</w:t>
      </w:r>
    </w:p>
    <w:p w:rsidR="00AD2379" w:rsidRPr="00965427" w:rsidRDefault="00AD2379" w:rsidP="00BF0E94">
      <w:pPr>
        <w:pBdr>
          <w:bottom w:val="single" w:sz="12" w:space="1" w:color="auto"/>
        </w:pBdr>
        <w:tabs>
          <w:tab w:val="left" w:pos="288"/>
          <w:tab w:val="left" w:pos="4752"/>
        </w:tabs>
        <w:jc w:val="both"/>
        <w:rPr>
          <w:color w:val="000000"/>
        </w:rPr>
      </w:pPr>
    </w:p>
    <w:p w:rsidR="00AD2379" w:rsidRPr="00965427" w:rsidRDefault="00AD2379" w:rsidP="006364ED">
      <w:pPr>
        <w:jc w:val="left"/>
        <w:rPr>
          <w:color w:val="000000"/>
        </w:rPr>
      </w:pPr>
    </w:p>
    <w:p w:rsidR="00565636" w:rsidRPr="00965427" w:rsidRDefault="00AD2379" w:rsidP="00965427">
      <w:pPr>
        <w:jc w:val="left"/>
        <w:rPr>
          <w:rFonts w:eastAsia="Calibri" w:cs="Times New Roman"/>
          <w:color w:val="000080"/>
          <w:szCs w:val="24"/>
        </w:rPr>
      </w:pPr>
      <w:r w:rsidRPr="00965427">
        <w:rPr>
          <w:color w:val="000000"/>
          <w:u w:val="single"/>
        </w:rPr>
        <w:t>RECOMMENDATION</w:t>
      </w:r>
      <w:r w:rsidRPr="00965427">
        <w:rPr>
          <w:color w:val="000000"/>
        </w:rPr>
        <w:t xml:space="preserve">: </w:t>
      </w:r>
      <w:r w:rsidR="00965427" w:rsidRPr="00965427">
        <w:rPr>
          <w:color w:val="000000"/>
        </w:rPr>
        <w:t xml:space="preserve"> </w:t>
      </w:r>
      <w:r w:rsidR="00565636" w:rsidRPr="00965427">
        <w:rPr>
          <w:rFonts w:eastAsia="Calibri" w:cs="Times New Roman"/>
          <w:color w:val="auto"/>
          <w:szCs w:val="24"/>
        </w:rPr>
        <w:t>The Board recommends that the CI’s prior determination be modified as follows, effective as of the date of his prior medical separation</w:t>
      </w:r>
      <w:r w:rsidR="00287122" w:rsidRPr="00965427">
        <w:rPr>
          <w:rFonts w:eastAsia="Calibri" w:cs="Times New Roman"/>
          <w:color w:val="auto"/>
          <w:szCs w:val="24"/>
        </w:rPr>
        <w:t>:</w:t>
      </w:r>
    </w:p>
    <w:p w:rsidR="00AD2379" w:rsidRPr="00965427" w:rsidRDefault="00AD2379" w:rsidP="00F85BF3">
      <w:pPr>
        <w:spacing w:line="240" w:lineRule="auto"/>
        <w:jc w:val="left"/>
        <w:rPr>
          <w:color w:val="000000"/>
        </w:rPr>
      </w:pPr>
    </w:p>
    <w:tbl>
      <w:tblPr>
        <w:tblpPr w:leftFromText="187" w:rightFromText="187"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68"/>
        <w:gridCol w:w="1530"/>
        <w:gridCol w:w="1026"/>
      </w:tblGrid>
      <w:tr w:rsidR="00AD2379" w:rsidRPr="00965427" w:rsidTr="00C42AED">
        <w:trPr>
          <w:trHeight w:val="233"/>
          <w:jc w:val="center"/>
        </w:trPr>
        <w:tc>
          <w:tcPr>
            <w:tcW w:w="6768" w:type="dxa"/>
            <w:shd w:val="clear" w:color="auto" w:fill="D9D9D9"/>
            <w:vAlign w:val="center"/>
          </w:tcPr>
          <w:p w:rsidR="00AD2379" w:rsidRPr="00965427" w:rsidRDefault="00AD2379" w:rsidP="00BF0E94">
            <w:pPr>
              <w:tabs>
                <w:tab w:val="left" w:pos="288"/>
                <w:tab w:val="left" w:pos="4752"/>
              </w:tabs>
              <w:rPr>
                <w:b/>
                <w:color w:val="000000"/>
              </w:rPr>
            </w:pPr>
            <w:r w:rsidRPr="00965427">
              <w:rPr>
                <w:b/>
                <w:color w:val="000000"/>
              </w:rPr>
              <w:t>UNFITTING CONDITION</w:t>
            </w:r>
          </w:p>
        </w:tc>
        <w:tc>
          <w:tcPr>
            <w:tcW w:w="1530" w:type="dxa"/>
            <w:shd w:val="clear" w:color="auto" w:fill="D9D9D9"/>
            <w:vAlign w:val="center"/>
          </w:tcPr>
          <w:p w:rsidR="00AD2379" w:rsidRPr="00965427" w:rsidRDefault="00AD2379" w:rsidP="00BF0E94">
            <w:pPr>
              <w:tabs>
                <w:tab w:val="left" w:pos="288"/>
                <w:tab w:val="left" w:pos="4752"/>
              </w:tabs>
              <w:rPr>
                <w:b/>
                <w:color w:val="000000"/>
              </w:rPr>
            </w:pPr>
            <w:r w:rsidRPr="00965427">
              <w:rPr>
                <w:b/>
                <w:color w:val="000000"/>
              </w:rPr>
              <w:t>VASRD CODE</w:t>
            </w:r>
          </w:p>
        </w:tc>
        <w:tc>
          <w:tcPr>
            <w:tcW w:w="1026" w:type="dxa"/>
            <w:shd w:val="clear" w:color="auto" w:fill="D9D9D9"/>
            <w:vAlign w:val="center"/>
          </w:tcPr>
          <w:p w:rsidR="00AD2379" w:rsidRPr="00965427" w:rsidRDefault="00AD2379" w:rsidP="00BF0E94">
            <w:pPr>
              <w:tabs>
                <w:tab w:val="left" w:pos="288"/>
                <w:tab w:val="left" w:pos="4752"/>
              </w:tabs>
              <w:rPr>
                <w:b/>
                <w:color w:val="000000"/>
              </w:rPr>
            </w:pPr>
            <w:r w:rsidRPr="00965427">
              <w:rPr>
                <w:b/>
                <w:color w:val="000000"/>
              </w:rPr>
              <w:t>RATING</w:t>
            </w:r>
          </w:p>
        </w:tc>
      </w:tr>
      <w:tr w:rsidR="00AD2379" w:rsidRPr="00965427" w:rsidTr="00C42AED">
        <w:trPr>
          <w:jc w:val="center"/>
        </w:trPr>
        <w:tc>
          <w:tcPr>
            <w:tcW w:w="6768" w:type="dxa"/>
            <w:vAlign w:val="center"/>
          </w:tcPr>
          <w:p w:rsidR="00AD2379" w:rsidRPr="00965427" w:rsidRDefault="00090D33" w:rsidP="00BF0E94">
            <w:pPr>
              <w:tabs>
                <w:tab w:val="left" w:pos="288"/>
                <w:tab w:val="left" w:pos="4752"/>
              </w:tabs>
              <w:jc w:val="left"/>
              <w:rPr>
                <w:color w:val="000000"/>
              </w:rPr>
            </w:pPr>
            <w:r w:rsidRPr="00965427">
              <w:rPr>
                <w:color w:val="auto"/>
                <w:szCs w:val="24"/>
              </w:rPr>
              <w:t xml:space="preserve">Bilateral </w:t>
            </w:r>
            <w:r w:rsidRPr="00965427">
              <w:rPr>
                <w:color w:val="auto"/>
              </w:rPr>
              <w:t>Epididymitis/Scrotal Pain</w:t>
            </w:r>
          </w:p>
        </w:tc>
        <w:tc>
          <w:tcPr>
            <w:tcW w:w="1530" w:type="dxa"/>
            <w:vAlign w:val="center"/>
          </w:tcPr>
          <w:p w:rsidR="00AD2379" w:rsidRPr="00965427" w:rsidRDefault="00090D33" w:rsidP="00BF0E94">
            <w:pPr>
              <w:tabs>
                <w:tab w:val="left" w:pos="288"/>
                <w:tab w:val="left" w:pos="4752"/>
              </w:tabs>
              <w:rPr>
                <w:color w:val="000000"/>
              </w:rPr>
            </w:pPr>
            <w:r w:rsidRPr="00965427">
              <w:rPr>
                <w:color w:val="000000"/>
              </w:rPr>
              <w:t>7525</w:t>
            </w:r>
          </w:p>
        </w:tc>
        <w:tc>
          <w:tcPr>
            <w:tcW w:w="1026" w:type="dxa"/>
            <w:vAlign w:val="center"/>
          </w:tcPr>
          <w:p w:rsidR="00AD2379" w:rsidRPr="00965427" w:rsidRDefault="008E32E5" w:rsidP="00BF0E94">
            <w:pPr>
              <w:tabs>
                <w:tab w:val="left" w:pos="288"/>
                <w:tab w:val="left" w:pos="4752"/>
              </w:tabs>
              <w:rPr>
                <w:color w:val="000000"/>
              </w:rPr>
            </w:pPr>
            <w:r>
              <w:rPr>
                <w:color w:val="000000"/>
              </w:rPr>
              <w:t>1</w:t>
            </w:r>
            <w:r w:rsidR="00AD2379" w:rsidRPr="00965427">
              <w:rPr>
                <w:color w:val="000000"/>
              </w:rPr>
              <w:t>0%</w:t>
            </w:r>
          </w:p>
        </w:tc>
      </w:tr>
      <w:tr w:rsidR="00AD2379" w:rsidRPr="000D5DBE" w:rsidTr="00C42AED">
        <w:tblPrEx>
          <w:tblLook w:val="0000"/>
        </w:tblPrEx>
        <w:trPr>
          <w:gridBefore w:val="1"/>
          <w:wBefore w:w="6768" w:type="dxa"/>
          <w:trHeight w:val="152"/>
          <w:jc w:val="center"/>
        </w:trPr>
        <w:tc>
          <w:tcPr>
            <w:tcW w:w="1530" w:type="dxa"/>
            <w:tcBorders>
              <w:left w:val="single" w:sz="4" w:space="0" w:color="auto"/>
            </w:tcBorders>
            <w:shd w:val="clear" w:color="auto" w:fill="D9D9D9"/>
            <w:vAlign w:val="center"/>
          </w:tcPr>
          <w:p w:rsidR="00AD2379" w:rsidRPr="00965427" w:rsidRDefault="00AD2379" w:rsidP="00BF0E94">
            <w:pPr>
              <w:tabs>
                <w:tab w:val="left" w:pos="288"/>
                <w:tab w:val="left" w:pos="4752"/>
              </w:tabs>
              <w:rPr>
                <w:b/>
                <w:color w:val="000000"/>
              </w:rPr>
            </w:pPr>
            <w:r w:rsidRPr="00965427">
              <w:rPr>
                <w:b/>
                <w:color w:val="000000"/>
              </w:rPr>
              <w:t>COMBINED</w:t>
            </w:r>
          </w:p>
        </w:tc>
        <w:tc>
          <w:tcPr>
            <w:tcW w:w="1026" w:type="dxa"/>
            <w:shd w:val="clear" w:color="auto" w:fill="D9D9D9"/>
            <w:vAlign w:val="center"/>
          </w:tcPr>
          <w:p w:rsidR="00AD2379" w:rsidRPr="000D5DBE" w:rsidRDefault="00090D33" w:rsidP="00BF0E94">
            <w:pPr>
              <w:tabs>
                <w:tab w:val="left" w:pos="288"/>
                <w:tab w:val="left" w:pos="4752"/>
              </w:tabs>
              <w:rPr>
                <w:b/>
                <w:color w:val="000000"/>
              </w:rPr>
            </w:pPr>
            <w:r w:rsidRPr="00965427">
              <w:rPr>
                <w:b/>
                <w:color w:val="000000"/>
              </w:rPr>
              <w:t>10</w:t>
            </w:r>
            <w:r w:rsidR="00AD2379" w:rsidRPr="00965427">
              <w:rPr>
                <w:b/>
                <w:color w:val="000000"/>
              </w:rPr>
              <w:t>%</w:t>
            </w:r>
          </w:p>
        </w:tc>
      </w:tr>
    </w:tbl>
    <w:p w:rsidR="00AD2379" w:rsidRPr="001F29F9" w:rsidRDefault="00AD2379" w:rsidP="00BF0E94">
      <w:pPr>
        <w:pBdr>
          <w:bottom w:val="single" w:sz="12" w:space="1" w:color="auto"/>
        </w:pBdr>
        <w:tabs>
          <w:tab w:val="left" w:pos="288"/>
          <w:tab w:val="left" w:pos="4752"/>
        </w:tabs>
        <w:jc w:val="both"/>
        <w:rPr>
          <w:color w:val="000000"/>
        </w:rPr>
      </w:pPr>
    </w:p>
    <w:p w:rsidR="00AD2379" w:rsidRPr="001F29F9" w:rsidRDefault="00AD2379" w:rsidP="00BF0E94">
      <w:pPr>
        <w:rPr>
          <w:color w:val="000000"/>
        </w:rPr>
      </w:pPr>
    </w:p>
    <w:p w:rsidR="00AD2379" w:rsidRDefault="00AD2379" w:rsidP="00BF0E94">
      <w:pPr>
        <w:tabs>
          <w:tab w:val="left" w:pos="288"/>
          <w:tab w:val="left" w:pos="4752"/>
        </w:tabs>
        <w:jc w:val="both"/>
        <w:rPr>
          <w:color w:val="000000"/>
        </w:rPr>
      </w:pPr>
      <w:r w:rsidRPr="001F29F9">
        <w:rPr>
          <w:color w:val="000000"/>
        </w:rPr>
        <w:t>The following documentary evidence was considered:</w:t>
      </w:r>
    </w:p>
    <w:p w:rsidR="005144A7" w:rsidRPr="001F29F9" w:rsidRDefault="005144A7" w:rsidP="00BF0E94">
      <w:pPr>
        <w:tabs>
          <w:tab w:val="left" w:pos="288"/>
          <w:tab w:val="left" w:pos="4752"/>
        </w:tabs>
        <w:jc w:val="both"/>
        <w:rPr>
          <w:color w:val="000000"/>
        </w:rPr>
      </w:pPr>
    </w:p>
    <w:p w:rsidR="00AD2379" w:rsidRPr="001F29F9" w:rsidRDefault="00AD2379" w:rsidP="005144A7">
      <w:pPr>
        <w:tabs>
          <w:tab w:val="left" w:pos="288"/>
          <w:tab w:val="left" w:pos="4752"/>
        </w:tabs>
        <w:jc w:val="both"/>
        <w:rPr>
          <w:color w:val="000000"/>
        </w:rPr>
      </w:pPr>
      <w:r w:rsidRPr="001F29F9">
        <w:rPr>
          <w:color w:val="000000"/>
        </w:rPr>
        <w:t xml:space="preserve">Exhibit A.  DD Form 294, dated </w:t>
      </w:r>
      <w:r w:rsidR="00C8258E" w:rsidRPr="00BA1870">
        <w:rPr>
          <w:color w:val="auto"/>
        </w:rPr>
        <w:t>20</w:t>
      </w:r>
      <w:r w:rsidR="00C8258E">
        <w:rPr>
          <w:color w:val="auto"/>
        </w:rPr>
        <w:t>110929</w:t>
      </w:r>
      <w:r w:rsidR="003E6E1D">
        <w:rPr>
          <w:color w:val="000000"/>
        </w:rPr>
        <w:t>, w/atchs</w:t>
      </w:r>
    </w:p>
    <w:p w:rsidR="00AD2379" w:rsidRPr="001F29F9" w:rsidRDefault="00AD2379" w:rsidP="005144A7">
      <w:pPr>
        <w:tabs>
          <w:tab w:val="left" w:pos="288"/>
          <w:tab w:val="left" w:pos="4752"/>
        </w:tabs>
        <w:jc w:val="both"/>
        <w:rPr>
          <w:color w:val="000000"/>
        </w:rPr>
      </w:pPr>
      <w:r w:rsidRPr="001F29F9">
        <w:rPr>
          <w:color w:val="000000"/>
        </w:rPr>
        <w:t>Exhib</w:t>
      </w:r>
      <w:r w:rsidR="003E6E1D">
        <w:rPr>
          <w:color w:val="000000"/>
        </w:rPr>
        <w:t>it B.  Service Treatment Record</w:t>
      </w:r>
    </w:p>
    <w:p w:rsidR="00AD2379" w:rsidRPr="001F29F9" w:rsidRDefault="00AD2379" w:rsidP="005144A7">
      <w:pPr>
        <w:tabs>
          <w:tab w:val="left" w:pos="288"/>
          <w:tab w:val="left" w:pos="4752"/>
        </w:tabs>
        <w:jc w:val="both"/>
        <w:rPr>
          <w:color w:val="000000"/>
        </w:rPr>
      </w:pPr>
      <w:r w:rsidRPr="001F29F9">
        <w:rPr>
          <w:color w:val="000000"/>
        </w:rPr>
        <w:t>Exhibit C.  Department of Ve</w:t>
      </w:r>
      <w:r w:rsidR="003E6E1D">
        <w:rPr>
          <w:color w:val="000000"/>
        </w:rPr>
        <w:t>terans’ Affairs Treatment Record</w:t>
      </w:r>
    </w:p>
    <w:p w:rsidR="00AD2379" w:rsidRPr="001F29F9" w:rsidRDefault="00AD2379" w:rsidP="00BF0E94">
      <w:pPr>
        <w:tabs>
          <w:tab w:val="left" w:pos="288"/>
          <w:tab w:val="left" w:pos="4752"/>
        </w:tabs>
        <w:jc w:val="both"/>
        <w:rPr>
          <w:color w:val="000000"/>
        </w:rPr>
      </w:pPr>
    </w:p>
    <w:p w:rsidR="00AD2379" w:rsidRPr="001F29F9" w:rsidRDefault="00AD2379" w:rsidP="00BF0E94">
      <w:pPr>
        <w:tabs>
          <w:tab w:val="left" w:pos="288"/>
          <w:tab w:val="left" w:pos="4752"/>
        </w:tabs>
        <w:jc w:val="both"/>
        <w:rPr>
          <w:color w:val="000000"/>
        </w:rPr>
      </w:pPr>
    </w:p>
    <w:p w:rsidR="00AD2379" w:rsidRPr="001F29F9" w:rsidRDefault="00AD2379" w:rsidP="00BF0E94">
      <w:pPr>
        <w:tabs>
          <w:tab w:val="left" w:pos="288"/>
          <w:tab w:val="left" w:pos="4752"/>
        </w:tabs>
        <w:jc w:val="both"/>
        <w:rPr>
          <w:color w:val="000000"/>
        </w:rPr>
      </w:pPr>
    </w:p>
    <w:p w:rsidR="00AD2379" w:rsidRPr="001F29F9" w:rsidRDefault="00AD2379" w:rsidP="00BF0E94">
      <w:pPr>
        <w:tabs>
          <w:tab w:val="left" w:pos="288"/>
          <w:tab w:val="left" w:pos="4752"/>
        </w:tabs>
        <w:jc w:val="both"/>
        <w:rPr>
          <w:color w:val="000000"/>
        </w:rPr>
      </w:pPr>
    </w:p>
    <w:p w:rsidR="00AD2379" w:rsidRPr="001F29F9" w:rsidRDefault="00AD2379" w:rsidP="00BF0E94">
      <w:pPr>
        <w:tabs>
          <w:tab w:val="left" w:pos="0"/>
          <w:tab w:val="left" w:pos="4320"/>
        </w:tabs>
        <w:jc w:val="both"/>
        <w:rPr>
          <w:color w:val="000000"/>
        </w:rPr>
      </w:pPr>
      <w:r w:rsidRPr="001F29F9">
        <w:rPr>
          <w:color w:val="000000"/>
        </w:rPr>
        <w:tab/>
        <w:t xml:space="preserve">           </w:t>
      </w:r>
      <w:r w:rsidR="000F0E6E">
        <w:rPr>
          <w:color w:val="000000"/>
        </w:rPr>
        <w:t>XXXXXXXXXXXXXXXXXXXXX</w:t>
      </w:r>
    </w:p>
    <w:p w:rsidR="00AD2379" w:rsidRPr="001F29F9" w:rsidRDefault="00AD2379" w:rsidP="00BF0E94">
      <w:pPr>
        <w:tabs>
          <w:tab w:val="left" w:pos="0"/>
          <w:tab w:val="left" w:pos="4320"/>
        </w:tabs>
        <w:jc w:val="both"/>
        <w:rPr>
          <w:color w:val="000000"/>
        </w:rPr>
      </w:pPr>
      <w:r w:rsidRPr="001F29F9">
        <w:rPr>
          <w:color w:val="000000"/>
        </w:rPr>
        <w:tab/>
        <w:t xml:space="preserve">           President</w:t>
      </w:r>
    </w:p>
    <w:p w:rsidR="000F0E6E" w:rsidRDefault="00AD2379" w:rsidP="00BF0E94">
      <w:pPr>
        <w:tabs>
          <w:tab w:val="left" w:pos="0"/>
          <w:tab w:val="left" w:pos="4320"/>
        </w:tabs>
        <w:jc w:val="both"/>
        <w:rPr>
          <w:color w:val="000000"/>
        </w:rPr>
      </w:pPr>
      <w:r w:rsidRPr="001F29F9">
        <w:rPr>
          <w:color w:val="000000"/>
        </w:rPr>
        <w:tab/>
        <w:t xml:space="preserve">           Physical Disability Board of Review</w:t>
      </w:r>
    </w:p>
    <w:p w:rsidR="000F0E6E" w:rsidRDefault="000F0E6E">
      <w:pPr>
        <w:spacing w:line="240" w:lineRule="auto"/>
        <w:jc w:val="left"/>
        <w:rPr>
          <w:color w:val="000000"/>
        </w:rPr>
      </w:pPr>
      <w:r>
        <w:rPr>
          <w:color w:val="000000"/>
        </w:rPr>
        <w:br w:type="page"/>
      </w:r>
    </w:p>
    <w:p w:rsidR="000F0E6E" w:rsidRDefault="000F0E6E" w:rsidP="000F0E6E">
      <w:pPr>
        <w:sectPr w:rsidR="000F0E6E">
          <w:pgSz w:w="12240" w:h="15840"/>
          <w:pgMar w:top="2160" w:right="1440" w:bottom="1440" w:left="1440" w:header="720" w:footer="720" w:gutter="0"/>
          <w:cols w:space="720"/>
        </w:sectPr>
      </w:pPr>
    </w:p>
    <w:p w:rsidR="000F0E6E" w:rsidRDefault="000F0E6E" w:rsidP="000F0E6E">
      <w:pPr>
        <w:pStyle w:val="Header"/>
        <w:tabs>
          <w:tab w:val="left" w:pos="720"/>
        </w:tabs>
        <w:jc w:val="left"/>
      </w:pPr>
      <w:r>
        <w:lastRenderedPageBreak/>
        <w:t>SFMR-RB</w:t>
      </w:r>
      <w:r>
        <w:tab/>
      </w:r>
      <w:r>
        <w:tab/>
      </w:r>
      <w:r>
        <w:tab/>
      </w:r>
      <w:r>
        <w:tab/>
      </w:r>
      <w:r>
        <w:tab/>
      </w:r>
      <w:r>
        <w:tab/>
      </w:r>
      <w:r>
        <w:tab/>
      </w:r>
      <w:r>
        <w:tab/>
      </w:r>
      <w:r>
        <w:tab/>
      </w:r>
    </w:p>
    <w:p w:rsidR="000F0E6E" w:rsidRDefault="000F0E6E" w:rsidP="000F0E6E">
      <w:pPr>
        <w:pStyle w:val="Header"/>
        <w:tabs>
          <w:tab w:val="left" w:pos="720"/>
        </w:tabs>
        <w:jc w:val="left"/>
      </w:pPr>
    </w:p>
    <w:p w:rsidR="000F0E6E" w:rsidRDefault="000F0E6E" w:rsidP="000F0E6E">
      <w:pPr>
        <w:jc w:val="left"/>
      </w:pPr>
    </w:p>
    <w:p w:rsidR="000F0E6E" w:rsidRDefault="000F0E6E" w:rsidP="000F0E6E">
      <w:pPr>
        <w:jc w:val="left"/>
      </w:pPr>
      <w:r>
        <w:t xml:space="preserve">MEMORANDUM FOR Commander, US Army Physical Disability Agency </w:t>
      </w:r>
    </w:p>
    <w:p w:rsidR="000F0E6E" w:rsidRDefault="000F0E6E" w:rsidP="000F0E6E">
      <w:pPr>
        <w:jc w:val="left"/>
      </w:pPr>
      <w:r>
        <w:t xml:space="preserve">(TAPD-ZB </w:t>
      </w:r>
      <w:proofErr w:type="gramStart"/>
      <w:r>
        <w:t>/  )</w:t>
      </w:r>
      <w:proofErr w:type="gramEnd"/>
      <w:r>
        <w:t>, 2900 Crystal Drive, Suite 300, Arlington, VA  22202</w:t>
      </w:r>
    </w:p>
    <w:p w:rsidR="000F0E6E" w:rsidRDefault="000F0E6E" w:rsidP="000F0E6E">
      <w:pPr>
        <w:jc w:val="left"/>
      </w:pPr>
    </w:p>
    <w:p w:rsidR="000F0E6E" w:rsidRDefault="000F0E6E" w:rsidP="000F0E6E">
      <w:pPr>
        <w:ind w:right="-180"/>
        <w:jc w:val="left"/>
      </w:pPr>
      <w:r>
        <w:t xml:space="preserve">SUBJECT:  Department of Defense Physical Disability Board of Review Recommendation </w:t>
      </w:r>
    </w:p>
    <w:p w:rsidR="000F0E6E" w:rsidRDefault="000F0E6E" w:rsidP="000F0E6E">
      <w:pPr>
        <w:pStyle w:val="Header"/>
        <w:tabs>
          <w:tab w:val="left" w:pos="720"/>
        </w:tabs>
        <w:jc w:val="left"/>
      </w:pPr>
      <w:proofErr w:type="gramStart"/>
      <w:r>
        <w:t>for</w:t>
      </w:r>
      <w:proofErr w:type="gramEnd"/>
      <w:r>
        <w:t xml:space="preserve"> XXXXXXXXXXXXXXXXXXXXXX, AR20120015665 (PD201100851)</w:t>
      </w:r>
    </w:p>
    <w:p w:rsidR="000F0E6E" w:rsidRDefault="000F0E6E" w:rsidP="000F0E6E">
      <w:pPr>
        <w:pStyle w:val="Header"/>
        <w:tabs>
          <w:tab w:val="left" w:pos="720"/>
        </w:tabs>
        <w:jc w:val="left"/>
      </w:pPr>
    </w:p>
    <w:p w:rsidR="000F0E6E" w:rsidRDefault="000F0E6E" w:rsidP="000F0E6E">
      <w:pPr>
        <w:jc w:val="left"/>
      </w:pPr>
    </w:p>
    <w:p w:rsidR="000F0E6E" w:rsidRDefault="000F0E6E" w:rsidP="000F0E6E">
      <w:pPr>
        <w:jc w:val="left"/>
      </w:pPr>
      <w:r>
        <w:t>1.  I have reviewed the enclosed Department of Defense Physical Disability Board of Review (</w:t>
      </w:r>
      <w:proofErr w:type="spellStart"/>
      <w:r>
        <w:t>DoD</w:t>
      </w:r>
      <w:proofErr w:type="spellEnd"/>
      <w:r>
        <w:t xml:space="preserve"> PDBR) recommendation and record of proceedings pertaining to the subject individual.  Under the authority of Title 10, United States Code, section 1554a,   I accept the Board’s recommendation to modify the individual’s disability rating to 10% without </w:t>
      </w:r>
      <w:proofErr w:type="spellStart"/>
      <w:r>
        <w:t>recharacterization</w:t>
      </w:r>
      <w:proofErr w:type="spellEnd"/>
      <w:r>
        <w:t xml:space="preserve"> of the individual’s separation.  This decision is final.  </w:t>
      </w:r>
    </w:p>
    <w:p w:rsidR="000F0E6E" w:rsidRDefault="000F0E6E" w:rsidP="000F0E6E">
      <w:pPr>
        <w:jc w:val="left"/>
      </w:pPr>
    </w:p>
    <w:p w:rsidR="000F0E6E" w:rsidRDefault="000F0E6E" w:rsidP="000F0E6E">
      <w:pPr>
        <w:jc w:val="left"/>
      </w:pPr>
      <w:r>
        <w:t xml:space="preserve">2.  I direct that all the Department of the Army records of the individual concerned be corrected accordingly no later than 120 days from the date of this memorandum.   </w:t>
      </w:r>
    </w:p>
    <w:p w:rsidR="000F0E6E" w:rsidRDefault="000F0E6E" w:rsidP="000F0E6E">
      <w:pPr>
        <w:jc w:val="left"/>
      </w:pPr>
    </w:p>
    <w:p w:rsidR="000F0E6E" w:rsidRDefault="000F0E6E" w:rsidP="000F0E6E">
      <w:pPr>
        <w:jc w:val="left"/>
      </w:pPr>
      <w:r>
        <w:t>3.  I request that a copy of the corrections and any related correspondence be provided to the individual concerned, counsel (if any), any Members of Congress who have shown interest, and to the Army Review Boards Agency with a copy of this memorandum without enclosures.</w:t>
      </w:r>
    </w:p>
    <w:p w:rsidR="000F0E6E" w:rsidRDefault="000F0E6E" w:rsidP="000F0E6E">
      <w:pPr>
        <w:jc w:val="left"/>
      </w:pPr>
    </w:p>
    <w:p w:rsidR="000F0E6E" w:rsidRDefault="000F0E6E" w:rsidP="000F0E6E">
      <w:pPr>
        <w:jc w:val="left"/>
      </w:pPr>
      <w:r>
        <w:t xml:space="preserve"> BY ORDER OF THE SECRETARY OF THE ARMY:</w:t>
      </w:r>
    </w:p>
    <w:p w:rsidR="000F0E6E" w:rsidRDefault="000F0E6E" w:rsidP="000F0E6E">
      <w:pPr>
        <w:jc w:val="left"/>
      </w:pPr>
    </w:p>
    <w:p w:rsidR="000F0E6E" w:rsidRDefault="000F0E6E" w:rsidP="000F0E6E">
      <w:pPr>
        <w:jc w:val="left"/>
      </w:pPr>
    </w:p>
    <w:p w:rsidR="000F0E6E" w:rsidRDefault="000F0E6E" w:rsidP="000F0E6E">
      <w:pPr>
        <w:pStyle w:val="Header"/>
        <w:tabs>
          <w:tab w:val="left" w:pos="720"/>
        </w:tabs>
        <w:jc w:val="left"/>
      </w:pPr>
    </w:p>
    <w:p w:rsidR="000F0E6E" w:rsidRDefault="000F0E6E" w:rsidP="000F0E6E">
      <w:pPr>
        <w:jc w:val="left"/>
      </w:pPr>
    </w:p>
    <w:p w:rsidR="000F0E6E" w:rsidRDefault="000F0E6E" w:rsidP="000F0E6E">
      <w:pPr>
        <w:jc w:val="left"/>
      </w:pPr>
      <w:bookmarkStart w:id="1" w:name="OLE_LINK4"/>
      <w:bookmarkStart w:id="2" w:name="OLE_LINK3"/>
      <w:r>
        <w:t>Encl</w:t>
      </w:r>
      <w:r>
        <w:tab/>
      </w:r>
      <w:r>
        <w:tab/>
      </w:r>
      <w:r>
        <w:tab/>
      </w:r>
      <w:r>
        <w:tab/>
      </w:r>
      <w:r>
        <w:tab/>
      </w:r>
      <w:r>
        <w:tab/>
        <w:t xml:space="preserve">     XXXXXXXXXXXXXXXXXXXXX</w:t>
      </w:r>
    </w:p>
    <w:p w:rsidR="000F0E6E" w:rsidRDefault="000F0E6E" w:rsidP="000F0E6E">
      <w:pPr>
        <w:jc w:val="left"/>
      </w:pPr>
      <w:r>
        <w:tab/>
      </w:r>
      <w:r>
        <w:tab/>
      </w:r>
      <w:r>
        <w:tab/>
      </w:r>
      <w:r>
        <w:tab/>
      </w:r>
      <w:r>
        <w:tab/>
      </w:r>
      <w:r>
        <w:tab/>
        <w:t xml:space="preserve">     Deputy Assistant Secretary</w:t>
      </w:r>
    </w:p>
    <w:p w:rsidR="000F0E6E" w:rsidRDefault="000F0E6E" w:rsidP="000F0E6E">
      <w:pPr>
        <w:jc w:val="left"/>
      </w:pPr>
      <w:r>
        <w:tab/>
      </w:r>
      <w:r>
        <w:tab/>
      </w:r>
      <w:r>
        <w:tab/>
      </w:r>
      <w:r>
        <w:tab/>
      </w:r>
      <w:r>
        <w:tab/>
      </w:r>
      <w:r>
        <w:tab/>
        <w:t xml:space="preserve">         (Army Review Boards)</w:t>
      </w:r>
      <w:bookmarkEnd w:id="1"/>
      <w:bookmarkEnd w:id="2"/>
    </w:p>
    <w:p w:rsidR="000F0E6E" w:rsidRDefault="000F0E6E" w:rsidP="000F0E6E">
      <w:pPr>
        <w:jc w:val="left"/>
      </w:pPr>
    </w:p>
    <w:p w:rsidR="000F0E6E" w:rsidRDefault="000F0E6E" w:rsidP="000F0E6E">
      <w:pPr>
        <w:jc w:val="left"/>
      </w:pPr>
      <w:r>
        <w:t xml:space="preserve">CF: </w:t>
      </w:r>
    </w:p>
    <w:p w:rsidR="000F0E6E" w:rsidRDefault="000F0E6E" w:rsidP="000F0E6E">
      <w:pPr>
        <w:jc w:val="left"/>
      </w:pPr>
      <w:r>
        <w:t xml:space="preserve">(  ) </w:t>
      </w:r>
      <w:proofErr w:type="spellStart"/>
      <w:proofErr w:type="gramStart"/>
      <w:r>
        <w:t>DoD</w:t>
      </w:r>
      <w:proofErr w:type="spellEnd"/>
      <w:proofErr w:type="gramEnd"/>
      <w:r>
        <w:t xml:space="preserve"> PDBR</w:t>
      </w:r>
    </w:p>
    <w:p w:rsidR="000F0E6E" w:rsidRDefault="000F0E6E" w:rsidP="000F0E6E">
      <w:pPr>
        <w:jc w:val="left"/>
      </w:pPr>
      <w:r>
        <w:t>(  ) DVA</w:t>
      </w:r>
    </w:p>
    <w:p w:rsidR="00AD2379" w:rsidRPr="001F29F9" w:rsidRDefault="00AD2379" w:rsidP="00BF0E94">
      <w:pPr>
        <w:tabs>
          <w:tab w:val="left" w:pos="0"/>
          <w:tab w:val="left" w:pos="4320"/>
        </w:tabs>
        <w:jc w:val="both"/>
        <w:rPr>
          <w:color w:val="000000"/>
        </w:rPr>
      </w:pPr>
    </w:p>
    <w:p w:rsidR="00482B19" w:rsidRDefault="00482B19" w:rsidP="0095270D">
      <w:pPr>
        <w:jc w:val="both"/>
        <w:rPr>
          <w:b/>
          <w:color w:val="000000"/>
          <w:highlight w:val="yellow"/>
        </w:rPr>
      </w:pPr>
    </w:p>
    <w:sectPr w:rsidR="00482B19" w:rsidSect="00726F84">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A0" w:rsidRDefault="00BC58A0">
      <w:r>
        <w:separator/>
      </w:r>
    </w:p>
  </w:endnote>
  <w:endnote w:type="continuationSeparator" w:id="0">
    <w:p w:rsidR="00BC58A0" w:rsidRDefault="00BC5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379" w:rsidRPr="00374247" w:rsidRDefault="00AD2379" w:rsidP="00726F84">
    <w:pPr>
      <w:pStyle w:val="Footer"/>
      <w:ind w:firstLine="4320"/>
      <w:rPr>
        <w:color w:val="auto"/>
      </w:rPr>
    </w:pPr>
    <w:r w:rsidRPr="00374247">
      <w:rPr>
        <w:color w:val="auto"/>
      </w:rPr>
      <w:t xml:space="preserve">   </w:t>
    </w:r>
    <w:r w:rsidR="00997F64" w:rsidRPr="00997F64">
      <w:fldChar w:fldCharType="begin"/>
    </w:r>
    <w:r w:rsidR="00DD2ED6">
      <w:instrText xml:space="preserve"> PAGE   \* MERGEFORMAT </w:instrText>
    </w:r>
    <w:r w:rsidR="00997F64" w:rsidRPr="00997F64">
      <w:fldChar w:fldCharType="separate"/>
    </w:r>
    <w:r w:rsidR="000F0E6E" w:rsidRPr="000F0E6E">
      <w:rPr>
        <w:noProof/>
        <w:color w:val="auto"/>
      </w:rPr>
      <w:t>4</w:t>
    </w:r>
    <w:r w:rsidR="00997F64">
      <w:rPr>
        <w:noProof/>
        <w:color w:val="auto"/>
      </w:rPr>
      <w:fldChar w:fldCharType="end"/>
    </w:r>
    <w:r w:rsidRPr="00374247">
      <w:rPr>
        <w:color w:val="auto"/>
      </w:rPr>
      <w:t xml:space="preserve">                                                           </w:t>
    </w:r>
    <w:r w:rsidRPr="001D64F3">
      <w:rPr>
        <w:color w:val="auto"/>
      </w:rPr>
      <w:t>PD1</w:t>
    </w:r>
    <w:r w:rsidRPr="009369A6">
      <w:rPr>
        <w:color w:val="auto"/>
      </w:rPr>
      <w:t>100</w:t>
    </w:r>
    <w:r w:rsidR="000B072A">
      <w:rPr>
        <w:color w:val="auto"/>
      </w:rPr>
      <w:t>851</w:t>
    </w:r>
  </w:p>
  <w:p w:rsidR="00AD2379" w:rsidRPr="00684CE6" w:rsidRDefault="00AD2379">
    <w:pPr>
      <w:pStyle w:val="Foote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A0" w:rsidRDefault="00BC58A0">
      <w:r>
        <w:separator/>
      </w:r>
    </w:p>
  </w:footnote>
  <w:footnote w:type="continuationSeparator" w:id="0">
    <w:p w:rsidR="00BC58A0" w:rsidRDefault="00BC58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D1F9B"/>
    <w:multiLevelType w:val="hybridMultilevel"/>
    <w:tmpl w:val="D61A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14EEB"/>
    <w:multiLevelType w:val="hybridMultilevel"/>
    <w:tmpl w:val="A5C2833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71C56"/>
    <w:multiLevelType w:val="hybridMultilevel"/>
    <w:tmpl w:val="E8F47BEC"/>
    <w:lvl w:ilvl="0" w:tplc="8426079A">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6">
    <w:nsid w:val="17BA7C44"/>
    <w:multiLevelType w:val="hybridMultilevel"/>
    <w:tmpl w:val="7C126282"/>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422F0"/>
    <w:multiLevelType w:val="hybridMultilevel"/>
    <w:tmpl w:val="DF66D326"/>
    <w:lvl w:ilvl="0" w:tplc="7018B96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538FD"/>
    <w:multiLevelType w:val="hybridMultilevel"/>
    <w:tmpl w:val="6AA8201E"/>
    <w:lvl w:ilvl="0" w:tplc="7018B964">
      <w:numFmt w:val="bullet"/>
      <w:lvlText w:val="-"/>
      <w:lvlJc w:val="left"/>
      <w:pPr>
        <w:ind w:left="720" w:hanging="360"/>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6A3FF5"/>
    <w:multiLevelType w:val="hybridMultilevel"/>
    <w:tmpl w:val="CDACECDE"/>
    <w:lvl w:ilvl="0" w:tplc="DF86C54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4F193D"/>
    <w:multiLevelType w:val="hybridMultilevel"/>
    <w:tmpl w:val="9C4EF4C6"/>
    <w:lvl w:ilvl="0" w:tplc="3B98A07E">
      <w:numFmt w:val="bullet"/>
      <w:lvlText w:val=""/>
      <w:lvlJc w:val="left"/>
      <w:pPr>
        <w:ind w:left="615" w:hanging="360"/>
      </w:pPr>
      <w:rPr>
        <w:rFonts w:ascii="Wingdings" w:eastAsia="Times New Roman" w:hAnsi="Wingdings"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06437"/>
    <w:multiLevelType w:val="hybridMultilevel"/>
    <w:tmpl w:val="F88001A6"/>
    <w:lvl w:ilvl="0" w:tplc="5E7A036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C4253"/>
    <w:multiLevelType w:val="hybridMultilevel"/>
    <w:tmpl w:val="5E96218A"/>
    <w:lvl w:ilvl="0" w:tplc="4F8E83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E172F4"/>
    <w:multiLevelType w:val="hybridMultilevel"/>
    <w:tmpl w:val="3B98A040"/>
    <w:lvl w:ilvl="0" w:tplc="C5A2619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637FB"/>
    <w:multiLevelType w:val="hybridMultilevel"/>
    <w:tmpl w:val="E81C20AE"/>
    <w:lvl w:ilvl="0" w:tplc="41C2107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C58B7"/>
    <w:multiLevelType w:val="hybridMultilevel"/>
    <w:tmpl w:val="871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20263"/>
    <w:multiLevelType w:val="hybridMultilevel"/>
    <w:tmpl w:val="5ABA2AD0"/>
    <w:lvl w:ilvl="0" w:tplc="C3D8CF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4670E"/>
    <w:multiLevelType w:val="hybridMultilevel"/>
    <w:tmpl w:val="7C92692E"/>
    <w:lvl w:ilvl="0" w:tplc="20A6E15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A16B7"/>
    <w:multiLevelType w:val="hybridMultilevel"/>
    <w:tmpl w:val="3BD2466C"/>
    <w:lvl w:ilvl="0" w:tplc="AABA22A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7"/>
  </w:num>
  <w:num w:numId="5">
    <w:abstractNumId w:val="4"/>
  </w:num>
  <w:num w:numId="6">
    <w:abstractNumId w:val="9"/>
  </w:num>
  <w:num w:numId="7">
    <w:abstractNumId w:val="0"/>
  </w:num>
  <w:num w:numId="8">
    <w:abstractNumId w:val="6"/>
  </w:num>
  <w:num w:numId="9">
    <w:abstractNumId w:val="17"/>
  </w:num>
  <w:num w:numId="10">
    <w:abstractNumId w:val="11"/>
  </w:num>
  <w:num w:numId="11">
    <w:abstractNumId w:val="5"/>
  </w:num>
  <w:num w:numId="12">
    <w:abstractNumId w:val="14"/>
  </w:num>
  <w:num w:numId="13">
    <w:abstractNumId w:val="8"/>
  </w:num>
  <w:num w:numId="14">
    <w:abstractNumId w:val="16"/>
  </w:num>
  <w:num w:numId="15">
    <w:abstractNumId w:val="21"/>
  </w:num>
  <w:num w:numId="16">
    <w:abstractNumId w:val="1"/>
  </w:num>
  <w:num w:numId="17">
    <w:abstractNumId w:val="19"/>
  </w:num>
  <w:num w:numId="18">
    <w:abstractNumId w:val="10"/>
  </w:num>
  <w:num w:numId="19">
    <w:abstractNumId w:val="13"/>
  </w:num>
  <w:num w:numId="20">
    <w:abstractNumId w:val="18"/>
  </w:num>
  <w:num w:numId="21">
    <w:abstractNumId w:val="1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proofState w:spelling="clean" w:grammar="clean"/>
  <w:stylePaneFormatFilter w:val="3701"/>
  <w:defaultTabStop w:val="720"/>
  <w:doNotHyphenateCaps/>
  <w:drawingGridHorizontalSpacing w:val="12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rsids>
    <w:rsidRoot w:val="001C28D1"/>
    <w:rsid w:val="000024F5"/>
    <w:rsid w:val="000059FA"/>
    <w:rsid w:val="00006186"/>
    <w:rsid w:val="00006F87"/>
    <w:rsid w:val="00007107"/>
    <w:rsid w:val="00007BCC"/>
    <w:rsid w:val="00010ABA"/>
    <w:rsid w:val="00010AF0"/>
    <w:rsid w:val="00010B0F"/>
    <w:rsid w:val="00012119"/>
    <w:rsid w:val="00012428"/>
    <w:rsid w:val="00012733"/>
    <w:rsid w:val="00013417"/>
    <w:rsid w:val="000145C2"/>
    <w:rsid w:val="0001473F"/>
    <w:rsid w:val="00014A47"/>
    <w:rsid w:val="00014A9E"/>
    <w:rsid w:val="00017778"/>
    <w:rsid w:val="00020941"/>
    <w:rsid w:val="00021361"/>
    <w:rsid w:val="00022CF3"/>
    <w:rsid w:val="00023913"/>
    <w:rsid w:val="00023D43"/>
    <w:rsid w:val="00024002"/>
    <w:rsid w:val="00024DE7"/>
    <w:rsid w:val="00026092"/>
    <w:rsid w:val="0002667F"/>
    <w:rsid w:val="00030776"/>
    <w:rsid w:val="00031F4D"/>
    <w:rsid w:val="00032DCE"/>
    <w:rsid w:val="00032E07"/>
    <w:rsid w:val="00033287"/>
    <w:rsid w:val="000332CA"/>
    <w:rsid w:val="0003374E"/>
    <w:rsid w:val="000344D8"/>
    <w:rsid w:val="000344E6"/>
    <w:rsid w:val="00035C3A"/>
    <w:rsid w:val="00036E4B"/>
    <w:rsid w:val="00037929"/>
    <w:rsid w:val="000379D0"/>
    <w:rsid w:val="00040FC4"/>
    <w:rsid w:val="000416F8"/>
    <w:rsid w:val="00042C26"/>
    <w:rsid w:val="00043382"/>
    <w:rsid w:val="00044623"/>
    <w:rsid w:val="000452D7"/>
    <w:rsid w:val="00051622"/>
    <w:rsid w:val="00051A11"/>
    <w:rsid w:val="00051F89"/>
    <w:rsid w:val="00052234"/>
    <w:rsid w:val="00053D7C"/>
    <w:rsid w:val="000575C5"/>
    <w:rsid w:val="000577C9"/>
    <w:rsid w:val="00060C18"/>
    <w:rsid w:val="00060FFD"/>
    <w:rsid w:val="00061D69"/>
    <w:rsid w:val="0006431E"/>
    <w:rsid w:val="000652EA"/>
    <w:rsid w:val="00065E21"/>
    <w:rsid w:val="000673ED"/>
    <w:rsid w:val="00067854"/>
    <w:rsid w:val="00070DED"/>
    <w:rsid w:val="00071071"/>
    <w:rsid w:val="00072433"/>
    <w:rsid w:val="00072B3E"/>
    <w:rsid w:val="0007488B"/>
    <w:rsid w:val="00075702"/>
    <w:rsid w:val="00075A0C"/>
    <w:rsid w:val="000775C2"/>
    <w:rsid w:val="00077835"/>
    <w:rsid w:val="000801EF"/>
    <w:rsid w:val="000806AD"/>
    <w:rsid w:val="00080BDF"/>
    <w:rsid w:val="00080C57"/>
    <w:rsid w:val="00082482"/>
    <w:rsid w:val="00082CA0"/>
    <w:rsid w:val="00083F73"/>
    <w:rsid w:val="00084CF2"/>
    <w:rsid w:val="00085D7B"/>
    <w:rsid w:val="0008708B"/>
    <w:rsid w:val="00090D33"/>
    <w:rsid w:val="00092619"/>
    <w:rsid w:val="00092C66"/>
    <w:rsid w:val="00092CC9"/>
    <w:rsid w:val="000949DD"/>
    <w:rsid w:val="00094E4F"/>
    <w:rsid w:val="00097B9B"/>
    <w:rsid w:val="000A2BCE"/>
    <w:rsid w:val="000A31E2"/>
    <w:rsid w:val="000A33C8"/>
    <w:rsid w:val="000A41E3"/>
    <w:rsid w:val="000A4BBA"/>
    <w:rsid w:val="000A5071"/>
    <w:rsid w:val="000B072A"/>
    <w:rsid w:val="000B0AD2"/>
    <w:rsid w:val="000B1022"/>
    <w:rsid w:val="000B2FB8"/>
    <w:rsid w:val="000B471C"/>
    <w:rsid w:val="000B4C99"/>
    <w:rsid w:val="000C06F6"/>
    <w:rsid w:val="000C15F8"/>
    <w:rsid w:val="000C1D34"/>
    <w:rsid w:val="000C2362"/>
    <w:rsid w:val="000C282D"/>
    <w:rsid w:val="000C2FA8"/>
    <w:rsid w:val="000C3AA1"/>
    <w:rsid w:val="000C3C13"/>
    <w:rsid w:val="000C4365"/>
    <w:rsid w:val="000C4D5F"/>
    <w:rsid w:val="000C53F9"/>
    <w:rsid w:val="000C5813"/>
    <w:rsid w:val="000C714C"/>
    <w:rsid w:val="000C7161"/>
    <w:rsid w:val="000C75CF"/>
    <w:rsid w:val="000C7B83"/>
    <w:rsid w:val="000C7DE4"/>
    <w:rsid w:val="000D0AE6"/>
    <w:rsid w:val="000D15E7"/>
    <w:rsid w:val="000D1A24"/>
    <w:rsid w:val="000D1CF4"/>
    <w:rsid w:val="000D1DBC"/>
    <w:rsid w:val="000D21C7"/>
    <w:rsid w:val="000D248A"/>
    <w:rsid w:val="000D28E3"/>
    <w:rsid w:val="000D2CFD"/>
    <w:rsid w:val="000D35D8"/>
    <w:rsid w:val="000D43F9"/>
    <w:rsid w:val="000D4717"/>
    <w:rsid w:val="000D5DBE"/>
    <w:rsid w:val="000D6457"/>
    <w:rsid w:val="000D7D55"/>
    <w:rsid w:val="000E0993"/>
    <w:rsid w:val="000E2E50"/>
    <w:rsid w:val="000E37E0"/>
    <w:rsid w:val="000E3B25"/>
    <w:rsid w:val="000E3F20"/>
    <w:rsid w:val="000E4C25"/>
    <w:rsid w:val="000E4CBF"/>
    <w:rsid w:val="000E5577"/>
    <w:rsid w:val="000E7034"/>
    <w:rsid w:val="000F02BE"/>
    <w:rsid w:val="000F0928"/>
    <w:rsid w:val="000F0B3D"/>
    <w:rsid w:val="000F0E6E"/>
    <w:rsid w:val="000F1E65"/>
    <w:rsid w:val="000F2F2B"/>
    <w:rsid w:val="000F427B"/>
    <w:rsid w:val="000F43D0"/>
    <w:rsid w:val="000F4F18"/>
    <w:rsid w:val="000F688E"/>
    <w:rsid w:val="000F7181"/>
    <w:rsid w:val="000F7581"/>
    <w:rsid w:val="000F7C8B"/>
    <w:rsid w:val="001007CE"/>
    <w:rsid w:val="001008C1"/>
    <w:rsid w:val="001023DB"/>
    <w:rsid w:val="00102B8D"/>
    <w:rsid w:val="001031F4"/>
    <w:rsid w:val="00103948"/>
    <w:rsid w:val="00103CCF"/>
    <w:rsid w:val="0010417F"/>
    <w:rsid w:val="001042D2"/>
    <w:rsid w:val="00104A5F"/>
    <w:rsid w:val="0010530E"/>
    <w:rsid w:val="001058BF"/>
    <w:rsid w:val="00105C07"/>
    <w:rsid w:val="00106920"/>
    <w:rsid w:val="00106AD8"/>
    <w:rsid w:val="001078DB"/>
    <w:rsid w:val="001079FA"/>
    <w:rsid w:val="00107EC5"/>
    <w:rsid w:val="001103CD"/>
    <w:rsid w:val="00111D3F"/>
    <w:rsid w:val="00113D2A"/>
    <w:rsid w:val="00114F20"/>
    <w:rsid w:val="0011590B"/>
    <w:rsid w:val="0011733D"/>
    <w:rsid w:val="001211AF"/>
    <w:rsid w:val="001215DF"/>
    <w:rsid w:val="001219DF"/>
    <w:rsid w:val="00121BAF"/>
    <w:rsid w:val="0012220B"/>
    <w:rsid w:val="00122ABE"/>
    <w:rsid w:val="001231DC"/>
    <w:rsid w:val="0012453A"/>
    <w:rsid w:val="0012489B"/>
    <w:rsid w:val="001272AE"/>
    <w:rsid w:val="00130756"/>
    <w:rsid w:val="001315DD"/>
    <w:rsid w:val="00132ECE"/>
    <w:rsid w:val="0013525F"/>
    <w:rsid w:val="00135385"/>
    <w:rsid w:val="00136204"/>
    <w:rsid w:val="001364D1"/>
    <w:rsid w:val="001374C7"/>
    <w:rsid w:val="00140FA4"/>
    <w:rsid w:val="00141BC9"/>
    <w:rsid w:val="001421FD"/>
    <w:rsid w:val="001425C8"/>
    <w:rsid w:val="00142EBA"/>
    <w:rsid w:val="00143AC7"/>
    <w:rsid w:val="00143B79"/>
    <w:rsid w:val="00145965"/>
    <w:rsid w:val="00150B8A"/>
    <w:rsid w:val="00150DCB"/>
    <w:rsid w:val="00151912"/>
    <w:rsid w:val="00152466"/>
    <w:rsid w:val="00153740"/>
    <w:rsid w:val="001537D8"/>
    <w:rsid w:val="00153D88"/>
    <w:rsid w:val="001541C5"/>
    <w:rsid w:val="001554E4"/>
    <w:rsid w:val="0015623F"/>
    <w:rsid w:val="00156585"/>
    <w:rsid w:val="00156BA9"/>
    <w:rsid w:val="00160E4E"/>
    <w:rsid w:val="00161642"/>
    <w:rsid w:val="00161761"/>
    <w:rsid w:val="00164413"/>
    <w:rsid w:val="00166182"/>
    <w:rsid w:val="0017038B"/>
    <w:rsid w:val="00170C94"/>
    <w:rsid w:val="0017139A"/>
    <w:rsid w:val="001724C8"/>
    <w:rsid w:val="001732C4"/>
    <w:rsid w:val="001745DD"/>
    <w:rsid w:val="00174FDE"/>
    <w:rsid w:val="00174FE3"/>
    <w:rsid w:val="00176D63"/>
    <w:rsid w:val="00177659"/>
    <w:rsid w:val="001779E5"/>
    <w:rsid w:val="00180826"/>
    <w:rsid w:val="00181240"/>
    <w:rsid w:val="00182A4C"/>
    <w:rsid w:val="00183F77"/>
    <w:rsid w:val="00183FB3"/>
    <w:rsid w:val="001844D8"/>
    <w:rsid w:val="00185DA8"/>
    <w:rsid w:val="00185ECB"/>
    <w:rsid w:val="001865E0"/>
    <w:rsid w:val="001870F0"/>
    <w:rsid w:val="00190E48"/>
    <w:rsid w:val="0019114B"/>
    <w:rsid w:val="00192392"/>
    <w:rsid w:val="0019273F"/>
    <w:rsid w:val="00193814"/>
    <w:rsid w:val="00193AAB"/>
    <w:rsid w:val="00193AD5"/>
    <w:rsid w:val="00193BAF"/>
    <w:rsid w:val="00194930"/>
    <w:rsid w:val="00195AAC"/>
    <w:rsid w:val="001968BB"/>
    <w:rsid w:val="001978A3"/>
    <w:rsid w:val="001A025E"/>
    <w:rsid w:val="001A08CD"/>
    <w:rsid w:val="001A0A1E"/>
    <w:rsid w:val="001A2182"/>
    <w:rsid w:val="001A323E"/>
    <w:rsid w:val="001A5320"/>
    <w:rsid w:val="001A5E62"/>
    <w:rsid w:val="001A6848"/>
    <w:rsid w:val="001A7538"/>
    <w:rsid w:val="001B06FB"/>
    <w:rsid w:val="001B0B1A"/>
    <w:rsid w:val="001B20E6"/>
    <w:rsid w:val="001B4C0B"/>
    <w:rsid w:val="001B4D12"/>
    <w:rsid w:val="001B4EC2"/>
    <w:rsid w:val="001B5B59"/>
    <w:rsid w:val="001B60E0"/>
    <w:rsid w:val="001B6235"/>
    <w:rsid w:val="001B755A"/>
    <w:rsid w:val="001B7C8C"/>
    <w:rsid w:val="001C051D"/>
    <w:rsid w:val="001C0688"/>
    <w:rsid w:val="001C181A"/>
    <w:rsid w:val="001C1877"/>
    <w:rsid w:val="001C2053"/>
    <w:rsid w:val="001C252F"/>
    <w:rsid w:val="001C28D1"/>
    <w:rsid w:val="001C3473"/>
    <w:rsid w:val="001C5BDA"/>
    <w:rsid w:val="001C5CFC"/>
    <w:rsid w:val="001C7231"/>
    <w:rsid w:val="001C7418"/>
    <w:rsid w:val="001C7EBE"/>
    <w:rsid w:val="001D0051"/>
    <w:rsid w:val="001D150B"/>
    <w:rsid w:val="001D169A"/>
    <w:rsid w:val="001D2224"/>
    <w:rsid w:val="001D31AA"/>
    <w:rsid w:val="001D37B9"/>
    <w:rsid w:val="001D3DC0"/>
    <w:rsid w:val="001D4F88"/>
    <w:rsid w:val="001D64F3"/>
    <w:rsid w:val="001D68CF"/>
    <w:rsid w:val="001D6A8C"/>
    <w:rsid w:val="001D7A56"/>
    <w:rsid w:val="001E15C0"/>
    <w:rsid w:val="001E18E0"/>
    <w:rsid w:val="001E18E2"/>
    <w:rsid w:val="001E19D0"/>
    <w:rsid w:val="001E2A30"/>
    <w:rsid w:val="001E2FF1"/>
    <w:rsid w:val="001E3FE1"/>
    <w:rsid w:val="001E41FE"/>
    <w:rsid w:val="001E4989"/>
    <w:rsid w:val="001E635C"/>
    <w:rsid w:val="001E6A77"/>
    <w:rsid w:val="001F0297"/>
    <w:rsid w:val="001F29F9"/>
    <w:rsid w:val="001F6E0B"/>
    <w:rsid w:val="00200AA0"/>
    <w:rsid w:val="00202325"/>
    <w:rsid w:val="00202459"/>
    <w:rsid w:val="00202736"/>
    <w:rsid w:val="00202D1C"/>
    <w:rsid w:val="00203652"/>
    <w:rsid w:val="00204562"/>
    <w:rsid w:val="00205B4F"/>
    <w:rsid w:val="002060B6"/>
    <w:rsid w:val="002066B5"/>
    <w:rsid w:val="00210EAC"/>
    <w:rsid w:val="00211612"/>
    <w:rsid w:val="002119B6"/>
    <w:rsid w:val="00212389"/>
    <w:rsid w:val="002129C1"/>
    <w:rsid w:val="00212B40"/>
    <w:rsid w:val="00213BD0"/>
    <w:rsid w:val="00214DBA"/>
    <w:rsid w:val="002151AB"/>
    <w:rsid w:val="0021548C"/>
    <w:rsid w:val="00215C4C"/>
    <w:rsid w:val="00215ED6"/>
    <w:rsid w:val="00216049"/>
    <w:rsid w:val="002163FA"/>
    <w:rsid w:val="00216C14"/>
    <w:rsid w:val="00217606"/>
    <w:rsid w:val="002178AE"/>
    <w:rsid w:val="00217C09"/>
    <w:rsid w:val="00220F5C"/>
    <w:rsid w:val="00220FA9"/>
    <w:rsid w:val="002216BF"/>
    <w:rsid w:val="00221B9B"/>
    <w:rsid w:val="00222268"/>
    <w:rsid w:val="00225080"/>
    <w:rsid w:val="00225196"/>
    <w:rsid w:val="00225CB4"/>
    <w:rsid w:val="00226B1A"/>
    <w:rsid w:val="00227F0B"/>
    <w:rsid w:val="0023049F"/>
    <w:rsid w:val="002310C3"/>
    <w:rsid w:val="002316F6"/>
    <w:rsid w:val="00232C9B"/>
    <w:rsid w:val="00232E73"/>
    <w:rsid w:val="00232F09"/>
    <w:rsid w:val="002335D5"/>
    <w:rsid w:val="002338CA"/>
    <w:rsid w:val="00233FE5"/>
    <w:rsid w:val="00234B3B"/>
    <w:rsid w:val="00234D98"/>
    <w:rsid w:val="00235AD0"/>
    <w:rsid w:val="00236018"/>
    <w:rsid w:val="002374C9"/>
    <w:rsid w:val="002375F1"/>
    <w:rsid w:val="0024162D"/>
    <w:rsid w:val="0024174E"/>
    <w:rsid w:val="00241B01"/>
    <w:rsid w:val="00241ECD"/>
    <w:rsid w:val="00242238"/>
    <w:rsid w:val="0024227D"/>
    <w:rsid w:val="00242D14"/>
    <w:rsid w:val="002432F4"/>
    <w:rsid w:val="00246860"/>
    <w:rsid w:val="002468D9"/>
    <w:rsid w:val="00246995"/>
    <w:rsid w:val="00246DFF"/>
    <w:rsid w:val="00246E89"/>
    <w:rsid w:val="0025183C"/>
    <w:rsid w:val="00252351"/>
    <w:rsid w:val="002528EC"/>
    <w:rsid w:val="00253EAA"/>
    <w:rsid w:val="00255049"/>
    <w:rsid w:val="00257538"/>
    <w:rsid w:val="00257AFF"/>
    <w:rsid w:val="00257DE5"/>
    <w:rsid w:val="00260531"/>
    <w:rsid w:val="00260B9A"/>
    <w:rsid w:val="00261B7E"/>
    <w:rsid w:val="00262EA5"/>
    <w:rsid w:val="0026318D"/>
    <w:rsid w:val="00264148"/>
    <w:rsid w:val="002660AF"/>
    <w:rsid w:val="002703C4"/>
    <w:rsid w:val="00270864"/>
    <w:rsid w:val="002712F7"/>
    <w:rsid w:val="0027159C"/>
    <w:rsid w:val="00271871"/>
    <w:rsid w:val="002722F2"/>
    <w:rsid w:val="00274549"/>
    <w:rsid w:val="00274E46"/>
    <w:rsid w:val="002752AE"/>
    <w:rsid w:val="00275AFD"/>
    <w:rsid w:val="002769AF"/>
    <w:rsid w:val="00276C86"/>
    <w:rsid w:val="00276FD0"/>
    <w:rsid w:val="00277217"/>
    <w:rsid w:val="002810A4"/>
    <w:rsid w:val="0028261C"/>
    <w:rsid w:val="00282DB6"/>
    <w:rsid w:val="002833E3"/>
    <w:rsid w:val="00284A26"/>
    <w:rsid w:val="00285095"/>
    <w:rsid w:val="00287006"/>
    <w:rsid w:val="00287122"/>
    <w:rsid w:val="0029030A"/>
    <w:rsid w:val="00292397"/>
    <w:rsid w:val="00292AB2"/>
    <w:rsid w:val="00292B82"/>
    <w:rsid w:val="00293DB6"/>
    <w:rsid w:val="00293FE8"/>
    <w:rsid w:val="00294437"/>
    <w:rsid w:val="00295929"/>
    <w:rsid w:val="00296686"/>
    <w:rsid w:val="00297A00"/>
    <w:rsid w:val="00297A45"/>
    <w:rsid w:val="00297E20"/>
    <w:rsid w:val="002A233F"/>
    <w:rsid w:val="002A3237"/>
    <w:rsid w:val="002A4119"/>
    <w:rsid w:val="002A58B7"/>
    <w:rsid w:val="002A5943"/>
    <w:rsid w:val="002A5C3C"/>
    <w:rsid w:val="002A685E"/>
    <w:rsid w:val="002A72C7"/>
    <w:rsid w:val="002B0204"/>
    <w:rsid w:val="002B03B2"/>
    <w:rsid w:val="002B0749"/>
    <w:rsid w:val="002B2645"/>
    <w:rsid w:val="002B2D0B"/>
    <w:rsid w:val="002B303A"/>
    <w:rsid w:val="002B32E9"/>
    <w:rsid w:val="002B4E22"/>
    <w:rsid w:val="002B6FA0"/>
    <w:rsid w:val="002B7710"/>
    <w:rsid w:val="002C0910"/>
    <w:rsid w:val="002C0DEA"/>
    <w:rsid w:val="002C34F6"/>
    <w:rsid w:val="002C3B6D"/>
    <w:rsid w:val="002C3F59"/>
    <w:rsid w:val="002C5D9D"/>
    <w:rsid w:val="002C5F10"/>
    <w:rsid w:val="002C6E5B"/>
    <w:rsid w:val="002D08F3"/>
    <w:rsid w:val="002D18B4"/>
    <w:rsid w:val="002D2058"/>
    <w:rsid w:val="002D231A"/>
    <w:rsid w:val="002D5330"/>
    <w:rsid w:val="002D5F57"/>
    <w:rsid w:val="002D73D4"/>
    <w:rsid w:val="002D7787"/>
    <w:rsid w:val="002D7DF2"/>
    <w:rsid w:val="002E058C"/>
    <w:rsid w:val="002E1877"/>
    <w:rsid w:val="002E1C31"/>
    <w:rsid w:val="002E2E0F"/>
    <w:rsid w:val="002E333A"/>
    <w:rsid w:val="002E3474"/>
    <w:rsid w:val="002E400C"/>
    <w:rsid w:val="002E49C3"/>
    <w:rsid w:val="002E5114"/>
    <w:rsid w:val="002E5988"/>
    <w:rsid w:val="002E65E6"/>
    <w:rsid w:val="002E7072"/>
    <w:rsid w:val="002E7570"/>
    <w:rsid w:val="002E764B"/>
    <w:rsid w:val="002E7C25"/>
    <w:rsid w:val="002F08D1"/>
    <w:rsid w:val="002F0D6A"/>
    <w:rsid w:val="002F0E28"/>
    <w:rsid w:val="002F195B"/>
    <w:rsid w:val="002F244C"/>
    <w:rsid w:val="002F287E"/>
    <w:rsid w:val="002F2981"/>
    <w:rsid w:val="002F2D63"/>
    <w:rsid w:val="002F6AD8"/>
    <w:rsid w:val="002F7F81"/>
    <w:rsid w:val="00300A36"/>
    <w:rsid w:val="00301B45"/>
    <w:rsid w:val="003029D5"/>
    <w:rsid w:val="0030433B"/>
    <w:rsid w:val="00304511"/>
    <w:rsid w:val="00305856"/>
    <w:rsid w:val="00305867"/>
    <w:rsid w:val="0030678B"/>
    <w:rsid w:val="00306D16"/>
    <w:rsid w:val="0030700A"/>
    <w:rsid w:val="00307595"/>
    <w:rsid w:val="00307DA6"/>
    <w:rsid w:val="00310CD7"/>
    <w:rsid w:val="003122E9"/>
    <w:rsid w:val="00313C3A"/>
    <w:rsid w:val="00313D7A"/>
    <w:rsid w:val="00314517"/>
    <w:rsid w:val="003155FB"/>
    <w:rsid w:val="0032136A"/>
    <w:rsid w:val="003219E5"/>
    <w:rsid w:val="003224D8"/>
    <w:rsid w:val="00323A90"/>
    <w:rsid w:val="00323E70"/>
    <w:rsid w:val="003258A7"/>
    <w:rsid w:val="00325BA2"/>
    <w:rsid w:val="003262BD"/>
    <w:rsid w:val="00326798"/>
    <w:rsid w:val="00326B1C"/>
    <w:rsid w:val="00326C08"/>
    <w:rsid w:val="00326F7F"/>
    <w:rsid w:val="00327616"/>
    <w:rsid w:val="00330311"/>
    <w:rsid w:val="00330D55"/>
    <w:rsid w:val="00331C13"/>
    <w:rsid w:val="003320E8"/>
    <w:rsid w:val="0033238E"/>
    <w:rsid w:val="003328FD"/>
    <w:rsid w:val="00332DE3"/>
    <w:rsid w:val="0033334F"/>
    <w:rsid w:val="0033414F"/>
    <w:rsid w:val="00334514"/>
    <w:rsid w:val="0033555E"/>
    <w:rsid w:val="0033601F"/>
    <w:rsid w:val="00336805"/>
    <w:rsid w:val="00337351"/>
    <w:rsid w:val="00341A54"/>
    <w:rsid w:val="00344A4F"/>
    <w:rsid w:val="00344D17"/>
    <w:rsid w:val="0034669F"/>
    <w:rsid w:val="003470C4"/>
    <w:rsid w:val="003471C5"/>
    <w:rsid w:val="00347D0D"/>
    <w:rsid w:val="00350273"/>
    <w:rsid w:val="00351498"/>
    <w:rsid w:val="00352B22"/>
    <w:rsid w:val="00352CBF"/>
    <w:rsid w:val="00354547"/>
    <w:rsid w:val="003549F5"/>
    <w:rsid w:val="003554B7"/>
    <w:rsid w:val="00355ACB"/>
    <w:rsid w:val="003567DE"/>
    <w:rsid w:val="003574F3"/>
    <w:rsid w:val="00357831"/>
    <w:rsid w:val="003604A5"/>
    <w:rsid w:val="0036114B"/>
    <w:rsid w:val="003618B6"/>
    <w:rsid w:val="0036199A"/>
    <w:rsid w:val="003620C8"/>
    <w:rsid w:val="00363087"/>
    <w:rsid w:val="0036319E"/>
    <w:rsid w:val="003632A4"/>
    <w:rsid w:val="00363362"/>
    <w:rsid w:val="0036392A"/>
    <w:rsid w:val="00364CAB"/>
    <w:rsid w:val="00365384"/>
    <w:rsid w:val="00365767"/>
    <w:rsid w:val="003659C0"/>
    <w:rsid w:val="003660DF"/>
    <w:rsid w:val="003674A9"/>
    <w:rsid w:val="00367D4F"/>
    <w:rsid w:val="00370743"/>
    <w:rsid w:val="00370EF5"/>
    <w:rsid w:val="0037135B"/>
    <w:rsid w:val="003718CD"/>
    <w:rsid w:val="00372251"/>
    <w:rsid w:val="00373F64"/>
    <w:rsid w:val="00374247"/>
    <w:rsid w:val="0037475E"/>
    <w:rsid w:val="00374EA1"/>
    <w:rsid w:val="0037520D"/>
    <w:rsid w:val="00375724"/>
    <w:rsid w:val="00375809"/>
    <w:rsid w:val="00375CF1"/>
    <w:rsid w:val="0037628C"/>
    <w:rsid w:val="00376A07"/>
    <w:rsid w:val="00376B81"/>
    <w:rsid w:val="00376E08"/>
    <w:rsid w:val="00377BD2"/>
    <w:rsid w:val="00380601"/>
    <w:rsid w:val="00380FD4"/>
    <w:rsid w:val="00381E16"/>
    <w:rsid w:val="003821E1"/>
    <w:rsid w:val="003840F6"/>
    <w:rsid w:val="00384866"/>
    <w:rsid w:val="003851BA"/>
    <w:rsid w:val="00385708"/>
    <w:rsid w:val="003857D4"/>
    <w:rsid w:val="00385D6F"/>
    <w:rsid w:val="00386D43"/>
    <w:rsid w:val="00387095"/>
    <w:rsid w:val="00387E95"/>
    <w:rsid w:val="00390092"/>
    <w:rsid w:val="00390CFA"/>
    <w:rsid w:val="00391858"/>
    <w:rsid w:val="00393651"/>
    <w:rsid w:val="00393D7D"/>
    <w:rsid w:val="00394926"/>
    <w:rsid w:val="00394FF9"/>
    <w:rsid w:val="00395651"/>
    <w:rsid w:val="00395E12"/>
    <w:rsid w:val="003962A8"/>
    <w:rsid w:val="00396779"/>
    <w:rsid w:val="00397DB7"/>
    <w:rsid w:val="003A27B2"/>
    <w:rsid w:val="003A40B4"/>
    <w:rsid w:val="003A41BA"/>
    <w:rsid w:val="003A5491"/>
    <w:rsid w:val="003A5958"/>
    <w:rsid w:val="003A6A99"/>
    <w:rsid w:val="003A6E60"/>
    <w:rsid w:val="003A6FCD"/>
    <w:rsid w:val="003A76AB"/>
    <w:rsid w:val="003A7FF8"/>
    <w:rsid w:val="003B17AC"/>
    <w:rsid w:val="003B2143"/>
    <w:rsid w:val="003B227A"/>
    <w:rsid w:val="003B2284"/>
    <w:rsid w:val="003B3A77"/>
    <w:rsid w:val="003B4319"/>
    <w:rsid w:val="003B5854"/>
    <w:rsid w:val="003B6764"/>
    <w:rsid w:val="003B7A8B"/>
    <w:rsid w:val="003C247E"/>
    <w:rsid w:val="003C294B"/>
    <w:rsid w:val="003C34DF"/>
    <w:rsid w:val="003C5046"/>
    <w:rsid w:val="003C53E8"/>
    <w:rsid w:val="003C5B54"/>
    <w:rsid w:val="003C6068"/>
    <w:rsid w:val="003C7AEC"/>
    <w:rsid w:val="003D23DA"/>
    <w:rsid w:val="003D2BA3"/>
    <w:rsid w:val="003D316B"/>
    <w:rsid w:val="003D371E"/>
    <w:rsid w:val="003D3C22"/>
    <w:rsid w:val="003D56A0"/>
    <w:rsid w:val="003D609F"/>
    <w:rsid w:val="003D69F5"/>
    <w:rsid w:val="003D7089"/>
    <w:rsid w:val="003D7DDB"/>
    <w:rsid w:val="003E024F"/>
    <w:rsid w:val="003E02C7"/>
    <w:rsid w:val="003E0543"/>
    <w:rsid w:val="003E061D"/>
    <w:rsid w:val="003E0B5A"/>
    <w:rsid w:val="003E1682"/>
    <w:rsid w:val="003E31E3"/>
    <w:rsid w:val="003E3E93"/>
    <w:rsid w:val="003E46D1"/>
    <w:rsid w:val="003E4FD7"/>
    <w:rsid w:val="003E6214"/>
    <w:rsid w:val="003E6E1D"/>
    <w:rsid w:val="003F070E"/>
    <w:rsid w:val="003F1206"/>
    <w:rsid w:val="003F2418"/>
    <w:rsid w:val="003F28DB"/>
    <w:rsid w:val="003F2EEE"/>
    <w:rsid w:val="003F44FD"/>
    <w:rsid w:val="003F58B0"/>
    <w:rsid w:val="003F776F"/>
    <w:rsid w:val="004007E9"/>
    <w:rsid w:val="00400810"/>
    <w:rsid w:val="00401825"/>
    <w:rsid w:val="00401BBC"/>
    <w:rsid w:val="004026FC"/>
    <w:rsid w:val="00403BFB"/>
    <w:rsid w:val="00404753"/>
    <w:rsid w:val="00404B45"/>
    <w:rsid w:val="00405BCF"/>
    <w:rsid w:val="004068E0"/>
    <w:rsid w:val="00406CC5"/>
    <w:rsid w:val="00406FCA"/>
    <w:rsid w:val="0040717F"/>
    <w:rsid w:val="004074A4"/>
    <w:rsid w:val="004101B2"/>
    <w:rsid w:val="004123D7"/>
    <w:rsid w:val="00412658"/>
    <w:rsid w:val="004129DA"/>
    <w:rsid w:val="00415EA4"/>
    <w:rsid w:val="0041604B"/>
    <w:rsid w:val="004172DB"/>
    <w:rsid w:val="004174F0"/>
    <w:rsid w:val="00417999"/>
    <w:rsid w:val="00420A1D"/>
    <w:rsid w:val="00420B1E"/>
    <w:rsid w:val="004211FD"/>
    <w:rsid w:val="00421485"/>
    <w:rsid w:val="004216DA"/>
    <w:rsid w:val="00421DEA"/>
    <w:rsid w:val="00422B75"/>
    <w:rsid w:val="00424612"/>
    <w:rsid w:val="0042528C"/>
    <w:rsid w:val="00425672"/>
    <w:rsid w:val="00425A6A"/>
    <w:rsid w:val="00426A23"/>
    <w:rsid w:val="00427C7F"/>
    <w:rsid w:val="00427F54"/>
    <w:rsid w:val="004316FD"/>
    <w:rsid w:val="00433F36"/>
    <w:rsid w:val="00434694"/>
    <w:rsid w:val="00434860"/>
    <w:rsid w:val="00434BBD"/>
    <w:rsid w:val="0043503A"/>
    <w:rsid w:val="00437B8A"/>
    <w:rsid w:val="00437D18"/>
    <w:rsid w:val="00437D77"/>
    <w:rsid w:val="00440698"/>
    <w:rsid w:val="00441D99"/>
    <w:rsid w:val="004429D9"/>
    <w:rsid w:val="004435BE"/>
    <w:rsid w:val="0044384F"/>
    <w:rsid w:val="0044411E"/>
    <w:rsid w:val="00444472"/>
    <w:rsid w:val="00444B93"/>
    <w:rsid w:val="00444F80"/>
    <w:rsid w:val="00445599"/>
    <w:rsid w:val="00446018"/>
    <w:rsid w:val="0044769D"/>
    <w:rsid w:val="0045027B"/>
    <w:rsid w:val="004504E7"/>
    <w:rsid w:val="00451F9D"/>
    <w:rsid w:val="00453167"/>
    <w:rsid w:val="0045361D"/>
    <w:rsid w:val="004543BC"/>
    <w:rsid w:val="00454F28"/>
    <w:rsid w:val="0045645D"/>
    <w:rsid w:val="0045707D"/>
    <w:rsid w:val="004574C6"/>
    <w:rsid w:val="00457743"/>
    <w:rsid w:val="00457BCF"/>
    <w:rsid w:val="00457DCE"/>
    <w:rsid w:val="00460E3F"/>
    <w:rsid w:val="0046111A"/>
    <w:rsid w:val="004613A3"/>
    <w:rsid w:val="00462F68"/>
    <w:rsid w:val="00463478"/>
    <w:rsid w:val="0046369B"/>
    <w:rsid w:val="004640E9"/>
    <w:rsid w:val="004647EB"/>
    <w:rsid w:val="00466CED"/>
    <w:rsid w:val="00466EB5"/>
    <w:rsid w:val="00467592"/>
    <w:rsid w:val="00467690"/>
    <w:rsid w:val="00467A14"/>
    <w:rsid w:val="004718E7"/>
    <w:rsid w:val="00472289"/>
    <w:rsid w:val="00472535"/>
    <w:rsid w:val="004761CC"/>
    <w:rsid w:val="00476229"/>
    <w:rsid w:val="004766C9"/>
    <w:rsid w:val="00480D4A"/>
    <w:rsid w:val="00481DA1"/>
    <w:rsid w:val="00482B19"/>
    <w:rsid w:val="00483A2B"/>
    <w:rsid w:val="00484212"/>
    <w:rsid w:val="004848C3"/>
    <w:rsid w:val="00484BA9"/>
    <w:rsid w:val="0048599A"/>
    <w:rsid w:val="00486818"/>
    <w:rsid w:val="0049255F"/>
    <w:rsid w:val="0049445D"/>
    <w:rsid w:val="00494D39"/>
    <w:rsid w:val="00495350"/>
    <w:rsid w:val="00495AD7"/>
    <w:rsid w:val="00495E3C"/>
    <w:rsid w:val="00496041"/>
    <w:rsid w:val="00497156"/>
    <w:rsid w:val="004A0BFF"/>
    <w:rsid w:val="004A0C79"/>
    <w:rsid w:val="004A24D2"/>
    <w:rsid w:val="004A2728"/>
    <w:rsid w:val="004A3214"/>
    <w:rsid w:val="004A4136"/>
    <w:rsid w:val="004A417B"/>
    <w:rsid w:val="004A4378"/>
    <w:rsid w:val="004A712D"/>
    <w:rsid w:val="004A7C03"/>
    <w:rsid w:val="004B03F3"/>
    <w:rsid w:val="004B0CC9"/>
    <w:rsid w:val="004B1C61"/>
    <w:rsid w:val="004B2536"/>
    <w:rsid w:val="004B46D7"/>
    <w:rsid w:val="004B478D"/>
    <w:rsid w:val="004B6AF3"/>
    <w:rsid w:val="004B6B34"/>
    <w:rsid w:val="004B6F1F"/>
    <w:rsid w:val="004B715E"/>
    <w:rsid w:val="004B7169"/>
    <w:rsid w:val="004B79C9"/>
    <w:rsid w:val="004C00DD"/>
    <w:rsid w:val="004C05CF"/>
    <w:rsid w:val="004C0776"/>
    <w:rsid w:val="004C1EF8"/>
    <w:rsid w:val="004C2063"/>
    <w:rsid w:val="004C24C5"/>
    <w:rsid w:val="004C2645"/>
    <w:rsid w:val="004C47D5"/>
    <w:rsid w:val="004C4CAF"/>
    <w:rsid w:val="004C5E33"/>
    <w:rsid w:val="004C60A3"/>
    <w:rsid w:val="004C6CDA"/>
    <w:rsid w:val="004C79F5"/>
    <w:rsid w:val="004D10D4"/>
    <w:rsid w:val="004D16BD"/>
    <w:rsid w:val="004D2AAB"/>
    <w:rsid w:val="004D2BE5"/>
    <w:rsid w:val="004D362B"/>
    <w:rsid w:val="004D3C7F"/>
    <w:rsid w:val="004D42CB"/>
    <w:rsid w:val="004D4A0C"/>
    <w:rsid w:val="004D55D3"/>
    <w:rsid w:val="004D5D82"/>
    <w:rsid w:val="004D6E90"/>
    <w:rsid w:val="004D6F2B"/>
    <w:rsid w:val="004E0248"/>
    <w:rsid w:val="004E21A3"/>
    <w:rsid w:val="004E32EA"/>
    <w:rsid w:val="004E3517"/>
    <w:rsid w:val="004E6866"/>
    <w:rsid w:val="004F0C58"/>
    <w:rsid w:val="004F10EB"/>
    <w:rsid w:val="004F3222"/>
    <w:rsid w:val="004F3639"/>
    <w:rsid w:val="004F3BFA"/>
    <w:rsid w:val="004F4E3C"/>
    <w:rsid w:val="004F5A1A"/>
    <w:rsid w:val="004F61A0"/>
    <w:rsid w:val="004F675A"/>
    <w:rsid w:val="004F77A3"/>
    <w:rsid w:val="005000AB"/>
    <w:rsid w:val="00500EAF"/>
    <w:rsid w:val="00500F3C"/>
    <w:rsid w:val="005025EE"/>
    <w:rsid w:val="00503401"/>
    <w:rsid w:val="00503D35"/>
    <w:rsid w:val="00503DDF"/>
    <w:rsid w:val="00505524"/>
    <w:rsid w:val="005058D5"/>
    <w:rsid w:val="00506688"/>
    <w:rsid w:val="00510588"/>
    <w:rsid w:val="00510F9C"/>
    <w:rsid w:val="0051146C"/>
    <w:rsid w:val="0051220B"/>
    <w:rsid w:val="00512253"/>
    <w:rsid w:val="00512484"/>
    <w:rsid w:val="00514449"/>
    <w:rsid w:val="005144A7"/>
    <w:rsid w:val="00515419"/>
    <w:rsid w:val="005157BD"/>
    <w:rsid w:val="005214A3"/>
    <w:rsid w:val="005222E7"/>
    <w:rsid w:val="00523488"/>
    <w:rsid w:val="00523A8B"/>
    <w:rsid w:val="00523E04"/>
    <w:rsid w:val="00524D3A"/>
    <w:rsid w:val="00525003"/>
    <w:rsid w:val="0052590B"/>
    <w:rsid w:val="0052592B"/>
    <w:rsid w:val="00526503"/>
    <w:rsid w:val="00526591"/>
    <w:rsid w:val="00527178"/>
    <w:rsid w:val="00527618"/>
    <w:rsid w:val="005278CB"/>
    <w:rsid w:val="00530388"/>
    <w:rsid w:val="00531DA0"/>
    <w:rsid w:val="00532E9D"/>
    <w:rsid w:val="00533075"/>
    <w:rsid w:val="00534D42"/>
    <w:rsid w:val="005350A5"/>
    <w:rsid w:val="00536379"/>
    <w:rsid w:val="00537238"/>
    <w:rsid w:val="005400C5"/>
    <w:rsid w:val="005404CD"/>
    <w:rsid w:val="00540BE0"/>
    <w:rsid w:val="00540BEF"/>
    <w:rsid w:val="00542022"/>
    <w:rsid w:val="00542B34"/>
    <w:rsid w:val="00542C9A"/>
    <w:rsid w:val="005436C2"/>
    <w:rsid w:val="005442D4"/>
    <w:rsid w:val="005452F7"/>
    <w:rsid w:val="0054586A"/>
    <w:rsid w:val="0054631F"/>
    <w:rsid w:val="00546C24"/>
    <w:rsid w:val="005471BA"/>
    <w:rsid w:val="00547BDA"/>
    <w:rsid w:val="00547BE6"/>
    <w:rsid w:val="0055034F"/>
    <w:rsid w:val="00550476"/>
    <w:rsid w:val="0055288D"/>
    <w:rsid w:val="00555259"/>
    <w:rsid w:val="00555C66"/>
    <w:rsid w:val="005569EF"/>
    <w:rsid w:val="00556BDE"/>
    <w:rsid w:val="00560D57"/>
    <w:rsid w:val="00560F12"/>
    <w:rsid w:val="00562A94"/>
    <w:rsid w:val="00563FAD"/>
    <w:rsid w:val="00565636"/>
    <w:rsid w:val="005701C1"/>
    <w:rsid w:val="005703BF"/>
    <w:rsid w:val="00570754"/>
    <w:rsid w:val="005709F7"/>
    <w:rsid w:val="00570EAA"/>
    <w:rsid w:val="005710A9"/>
    <w:rsid w:val="005716B0"/>
    <w:rsid w:val="00571B11"/>
    <w:rsid w:val="00571D1B"/>
    <w:rsid w:val="00571DA3"/>
    <w:rsid w:val="005738F5"/>
    <w:rsid w:val="00573D34"/>
    <w:rsid w:val="00574A1B"/>
    <w:rsid w:val="00575963"/>
    <w:rsid w:val="00575EBE"/>
    <w:rsid w:val="0058039C"/>
    <w:rsid w:val="00580A63"/>
    <w:rsid w:val="00583379"/>
    <w:rsid w:val="0058417C"/>
    <w:rsid w:val="00584540"/>
    <w:rsid w:val="005854F9"/>
    <w:rsid w:val="00586EC6"/>
    <w:rsid w:val="00587DDE"/>
    <w:rsid w:val="00593043"/>
    <w:rsid w:val="00595B60"/>
    <w:rsid w:val="00595B63"/>
    <w:rsid w:val="00595BF0"/>
    <w:rsid w:val="00597E16"/>
    <w:rsid w:val="005A0B1D"/>
    <w:rsid w:val="005A1846"/>
    <w:rsid w:val="005A258C"/>
    <w:rsid w:val="005A3560"/>
    <w:rsid w:val="005A464E"/>
    <w:rsid w:val="005A62FC"/>
    <w:rsid w:val="005A6C99"/>
    <w:rsid w:val="005A7D5D"/>
    <w:rsid w:val="005B0040"/>
    <w:rsid w:val="005B011A"/>
    <w:rsid w:val="005B0283"/>
    <w:rsid w:val="005B1ADA"/>
    <w:rsid w:val="005B1D09"/>
    <w:rsid w:val="005B1D8F"/>
    <w:rsid w:val="005B1E94"/>
    <w:rsid w:val="005B25C5"/>
    <w:rsid w:val="005B29E3"/>
    <w:rsid w:val="005B5B3D"/>
    <w:rsid w:val="005B5E8F"/>
    <w:rsid w:val="005B64CF"/>
    <w:rsid w:val="005B6FB3"/>
    <w:rsid w:val="005B72DA"/>
    <w:rsid w:val="005C0E87"/>
    <w:rsid w:val="005C1398"/>
    <w:rsid w:val="005C16F3"/>
    <w:rsid w:val="005C2777"/>
    <w:rsid w:val="005C3758"/>
    <w:rsid w:val="005C4D72"/>
    <w:rsid w:val="005C50C1"/>
    <w:rsid w:val="005C62C2"/>
    <w:rsid w:val="005D0ABC"/>
    <w:rsid w:val="005D2306"/>
    <w:rsid w:val="005D2562"/>
    <w:rsid w:val="005D2666"/>
    <w:rsid w:val="005D4548"/>
    <w:rsid w:val="005D4A74"/>
    <w:rsid w:val="005D519F"/>
    <w:rsid w:val="005D5E91"/>
    <w:rsid w:val="005D67EF"/>
    <w:rsid w:val="005E1416"/>
    <w:rsid w:val="005E224F"/>
    <w:rsid w:val="005E3064"/>
    <w:rsid w:val="005E54DC"/>
    <w:rsid w:val="005E65DC"/>
    <w:rsid w:val="005E6AEE"/>
    <w:rsid w:val="005E72B2"/>
    <w:rsid w:val="005E79A0"/>
    <w:rsid w:val="005F097E"/>
    <w:rsid w:val="005F1115"/>
    <w:rsid w:val="005F1AB6"/>
    <w:rsid w:val="005F27F2"/>
    <w:rsid w:val="005F2B27"/>
    <w:rsid w:val="005F3567"/>
    <w:rsid w:val="005F3AFE"/>
    <w:rsid w:val="005F424D"/>
    <w:rsid w:val="005F4F57"/>
    <w:rsid w:val="005F5342"/>
    <w:rsid w:val="005F55F5"/>
    <w:rsid w:val="005F5EC1"/>
    <w:rsid w:val="005F67A9"/>
    <w:rsid w:val="005F6B6D"/>
    <w:rsid w:val="005F73CA"/>
    <w:rsid w:val="006002FE"/>
    <w:rsid w:val="006008F8"/>
    <w:rsid w:val="006030D3"/>
    <w:rsid w:val="006036C2"/>
    <w:rsid w:val="00605AAB"/>
    <w:rsid w:val="00606BEB"/>
    <w:rsid w:val="00607AC8"/>
    <w:rsid w:val="0061010C"/>
    <w:rsid w:val="0061014A"/>
    <w:rsid w:val="0061054B"/>
    <w:rsid w:val="006110FB"/>
    <w:rsid w:val="006114BB"/>
    <w:rsid w:val="00612FB0"/>
    <w:rsid w:val="0061356D"/>
    <w:rsid w:val="00613E26"/>
    <w:rsid w:val="00615641"/>
    <w:rsid w:val="00615A66"/>
    <w:rsid w:val="00616959"/>
    <w:rsid w:val="0062036E"/>
    <w:rsid w:val="006211D0"/>
    <w:rsid w:val="00621595"/>
    <w:rsid w:val="0062359D"/>
    <w:rsid w:val="006235F5"/>
    <w:rsid w:val="00623634"/>
    <w:rsid w:val="00624740"/>
    <w:rsid w:val="00624D0C"/>
    <w:rsid w:val="00626902"/>
    <w:rsid w:val="00626A0F"/>
    <w:rsid w:val="006274B4"/>
    <w:rsid w:val="006307BA"/>
    <w:rsid w:val="006315BA"/>
    <w:rsid w:val="006315CB"/>
    <w:rsid w:val="00634C4A"/>
    <w:rsid w:val="0063532E"/>
    <w:rsid w:val="0063579F"/>
    <w:rsid w:val="006364ED"/>
    <w:rsid w:val="00637063"/>
    <w:rsid w:val="0063737C"/>
    <w:rsid w:val="00637BDC"/>
    <w:rsid w:val="00640363"/>
    <w:rsid w:val="00640622"/>
    <w:rsid w:val="006418C9"/>
    <w:rsid w:val="00641DEE"/>
    <w:rsid w:val="00642BD6"/>
    <w:rsid w:val="00643C8F"/>
    <w:rsid w:val="00645046"/>
    <w:rsid w:val="0064527A"/>
    <w:rsid w:val="006458FD"/>
    <w:rsid w:val="00645DE8"/>
    <w:rsid w:val="00645EA2"/>
    <w:rsid w:val="00651E6D"/>
    <w:rsid w:val="0065237D"/>
    <w:rsid w:val="00652943"/>
    <w:rsid w:val="00653AB2"/>
    <w:rsid w:val="00653D2D"/>
    <w:rsid w:val="0065435E"/>
    <w:rsid w:val="00654551"/>
    <w:rsid w:val="00654F91"/>
    <w:rsid w:val="006555E7"/>
    <w:rsid w:val="00655CCC"/>
    <w:rsid w:val="006560B6"/>
    <w:rsid w:val="0065689C"/>
    <w:rsid w:val="0065726D"/>
    <w:rsid w:val="006573F2"/>
    <w:rsid w:val="00661BA2"/>
    <w:rsid w:val="006628CB"/>
    <w:rsid w:val="00662AD0"/>
    <w:rsid w:val="00662F08"/>
    <w:rsid w:val="00663589"/>
    <w:rsid w:val="00664296"/>
    <w:rsid w:val="00664427"/>
    <w:rsid w:val="00664840"/>
    <w:rsid w:val="006649CD"/>
    <w:rsid w:val="00665D75"/>
    <w:rsid w:val="006708E3"/>
    <w:rsid w:val="00670DDC"/>
    <w:rsid w:val="00671389"/>
    <w:rsid w:val="00671EB4"/>
    <w:rsid w:val="00673CDC"/>
    <w:rsid w:val="0067443B"/>
    <w:rsid w:val="006770AA"/>
    <w:rsid w:val="00680450"/>
    <w:rsid w:val="0068098E"/>
    <w:rsid w:val="006810BD"/>
    <w:rsid w:val="00682486"/>
    <w:rsid w:val="006833A7"/>
    <w:rsid w:val="00684CE6"/>
    <w:rsid w:val="00684E2B"/>
    <w:rsid w:val="006857A0"/>
    <w:rsid w:val="00686979"/>
    <w:rsid w:val="006870CE"/>
    <w:rsid w:val="00687C7E"/>
    <w:rsid w:val="00687D3D"/>
    <w:rsid w:val="00690569"/>
    <w:rsid w:val="00690FDA"/>
    <w:rsid w:val="00691E61"/>
    <w:rsid w:val="00692180"/>
    <w:rsid w:val="006937C6"/>
    <w:rsid w:val="00693C1B"/>
    <w:rsid w:val="00693C5E"/>
    <w:rsid w:val="00693CEE"/>
    <w:rsid w:val="00694EEA"/>
    <w:rsid w:val="006955B4"/>
    <w:rsid w:val="00695DEF"/>
    <w:rsid w:val="00696476"/>
    <w:rsid w:val="006965DA"/>
    <w:rsid w:val="0069687C"/>
    <w:rsid w:val="00696C74"/>
    <w:rsid w:val="00697C9B"/>
    <w:rsid w:val="006A10FA"/>
    <w:rsid w:val="006A12E0"/>
    <w:rsid w:val="006A3D6C"/>
    <w:rsid w:val="006A40E6"/>
    <w:rsid w:val="006A516B"/>
    <w:rsid w:val="006A5362"/>
    <w:rsid w:val="006A543A"/>
    <w:rsid w:val="006A5C07"/>
    <w:rsid w:val="006A714F"/>
    <w:rsid w:val="006A75FA"/>
    <w:rsid w:val="006B07D5"/>
    <w:rsid w:val="006B1309"/>
    <w:rsid w:val="006B31E6"/>
    <w:rsid w:val="006B3923"/>
    <w:rsid w:val="006B3F3E"/>
    <w:rsid w:val="006B4AA2"/>
    <w:rsid w:val="006B4C4D"/>
    <w:rsid w:val="006B53C4"/>
    <w:rsid w:val="006B586B"/>
    <w:rsid w:val="006B5923"/>
    <w:rsid w:val="006B67D9"/>
    <w:rsid w:val="006B6C14"/>
    <w:rsid w:val="006B7159"/>
    <w:rsid w:val="006B715E"/>
    <w:rsid w:val="006B7BE0"/>
    <w:rsid w:val="006C1D6E"/>
    <w:rsid w:val="006C2EF6"/>
    <w:rsid w:val="006C3A68"/>
    <w:rsid w:val="006C3B08"/>
    <w:rsid w:val="006C3C98"/>
    <w:rsid w:val="006C6AB1"/>
    <w:rsid w:val="006C6E6B"/>
    <w:rsid w:val="006C714C"/>
    <w:rsid w:val="006C73D4"/>
    <w:rsid w:val="006D145F"/>
    <w:rsid w:val="006D2000"/>
    <w:rsid w:val="006D2D39"/>
    <w:rsid w:val="006D2F31"/>
    <w:rsid w:val="006D4250"/>
    <w:rsid w:val="006D4E0E"/>
    <w:rsid w:val="006D5861"/>
    <w:rsid w:val="006D5CE2"/>
    <w:rsid w:val="006D7854"/>
    <w:rsid w:val="006E06D1"/>
    <w:rsid w:val="006E122E"/>
    <w:rsid w:val="006E1313"/>
    <w:rsid w:val="006E154E"/>
    <w:rsid w:val="006E2DC8"/>
    <w:rsid w:val="006E58CB"/>
    <w:rsid w:val="006E6B68"/>
    <w:rsid w:val="006E7356"/>
    <w:rsid w:val="006E77C8"/>
    <w:rsid w:val="006E7AFC"/>
    <w:rsid w:val="006F0F9C"/>
    <w:rsid w:val="006F149D"/>
    <w:rsid w:val="006F1A46"/>
    <w:rsid w:val="006F45A0"/>
    <w:rsid w:val="006F4F06"/>
    <w:rsid w:val="006F5A4E"/>
    <w:rsid w:val="006F5D37"/>
    <w:rsid w:val="006F6005"/>
    <w:rsid w:val="007005EA"/>
    <w:rsid w:val="0070220D"/>
    <w:rsid w:val="00703B6C"/>
    <w:rsid w:val="00703BB0"/>
    <w:rsid w:val="00704519"/>
    <w:rsid w:val="00704C40"/>
    <w:rsid w:val="00704C88"/>
    <w:rsid w:val="00704EA1"/>
    <w:rsid w:val="00705BE5"/>
    <w:rsid w:val="00705C40"/>
    <w:rsid w:val="00706482"/>
    <w:rsid w:val="00706754"/>
    <w:rsid w:val="00706BEF"/>
    <w:rsid w:val="00707028"/>
    <w:rsid w:val="00707ECE"/>
    <w:rsid w:val="00710CE8"/>
    <w:rsid w:val="00711350"/>
    <w:rsid w:val="00711538"/>
    <w:rsid w:val="007116BC"/>
    <w:rsid w:val="00711961"/>
    <w:rsid w:val="00711CA6"/>
    <w:rsid w:val="007165CE"/>
    <w:rsid w:val="00717CEB"/>
    <w:rsid w:val="0072035D"/>
    <w:rsid w:val="00720968"/>
    <w:rsid w:val="00721705"/>
    <w:rsid w:val="00721B7A"/>
    <w:rsid w:val="00721D12"/>
    <w:rsid w:val="00721F8B"/>
    <w:rsid w:val="007236E0"/>
    <w:rsid w:val="007237CE"/>
    <w:rsid w:val="00724619"/>
    <w:rsid w:val="00724688"/>
    <w:rsid w:val="00725BC5"/>
    <w:rsid w:val="007260A9"/>
    <w:rsid w:val="00726C1D"/>
    <w:rsid w:val="00726F84"/>
    <w:rsid w:val="007272F1"/>
    <w:rsid w:val="00727565"/>
    <w:rsid w:val="007301B1"/>
    <w:rsid w:val="0073062D"/>
    <w:rsid w:val="0073093B"/>
    <w:rsid w:val="0073254D"/>
    <w:rsid w:val="007340F3"/>
    <w:rsid w:val="007347BB"/>
    <w:rsid w:val="00735704"/>
    <w:rsid w:val="00736A49"/>
    <w:rsid w:val="007419A1"/>
    <w:rsid w:val="00743B71"/>
    <w:rsid w:val="00743C2D"/>
    <w:rsid w:val="00743C3A"/>
    <w:rsid w:val="00743E36"/>
    <w:rsid w:val="00743F05"/>
    <w:rsid w:val="007441C1"/>
    <w:rsid w:val="007446F7"/>
    <w:rsid w:val="00744C68"/>
    <w:rsid w:val="00744EBB"/>
    <w:rsid w:val="00745B0A"/>
    <w:rsid w:val="00745DBE"/>
    <w:rsid w:val="007468AC"/>
    <w:rsid w:val="00746AE2"/>
    <w:rsid w:val="00750C82"/>
    <w:rsid w:val="00750E3A"/>
    <w:rsid w:val="00752035"/>
    <w:rsid w:val="0076100C"/>
    <w:rsid w:val="00761127"/>
    <w:rsid w:val="007612A5"/>
    <w:rsid w:val="00763CAE"/>
    <w:rsid w:val="00763F95"/>
    <w:rsid w:val="007651ED"/>
    <w:rsid w:val="00766C87"/>
    <w:rsid w:val="00771043"/>
    <w:rsid w:val="0077272B"/>
    <w:rsid w:val="00773AF7"/>
    <w:rsid w:val="00773C45"/>
    <w:rsid w:val="00774FFD"/>
    <w:rsid w:val="00780378"/>
    <w:rsid w:val="0078085E"/>
    <w:rsid w:val="00781BD4"/>
    <w:rsid w:val="00782562"/>
    <w:rsid w:val="007828B4"/>
    <w:rsid w:val="00782CC1"/>
    <w:rsid w:val="00784832"/>
    <w:rsid w:val="00784EA0"/>
    <w:rsid w:val="00785C75"/>
    <w:rsid w:val="00785D77"/>
    <w:rsid w:val="00786111"/>
    <w:rsid w:val="00790963"/>
    <w:rsid w:val="0079150B"/>
    <w:rsid w:val="0079154B"/>
    <w:rsid w:val="00791EED"/>
    <w:rsid w:val="00791F1E"/>
    <w:rsid w:val="00792790"/>
    <w:rsid w:val="007927BE"/>
    <w:rsid w:val="007935B8"/>
    <w:rsid w:val="00794ADE"/>
    <w:rsid w:val="00794F3D"/>
    <w:rsid w:val="00795CE9"/>
    <w:rsid w:val="00796045"/>
    <w:rsid w:val="007968AC"/>
    <w:rsid w:val="007969AB"/>
    <w:rsid w:val="007973D8"/>
    <w:rsid w:val="00797801"/>
    <w:rsid w:val="007A0861"/>
    <w:rsid w:val="007A0B39"/>
    <w:rsid w:val="007A14A4"/>
    <w:rsid w:val="007A168F"/>
    <w:rsid w:val="007A2346"/>
    <w:rsid w:val="007A28E4"/>
    <w:rsid w:val="007A3BB3"/>
    <w:rsid w:val="007A3F91"/>
    <w:rsid w:val="007A3F9C"/>
    <w:rsid w:val="007A5AD1"/>
    <w:rsid w:val="007A5B7B"/>
    <w:rsid w:val="007A65A9"/>
    <w:rsid w:val="007A7FD8"/>
    <w:rsid w:val="007B0128"/>
    <w:rsid w:val="007B0635"/>
    <w:rsid w:val="007B0A06"/>
    <w:rsid w:val="007B0B24"/>
    <w:rsid w:val="007B0F8B"/>
    <w:rsid w:val="007B1C83"/>
    <w:rsid w:val="007B4181"/>
    <w:rsid w:val="007B5746"/>
    <w:rsid w:val="007B58AB"/>
    <w:rsid w:val="007B5C5C"/>
    <w:rsid w:val="007B6CE0"/>
    <w:rsid w:val="007B7B37"/>
    <w:rsid w:val="007B7C41"/>
    <w:rsid w:val="007C05C5"/>
    <w:rsid w:val="007C0715"/>
    <w:rsid w:val="007C0B04"/>
    <w:rsid w:val="007C11E9"/>
    <w:rsid w:val="007C238B"/>
    <w:rsid w:val="007C2802"/>
    <w:rsid w:val="007C3E5A"/>
    <w:rsid w:val="007C4115"/>
    <w:rsid w:val="007C433E"/>
    <w:rsid w:val="007C4452"/>
    <w:rsid w:val="007C4B3C"/>
    <w:rsid w:val="007C4DB1"/>
    <w:rsid w:val="007C6046"/>
    <w:rsid w:val="007C605A"/>
    <w:rsid w:val="007C6F0C"/>
    <w:rsid w:val="007D0292"/>
    <w:rsid w:val="007D136C"/>
    <w:rsid w:val="007D1FCE"/>
    <w:rsid w:val="007D21AC"/>
    <w:rsid w:val="007D24B0"/>
    <w:rsid w:val="007D3882"/>
    <w:rsid w:val="007D39E4"/>
    <w:rsid w:val="007D3FE7"/>
    <w:rsid w:val="007D4CFC"/>
    <w:rsid w:val="007D568A"/>
    <w:rsid w:val="007D574E"/>
    <w:rsid w:val="007D57C0"/>
    <w:rsid w:val="007D67CB"/>
    <w:rsid w:val="007D6BFE"/>
    <w:rsid w:val="007E176C"/>
    <w:rsid w:val="007E2046"/>
    <w:rsid w:val="007E3883"/>
    <w:rsid w:val="007E4876"/>
    <w:rsid w:val="007E48CD"/>
    <w:rsid w:val="007E4ACB"/>
    <w:rsid w:val="007E4FBB"/>
    <w:rsid w:val="007E55BF"/>
    <w:rsid w:val="007E59E3"/>
    <w:rsid w:val="007E5E39"/>
    <w:rsid w:val="007E71B1"/>
    <w:rsid w:val="007E7B4E"/>
    <w:rsid w:val="007E7F02"/>
    <w:rsid w:val="007F0292"/>
    <w:rsid w:val="007F0722"/>
    <w:rsid w:val="007F0AB7"/>
    <w:rsid w:val="007F0CE2"/>
    <w:rsid w:val="007F0EFF"/>
    <w:rsid w:val="007F1375"/>
    <w:rsid w:val="007F1AFD"/>
    <w:rsid w:val="007F30E4"/>
    <w:rsid w:val="007F3271"/>
    <w:rsid w:val="0080064F"/>
    <w:rsid w:val="00801B85"/>
    <w:rsid w:val="00803850"/>
    <w:rsid w:val="008039E8"/>
    <w:rsid w:val="00804385"/>
    <w:rsid w:val="00804E0E"/>
    <w:rsid w:val="008051EB"/>
    <w:rsid w:val="0080588E"/>
    <w:rsid w:val="00805AFD"/>
    <w:rsid w:val="00806397"/>
    <w:rsid w:val="008078D8"/>
    <w:rsid w:val="0080798E"/>
    <w:rsid w:val="00811BD9"/>
    <w:rsid w:val="00811D5B"/>
    <w:rsid w:val="008137BD"/>
    <w:rsid w:val="00813C51"/>
    <w:rsid w:val="00816CCB"/>
    <w:rsid w:val="00817572"/>
    <w:rsid w:val="00817713"/>
    <w:rsid w:val="008208C3"/>
    <w:rsid w:val="008220F1"/>
    <w:rsid w:val="0082340B"/>
    <w:rsid w:val="00823D6A"/>
    <w:rsid w:val="00827B29"/>
    <w:rsid w:val="00827DB6"/>
    <w:rsid w:val="008304B2"/>
    <w:rsid w:val="00830999"/>
    <w:rsid w:val="00830D5E"/>
    <w:rsid w:val="00830F69"/>
    <w:rsid w:val="00831940"/>
    <w:rsid w:val="008324D9"/>
    <w:rsid w:val="00833418"/>
    <w:rsid w:val="0083387F"/>
    <w:rsid w:val="00834458"/>
    <w:rsid w:val="00834AEA"/>
    <w:rsid w:val="00835841"/>
    <w:rsid w:val="00835BF8"/>
    <w:rsid w:val="00835FB7"/>
    <w:rsid w:val="00837465"/>
    <w:rsid w:val="0084002E"/>
    <w:rsid w:val="00840159"/>
    <w:rsid w:val="00840621"/>
    <w:rsid w:val="00840DCC"/>
    <w:rsid w:val="00841243"/>
    <w:rsid w:val="00841457"/>
    <w:rsid w:val="0084297D"/>
    <w:rsid w:val="00842BAA"/>
    <w:rsid w:val="00842D8F"/>
    <w:rsid w:val="0084374E"/>
    <w:rsid w:val="00844842"/>
    <w:rsid w:val="0084493E"/>
    <w:rsid w:val="00844A53"/>
    <w:rsid w:val="00844B99"/>
    <w:rsid w:val="00844DD0"/>
    <w:rsid w:val="008455C8"/>
    <w:rsid w:val="00846407"/>
    <w:rsid w:val="008475AC"/>
    <w:rsid w:val="00847739"/>
    <w:rsid w:val="0085006A"/>
    <w:rsid w:val="00850127"/>
    <w:rsid w:val="0085089F"/>
    <w:rsid w:val="0085206E"/>
    <w:rsid w:val="00852273"/>
    <w:rsid w:val="0085293D"/>
    <w:rsid w:val="00852AD4"/>
    <w:rsid w:val="00852BA8"/>
    <w:rsid w:val="00852BF0"/>
    <w:rsid w:val="008530E3"/>
    <w:rsid w:val="00853718"/>
    <w:rsid w:val="008541EF"/>
    <w:rsid w:val="00856428"/>
    <w:rsid w:val="00856AC7"/>
    <w:rsid w:val="00856FA4"/>
    <w:rsid w:val="00857B4F"/>
    <w:rsid w:val="00860869"/>
    <w:rsid w:val="00860E60"/>
    <w:rsid w:val="0086102A"/>
    <w:rsid w:val="0086162B"/>
    <w:rsid w:val="00861710"/>
    <w:rsid w:val="00861D5C"/>
    <w:rsid w:val="00861E7C"/>
    <w:rsid w:val="008626C2"/>
    <w:rsid w:val="0086429C"/>
    <w:rsid w:val="00865207"/>
    <w:rsid w:val="008656A7"/>
    <w:rsid w:val="00865FA3"/>
    <w:rsid w:val="00866231"/>
    <w:rsid w:val="00871262"/>
    <w:rsid w:val="0087170E"/>
    <w:rsid w:val="00871D4E"/>
    <w:rsid w:val="00871E7B"/>
    <w:rsid w:val="008721BB"/>
    <w:rsid w:val="008734E7"/>
    <w:rsid w:val="0087566D"/>
    <w:rsid w:val="00875B50"/>
    <w:rsid w:val="00875B51"/>
    <w:rsid w:val="00875F2D"/>
    <w:rsid w:val="008762E7"/>
    <w:rsid w:val="008764DC"/>
    <w:rsid w:val="00880476"/>
    <w:rsid w:val="00881C17"/>
    <w:rsid w:val="00882CC2"/>
    <w:rsid w:val="00883103"/>
    <w:rsid w:val="0088325A"/>
    <w:rsid w:val="00883930"/>
    <w:rsid w:val="00884535"/>
    <w:rsid w:val="008863C0"/>
    <w:rsid w:val="008902BE"/>
    <w:rsid w:val="0089038F"/>
    <w:rsid w:val="00890CDA"/>
    <w:rsid w:val="00891BBA"/>
    <w:rsid w:val="00892079"/>
    <w:rsid w:val="00892B90"/>
    <w:rsid w:val="00896535"/>
    <w:rsid w:val="00896683"/>
    <w:rsid w:val="00896E71"/>
    <w:rsid w:val="0089750B"/>
    <w:rsid w:val="00897589"/>
    <w:rsid w:val="008A0C99"/>
    <w:rsid w:val="008A0D4F"/>
    <w:rsid w:val="008A1CC3"/>
    <w:rsid w:val="008A39D7"/>
    <w:rsid w:val="008A55DE"/>
    <w:rsid w:val="008A5705"/>
    <w:rsid w:val="008A5C34"/>
    <w:rsid w:val="008A63A9"/>
    <w:rsid w:val="008A7073"/>
    <w:rsid w:val="008A79F0"/>
    <w:rsid w:val="008A7F7E"/>
    <w:rsid w:val="008B04DB"/>
    <w:rsid w:val="008B09B4"/>
    <w:rsid w:val="008B1B11"/>
    <w:rsid w:val="008B1DF4"/>
    <w:rsid w:val="008B27FD"/>
    <w:rsid w:val="008B2FDB"/>
    <w:rsid w:val="008B3AF2"/>
    <w:rsid w:val="008B446D"/>
    <w:rsid w:val="008B515D"/>
    <w:rsid w:val="008B5D31"/>
    <w:rsid w:val="008B6705"/>
    <w:rsid w:val="008C157D"/>
    <w:rsid w:val="008C22F3"/>
    <w:rsid w:val="008C3223"/>
    <w:rsid w:val="008C3FD0"/>
    <w:rsid w:val="008C4F01"/>
    <w:rsid w:val="008C5152"/>
    <w:rsid w:val="008C710E"/>
    <w:rsid w:val="008D1484"/>
    <w:rsid w:val="008D29E7"/>
    <w:rsid w:val="008D5104"/>
    <w:rsid w:val="008D75F4"/>
    <w:rsid w:val="008D795D"/>
    <w:rsid w:val="008D7B07"/>
    <w:rsid w:val="008E0D8F"/>
    <w:rsid w:val="008E0F4E"/>
    <w:rsid w:val="008E1E94"/>
    <w:rsid w:val="008E2D99"/>
    <w:rsid w:val="008E30D4"/>
    <w:rsid w:val="008E32E5"/>
    <w:rsid w:val="008E374A"/>
    <w:rsid w:val="008E38B0"/>
    <w:rsid w:val="008E3C90"/>
    <w:rsid w:val="008E4A60"/>
    <w:rsid w:val="008E744D"/>
    <w:rsid w:val="008F1E08"/>
    <w:rsid w:val="008F2E41"/>
    <w:rsid w:val="008F30F4"/>
    <w:rsid w:val="008F58E1"/>
    <w:rsid w:val="008F5C72"/>
    <w:rsid w:val="008F6E05"/>
    <w:rsid w:val="008F6FC8"/>
    <w:rsid w:val="009001FA"/>
    <w:rsid w:val="0090045D"/>
    <w:rsid w:val="00900906"/>
    <w:rsid w:val="00900D8F"/>
    <w:rsid w:val="00901229"/>
    <w:rsid w:val="009014E3"/>
    <w:rsid w:val="009020ED"/>
    <w:rsid w:val="009026E8"/>
    <w:rsid w:val="00902FDD"/>
    <w:rsid w:val="0090583D"/>
    <w:rsid w:val="00905EEF"/>
    <w:rsid w:val="00906EB7"/>
    <w:rsid w:val="0090720E"/>
    <w:rsid w:val="00907FE6"/>
    <w:rsid w:val="009102BF"/>
    <w:rsid w:val="00911490"/>
    <w:rsid w:val="009115F2"/>
    <w:rsid w:val="00911B11"/>
    <w:rsid w:val="00914ADB"/>
    <w:rsid w:val="00915196"/>
    <w:rsid w:val="009164A4"/>
    <w:rsid w:val="00917182"/>
    <w:rsid w:val="00920251"/>
    <w:rsid w:val="00920259"/>
    <w:rsid w:val="00921CFD"/>
    <w:rsid w:val="009228D1"/>
    <w:rsid w:val="00923B25"/>
    <w:rsid w:val="0092402E"/>
    <w:rsid w:val="009259BA"/>
    <w:rsid w:val="00926C0A"/>
    <w:rsid w:val="00926FCB"/>
    <w:rsid w:val="009303BB"/>
    <w:rsid w:val="0093108A"/>
    <w:rsid w:val="009314E0"/>
    <w:rsid w:val="009319EF"/>
    <w:rsid w:val="00931B6D"/>
    <w:rsid w:val="0093311A"/>
    <w:rsid w:val="009346D0"/>
    <w:rsid w:val="009369A6"/>
    <w:rsid w:val="00936E38"/>
    <w:rsid w:val="00937F57"/>
    <w:rsid w:val="0094031E"/>
    <w:rsid w:val="009419B4"/>
    <w:rsid w:val="00941A4C"/>
    <w:rsid w:val="00942645"/>
    <w:rsid w:val="009461E6"/>
    <w:rsid w:val="00950A3A"/>
    <w:rsid w:val="0095270D"/>
    <w:rsid w:val="00952C0C"/>
    <w:rsid w:val="00952CC5"/>
    <w:rsid w:val="0095340A"/>
    <w:rsid w:val="00953AF6"/>
    <w:rsid w:val="0095423E"/>
    <w:rsid w:val="00954581"/>
    <w:rsid w:val="0095466C"/>
    <w:rsid w:val="00954E5B"/>
    <w:rsid w:val="00955100"/>
    <w:rsid w:val="00955316"/>
    <w:rsid w:val="00955E0F"/>
    <w:rsid w:val="00955E45"/>
    <w:rsid w:val="009569B1"/>
    <w:rsid w:val="00956DCD"/>
    <w:rsid w:val="009576BC"/>
    <w:rsid w:val="00957899"/>
    <w:rsid w:val="00957927"/>
    <w:rsid w:val="00960357"/>
    <w:rsid w:val="0096091B"/>
    <w:rsid w:val="00960ED5"/>
    <w:rsid w:val="0096168C"/>
    <w:rsid w:val="00961840"/>
    <w:rsid w:val="009625E3"/>
    <w:rsid w:val="00962F2D"/>
    <w:rsid w:val="00963A7A"/>
    <w:rsid w:val="00965427"/>
    <w:rsid w:val="009672CD"/>
    <w:rsid w:val="00971810"/>
    <w:rsid w:val="00972996"/>
    <w:rsid w:val="009730B4"/>
    <w:rsid w:val="0097320E"/>
    <w:rsid w:val="009732B8"/>
    <w:rsid w:val="0097438A"/>
    <w:rsid w:val="00974647"/>
    <w:rsid w:val="0097514A"/>
    <w:rsid w:val="00975746"/>
    <w:rsid w:val="009759C2"/>
    <w:rsid w:val="00975C72"/>
    <w:rsid w:val="00976869"/>
    <w:rsid w:val="00977740"/>
    <w:rsid w:val="00977CB4"/>
    <w:rsid w:val="009809B8"/>
    <w:rsid w:val="00981086"/>
    <w:rsid w:val="009818AF"/>
    <w:rsid w:val="00981B1C"/>
    <w:rsid w:val="0098222D"/>
    <w:rsid w:val="009842F3"/>
    <w:rsid w:val="00984EBF"/>
    <w:rsid w:val="00985099"/>
    <w:rsid w:val="00985D32"/>
    <w:rsid w:val="00986514"/>
    <w:rsid w:val="00986FCC"/>
    <w:rsid w:val="0098733B"/>
    <w:rsid w:val="00990FD6"/>
    <w:rsid w:val="009935C3"/>
    <w:rsid w:val="0099421F"/>
    <w:rsid w:val="00994D33"/>
    <w:rsid w:val="00994FC8"/>
    <w:rsid w:val="00997F64"/>
    <w:rsid w:val="009A0346"/>
    <w:rsid w:val="009A0DE3"/>
    <w:rsid w:val="009A1643"/>
    <w:rsid w:val="009A215A"/>
    <w:rsid w:val="009A26B9"/>
    <w:rsid w:val="009A49D3"/>
    <w:rsid w:val="009A4F1B"/>
    <w:rsid w:val="009A55E4"/>
    <w:rsid w:val="009A66C5"/>
    <w:rsid w:val="009A66E7"/>
    <w:rsid w:val="009A7578"/>
    <w:rsid w:val="009A79BA"/>
    <w:rsid w:val="009B10F9"/>
    <w:rsid w:val="009B14D1"/>
    <w:rsid w:val="009B1534"/>
    <w:rsid w:val="009B4963"/>
    <w:rsid w:val="009B4A3B"/>
    <w:rsid w:val="009B557B"/>
    <w:rsid w:val="009B6023"/>
    <w:rsid w:val="009B69D3"/>
    <w:rsid w:val="009B721E"/>
    <w:rsid w:val="009B7BA7"/>
    <w:rsid w:val="009B7C01"/>
    <w:rsid w:val="009C0938"/>
    <w:rsid w:val="009C0C22"/>
    <w:rsid w:val="009C12A1"/>
    <w:rsid w:val="009C15D9"/>
    <w:rsid w:val="009C1A1D"/>
    <w:rsid w:val="009C22C8"/>
    <w:rsid w:val="009C3F82"/>
    <w:rsid w:val="009C582A"/>
    <w:rsid w:val="009C5C56"/>
    <w:rsid w:val="009C72DD"/>
    <w:rsid w:val="009C78FD"/>
    <w:rsid w:val="009C7DF5"/>
    <w:rsid w:val="009D056C"/>
    <w:rsid w:val="009D060F"/>
    <w:rsid w:val="009D0A91"/>
    <w:rsid w:val="009D1ADE"/>
    <w:rsid w:val="009D297C"/>
    <w:rsid w:val="009D3652"/>
    <w:rsid w:val="009D37CA"/>
    <w:rsid w:val="009D4229"/>
    <w:rsid w:val="009D4268"/>
    <w:rsid w:val="009D5DE9"/>
    <w:rsid w:val="009D6ADF"/>
    <w:rsid w:val="009E09D0"/>
    <w:rsid w:val="009E1181"/>
    <w:rsid w:val="009E1283"/>
    <w:rsid w:val="009E3A7F"/>
    <w:rsid w:val="009E4C9B"/>
    <w:rsid w:val="009E4DFC"/>
    <w:rsid w:val="009E5789"/>
    <w:rsid w:val="009E57B1"/>
    <w:rsid w:val="009E6379"/>
    <w:rsid w:val="009F020F"/>
    <w:rsid w:val="009F3B63"/>
    <w:rsid w:val="009F43E2"/>
    <w:rsid w:val="009F491F"/>
    <w:rsid w:val="009F6292"/>
    <w:rsid w:val="009F6EC5"/>
    <w:rsid w:val="009F7809"/>
    <w:rsid w:val="009F7822"/>
    <w:rsid w:val="009F7AF5"/>
    <w:rsid w:val="00A00613"/>
    <w:rsid w:val="00A006F1"/>
    <w:rsid w:val="00A007A7"/>
    <w:rsid w:val="00A00D14"/>
    <w:rsid w:val="00A01408"/>
    <w:rsid w:val="00A02457"/>
    <w:rsid w:val="00A02AA8"/>
    <w:rsid w:val="00A03190"/>
    <w:rsid w:val="00A03A9E"/>
    <w:rsid w:val="00A0404B"/>
    <w:rsid w:val="00A06F66"/>
    <w:rsid w:val="00A0798C"/>
    <w:rsid w:val="00A07BDD"/>
    <w:rsid w:val="00A07F12"/>
    <w:rsid w:val="00A1105B"/>
    <w:rsid w:val="00A1213C"/>
    <w:rsid w:val="00A130E8"/>
    <w:rsid w:val="00A15B6B"/>
    <w:rsid w:val="00A15EB4"/>
    <w:rsid w:val="00A16172"/>
    <w:rsid w:val="00A16876"/>
    <w:rsid w:val="00A17AC7"/>
    <w:rsid w:val="00A200AA"/>
    <w:rsid w:val="00A20558"/>
    <w:rsid w:val="00A211DD"/>
    <w:rsid w:val="00A2186F"/>
    <w:rsid w:val="00A2270B"/>
    <w:rsid w:val="00A23B89"/>
    <w:rsid w:val="00A23C4F"/>
    <w:rsid w:val="00A23FE3"/>
    <w:rsid w:val="00A248C3"/>
    <w:rsid w:val="00A2496E"/>
    <w:rsid w:val="00A2515A"/>
    <w:rsid w:val="00A253E8"/>
    <w:rsid w:val="00A258B7"/>
    <w:rsid w:val="00A25A0C"/>
    <w:rsid w:val="00A25A83"/>
    <w:rsid w:val="00A262B6"/>
    <w:rsid w:val="00A305AD"/>
    <w:rsid w:val="00A30AFC"/>
    <w:rsid w:val="00A31FE2"/>
    <w:rsid w:val="00A32743"/>
    <w:rsid w:val="00A345B2"/>
    <w:rsid w:val="00A358BA"/>
    <w:rsid w:val="00A36444"/>
    <w:rsid w:val="00A36CD4"/>
    <w:rsid w:val="00A40356"/>
    <w:rsid w:val="00A40FFB"/>
    <w:rsid w:val="00A41468"/>
    <w:rsid w:val="00A414A9"/>
    <w:rsid w:val="00A44141"/>
    <w:rsid w:val="00A44CCA"/>
    <w:rsid w:val="00A44D75"/>
    <w:rsid w:val="00A47CF1"/>
    <w:rsid w:val="00A50418"/>
    <w:rsid w:val="00A50B17"/>
    <w:rsid w:val="00A53A9B"/>
    <w:rsid w:val="00A54A47"/>
    <w:rsid w:val="00A56D26"/>
    <w:rsid w:val="00A571A7"/>
    <w:rsid w:val="00A5749A"/>
    <w:rsid w:val="00A575E1"/>
    <w:rsid w:val="00A57BA8"/>
    <w:rsid w:val="00A57C35"/>
    <w:rsid w:val="00A608FB"/>
    <w:rsid w:val="00A60D83"/>
    <w:rsid w:val="00A60F68"/>
    <w:rsid w:val="00A63DF3"/>
    <w:rsid w:val="00A65C78"/>
    <w:rsid w:val="00A65F67"/>
    <w:rsid w:val="00A660A8"/>
    <w:rsid w:val="00A666C3"/>
    <w:rsid w:val="00A66A45"/>
    <w:rsid w:val="00A67591"/>
    <w:rsid w:val="00A67911"/>
    <w:rsid w:val="00A67CA6"/>
    <w:rsid w:val="00A70270"/>
    <w:rsid w:val="00A70E7B"/>
    <w:rsid w:val="00A717EA"/>
    <w:rsid w:val="00A730B0"/>
    <w:rsid w:val="00A7387A"/>
    <w:rsid w:val="00A73B84"/>
    <w:rsid w:val="00A73C8D"/>
    <w:rsid w:val="00A7411D"/>
    <w:rsid w:val="00A756C4"/>
    <w:rsid w:val="00A7592B"/>
    <w:rsid w:val="00A75ED7"/>
    <w:rsid w:val="00A76094"/>
    <w:rsid w:val="00A768E2"/>
    <w:rsid w:val="00A82C52"/>
    <w:rsid w:val="00A838E8"/>
    <w:rsid w:val="00A83C15"/>
    <w:rsid w:val="00A84EC4"/>
    <w:rsid w:val="00A86CB6"/>
    <w:rsid w:val="00A90D55"/>
    <w:rsid w:val="00A91E6C"/>
    <w:rsid w:val="00A9225E"/>
    <w:rsid w:val="00A944D8"/>
    <w:rsid w:val="00A959E7"/>
    <w:rsid w:val="00A95BBA"/>
    <w:rsid w:val="00A961EE"/>
    <w:rsid w:val="00A96559"/>
    <w:rsid w:val="00A969F9"/>
    <w:rsid w:val="00A97B11"/>
    <w:rsid w:val="00A97CD9"/>
    <w:rsid w:val="00AA020A"/>
    <w:rsid w:val="00AA04B3"/>
    <w:rsid w:val="00AA088E"/>
    <w:rsid w:val="00AA1253"/>
    <w:rsid w:val="00AA1ED0"/>
    <w:rsid w:val="00AA1F5B"/>
    <w:rsid w:val="00AA28EF"/>
    <w:rsid w:val="00AA3593"/>
    <w:rsid w:val="00AA38CA"/>
    <w:rsid w:val="00AA493E"/>
    <w:rsid w:val="00AA73AF"/>
    <w:rsid w:val="00AB062D"/>
    <w:rsid w:val="00AB0A8A"/>
    <w:rsid w:val="00AB1754"/>
    <w:rsid w:val="00AB1F8D"/>
    <w:rsid w:val="00AB27DD"/>
    <w:rsid w:val="00AB4BA4"/>
    <w:rsid w:val="00AB592E"/>
    <w:rsid w:val="00AC0C1C"/>
    <w:rsid w:val="00AC1305"/>
    <w:rsid w:val="00AC25DD"/>
    <w:rsid w:val="00AC37BE"/>
    <w:rsid w:val="00AC439D"/>
    <w:rsid w:val="00AC4BA1"/>
    <w:rsid w:val="00AC62CC"/>
    <w:rsid w:val="00AC64D6"/>
    <w:rsid w:val="00AC712C"/>
    <w:rsid w:val="00AC713F"/>
    <w:rsid w:val="00AC7329"/>
    <w:rsid w:val="00AC7D96"/>
    <w:rsid w:val="00AD00E4"/>
    <w:rsid w:val="00AD067E"/>
    <w:rsid w:val="00AD168B"/>
    <w:rsid w:val="00AD1B4E"/>
    <w:rsid w:val="00AD2379"/>
    <w:rsid w:val="00AD2801"/>
    <w:rsid w:val="00AD3496"/>
    <w:rsid w:val="00AD426A"/>
    <w:rsid w:val="00AD49A1"/>
    <w:rsid w:val="00AD5771"/>
    <w:rsid w:val="00AD6870"/>
    <w:rsid w:val="00AD68C5"/>
    <w:rsid w:val="00AD6CA3"/>
    <w:rsid w:val="00AD7F8F"/>
    <w:rsid w:val="00AE0BF9"/>
    <w:rsid w:val="00AE0DAA"/>
    <w:rsid w:val="00AE1273"/>
    <w:rsid w:val="00AE18C5"/>
    <w:rsid w:val="00AE2540"/>
    <w:rsid w:val="00AE2CF4"/>
    <w:rsid w:val="00AE2D29"/>
    <w:rsid w:val="00AE2F15"/>
    <w:rsid w:val="00AE4624"/>
    <w:rsid w:val="00AE4B1D"/>
    <w:rsid w:val="00AE4B3E"/>
    <w:rsid w:val="00AE4B90"/>
    <w:rsid w:val="00AE5E14"/>
    <w:rsid w:val="00AE6115"/>
    <w:rsid w:val="00AE625B"/>
    <w:rsid w:val="00AF01B2"/>
    <w:rsid w:val="00AF1103"/>
    <w:rsid w:val="00AF1668"/>
    <w:rsid w:val="00AF1DBB"/>
    <w:rsid w:val="00AF25B2"/>
    <w:rsid w:val="00AF28DE"/>
    <w:rsid w:val="00AF41EE"/>
    <w:rsid w:val="00AF4A87"/>
    <w:rsid w:val="00AF4FA5"/>
    <w:rsid w:val="00AF5BB4"/>
    <w:rsid w:val="00AF6ECC"/>
    <w:rsid w:val="00B02145"/>
    <w:rsid w:val="00B022DC"/>
    <w:rsid w:val="00B04562"/>
    <w:rsid w:val="00B0472F"/>
    <w:rsid w:val="00B06930"/>
    <w:rsid w:val="00B0773A"/>
    <w:rsid w:val="00B07955"/>
    <w:rsid w:val="00B1176B"/>
    <w:rsid w:val="00B11858"/>
    <w:rsid w:val="00B11EDA"/>
    <w:rsid w:val="00B13A39"/>
    <w:rsid w:val="00B13A51"/>
    <w:rsid w:val="00B140B8"/>
    <w:rsid w:val="00B144AE"/>
    <w:rsid w:val="00B14FAA"/>
    <w:rsid w:val="00B15BED"/>
    <w:rsid w:val="00B15D30"/>
    <w:rsid w:val="00B15F09"/>
    <w:rsid w:val="00B16D18"/>
    <w:rsid w:val="00B177DE"/>
    <w:rsid w:val="00B20624"/>
    <w:rsid w:val="00B21F2F"/>
    <w:rsid w:val="00B22D42"/>
    <w:rsid w:val="00B23436"/>
    <w:rsid w:val="00B237F1"/>
    <w:rsid w:val="00B23F10"/>
    <w:rsid w:val="00B24328"/>
    <w:rsid w:val="00B24ED4"/>
    <w:rsid w:val="00B24F33"/>
    <w:rsid w:val="00B26354"/>
    <w:rsid w:val="00B26CA0"/>
    <w:rsid w:val="00B300BD"/>
    <w:rsid w:val="00B31965"/>
    <w:rsid w:val="00B32179"/>
    <w:rsid w:val="00B32341"/>
    <w:rsid w:val="00B32685"/>
    <w:rsid w:val="00B32C2B"/>
    <w:rsid w:val="00B33007"/>
    <w:rsid w:val="00B331A9"/>
    <w:rsid w:val="00B33498"/>
    <w:rsid w:val="00B33598"/>
    <w:rsid w:val="00B3575C"/>
    <w:rsid w:val="00B36569"/>
    <w:rsid w:val="00B37345"/>
    <w:rsid w:val="00B37F53"/>
    <w:rsid w:val="00B40A05"/>
    <w:rsid w:val="00B40A3E"/>
    <w:rsid w:val="00B427BB"/>
    <w:rsid w:val="00B43BA2"/>
    <w:rsid w:val="00B449EE"/>
    <w:rsid w:val="00B454AE"/>
    <w:rsid w:val="00B501F5"/>
    <w:rsid w:val="00B50227"/>
    <w:rsid w:val="00B50510"/>
    <w:rsid w:val="00B505E9"/>
    <w:rsid w:val="00B522CD"/>
    <w:rsid w:val="00B55143"/>
    <w:rsid w:val="00B553B2"/>
    <w:rsid w:val="00B555C8"/>
    <w:rsid w:val="00B55620"/>
    <w:rsid w:val="00B55917"/>
    <w:rsid w:val="00B55D87"/>
    <w:rsid w:val="00B55FB5"/>
    <w:rsid w:val="00B5646A"/>
    <w:rsid w:val="00B56F3D"/>
    <w:rsid w:val="00B57921"/>
    <w:rsid w:val="00B57E78"/>
    <w:rsid w:val="00B57EB8"/>
    <w:rsid w:val="00B609F6"/>
    <w:rsid w:val="00B60E75"/>
    <w:rsid w:val="00B63EAE"/>
    <w:rsid w:val="00B643A6"/>
    <w:rsid w:val="00B64DD6"/>
    <w:rsid w:val="00B66505"/>
    <w:rsid w:val="00B6710C"/>
    <w:rsid w:val="00B67E84"/>
    <w:rsid w:val="00B72076"/>
    <w:rsid w:val="00B72303"/>
    <w:rsid w:val="00B727A9"/>
    <w:rsid w:val="00B72C72"/>
    <w:rsid w:val="00B72ED9"/>
    <w:rsid w:val="00B731E4"/>
    <w:rsid w:val="00B751CE"/>
    <w:rsid w:val="00B75A8B"/>
    <w:rsid w:val="00B75B61"/>
    <w:rsid w:val="00B76796"/>
    <w:rsid w:val="00B771E0"/>
    <w:rsid w:val="00B77828"/>
    <w:rsid w:val="00B7793B"/>
    <w:rsid w:val="00B77EE7"/>
    <w:rsid w:val="00B80EDD"/>
    <w:rsid w:val="00B812BD"/>
    <w:rsid w:val="00B81964"/>
    <w:rsid w:val="00B82277"/>
    <w:rsid w:val="00B83F87"/>
    <w:rsid w:val="00B843DD"/>
    <w:rsid w:val="00B8478F"/>
    <w:rsid w:val="00B84F93"/>
    <w:rsid w:val="00B91676"/>
    <w:rsid w:val="00B9322B"/>
    <w:rsid w:val="00B93640"/>
    <w:rsid w:val="00B94023"/>
    <w:rsid w:val="00B955D5"/>
    <w:rsid w:val="00B95833"/>
    <w:rsid w:val="00B96304"/>
    <w:rsid w:val="00BA1824"/>
    <w:rsid w:val="00BA2D98"/>
    <w:rsid w:val="00BA2F0C"/>
    <w:rsid w:val="00BA30D1"/>
    <w:rsid w:val="00BA30E1"/>
    <w:rsid w:val="00BA4609"/>
    <w:rsid w:val="00BA5BE2"/>
    <w:rsid w:val="00BA60FC"/>
    <w:rsid w:val="00BA6A9C"/>
    <w:rsid w:val="00BA7F46"/>
    <w:rsid w:val="00BB0388"/>
    <w:rsid w:val="00BB0A0A"/>
    <w:rsid w:val="00BB133C"/>
    <w:rsid w:val="00BB1F04"/>
    <w:rsid w:val="00BB45B5"/>
    <w:rsid w:val="00BB4DDE"/>
    <w:rsid w:val="00BB5F68"/>
    <w:rsid w:val="00BB6064"/>
    <w:rsid w:val="00BB65CE"/>
    <w:rsid w:val="00BB7012"/>
    <w:rsid w:val="00BC09D1"/>
    <w:rsid w:val="00BC10C6"/>
    <w:rsid w:val="00BC1CF3"/>
    <w:rsid w:val="00BC2BE0"/>
    <w:rsid w:val="00BC3573"/>
    <w:rsid w:val="00BC3797"/>
    <w:rsid w:val="00BC5860"/>
    <w:rsid w:val="00BC58A0"/>
    <w:rsid w:val="00BC7F82"/>
    <w:rsid w:val="00BD1844"/>
    <w:rsid w:val="00BD2A49"/>
    <w:rsid w:val="00BD3683"/>
    <w:rsid w:val="00BD40AB"/>
    <w:rsid w:val="00BD40DE"/>
    <w:rsid w:val="00BD6297"/>
    <w:rsid w:val="00BD6806"/>
    <w:rsid w:val="00BD6939"/>
    <w:rsid w:val="00BD70F4"/>
    <w:rsid w:val="00BD7433"/>
    <w:rsid w:val="00BD7831"/>
    <w:rsid w:val="00BD7C10"/>
    <w:rsid w:val="00BE046F"/>
    <w:rsid w:val="00BE0DEB"/>
    <w:rsid w:val="00BE229C"/>
    <w:rsid w:val="00BE2AB8"/>
    <w:rsid w:val="00BE2FC1"/>
    <w:rsid w:val="00BE3142"/>
    <w:rsid w:val="00BE37AA"/>
    <w:rsid w:val="00BE4039"/>
    <w:rsid w:val="00BE6365"/>
    <w:rsid w:val="00BF01B7"/>
    <w:rsid w:val="00BF0B7F"/>
    <w:rsid w:val="00BF0E94"/>
    <w:rsid w:val="00BF2988"/>
    <w:rsid w:val="00BF3FB9"/>
    <w:rsid w:val="00BF4012"/>
    <w:rsid w:val="00BF4225"/>
    <w:rsid w:val="00BF4720"/>
    <w:rsid w:val="00BF4F49"/>
    <w:rsid w:val="00BF6759"/>
    <w:rsid w:val="00BF70A6"/>
    <w:rsid w:val="00BF7B4F"/>
    <w:rsid w:val="00BF7B63"/>
    <w:rsid w:val="00BF7F3C"/>
    <w:rsid w:val="00C005D4"/>
    <w:rsid w:val="00C00671"/>
    <w:rsid w:val="00C0359D"/>
    <w:rsid w:val="00C038EC"/>
    <w:rsid w:val="00C03C21"/>
    <w:rsid w:val="00C05C6D"/>
    <w:rsid w:val="00C072D7"/>
    <w:rsid w:val="00C10302"/>
    <w:rsid w:val="00C104DB"/>
    <w:rsid w:val="00C10A22"/>
    <w:rsid w:val="00C10F5B"/>
    <w:rsid w:val="00C1122B"/>
    <w:rsid w:val="00C127F2"/>
    <w:rsid w:val="00C13B34"/>
    <w:rsid w:val="00C13F26"/>
    <w:rsid w:val="00C1474E"/>
    <w:rsid w:val="00C14C37"/>
    <w:rsid w:val="00C15735"/>
    <w:rsid w:val="00C157AA"/>
    <w:rsid w:val="00C162E1"/>
    <w:rsid w:val="00C16BE4"/>
    <w:rsid w:val="00C16E9F"/>
    <w:rsid w:val="00C1713D"/>
    <w:rsid w:val="00C17523"/>
    <w:rsid w:val="00C177F1"/>
    <w:rsid w:val="00C17EE6"/>
    <w:rsid w:val="00C217F7"/>
    <w:rsid w:val="00C2272E"/>
    <w:rsid w:val="00C22F3A"/>
    <w:rsid w:val="00C23311"/>
    <w:rsid w:val="00C24AD9"/>
    <w:rsid w:val="00C25978"/>
    <w:rsid w:val="00C261C6"/>
    <w:rsid w:val="00C26621"/>
    <w:rsid w:val="00C26B27"/>
    <w:rsid w:val="00C26E7C"/>
    <w:rsid w:val="00C276CD"/>
    <w:rsid w:val="00C27827"/>
    <w:rsid w:val="00C30A97"/>
    <w:rsid w:val="00C31DDC"/>
    <w:rsid w:val="00C31E80"/>
    <w:rsid w:val="00C321AE"/>
    <w:rsid w:val="00C3223A"/>
    <w:rsid w:val="00C34168"/>
    <w:rsid w:val="00C34247"/>
    <w:rsid w:val="00C34326"/>
    <w:rsid w:val="00C34CEB"/>
    <w:rsid w:val="00C36201"/>
    <w:rsid w:val="00C368E8"/>
    <w:rsid w:val="00C36C3D"/>
    <w:rsid w:val="00C372C7"/>
    <w:rsid w:val="00C376A7"/>
    <w:rsid w:val="00C42443"/>
    <w:rsid w:val="00C42AED"/>
    <w:rsid w:val="00C42CBA"/>
    <w:rsid w:val="00C4338C"/>
    <w:rsid w:val="00C43C2B"/>
    <w:rsid w:val="00C45B27"/>
    <w:rsid w:val="00C4652E"/>
    <w:rsid w:val="00C472C7"/>
    <w:rsid w:val="00C5019E"/>
    <w:rsid w:val="00C50C8C"/>
    <w:rsid w:val="00C51962"/>
    <w:rsid w:val="00C5377C"/>
    <w:rsid w:val="00C53E8A"/>
    <w:rsid w:val="00C54DF3"/>
    <w:rsid w:val="00C560A7"/>
    <w:rsid w:val="00C56FC8"/>
    <w:rsid w:val="00C60F23"/>
    <w:rsid w:val="00C6170B"/>
    <w:rsid w:val="00C62EB2"/>
    <w:rsid w:val="00C63431"/>
    <w:rsid w:val="00C64C87"/>
    <w:rsid w:val="00C65414"/>
    <w:rsid w:val="00C665FE"/>
    <w:rsid w:val="00C71BEC"/>
    <w:rsid w:val="00C73942"/>
    <w:rsid w:val="00C73A83"/>
    <w:rsid w:val="00C74D3A"/>
    <w:rsid w:val="00C75F3D"/>
    <w:rsid w:val="00C80511"/>
    <w:rsid w:val="00C80655"/>
    <w:rsid w:val="00C81937"/>
    <w:rsid w:val="00C8258E"/>
    <w:rsid w:val="00C826F5"/>
    <w:rsid w:val="00C83740"/>
    <w:rsid w:val="00C84527"/>
    <w:rsid w:val="00C845FF"/>
    <w:rsid w:val="00C84AD1"/>
    <w:rsid w:val="00C85579"/>
    <w:rsid w:val="00C8590C"/>
    <w:rsid w:val="00C862F1"/>
    <w:rsid w:val="00C863E5"/>
    <w:rsid w:val="00C86F3E"/>
    <w:rsid w:val="00C87BE6"/>
    <w:rsid w:val="00C87F76"/>
    <w:rsid w:val="00C910DE"/>
    <w:rsid w:val="00C931FC"/>
    <w:rsid w:val="00C932C5"/>
    <w:rsid w:val="00C94CB6"/>
    <w:rsid w:val="00C95299"/>
    <w:rsid w:val="00C95A72"/>
    <w:rsid w:val="00C9650E"/>
    <w:rsid w:val="00C97000"/>
    <w:rsid w:val="00C975BD"/>
    <w:rsid w:val="00CA068D"/>
    <w:rsid w:val="00CA08DF"/>
    <w:rsid w:val="00CA1228"/>
    <w:rsid w:val="00CA1C73"/>
    <w:rsid w:val="00CA282D"/>
    <w:rsid w:val="00CA3F73"/>
    <w:rsid w:val="00CA4670"/>
    <w:rsid w:val="00CA5F89"/>
    <w:rsid w:val="00CA6B1A"/>
    <w:rsid w:val="00CA720B"/>
    <w:rsid w:val="00CB1B18"/>
    <w:rsid w:val="00CB20DC"/>
    <w:rsid w:val="00CB23DC"/>
    <w:rsid w:val="00CB2487"/>
    <w:rsid w:val="00CB28E2"/>
    <w:rsid w:val="00CB2F20"/>
    <w:rsid w:val="00CB3395"/>
    <w:rsid w:val="00CB3F63"/>
    <w:rsid w:val="00CB5801"/>
    <w:rsid w:val="00CB758D"/>
    <w:rsid w:val="00CB7A3E"/>
    <w:rsid w:val="00CB7FF7"/>
    <w:rsid w:val="00CC0D0E"/>
    <w:rsid w:val="00CC1253"/>
    <w:rsid w:val="00CC19B3"/>
    <w:rsid w:val="00CC2044"/>
    <w:rsid w:val="00CC39D2"/>
    <w:rsid w:val="00CC4474"/>
    <w:rsid w:val="00CC55D6"/>
    <w:rsid w:val="00CC59B4"/>
    <w:rsid w:val="00CC69EC"/>
    <w:rsid w:val="00CC78A2"/>
    <w:rsid w:val="00CC7DF8"/>
    <w:rsid w:val="00CD15BE"/>
    <w:rsid w:val="00CD1EF2"/>
    <w:rsid w:val="00CD2165"/>
    <w:rsid w:val="00CD32BD"/>
    <w:rsid w:val="00CD34C7"/>
    <w:rsid w:val="00CD5653"/>
    <w:rsid w:val="00CD5E6D"/>
    <w:rsid w:val="00CD63C8"/>
    <w:rsid w:val="00CD76F8"/>
    <w:rsid w:val="00CD78A5"/>
    <w:rsid w:val="00CE02E8"/>
    <w:rsid w:val="00CE069E"/>
    <w:rsid w:val="00CE0DE0"/>
    <w:rsid w:val="00CE2B1F"/>
    <w:rsid w:val="00CE2CC2"/>
    <w:rsid w:val="00CE3722"/>
    <w:rsid w:val="00CF0280"/>
    <w:rsid w:val="00CF158D"/>
    <w:rsid w:val="00CF2166"/>
    <w:rsid w:val="00CF4340"/>
    <w:rsid w:val="00CF4394"/>
    <w:rsid w:val="00CF48B4"/>
    <w:rsid w:val="00CF5C12"/>
    <w:rsid w:val="00CF7B72"/>
    <w:rsid w:val="00CF7FC0"/>
    <w:rsid w:val="00D000A9"/>
    <w:rsid w:val="00D00384"/>
    <w:rsid w:val="00D005DB"/>
    <w:rsid w:val="00D0064E"/>
    <w:rsid w:val="00D00981"/>
    <w:rsid w:val="00D02596"/>
    <w:rsid w:val="00D0280D"/>
    <w:rsid w:val="00D02AEF"/>
    <w:rsid w:val="00D03EC9"/>
    <w:rsid w:val="00D05669"/>
    <w:rsid w:val="00D061EB"/>
    <w:rsid w:val="00D06952"/>
    <w:rsid w:val="00D07A72"/>
    <w:rsid w:val="00D10577"/>
    <w:rsid w:val="00D10D11"/>
    <w:rsid w:val="00D12405"/>
    <w:rsid w:val="00D12A4E"/>
    <w:rsid w:val="00D1323B"/>
    <w:rsid w:val="00D14BAE"/>
    <w:rsid w:val="00D15107"/>
    <w:rsid w:val="00D1648B"/>
    <w:rsid w:val="00D16819"/>
    <w:rsid w:val="00D17DD9"/>
    <w:rsid w:val="00D20AC0"/>
    <w:rsid w:val="00D2283F"/>
    <w:rsid w:val="00D229E7"/>
    <w:rsid w:val="00D2321B"/>
    <w:rsid w:val="00D23350"/>
    <w:rsid w:val="00D237E7"/>
    <w:rsid w:val="00D23DE4"/>
    <w:rsid w:val="00D25A5C"/>
    <w:rsid w:val="00D2615F"/>
    <w:rsid w:val="00D26873"/>
    <w:rsid w:val="00D27C99"/>
    <w:rsid w:val="00D31683"/>
    <w:rsid w:val="00D33452"/>
    <w:rsid w:val="00D336C8"/>
    <w:rsid w:val="00D339E8"/>
    <w:rsid w:val="00D33FDD"/>
    <w:rsid w:val="00D3654A"/>
    <w:rsid w:val="00D3662E"/>
    <w:rsid w:val="00D366FF"/>
    <w:rsid w:val="00D373F1"/>
    <w:rsid w:val="00D37567"/>
    <w:rsid w:val="00D37D36"/>
    <w:rsid w:val="00D40B1F"/>
    <w:rsid w:val="00D40D75"/>
    <w:rsid w:val="00D43978"/>
    <w:rsid w:val="00D43CBD"/>
    <w:rsid w:val="00D441F1"/>
    <w:rsid w:val="00D449F0"/>
    <w:rsid w:val="00D45319"/>
    <w:rsid w:val="00D462D7"/>
    <w:rsid w:val="00D46A33"/>
    <w:rsid w:val="00D46D9B"/>
    <w:rsid w:val="00D5062C"/>
    <w:rsid w:val="00D50C8C"/>
    <w:rsid w:val="00D52097"/>
    <w:rsid w:val="00D52393"/>
    <w:rsid w:val="00D523E4"/>
    <w:rsid w:val="00D5279D"/>
    <w:rsid w:val="00D52A1B"/>
    <w:rsid w:val="00D52AA7"/>
    <w:rsid w:val="00D52FCC"/>
    <w:rsid w:val="00D53148"/>
    <w:rsid w:val="00D53F14"/>
    <w:rsid w:val="00D54BE4"/>
    <w:rsid w:val="00D54DDB"/>
    <w:rsid w:val="00D554BC"/>
    <w:rsid w:val="00D560DC"/>
    <w:rsid w:val="00D56602"/>
    <w:rsid w:val="00D60483"/>
    <w:rsid w:val="00D61ABB"/>
    <w:rsid w:val="00D62D5C"/>
    <w:rsid w:val="00D63577"/>
    <w:rsid w:val="00D677D2"/>
    <w:rsid w:val="00D67FD7"/>
    <w:rsid w:val="00D704E4"/>
    <w:rsid w:val="00D71A04"/>
    <w:rsid w:val="00D72410"/>
    <w:rsid w:val="00D73D53"/>
    <w:rsid w:val="00D7402C"/>
    <w:rsid w:val="00D7408A"/>
    <w:rsid w:val="00D74261"/>
    <w:rsid w:val="00D7441B"/>
    <w:rsid w:val="00D74D38"/>
    <w:rsid w:val="00D75589"/>
    <w:rsid w:val="00D757A2"/>
    <w:rsid w:val="00D76AB2"/>
    <w:rsid w:val="00D80490"/>
    <w:rsid w:val="00D828F9"/>
    <w:rsid w:val="00D829AD"/>
    <w:rsid w:val="00D82EE2"/>
    <w:rsid w:val="00D8352E"/>
    <w:rsid w:val="00D83746"/>
    <w:rsid w:val="00D83D1B"/>
    <w:rsid w:val="00D84133"/>
    <w:rsid w:val="00D84823"/>
    <w:rsid w:val="00D84B8D"/>
    <w:rsid w:val="00D852FF"/>
    <w:rsid w:val="00D8545C"/>
    <w:rsid w:val="00D86AB5"/>
    <w:rsid w:val="00D86E57"/>
    <w:rsid w:val="00D876AD"/>
    <w:rsid w:val="00D87788"/>
    <w:rsid w:val="00D877C8"/>
    <w:rsid w:val="00D904A6"/>
    <w:rsid w:val="00D91040"/>
    <w:rsid w:val="00D910C2"/>
    <w:rsid w:val="00D9168C"/>
    <w:rsid w:val="00D9189B"/>
    <w:rsid w:val="00D91D6B"/>
    <w:rsid w:val="00D91DA6"/>
    <w:rsid w:val="00D921A0"/>
    <w:rsid w:val="00D93A41"/>
    <w:rsid w:val="00D93B9A"/>
    <w:rsid w:val="00D94F76"/>
    <w:rsid w:val="00D95984"/>
    <w:rsid w:val="00D95C64"/>
    <w:rsid w:val="00D9706F"/>
    <w:rsid w:val="00D972D4"/>
    <w:rsid w:val="00D97CBE"/>
    <w:rsid w:val="00DA0EE2"/>
    <w:rsid w:val="00DA0FE3"/>
    <w:rsid w:val="00DA195B"/>
    <w:rsid w:val="00DA27F3"/>
    <w:rsid w:val="00DA2D1E"/>
    <w:rsid w:val="00DA3EC8"/>
    <w:rsid w:val="00DA40C1"/>
    <w:rsid w:val="00DA5564"/>
    <w:rsid w:val="00DA6B55"/>
    <w:rsid w:val="00DA6B97"/>
    <w:rsid w:val="00DA6CEE"/>
    <w:rsid w:val="00DA7997"/>
    <w:rsid w:val="00DB0015"/>
    <w:rsid w:val="00DB0359"/>
    <w:rsid w:val="00DB0ABB"/>
    <w:rsid w:val="00DB1D01"/>
    <w:rsid w:val="00DB2AAD"/>
    <w:rsid w:val="00DB44E2"/>
    <w:rsid w:val="00DB4A6D"/>
    <w:rsid w:val="00DB5941"/>
    <w:rsid w:val="00DB626D"/>
    <w:rsid w:val="00DB6365"/>
    <w:rsid w:val="00DB756C"/>
    <w:rsid w:val="00DC07B7"/>
    <w:rsid w:val="00DC0BF1"/>
    <w:rsid w:val="00DC11B7"/>
    <w:rsid w:val="00DC11CE"/>
    <w:rsid w:val="00DC1607"/>
    <w:rsid w:val="00DC17F2"/>
    <w:rsid w:val="00DC4001"/>
    <w:rsid w:val="00DC41C3"/>
    <w:rsid w:val="00DC4A3C"/>
    <w:rsid w:val="00DC4FA4"/>
    <w:rsid w:val="00DC5028"/>
    <w:rsid w:val="00DC5B37"/>
    <w:rsid w:val="00DD286D"/>
    <w:rsid w:val="00DD2CAF"/>
    <w:rsid w:val="00DD2ED6"/>
    <w:rsid w:val="00DD3593"/>
    <w:rsid w:val="00DD44EA"/>
    <w:rsid w:val="00DD462A"/>
    <w:rsid w:val="00DD64E0"/>
    <w:rsid w:val="00DD775C"/>
    <w:rsid w:val="00DD7BE0"/>
    <w:rsid w:val="00DE0C67"/>
    <w:rsid w:val="00DE24C0"/>
    <w:rsid w:val="00DE3555"/>
    <w:rsid w:val="00DE3AAD"/>
    <w:rsid w:val="00DE598A"/>
    <w:rsid w:val="00DE5A80"/>
    <w:rsid w:val="00DE6952"/>
    <w:rsid w:val="00DE6FBE"/>
    <w:rsid w:val="00DE7A7D"/>
    <w:rsid w:val="00DE7E74"/>
    <w:rsid w:val="00DF071B"/>
    <w:rsid w:val="00DF50BF"/>
    <w:rsid w:val="00DF5C84"/>
    <w:rsid w:val="00DF5D3A"/>
    <w:rsid w:val="00DF5EC0"/>
    <w:rsid w:val="00DF6EF8"/>
    <w:rsid w:val="00DF6EFE"/>
    <w:rsid w:val="00E00A69"/>
    <w:rsid w:val="00E017BC"/>
    <w:rsid w:val="00E017F0"/>
    <w:rsid w:val="00E01A0E"/>
    <w:rsid w:val="00E025FE"/>
    <w:rsid w:val="00E0346A"/>
    <w:rsid w:val="00E041E4"/>
    <w:rsid w:val="00E04AEE"/>
    <w:rsid w:val="00E06BBD"/>
    <w:rsid w:val="00E100E3"/>
    <w:rsid w:val="00E1012B"/>
    <w:rsid w:val="00E103C8"/>
    <w:rsid w:val="00E1085B"/>
    <w:rsid w:val="00E10FA5"/>
    <w:rsid w:val="00E1308B"/>
    <w:rsid w:val="00E14581"/>
    <w:rsid w:val="00E14623"/>
    <w:rsid w:val="00E15539"/>
    <w:rsid w:val="00E16541"/>
    <w:rsid w:val="00E17EC9"/>
    <w:rsid w:val="00E202F4"/>
    <w:rsid w:val="00E207C3"/>
    <w:rsid w:val="00E21386"/>
    <w:rsid w:val="00E2421B"/>
    <w:rsid w:val="00E242AF"/>
    <w:rsid w:val="00E24849"/>
    <w:rsid w:val="00E2536E"/>
    <w:rsid w:val="00E25A99"/>
    <w:rsid w:val="00E25B8A"/>
    <w:rsid w:val="00E25EF8"/>
    <w:rsid w:val="00E2632B"/>
    <w:rsid w:val="00E26F75"/>
    <w:rsid w:val="00E27423"/>
    <w:rsid w:val="00E3077F"/>
    <w:rsid w:val="00E322F7"/>
    <w:rsid w:val="00E3369B"/>
    <w:rsid w:val="00E362D2"/>
    <w:rsid w:val="00E36D76"/>
    <w:rsid w:val="00E40478"/>
    <w:rsid w:val="00E405EA"/>
    <w:rsid w:val="00E408B7"/>
    <w:rsid w:val="00E412EB"/>
    <w:rsid w:val="00E41637"/>
    <w:rsid w:val="00E42789"/>
    <w:rsid w:val="00E438A4"/>
    <w:rsid w:val="00E43F59"/>
    <w:rsid w:val="00E464F0"/>
    <w:rsid w:val="00E46EF3"/>
    <w:rsid w:val="00E47370"/>
    <w:rsid w:val="00E473E9"/>
    <w:rsid w:val="00E47B47"/>
    <w:rsid w:val="00E50BEB"/>
    <w:rsid w:val="00E523FB"/>
    <w:rsid w:val="00E53460"/>
    <w:rsid w:val="00E54846"/>
    <w:rsid w:val="00E548FA"/>
    <w:rsid w:val="00E55CD9"/>
    <w:rsid w:val="00E57703"/>
    <w:rsid w:val="00E57ED4"/>
    <w:rsid w:val="00E57FED"/>
    <w:rsid w:val="00E6092F"/>
    <w:rsid w:val="00E61EE9"/>
    <w:rsid w:val="00E62049"/>
    <w:rsid w:val="00E629DA"/>
    <w:rsid w:val="00E64374"/>
    <w:rsid w:val="00E6451F"/>
    <w:rsid w:val="00E6469F"/>
    <w:rsid w:val="00E6546A"/>
    <w:rsid w:val="00E65C05"/>
    <w:rsid w:val="00E65D39"/>
    <w:rsid w:val="00E670F8"/>
    <w:rsid w:val="00E6741B"/>
    <w:rsid w:val="00E67FAC"/>
    <w:rsid w:val="00E70164"/>
    <w:rsid w:val="00E71485"/>
    <w:rsid w:val="00E7200B"/>
    <w:rsid w:val="00E73354"/>
    <w:rsid w:val="00E738CB"/>
    <w:rsid w:val="00E73C88"/>
    <w:rsid w:val="00E73E21"/>
    <w:rsid w:val="00E74049"/>
    <w:rsid w:val="00E74437"/>
    <w:rsid w:val="00E7443D"/>
    <w:rsid w:val="00E75ACE"/>
    <w:rsid w:val="00E771AF"/>
    <w:rsid w:val="00E80386"/>
    <w:rsid w:val="00E809C3"/>
    <w:rsid w:val="00E814D4"/>
    <w:rsid w:val="00E814DB"/>
    <w:rsid w:val="00E81A1A"/>
    <w:rsid w:val="00E81C3E"/>
    <w:rsid w:val="00E82359"/>
    <w:rsid w:val="00E82B6D"/>
    <w:rsid w:val="00E83187"/>
    <w:rsid w:val="00E831E9"/>
    <w:rsid w:val="00E84DDA"/>
    <w:rsid w:val="00E8608F"/>
    <w:rsid w:val="00E86C1D"/>
    <w:rsid w:val="00E90703"/>
    <w:rsid w:val="00E90A62"/>
    <w:rsid w:val="00E91CB8"/>
    <w:rsid w:val="00E9265E"/>
    <w:rsid w:val="00E956DB"/>
    <w:rsid w:val="00E957D7"/>
    <w:rsid w:val="00E9763D"/>
    <w:rsid w:val="00EA00A4"/>
    <w:rsid w:val="00EA1177"/>
    <w:rsid w:val="00EA118B"/>
    <w:rsid w:val="00EA11B6"/>
    <w:rsid w:val="00EA2181"/>
    <w:rsid w:val="00EA2DD8"/>
    <w:rsid w:val="00EA30FC"/>
    <w:rsid w:val="00EA4475"/>
    <w:rsid w:val="00EA52FE"/>
    <w:rsid w:val="00EA681F"/>
    <w:rsid w:val="00EB04C6"/>
    <w:rsid w:val="00EB06A6"/>
    <w:rsid w:val="00EB29EA"/>
    <w:rsid w:val="00EB3307"/>
    <w:rsid w:val="00EB3823"/>
    <w:rsid w:val="00EB3CBB"/>
    <w:rsid w:val="00EB47D8"/>
    <w:rsid w:val="00EB57D3"/>
    <w:rsid w:val="00EB5B19"/>
    <w:rsid w:val="00EB5EFD"/>
    <w:rsid w:val="00EB679F"/>
    <w:rsid w:val="00EB76E4"/>
    <w:rsid w:val="00EC0E65"/>
    <w:rsid w:val="00EC1251"/>
    <w:rsid w:val="00EC2938"/>
    <w:rsid w:val="00EC337D"/>
    <w:rsid w:val="00EC38EF"/>
    <w:rsid w:val="00EC50C9"/>
    <w:rsid w:val="00EC58B4"/>
    <w:rsid w:val="00EC5BB2"/>
    <w:rsid w:val="00EC75AF"/>
    <w:rsid w:val="00ED05B1"/>
    <w:rsid w:val="00ED0BCD"/>
    <w:rsid w:val="00ED12F0"/>
    <w:rsid w:val="00ED2874"/>
    <w:rsid w:val="00ED290C"/>
    <w:rsid w:val="00ED2A6C"/>
    <w:rsid w:val="00ED4773"/>
    <w:rsid w:val="00ED5284"/>
    <w:rsid w:val="00ED664B"/>
    <w:rsid w:val="00ED6A61"/>
    <w:rsid w:val="00ED768E"/>
    <w:rsid w:val="00ED7DA4"/>
    <w:rsid w:val="00EE03BB"/>
    <w:rsid w:val="00EE0552"/>
    <w:rsid w:val="00EE0B44"/>
    <w:rsid w:val="00EE125D"/>
    <w:rsid w:val="00EE23DE"/>
    <w:rsid w:val="00EE48BB"/>
    <w:rsid w:val="00EE6FE0"/>
    <w:rsid w:val="00EE704A"/>
    <w:rsid w:val="00EE7840"/>
    <w:rsid w:val="00EF2346"/>
    <w:rsid w:val="00EF2E75"/>
    <w:rsid w:val="00EF4C74"/>
    <w:rsid w:val="00EF5268"/>
    <w:rsid w:val="00EF608E"/>
    <w:rsid w:val="00EF6C4A"/>
    <w:rsid w:val="00F0044B"/>
    <w:rsid w:val="00F00E60"/>
    <w:rsid w:val="00F020E5"/>
    <w:rsid w:val="00F02F9F"/>
    <w:rsid w:val="00F03525"/>
    <w:rsid w:val="00F039A8"/>
    <w:rsid w:val="00F0424D"/>
    <w:rsid w:val="00F04957"/>
    <w:rsid w:val="00F053F0"/>
    <w:rsid w:val="00F05807"/>
    <w:rsid w:val="00F06451"/>
    <w:rsid w:val="00F07052"/>
    <w:rsid w:val="00F0706C"/>
    <w:rsid w:val="00F111B6"/>
    <w:rsid w:val="00F11EBE"/>
    <w:rsid w:val="00F12293"/>
    <w:rsid w:val="00F12BA8"/>
    <w:rsid w:val="00F12D7A"/>
    <w:rsid w:val="00F130D0"/>
    <w:rsid w:val="00F13AC6"/>
    <w:rsid w:val="00F14638"/>
    <w:rsid w:val="00F14933"/>
    <w:rsid w:val="00F1516A"/>
    <w:rsid w:val="00F15EE5"/>
    <w:rsid w:val="00F171F9"/>
    <w:rsid w:val="00F1737C"/>
    <w:rsid w:val="00F173AA"/>
    <w:rsid w:val="00F22A26"/>
    <w:rsid w:val="00F23D45"/>
    <w:rsid w:val="00F24072"/>
    <w:rsid w:val="00F26432"/>
    <w:rsid w:val="00F3197A"/>
    <w:rsid w:val="00F32139"/>
    <w:rsid w:val="00F33CF0"/>
    <w:rsid w:val="00F33D56"/>
    <w:rsid w:val="00F34E08"/>
    <w:rsid w:val="00F41399"/>
    <w:rsid w:val="00F41D91"/>
    <w:rsid w:val="00F41F52"/>
    <w:rsid w:val="00F41FA1"/>
    <w:rsid w:val="00F42363"/>
    <w:rsid w:val="00F427C4"/>
    <w:rsid w:val="00F43D6C"/>
    <w:rsid w:val="00F46964"/>
    <w:rsid w:val="00F46F9A"/>
    <w:rsid w:val="00F470FD"/>
    <w:rsid w:val="00F50F30"/>
    <w:rsid w:val="00F5126A"/>
    <w:rsid w:val="00F5126E"/>
    <w:rsid w:val="00F516EF"/>
    <w:rsid w:val="00F51755"/>
    <w:rsid w:val="00F531D9"/>
    <w:rsid w:val="00F54D8E"/>
    <w:rsid w:val="00F5580D"/>
    <w:rsid w:val="00F566B7"/>
    <w:rsid w:val="00F56EA1"/>
    <w:rsid w:val="00F606D5"/>
    <w:rsid w:val="00F611B3"/>
    <w:rsid w:val="00F6196E"/>
    <w:rsid w:val="00F61CCC"/>
    <w:rsid w:val="00F624DD"/>
    <w:rsid w:val="00F629C0"/>
    <w:rsid w:val="00F63FC7"/>
    <w:rsid w:val="00F65E1F"/>
    <w:rsid w:val="00F65ED5"/>
    <w:rsid w:val="00F6608B"/>
    <w:rsid w:val="00F6636A"/>
    <w:rsid w:val="00F667C5"/>
    <w:rsid w:val="00F67E31"/>
    <w:rsid w:val="00F70B44"/>
    <w:rsid w:val="00F71436"/>
    <w:rsid w:val="00F718A8"/>
    <w:rsid w:val="00F7207E"/>
    <w:rsid w:val="00F72183"/>
    <w:rsid w:val="00F72DEB"/>
    <w:rsid w:val="00F75C12"/>
    <w:rsid w:val="00F764AF"/>
    <w:rsid w:val="00F76D01"/>
    <w:rsid w:val="00F80B43"/>
    <w:rsid w:val="00F80C97"/>
    <w:rsid w:val="00F81C35"/>
    <w:rsid w:val="00F82981"/>
    <w:rsid w:val="00F8311F"/>
    <w:rsid w:val="00F83248"/>
    <w:rsid w:val="00F83376"/>
    <w:rsid w:val="00F853AE"/>
    <w:rsid w:val="00F85BF3"/>
    <w:rsid w:val="00F908D5"/>
    <w:rsid w:val="00F912A0"/>
    <w:rsid w:val="00F913B9"/>
    <w:rsid w:val="00F93C74"/>
    <w:rsid w:val="00F93DCC"/>
    <w:rsid w:val="00F9435D"/>
    <w:rsid w:val="00F966F9"/>
    <w:rsid w:val="00F96F61"/>
    <w:rsid w:val="00F97740"/>
    <w:rsid w:val="00FA0C8F"/>
    <w:rsid w:val="00FA24F2"/>
    <w:rsid w:val="00FA2B96"/>
    <w:rsid w:val="00FA2DEF"/>
    <w:rsid w:val="00FA2F7B"/>
    <w:rsid w:val="00FA36CC"/>
    <w:rsid w:val="00FA3C90"/>
    <w:rsid w:val="00FA3C97"/>
    <w:rsid w:val="00FA3D30"/>
    <w:rsid w:val="00FA4B49"/>
    <w:rsid w:val="00FA54F8"/>
    <w:rsid w:val="00FA63AB"/>
    <w:rsid w:val="00FA6CA9"/>
    <w:rsid w:val="00FA78C8"/>
    <w:rsid w:val="00FA7A2F"/>
    <w:rsid w:val="00FB00AD"/>
    <w:rsid w:val="00FB09FE"/>
    <w:rsid w:val="00FB0E80"/>
    <w:rsid w:val="00FB0F8E"/>
    <w:rsid w:val="00FB101D"/>
    <w:rsid w:val="00FB1725"/>
    <w:rsid w:val="00FB2493"/>
    <w:rsid w:val="00FB42B7"/>
    <w:rsid w:val="00FB4484"/>
    <w:rsid w:val="00FB593A"/>
    <w:rsid w:val="00FB6410"/>
    <w:rsid w:val="00FB6E82"/>
    <w:rsid w:val="00FB792E"/>
    <w:rsid w:val="00FB7CF0"/>
    <w:rsid w:val="00FC0042"/>
    <w:rsid w:val="00FC1885"/>
    <w:rsid w:val="00FC1E67"/>
    <w:rsid w:val="00FC2A13"/>
    <w:rsid w:val="00FC4284"/>
    <w:rsid w:val="00FC4576"/>
    <w:rsid w:val="00FC494C"/>
    <w:rsid w:val="00FC5FF5"/>
    <w:rsid w:val="00FC6285"/>
    <w:rsid w:val="00FC78FB"/>
    <w:rsid w:val="00FC7DBC"/>
    <w:rsid w:val="00FD076A"/>
    <w:rsid w:val="00FD0AA0"/>
    <w:rsid w:val="00FD1D5A"/>
    <w:rsid w:val="00FD4B85"/>
    <w:rsid w:val="00FD5059"/>
    <w:rsid w:val="00FD554D"/>
    <w:rsid w:val="00FD5BCC"/>
    <w:rsid w:val="00FD5EB8"/>
    <w:rsid w:val="00FD6C2D"/>
    <w:rsid w:val="00FD7B23"/>
    <w:rsid w:val="00FE07B6"/>
    <w:rsid w:val="00FE1A5F"/>
    <w:rsid w:val="00FE2A48"/>
    <w:rsid w:val="00FE2DEF"/>
    <w:rsid w:val="00FE323C"/>
    <w:rsid w:val="00FE3A27"/>
    <w:rsid w:val="00FE48A6"/>
    <w:rsid w:val="00FE5D0A"/>
    <w:rsid w:val="00FE6469"/>
    <w:rsid w:val="00FE7C22"/>
    <w:rsid w:val="00FE7C6D"/>
    <w:rsid w:val="00FE7EB9"/>
    <w:rsid w:val="00FF05D0"/>
    <w:rsid w:val="00FF06CE"/>
    <w:rsid w:val="00FF0DC2"/>
    <w:rsid w:val="00FF0FF7"/>
    <w:rsid w:val="00FF1022"/>
    <w:rsid w:val="00FF10A2"/>
    <w:rsid w:val="00FF1438"/>
    <w:rsid w:val="00FF28D3"/>
    <w:rsid w:val="00FF3A38"/>
    <w:rsid w:val="00FF3C25"/>
    <w:rsid w:val="00FF4129"/>
    <w:rsid w:val="00FF44F7"/>
    <w:rsid w:val="00FF4C90"/>
    <w:rsid w:val="00FF5806"/>
    <w:rsid w:val="00FF61B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90"/>
    <w:pPr>
      <w:spacing w:line="240" w:lineRule="exact"/>
      <w:jc w:val="center"/>
    </w:pPr>
    <w:rPr>
      <w:color w:val="008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5436C2"/>
    <w:pPr>
      <w:tabs>
        <w:tab w:val="center" w:pos="4320"/>
        <w:tab w:val="right" w:pos="8640"/>
      </w:tabs>
    </w:pPr>
  </w:style>
  <w:style w:type="character" w:customStyle="1" w:styleId="FooterChar">
    <w:name w:val="Footer Char"/>
    <w:basedOn w:val="DefaultParagraphFont"/>
    <w:link w:val="Footer"/>
    <w:uiPriority w:val="99"/>
    <w:rsid w:val="000379D0"/>
    <w:rPr>
      <w:rFonts w:cs="Times New Roman"/>
      <w:color w:val="008080"/>
      <w:sz w:val="24"/>
    </w:rPr>
  </w:style>
  <w:style w:type="character" w:styleId="PageNumber">
    <w:name w:val="page number"/>
    <w:basedOn w:val="DefaultParagraphFont"/>
    <w:uiPriority w:val="99"/>
    <w:rsid w:val="005436C2"/>
    <w:rPr>
      <w:rFonts w:cs="Times New Roman"/>
    </w:rPr>
  </w:style>
  <w:style w:type="paragraph" w:styleId="Header">
    <w:name w:val="header"/>
    <w:basedOn w:val="Normal"/>
    <w:link w:val="HeaderChar"/>
    <w:uiPriority w:val="99"/>
    <w:rsid w:val="005436C2"/>
    <w:pPr>
      <w:tabs>
        <w:tab w:val="center" w:pos="4320"/>
        <w:tab w:val="right" w:pos="8640"/>
      </w:tabs>
    </w:pPr>
  </w:style>
  <w:style w:type="character" w:customStyle="1" w:styleId="HeaderChar">
    <w:name w:val="Header Char"/>
    <w:basedOn w:val="DefaultParagraphFont"/>
    <w:link w:val="Header"/>
    <w:uiPriority w:val="99"/>
    <w:semiHidden/>
    <w:rsid w:val="003F44FD"/>
    <w:rPr>
      <w:rFonts w:cs="Times New Roman"/>
      <w:color w:val="008080"/>
      <w:sz w:val="24"/>
    </w:rPr>
  </w:style>
  <w:style w:type="paragraph" w:styleId="BodyText">
    <w:name w:val="Body Text"/>
    <w:basedOn w:val="Normal"/>
    <w:link w:val="BodyTextChar"/>
    <w:uiPriority w:val="99"/>
    <w:rsid w:val="005436C2"/>
    <w:pPr>
      <w:tabs>
        <w:tab w:val="left" w:pos="720"/>
      </w:tabs>
      <w:ind w:right="-360"/>
    </w:pPr>
    <w:rPr>
      <w:rFonts w:ascii="Times New Roman" w:hAnsi="Times New Roman"/>
      <w:color w:val="000080"/>
    </w:rPr>
  </w:style>
  <w:style w:type="character" w:customStyle="1" w:styleId="BodyTextChar">
    <w:name w:val="Body Text Char"/>
    <w:basedOn w:val="DefaultParagraphFont"/>
    <w:link w:val="BodyText"/>
    <w:uiPriority w:val="99"/>
    <w:semiHidden/>
    <w:rsid w:val="003F44FD"/>
    <w:rPr>
      <w:rFonts w:cs="Times New Roman"/>
      <w:color w:val="008080"/>
      <w:sz w:val="24"/>
    </w:rPr>
  </w:style>
  <w:style w:type="paragraph" w:styleId="BodyText3">
    <w:name w:val="Body Text 3"/>
    <w:basedOn w:val="Normal"/>
    <w:link w:val="BodyText3Char"/>
    <w:uiPriority w:val="99"/>
    <w:rsid w:val="005436C2"/>
    <w:pPr>
      <w:tabs>
        <w:tab w:val="left" w:pos="288"/>
        <w:tab w:val="left" w:pos="4752"/>
      </w:tabs>
      <w:ind w:right="-360"/>
      <w:jc w:val="both"/>
    </w:pPr>
    <w:rPr>
      <w:color w:val="000080"/>
    </w:rPr>
  </w:style>
  <w:style w:type="character" w:customStyle="1" w:styleId="BodyText3Char">
    <w:name w:val="Body Text 3 Char"/>
    <w:basedOn w:val="DefaultParagraphFont"/>
    <w:link w:val="BodyText3"/>
    <w:uiPriority w:val="99"/>
    <w:semiHidden/>
    <w:rsid w:val="003F44FD"/>
    <w:rPr>
      <w:rFonts w:cs="Times New Roman"/>
      <w:color w:val="008080"/>
      <w:sz w:val="16"/>
    </w:rPr>
  </w:style>
  <w:style w:type="paragraph" w:styleId="PlainText">
    <w:name w:val="Plain Text"/>
    <w:basedOn w:val="Normal"/>
    <w:link w:val="PlainTextChar"/>
    <w:uiPriority w:val="99"/>
    <w:rsid w:val="00D91DA6"/>
    <w:rPr>
      <w:rFonts w:ascii="Consolas" w:hAnsi="Consolas"/>
      <w:color w:val="auto"/>
      <w:sz w:val="21"/>
      <w:szCs w:val="21"/>
    </w:rPr>
  </w:style>
  <w:style w:type="character" w:customStyle="1" w:styleId="PlainTextChar">
    <w:name w:val="Plain Text Char"/>
    <w:basedOn w:val="DefaultParagraphFont"/>
    <w:link w:val="PlainText"/>
    <w:uiPriority w:val="99"/>
    <w:rsid w:val="00D91DA6"/>
    <w:rPr>
      <w:rFonts w:ascii="Consolas" w:hAnsi="Consolas" w:cs="Times New Roman"/>
      <w:sz w:val="21"/>
    </w:rPr>
  </w:style>
  <w:style w:type="paragraph" w:styleId="BalloonText">
    <w:name w:val="Balloon Text"/>
    <w:basedOn w:val="Normal"/>
    <w:link w:val="BalloonTextChar"/>
    <w:uiPriority w:val="99"/>
    <w:semiHidden/>
    <w:rsid w:val="000379D0"/>
    <w:rPr>
      <w:rFonts w:ascii="Tahoma" w:hAnsi="Tahoma" w:cs="Tahoma"/>
      <w:sz w:val="16"/>
      <w:szCs w:val="16"/>
    </w:rPr>
  </w:style>
  <w:style w:type="character" w:customStyle="1" w:styleId="BalloonTextChar">
    <w:name w:val="Balloon Text Char"/>
    <w:basedOn w:val="DefaultParagraphFont"/>
    <w:link w:val="BalloonText"/>
    <w:uiPriority w:val="99"/>
    <w:rsid w:val="000379D0"/>
    <w:rPr>
      <w:rFonts w:ascii="Tahoma" w:hAnsi="Tahoma" w:cs="Tahoma"/>
      <w:color w:val="008080"/>
      <w:sz w:val="16"/>
    </w:rPr>
  </w:style>
  <w:style w:type="table" w:styleId="TableGrid">
    <w:name w:val="Table Grid"/>
    <w:basedOn w:val="TableNormal"/>
    <w:uiPriority w:val="99"/>
    <w:rsid w:val="006F1A46"/>
    <w:rPr>
      <w:rFonts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26591"/>
    <w:pPr>
      <w:spacing w:after="200" w:line="276" w:lineRule="auto"/>
      <w:ind w:left="720"/>
      <w:contextualSpacing/>
    </w:pPr>
    <w:rPr>
      <w:rFonts w:cs="Times New Roman"/>
      <w:color w:val="auto"/>
      <w:sz w:val="22"/>
      <w:szCs w:val="22"/>
    </w:rPr>
  </w:style>
  <w:style w:type="character" w:styleId="LineNumber">
    <w:name w:val="line number"/>
    <w:basedOn w:val="DefaultParagraphFont"/>
    <w:uiPriority w:val="99"/>
    <w:rsid w:val="004766C9"/>
    <w:rPr>
      <w:rFonts w:cs="Times New Roman"/>
    </w:rPr>
  </w:style>
  <w:style w:type="character" w:styleId="CommentReference">
    <w:name w:val="annotation reference"/>
    <w:basedOn w:val="DefaultParagraphFont"/>
    <w:uiPriority w:val="99"/>
    <w:semiHidden/>
    <w:rsid w:val="0046111A"/>
    <w:rPr>
      <w:rFonts w:cs="Times New Roman"/>
      <w:sz w:val="16"/>
    </w:rPr>
  </w:style>
  <w:style w:type="paragraph" w:styleId="CommentText">
    <w:name w:val="annotation text"/>
    <w:basedOn w:val="Normal"/>
    <w:link w:val="CommentTextChar"/>
    <w:uiPriority w:val="99"/>
    <w:semiHidden/>
    <w:rsid w:val="0046111A"/>
    <w:rPr>
      <w:sz w:val="20"/>
    </w:rPr>
  </w:style>
  <w:style w:type="character" w:customStyle="1" w:styleId="CommentTextChar">
    <w:name w:val="Comment Text Char"/>
    <w:basedOn w:val="DefaultParagraphFont"/>
    <w:link w:val="CommentText"/>
    <w:uiPriority w:val="99"/>
    <w:rsid w:val="0046111A"/>
    <w:rPr>
      <w:rFonts w:cs="Times New Roman"/>
      <w:color w:val="008080"/>
      <w:sz w:val="20"/>
    </w:rPr>
  </w:style>
  <w:style w:type="paragraph" w:styleId="CommentSubject">
    <w:name w:val="annotation subject"/>
    <w:basedOn w:val="CommentText"/>
    <w:next w:val="CommentText"/>
    <w:link w:val="CommentSubjectChar"/>
    <w:uiPriority w:val="99"/>
    <w:semiHidden/>
    <w:rsid w:val="0046111A"/>
    <w:rPr>
      <w:b/>
      <w:bCs/>
    </w:rPr>
  </w:style>
  <w:style w:type="character" w:customStyle="1" w:styleId="CommentSubjectChar">
    <w:name w:val="Comment Subject Char"/>
    <w:basedOn w:val="CommentTextChar"/>
    <w:link w:val="CommentSubject"/>
    <w:uiPriority w:val="99"/>
    <w:rsid w:val="0046111A"/>
    <w:rPr>
      <w:rFonts w:cs="Times New Roman"/>
      <w:b/>
      <w:bCs/>
      <w:color w:val="008080"/>
      <w:sz w:val="20"/>
    </w:rPr>
  </w:style>
  <w:style w:type="character" w:styleId="Hyperlink">
    <w:name w:val="Hyperlink"/>
    <w:basedOn w:val="DefaultParagraphFont"/>
    <w:uiPriority w:val="99"/>
    <w:rsid w:val="00750E3A"/>
    <w:rPr>
      <w:rFonts w:cs="Times New Roman"/>
      <w:color w:val="0000FF"/>
      <w:u w:val="single"/>
    </w:rPr>
  </w:style>
  <w:style w:type="character" w:styleId="FollowedHyperlink">
    <w:name w:val="FollowedHyperlink"/>
    <w:basedOn w:val="DefaultParagraphFont"/>
    <w:uiPriority w:val="99"/>
    <w:rsid w:val="00750E3A"/>
    <w:rPr>
      <w:rFonts w:cs="Times New Roman"/>
      <w:color w:val="800080"/>
      <w:u w:val="single"/>
    </w:rPr>
  </w:style>
  <w:style w:type="paragraph" w:customStyle="1" w:styleId="Default">
    <w:name w:val="Default"/>
    <w:uiPriority w:val="99"/>
    <w:rsid w:val="009F782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52075">
      <w:bodyDiv w:val="1"/>
      <w:marLeft w:val="0"/>
      <w:marRight w:val="0"/>
      <w:marTop w:val="0"/>
      <w:marBottom w:val="0"/>
      <w:divBdr>
        <w:top w:val="none" w:sz="0" w:space="0" w:color="auto"/>
        <w:left w:val="none" w:sz="0" w:space="0" w:color="auto"/>
        <w:bottom w:val="none" w:sz="0" w:space="0" w:color="auto"/>
        <w:right w:val="none" w:sz="0" w:space="0" w:color="auto"/>
      </w:divBdr>
    </w:div>
    <w:div w:id="68544362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8ECA-17EA-4EAD-BCB8-B2D329E9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alicia.dupree</cp:lastModifiedBy>
  <cp:revision>2</cp:revision>
  <dcterms:created xsi:type="dcterms:W3CDTF">2012-09-13T15:28:00Z</dcterms:created>
  <dcterms:modified xsi:type="dcterms:W3CDTF">2012-09-13T15:28:00Z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