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9C2032" w:rsidRDefault="0095270D" w:rsidP="00DD5558">
      <w:pPr>
        <w:tabs>
          <w:tab w:val="right" w:pos="9360"/>
        </w:tabs>
        <w:jc w:val="both"/>
        <w:rPr>
          <w:caps/>
          <w:color w:val="auto"/>
        </w:rPr>
      </w:pPr>
      <w:r w:rsidRPr="009C2032">
        <w:rPr>
          <w:caps/>
          <w:color w:val="auto"/>
        </w:rPr>
        <w:t xml:space="preserve">NAME:  </w:t>
      </w:r>
      <w:r w:rsidR="003A5F40">
        <w:rPr>
          <w:caps/>
          <w:color w:val="auto"/>
        </w:rPr>
        <w:t>XXXXXXXXXXXXXXXXX</w:t>
      </w:r>
      <w:r w:rsidR="00DD5558" w:rsidRPr="009C2032">
        <w:rPr>
          <w:caps/>
          <w:color w:val="auto"/>
        </w:rPr>
        <w:tab/>
      </w:r>
      <w:r w:rsidRPr="009C2032">
        <w:rPr>
          <w:caps/>
          <w:color w:val="auto"/>
        </w:rPr>
        <w:t xml:space="preserve">BRANCH OF SERVICE:  </w:t>
      </w:r>
      <w:r w:rsidR="009C2032" w:rsidRPr="009C2032">
        <w:rPr>
          <w:caps/>
          <w:color w:val="auto"/>
        </w:rPr>
        <w:t>Army</w:t>
      </w:r>
    </w:p>
    <w:p w:rsidR="0095270D" w:rsidRPr="00F64312" w:rsidRDefault="0095270D" w:rsidP="00DD5558">
      <w:pPr>
        <w:tabs>
          <w:tab w:val="right" w:pos="9360"/>
        </w:tabs>
        <w:jc w:val="both"/>
        <w:rPr>
          <w:color w:val="auto"/>
        </w:rPr>
      </w:pPr>
      <w:r w:rsidRPr="009C2032">
        <w:rPr>
          <w:caps/>
          <w:color w:val="auto"/>
        </w:rPr>
        <w:t>CASE NUMBER:  PD</w:t>
      </w:r>
      <w:r w:rsidR="001657BE" w:rsidRPr="009C2032">
        <w:rPr>
          <w:caps/>
          <w:color w:val="auto"/>
        </w:rPr>
        <w:t>1</w:t>
      </w:r>
      <w:r w:rsidR="009C2032" w:rsidRPr="009C2032">
        <w:rPr>
          <w:caps/>
          <w:color w:val="auto"/>
        </w:rPr>
        <w:t>1</w:t>
      </w:r>
      <w:r w:rsidRPr="009C2032">
        <w:rPr>
          <w:caps/>
          <w:color w:val="auto"/>
        </w:rPr>
        <w:t>00</w:t>
      </w:r>
      <w:r w:rsidR="009C2032" w:rsidRPr="009C2032">
        <w:rPr>
          <w:caps/>
          <w:color w:val="auto"/>
        </w:rPr>
        <w:t>845</w:t>
      </w:r>
      <w:r w:rsidR="00DD5558">
        <w:rPr>
          <w:color w:val="auto"/>
        </w:rPr>
        <w:tab/>
      </w:r>
      <w:r w:rsidR="0018208F" w:rsidRPr="00F64312">
        <w:rPr>
          <w:color w:val="auto"/>
        </w:rPr>
        <w:t>SE</w:t>
      </w:r>
      <w:r w:rsidRPr="00F64312">
        <w:rPr>
          <w:color w:val="auto"/>
        </w:rPr>
        <w:t>PARATION DATE:  200</w:t>
      </w:r>
      <w:r w:rsidR="009C2032">
        <w:rPr>
          <w:color w:val="auto"/>
        </w:rPr>
        <w:t>70507</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9347F9">
        <w:rPr>
          <w:caps/>
          <w:color w:val="auto"/>
        </w:rPr>
        <w:t>0925</w:t>
      </w:r>
      <w:r w:rsidR="00532B33" w:rsidRPr="00F64312">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9C2032" w:rsidRPr="00E74BD3">
        <w:rPr>
          <w:color w:val="000000" w:themeColor="text1"/>
          <w:szCs w:val="24"/>
        </w:rPr>
        <w:t xml:space="preserve">active duty PFC/E-3 (13B10/Cannon Crewmember), medically separated for </w:t>
      </w:r>
      <w:r w:rsidR="009B556C" w:rsidRPr="00E74BD3">
        <w:rPr>
          <w:color w:val="000000" w:themeColor="text1"/>
          <w:szCs w:val="24"/>
        </w:rPr>
        <w:t>chronic non-radiating low back pain</w:t>
      </w:r>
      <w:r w:rsidR="00186FB2">
        <w:rPr>
          <w:color w:val="000000" w:themeColor="text1"/>
          <w:szCs w:val="24"/>
        </w:rPr>
        <w:t xml:space="preserve"> (LBP)</w:t>
      </w:r>
      <w:r w:rsidR="009B556C" w:rsidRPr="00E74BD3">
        <w:rPr>
          <w:color w:val="000000" w:themeColor="text1"/>
          <w:szCs w:val="24"/>
        </w:rPr>
        <w:t xml:space="preserve"> and chronic left forearm and wrist pain</w:t>
      </w:r>
      <w:r w:rsidR="009C2032" w:rsidRPr="00E74BD3">
        <w:rPr>
          <w:color w:val="000000" w:themeColor="text1"/>
          <w:szCs w:val="24"/>
        </w:rPr>
        <w:t>.</w:t>
      </w:r>
      <w:r w:rsidR="008745D9">
        <w:rPr>
          <w:color w:val="000000" w:themeColor="text1"/>
          <w:szCs w:val="24"/>
        </w:rPr>
        <w:t xml:space="preserve">  </w:t>
      </w:r>
      <w:r w:rsidR="008745D9">
        <w:rPr>
          <w:color w:val="auto"/>
        </w:rPr>
        <w:t xml:space="preserve">The CI first developed </w:t>
      </w:r>
      <w:r w:rsidR="00186FB2">
        <w:rPr>
          <w:color w:val="auto"/>
        </w:rPr>
        <w:t>LBP</w:t>
      </w:r>
      <w:r w:rsidR="008745D9">
        <w:rPr>
          <w:color w:val="auto"/>
        </w:rPr>
        <w:t xml:space="preserve"> in 2004 while lifting heavy cargo while deployed to Afghanistan.  He was still receiving physical therapy</w:t>
      </w:r>
      <w:r w:rsidR="00186FB2">
        <w:rPr>
          <w:color w:val="auto"/>
        </w:rPr>
        <w:t xml:space="preserve"> (PT)</w:t>
      </w:r>
      <w:r w:rsidR="008745D9">
        <w:rPr>
          <w:color w:val="auto"/>
        </w:rPr>
        <w:t xml:space="preserve"> when he was injured in a motor vehicle accident in October 2005. </w:t>
      </w:r>
      <w:r w:rsidR="002143E5" w:rsidRPr="00F64312">
        <w:rPr>
          <w:color w:val="auto"/>
        </w:rPr>
        <w:t xml:space="preserve"> </w:t>
      </w:r>
      <w:r w:rsidR="008745D9">
        <w:rPr>
          <w:color w:val="auto"/>
        </w:rPr>
        <w:t xml:space="preserve">He sustained a closed left radial shaft fracture and closed left sided L1 and L2 transverse process fractures. </w:t>
      </w:r>
      <w:r w:rsidR="002D015B">
        <w:rPr>
          <w:color w:val="auto"/>
        </w:rPr>
        <w:t xml:space="preserve"> </w:t>
      </w:r>
      <w:r w:rsidR="008745D9">
        <w:rPr>
          <w:color w:val="auto"/>
        </w:rPr>
        <w:t xml:space="preserve">The radial fracture was treated operatively with an open reduction and internal fixation and the fracture healed with anatomic alignment. </w:t>
      </w:r>
      <w:r w:rsidR="008478DE">
        <w:rPr>
          <w:color w:val="auto"/>
        </w:rPr>
        <w:t xml:space="preserve"> </w:t>
      </w:r>
      <w:r w:rsidR="008745D9">
        <w:rPr>
          <w:color w:val="auto"/>
        </w:rPr>
        <w:t xml:space="preserve">However, the CI </w:t>
      </w:r>
      <w:r w:rsidR="008478DE">
        <w:rPr>
          <w:color w:val="auto"/>
        </w:rPr>
        <w:t xml:space="preserve">developed chronic left forearm and wrist pain that did not respond to treatment. </w:t>
      </w:r>
      <w:r w:rsidR="009B556C">
        <w:rPr>
          <w:color w:val="auto"/>
        </w:rPr>
        <w:t xml:space="preserve"> </w:t>
      </w:r>
      <w:r w:rsidR="008478DE" w:rsidRPr="000E4BE2">
        <w:rPr>
          <w:color w:val="auto"/>
        </w:rPr>
        <w:t>Additionally</w:t>
      </w:r>
      <w:r w:rsidR="008478DE">
        <w:rPr>
          <w:color w:val="auto"/>
        </w:rPr>
        <w:t xml:space="preserve">, his chronic </w:t>
      </w:r>
      <w:r w:rsidR="00186FB2">
        <w:rPr>
          <w:color w:val="auto"/>
        </w:rPr>
        <w:t>LBP</w:t>
      </w:r>
      <w:r w:rsidR="008478DE">
        <w:rPr>
          <w:color w:val="auto"/>
        </w:rPr>
        <w:t xml:space="preserve"> persisted despite continued rehabilitation.  No further surgical treatment was indicated.  Neither condition </w:t>
      </w:r>
      <w:r w:rsidR="008478DE" w:rsidRPr="008478DE">
        <w:rPr>
          <w:color w:val="auto"/>
        </w:rPr>
        <w:t>was adequately rehabilitated.</w:t>
      </w:r>
      <w:r w:rsidR="009B556C">
        <w:rPr>
          <w:color w:val="auto"/>
        </w:rPr>
        <w:t xml:space="preserve"> </w:t>
      </w:r>
      <w:r w:rsidR="008478DE" w:rsidRPr="008478DE">
        <w:rPr>
          <w:color w:val="auto"/>
        </w:rPr>
        <w:t xml:space="preserve"> </w:t>
      </w:r>
      <w:r w:rsidR="008478DE">
        <w:rPr>
          <w:color w:val="auto"/>
        </w:rPr>
        <w:t xml:space="preserve">The CI was unable </w:t>
      </w:r>
      <w:r w:rsidR="00F566B7" w:rsidRPr="008478DE">
        <w:rPr>
          <w:color w:val="auto"/>
        </w:rPr>
        <w:t>to meet the physical</w:t>
      </w:r>
      <w:r w:rsidR="00F566B7" w:rsidRPr="00F64312">
        <w:rPr>
          <w:color w:val="auto"/>
        </w:rPr>
        <w:t xml:space="preserve"> requirements </w:t>
      </w:r>
      <w:r w:rsidR="00F566B7" w:rsidRPr="0045622F">
        <w:rPr>
          <w:color w:val="auto"/>
        </w:rPr>
        <w:t>of his Military Occupational Specialty (MOS)</w:t>
      </w:r>
      <w:r w:rsidR="0021565F" w:rsidRPr="0045622F">
        <w:rPr>
          <w:color w:val="auto"/>
        </w:rPr>
        <w:t xml:space="preserve"> </w:t>
      </w:r>
      <w:r w:rsidR="00F566B7" w:rsidRPr="0045622F">
        <w:rPr>
          <w:color w:val="auto"/>
        </w:rPr>
        <w:t>or satis</w:t>
      </w:r>
      <w:r w:rsidR="009C12A1" w:rsidRPr="0045622F">
        <w:rPr>
          <w:color w:val="auto"/>
        </w:rPr>
        <w:t>fy physical fitness standards.</w:t>
      </w:r>
      <w:r w:rsidR="00F566B7" w:rsidRPr="0045622F">
        <w:rPr>
          <w:color w:val="auto"/>
        </w:rPr>
        <w:t xml:space="preserve"> </w:t>
      </w:r>
      <w:r w:rsidR="009C12A1" w:rsidRPr="0045622F">
        <w:rPr>
          <w:color w:val="auto"/>
        </w:rPr>
        <w:t xml:space="preserve"> He </w:t>
      </w:r>
      <w:r w:rsidR="00F566B7" w:rsidRPr="0045622F">
        <w:rPr>
          <w:color w:val="auto"/>
        </w:rPr>
        <w:t xml:space="preserve">was issued a permanent </w:t>
      </w:r>
      <w:r w:rsidR="009C2032" w:rsidRPr="0045622F">
        <w:rPr>
          <w:color w:val="auto"/>
        </w:rPr>
        <w:t>U3/</w:t>
      </w:r>
      <w:r w:rsidR="00F566B7" w:rsidRPr="0045622F">
        <w:rPr>
          <w:color w:val="auto"/>
        </w:rPr>
        <w:t>L3 profile and</w:t>
      </w:r>
      <w:r w:rsidR="009C12A1" w:rsidRPr="0045622F">
        <w:rPr>
          <w:color w:val="auto"/>
        </w:rPr>
        <w:t xml:space="preserve"> </w:t>
      </w:r>
      <w:r w:rsidR="00F566B7" w:rsidRPr="0045622F">
        <w:rPr>
          <w:color w:val="auto"/>
        </w:rPr>
        <w:t>referred for a Medical Evaluation Board (MEB).</w:t>
      </w:r>
      <w:r w:rsidR="006D5E1E" w:rsidRPr="0045622F">
        <w:rPr>
          <w:color w:val="auto"/>
        </w:rPr>
        <w:t xml:space="preserve">  </w:t>
      </w:r>
      <w:r w:rsidR="009B556C">
        <w:rPr>
          <w:color w:val="000000" w:themeColor="text1"/>
          <w:szCs w:val="24"/>
        </w:rPr>
        <w:t>Costochondritis and hypertrophic s</w:t>
      </w:r>
      <w:r w:rsidR="009C2032" w:rsidRPr="0045622F">
        <w:rPr>
          <w:color w:val="000000" w:themeColor="text1"/>
          <w:szCs w:val="24"/>
        </w:rPr>
        <w:t xml:space="preserve">car, </w:t>
      </w:r>
      <w:r w:rsidR="009B556C">
        <w:rPr>
          <w:color w:val="000000" w:themeColor="text1"/>
          <w:szCs w:val="24"/>
        </w:rPr>
        <w:t>left f</w:t>
      </w:r>
      <w:r w:rsidR="009C2032" w:rsidRPr="0045622F">
        <w:rPr>
          <w:color w:val="000000" w:themeColor="text1"/>
          <w:szCs w:val="24"/>
        </w:rPr>
        <w:t xml:space="preserve">orearm </w:t>
      </w:r>
      <w:r w:rsidR="009C2032" w:rsidRPr="0045622F">
        <w:rPr>
          <w:color w:val="auto"/>
        </w:rPr>
        <w:t>conditions</w:t>
      </w:r>
      <w:r w:rsidR="00071F0D" w:rsidRPr="0045622F">
        <w:rPr>
          <w:color w:val="auto"/>
        </w:rPr>
        <w:t>, identified in the rating chart below, were also identified and forwarded by the MEB</w:t>
      </w:r>
      <w:r w:rsidR="00F566B7" w:rsidRPr="0045622F">
        <w:rPr>
          <w:color w:val="auto"/>
        </w:rPr>
        <w:t xml:space="preserve">.  </w:t>
      </w:r>
      <w:r w:rsidR="00AB60C7">
        <w:rPr>
          <w:color w:val="auto"/>
        </w:rPr>
        <w:t>On</w:t>
      </w:r>
      <w:r w:rsidR="00F3264E">
        <w:rPr>
          <w:color w:val="auto"/>
        </w:rPr>
        <w:t xml:space="preserve"> </w:t>
      </w:r>
      <w:r w:rsidR="009B556C">
        <w:rPr>
          <w:color w:val="auto"/>
        </w:rPr>
        <w:t>23</w:t>
      </w:r>
      <w:r w:rsidR="00F3264E">
        <w:rPr>
          <w:color w:val="auto"/>
        </w:rPr>
        <w:t> </w:t>
      </w:r>
      <w:r w:rsidR="009B556C">
        <w:rPr>
          <w:color w:val="auto"/>
        </w:rPr>
        <w:t xml:space="preserve">January </w:t>
      </w:r>
      <w:r w:rsidR="00AB60C7">
        <w:rPr>
          <w:color w:val="auto"/>
        </w:rPr>
        <w:t>2007</w:t>
      </w:r>
      <w:r w:rsidR="009B556C">
        <w:rPr>
          <w:color w:val="auto"/>
        </w:rPr>
        <w:t xml:space="preserve"> an I</w:t>
      </w:r>
      <w:r w:rsidR="00AB60C7">
        <w:rPr>
          <w:color w:val="auto"/>
        </w:rPr>
        <w:t xml:space="preserve">nformal PEB (IPEB) initially determined the </w:t>
      </w:r>
      <w:r w:rsidR="009B556C">
        <w:rPr>
          <w:color w:val="auto"/>
        </w:rPr>
        <w:t xml:space="preserve">chronic </w:t>
      </w:r>
      <w:r w:rsidR="00C73F19">
        <w:rPr>
          <w:color w:val="auto"/>
        </w:rPr>
        <w:t>LBP</w:t>
      </w:r>
      <w:r w:rsidR="009B556C">
        <w:rPr>
          <w:color w:val="auto"/>
        </w:rPr>
        <w:t xml:space="preserve"> secondary to left transverse process fractures of</w:t>
      </w:r>
      <w:r w:rsidR="00AB60C7">
        <w:rPr>
          <w:color w:val="auto"/>
        </w:rPr>
        <w:t xml:space="preserve"> L1 and L2 was unfitting, rated 10%, and all other conditions were determined to be not unfitting. </w:t>
      </w:r>
      <w:r w:rsidR="006565F8">
        <w:rPr>
          <w:color w:val="auto"/>
        </w:rPr>
        <w:t xml:space="preserve"> </w:t>
      </w:r>
      <w:r w:rsidR="00AB60C7">
        <w:rPr>
          <w:color w:val="auto"/>
        </w:rPr>
        <w:t xml:space="preserve">The CI </w:t>
      </w:r>
      <w:r w:rsidR="009B556C">
        <w:rPr>
          <w:color w:val="auto"/>
        </w:rPr>
        <w:t>did not concur and requested a F</w:t>
      </w:r>
      <w:r w:rsidR="00AB60C7">
        <w:rPr>
          <w:color w:val="auto"/>
        </w:rPr>
        <w:t>ormal PEB (FPEB)</w:t>
      </w:r>
      <w:r w:rsidR="00ED4013">
        <w:rPr>
          <w:color w:val="auto"/>
        </w:rPr>
        <w:t xml:space="preserve"> and this was scheduled to occur on </w:t>
      </w:r>
      <w:r w:rsidR="009B556C">
        <w:rPr>
          <w:color w:val="auto"/>
        </w:rPr>
        <w:t xml:space="preserve">01 March </w:t>
      </w:r>
      <w:r w:rsidR="00ED4013">
        <w:rPr>
          <w:color w:val="auto"/>
        </w:rPr>
        <w:t>2007</w:t>
      </w:r>
      <w:r w:rsidR="00AB60C7">
        <w:rPr>
          <w:color w:val="auto"/>
        </w:rPr>
        <w:t xml:space="preserve">. </w:t>
      </w:r>
      <w:r w:rsidR="006565F8">
        <w:rPr>
          <w:color w:val="auto"/>
        </w:rPr>
        <w:t xml:space="preserve"> </w:t>
      </w:r>
      <w:r w:rsidR="00AB60C7">
        <w:rPr>
          <w:color w:val="auto"/>
        </w:rPr>
        <w:t xml:space="preserve">However, no record of any FPEB is present in the record.  </w:t>
      </w:r>
      <w:r w:rsidR="0021672B" w:rsidRPr="00C73F19">
        <w:rPr>
          <w:color w:val="auto"/>
        </w:rPr>
        <w:t>An</w:t>
      </w:r>
      <w:r w:rsidR="0021672B">
        <w:rPr>
          <w:color w:val="auto"/>
        </w:rPr>
        <w:t xml:space="preserve"> updated MEB </w:t>
      </w:r>
      <w:r w:rsidR="00C73F19">
        <w:rPr>
          <w:color w:val="auto"/>
        </w:rPr>
        <w:t>n</w:t>
      </w:r>
      <w:r w:rsidR="0021672B">
        <w:rPr>
          <w:color w:val="auto"/>
        </w:rPr>
        <w:t xml:space="preserve">arrative </w:t>
      </w:r>
      <w:r w:rsidR="00C73F19">
        <w:rPr>
          <w:color w:val="auto"/>
        </w:rPr>
        <w:t>s</w:t>
      </w:r>
      <w:r w:rsidR="0021672B">
        <w:rPr>
          <w:color w:val="auto"/>
        </w:rPr>
        <w:t xml:space="preserve">ummary (NARSUM) completed </w:t>
      </w:r>
      <w:r w:rsidR="009B556C">
        <w:rPr>
          <w:color w:val="auto"/>
        </w:rPr>
        <w:t xml:space="preserve">20 January </w:t>
      </w:r>
      <w:r w:rsidR="0021672B">
        <w:rPr>
          <w:color w:val="auto"/>
        </w:rPr>
        <w:t xml:space="preserve">2007 was submitted as an addendum to the original NARSUM. </w:t>
      </w:r>
      <w:r w:rsidR="009B556C">
        <w:rPr>
          <w:color w:val="auto"/>
        </w:rPr>
        <w:t xml:space="preserve"> An Informal R</w:t>
      </w:r>
      <w:r w:rsidR="00AB60C7">
        <w:rPr>
          <w:color w:val="auto"/>
        </w:rPr>
        <w:t>econsideration</w:t>
      </w:r>
      <w:r w:rsidRPr="0045622F">
        <w:rPr>
          <w:color w:val="auto"/>
        </w:rPr>
        <w:t xml:space="preserve"> PEB </w:t>
      </w:r>
      <w:r w:rsidR="00AB60C7">
        <w:rPr>
          <w:color w:val="auto"/>
        </w:rPr>
        <w:t xml:space="preserve">of </w:t>
      </w:r>
      <w:r w:rsidR="00C73F19">
        <w:rPr>
          <w:color w:val="auto"/>
        </w:rPr>
        <w:t>1</w:t>
      </w:r>
      <w:r w:rsidR="00F3264E">
        <w:rPr>
          <w:color w:val="auto"/>
        </w:rPr>
        <w:t> </w:t>
      </w:r>
      <w:r w:rsidR="00C73F19">
        <w:rPr>
          <w:color w:val="auto"/>
        </w:rPr>
        <w:t xml:space="preserve">March 2007 </w:t>
      </w:r>
      <w:r w:rsidRPr="0045622F">
        <w:rPr>
          <w:color w:val="auto"/>
        </w:rPr>
        <w:t xml:space="preserve">adjudicated </w:t>
      </w:r>
      <w:r w:rsidR="00AB60C7">
        <w:rPr>
          <w:color w:val="auto"/>
        </w:rPr>
        <w:t xml:space="preserve">both </w:t>
      </w:r>
      <w:r w:rsidRPr="0045622F">
        <w:rPr>
          <w:color w:val="auto"/>
        </w:rPr>
        <w:t xml:space="preserve">the </w:t>
      </w:r>
      <w:r w:rsidR="009B556C">
        <w:rPr>
          <w:color w:val="auto"/>
        </w:rPr>
        <w:t xml:space="preserve">chronic non-radiating </w:t>
      </w:r>
      <w:r w:rsidR="00C73F19">
        <w:rPr>
          <w:color w:val="auto"/>
        </w:rPr>
        <w:t>LBP</w:t>
      </w:r>
      <w:r w:rsidR="009B556C">
        <w:rPr>
          <w:color w:val="auto"/>
        </w:rPr>
        <w:t xml:space="preserve"> and the chronic left forearm and </w:t>
      </w:r>
      <w:r w:rsidR="009B556C" w:rsidRPr="0045622F">
        <w:rPr>
          <w:color w:val="auto"/>
        </w:rPr>
        <w:t xml:space="preserve">wrist </w:t>
      </w:r>
      <w:r w:rsidR="009B556C">
        <w:rPr>
          <w:color w:val="auto"/>
        </w:rPr>
        <w:t xml:space="preserve">pain </w:t>
      </w:r>
      <w:r w:rsidR="008530E3" w:rsidRPr="0045622F">
        <w:rPr>
          <w:color w:val="auto"/>
        </w:rPr>
        <w:t>condition</w:t>
      </w:r>
      <w:r w:rsidR="009C2032" w:rsidRPr="0045622F">
        <w:rPr>
          <w:color w:val="auto"/>
        </w:rPr>
        <w:t>s</w:t>
      </w:r>
      <w:r w:rsidR="008530E3" w:rsidRPr="0045622F">
        <w:rPr>
          <w:color w:val="auto"/>
        </w:rPr>
        <w:t xml:space="preserve"> as unfitting, rated </w:t>
      </w:r>
      <w:r w:rsidR="009C2032" w:rsidRPr="0045622F">
        <w:rPr>
          <w:color w:val="auto"/>
        </w:rPr>
        <w:t>10</w:t>
      </w:r>
      <w:r w:rsidRPr="0045622F">
        <w:rPr>
          <w:color w:val="auto"/>
        </w:rPr>
        <w:t>%</w:t>
      </w:r>
      <w:r w:rsidR="000C647D" w:rsidRPr="0045622F">
        <w:rPr>
          <w:color w:val="auto"/>
        </w:rPr>
        <w:t xml:space="preserve"> </w:t>
      </w:r>
      <w:r w:rsidR="00AB60C7">
        <w:rPr>
          <w:color w:val="auto"/>
        </w:rPr>
        <w:t>each</w:t>
      </w:r>
      <w:r w:rsidRPr="0045622F">
        <w:rPr>
          <w:color w:val="auto"/>
        </w:rPr>
        <w:t xml:space="preserve">, </w:t>
      </w:r>
      <w:r w:rsidR="00E46D90" w:rsidRPr="0045622F">
        <w:rPr>
          <w:color w:val="auto"/>
        </w:rPr>
        <w:t xml:space="preserve">with application of the </w:t>
      </w:r>
      <w:r w:rsidR="00AB60C7" w:rsidRPr="00AB60C7">
        <w:rPr>
          <w:color w:val="auto"/>
          <w:szCs w:val="24"/>
        </w:rPr>
        <w:t>Veteran’s Affairs Schedule for Rating Disabilities (VASRD)</w:t>
      </w:r>
      <w:r w:rsidR="008A78B7">
        <w:rPr>
          <w:color w:val="auto"/>
          <w:szCs w:val="24"/>
        </w:rPr>
        <w:t xml:space="preserve"> for the back pain condition and </w:t>
      </w:r>
      <w:r w:rsidR="008A78B7" w:rsidRPr="008A78B7">
        <w:rPr>
          <w:color w:val="auto"/>
          <w:szCs w:val="24"/>
        </w:rPr>
        <w:t>the US Army Physical Disability Agency (USAPDA) pain policy for the left forearm and wrist pain condition</w:t>
      </w:r>
      <w:r w:rsidR="00BF72CA" w:rsidRPr="008A78B7">
        <w:rPr>
          <w:color w:val="auto"/>
        </w:rPr>
        <w:t>.</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9C2032" w:rsidRPr="001F29F9" w:rsidRDefault="00AD2379" w:rsidP="009C2032">
      <w:pPr>
        <w:tabs>
          <w:tab w:val="left" w:pos="288"/>
          <w:tab w:val="left" w:pos="4752"/>
        </w:tabs>
        <w:jc w:val="both"/>
        <w:rPr>
          <w:color w:val="000000" w:themeColor="text1"/>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9C2032">
        <w:rPr>
          <w:color w:val="000000" w:themeColor="text1"/>
        </w:rPr>
        <w:t>“L1&amp;L2 Fracture; Disc Desiccation and Height Loss of L1</w:t>
      </w:r>
      <w:r w:rsidR="000E220A">
        <w:rPr>
          <w:color w:val="000000" w:themeColor="text1"/>
        </w:rPr>
        <w:t xml:space="preserve"> and L2; Keloid Scar Left Forea</w:t>
      </w:r>
      <w:r w:rsidR="009C2032">
        <w:rPr>
          <w:color w:val="000000" w:themeColor="text1"/>
        </w:rPr>
        <w:t>rm; Residuals Left Radius Fracture; Urinary Frequency</w:t>
      </w:r>
      <w:r w:rsidR="00A73F86">
        <w:rPr>
          <w:color w:val="000000" w:themeColor="text1"/>
        </w:rPr>
        <w:t>;</w:t>
      </w:r>
      <w:r w:rsidR="009C2032">
        <w:rPr>
          <w:color w:val="000000" w:themeColor="text1"/>
        </w:rPr>
        <w:t xml:space="preserve"> PTSD”</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C566C9" w:rsidRDefault="009239C0" w:rsidP="009239C0">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 xml:space="preserve">view as defined in </w:t>
      </w:r>
      <w:r w:rsidR="00C73F19">
        <w:rPr>
          <w:color w:val="auto"/>
        </w:rPr>
        <w:t>the Department of Defense Instruction (</w:t>
      </w:r>
      <w:r w:rsidR="00AE2B85">
        <w:rPr>
          <w:color w:val="auto"/>
        </w:rPr>
        <w:t>DoDI</w:t>
      </w:r>
      <w:r w:rsidR="00C73F19">
        <w:rPr>
          <w:color w:val="auto"/>
        </w:rPr>
        <w:t>)</w:t>
      </w:r>
      <w:r w:rsidR="00AE2B85">
        <w:rPr>
          <w:color w:val="auto"/>
        </w:rPr>
        <w:t xml:space="preserve"> 6040.44, Enclosure 3, paragraph 5.e</w:t>
      </w:r>
      <w:proofErr w:type="gramStart"/>
      <w:r w:rsidR="00AE2B85">
        <w:rPr>
          <w:color w:val="auto"/>
        </w:rPr>
        <w:t>.(</w:t>
      </w:r>
      <w:proofErr w:type="gramEnd"/>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w:t>
      </w:r>
      <w:r w:rsidRPr="0045622F">
        <w:rPr>
          <w:color w:val="auto"/>
        </w:rPr>
        <w:t>to be unfitting by the PEB</w:t>
      </w:r>
      <w:r w:rsidR="000E220A">
        <w:rPr>
          <w:color w:val="auto"/>
        </w:rPr>
        <w:t>.</w:t>
      </w:r>
      <w:r w:rsidRPr="0045622F">
        <w:rPr>
          <w:color w:val="auto"/>
        </w:rPr>
        <w:t xml:space="preserve">”  The ratings for unfitting </w:t>
      </w:r>
      <w:r w:rsidRPr="009347F9">
        <w:rPr>
          <w:color w:val="auto"/>
        </w:rPr>
        <w:t xml:space="preserve">conditions will be reviewed in all cases.  The conditions </w:t>
      </w:r>
      <w:r w:rsidR="009C2032" w:rsidRPr="009347F9">
        <w:rPr>
          <w:color w:val="auto"/>
        </w:rPr>
        <w:t xml:space="preserve">L1 &amp; L2 </w:t>
      </w:r>
      <w:r w:rsidR="000E220A" w:rsidRPr="009347F9">
        <w:rPr>
          <w:color w:val="auto"/>
        </w:rPr>
        <w:t xml:space="preserve">fracture, disc desiccation, height loss L1 and L2, keloid scar left forearm, and residuals radius fracture </w:t>
      </w:r>
      <w:r w:rsidRPr="009347F9">
        <w:rPr>
          <w:color w:val="auto"/>
        </w:rPr>
        <w:t>as requested for consideration meet the criteria prescribed in DoDI 6040.44 for Board purview; and</w:t>
      </w:r>
      <w:r w:rsidR="000E220A" w:rsidRPr="009347F9">
        <w:rPr>
          <w:color w:val="auto"/>
        </w:rPr>
        <w:t xml:space="preserve"> are addressed below</w:t>
      </w:r>
      <w:r w:rsidRPr="009347F9">
        <w:rPr>
          <w:color w:val="auto"/>
        </w:rPr>
        <w:t xml:space="preserve"> in addition to a review of the Service ratings for </w:t>
      </w:r>
      <w:r w:rsidR="00A73F86" w:rsidRPr="009347F9">
        <w:rPr>
          <w:color w:val="auto"/>
        </w:rPr>
        <w:t>the unfitting</w:t>
      </w:r>
      <w:r w:rsidRPr="009347F9">
        <w:rPr>
          <w:color w:val="auto"/>
        </w:rPr>
        <w:t xml:space="preserve"> conditions.  The requested conditions </w:t>
      </w:r>
      <w:r w:rsidR="009C2032" w:rsidRPr="009347F9">
        <w:rPr>
          <w:color w:val="auto"/>
        </w:rPr>
        <w:t xml:space="preserve">of PTSD and </w:t>
      </w:r>
      <w:r w:rsidR="00304404" w:rsidRPr="009347F9">
        <w:rPr>
          <w:color w:val="auto"/>
        </w:rPr>
        <w:t xml:space="preserve">urinary frequency </w:t>
      </w:r>
      <w:r w:rsidRPr="009347F9">
        <w:rPr>
          <w:color w:val="auto"/>
        </w:rPr>
        <w:t xml:space="preserve">are not within the Board’s purview. </w:t>
      </w:r>
      <w:r w:rsidR="0045622F" w:rsidRPr="009347F9">
        <w:rPr>
          <w:color w:val="auto"/>
        </w:rPr>
        <w:t xml:space="preserve"> </w:t>
      </w:r>
      <w:r w:rsidRPr="009347F9">
        <w:rPr>
          <w:color w:val="auto"/>
        </w:rPr>
        <w:t xml:space="preserve">Any conditions or contention not </w:t>
      </w:r>
      <w:r w:rsidRPr="009347F9">
        <w:rPr>
          <w:color w:val="auto"/>
        </w:rPr>
        <w:lastRenderedPageBreak/>
        <w:t xml:space="preserve">requested in this application, or otherwise outside the Board’s defined scope of review, remain eligible for future consideration by the Army Board for </w:t>
      </w:r>
      <w:r w:rsidR="00A029CF">
        <w:rPr>
          <w:color w:val="auto"/>
        </w:rPr>
        <w:t>Correction of Military Records</w:t>
      </w:r>
      <w:r w:rsidR="0045622F" w:rsidRPr="0045622F">
        <w:rPr>
          <w:color w:val="auto"/>
        </w:rPr>
        <w:t>.</w:t>
      </w:r>
    </w:p>
    <w:p w:rsidR="009239C0" w:rsidRDefault="009239C0" w:rsidP="00DD5558">
      <w:pPr>
        <w:jc w:val="both"/>
        <w:rPr>
          <w:color w:val="auto"/>
          <w:u w:val="single"/>
        </w:rPr>
      </w:pPr>
    </w:p>
    <w:p w:rsidR="0045622F" w:rsidRDefault="0045622F" w:rsidP="00BF0E94">
      <w:pPr>
        <w:jc w:val="left"/>
        <w:rPr>
          <w:color w:val="auto"/>
          <w:u w:val="single"/>
        </w:rPr>
      </w:pPr>
    </w:p>
    <w:p w:rsidR="00AD2379" w:rsidRPr="00F64312" w:rsidRDefault="00AD2379" w:rsidP="00BF0E94">
      <w:pPr>
        <w:jc w:val="left"/>
        <w:rPr>
          <w:color w:val="auto"/>
        </w:rPr>
      </w:pPr>
      <w:r w:rsidRPr="00F64312">
        <w:rPr>
          <w:color w:val="auto"/>
          <w:u w:val="single"/>
        </w:rPr>
        <w:t>RATING COMPARISON</w:t>
      </w:r>
      <w:r w:rsidRPr="00F64312">
        <w:rPr>
          <w:color w:val="auto"/>
        </w:rPr>
        <w:t xml:space="preserve">: </w:t>
      </w:r>
      <w:r w:rsidR="00855E73" w:rsidRPr="00F64312">
        <w:rPr>
          <w:color w:val="auto"/>
        </w:rPr>
        <w:t xml:space="preserve"> </w:t>
      </w:r>
    </w:p>
    <w:p w:rsidR="0045622F" w:rsidRPr="001F29F9" w:rsidRDefault="0045622F" w:rsidP="0045622F">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45622F" w:rsidRPr="00023E53" w:rsidTr="00AB60C7">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45622F" w:rsidRPr="00023E53" w:rsidRDefault="0045622F" w:rsidP="00AB60C7">
            <w:pPr>
              <w:contextualSpacing/>
              <w:rPr>
                <w:rFonts w:cs="Calibri"/>
                <w:b/>
                <w:color w:val="000000" w:themeColor="text1"/>
                <w:sz w:val="18"/>
                <w:szCs w:val="18"/>
              </w:rPr>
            </w:pPr>
            <w:r w:rsidRPr="00023E53">
              <w:rPr>
                <w:rFonts w:cs="Calibri"/>
                <w:b/>
                <w:color w:val="000000" w:themeColor="text1"/>
                <w:sz w:val="18"/>
                <w:szCs w:val="18"/>
              </w:rPr>
              <w:t>Service IPEB – Dated 20070301</w:t>
            </w:r>
          </w:p>
        </w:tc>
        <w:tc>
          <w:tcPr>
            <w:tcW w:w="5220" w:type="dxa"/>
            <w:gridSpan w:val="4"/>
            <w:tcBorders>
              <w:left w:val="thinThickThinSmallGap" w:sz="24" w:space="0" w:color="auto"/>
            </w:tcBorders>
            <w:shd w:val="clear" w:color="auto" w:fill="D9D9D9" w:themeFill="background1" w:themeFillShade="D9"/>
            <w:vAlign w:val="center"/>
          </w:tcPr>
          <w:p w:rsidR="0045622F" w:rsidRPr="00023E53" w:rsidRDefault="000E220A" w:rsidP="00AB60C7">
            <w:pPr>
              <w:contextualSpacing/>
              <w:rPr>
                <w:rFonts w:cs="Calibri"/>
                <w:b/>
                <w:color w:val="000000" w:themeColor="text1"/>
                <w:sz w:val="18"/>
                <w:szCs w:val="18"/>
              </w:rPr>
            </w:pPr>
            <w:r>
              <w:rPr>
                <w:rFonts w:cs="Calibri"/>
                <w:b/>
                <w:color w:val="000000" w:themeColor="text1"/>
                <w:sz w:val="18"/>
                <w:szCs w:val="18"/>
              </w:rPr>
              <w:t>VA (2 Months</w:t>
            </w:r>
            <w:r w:rsidR="0045622F" w:rsidRPr="00023E53">
              <w:rPr>
                <w:rFonts w:cs="Calibri"/>
                <w:b/>
                <w:color w:val="000000" w:themeColor="text1"/>
                <w:sz w:val="18"/>
                <w:szCs w:val="18"/>
              </w:rPr>
              <w:t xml:space="preserve"> After Separation) – All Effective Date 20070508</w:t>
            </w:r>
          </w:p>
        </w:tc>
      </w:tr>
      <w:tr w:rsidR="0045622F" w:rsidRPr="00023E53" w:rsidTr="00AB60C7">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45622F" w:rsidRPr="00023E53" w:rsidRDefault="0045622F" w:rsidP="00AB60C7">
            <w:pPr>
              <w:contextualSpacing/>
              <w:rPr>
                <w:rFonts w:cs="Calibri"/>
                <w:b/>
                <w:color w:val="000000" w:themeColor="text1"/>
                <w:sz w:val="18"/>
                <w:szCs w:val="18"/>
              </w:rPr>
            </w:pPr>
            <w:r w:rsidRPr="00023E53">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45622F" w:rsidRPr="00023E53" w:rsidRDefault="0045622F" w:rsidP="00AB60C7">
            <w:pPr>
              <w:contextualSpacing/>
              <w:rPr>
                <w:rFonts w:cs="Calibri"/>
                <w:b/>
                <w:color w:val="000000" w:themeColor="text1"/>
                <w:sz w:val="18"/>
                <w:szCs w:val="18"/>
              </w:rPr>
            </w:pPr>
            <w:r w:rsidRPr="00023E53">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5622F" w:rsidRPr="00023E53" w:rsidRDefault="0045622F" w:rsidP="00AB60C7">
            <w:pPr>
              <w:contextualSpacing/>
              <w:rPr>
                <w:rFonts w:cs="Calibri"/>
                <w:b/>
                <w:color w:val="000000" w:themeColor="text1"/>
                <w:sz w:val="18"/>
                <w:szCs w:val="18"/>
              </w:rPr>
            </w:pPr>
            <w:r w:rsidRPr="00023E53">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45622F" w:rsidRPr="00023E53" w:rsidRDefault="0045622F" w:rsidP="00AB60C7">
            <w:pPr>
              <w:contextualSpacing/>
              <w:rPr>
                <w:rFonts w:cs="Calibri"/>
                <w:b/>
                <w:color w:val="000000" w:themeColor="text1"/>
                <w:sz w:val="18"/>
                <w:szCs w:val="18"/>
              </w:rPr>
            </w:pPr>
            <w:r w:rsidRPr="00023E53">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45622F" w:rsidRPr="00023E53" w:rsidRDefault="0045622F" w:rsidP="00AB60C7">
            <w:pPr>
              <w:contextualSpacing/>
              <w:rPr>
                <w:rFonts w:cs="Calibri"/>
                <w:b/>
                <w:color w:val="000000" w:themeColor="text1"/>
                <w:sz w:val="18"/>
                <w:szCs w:val="18"/>
              </w:rPr>
            </w:pPr>
            <w:r w:rsidRPr="00023E53">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45622F" w:rsidRPr="00023E53" w:rsidRDefault="0045622F" w:rsidP="00AB60C7">
            <w:pPr>
              <w:contextualSpacing/>
              <w:rPr>
                <w:rFonts w:cs="Calibri"/>
                <w:b/>
                <w:color w:val="000000" w:themeColor="text1"/>
                <w:sz w:val="18"/>
                <w:szCs w:val="18"/>
              </w:rPr>
            </w:pPr>
            <w:r w:rsidRPr="00023E53">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45622F" w:rsidRPr="00023E53" w:rsidRDefault="0045622F" w:rsidP="00AB60C7">
            <w:pPr>
              <w:contextualSpacing/>
              <w:rPr>
                <w:rFonts w:cs="Calibri"/>
                <w:b/>
                <w:color w:val="000000" w:themeColor="text1"/>
                <w:sz w:val="18"/>
                <w:szCs w:val="18"/>
              </w:rPr>
            </w:pPr>
            <w:r w:rsidRPr="00023E53">
              <w:rPr>
                <w:rFonts w:cs="Calibri"/>
                <w:b/>
                <w:color w:val="000000" w:themeColor="text1"/>
                <w:sz w:val="18"/>
                <w:szCs w:val="18"/>
              </w:rPr>
              <w:t>Exam</w:t>
            </w:r>
          </w:p>
        </w:tc>
      </w:tr>
      <w:tr w:rsidR="0045622F" w:rsidRPr="00023E53" w:rsidTr="00AB60C7">
        <w:trPr>
          <w:trHeight w:val="287"/>
          <w:jc w:val="center"/>
        </w:trPr>
        <w:tc>
          <w:tcPr>
            <w:tcW w:w="2178" w:type="dxa"/>
            <w:tcBorders>
              <w:right w:val="single" w:sz="4" w:space="0" w:color="auto"/>
            </w:tcBorders>
            <w:shd w:val="clear" w:color="auto" w:fill="FFFFFF" w:themeFill="background1"/>
            <w:vAlign w:val="center"/>
          </w:tcPr>
          <w:p w:rsidR="0045622F" w:rsidRPr="00023E53" w:rsidRDefault="0045622F" w:rsidP="00AB60C7">
            <w:pPr>
              <w:spacing w:line="180" w:lineRule="exact"/>
              <w:contextualSpacing/>
              <w:jc w:val="left"/>
              <w:rPr>
                <w:rFonts w:cs="Calibri"/>
                <w:color w:val="000000" w:themeColor="text1"/>
                <w:sz w:val="18"/>
                <w:szCs w:val="18"/>
              </w:rPr>
            </w:pPr>
            <w:r w:rsidRPr="00023E53">
              <w:rPr>
                <w:rFonts w:cs="Calibri"/>
                <w:color w:val="000000" w:themeColor="text1"/>
                <w:sz w:val="18"/>
                <w:szCs w:val="18"/>
              </w:rPr>
              <w:t>Chronic Non-Radiating Low Back Pain</w:t>
            </w:r>
          </w:p>
        </w:tc>
        <w:tc>
          <w:tcPr>
            <w:tcW w:w="1080" w:type="dxa"/>
            <w:tcBorders>
              <w:left w:val="single" w:sz="4" w:space="0" w:color="auto"/>
            </w:tcBorders>
            <w:shd w:val="clear" w:color="auto" w:fill="FFFFFF" w:themeFill="background1"/>
            <w:vAlign w:val="center"/>
          </w:tcPr>
          <w:p w:rsidR="0045622F" w:rsidRPr="00023E53" w:rsidRDefault="0045622F" w:rsidP="00AB60C7">
            <w:pPr>
              <w:spacing w:line="180" w:lineRule="exact"/>
              <w:contextualSpacing/>
              <w:rPr>
                <w:rFonts w:cs="Calibri"/>
                <w:color w:val="000000" w:themeColor="text1"/>
                <w:sz w:val="18"/>
                <w:szCs w:val="18"/>
              </w:rPr>
            </w:pPr>
            <w:r w:rsidRPr="00023E53">
              <w:rPr>
                <w:rFonts w:cs="Calibri"/>
                <w:color w:val="000000" w:themeColor="text1"/>
                <w:sz w:val="18"/>
                <w:szCs w:val="18"/>
              </w:rPr>
              <w:t>5235</w:t>
            </w:r>
          </w:p>
        </w:tc>
        <w:tc>
          <w:tcPr>
            <w:tcW w:w="900" w:type="dxa"/>
            <w:tcBorders>
              <w:right w:val="thinThickThinSmallGap" w:sz="24" w:space="0" w:color="auto"/>
            </w:tcBorders>
            <w:shd w:val="clear" w:color="auto" w:fill="FFFFFF" w:themeFill="background1"/>
            <w:vAlign w:val="center"/>
          </w:tcPr>
          <w:p w:rsidR="0045622F" w:rsidRPr="00023E53" w:rsidRDefault="0045622F" w:rsidP="00AB60C7">
            <w:pPr>
              <w:spacing w:line="180" w:lineRule="exact"/>
              <w:rPr>
                <w:rFonts w:cs="Calibri"/>
                <w:color w:val="000000" w:themeColor="text1"/>
                <w:sz w:val="18"/>
                <w:szCs w:val="18"/>
              </w:rPr>
            </w:pPr>
            <w:r w:rsidRPr="00023E53">
              <w:rPr>
                <w:rFonts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45622F" w:rsidRPr="00023E53" w:rsidRDefault="0045622F" w:rsidP="00AB60C7">
            <w:pPr>
              <w:spacing w:line="180" w:lineRule="exact"/>
              <w:contextualSpacing/>
              <w:jc w:val="left"/>
              <w:rPr>
                <w:rFonts w:cs="Calibri"/>
                <w:color w:val="000000" w:themeColor="text1"/>
                <w:sz w:val="18"/>
                <w:szCs w:val="18"/>
              </w:rPr>
            </w:pPr>
            <w:r w:rsidRPr="00023E53">
              <w:rPr>
                <w:rFonts w:cs="Calibri"/>
                <w:color w:val="000000" w:themeColor="text1"/>
                <w:sz w:val="18"/>
                <w:szCs w:val="18"/>
              </w:rPr>
              <w:t>I</w:t>
            </w:r>
            <w:r w:rsidR="00A73F86">
              <w:rPr>
                <w:rFonts w:cs="Calibri"/>
                <w:color w:val="000000" w:themeColor="text1"/>
                <w:sz w:val="18"/>
                <w:szCs w:val="18"/>
              </w:rPr>
              <w:t xml:space="preserve">ntervertebral Disc </w:t>
            </w:r>
            <w:r w:rsidR="000E220A">
              <w:rPr>
                <w:rFonts w:cs="Calibri"/>
                <w:color w:val="000000" w:themeColor="text1"/>
                <w:sz w:val="18"/>
                <w:szCs w:val="18"/>
              </w:rPr>
              <w:t>Desiccation</w:t>
            </w:r>
            <w:r w:rsidR="00A73F86">
              <w:rPr>
                <w:rFonts w:cs="Calibri"/>
                <w:color w:val="000000" w:themeColor="text1"/>
                <w:sz w:val="18"/>
                <w:szCs w:val="18"/>
              </w:rPr>
              <w:t xml:space="preserve"> and</w:t>
            </w:r>
            <w:r w:rsidRPr="00023E53">
              <w:rPr>
                <w:rFonts w:cs="Calibri"/>
                <w:color w:val="000000" w:themeColor="text1"/>
                <w:sz w:val="18"/>
                <w:szCs w:val="18"/>
              </w:rPr>
              <w:t xml:space="preserve"> Disc Height Loss of L1 and L2, and L1-L2 Transverse Process Fractures</w:t>
            </w:r>
          </w:p>
        </w:tc>
        <w:tc>
          <w:tcPr>
            <w:tcW w:w="1080" w:type="dxa"/>
            <w:shd w:val="clear" w:color="auto" w:fill="FFFFFF" w:themeFill="background1"/>
            <w:vAlign w:val="center"/>
          </w:tcPr>
          <w:p w:rsidR="0045622F" w:rsidRPr="00023E53" w:rsidRDefault="0045622F" w:rsidP="00AB60C7">
            <w:pPr>
              <w:spacing w:line="180" w:lineRule="exact"/>
              <w:contextualSpacing/>
              <w:rPr>
                <w:rFonts w:cs="Calibri"/>
                <w:color w:val="000000" w:themeColor="text1"/>
                <w:sz w:val="18"/>
                <w:szCs w:val="18"/>
              </w:rPr>
            </w:pPr>
            <w:r w:rsidRPr="00023E53">
              <w:rPr>
                <w:rFonts w:cs="Calibri"/>
                <w:color w:val="000000" w:themeColor="text1"/>
                <w:sz w:val="18"/>
                <w:szCs w:val="18"/>
              </w:rPr>
              <w:t>5235</w:t>
            </w:r>
          </w:p>
        </w:tc>
        <w:tc>
          <w:tcPr>
            <w:tcW w:w="828" w:type="dxa"/>
            <w:shd w:val="clear" w:color="auto" w:fill="FFFFFF" w:themeFill="background1"/>
            <w:vAlign w:val="center"/>
          </w:tcPr>
          <w:p w:rsidR="0045622F" w:rsidRPr="00023E53" w:rsidRDefault="0045622F" w:rsidP="00AB60C7">
            <w:pPr>
              <w:spacing w:line="180" w:lineRule="exact"/>
              <w:contextualSpacing/>
              <w:rPr>
                <w:rFonts w:cs="Calibri"/>
                <w:color w:val="000000" w:themeColor="text1"/>
                <w:sz w:val="18"/>
                <w:szCs w:val="18"/>
              </w:rPr>
            </w:pPr>
            <w:r w:rsidRPr="00023E53">
              <w:rPr>
                <w:rFonts w:cs="Calibri"/>
                <w:color w:val="000000" w:themeColor="text1"/>
                <w:sz w:val="18"/>
                <w:szCs w:val="18"/>
              </w:rPr>
              <w:t>100%</w:t>
            </w:r>
            <w:r w:rsidR="00622862">
              <w:rPr>
                <w:rFonts w:cs="Calibri"/>
                <w:color w:val="000000" w:themeColor="text1"/>
                <w:sz w:val="18"/>
                <w:szCs w:val="18"/>
              </w:rPr>
              <w:t>*</w:t>
            </w:r>
          </w:p>
        </w:tc>
        <w:tc>
          <w:tcPr>
            <w:tcW w:w="990" w:type="dxa"/>
            <w:shd w:val="clear" w:color="auto" w:fill="FFFFFF" w:themeFill="background1"/>
            <w:vAlign w:val="center"/>
          </w:tcPr>
          <w:p w:rsidR="0045622F" w:rsidRPr="00023E53" w:rsidRDefault="0045622F" w:rsidP="00AB60C7">
            <w:pPr>
              <w:spacing w:line="180" w:lineRule="exact"/>
              <w:contextualSpacing/>
              <w:rPr>
                <w:rFonts w:cs="Calibri"/>
                <w:color w:val="000000" w:themeColor="text1"/>
                <w:sz w:val="18"/>
                <w:szCs w:val="18"/>
              </w:rPr>
            </w:pPr>
            <w:r w:rsidRPr="00023E53">
              <w:rPr>
                <w:rFonts w:cs="Calibri"/>
                <w:color w:val="000000" w:themeColor="text1"/>
                <w:sz w:val="18"/>
                <w:szCs w:val="18"/>
              </w:rPr>
              <w:t>20070731</w:t>
            </w:r>
          </w:p>
        </w:tc>
      </w:tr>
      <w:tr w:rsidR="0045622F" w:rsidRPr="00023E53" w:rsidTr="00AB60C7">
        <w:trPr>
          <w:trHeight w:val="287"/>
          <w:jc w:val="center"/>
        </w:trPr>
        <w:tc>
          <w:tcPr>
            <w:tcW w:w="2178" w:type="dxa"/>
            <w:tcBorders>
              <w:right w:val="single" w:sz="4" w:space="0" w:color="auto"/>
            </w:tcBorders>
            <w:shd w:val="clear" w:color="auto" w:fill="FFFFFF" w:themeFill="background1"/>
            <w:vAlign w:val="center"/>
          </w:tcPr>
          <w:p w:rsidR="0045622F" w:rsidRPr="00023E53" w:rsidRDefault="0045622F" w:rsidP="00A73F86">
            <w:pPr>
              <w:spacing w:line="180" w:lineRule="exact"/>
              <w:contextualSpacing/>
              <w:jc w:val="left"/>
              <w:rPr>
                <w:rFonts w:cs="Calibri"/>
                <w:color w:val="000000" w:themeColor="text1"/>
                <w:sz w:val="18"/>
                <w:szCs w:val="18"/>
              </w:rPr>
            </w:pPr>
            <w:r w:rsidRPr="00023E53">
              <w:rPr>
                <w:rFonts w:cs="Calibri"/>
                <w:color w:val="000000" w:themeColor="text1"/>
                <w:sz w:val="18"/>
                <w:szCs w:val="18"/>
              </w:rPr>
              <w:t>Chronic L</w:t>
            </w:r>
            <w:r w:rsidR="00A73F86">
              <w:rPr>
                <w:rFonts w:cs="Calibri"/>
                <w:color w:val="000000" w:themeColor="text1"/>
                <w:sz w:val="18"/>
                <w:szCs w:val="18"/>
              </w:rPr>
              <w:t>ef</w:t>
            </w:r>
            <w:r w:rsidRPr="00023E53">
              <w:rPr>
                <w:rFonts w:cs="Calibri"/>
                <w:color w:val="000000" w:themeColor="text1"/>
                <w:sz w:val="18"/>
                <w:szCs w:val="18"/>
              </w:rPr>
              <w:t xml:space="preserve">t Forearm </w:t>
            </w:r>
            <w:r w:rsidR="00A73F86">
              <w:rPr>
                <w:rFonts w:cs="Calibri"/>
                <w:color w:val="000000" w:themeColor="text1"/>
                <w:sz w:val="18"/>
                <w:szCs w:val="18"/>
              </w:rPr>
              <w:t>and</w:t>
            </w:r>
            <w:r w:rsidRPr="00023E53">
              <w:rPr>
                <w:rFonts w:cs="Calibri"/>
                <w:color w:val="000000" w:themeColor="text1"/>
                <w:sz w:val="18"/>
                <w:szCs w:val="18"/>
              </w:rPr>
              <w:t xml:space="preserve"> Wrist Pain</w:t>
            </w:r>
          </w:p>
        </w:tc>
        <w:tc>
          <w:tcPr>
            <w:tcW w:w="1080" w:type="dxa"/>
            <w:tcBorders>
              <w:left w:val="single" w:sz="4" w:space="0" w:color="auto"/>
            </w:tcBorders>
            <w:shd w:val="clear" w:color="auto" w:fill="FFFFFF" w:themeFill="background1"/>
            <w:vAlign w:val="center"/>
          </w:tcPr>
          <w:p w:rsidR="0045622F" w:rsidRPr="00023E53" w:rsidRDefault="0045622F" w:rsidP="00AB60C7">
            <w:pPr>
              <w:spacing w:line="180" w:lineRule="exact"/>
              <w:contextualSpacing/>
              <w:rPr>
                <w:rFonts w:cs="Calibri"/>
                <w:color w:val="000000" w:themeColor="text1"/>
                <w:sz w:val="18"/>
                <w:szCs w:val="18"/>
              </w:rPr>
            </w:pPr>
            <w:r w:rsidRPr="00023E53">
              <w:rPr>
                <w:rFonts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45622F" w:rsidRPr="00023E53" w:rsidRDefault="0045622F" w:rsidP="00AB60C7">
            <w:pPr>
              <w:spacing w:line="180" w:lineRule="exact"/>
              <w:rPr>
                <w:rFonts w:cs="Calibri"/>
                <w:color w:val="000000" w:themeColor="text1"/>
                <w:sz w:val="18"/>
                <w:szCs w:val="18"/>
              </w:rPr>
            </w:pPr>
            <w:r w:rsidRPr="00023E53">
              <w:rPr>
                <w:rFonts w:cs="Calibri"/>
                <w:color w:val="000000" w:themeColor="text1"/>
                <w:sz w:val="18"/>
                <w:szCs w:val="18"/>
              </w:rPr>
              <w:t>10%</w:t>
            </w:r>
          </w:p>
        </w:tc>
        <w:tc>
          <w:tcPr>
            <w:tcW w:w="2322" w:type="dxa"/>
            <w:tcBorders>
              <w:left w:val="thinThickThinSmallGap" w:sz="24" w:space="0" w:color="auto"/>
              <w:right w:val="single" w:sz="4" w:space="0" w:color="auto"/>
            </w:tcBorders>
            <w:shd w:val="clear" w:color="auto" w:fill="FFFFFF" w:themeFill="background1"/>
            <w:vAlign w:val="center"/>
          </w:tcPr>
          <w:p w:rsidR="0045622F" w:rsidRPr="00023E53" w:rsidRDefault="0045622F" w:rsidP="00AB60C7">
            <w:pPr>
              <w:spacing w:line="180" w:lineRule="exact"/>
              <w:contextualSpacing/>
              <w:jc w:val="left"/>
              <w:rPr>
                <w:rFonts w:cs="Calibri"/>
                <w:color w:val="000000" w:themeColor="text1"/>
                <w:sz w:val="18"/>
                <w:szCs w:val="18"/>
              </w:rPr>
            </w:pPr>
            <w:r w:rsidRPr="00023E53">
              <w:rPr>
                <w:rFonts w:cs="Calibri"/>
                <w:color w:val="000000" w:themeColor="text1"/>
                <w:sz w:val="18"/>
                <w:szCs w:val="18"/>
              </w:rPr>
              <w:t>Residuals L</w:t>
            </w:r>
            <w:r w:rsidR="00A73F86">
              <w:rPr>
                <w:rFonts w:cs="Calibri"/>
                <w:color w:val="000000" w:themeColor="text1"/>
                <w:sz w:val="18"/>
                <w:szCs w:val="18"/>
              </w:rPr>
              <w:t>ef</w:t>
            </w:r>
            <w:r w:rsidRPr="00023E53">
              <w:rPr>
                <w:rFonts w:cs="Calibri"/>
                <w:color w:val="000000" w:themeColor="text1"/>
                <w:sz w:val="18"/>
                <w:szCs w:val="18"/>
              </w:rPr>
              <w:t>t Radius Fracture</w:t>
            </w:r>
          </w:p>
        </w:tc>
        <w:tc>
          <w:tcPr>
            <w:tcW w:w="1080" w:type="dxa"/>
            <w:tcBorders>
              <w:left w:val="single" w:sz="4" w:space="0" w:color="auto"/>
            </w:tcBorders>
            <w:shd w:val="clear" w:color="auto" w:fill="FFFFFF" w:themeFill="background1"/>
            <w:vAlign w:val="center"/>
          </w:tcPr>
          <w:p w:rsidR="0045622F" w:rsidRPr="00023E53" w:rsidRDefault="0045622F" w:rsidP="00AB60C7">
            <w:pPr>
              <w:spacing w:line="180" w:lineRule="exact"/>
              <w:contextualSpacing/>
              <w:rPr>
                <w:rFonts w:cs="Calibri"/>
                <w:color w:val="000000" w:themeColor="text1"/>
                <w:sz w:val="18"/>
                <w:szCs w:val="18"/>
              </w:rPr>
            </w:pPr>
            <w:r w:rsidRPr="00023E53">
              <w:rPr>
                <w:rFonts w:cs="Calibri"/>
                <w:color w:val="000000" w:themeColor="text1"/>
                <w:sz w:val="18"/>
                <w:szCs w:val="18"/>
              </w:rPr>
              <w:t>5299-5211</w:t>
            </w:r>
          </w:p>
        </w:tc>
        <w:tc>
          <w:tcPr>
            <w:tcW w:w="828" w:type="dxa"/>
            <w:shd w:val="clear" w:color="auto" w:fill="FFFFFF" w:themeFill="background1"/>
            <w:vAlign w:val="center"/>
          </w:tcPr>
          <w:p w:rsidR="0045622F" w:rsidRPr="00023E53" w:rsidRDefault="0045622F" w:rsidP="00AB60C7">
            <w:pPr>
              <w:spacing w:line="180" w:lineRule="exact"/>
              <w:contextualSpacing/>
              <w:rPr>
                <w:rFonts w:cs="Calibri"/>
                <w:color w:val="000000" w:themeColor="text1"/>
                <w:sz w:val="18"/>
                <w:szCs w:val="18"/>
              </w:rPr>
            </w:pPr>
            <w:r w:rsidRPr="00023E53">
              <w:rPr>
                <w:rFonts w:cs="Calibri"/>
                <w:color w:val="000000" w:themeColor="text1"/>
                <w:sz w:val="18"/>
                <w:szCs w:val="18"/>
              </w:rPr>
              <w:t>10%</w:t>
            </w:r>
          </w:p>
        </w:tc>
        <w:tc>
          <w:tcPr>
            <w:tcW w:w="990" w:type="dxa"/>
            <w:shd w:val="clear" w:color="auto" w:fill="FFFFFF" w:themeFill="background1"/>
            <w:vAlign w:val="center"/>
          </w:tcPr>
          <w:p w:rsidR="0045622F" w:rsidRPr="00023E53" w:rsidRDefault="0045622F" w:rsidP="00AB60C7">
            <w:pPr>
              <w:spacing w:line="180" w:lineRule="exact"/>
              <w:contextualSpacing/>
              <w:rPr>
                <w:rFonts w:cs="Calibri"/>
                <w:color w:val="000000" w:themeColor="text1"/>
                <w:sz w:val="18"/>
                <w:szCs w:val="18"/>
              </w:rPr>
            </w:pPr>
            <w:r w:rsidRPr="00023E53">
              <w:rPr>
                <w:rFonts w:cs="Calibri"/>
                <w:color w:val="000000" w:themeColor="text1"/>
                <w:sz w:val="18"/>
                <w:szCs w:val="18"/>
              </w:rPr>
              <w:t>20070801</w:t>
            </w:r>
          </w:p>
        </w:tc>
      </w:tr>
      <w:tr w:rsidR="00A73F86" w:rsidRPr="00023E53" w:rsidTr="00AB60C7">
        <w:trPr>
          <w:trHeight w:val="287"/>
          <w:jc w:val="center"/>
        </w:trPr>
        <w:tc>
          <w:tcPr>
            <w:tcW w:w="2178" w:type="dxa"/>
            <w:tcBorders>
              <w:right w:val="single" w:sz="4" w:space="0" w:color="auto"/>
            </w:tcBorders>
            <w:shd w:val="clear" w:color="auto" w:fill="FFFFFF" w:themeFill="background1"/>
            <w:vAlign w:val="center"/>
          </w:tcPr>
          <w:p w:rsidR="00A73F86" w:rsidRPr="00023E53" w:rsidRDefault="00A73F86" w:rsidP="00A73F86">
            <w:pPr>
              <w:spacing w:line="180" w:lineRule="exact"/>
              <w:contextualSpacing/>
              <w:jc w:val="left"/>
              <w:rPr>
                <w:rFonts w:cs="Calibri"/>
                <w:color w:val="000000" w:themeColor="text1"/>
                <w:sz w:val="18"/>
                <w:szCs w:val="18"/>
              </w:rPr>
            </w:pPr>
            <w:r w:rsidRPr="00023E53">
              <w:rPr>
                <w:rFonts w:cs="Calibri"/>
                <w:color w:val="000000" w:themeColor="text1"/>
                <w:sz w:val="18"/>
                <w:szCs w:val="18"/>
              </w:rPr>
              <w:t>Hypertrophic Scar, L</w:t>
            </w:r>
            <w:r>
              <w:rPr>
                <w:rFonts w:cs="Calibri"/>
                <w:color w:val="000000" w:themeColor="text1"/>
                <w:sz w:val="18"/>
                <w:szCs w:val="18"/>
              </w:rPr>
              <w:t>ef</w:t>
            </w:r>
            <w:r w:rsidRPr="00023E53">
              <w:rPr>
                <w:rFonts w:cs="Calibri"/>
                <w:color w:val="000000" w:themeColor="text1"/>
                <w:sz w:val="18"/>
                <w:szCs w:val="18"/>
              </w:rPr>
              <w:t>t Forearm</w:t>
            </w:r>
          </w:p>
        </w:tc>
        <w:tc>
          <w:tcPr>
            <w:tcW w:w="1980" w:type="dxa"/>
            <w:gridSpan w:val="2"/>
            <w:tcBorders>
              <w:left w:val="single" w:sz="4" w:space="0" w:color="auto"/>
              <w:right w:val="thinThickThinSmallGap" w:sz="24" w:space="0" w:color="auto"/>
            </w:tcBorders>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Pr>
                <w:rFonts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73F86" w:rsidRPr="00023E53" w:rsidRDefault="00A73F86" w:rsidP="00A73F86">
            <w:pPr>
              <w:spacing w:line="180" w:lineRule="exact"/>
              <w:contextualSpacing/>
              <w:jc w:val="left"/>
              <w:rPr>
                <w:rFonts w:cs="Calibri"/>
                <w:color w:val="000000" w:themeColor="text1"/>
                <w:sz w:val="18"/>
                <w:szCs w:val="18"/>
              </w:rPr>
            </w:pPr>
            <w:r w:rsidRPr="00023E53">
              <w:rPr>
                <w:rFonts w:cs="Calibri"/>
                <w:color w:val="000000" w:themeColor="text1"/>
                <w:sz w:val="18"/>
                <w:szCs w:val="18"/>
              </w:rPr>
              <w:t>Keloid Scar Left Forearm</w:t>
            </w:r>
          </w:p>
        </w:tc>
        <w:tc>
          <w:tcPr>
            <w:tcW w:w="1080" w:type="dxa"/>
            <w:tcBorders>
              <w:left w:val="single" w:sz="4" w:space="0" w:color="auto"/>
            </w:tcBorders>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sidRPr="00023E53">
              <w:rPr>
                <w:rFonts w:cs="Calibri"/>
                <w:color w:val="000000" w:themeColor="text1"/>
                <w:sz w:val="18"/>
                <w:szCs w:val="18"/>
              </w:rPr>
              <w:t>7801</w:t>
            </w:r>
          </w:p>
        </w:tc>
        <w:tc>
          <w:tcPr>
            <w:tcW w:w="828" w:type="dxa"/>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sidRPr="00023E53">
              <w:rPr>
                <w:rFonts w:cs="Calibri"/>
                <w:color w:val="000000" w:themeColor="text1"/>
                <w:sz w:val="18"/>
                <w:szCs w:val="18"/>
              </w:rPr>
              <w:t>10%</w:t>
            </w:r>
          </w:p>
        </w:tc>
        <w:tc>
          <w:tcPr>
            <w:tcW w:w="990" w:type="dxa"/>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sidRPr="00023E53">
              <w:rPr>
                <w:rFonts w:cs="Calibri"/>
                <w:color w:val="000000" w:themeColor="text1"/>
                <w:sz w:val="18"/>
                <w:szCs w:val="18"/>
              </w:rPr>
              <w:t>20070801</w:t>
            </w:r>
          </w:p>
        </w:tc>
      </w:tr>
      <w:tr w:rsidR="00A73F86" w:rsidRPr="00023E53" w:rsidTr="00AB60C7">
        <w:trPr>
          <w:trHeight w:val="287"/>
          <w:jc w:val="center"/>
        </w:trPr>
        <w:tc>
          <w:tcPr>
            <w:tcW w:w="2178" w:type="dxa"/>
            <w:tcBorders>
              <w:right w:val="single" w:sz="4" w:space="0" w:color="auto"/>
            </w:tcBorders>
            <w:shd w:val="clear" w:color="auto" w:fill="FFFFFF" w:themeFill="background1"/>
            <w:vAlign w:val="center"/>
          </w:tcPr>
          <w:p w:rsidR="00A73F86" w:rsidRPr="00023E53" w:rsidRDefault="00A73F86" w:rsidP="00A73F86">
            <w:pPr>
              <w:spacing w:line="180" w:lineRule="exact"/>
              <w:contextualSpacing/>
              <w:jc w:val="left"/>
              <w:rPr>
                <w:rFonts w:cs="Calibri"/>
                <w:color w:val="000000" w:themeColor="text1"/>
                <w:sz w:val="18"/>
                <w:szCs w:val="18"/>
              </w:rPr>
            </w:pPr>
            <w:r w:rsidRPr="00023E53">
              <w:rPr>
                <w:rFonts w:cs="Calibri"/>
                <w:color w:val="000000" w:themeColor="text1"/>
                <w:sz w:val="18"/>
                <w:szCs w:val="18"/>
              </w:rPr>
              <w:t>Costochondritis</w:t>
            </w:r>
          </w:p>
        </w:tc>
        <w:tc>
          <w:tcPr>
            <w:tcW w:w="1980" w:type="dxa"/>
            <w:gridSpan w:val="2"/>
            <w:tcBorders>
              <w:left w:val="single" w:sz="4" w:space="0" w:color="auto"/>
              <w:right w:val="thinThickThinSmallGap" w:sz="24" w:space="0" w:color="auto"/>
            </w:tcBorders>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Pr>
                <w:rFonts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73F86" w:rsidRPr="00023E53" w:rsidRDefault="00A73F86" w:rsidP="00A73F86">
            <w:pPr>
              <w:spacing w:line="180" w:lineRule="exact"/>
              <w:contextualSpacing/>
              <w:jc w:val="left"/>
              <w:rPr>
                <w:rFonts w:cs="Calibri"/>
                <w:color w:val="000000" w:themeColor="text1"/>
                <w:sz w:val="18"/>
                <w:szCs w:val="18"/>
              </w:rPr>
            </w:pPr>
            <w:r w:rsidRPr="00023E53">
              <w:rPr>
                <w:rFonts w:cs="Calibri"/>
                <w:color w:val="000000" w:themeColor="text1"/>
                <w:sz w:val="18"/>
                <w:szCs w:val="18"/>
              </w:rPr>
              <w:t>Costochondritis</w:t>
            </w:r>
          </w:p>
        </w:tc>
        <w:tc>
          <w:tcPr>
            <w:tcW w:w="1080" w:type="dxa"/>
            <w:tcBorders>
              <w:left w:val="single" w:sz="4" w:space="0" w:color="auto"/>
            </w:tcBorders>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sidRPr="00023E53">
              <w:rPr>
                <w:rFonts w:cs="Calibri"/>
                <w:color w:val="000000" w:themeColor="text1"/>
                <w:sz w:val="18"/>
                <w:szCs w:val="18"/>
              </w:rPr>
              <w:t>5321</w:t>
            </w:r>
          </w:p>
        </w:tc>
        <w:tc>
          <w:tcPr>
            <w:tcW w:w="828" w:type="dxa"/>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sidRPr="00023E53">
              <w:rPr>
                <w:rFonts w:cs="Calibri"/>
                <w:color w:val="000000" w:themeColor="text1"/>
                <w:sz w:val="18"/>
                <w:szCs w:val="18"/>
              </w:rPr>
              <w:t>0%</w:t>
            </w:r>
          </w:p>
        </w:tc>
        <w:tc>
          <w:tcPr>
            <w:tcW w:w="990" w:type="dxa"/>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sidRPr="00023E53">
              <w:rPr>
                <w:rFonts w:cs="Calibri"/>
                <w:color w:val="000000" w:themeColor="text1"/>
                <w:sz w:val="18"/>
                <w:szCs w:val="18"/>
              </w:rPr>
              <w:t>20070801</w:t>
            </w:r>
          </w:p>
        </w:tc>
      </w:tr>
      <w:tr w:rsidR="00A73F86" w:rsidRPr="001F29F9" w:rsidTr="001B050A">
        <w:trPr>
          <w:trHeight w:val="260"/>
          <w:jc w:val="center"/>
        </w:trPr>
        <w:tc>
          <w:tcPr>
            <w:tcW w:w="4158" w:type="dxa"/>
            <w:gridSpan w:val="3"/>
            <w:tcBorders>
              <w:right w:val="thinThickThinSmallGap" w:sz="24" w:space="0" w:color="auto"/>
            </w:tcBorders>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sidRPr="00023E53">
              <w:rPr>
                <w:rFonts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A73F86" w:rsidRPr="00023E53" w:rsidRDefault="00A73F86" w:rsidP="00A73F86">
            <w:pPr>
              <w:spacing w:line="180" w:lineRule="exact"/>
              <w:contextualSpacing/>
              <w:rPr>
                <w:rFonts w:cs="Calibri"/>
                <w:color w:val="000000" w:themeColor="text1"/>
                <w:sz w:val="18"/>
                <w:szCs w:val="18"/>
              </w:rPr>
            </w:pPr>
            <w:r w:rsidRPr="00023E53">
              <w:rPr>
                <w:rFonts w:cs="Calibri"/>
                <w:color w:val="000000" w:themeColor="text1"/>
                <w:sz w:val="18"/>
                <w:szCs w:val="18"/>
              </w:rPr>
              <w:t>0% x 1/Not Service Connected x 0</w:t>
            </w:r>
          </w:p>
        </w:tc>
        <w:tc>
          <w:tcPr>
            <w:tcW w:w="990" w:type="dxa"/>
            <w:shd w:val="clear" w:color="auto" w:fill="FFFFFF" w:themeFill="background1"/>
            <w:vAlign w:val="center"/>
          </w:tcPr>
          <w:p w:rsidR="00A73F86" w:rsidRPr="001F29F9" w:rsidRDefault="00A73F86" w:rsidP="00A73F86">
            <w:pPr>
              <w:spacing w:line="180" w:lineRule="exact"/>
              <w:contextualSpacing/>
              <w:rPr>
                <w:rFonts w:cs="Calibri"/>
                <w:color w:val="000000" w:themeColor="text1"/>
                <w:sz w:val="18"/>
                <w:szCs w:val="18"/>
              </w:rPr>
            </w:pPr>
            <w:r w:rsidRPr="00023E53">
              <w:rPr>
                <w:rFonts w:cs="Calibri"/>
                <w:color w:val="000000" w:themeColor="text1"/>
                <w:sz w:val="18"/>
                <w:szCs w:val="18"/>
              </w:rPr>
              <w:t>20070801</w:t>
            </w:r>
          </w:p>
        </w:tc>
      </w:tr>
      <w:tr w:rsidR="00A73F86" w:rsidRPr="001F29F9" w:rsidTr="00AB60C7">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A73F86" w:rsidRPr="001F29F9" w:rsidRDefault="00A73F86" w:rsidP="00A73F86">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A73F86" w:rsidRPr="001F29F9" w:rsidRDefault="00A73F86" w:rsidP="00A73F86">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0%</w:t>
            </w:r>
          </w:p>
        </w:tc>
      </w:tr>
    </w:tbl>
    <w:p w:rsidR="00F90376" w:rsidRPr="00622862" w:rsidRDefault="00622862" w:rsidP="00F90376">
      <w:pPr>
        <w:pBdr>
          <w:bottom w:val="single" w:sz="12" w:space="1" w:color="auto"/>
        </w:pBdr>
        <w:tabs>
          <w:tab w:val="left" w:pos="288"/>
          <w:tab w:val="left" w:pos="4752"/>
        </w:tabs>
        <w:jc w:val="both"/>
        <w:rPr>
          <w:color w:val="auto"/>
          <w:sz w:val="20"/>
        </w:rPr>
      </w:pPr>
      <w:r w:rsidRPr="00622862">
        <w:rPr>
          <w:color w:val="auto"/>
          <w:sz w:val="20"/>
        </w:rPr>
        <w:t>*</w:t>
      </w:r>
      <w:r>
        <w:rPr>
          <w:color w:val="auto"/>
          <w:sz w:val="20"/>
        </w:rPr>
        <w:t xml:space="preserve">100% continued after </w:t>
      </w:r>
      <w:r w:rsidR="00132188">
        <w:rPr>
          <w:color w:val="auto"/>
          <w:sz w:val="20"/>
        </w:rPr>
        <w:t xml:space="preserve">scheduled future </w:t>
      </w:r>
      <w:r>
        <w:rPr>
          <w:color w:val="auto"/>
          <w:sz w:val="20"/>
        </w:rPr>
        <w:t>20090325 C&amp;P examination but after C&amp;P examination on 20100302 decreased to 10% effective 20100901.</w:t>
      </w:r>
    </w:p>
    <w:p w:rsidR="00622862" w:rsidRPr="00F64312" w:rsidRDefault="00622862" w:rsidP="00F90376">
      <w:pPr>
        <w:pBdr>
          <w:bottom w:val="single" w:sz="12" w:space="1" w:color="auto"/>
        </w:pBdr>
        <w:tabs>
          <w:tab w:val="left" w:pos="288"/>
          <w:tab w:val="left" w:pos="4752"/>
        </w:tabs>
        <w:jc w:val="both"/>
        <w:rPr>
          <w:color w:val="auto"/>
        </w:rPr>
      </w:pPr>
    </w:p>
    <w:p w:rsidR="00AD2379" w:rsidRPr="00F64312" w:rsidRDefault="00AD2379" w:rsidP="00165C7B">
      <w:pPr>
        <w:jc w:val="both"/>
        <w:rPr>
          <w:color w:val="auto"/>
        </w:rPr>
      </w:pPr>
    </w:p>
    <w:p w:rsidR="00D83A2D" w:rsidRPr="00F64312" w:rsidRDefault="00AD2379" w:rsidP="00D83A2D">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D83A2D" w:rsidRPr="00444205">
        <w:rPr>
          <w:color w:val="auto"/>
          <w:szCs w:val="24"/>
        </w:rPr>
        <w:t>The Board acknowledges the sentiment expressed in the CI’s application regarding the significant impairment with which his service</w:t>
      </w:r>
      <w:r w:rsidR="00A029CF">
        <w:rPr>
          <w:color w:val="auto"/>
          <w:szCs w:val="24"/>
        </w:rPr>
        <w:t xml:space="preserve"> </w:t>
      </w:r>
      <w:r w:rsidR="00D83A2D" w:rsidRPr="00444205">
        <w:rPr>
          <w:color w:val="auto"/>
          <w:szCs w:val="24"/>
        </w:rPr>
        <w:t xml:space="preserve">incurred condition continues to burden him. </w:t>
      </w:r>
      <w:r w:rsidR="00D83A2D">
        <w:rPr>
          <w:color w:val="auto"/>
          <w:szCs w:val="24"/>
        </w:rPr>
        <w:t xml:space="preserve"> </w:t>
      </w:r>
      <w:r w:rsidR="00D83A2D" w:rsidRPr="00F15CF9">
        <w:rPr>
          <w:color w:val="auto"/>
        </w:rPr>
        <w:t xml:space="preserve">The </w:t>
      </w:r>
      <w:r w:rsidR="00D83A2D" w:rsidRPr="009347F9">
        <w:rPr>
          <w:color w:val="auto"/>
        </w:rPr>
        <w:t xml:space="preserve">Board acknowledges the CI’s contention that suggests ratings should have been conferred for other conditions documented at the time of separation.  The Board wishes to clarify that it is subject to the same laws for service disability entitlements as those under which the Disability Evaluation System (DES) operates.  </w:t>
      </w:r>
      <w:r w:rsidR="00D83A2D" w:rsidRPr="00A029CF">
        <w:rPr>
          <w:color w:val="auto"/>
        </w:rPr>
        <w:t>While</w:t>
      </w:r>
      <w:r w:rsidR="00D83A2D" w:rsidRPr="009347F9">
        <w:rPr>
          <w:color w:val="auto"/>
        </w:rPr>
        <w:t xml:space="preserv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 Affairs (DVA), operating under a different set of laws (Title 38, United States Code), is empowered to compensate all service connected conditions and to periodically reevaluate said conditions for the purpose of adjusting the veteran’s disability rating should his degree of impairment vary over time.  </w:t>
      </w:r>
      <w:r w:rsidR="00D83A2D" w:rsidRPr="00A029CF">
        <w:rPr>
          <w:color w:val="auto"/>
        </w:rPr>
        <w:t>The</w:t>
      </w:r>
      <w:r w:rsidR="00D83A2D" w:rsidRPr="009347F9">
        <w:rPr>
          <w:color w:val="auto"/>
        </w:rPr>
        <w:t xml:space="preserve"> Board utilizes </w:t>
      </w:r>
      <w:r w:rsidR="00F6384A">
        <w:rPr>
          <w:color w:val="auto"/>
        </w:rPr>
        <w:t>D</w:t>
      </w:r>
      <w:r w:rsidR="00D83A2D" w:rsidRPr="009347F9">
        <w:rPr>
          <w:color w:val="auto"/>
        </w:rPr>
        <w:t>VA</w:t>
      </w:r>
      <w:bookmarkStart w:id="0" w:name="_GoBack"/>
      <w:bookmarkEnd w:id="0"/>
      <w:r w:rsidR="00D83A2D" w:rsidRPr="009347F9">
        <w:rPr>
          <w:color w:val="auto"/>
        </w:rPr>
        <w:t xml:space="preserve"> evidence proximal to separation in arriving at its recommendations; and, DoDI 6040.44 defines a 12-month interval for special consideration</w:t>
      </w:r>
      <w:r w:rsidR="00304404">
        <w:rPr>
          <w:color w:val="auto"/>
        </w:rPr>
        <w:t xml:space="preserve"> to post</w:t>
      </w:r>
      <w:r w:rsidR="00A029CF">
        <w:rPr>
          <w:color w:val="auto"/>
        </w:rPr>
        <w:t>-</w:t>
      </w:r>
      <w:r w:rsidR="00304404">
        <w:rPr>
          <w:color w:val="auto"/>
        </w:rPr>
        <w:t>separation evidence.  T</w:t>
      </w:r>
      <w:r w:rsidR="00D83A2D" w:rsidRPr="009347F9">
        <w:rPr>
          <w:color w:val="auto"/>
        </w:rPr>
        <w:t>he Board’s authority as defined in DoDI 6040.44, however, resides in evaluating the fairness of DES fitness determinations and rating decisions for disability at the time of separation and is limited to conditions adjudicated by the PEB as either unfitting or not unfitting.  Post-separation evidence therefore is probative only to the extent that it reasonably reflects the disability and fitness implications</w:t>
      </w:r>
      <w:r w:rsidR="00D83A2D" w:rsidRPr="00F15CF9">
        <w:rPr>
          <w:color w:val="auto"/>
        </w:rPr>
        <w:t xml:space="preserve"> at the time of separation.</w:t>
      </w:r>
    </w:p>
    <w:p w:rsidR="00AD2379" w:rsidRPr="00F64312" w:rsidRDefault="00AD2379" w:rsidP="00B22D42">
      <w:pPr>
        <w:jc w:val="both"/>
        <w:rPr>
          <w:color w:val="auto"/>
          <w:highlight w:val="yellow"/>
        </w:rPr>
      </w:pPr>
    </w:p>
    <w:p w:rsidR="0069687C" w:rsidRPr="00F64312" w:rsidRDefault="0045622F" w:rsidP="0069687C">
      <w:pPr>
        <w:jc w:val="both"/>
        <w:rPr>
          <w:color w:val="auto"/>
          <w:szCs w:val="24"/>
        </w:rPr>
      </w:pPr>
      <w:r w:rsidRPr="0045622F">
        <w:rPr>
          <w:color w:val="auto"/>
          <w:u w:val="single"/>
        </w:rPr>
        <w:t>Low Back</w:t>
      </w:r>
      <w:r w:rsidR="00AD2379" w:rsidRPr="0045622F">
        <w:rPr>
          <w:color w:val="auto"/>
          <w:u w:val="single"/>
        </w:rPr>
        <w:t xml:space="preserve"> </w:t>
      </w:r>
      <w:r w:rsidR="001B7D93">
        <w:rPr>
          <w:color w:val="auto"/>
          <w:u w:val="single"/>
        </w:rPr>
        <w:t>Pain with Disc Degeneration and Fractures of the L1 and L2 Transverse Processes</w:t>
      </w:r>
      <w:r w:rsidR="00D83A2D">
        <w:rPr>
          <w:color w:val="auto"/>
          <w:u w:val="single"/>
        </w:rPr>
        <w:t xml:space="preserve"> </w:t>
      </w:r>
      <w:r w:rsidR="00AD2379" w:rsidRPr="0045622F">
        <w:rPr>
          <w:color w:val="auto"/>
          <w:u w:val="single"/>
        </w:rPr>
        <w:t>Condition</w:t>
      </w:r>
      <w:r w:rsidR="00AD2379" w:rsidRPr="00F64312">
        <w:rPr>
          <w:color w:val="auto"/>
        </w:rPr>
        <w:t xml:space="preserve">. </w:t>
      </w:r>
      <w:r w:rsidR="00385708" w:rsidRPr="00F64312">
        <w:rPr>
          <w:color w:val="auto"/>
        </w:rPr>
        <w:t xml:space="preserve"> </w:t>
      </w:r>
      <w:r w:rsidR="007A4C95">
        <w:rPr>
          <w:color w:val="auto"/>
        </w:rPr>
        <w:t xml:space="preserve">A similar clinical history of worsening back pain after a motor vehicle accident in October 2005 with transverse process fractures of L1 and L2 is reported in the original NARSUM of </w:t>
      </w:r>
      <w:r w:rsidR="00304404">
        <w:rPr>
          <w:color w:val="auto"/>
        </w:rPr>
        <w:t xml:space="preserve">20 October </w:t>
      </w:r>
      <w:r w:rsidR="007A4C95">
        <w:rPr>
          <w:color w:val="auto"/>
        </w:rPr>
        <w:t xml:space="preserve">2006, the updated NARSUM addendum of </w:t>
      </w:r>
      <w:r w:rsidR="00304404">
        <w:rPr>
          <w:color w:val="auto"/>
        </w:rPr>
        <w:t xml:space="preserve">29 January </w:t>
      </w:r>
      <w:r w:rsidR="007A4C95">
        <w:rPr>
          <w:color w:val="auto"/>
        </w:rPr>
        <w:t xml:space="preserve">2007, and the VA Compensation and Pension (C&amp;P) examination of </w:t>
      </w:r>
      <w:r w:rsidR="00304404">
        <w:rPr>
          <w:color w:val="auto"/>
        </w:rPr>
        <w:t xml:space="preserve">31 July </w:t>
      </w:r>
      <w:r w:rsidR="007A4C95">
        <w:rPr>
          <w:color w:val="auto"/>
        </w:rPr>
        <w:t xml:space="preserve">2007.  Surgery was not indicated and the CI did not respond to conservative therapy.  </w:t>
      </w:r>
      <w:r w:rsidR="0069687C" w:rsidRPr="00F64312">
        <w:rPr>
          <w:color w:val="auto"/>
          <w:szCs w:val="24"/>
        </w:rPr>
        <w:t xml:space="preserve">There were </w:t>
      </w:r>
      <w:r w:rsidR="007A4C95">
        <w:rPr>
          <w:color w:val="auto"/>
          <w:szCs w:val="24"/>
        </w:rPr>
        <w:t>four</w:t>
      </w:r>
      <w:r w:rsidR="00001EFC">
        <w:rPr>
          <w:color w:val="auto"/>
          <w:szCs w:val="24"/>
        </w:rPr>
        <w:t xml:space="preserve"> range</w:t>
      </w:r>
      <w:r w:rsidR="00A029CF">
        <w:rPr>
          <w:color w:val="auto"/>
          <w:szCs w:val="24"/>
        </w:rPr>
        <w:t>-</w:t>
      </w:r>
      <w:r w:rsidR="00001EFC">
        <w:rPr>
          <w:color w:val="auto"/>
          <w:szCs w:val="24"/>
        </w:rPr>
        <w:t>of</w:t>
      </w:r>
      <w:r w:rsidR="00A029CF">
        <w:rPr>
          <w:color w:val="auto"/>
          <w:szCs w:val="24"/>
        </w:rPr>
        <w:t>-</w:t>
      </w:r>
      <w:r w:rsidR="0069687C" w:rsidRPr="00F64312">
        <w:rPr>
          <w:color w:val="auto"/>
          <w:szCs w:val="24"/>
        </w:rPr>
        <w:t>motion (ROM)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p w:rsidR="00836B7B" w:rsidRPr="00F64312" w:rsidRDefault="00836B7B" w:rsidP="0069687C">
      <w:pPr>
        <w:jc w:val="both"/>
        <w:rPr>
          <w:color w:val="auto"/>
          <w:szCs w:val="24"/>
        </w:rPr>
      </w:pPr>
    </w:p>
    <w:p w:rsidR="0045622F" w:rsidRPr="0045622F" w:rsidRDefault="007A4C95" w:rsidP="002F20A1">
      <w:pPr>
        <w:spacing w:line="240" w:lineRule="auto"/>
        <w:rPr>
          <w:rFonts w:eastAsiaTheme="minorHAnsi"/>
          <w:color w:val="000000" w:themeColor="text1"/>
          <w:szCs w:val="24"/>
        </w:rPr>
      </w:pPr>
      <w:r>
        <w:rPr>
          <w:rFonts w:eastAsiaTheme="minorHAnsi"/>
          <w:color w:val="000000" w:themeColor="text1"/>
          <w:szCs w:val="24"/>
        </w:rP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800"/>
        <w:gridCol w:w="2070"/>
        <w:gridCol w:w="1440"/>
        <w:gridCol w:w="2160"/>
      </w:tblGrid>
      <w:tr w:rsidR="00622862" w:rsidRPr="001F29F9" w:rsidTr="00696603">
        <w:tc>
          <w:tcPr>
            <w:tcW w:w="154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622862" w:rsidRPr="0045622F" w:rsidRDefault="00622862" w:rsidP="003D3080">
            <w:pPr>
              <w:pStyle w:val="ListParagraph"/>
              <w:spacing w:after="0" w:line="240" w:lineRule="exact"/>
              <w:ind w:left="0"/>
              <w:rPr>
                <w:rFonts w:asciiTheme="majorHAnsi" w:eastAsia="Calibri" w:hAnsiTheme="majorHAnsi" w:cstheme="majorHAnsi"/>
                <w:b/>
                <w:color w:val="000000" w:themeColor="text1"/>
                <w:sz w:val="18"/>
                <w:szCs w:val="18"/>
              </w:rPr>
            </w:pPr>
            <w:r w:rsidRPr="0045622F">
              <w:rPr>
                <w:rFonts w:asciiTheme="majorHAnsi" w:eastAsia="Calibri" w:hAnsiTheme="majorHAnsi" w:cstheme="majorHAnsi"/>
                <w:color w:val="000000" w:themeColor="text1"/>
                <w:sz w:val="18"/>
                <w:szCs w:val="18"/>
              </w:rPr>
              <w:lastRenderedPageBreak/>
              <w:t>Goniometric ROM - Thoracolumbar</w:t>
            </w:r>
          </w:p>
        </w:tc>
        <w:tc>
          <w:tcPr>
            <w:tcW w:w="18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D3080" w:rsidRDefault="00622862" w:rsidP="003D3080">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 xml:space="preserve">MEB </w:t>
            </w:r>
          </w:p>
          <w:p w:rsidR="003D3080" w:rsidRDefault="00622862" w:rsidP="003D3080">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 7 Mo</w:t>
            </w:r>
            <w:r w:rsidR="003D3080">
              <w:rPr>
                <w:rFonts w:asciiTheme="majorHAnsi" w:eastAsia="Calibri" w:hAnsiTheme="majorHAnsi" w:cstheme="majorHAnsi"/>
                <w:color w:val="000000" w:themeColor="text1"/>
                <w:sz w:val="18"/>
                <w:szCs w:val="18"/>
              </w:rPr>
              <w:t>nths</w:t>
            </w:r>
          </w:p>
          <w:p w:rsidR="00622862" w:rsidRPr="0045622F" w:rsidRDefault="00622862" w:rsidP="009347F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Pre-Sep</w:t>
            </w:r>
            <w:r w:rsidR="003D3080">
              <w:rPr>
                <w:rFonts w:asciiTheme="majorHAnsi" w:eastAsia="Calibri" w:hAnsiTheme="majorHAnsi" w:cstheme="majorHAnsi"/>
                <w:color w:val="000000" w:themeColor="text1"/>
                <w:sz w:val="18"/>
                <w:szCs w:val="18"/>
              </w:rPr>
              <w:t>aration</w:t>
            </w:r>
          </w:p>
        </w:tc>
        <w:tc>
          <w:tcPr>
            <w:tcW w:w="20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D3080" w:rsidRDefault="003D3080" w:rsidP="003D3080">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MEB Addendum</w:t>
            </w:r>
          </w:p>
          <w:p w:rsidR="003D3080" w:rsidRDefault="003D3080" w:rsidP="003D3080">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 4 Months</w:t>
            </w:r>
          </w:p>
          <w:p w:rsidR="00622862" w:rsidRPr="0045622F" w:rsidRDefault="00622862" w:rsidP="009347F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Pre-Sep</w:t>
            </w:r>
            <w:r w:rsidR="003D3080">
              <w:rPr>
                <w:rFonts w:asciiTheme="majorHAnsi" w:eastAsia="Calibri" w:hAnsiTheme="majorHAnsi" w:cstheme="majorHAnsi"/>
                <w:color w:val="000000" w:themeColor="text1"/>
                <w:sz w:val="18"/>
                <w:szCs w:val="18"/>
              </w:rPr>
              <w:t>aration</w:t>
            </w:r>
          </w:p>
        </w:tc>
        <w:tc>
          <w:tcPr>
            <w:tcW w:w="14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D3080" w:rsidRDefault="00622862" w:rsidP="003D3080">
            <w:pPr>
              <w:contextualSpacing/>
              <w:rPr>
                <w:rFonts w:asciiTheme="majorHAnsi" w:eastAsiaTheme="minorHAns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VA</w:t>
            </w:r>
            <w:r w:rsidRPr="0045622F">
              <w:rPr>
                <w:rFonts w:asciiTheme="majorHAnsi" w:eastAsiaTheme="minorHAnsi" w:hAnsiTheme="majorHAnsi" w:cstheme="majorHAnsi"/>
                <w:color w:val="000000" w:themeColor="text1"/>
                <w:sz w:val="18"/>
                <w:szCs w:val="18"/>
              </w:rPr>
              <w:t xml:space="preserve"> C&amp;P </w:t>
            </w:r>
          </w:p>
          <w:p w:rsidR="003D3080" w:rsidRDefault="003D3080" w:rsidP="003D3080">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 2 Months</w:t>
            </w:r>
            <w:r w:rsidR="00622862" w:rsidRPr="0045622F">
              <w:rPr>
                <w:rFonts w:asciiTheme="majorHAnsi" w:eastAsia="Calibri" w:hAnsiTheme="majorHAnsi" w:cstheme="majorHAnsi"/>
                <w:color w:val="000000" w:themeColor="text1"/>
                <w:sz w:val="18"/>
                <w:szCs w:val="18"/>
              </w:rPr>
              <w:t xml:space="preserve"> </w:t>
            </w:r>
          </w:p>
          <w:p w:rsidR="00622862" w:rsidRPr="009347F9" w:rsidRDefault="003D3080" w:rsidP="009347F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Post</w:t>
            </w:r>
            <w:r w:rsidR="00622862" w:rsidRPr="0045622F">
              <w:rPr>
                <w:rFonts w:asciiTheme="majorHAnsi" w:eastAsia="Calibri" w:hAnsiTheme="majorHAnsi" w:cstheme="majorHAnsi"/>
                <w:color w:val="000000" w:themeColor="text1"/>
                <w:sz w:val="18"/>
                <w:szCs w:val="18"/>
              </w:rPr>
              <w:t>-Sep</w:t>
            </w:r>
            <w:r>
              <w:rPr>
                <w:rFonts w:asciiTheme="majorHAnsi" w:eastAsia="Calibri" w:hAnsiTheme="majorHAnsi" w:cstheme="majorHAnsi"/>
                <w:color w:val="000000" w:themeColor="text1"/>
                <w:sz w:val="18"/>
                <w:szCs w:val="18"/>
              </w:rPr>
              <w:t>aration</w:t>
            </w:r>
          </w:p>
        </w:tc>
        <w:tc>
          <w:tcPr>
            <w:tcW w:w="2160" w:type="dxa"/>
            <w:tcBorders>
              <w:top w:val="single" w:sz="4" w:space="0" w:color="000000"/>
              <w:left w:val="single" w:sz="4" w:space="0" w:color="000000"/>
              <w:bottom w:val="single" w:sz="4" w:space="0" w:color="000000"/>
              <w:right w:val="single" w:sz="4" w:space="0" w:color="000000"/>
            </w:tcBorders>
            <w:shd w:val="pct15" w:color="auto" w:fill="auto"/>
            <w:vAlign w:val="center"/>
          </w:tcPr>
          <w:p w:rsidR="003D3080" w:rsidRDefault="00622862" w:rsidP="003D3080">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 xml:space="preserve">VA C&amp;P </w:t>
            </w:r>
          </w:p>
          <w:p w:rsidR="003D3080" w:rsidRDefault="00622862" w:rsidP="003D3080">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 xml:space="preserve">~ 22 Months </w:t>
            </w:r>
          </w:p>
          <w:p w:rsidR="00622862" w:rsidRPr="0045622F" w:rsidRDefault="00622862" w:rsidP="009347F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Post-Separation</w:t>
            </w:r>
          </w:p>
        </w:tc>
      </w:tr>
      <w:tr w:rsidR="00622862" w:rsidRPr="001F29F9" w:rsidTr="00696603">
        <w:tc>
          <w:tcPr>
            <w:tcW w:w="1548" w:type="dxa"/>
            <w:tcBorders>
              <w:top w:val="single" w:sz="4" w:space="0" w:color="000000"/>
              <w:left w:val="single" w:sz="4" w:space="0" w:color="000000"/>
              <w:bottom w:val="single" w:sz="4" w:space="0" w:color="000000"/>
              <w:right w:val="single" w:sz="4" w:space="0" w:color="000000"/>
            </w:tcBorders>
            <w:vAlign w:val="center"/>
            <w:hideMark/>
          </w:tcPr>
          <w:p w:rsidR="00622862" w:rsidRPr="0045622F" w:rsidRDefault="00622862" w:rsidP="00AB60C7">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Flex (0-90)</w:t>
            </w:r>
          </w:p>
        </w:tc>
        <w:tc>
          <w:tcPr>
            <w:tcW w:w="180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DA1D14" w:rsidP="000C398A">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85</w:t>
            </w:r>
            <w:r w:rsidR="00622862" w:rsidRPr="000C398A">
              <w:rPr>
                <w:rFonts w:asciiTheme="majorHAnsi" w:eastAsia="Calibri" w:hAnsiTheme="majorHAnsi" w:cstheme="majorHAnsi"/>
                <w:color w:val="000000" w:themeColor="text1"/>
                <w:sz w:val="18"/>
                <w:szCs w:val="18"/>
              </w:rPr>
              <w:t>⁰</w:t>
            </w:r>
            <w:r w:rsidR="00FE6C19" w:rsidRPr="000C398A">
              <w:rPr>
                <w:rFonts w:asciiTheme="majorHAnsi" w:eastAsia="Calibri" w:hAnsiTheme="majorHAnsi" w:cstheme="majorHAnsi"/>
                <w:color w:val="000000" w:themeColor="text1"/>
                <w:sz w:val="18"/>
                <w:szCs w:val="18"/>
              </w:rPr>
              <w:t xml:space="preserve"> (100,</w:t>
            </w:r>
            <w:r w:rsidR="000212D8" w:rsidRPr="000C398A">
              <w:rPr>
                <w:rFonts w:asciiTheme="majorHAnsi" w:eastAsia="Calibri" w:hAnsiTheme="majorHAnsi" w:cstheme="majorHAnsi"/>
                <w:color w:val="000000" w:themeColor="text1"/>
                <w:sz w:val="18"/>
                <w:szCs w:val="18"/>
              </w:rPr>
              <w:t xml:space="preserve"> </w:t>
            </w:r>
            <w:r w:rsidR="00FE6C19" w:rsidRPr="000C398A">
              <w:rPr>
                <w:rFonts w:asciiTheme="majorHAnsi" w:eastAsia="Calibri" w:hAnsiTheme="majorHAnsi" w:cstheme="majorHAnsi"/>
                <w:color w:val="000000" w:themeColor="text1"/>
                <w:sz w:val="18"/>
                <w:szCs w:val="18"/>
              </w:rPr>
              <w:t>95,</w:t>
            </w:r>
            <w:r w:rsidR="000212D8" w:rsidRPr="000C398A">
              <w:rPr>
                <w:rFonts w:asciiTheme="majorHAnsi" w:eastAsia="Calibri" w:hAnsiTheme="majorHAnsi" w:cstheme="majorHAnsi"/>
                <w:color w:val="000000" w:themeColor="text1"/>
                <w:sz w:val="18"/>
                <w:szCs w:val="18"/>
              </w:rPr>
              <w:t xml:space="preserve"> </w:t>
            </w:r>
            <w:r w:rsidR="00FE6C19" w:rsidRPr="000C398A">
              <w:rPr>
                <w:rFonts w:asciiTheme="majorHAnsi" w:eastAsia="Calibri" w:hAnsiTheme="majorHAnsi" w:cstheme="majorHAnsi"/>
                <w:color w:val="000000" w:themeColor="text1"/>
                <w:sz w:val="18"/>
                <w:szCs w:val="18"/>
              </w:rPr>
              <w:t>85</w:t>
            </w:r>
            <w:r w:rsidR="00FE6C19">
              <w:rPr>
                <w:rFonts w:asciiTheme="majorHAnsi" w:eastAsia="Calibri" w:hAnsiTheme="majorHAnsi" w:cstheme="majorHAnsi"/>
                <w:color w:val="000000" w:themeColor="text1"/>
                <w:sz w:val="18"/>
                <w:szCs w:val="18"/>
              </w:rPr>
              <w:t>)</w:t>
            </w:r>
          </w:p>
        </w:tc>
        <w:tc>
          <w:tcPr>
            <w:tcW w:w="207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90⁰</w:t>
            </w:r>
          </w:p>
        </w:tc>
        <w:tc>
          <w:tcPr>
            <w:tcW w:w="144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20⁰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21672B"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 xml:space="preserve">35°, </w:t>
            </w:r>
            <w:r w:rsidR="003C47C0">
              <w:rPr>
                <w:rFonts w:asciiTheme="majorHAnsi" w:eastAsia="Calibri" w:hAnsiTheme="majorHAnsi" w:cstheme="majorHAnsi"/>
                <w:color w:val="000000" w:themeColor="text1"/>
                <w:sz w:val="18"/>
                <w:szCs w:val="18"/>
              </w:rPr>
              <w:t>↓</w:t>
            </w:r>
            <w:r>
              <w:rPr>
                <w:rFonts w:asciiTheme="majorHAnsi" w:eastAsia="Calibri" w:hAnsiTheme="majorHAnsi" w:cstheme="majorHAnsi"/>
                <w:color w:val="000000" w:themeColor="text1"/>
                <w:sz w:val="18"/>
                <w:szCs w:val="18"/>
              </w:rPr>
              <w:t xml:space="preserve"> to 25°</w:t>
            </w:r>
          </w:p>
        </w:tc>
      </w:tr>
      <w:tr w:rsidR="00622862" w:rsidRPr="001F29F9" w:rsidTr="00696603">
        <w:tc>
          <w:tcPr>
            <w:tcW w:w="1548" w:type="dxa"/>
            <w:tcBorders>
              <w:top w:val="single" w:sz="4" w:space="0" w:color="000000"/>
              <w:left w:val="single" w:sz="4" w:space="0" w:color="000000"/>
              <w:bottom w:val="single" w:sz="4" w:space="0" w:color="000000"/>
              <w:right w:val="single" w:sz="4" w:space="0" w:color="000000"/>
            </w:tcBorders>
            <w:vAlign w:val="center"/>
            <w:hideMark/>
          </w:tcPr>
          <w:p w:rsidR="00622862" w:rsidRPr="0045622F" w:rsidRDefault="00622862" w:rsidP="00AB60C7">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Ext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2</w:t>
            </w:r>
            <w:r w:rsidR="00FE6C19">
              <w:rPr>
                <w:rFonts w:asciiTheme="majorHAnsi" w:eastAsia="Calibri" w:hAnsiTheme="majorHAnsi" w:cstheme="majorHAnsi"/>
                <w:color w:val="000000" w:themeColor="text1"/>
                <w:sz w:val="18"/>
                <w:szCs w:val="18"/>
              </w:rPr>
              <w:t>0</w:t>
            </w:r>
            <w:r w:rsidRPr="0045622F">
              <w:rPr>
                <w:rFonts w:asciiTheme="majorHAnsi" w:eastAsia="Calibri" w:hAnsiTheme="majorHAnsi" w:cstheme="majorHAnsi"/>
                <w:color w:val="000000" w:themeColor="text1"/>
                <w:sz w:val="18"/>
                <w:szCs w:val="18"/>
              </w:rPr>
              <w:t>⁰</w:t>
            </w:r>
            <w:r w:rsidR="00FE6C19">
              <w:rPr>
                <w:rFonts w:asciiTheme="majorHAnsi" w:eastAsia="Calibri" w:hAnsiTheme="majorHAnsi" w:cstheme="majorHAnsi"/>
                <w:color w:val="000000" w:themeColor="text1"/>
                <w:sz w:val="18"/>
                <w:szCs w:val="18"/>
              </w:rPr>
              <w:t xml:space="preserve"> (20, 20, 25)</w:t>
            </w:r>
          </w:p>
        </w:tc>
        <w:tc>
          <w:tcPr>
            <w:tcW w:w="207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21672B"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Not Measured</w:t>
            </w:r>
          </w:p>
        </w:tc>
        <w:tc>
          <w:tcPr>
            <w:tcW w:w="144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10⁰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21672B"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 xml:space="preserve">15°, </w:t>
            </w:r>
            <w:r w:rsidR="003C47C0">
              <w:rPr>
                <w:rFonts w:asciiTheme="majorHAnsi" w:eastAsia="Calibri" w:hAnsiTheme="majorHAnsi" w:cstheme="majorHAnsi"/>
                <w:color w:val="000000" w:themeColor="text1"/>
                <w:sz w:val="18"/>
                <w:szCs w:val="18"/>
              </w:rPr>
              <w:t>↓</w:t>
            </w:r>
            <w:r>
              <w:rPr>
                <w:rFonts w:asciiTheme="majorHAnsi" w:eastAsia="Calibri" w:hAnsiTheme="majorHAnsi" w:cstheme="majorHAnsi"/>
                <w:color w:val="000000" w:themeColor="text1"/>
                <w:sz w:val="18"/>
                <w:szCs w:val="18"/>
              </w:rPr>
              <w:t xml:space="preserve"> to 10°</w:t>
            </w:r>
          </w:p>
        </w:tc>
      </w:tr>
      <w:tr w:rsidR="00622862" w:rsidRPr="001F29F9" w:rsidTr="00696603">
        <w:trPr>
          <w:trHeight w:val="188"/>
        </w:trPr>
        <w:tc>
          <w:tcPr>
            <w:tcW w:w="1548" w:type="dxa"/>
            <w:tcBorders>
              <w:top w:val="single" w:sz="4" w:space="0" w:color="000000"/>
              <w:left w:val="single" w:sz="4" w:space="0" w:color="000000"/>
              <w:bottom w:val="single" w:sz="4" w:space="0" w:color="000000"/>
              <w:right w:val="single" w:sz="4" w:space="0" w:color="000000"/>
            </w:tcBorders>
            <w:vAlign w:val="center"/>
            <w:hideMark/>
          </w:tcPr>
          <w:p w:rsidR="00622862" w:rsidRPr="0045622F" w:rsidRDefault="00622862" w:rsidP="00AB60C7">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R Lat Flex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FE6C19"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30</w:t>
            </w:r>
            <w:r w:rsidR="00622862" w:rsidRPr="0045622F">
              <w:rPr>
                <w:rFonts w:asciiTheme="majorHAnsi" w:eastAsia="Calibri" w:hAnsiTheme="majorHAnsi" w:cstheme="majorHAnsi"/>
                <w:color w:val="000000" w:themeColor="text1"/>
                <w:sz w:val="18"/>
                <w:szCs w:val="18"/>
              </w:rPr>
              <w:t>⁰</w:t>
            </w:r>
            <w:r>
              <w:rPr>
                <w:rFonts w:asciiTheme="majorHAnsi" w:eastAsia="Calibri" w:hAnsiTheme="majorHAnsi" w:cstheme="majorHAnsi"/>
                <w:color w:val="000000" w:themeColor="text1"/>
                <w:sz w:val="18"/>
                <w:szCs w:val="18"/>
              </w:rPr>
              <w:t xml:space="preserve"> (45, 50, 40)</w:t>
            </w:r>
          </w:p>
        </w:tc>
        <w:tc>
          <w:tcPr>
            <w:tcW w:w="207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FE6C19"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30</w:t>
            </w:r>
            <w:r w:rsidR="00622862" w:rsidRPr="0045622F">
              <w:rPr>
                <w:rFonts w:asciiTheme="majorHAnsi" w:eastAsia="Calibri" w:hAnsiTheme="majorHAnsi" w:cstheme="majorHAnsi"/>
                <w:color w:val="000000" w:themeColor="text1"/>
                <w:sz w:val="18"/>
                <w:szCs w:val="18"/>
              </w:rPr>
              <w:t>⁰</w:t>
            </w:r>
            <w:r>
              <w:rPr>
                <w:rFonts w:asciiTheme="majorHAnsi" w:eastAsia="Calibri" w:hAnsiTheme="majorHAnsi" w:cstheme="majorHAnsi"/>
                <w:color w:val="000000" w:themeColor="text1"/>
                <w:sz w:val="18"/>
                <w:szCs w:val="18"/>
              </w:rPr>
              <w:t xml:space="preserve"> (50)</w:t>
            </w:r>
          </w:p>
        </w:tc>
        <w:tc>
          <w:tcPr>
            <w:tcW w:w="144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10⁰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21672B"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 xml:space="preserve">25° (24), </w:t>
            </w:r>
            <w:r w:rsidR="000212D8">
              <w:rPr>
                <w:rFonts w:asciiTheme="majorHAnsi" w:eastAsia="Calibri" w:hAnsiTheme="majorHAnsi" w:cstheme="majorHAnsi"/>
                <w:color w:val="000000" w:themeColor="text1"/>
                <w:sz w:val="18"/>
                <w:szCs w:val="18"/>
              </w:rPr>
              <w:t xml:space="preserve">↓ </w:t>
            </w:r>
            <w:r w:rsidR="003C47C0">
              <w:rPr>
                <w:rFonts w:asciiTheme="majorHAnsi" w:eastAsia="Calibri" w:hAnsiTheme="majorHAnsi" w:cstheme="majorHAnsi"/>
                <w:color w:val="000000" w:themeColor="text1"/>
                <w:sz w:val="18"/>
                <w:szCs w:val="18"/>
              </w:rPr>
              <w:t>to 20°</w:t>
            </w:r>
          </w:p>
        </w:tc>
      </w:tr>
      <w:tr w:rsidR="00622862" w:rsidRPr="001F29F9" w:rsidTr="00696603">
        <w:tc>
          <w:tcPr>
            <w:tcW w:w="1548" w:type="dxa"/>
            <w:tcBorders>
              <w:top w:val="single" w:sz="4" w:space="0" w:color="000000"/>
              <w:left w:val="single" w:sz="4" w:space="0" w:color="000000"/>
              <w:bottom w:val="single" w:sz="4" w:space="0" w:color="000000"/>
              <w:right w:val="single" w:sz="4" w:space="0" w:color="000000"/>
            </w:tcBorders>
            <w:vAlign w:val="center"/>
            <w:hideMark/>
          </w:tcPr>
          <w:p w:rsidR="00622862" w:rsidRPr="0045622F" w:rsidRDefault="00622862" w:rsidP="00AB60C7">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L Lat Flex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FE6C19"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30</w:t>
            </w:r>
            <w:r w:rsidR="00622862" w:rsidRPr="0045622F">
              <w:rPr>
                <w:rFonts w:asciiTheme="majorHAnsi" w:eastAsia="Calibri" w:hAnsiTheme="majorHAnsi" w:cstheme="majorHAnsi"/>
                <w:color w:val="000000" w:themeColor="text1"/>
                <w:sz w:val="18"/>
                <w:szCs w:val="18"/>
              </w:rPr>
              <w:t>⁰</w:t>
            </w:r>
            <w:r>
              <w:rPr>
                <w:rFonts w:asciiTheme="majorHAnsi" w:eastAsia="Calibri" w:hAnsiTheme="majorHAnsi" w:cstheme="majorHAnsi"/>
                <w:color w:val="000000" w:themeColor="text1"/>
                <w:sz w:val="18"/>
                <w:szCs w:val="18"/>
              </w:rPr>
              <w:t xml:space="preserve"> (50, 55, 50)</w:t>
            </w:r>
          </w:p>
        </w:tc>
        <w:tc>
          <w:tcPr>
            <w:tcW w:w="207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FE6C19"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3</w:t>
            </w:r>
            <w:r w:rsidR="00622862" w:rsidRPr="0045622F">
              <w:rPr>
                <w:rFonts w:asciiTheme="majorHAnsi" w:eastAsia="Calibri" w:hAnsiTheme="majorHAnsi" w:cstheme="majorHAnsi"/>
                <w:color w:val="000000" w:themeColor="text1"/>
                <w:sz w:val="18"/>
                <w:szCs w:val="18"/>
              </w:rPr>
              <w:t>0⁰</w:t>
            </w:r>
            <w:r>
              <w:rPr>
                <w:rFonts w:asciiTheme="majorHAnsi" w:eastAsia="Calibri" w:hAnsiTheme="majorHAnsi" w:cstheme="majorHAnsi"/>
                <w:color w:val="000000" w:themeColor="text1"/>
                <w:sz w:val="18"/>
                <w:szCs w:val="18"/>
              </w:rPr>
              <w:t xml:space="preserve"> (50)</w:t>
            </w:r>
          </w:p>
        </w:tc>
        <w:tc>
          <w:tcPr>
            <w:tcW w:w="144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10⁰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21672B"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20°</w:t>
            </w:r>
          </w:p>
        </w:tc>
      </w:tr>
      <w:tr w:rsidR="00622862" w:rsidRPr="001F29F9" w:rsidTr="00696603">
        <w:tc>
          <w:tcPr>
            <w:tcW w:w="1548" w:type="dxa"/>
            <w:tcBorders>
              <w:top w:val="single" w:sz="4" w:space="0" w:color="000000"/>
              <w:left w:val="single" w:sz="4" w:space="0" w:color="000000"/>
              <w:bottom w:val="single" w:sz="4" w:space="0" w:color="000000"/>
              <w:right w:val="single" w:sz="4" w:space="0" w:color="000000"/>
            </w:tcBorders>
            <w:vAlign w:val="center"/>
            <w:hideMark/>
          </w:tcPr>
          <w:p w:rsidR="00622862" w:rsidRPr="0045622F" w:rsidRDefault="00622862" w:rsidP="00AB60C7">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R Rotation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30⁰</w:t>
            </w:r>
            <w:r w:rsidR="00FE6C19">
              <w:rPr>
                <w:rFonts w:asciiTheme="majorHAnsi" w:eastAsia="Calibri" w:hAnsiTheme="majorHAnsi" w:cstheme="majorHAnsi"/>
                <w:color w:val="000000" w:themeColor="text1"/>
                <w:sz w:val="18"/>
                <w:szCs w:val="18"/>
              </w:rPr>
              <w:t xml:space="preserve"> (30, 30, 30)</w:t>
            </w:r>
          </w:p>
        </w:tc>
        <w:tc>
          <w:tcPr>
            <w:tcW w:w="207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FE6C19"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30</w:t>
            </w:r>
            <w:r w:rsidR="00622862" w:rsidRPr="0045622F">
              <w:rPr>
                <w:rFonts w:asciiTheme="majorHAnsi" w:eastAsia="Calibri" w:hAnsiTheme="majorHAnsi" w:cstheme="majorHAnsi"/>
                <w:color w:val="000000" w:themeColor="text1"/>
                <w:sz w:val="18"/>
                <w:szCs w:val="18"/>
              </w:rPr>
              <w:t>⁰</w:t>
            </w:r>
            <w:r>
              <w:rPr>
                <w:rFonts w:asciiTheme="majorHAnsi" w:eastAsia="Calibri" w:hAnsiTheme="majorHAnsi" w:cstheme="majorHAnsi"/>
                <w:color w:val="000000" w:themeColor="text1"/>
                <w:sz w:val="18"/>
                <w:szCs w:val="18"/>
              </w:rPr>
              <w:t xml:space="preserve"> (45)</w:t>
            </w:r>
          </w:p>
        </w:tc>
        <w:tc>
          <w:tcPr>
            <w:tcW w:w="144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10⁰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21672B"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20° (22)</w:t>
            </w:r>
          </w:p>
        </w:tc>
      </w:tr>
      <w:tr w:rsidR="00622862" w:rsidRPr="001F29F9" w:rsidTr="00696603">
        <w:tc>
          <w:tcPr>
            <w:tcW w:w="1548" w:type="dxa"/>
            <w:tcBorders>
              <w:top w:val="single" w:sz="4" w:space="0" w:color="000000"/>
              <w:left w:val="single" w:sz="4" w:space="0" w:color="000000"/>
              <w:bottom w:val="single" w:sz="4" w:space="0" w:color="000000"/>
              <w:right w:val="single" w:sz="4" w:space="0" w:color="000000"/>
            </w:tcBorders>
            <w:vAlign w:val="center"/>
            <w:hideMark/>
          </w:tcPr>
          <w:p w:rsidR="00622862" w:rsidRPr="0045622F" w:rsidRDefault="00622862" w:rsidP="00AB60C7">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L Rotation (0-30)</w:t>
            </w:r>
          </w:p>
        </w:tc>
        <w:tc>
          <w:tcPr>
            <w:tcW w:w="180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30⁰</w:t>
            </w:r>
            <w:r w:rsidR="00FE6C19">
              <w:rPr>
                <w:rFonts w:asciiTheme="majorHAnsi" w:eastAsia="Calibri" w:hAnsiTheme="majorHAnsi" w:cstheme="majorHAnsi"/>
                <w:color w:val="000000" w:themeColor="text1"/>
                <w:sz w:val="18"/>
                <w:szCs w:val="18"/>
              </w:rPr>
              <w:t xml:space="preserve"> (30, 30, 30)</w:t>
            </w:r>
          </w:p>
        </w:tc>
        <w:tc>
          <w:tcPr>
            <w:tcW w:w="207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FE6C19"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30</w:t>
            </w:r>
            <w:r w:rsidR="00622862" w:rsidRPr="0045622F">
              <w:rPr>
                <w:rFonts w:asciiTheme="majorHAnsi" w:eastAsia="Calibri" w:hAnsiTheme="majorHAnsi" w:cstheme="majorHAnsi"/>
                <w:color w:val="000000" w:themeColor="text1"/>
                <w:sz w:val="18"/>
                <w:szCs w:val="18"/>
              </w:rPr>
              <w:t>⁰</w:t>
            </w:r>
            <w:r>
              <w:rPr>
                <w:rFonts w:asciiTheme="majorHAnsi" w:eastAsia="Calibri" w:hAnsiTheme="majorHAnsi" w:cstheme="majorHAnsi"/>
                <w:color w:val="000000" w:themeColor="text1"/>
                <w:sz w:val="18"/>
                <w:szCs w:val="18"/>
              </w:rPr>
              <w:t xml:space="preserve"> (45)</w:t>
            </w:r>
          </w:p>
        </w:tc>
        <w:tc>
          <w:tcPr>
            <w:tcW w:w="144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contextualSpacing/>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10⁰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21672B" w:rsidP="0055242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20°</w:t>
            </w:r>
          </w:p>
        </w:tc>
      </w:tr>
      <w:tr w:rsidR="00622862" w:rsidRPr="001F29F9" w:rsidTr="00696603">
        <w:tc>
          <w:tcPr>
            <w:tcW w:w="1548" w:type="dxa"/>
            <w:tcBorders>
              <w:top w:val="single" w:sz="4" w:space="0" w:color="000000"/>
              <w:left w:val="single" w:sz="4" w:space="0" w:color="000000"/>
              <w:bottom w:val="single" w:sz="4" w:space="0" w:color="000000"/>
              <w:right w:val="single" w:sz="4" w:space="0" w:color="000000"/>
            </w:tcBorders>
            <w:vAlign w:val="center"/>
            <w:hideMark/>
          </w:tcPr>
          <w:p w:rsidR="00622862" w:rsidRPr="0045622F" w:rsidRDefault="00622862" w:rsidP="00AB60C7">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COMBINED (240)</w:t>
            </w:r>
          </w:p>
        </w:tc>
        <w:tc>
          <w:tcPr>
            <w:tcW w:w="180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2</w:t>
            </w:r>
            <w:r w:rsidR="00DA1D14">
              <w:rPr>
                <w:rFonts w:asciiTheme="majorHAnsi" w:eastAsia="Calibri" w:hAnsiTheme="majorHAnsi" w:cstheme="majorHAnsi"/>
                <w:color w:val="000000" w:themeColor="text1"/>
                <w:sz w:val="18"/>
                <w:szCs w:val="18"/>
              </w:rPr>
              <w:t>25</w:t>
            </w:r>
            <w:r w:rsidRPr="0045622F">
              <w:rPr>
                <w:rFonts w:asciiTheme="majorHAnsi" w:eastAsia="Calibri" w:hAnsiTheme="majorHAnsi" w:cstheme="majorHAnsi"/>
                <w:color w:val="000000" w:themeColor="text1"/>
                <w:sz w:val="18"/>
                <w:szCs w:val="18"/>
              </w:rPr>
              <w:t>⁰</w:t>
            </w:r>
          </w:p>
        </w:tc>
        <w:tc>
          <w:tcPr>
            <w:tcW w:w="207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21672B" w:rsidP="00552429">
            <w:pPr>
              <w:rPr>
                <w:rFonts w:asciiTheme="majorHAnsi" w:hAnsiTheme="majorHAnsi" w:cstheme="majorHAnsi"/>
                <w:color w:val="000000" w:themeColor="text1"/>
                <w:sz w:val="18"/>
                <w:szCs w:val="18"/>
              </w:rPr>
            </w:pPr>
            <w:r>
              <w:rPr>
                <w:rFonts w:asciiTheme="majorHAnsi" w:eastAsia="Calibri" w:hAnsiTheme="majorHAnsi" w:cstheme="majorHAnsi"/>
                <w:color w:val="000000" w:themeColor="text1"/>
                <w:sz w:val="18"/>
                <w:szCs w:val="18"/>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622862" w:rsidP="00552429">
            <w:pPr>
              <w:rPr>
                <w:rFonts w:asciiTheme="majorHAns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70⁰</w:t>
            </w:r>
          </w:p>
        </w:tc>
        <w:tc>
          <w:tcPr>
            <w:tcW w:w="216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3C47C0" w:rsidP="00552429">
            <w:pPr>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135°</w:t>
            </w:r>
          </w:p>
        </w:tc>
      </w:tr>
      <w:tr w:rsidR="00622862" w:rsidRPr="001F29F9" w:rsidTr="00696603">
        <w:tc>
          <w:tcPr>
            <w:tcW w:w="1548" w:type="dxa"/>
            <w:tcBorders>
              <w:top w:val="single" w:sz="4" w:space="0" w:color="000000"/>
              <w:left w:val="single" w:sz="4" w:space="0" w:color="000000"/>
              <w:bottom w:val="single" w:sz="4" w:space="0" w:color="000000"/>
              <w:right w:val="single" w:sz="4" w:space="0" w:color="000000"/>
            </w:tcBorders>
            <w:vAlign w:val="center"/>
            <w:hideMark/>
          </w:tcPr>
          <w:p w:rsidR="00622862" w:rsidRPr="0045622F" w:rsidRDefault="00622862" w:rsidP="00AB60C7">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Comment</w:t>
            </w:r>
          </w:p>
        </w:tc>
        <w:tc>
          <w:tcPr>
            <w:tcW w:w="1800" w:type="dxa"/>
            <w:tcBorders>
              <w:top w:val="single" w:sz="4" w:space="0" w:color="000000"/>
              <w:left w:val="single" w:sz="4" w:space="0" w:color="000000"/>
              <w:bottom w:val="single" w:sz="4" w:space="0" w:color="000000"/>
              <w:right w:val="single" w:sz="4" w:space="0" w:color="000000"/>
            </w:tcBorders>
            <w:vAlign w:val="center"/>
          </w:tcPr>
          <w:p w:rsidR="00622862" w:rsidRPr="009347F9" w:rsidRDefault="000212D8" w:rsidP="008745D9">
            <w:pPr>
              <w:tabs>
                <w:tab w:val="left" w:pos="288"/>
                <w:tab w:val="left" w:pos="4752"/>
              </w:tabs>
              <w:spacing w:line="200" w:lineRule="exact"/>
              <w:jc w:val="left"/>
              <w:rPr>
                <w:rFonts w:asciiTheme="majorHAnsi" w:eastAsiaTheme="minorHAnsi" w:hAnsiTheme="majorHAnsi" w:cstheme="majorHAnsi"/>
                <w:color w:val="000000" w:themeColor="text1"/>
                <w:sz w:val="18"/>
                <w:szCs w:val="18"/>
              </w:rPr>
            </w:pPr>
            <w:r w:rsidRPr="009347F9">
              <w:rPr>
                <w:rFonts w:asciiTheme="majorHAnsi" w:eastAsiaTheme="minorHAnsi" w:hAnsiTheme="majorHAnsi" w:cstheme="majorHAnsi"/>
                <w:color w:val="000000" w:themeColor="text1"/>
                <w:sz w:val="18"/>
                <w:szCs w:val="18"/>
              </w:rPr>
              <w:t>Flexion and bilateral flexion limited by pai</w:t>
            </w:r>
            <w:r w:rsidR="00427E80" w:rsidRPr="009347F9">
              <w:rPr>
                <w:rFonts w:asciiTheme="majorHAnsi" w:eastAsiaTheme="minorHAnsi" w:hAnsiTheme="majorHAnsi" w:cstheme="majorHAnsi"/>
                <w:color w:val="000000" w:themeColor="text1"/>
                <w:sz w:val="18"/>
                <w:szCs w:val="18"/>
              </w:rPr>
              <w:t xml:space="preserve">n, others limited by mechanical or </w:t>
            </w:r>
            <w:r w:rsidRPr="009347F9">
              <w:rPr>
                <w:rFonts w:asciiTheme="majorHAnsi" w:eastAsiaTheme="minorHAnsi" w:hAnsiTheme="majorHAnsi" w:cstheme="majorHAnsi"/>
                <w:color w:val="000000" w:themeColor="text1"/>
                <w:sz w:val="18"/>
                <w:szCs w:val="18"/>
              </w:rPr>
              <w:t>organic.</w:t>
            </w:r>
            <w:r w:rsidR="00427E80" w:rsidRPr="009347F9">
              <w:rPr>
                <w:rFonts w:asciiTheme="majorHAnsi" w:eastAsiaTheme="minorHAnsi" w:hAnsiTheme="majorHAnsi" w:cstheme="majorHAnsi"/>
                <w:color w:val="000000" w:themeColor="text1"/>
                <w:sz w:val="18"/>
                <w:szCs w:val="18"/>
              </w:rPr>
              <w:t xml:space="preserve"> Moderate pain to deep palpation of thoracolumbar spine and paraspinal muscles; motor 5/5; reflexes normal and symmetric; sensation normal to light touch and pinprick; </w:t>
            </w:r>
            <w:r w:rsidR="008745D9" w:rsidRPr="009347F9">
              <w:rPr>
                <w:rFonts w:asciiTheme="majorHAnsi" w:eastAsiaTheme="minorHAnsi" w:hAnsiTheme="majorHAnsi" w:cstheme="majorHAnsi"/>
                <w:color w:val="000000" w:themeColor="text1"/>
                <w:sz w:val="18"/>
                <w:szCs w:val="18"/>
              </w:rPr>
              <w:t>Waddell’s</w:t>
            </w:r>
            <w:r w:rsidR="00427E80" w:rsidRPr="009347F9">
              <w:rPr>
                <w:rFonts w:asciiTheme="majorHAnsi" w:eastAsiaTheme="minorHAnsi" w:hAnsiTheme="majorHAnsi" w:cstheme="majorHAnsi"/>
                <w:color w:val="000000" w:themeColor="text1"/>
                <w:sz w:val="18"/>
                <w:szCs w:val="18"/>
              </w:rPr>
              <w:t xml:space="preserve"> sign 0/5</w:t>
            </w:r>
          </w:p>
        </w:tc>
        <w:tc>
          <w:tcPr>
            <w:tcW w:w="2070" w:type="dxa"/>
            <w:tcBorders>
              <w:top w:val="single" w:sz="4" w:space="0" w:color="000000"/>
              <w:left w:val="single" w:sz="4" w:space="0" w:color="000000"/>
              <w:bottom w:val="single" w:sz="4" w:space="0" w:color="000000"/>
              <w:right w:val="single" w:sz="4" w:space="0" w:color="000000"/>
            </w:tcBorders>
            <w:vAlign w:val="center"/>
          </w:tcPr>
          <w:p w:rsidR="00622862" w:rsidRPr="009347F9" w:rsidRDefault="0021672B" w:rsidP="008745D9">
            <w:pPr>
              <w:tabs>
                <w:tab w:val="left" w:pos="288"/>
                <w:tab w:val="left" w:pos="4752"/>
              </w:tabs>
              <w:spacing w:line="200" w:lineRule="exact"/>
              <w:jc w:val="left"/>
              <w:rPr>
                <w:rFonts w:asciiTheme="majorHAnsi" w:eastAsiaTheme="minorHAnsi" w:hAnsiTheme="majorHAnsi" w:cstheme="majorHAnsi"/>
                <w:color w:val="000000" w:themeColor="text1"/>
                <w:sz w:val="18"/>
                <w:szCs w:val="18"/>
              </w:rPr>
            </w:pPr>
            <w:r w:rsidRPr="009347F9">
              <w:rPr>
                <w:rFonts w:asciiTheme="majorHAnsi" w:eastAsiaTheme="minorHAnsi" w:hAnsiTheme="majorHAnsi" w:cstheme="majorHAnsi"/>
                <w:color w:val="000000" w:themeColor="text1"/>
                <w:sz w:val="18"/>
                <w:szCs w:val="18"/>
              </w:rPr>
              <w:t>Examiner stated ROM values were the averages of 3 goniometric measurements but these measurements were not available in the record.</w:t>
            </w:r>
            <w:r w:rsidR="000212D8" w:rsidRPr="009347F9">
              <w:rPr>
                <w:rFonts w:asciiTheme="majorHAnsi" w:eastAsiaTheme="minorHAnsi" w:hAnsiTheme="majorHAnsi" w:cstheme="majorHAnsi"/>
                <w:color w:val="000000" w:themeColor="text1"/>
                <w:sz w:val="18"/>
                <w:szCs w:val="18"/>
              </w:rPr>
              <w:t xml:space="preserve"> Mild tenderness to palpation along lumbar spine and paraspinal muscles; negative straight leg </w:t>
            </w:r>
            <w:proofErr w:type="gramStart"/>
            <w:r w:rsidR="00905F66" w:rsidRPr="009347F9">
              <w:rPr>
                <w:rFonts w:asciiTheme="majorHAnsi" w:eastAsiaTheme="minorHAnsi" w:hAnsiTheme="majorHAnsi" w:cstheme="majorHAnsi"/>
                <w:color w:val="000000" w:themeColor="text1"/>
                <w:sz w:val="18"/>
                <w:szCs w:val="18"/>
              </w:rPr>
              <w:t>raise</w:t>
            </w:r>
            <w:proofErr w:type="gramEnd"/>
            <w:r w:rsidR="000212D8" w:rsidRPr="009347F9">
              <w:rPr>
                <w:rFonts w:asciiTheme="majorHAnsi" w:eastAsiaTheme="minorHAnsi" w:hAnsiTheme="majorHAnsi" w:cstheme="majorHAnsi"/>
                <w:color w:val="000000" w:themeColor="text1"/>
                <w:sz w:val="18"/>
                <w:szCs w:val="18"/>
              </w:rPr>
              <w:t xml:space="preserve"> bilaterally; reflexes 2+ and equal bilaterally; motor 5/5; </w:t>
            </w:r>
            <w:r w:rsidR="009F1DF8" w:rsidRPr="009347F9">
              <w:rPr>
                <w:rFonts w:asciiTheme="majorHAnsi" w:eastAsiaTheme="minorHAnsi" w:hAnsiTheme="majorHAnsi" w:cstheme="majorHAnsi"/>
                <w:color w:val="000000" w:themeColor="text1"/>
                <w:sz w:val="18"/>
                <w:szCs w:val="18"/>
              </w:rPr>
              <w:t>sensation intact in L</w:t>
            </w:r>
            <w:r w:rsidR="00905F66" w:rsidRPr="009347F9">
              <w:rPr>
                <w:rFonts w:asciiTheme="majorHAnsi" w:eastAsiaTheme="minorHAnsi" w:hAnsiTheme="majorHAnsi" w:cstheme="majorHAnsi"/>
                <w:color w:val="000000" w:themeColor="text1"/>
                <w:sz w:val="18"/>
                <w:szCs w:val="18"/>
              </w:rPr>
              <w:t>2 to S1 dermatomes. X-rays and MRI normal.</w:t>
            </w:r>
          </w:p>
        </w:tc>
        <w:tc>
          <w:tcPr>
            <w:tcW w:w="1440" w:type="dxa"/>
            <w:tcBorders>
              <w:top w:val="single" w:sz="4" w:space="0" w:color="000000"/>
              <w:left w:val="single" w:sz="4" w:space="0" w:color="000000"/>
              <w:bottom w:val="single" w:sz="4" w:space="0" w:color="000000"/>
              <w:right w:val="single" w:sz="4" w:space="0" w:color="000000"/>
            </w:tcBorders>
            <w:vAlign w:val="center"/>
          </w:tcPr>
          <w:p w:rsidR="00622862" w:rsidRPr="009347F9" w:rsidRDefault="000715F2" w:rsidP="008745D9">
            <w:pPr>
              <w:tabs>
                <w:tab w:val="left" w:pos="288"/>
                <w:tab w:val="left" w:pos="4752"/>
              </w:tabs>
              <w:spacing w:line="200" w:lineRule="exact"/>
              <w:jc w:val="left"/>
              <w:rPr>
                <w:rFonts w:asciiTheme="majorHAnsi" w:eastAsiaTheme="minorHAnsi" w:hAnsiTheme="majorHAnsi" w:cstheme="majorHAnsi"/>
                <w:color w:val="000000" w:themeColor="text1"/>
                <w:sz w:val="18"/>
                <w:szCs w:val="18"/>
              </w:rPr>
            </w:pPr>
            <w:r w:rsidRPr="009347F9">
              <w:rPr>
                <w:rFonts w:asciiTheme="majorHAnsi" w:eastAsiaTheme="minorHAnsi" w:hAnsiTheme="majorHAnsi" w:cstheme="majorHAnsi"/>
                <w:color w:val="000000" w:themeColor="text1"/>
                <w:sz w:val="18"/>
                <w:szCs w:val="18"/>
              </w:rPr>
              <w:t xml:space="preserve">Bilateral spasm, pain with motion, and tenderness; Normal posture, spinal curvature, and gait; had a cane; motor 5/5; normal sensation to vibration, pinprick, light touch, and position sense;  reflexes normal and symmetric; no ankylosis; </w:t>
            </w:r>
          </w:p>
        </w:tc>
        <w:tc>
          <w:tcPr>
            <w:tcW w:w="2160" w:type="dxa"/>
            <w:tcBorders>
              <w:top w:val="single" w:sz="4" w:space="0" w:color="000000"/>
              <w:left w:val="single" w:sz="4" w:space="0" w:color="000000"/>
              <w:bottom w:val="single" w:sz="4" w:space="0" w:color="000000"/>
              <w:right w:val="single" w:sz="4" w:space="0" w:color="000000"/>
            </w:tcBorders>
            <w:vAlign w:val="center"/>
          </w:tcPr>
          <w:p w:rsidR="00622862" w:rsidRPr="009347F9" w:rsidRDefault="003C47C0" w:rsidP="008745D9">
            <w:pPr>
              <w:tabs>
                <w:tab w:val="left" w:pos="288"/>
                <w:tab w:val="left" w:pos="4752"/>
              </w:tabs>
              <w:spacing w:line="200" w:lineRule="exact"/>
              <w:jc w:val="left"/>
              <w:rPr>
                <w:rFonts w:asciiTheme="majorHAnsi" w:eastAsiaTheme="minorHAnsi" w:hAnsiTheme="majorHAnsi" w:cstheme="majorHAnsi"/>
                <w:color w:val="000000" w:themeColor="text1"/>
                <w:sz w:val="18"/>
                <w:szCs w:val="18"/>
              </w:rPr>
            </w:pPr>
            <w:r w:rsidRPr="009347F9">
              <w:rPr>
                <w:rFonts w:asciiTheme="majorHAnsi" w:eastAsiaTheme="minorHAnsi" w:hAnsiTheme="majorHAnsi" w:cstheme="majorHAnsi"/>
                <w:color w:val="000000" w:themeColor="text1"/>
                <w:sz w:val="18"/>
                <w:szCs w:val="18"/>
              </w:rPr>
              <w:t xml:space="preserve">Flexion, extension, and right lateral flexion all decreased after three repetitions. </w:t>
            </w:r>
            <w:r w:rsidR="00696603" w:rsidRPr="009347F9">
              <w:rPr>
                <w:rFonts w:asciiTheme="majorHAnsi" w:eastAsiaTheme="minorHAnsi" w:hAnsiTheme="majorHAnsi" w:cstheme="majorHAnsi"/>
                <w:color w:val="000000" w:themeColor="text1"/>
                <w:sz w:val="18"/>
                <w:szCs w:val="18"/>
              </w:rPr>
              <w:t xml:space="preserve">Back brace on and walking with a cane. Gait favors left side because of right knee condition; normal posture and spinal contour; no ankylosis; pain with motion and bilateral guarding and tenderness;  motor 5/5,  normal sensation, </w:t>
            </w:r>
            <w:r w:rsidR="00ED4013" w:rsidRPr="009347F9">
              <w:rPr>
                <w:rFonts w:asciiTheme="majorHAnsi" w:eastAsiaTheme="minorHAnsi" w:hAnsiTheme="majorHAnsi" w:cstheme="majorHAnsi"/>
                <w:color w:val="000000" w:themeColor="text1"/>
                <w:sz w:val="18"/>
                <w:szCs w:val="18"/>
              </w:rPr>
              <w:t>normal reflexes</w:t>
            </w:r>
            <w:r w:rsidR="00696603" w:rsidRPr="009347F9">
              <w:rPr>
                <w:rFonts w:asciiTheme="majorHAnsi" w:eastAsiaTheme="minorHAnsi" w:hAnsiTheme="majorHAnsi" w:cstheme="majorHAnsi"/>
                <w:color w:val="000000" w:themeColor="text1"/>
                <w:sz w:val="18"/>
                <w:szCs w:val="18"/>
              </w:rPr>
              <w:t>. One positive Waddell’s sign.</w:t>
            </w:r>
          </w:p>
        </w:tc>
      </w:tr>
      <w:tr w:rsidR="00622862" w:rsidRPr="001F29F9" w:rsidTr="00696603">
        <w:tc>
          <w:tcPr>
            <w:tcW w:w="1548" w:type="dxa"/>
            <w:tcBorders>
              <w:top w:val="single" w:sz="4" w:space="0" w:color="000000"/>
              <w:left w:val="single" w:sz="4" w:space="0" w:color="000000"/>
              <w:bottom w:val="single" w:sz="4" w:space="0" w:color="000000"/>
              <w:right w:val="single" w:sz="4" w:space="0" w:color="000000"/>
            </w:tcBorders>
            <w:vAlign w:val="center"/>
            <w:hideMark/>
          </w:tcPr>
          <w:p w:rsidR="00622862" w:rsidRPr="0045622F" w:rsidRDefault="00622862" w:rsidP="00AB60C7">
            <w:pPr>
              <w:pStyle w:val="ListParagraph"/>
              <w:spacing w:after="0" w:line="240" w:lineRule="exact"/>
              <w:ind w:left="0"/>
              <w:rPr>
                <w:rFonts w:asciiTheme="majorHAnsi" w:eastAsia="Calibri" w:hAnsiTheme="majorHAnsi" w:cstheme="majorHAnsi"/>
                <w:color w:val="000000" w:themeColor="text1"/>
                <w:sz w:val="18"/>
                <w:szCs w:val="18"/>
              </w:rPr>
            </w:pPr>
            <w:r w:rsidRPr="0045622F">
              <w:rPr>
                <w:rFonts w:asciiTheme="majorHAnsi" w:eastAsia="Calibri" w:hAnsiTheme="majorHAnsi" w:cstheme="majorHAnsi"/>
                <w:color w:val="000000" w:themeColor="text1"/>
                <w:sz w:val="18"/>
                <w:szCs w:val="18"/>
              </w:rPr>
              <w:t>§4.71a Rating</w:t>
            </w:r>
          </w:p>
        </w:tc>
        <w:tc>
          <w:tcPr>
            <w:tcW w:w="180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0212D8" w:rsidP="00AB60C7">
            <w:pPr>
              <w:tabs>
                <w:tab w:val="left" w:pos="288"/>
                <w:tab w:val="left" w:pos="4752"/>
              </w:tabs>
              <w:rPr>
                <w:rFonts w:asciiTheme="majorHAnsi" w:eastAsiaTheme="minorHAnsi" w:hAnsiTheme="majorHAnsi" w:cstheme="majorHAnsi"/>
                <w:color w:val="000000" w:themeColor="text1"/>
                <w:sz w:val="18"/>
                <w:szCs w:val="18"/>
              </w:rPr>
            </w:pPr>
            <w:r>
              <w:rPr>
                <w:rFonts w:asciiTheme="majorHAnsi" w:eastAsiaTheme="minorHAnsi" w:hAnsiTheme="majorHAnsi" w:cstheme="majorHAnsi"/>
                <w:color w:val="000000" w:themeColor="text1"/>
                <w:sz w:val="18"/>
                <w:szCs w:val="18"/>
              </w:rPr>
              <w:t>10</w:t>
            </w:r>
            <w:r w:rsidR="00622862" w:rsidRPr="0045622F">
              <w:rPr>
                <w:rFonts w:asciiTheme="majorHAnsi" w:eastAsiaTheme="minorHAnsi" w:hAnsiTheme="majorHAnsi" w:cstheme="majorHAnsi"/>
                <w:color w:val="000000" w:themeColor="text1"/>
                <w:sz w:val="18"/>
                <w:szCs w:val="18"/>
              </w:rPr>
              <w:t>%</w:t>
            </w:r>
          </w:p>
        </w:tc>
        <w:tc>
          <w:tcPr>
            <w:tcW w:w="207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0212D8" w:rsidP="00AB60C7">
            <w:pPr>
              <w:tabs>
                <w:tab w:val="left" w:pos="288"/>
                <w:tab w:val="left" w:pos="4752"/>
              </w:tabs>
              <w:rPr>
                <w:rFonts w:asciiTheme="majorHAnsi" w:eastAsiaTheme="minorHAnsi" w:hAnsiTheme="majorHAnsi" w:cstheme="majorHAnsi"/>
                <w:color w:val="000000" w:themeColor="text1"/>
                <w:sz w:val="18"/>
                <w:szCs w:val="18"/>
              </w:rPr>
            </w:pPr>
            <w:r>
              <w:rPr>
                <w:rFonts w:asciiTheme="majorHAnsi" w:eastAsiaTheme="minorHAnsi" w:hAnsiTheme="majorHAnsi" w:cstheme="majorHAnsi"/>
                <w:color w:val="000000" w:themeColor="text1"/>
                <w:sz w:val="18"/>
                <w:szCs w:val="18"/>
              </w:rPr>
              <w:t>10</w:t>
            </w:r>
            <w:r w:rsidR="00622862" w:rsidRPr="0045622F">
              <w:rPr>
                <w:rFonts w:asciiTheme="majorHAnsi" w:eastAsiaTheme="minorHAnsi" w:hAnsiTheme="majorHAnsi" w:cstheme="majorHAnsi"/>
                <w:color w:val="000000" w:themeColor="text1"/>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rsidR="00622862" w:rsidRPr="0045622F" w:rsidRDefault="000212D8" w:rsidP="00AB60C7">
            <w:pPr>
              <w:tabs>
                <w:tab w:val="left" w:pos="288"/>
                <w:tab w:val="left" w:pos="4752"/>
              </w:tabs>
              <w:rPr>
                <w:rFonts w:asciiTheme="majorHAnsi" w:eastAsiaTheme="minorHAnsi" w:hAnsiTheme="majorHAnsi" w:cstheme="majorHAnsi"/>
                <w:color w:val="000000" w:themeColor="text1"/>
                <w:sz w:val="18"/>
                <w:szCs w:val="18"/>
              </w:rPr>
            </w:pPr>
            <w:r>
              <w:rPr>
                <w:rFonts w:asciiTheme="majorHAnsi" w:eastAsiaTheme="minorHAnsi" w:hAnsiTheme="majorHAnsi" w:cstheme="majorHAnsi"/>
                <w:color w:val="000000" w:themeColor="text1"/>
                <w:sz w:val="18"/>
                <w:szCs w:val="18"/>
              </w:rPr>
              <w:t>40</w:t>
            </w:r>
            <w:r w:rsidR="00622862" w:rsidRPr="0045622F">
              <w:rPr>
                <w:rFonts w:asciiTheme="majorHAnsi" w:eastAsiaTheme="minorHAnsi" w:hAnsiTheme="majorHAnsi" w:cstheme="majorHAnsi"/>
                <w:color w:val="000000" w:themeColor="text1"/>
                <w:sz w:val="18"/>
                <w:szCs w:val="18"/>
              </w:rPr>
              <w:t>%</w:t>
            </w:r>
          </w:p>
        </w:tc>
        <w:tc>
          <w:tcPr>
            <w:tcW w:w="2160" w:type="dxa"/>
            <w:tcBorders>
              <w:top w:val="single" w:sz="4" w:space="0" w:color="000000"/>
              <w:left w:val="single" w:sz="4" w:space="0" w:color="000000"/>
              <w:bottom w:val="single" w:sz="4" w:space="0" w:color="000000"/>
              <w:right w:val="single" w:sz="4" w:space="0" w:color="000000"/>
            </w:tcBorders>
          </w:tcPr>
          <w:p w:rsidR="00622862" w:rsidRPr="0045622F" w:rsidRDefault="00427E80" w:rsidP="00AB60C7">
            <w:pPr>
              <w:tabs>
                <w:tab w:val="left" w:pos="288"/>
                <w:tab w:val="left" w:pos="4752"/>
              </w:tabs>
              <w:rPr>
                <w:rFonts w:asciiTheme="majorHAnsi" w:eastAsiaTheme="minorHAnsi" w:hAnsiTheme="majorHAnsi" w:cstheme="majorHAnsi"/>
                <w:color w:val="000000" w:themeColor="text1"/>
                <w:sz w:val="18"/>
                <w:szCs w:val="18"/>
              </w:rPr>
            </w:pPr>
            <w:r>
              <w:rPr>
                <w:rFonts w:asciiTheme="majorHAnsi" w:eastAsiaTheme="minorHAnsi" w:hAnsiTheme="majorHAnsi" w:cstheme="majorHAnsi"/>
                <w:color w:val="000000" w:themeColor="text1"/>
                <w:sz w:val="18"/>
                <w:szCs w:val="18"/>
              </w:rPr>
              <w:t>40%</w:t>
            </w:r>
          </w:p>
        </w:tc>
      </w:tr>
    </w:tbl>
    <w:p w:rsidR="00CF0280" w:rsidRPr="00F64312" w:rsidRDefault="00CF0280" w:rsidP="0069687C">
      <w:pPr>
        <w:jc w:val="both"/>
        <w:rPr>
          <w:color w:val="auto"/>
          <w:szCs w:val="24"/>
        </w:rPr>
      </w:pPr>
    </w:p>
    <w:p w:rsidR="00CF0280" w:rsidRDefault="00002A32" w:rsidP="00CF0280">
      <w:pPr>
        <w:jc w:val="both"/>
        <w:rPr>
          <w:color w:val="auto"/>
          <w:szCs w:val="24"/>
        </w:rPr>
      </w:pPr>
      <w:r>
        <w:rPr>
          <w:color w:val="auto"/>
          <w:szCs w:val="24"/>
        </w:rPr>
        <w:t xml:space="preserve">The </w:t>
      </w:r>
      <w:r w:rsidR="00E179C3">
        <w:rPr>
          <w:color w:val="auto"/>
          <w:szCs w:val="24"/>
        </w:rPr>
        <w:t xml:space="preserve">31 July </w:t>
      </w:r>
      <w:r w:rsidR="00ED4013">
        <w:rPr>
          <w:color w:val="auto"/>
          <w:szCs w:val="24"/>
        </w:rPr>
        <w:t xml:space="preserve">2007 </w:t>
      </w:r>
      <w:r>
        <w:rPr>
          <w:color w:val="auto"/>
          <w:szCs w:val="24"/>
        </w:rPr>
        <w:t xml:space="preserve">VA </w:t>
      </w:r>
      <w:r w:rsidR="00ED4013">
        <w:rPr>
          <w:color w:val="auto"/>
          <w:szCs w:val="24"/>
        </w:rPr>
        <w:t xml:space="preserve">C&amp;P </w:t>
      </w:r>
      <w:r>
        <w:rPr>
          <w:color w:val="auto"/>
          <w:szCs w:val="24"/>
        </w:rPr>
        <w:t xml:space="preserve">was </w:t>
      </w:r>
      <w:r w:rsidR="00ED4013">
        <w:rPr>
          <w:color w:val="auto"/>
          <w:szCs w:val="24"/>
        </w:rPr>
        <w:t>signe</w:t>
      </w:r>
      <w:r w:rsidR="002F20A1">
        <w:rPr>
          <w:color w:val="auto"/>
          <w:szCs w:val="24"/>
        </w:rPr>
        <w:t xml:space="preserve">d </w:t>
      </w:r>
      <w:r>
        <w:rPr>
          <w:color w:val="auto"/>
          <w:szCs w:val="24"/>
        </w:rPr>
        <w:t xml:space="preserve">by the examiner on </w:t>
      </w:r>
      <w:r w:rsidR="00E179C3">
        <w:rPr>
          <w:color w:val="auto"/>
          <w:szCs w:val="24"/>
        </w:rPr>
        <w:t xml:space="preserve">09 August </w:t>
      </w:r>
      <w:r>
        <w:rPr>
          <w:color w:val="auto"/>
          <w:szCs w:val="24"/>
        </w:rPr>
        <w:t>2007 and it noted the CI</w:t>
      </w:r>
      <w:r w:rsidR="002F20A1">
        <w:rPr>
          <w:color w:val="auto"/>
          <w:szCs w:val="24"/>
        </w:rPr>
        <w:t xml:space="preserve"> had fee-</w:t>
      </w:r>
      <w:r w:rsidR="00ED4013">
        <w:rPr>
          <w:color w:val="auto"/>
          <w:szCs w:val="24"/>
        </w:rPr>
        <w:t xml:space="preserve">based EMG on </w:t>
      </w:r>
      <w:r w:rsidR="00E179C3">
        <w:rPr>
          <w:color w:val="auto"/>
          <w:szCs w:val="24"/>
        </w:rPr>
        <w:t xml:space="preserve">08 August </w:t>
      </w:r>
      <w:r w:rsidR="00ED4013">
        <w:rPr>
          <w:color w:val="auto"/>
          <w:szCs w:val="24"/>
        </w:rPr>
        <w:t xml:space="preserve">2007 that was normal and lumbar spine CT on </w:t>
      </w:r>
      <w:r w:rsidR="00E179C3">
        <w:rPr>
          <w:color w:val="auto"/>
          <w:szCs w:val="24"/>
        </w:rPr>
        <w:t xml:space="preserve">01 August </w:t>
      </w:r>
      <w:r w:rsidR="00ED4013">
        <w:rPr>
          <w:color w:val="auto"/>
          <w:szCs w:val="24"/>
        </w:rPr>
        <w:t>2007 showing no definit</w:t>
      </w:r>
      <w:r w:rsidR="002F20A1">
        <w:rPr>
          <w:color w:val="auto"/>
          <w:szCs w:val="24"/>
        </w:rPr>
        <w:t>e</w:t>
      </w:r>
      <w:r w:rsidR="00ED4013">
        <w:rPr>
          <w:color w:val="auto"/>
          <w:szCs w:val="24"/>
        </w:rPr>
        <w:t xml:space="preserve"> evidence of discogenic disease.</w:t>
      </w:r>
    </w:p>
    <w:p w:rsidR="002F20A1" w:rsidRDefault="002F20A1" w:rsidP="00CF0280">
      <w:pPr>
        <w:jc w:val="both"/>
        <w:rPr>
          <w:color w:val="auto"/>
          <w:szCs w:val="24"/>
        </w:rPr>
      </w:pPr>
    </w:p>
    <w:p w:rsidR="00622862" w:rsidRDefault="00002A32" w:rsidP="007B3204">
      <w:pPr>
        <w:jc w:val="both"/>
        <w:rPr>
          <w:color w:val="auto"/>
          <w:szCs w:val="24"/>
        </w:rPr>
      </w:pPr>
      <w:r>
        <w:rPr>
          <w:color w:val="auto"/>
          <w:szCs w:val="24"/>
        </w:rPr>
        <w:t xml:space="preserve">Both the initial IPEB and the reconsideration IPEB applied a 10% disability rating for the </w:t>
      </w:r>
      <w:r w:rsidR="00E966DB">
        <w:rPr>
          <w:color w:val="auto"/>
          <w:szCs w:val="24"/>
        </w:rPr>
        <w:t>LBP</w:t>
      </w:r>
      <w:r>
        <w:rPr>
          <w:color w:val="auto"/>
          <w:szCs w:val="24"/>
        </w:rPr>
        <w:t xml:space="preserve"> based on full but painful </w:t>
      </w:r>
      <w:r w:rsidR="00E966DB">
        <w:rPr>
          <w:color w:val="auto"/>
          <w:szCs w:val="24"/>
        </w:rPr>
        <w:t>ROM</w:t>
      </w:r>
      <w:r>
        <w:rPr>
          <w:color w:val="auto"/>
          <w:szCs w:val="24"/>
        </w:rPr>
        <w:t xml:space="preserve">.  </w:t>
      </w:r>
      <w:r w:rsidR="002F20A1">
        <w:rPr>
          <w:color w:val="auto"/>
          <w:szCs w:val="24"/>
        </w:rPr>
        <w:t xml:space="preserve">Although the </w:t>
      </w:r>
      <w:r w:rsidR="00E179C3">
        <w:rPr>
          <w:color w:val="auto"/>
          <w:szCs w:val="24"/>
        </w:rPr>
        <w:t xml:space="preserve">31 July </w:t>
      </w:r>
      <w:r w:rsidR="002F20A1">
        <w:rPr>
          <w:color w:val="auto"/>
          <w:szCs w:val="24"/>
        </w:rPr>
        <w:t xml:space="preserve">2007 VA C&amp;P examination ROM measurements support a 40% disability rating, the VA assigned a 100% rating. This was based on the rapid worsening of the condition that this C&amp;P examination documented when compared to the NARSUM </w:t>
      </w:r>
      <w:r w:rsidR="00E966DB">
        <w:rPr>
          <w:color w:val="auto"/>
          <w:szCs w:val="24"/>
        </w:rPr>
        <w:t>a</w:t>
      </w:r>
      <w:r w:rsidR="002F20A1">
        <w:rPr>
          <w:color w:val="auto"/>
          <w:szCs w:val="24"/>
        </w:rPr>
        <w:t xml:space="preserve">ddendum examination </w:t>
      </w:r>
      <w:r w:rsidR="00E966DB">
        <w:rPr>
          <w:color w:val="auto"/>
          <w:szCs w:val="24"/>
        </w:rPr>
        <w:t>performed</w:t>
      </w:r>
      <w:r w:rsidR="002F20A1">
        <w:rPr>
          <w:color w:val="auto"/>
          <w:szCs w:val="24"/>
        </w:rPr>
        <w:t xml:space="preserve"> </w:t>
      </w:r>
      <w:r w:rsidR="00E966DB">
        <w:rPr>
          <w:color w:val="auto"/>
          <w:szCs w:val="24"/>
        </w:rPr>
        <w:t>6</w:t>
      </w:r>
      <w:r w:rsidR="002F20A1">
        <w:rPr>
          <w:color w:val="auto"/>
          <w:szCs w:val="24"/>
        </w:rPr>
        <w:t xml:space="preserve"> months previously</w:t>
      </w:r>
      <w:r w:rsidR="000601D6">
        <w:rPr>
          <w:color w:val="auto"/>
          <w:szCs w:val="24"/>
        </w:rPr>
        <w:t xml:space="preserve"> and the condition was considered unstable</w:t>
      </w:r>
      <w:r w:rsidR="002F20A1">
        <w:rPr>
          <w:color w:val="auto"/>
          <w:szCs w:val="24"/>
        </w:rPr>
        <w:t xml:space="preserve">. </w:t>
      </w:r>
      <w:r w:rsidR="002D015B">
        <w:rPr>
          <w:color w:val="auto"/>
          <w:szCs w:val="24"/>
        </w:rPr>
        <w:t xml:space="preserve"> </w:t>
      </w:r>
      <w:r w:rsidR="002F20A1">
        <w:rPr>
          <w:color w:val="auto"/>
          <w:szCs w:val="24"/>
        </w:rPr>
        <w:t>The VA rating officer noted the V</w:t>
      </w:r>
      <w:r w:rsidR="000601D6">
        <w:rPr>
          <w:color w:val="auto"/>
          <w:szCs w:val="24"/>
        </w:rPr>
        <w:t>A</w:t>
      </w:r>
      <w:r w:rsidR="002F20A1">
        <w:rPr>
          <w:color w:val="auto"/>
          <w:szCs w:val="24"/>
        </w:rPr>
        <w:t xml:space="preserve"> </w:t>
      </w:r>
      <w:r w:rsidR="000601D6">
        <w:rPr>
          <w:color w:val="auto"/>
          <w:szCs w:val="24"/>
        </w:rPr>
        <w:t xml:space="preserve">examination showed the CI’s functional capacity was severely limited for strenuous activity and his past occupation in civilian life was a construction </w:t>
      </w:r>
      <w:r w:rsidR="000601D6" w:rsidRPr="009347F9">
        <w:rPr>
          <w:color w:val="auto"/>
          <w:szCs w:val="24"/>
        </w:rPr>
        <w:t xml:space="preserve">worker and he had a high school education. In light of these facts, the VA determined it would not be feasible for him to work in his usual occupation. </w:t>
      </w:r>
      <w:r w:rsidR="002D015B">
        <w:rPr>
          <w:color w:val="auto"/>
          <w:szCs w:val="24"/>
        </w:rPr>
        <w:t xml:space="preserve"> </w:t>
      </w:r>
      <w:r w:rsidR="000601D6" w:rsidRPr="009347F9">
        <w:rPr>
          <w:color w:val="auto"/>
          <w:szCs w:val="24"/>
        </w:rPr>
        <w:t>The 100% evaluation was not considered permanent and a future examination was planned.</w:t>
      </w:r>
      <w:r w:rsidR="007B3204" w:rsidRPr="009347F9">
        <w:rPr>
          <w:color w:val="auto"/>
          <w:szCs w:val="24"/>
        </w:rPr>
        <w:t xml:space="preserve"> </w:t>
      </w:r>
      <w:r w:rsidR="002D015B">
        <w:rPr>
          <w:color w:val="auto"/>
          <w:szCs w:val="24"/>
        </w:rPr>
        <w:t xml:space="preserve"> </w:t>
      </w:r>
      <w:r w:rsidR="007B3204" w:rsidRPr="009347F9">
        <w:rPr>
          <w:color w:val="auto"/>
          <w:szCs w:val="24"/>
        </w:rPr>
        <w:t xml:space="preserve">A repeat VA C&amp;P examination was </w:t>
      </w:r>
      <w:r w:rsidR="00E966DB">
        <w:rPr>
          <w:color w:val="auto"/>
          <w:szCs w:val="24"/>
        </w:rPr>
        <w:t>performed</w:t>
      </w:r>
      <w:r w:rsidR="007B3204" w:rsidRPr="009347F9">
        <w:rPr>
          <w:color w:val="auto"/>
          <w:szCs w:val="24"/>
        </w:rPr>
        <w:t xml:space="preserve"> </w:t>
      </w:r>
      <w:r w:rsidR="00F6384A">
        <w:rPr>
          <w:color w:val="auto"/>
          <w:szCs w:val="24"/>
        </w:rPr>
        <w:t xml:space="preserve">on </w:t>
      </w:r>
      <w:r w:rsidR="00E179C3">
        <w:rPr>
          <w:color w:val="auto"/>
          <w:szCs w:val="24"/>
        </w:rPr>
        <w:t xml:space="preserve">25 March </w:t>
      </w:r>
      <w:r w:rsidR="007B3204" w:rsidRPr="009347F9">
        <w:rPr>
          <w:color w:val="auto"/>
          <w:szCs w:val="24"/>
        </w:rPr>
        <w:t xml:space="preserve">2009 with results noted in the chart above. </w:t>
      </w:r>
      <w:r w:rsidR="002D015B">
        <w:rPr>
          <w:color w:val="auto"/>
          <w:szCs w:val="24"/>
        </w:rPr>
        <w:t xml:space="preserve"> </w:t>
      </w:r>
      <w:r w:rsidR="007B3204" w:rsidRPr="009347F9">
        <w:rPr>
          <w:color w:val="auto"/>
          <w:szCs w:val="24"/>
        </w:rPr>
        <w:t xml:space="preserve">Again the ROM measurements supported a 40% rating. </w:t>
      </w:r>
      <w:r w:rsidR="002D015B">
        <w:rPr>
          <w:color w:val="auto"/>
          <w:szCs w:val="24"/>
        </w:rPr>
        <w:t xml:space="preserve"> </w:t>
      </w:r>
      <w:r w:rsidR="007B3204" w:rsidRPr="009347F9">
        <w:rPr>
          <w:color w:val="auto"/>
          <w:szCs w:val="24"/>
        </w:rPr>
        <w:t xml:space="preserve">However, the 100% rating was continued as the VA rating officer opined that while there was some improvement, sustained improvement had not been definitively established. </w:t>
      </w:r>
      <w:r w:rsidR="002D015B">
        <w:rPr>
          <w:color w:val="auto"/>
          <w:szCs w:val="24"/>
        </w:rPr>
        <w:t xml:space="preserve"> </w:t>
      </w:r>
      <w:r w:rsidR="007B3204" w:rsidRPr="009347F9">
        <w:rPr>
          <w:color w:val="auto"/>
          <w:szCs w:val="24"/>
        </w:rPr>
        <w:t xml:space="preserve">A future examination was planned and was completed on </w:t>
      </w:r>
      <w:r w:rsidR="00E179C3">
        <w:rPr>
          <w:color w:val="auto"/>
          <w:szCs w:val="24"/>
        </w:rPr>
        <w:t xml:space="preserve">2 March </w:t>
      </w:r>
      <w:r w:rsidR="007B3204" w:rsidRPr="009347F9">
        <w:rPr>
          <w:color w:val="auto"/>
          <w:szCs w:val="24"/>
        </w:rPr>
        <w:t xml:space="preserve">2010. </w:t>
      </w:r>
      <w:r w:rsidR="002D015B">
        <w:rPr>
          <w:color w:val="auto"/>
          <w:szCs w:val="24"/>
        </w:rPr>
        <w:t xml:space="preserve"> </w:t>
      </w:r>
      <w:r w:rsidR="007B3204" w:rsidRPr="009347F9">
        <w:rPr>
          <w:color w:val="auto"/>
          <w:szCs w:val="24"/>
        </w:rPr>
        <w:t xml:space="preserve">This examination documented markedly improved ROM measurements with flexion to 75 degrees, extension to 20 degrees, and bilateral flexion and rotation all at 30 degrees. </w:t>
      </w:r>
      <w:r w:rsidR="002D015B">
        <w:rPr>
          <w:color w:val="auto"/>
          <w:szCs w:val="24"/>
        </w:rPr>
        <w:t xml:space="preserve"> </w:t>
      </w:r>
      <w:r w:rsidR="00791A20" w:rsidRPr="009347F9">
        <w:rPr>
          <w:color w:val="auto"/>
          <w:szCs w:val="24"/>
        </w:rPr>
        <w:t>N</w:t>
      </w:r>
      <w:r w:rsidR="007B3204" w:rsidRPr="009347F9">
        <w:rPr>
          <w:color w:val="auto"/>
          <w:szCs w:val="24"/>
        </w:rPr>
        <w:t xml:space="preserve">o pain on active </w:t>
      </w:r>
      <w:r w:rsidR="00E966DB">
        <w:rPr>
          <w:color w:val="auto"/>
          <w:szCs w:val="24"/>
        </w:rPr>
        <w:t>ROM</w:t>
      </w:r>
      <w:r w:rsidR="007B3204" w:rsidRPr="009347F9">
        <w:rPr>
          <w:color w:val="auto"/>
          <w:szCs w:val="24"/>
        </w:rPr>
        <w:t xml:space="preserve"> was noted</w:t>
      </w:r>
      <w:r w:rsidR="00E179C3">
        <w:rPr>
          <w:color w:val="auto"/>
          <w:szCs w:val="24"/>
        </w:rPr>
        <w:t>,</w:t>
      </w:r>
      <w:r w:rsidR="007B3204" w:rsidRPr="009347F9">
        <w:rPr>
          <w:color w:val="auto"/>
          <w:szCs w:val="24"/>
        </w:rPr>
        <w:t xml:space="preserve"> but there was pain after repetitions of motion.</w:t>
      </w:r>
      <w:r w:rsidR="00791A20" w:rsidRPr="009347F9">
        <w:rPr>
          <w:color w:val="auto"/>
          <w:szCs w:val="24"/>
        </w:rPr>
        <w:t xml:space="preserve"> </w:t>
      </w:r>
      <w:r w:rsidR="002D015B">
        <w:rPr>
          <w:color w:val="auto"/>
          <w:szCs w:val="24"/>
        </w:rPr>
        <w:t xml:space="preserve"> </w:t>
      </w:r>
      <w:r w:rsidR="00791A20" w:rsidRPr="009347F9">
        <w:rPr>
          <w:color w:val="auto"/>
          <w:szCs w:val="24"/>
        </w:rPr>
        <w:t>The following was also noted:  “</w:t>
      </w:r>
      <w:r w:rsidR="007B3204" w:rsidRPr="009347F9">
        <w:rPr>
          <w:color w:val="auto"/>
          <w:szCs w:val="24"/>
        </w:rPr>
        <w:t>He walks calmly</w:t>
      </w:r>
      <w:r w:rsidR="00791A20" w:rsidRPr="009347F9">
        <w:rPr>
          <w:color w:val="auto"/>
          <w:szCs w:val="24"/>
        </w:rPr>
        <w:t xml:space="preserve"> with a normal heel to toe gait, followed by placing his cane</w:t>
      </w:r>
      <w:r w:rsidR="00791A20">
        <w:rPr>
          <w:color w:val="auto"/>
          <w:szCs w:val="24"/>
        </w:rPr>
        <w:t xml:space="preserve"> </w:t>
      </w:r>
      <w:r w:rsidR="007B3204" w:rsidRPr="007B3204">
        <w:rPr>
          <w:color w:val="auto"/>
          <w:szCs w:val="24"/>
        </w:rPr>
        <w:t>on the ground.</w:t>
      </w:r>
      <w:r w:rsidR="00791A20">
        <w:rPr>
          <w:color w:val="auto"/>
          <w:szCs w:val="24"/>
        </w:rPr>
        <w:t xml:space="preserve">  </w:t>
      </w:r>
      <w:r w:rsidR="00791A20" w:rsidRPr="007B3204">
        <w:rPr>
          <w:color w:val="auto"/>
          <w:szCs w:val="24"/>
        </w:rPr>
        <w:t>He has non-antalgic transfers.</w:t>
      </w:r>
      <w:r w:rsidR="00791A20">
        <w:rPr>
          <w:color w:val="auto"/>
          <w:szCs w:val="24"/>
        </w:rPr>
        <w:t xml:space="preserve">  </w:t>
      </w:r>
      <w:r w:rsidR="00791A20" w:rsidRPr="007B3204">
        <w:rPr>
          <w:color w:val="auto"/>
          <w:szCs w:val="24"/>
        </w:rPr>
        <w:t>He is wearing an LSO back</w:t>
      </w:r>
      <w:r w:rsidR="00791A20">
        <w:rPr>
          <w:color w:val="auto"/>
          <w:szCs w:val="24"/>
        </w:rPr>
        <w:t xml:space="preserve"> </w:t>
      </w:r>
      <w:r w:rsidR="007B3204" w:rsidRPr="007B3204">
        <w:rPr>
          <w:color w:val="auto"/>
          <w:szCs w:val="24"/>
        </w:rPr>
        <w:t>brac</w:t>
      </w:r>
      <w:r w:rsidR="00791A20">
        <w:rPr>
          <w:color w:val="auto"/>
          <w:szCs w:val="24"/>
        </w:rPr>
        <w:t>e</w:t>
      </w:r>
      <w:r w:rsidR="007B3204" w:rsidRPr="007B3204">
        <w:rPr>
          <w:color w:val="auto"/>
          <w:szCs w:val="24"/>
        </w:rPr>
        <w:t xml:space="preserve"> up around</w:t>
      </w:r>
      <w:r w:rsidR="00791A20">
        <w:rPr>
          <w:color w:val="auto"/>
          <w:szCs w:val="24"/>
        </w:rPr>
        <w:t xml:space="preserve"> </w:t>
      </w:r>
      <w:r w:rsidR="007B3204" w:rsidRPr="007B3204">
        <w:rPr>
          <w:color w:val="auto"/>
          <w:szCs w:val="24"/>
        </w:rPr>
        <w:t>lower thoracic spine.</w:t>
      </w:r>
      <w:r w:rsidR="00791A20">
        <w:rPr>
          <w:color w:val="auto"/>
          <w:szCs w:val="24"/>
        </w:rPr>
        <w:t xml:space="preserve">  </w:t>
      </w:r>
      <w:r w:rsidR="007B3204" w:rsidRPr="007B3204">
        <w:rPr>
          <w:color w:val="auto"/>
          <w:szCs w:val="24"/>
        </w:rPr>
        <w:t xml:space="preserve">While sitting in chair, his cane </w:t>
      </w:r>
      <w:r w:rsidR="007B3204" w:rsidRPr="007B3204">
        <w:rPr>
          <w:color w:val="auto"/>
          <w:szCs w:val="24"/>
        </w:rPr>
        <w:lastRenderedPageBreak/>
        <w:t>which was resting against adjacent treatment</w:t>
      </w:r>
      <w:r w:rsidR="00791A20">
        <w:rPr>
          <w:color w:val="auto"/>
          <w:szCs w:val="24"/>
        </w:rPr>
        <w:t xml:space="preserve"> </w:t>
      </w:r>
      <w:r w:rsidR="007B3204" w:rsidRPr="007B3204">
        <w:rPr>
          <w:color w:val="auto"/>
          <w:szCs w:val="24"/>
        </w:rPr>
        <w:t xml:space="preserve">table started to fall. </w:t>
      </w:r>
      <w:r w:rsidR="002D015B">
        <w:rPr>
          <w:color w:val="auto"/>
          <w:szCs w:val="24"/>
        </w:rPr>
        <w:t xml:space="preserve"> </w:t>
      </w:r>
      <w:r w:rsidR="007B3204" w:rsidRPr="007B3204">
        <w:rPr>
          <w:color w:val="auto"/>
          <w:szCs w:val="24"/>
        </w:rPr>
        <w:t>He was able to reach with his hand and foot to catch</w:t>
      </w:r>
      <w:r w:rsidR="00791A20">
        <w:rPr>
          <w:color w:val="auto"/>
          <w:szCs w:val="24"/>
        </w:rPr>
        <w:t xml:space="preserve"> </w:t>
      </w:r>
      <w:r w:rsidR="007B3204" w:rsidRPr="007B3204">
        <w:rPr>
          <w:color w:val="auto"/>
          <w:szCs w:val="24"/>
        </w:rPr>
        <w:t>cane without any apparent difficulty or increase in pain.</w:t>
      </w:r>
      <w:r w:rsidR="00791A20">
        <w:rPr>
          <w:color w:val="auto"/>
          <w:szCs w:val="24"/>
        </w:rPr>
        <w:t xml:space="preserve">” </w:t>
      </w:r>
      <w:r w:rsidR="002D015B">
        <w:rPr>
          <w:color w:val="auto"/>
          <w:szCs w:val="24"/>
        </w:rPr>
        <w:t xml:space="preserve"> </w:t>
      </w:r>
      <w:r w:rsidR="00791A20">
        <w:rPr>
          <w:color w:val="auto"/>
          <w:szCs w:val="24"/>
        </w:rPr>
        <w:t xml:space="preserve">The examiner opined the CI presented subjective complaints out of proportion to clinical findings and that his finding had been noted in other recent VA treatment records. </w:t>
      </w:r>
      <w:r w:rsidR="002D015B">
        <w:rPr>
          <w:color w:val="auto"/>
          <w:szCs w:val="24"/>
        </w:rPr>
        <w:t xml:space="preserve"> </w:t>
      </w:r>
      <w:r w:rsidR="00791A20">
        <w:rPr>
          <w:color w:val="auto"/>
          <w:szCs w:val="24"/>
        </w:rPr>
        <w:t xml:space="preserve">The VA notified the CI </w:t>
      </w:r>
      <w:r w:rsidR="00E966DB">
        <w:rPr>
          <w:color w:val="auto"/>
          <w:szCs w:val="24"/>
        </w:rPr>
        <w:t>that they</w:t>
      </w:r>
      <w:r w:rsidR="00791A20">
        <w:rPr>
          <w:color w:val="auto"/>
          <w:szCs w:val="24"/>
        </w:rPr>
        <w:t xml:space="preserve"> planned to reduce the evaluation for this condition and did so</w:t>
      </w:r>
      <w:r w:rsidR="00213030">
        <w:rPr>
          <w:color w:val="auto"/>
          <w:szCs w:val="24"/>
        </w:rPr>
        <w:t xml:space="preserve"> with a 10% rating</w:t>
      </w:r>
      <w:r w:rsidR="00791A20">
        <w:rPr>
          <w:color w:val="auto"/>
          <w:szCs w:val="24"/>
        </w:rPr>
        <w:t xml:space="preserve"> effective </w:t>
      </w:r>
      <w:r w:rsidR="00B851CF">
        <w:rPr>
          <w:color w:val="auto"/>
          <w:szCs w:val="24"/>
        </w:rPr>
        <w:t xml:space="preserve">1 September </w:t>
      </w:r>
      <w:r w:rsidR="00791A20">
        <w:rPr>
          <w:color w:val="auto"/>
          <w:szCs w:val="24"/>
        </w:rPr>
        <w:t xml:space="preserve">2010, </w:t>
      </w:r>
      <w:r w:rsidR="00E966DB">
        <w:rPr>
          <w:color w:val="auto"/>
          <w:szCs w:val="24"/>
        </w:rPr>
        <w:t>60</w:t>
      </w:r>
      <w:r w:rsidR="00791A20">
        <w:rPr>
          <w:color w:val="auto"/>
          <w:szCs w:val="24"/>
        </w:rPr>
        <w:t xml:space="preserve"> days after the final notification</w:t>
      </w:r>
      <w:r w:rsidR="00213030">
        <w:rPr>
          <w:color w:val="auto"/>
          <w:szCs w:val="24"/>
        </w:rPr>
        <w:t xml:space="preserve"> of the intent to decrease the rating</w:t>
      </w:r>
      <w:r w:rsidR="00791A20">
        <w:rPr>
          <w:color w:val="auto"/>
          <w:szCs w:val="24"/>
        </w:rPr>
        <w:t xml:space="preserve">. </w:t>
      </w:r>
      <w:r w:rsidR="002D015B">
        <w:rPr>
          <w:color w:val="auto"/>
          <w:szCs w:val="24"/>
        </w:rPr>
        <w:t xml:space="preserve"> </w:t>
      </w:r>
      <w:r w:rsidR="00791A20">
        <w:rPr>
          <w:color w:val="auto"/>
          <w:szCs w:val="24"/>
        </w:rPr>
        <w:t xml:space="preserve">The VA rating decision dated </w:t>
      </w:r>
      <w:r w:rsidR="00B851CF">
        <w:rPr>
          <w:color w:val="auto"/>
          <w:szCs w:val="24"/>
        </w:rPr>
        <w:t xml:space="preserve">9 June </w:t>
      </w:r>
      <w:r w:rsidR="00791A20">
        <w:rPr>
          <w:color w:val="auto"/>
          <w:szCs w:val="24"/>
        </w:rPr>
        <w:t>2010, noted several findings from the CI’s treatment record that supported pain out of proportion to clinical findings.</w:t>
      </w:r>
    </w:p>
    <w:p w:rsidR="00002A32" w:rsidRDefault="00002A32" w:rsidP="007B3204">
      <w:pPr>
        <w:jc w:val="both"/>
        <w:rPr>
          <w:color w:val="auto"/>
          <w:szCs w:val="24"/>
        </w:rPr>
      </w:pPr>
    </w:p>
    <w:p w:rsidR="00002A32" w:rsidRPr="009347F9" w:rsidRDefault="00BD0245" w:rsidP="00BD0245">
      <w:pPr>
        <w:tabs>
          <w:tab w:val="left" w:pos="288"/>
          <w:tab w:val="left" w:pos="4752"/>
        </w:tabs>
        <w:jc w:val="both"/>
        <w:rPr>
          <w:rFonts w:eastAsia="Calibri" w:cs="Times New Roman"/>
          <w:color w:val="auto"/>
          <w:szCs w:val="24"/>
        </w:rPr>
      </w:pPr>
      <w:r w:rsidRPr="00F64312">
        <w:rPr>
          <w:rFonts w:cs="Times New Roman"/>
          <w:color w:val="auto"/>
        </w:rPr>
        <w:t>The Board directs attention to its rating recommendation based on the above evidence.</w:t>
      </w:r>
      <w:r>
        <w:rPr>
          <w:rFonts w:cs="Times New Roman"/>
          <w:color w:val="auto"/>
        </w:rPr>
        <w:t xml:space="preserve">  </w:t>
      </w:r>
      <w:r w:rsidR="00002A32">
        <w:rPr>
          <w:color w:val="auto"/>
          <w:szCs w:val="24"/>
        </w:rPr>
        <w:t xml:space="preserve">The final VA C&amp;P examination is consistent with the NARSUM and the NARSUM addendum examinations and all support a 10% rating. </w:t>
      </w:r>
      <w:r w:rsidR="002D015B">
        <w:rPr>
          <w:color w:val="auto"/>
          <w:szCs w:val="24"/>
        </w:rPr>
        <w:t xml:space="preserve"> </w:t>
      </w:r>
      <w:r w:rsidR="00002A32">
        <w:rPr>
          <w:color w:val="auto"/>
          <w:szCs w:val="24"/>
        </w:rPr>
        <w:t xml:space="preserve">The two service examinations have no evidence of nonorganic findings or subjective complaints out of proportion to objective findings and both appear to be reliable examinations. </w:t>
      </w:r>
      <w:r w:rsidR="002D015B">
        <w:rPr>
          <w:color w:val="auto"/>
          <w:szCs w:val="24"/>
        </w:rPr>
        <w:t xml:space="preserve"> </w:t>
      </w:r>
      <w:r w:rsidR="00002A32">
        <w:rPr>
          <w:color w:val="auto"/>
          <w:szCs w:val="24"/>
        </w:rPr>
        <w:t xml:space="preserve">The initial VA examination has no mention of Waddell’s signs or any indication of unreliability. </w:t>
      </w:r>
      <w:r w:rsidR="002D015B">
        <w:rPr>
          <w:color w:val="auto"/>
          <w:szCs w:val="24"/>
        </w:rPr>
        <w:t xml:space="preserve"> </w:t>
      </w:r>
      <w:r w:rsidR="00002A32">
        <w:rPr>
          <w:color w:val="auto"/>
          <w:szCs w:val="24"/>
        </w:rPr>
        <w:t>However, it is highly unlikely that the CIs condition could have worsened this significantly without an intervening injury or serious illness such as cancer.</w:t>
      </w:r>
      <w:r w:rsidR="002D015B">
        <w:rPr>
          <w:color w:val="auto"/>
          <w:szCs w:val="24"/>
        </w:rPr>
        <w:t xml:space="preserve"> </w:t>
      </w:r>
      <w:r w:rsidR="00002A32">
        <w:rPr>
          <w:color w:val="auto"/>
          <w:szCs w:val="24"/>
        </w:rPr>
        <w:t xml:space="preserve"> </w:t>
      </w:r>
      <w:r>
        <w:rPr>
          <w:color w:val="auto"/>
          <w:szCs w:val="24"/>
        </w:rPr>
        <w:t xml:space="preserve">The two later </w:t>
      </w:r>
      <w:r w:rsidRPr="009347F9">
        <w:rPr>
          <w:color w:val="auto"/>
          <w:szCs w:val="24"/>
        </w:rPr>
        <w:t xml:space="preserve">VA C&amp;P examinations both contain findings suspicious for embellishment. </w:t>
      </w:r>
      <w:r w:rsidR="002D015B">
        <w:rPr>
          <w:color w:val="auto"/>
          <w:szCs w:val="24"/>
        </w:rPr>
        <w:t xml:space="preserve"> </w:t>
      </w:r>
      <w:r w:rsidRPr="009347F9">
        <w:rPr>
          <w:color w:val="auto"/>
          <w:szCs w:val="24"/>
        </w:rPr>
        <w:t xml:space="preserve">In light of this evidence and the fact that all VA examinations were completed after separation, the Board places a higher probative value on the two Army examinations.  </w:t>
      </w:r>
      <w:r w:rsidR="00002A32" w:rsidRPr="009347F9">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B851CF" w:rsidRPr="009347F9">
        <w:rPr>
          <w:color w:val="auto"/>
        </w:rPr>
        <w:t xml:space="preserve">chronic non-radiating </w:t>
      </w:r>
      <w:r w:rsidR="00E966DB">
        <w:rPr>
          <w:color w:val="auto"/>
        </w:rPr>
        <w:t>LBP</w:t>
      </w:r>
      <w:r w:rsidR="00002A32" w:rsidRPr="009347F9">
        <w:rPr>
          <w:rFonts w:eastAsia="Calibri" w:cs="Times New Roman"/>
          <w:color w:val="auto"/>
          <w:szCs w:val="24"/>
        </w:rPr>
        <w:t xml:space="preserve"> condition.  </w:t>
      </w:r>
    </w:p>
    <w:p w:rsidR="0045622F" w:rsidRPr="009347F9" w:rsidRDefault="0045622F" w:rsidP="00FB00AD">
      <w:pPr>
        <w:tabs>
          <w:tab w:val="left" w:pos="288"/>
          <w:tab w:val="left" w:pos="4752"/>
        </w:tabs>
        <w:jc w:val="both"/>
        <w:rPr>
          <w:rFonts w:cs="Times New Roman"/>
          <w:color w:val="auto"/>
        </w:rPr>
      </w:pPr>
    </w:p>
    <w:p w:rsidR="0045622F" w:rsidRPr="00F64312" w:rsidRDefault="001B7D93" w:rsidP="0045622F">
      <w:pPr>
        <w:jc w:val="both"/>
        <w:rPr>
          <w:color w:val="auto"/>
        </w:rPr>
      </w:pPr>
      <w:proofErr w:type="gramStart"/>
      <w:r w:rsidRPr="009347F9">
        <w:rPr>
          <w:color w:val="auto"/>
          <w:u w:val="single"/>
        </w:rPr>
        <w:t>Chronic Left Forearm</w:t>
      </w:r>
      <w:r w:rsidR="0045622F" w:rsidRPr="009347F9">
        <w:rPr>
          <w:color w:val="auto"/>
          <w:u w:val="single"/>
        </w:rPr>
        <w:t xml:space="preserve"> </w:t>
      </w:r>
      <w:r w:rsidRPr="009347F9">
        <w:rPr>
          <w:color w:val="auto"/>
          <w:u w:val="single"/>
        </w:rPr>
        <w:t xml:space="preserve">and Wrist Pain with History of Radial </w:t>
      </w:r>
      <w:r w:rsidR="00A303BE" w:rsidRPr="009347F9">
        <w:rPr>
          <w:color w:val="auto"/>
          <w:u w:val="single"/>
        </w:rPr>
        <w:t>Fracture</w:t>
      </w:r>
      <w:r w:rsidRPr="009347F9">
        <w:rPr>
          <w:color w:val="auto"/>
          <w:u w:val="single"/>
        </w:rPr>
        <w:t xml:space="preserve"> </w:t>
      </w:r>
      <w:r w:rsidR="0045622F" w:rsidRPr="009347F9">
        <w:rPr>
          <w:color w:val="auto"/>
          <w:u w:val="single"/>
        </w:rPr>
        <w:t>Condition</w:t>
      </w:r>
      <w:r w:rsidR="0045622F" w:rsidRPr="009347F9">
        <w:rPr>
          <w:color w:val="auto"/>
        </w:rPr>
        <w:t>.</w:t>
      </w:r>
      <w:proofErr w:type="gramEnd"/>
      <w:r w:rsidR="0045622F" w:rsidRPr="009347F9">
        <w:rPr>
          <w:color w:val="auto"/>
        </w:rPr>
        <w:t xml:space="preserve">  </w:t>
      </w:r>
      <w:r w:rsidR="00A16CB5" w:rsidRPr="009347F9">
        <w:rPr>
          <w:color w:val="auto"/>
        </w:rPr>
        <w:t xml:space="preserve">Both the NARSUM Addendum of </w:t>
      </w:r>
      <w:r w:rsidR="004664F5">
        <w:rPr>
          <w:color w:val="auto"/>
        </w:rPr>
        <w:t xml:space="preserve">29 January </w:t>
      </w:r>
      <w:r w:rsidR="00A16CB5" w:rsidRPr="009347F9">
        <w:rPr>
          <w:color w:val="auto"/>
        </w:rPr>
        <w:t xml:space="preserve">2007 and the VA C&amp;P examination of </w:t>
      </w:r>
      <w:r w:rsidR="004664F5">
        <w:rPr>
          <w:color w:val="auto"/>
        </w:rPr>
        <w:t xml:space="preserve">1 August </w:t>
      </w:r>
      <w:r w:rsidR="00A16CB5" w:rsidRPr="009347F9">
        <w:rPr>
          <w:color w:val="auto"/>
        </w:rPr>
        <w:t xml:space="preserve">2007 noted a similar clinical history of a left radial fracture sustained during a motor vehicle accident in October 2005. </w:t>
      </w:r>
      <w:r w:rsidR="002D015B">
        <w:rPr>
          <w:color w:val="auto"/>
        </w:rPr>
        <w:t xml:space="preserve"> </w:t>
      </w:r>
      <w:r w:rsidR="00F32861" w:rsidRPr="009347F9">
        <w:rPr>
          <w:color w:val="auto"/>
        </w:rPr>
        <w:t xml:space="preserve">Surgical treatment with open reduction and internal fixation was required. </w:t>
      </w:r>
      <w:r w:rsidR="00E966DB">
        <w:rPr>
          <w:color w:val="auto"/>
        </w:rPr>
        <w:t xml:space="preserve"> </w:t>
      </w:r>
      <w:r w:rsidR="00F32861" w:rsidRPr="009347F9">
        <w:rPr>
          <w:color w:val="auto"/>
        </w:rPr>
        <w:t xml:space="preserve">Anatomic alignment with complete union </w:t>
      </w:r>
      <w:r w:rsidR="007B66ED" w:rsidRPr="009347F9">
        <w:rPr>
          <w:color w:val="auto"/>
        </w:rPr>
        <w:t xml:space="preserve">and intact hardware </w:t>
      </w:r>
      <w:r w:rsidR="00F32861" w:rsidRPr="009347F9">
        <w:rPr>
          <w:color w:val="auto"/>
        </w:rPr>
        <w:t>was documented on follow-up radiographs</w:t>
      </w:r>
      <w:r w:rsidR="007B66ED" w:rsidRPr="009347F9">
        <w:rPr>
          <w:color w:val="auto"/>
        </w:rPr>
        <w:t xml:space="preserve"> as late as October 2006</w:t>
      </w:r>
      <w:r w:rsidR="00F32861" w:rsidRPr="009347F9">
        <w:rPr>
          <w:color w:val="auto"/>
        </w:rPr>
        <w:t xml:space="preserve">. </w:t>
      </w:r>
      <w:r w:rsidR="002D015B">
        <w:rPr>
          <w:color w:val="auto"/>
        </w:rPr>
        <w:t xml:space="preserve"> </w:t>
      </w:r>
      <w:r w:rsidR="00F32861" w:rsidRPr="009347F9">
        <w:rPr>
          <w:color w:val="auto"/>
        </w:rPr>
        <w:t>However, the CI continued to have chronic left forearm and left wrist pain</w:t>
      </w:r>
      <w:r w:rsidR="00C21426" w:rsidRPr="009347F9">
        <w:rPr>
          <w:color w:val="auto"/>
        </w:rPr>
        <w:t xml:space="preserve"> despite rehabilitation</w:t>
      </w:r>
      <w:r w:rsidR="00F32861" w:rsidRPr="009347F9">
        <w:rPr>
          <w:color w:val="auto"/>
        </w:rPr>
        <w:t xml:space="preserve">. </w:t>
      </w:r>
      <w:r w:rsidR="004664F5">
        <w:rPr>
          <w:color w:val="auto"/>
        </w:rPr>
        <w:t xml:space="preserve"> </w:t>
      </w:r>
      <w:r w:rsidR="00C21426" w:rsidRPr="009347F9">
        <w:rPr>
          <w:color w:val="auto"/>
        </w:rPr>
        <w:t xml:space="preserve">The NARSUM </w:t>
      </w:r>
      <w:r w:rsidR="00E966DB">
        <w:rPr>
          <w:color w:val="auto"/>
        </w:rPr>
        <w:t>a</w:t>
      </w:r>
      <w:r w:rsidR="00C21426" w:rsidRPr="009347F9">
        <w:rPr>
          <w:color w:val="auto"/>
        </w:rPr>
        <w:t xml:space="preserve">ddendum </w:t>
      </w:r>
      <w:r w:rsidR="00C64891" w:rsidRPr="009347F9">
        <w:rPr>
          <w:color w:val="auto"/>
        </w:rPr>
        <w:t xml:space="preserve">examination </w:t>
      </w:r>
      <w:r w:rsidR="00C21426" w:rsidRPr="009347F9">
        <w:rPr>
          <w:color w:val="auto"/>
        </w:rPr>
        <w:t>noted the absence of tenderness over the distal radial ulnar joint, a negative Watson’s test</w:t>
      </w:r>
      <w:r w:rsidR="007B66ED" w:rsidRPr="009347F9">
        <w:rPr>
          <w:color w:val="auto"/>
        </w:rPr>
        <w:t xml:space="preserve"> for scapholunate instability</w:t>
      </w:r>
      <w:r w:rsidR="00C21426" w:rsidRPr="009347F9">
        <w:rPr>
          <w:color w:val="auto"/>
        </w:rPr>
        <w:t>, and a negative Kleinman’s Shear test</w:t>
      </w:r>
      <w:r w:rsidR="007B66ED" w:rsidRPr="009347F9">
        <w:rPr>
          <w:color w:val="auto"/>
        </w:rPr>
        <w:t xml:space="preserve"> for triquetrolunate instability</w:t>
      </w:r>
      <w:r w:rsidR="00C21426" w:rsidRPr="009347F9">
        <w:rPr>
          <w:color w:val="auto"/>
        </w:rPr>
        <w:t xml:space="preserve">. </w:t>
      </w:r>
      <w:r w:rsidR="002D015B">
        <w:rPr>
          <w:color w:val="auto"/>
        </w:rPr>
        <w:t xml:space="preserve"> </w:t>
      </w:r>
      <w:r w:rsidR="00C21426" w:rsidRPr="009347F9">
        <w:rPr>
          <w:color w:val="auto"/>
        </w:rPr>
        <w:t xml:space="preserve">Full </w:t>
      </w:r>
      <w:r w:rsidR="001E6561">
        <w:rPr>
          <w:color w:val="auto"/>
        </w:rPr>
        <w:t>ROM</w:t>
      </w:r>
      <w:r w:rsidR="00C21426" w:rsidRPr="009347F9">
        <w:rPr>
          <w:color w:val="auto"/>
        </w:rPr>
        <w:t xml:space="preserve"> of fingers of both hands was also noted. </w:t>
      </w:r>
      <w:r w:rsidR="002D015B">
        <w:rPr>
          <w:color w:val="auto"/>
        </w:rPr>
        <w:t xml:space="preserve"> </w:t>
      </w:r>
      <w:r w:rsidR="00C64891" w:rsidRPr="009347F9">
        <w:rPr>
          <w:color w:val="auto"/>
        </w:rPr>
        <w:t xml:space="preserve">This examination did not include motor, sensory or reflex examination of the upper extremities. </w:t>
      </w:r>
      <w:r w:rsidR="002D015B">
        <w:rPr>
          <w:color w:val="auto"/>
        </w:rPr>
        <w:t xml:space="preserve"> </w:t>
      </w:r>
      <w:r w:rsidR="008A78B7" w:rsidRPr="009347F9">
        <w:rPr>
          <w:color w:val="auto"/>
        </w:rPr>
        <w:t xml:space="preserve">The previously completed NARSUM examination documented bilateral upper and lower extremity findings of 5/5 motor strength, normal sensation to light touch and pinprick, and normal, equal, and symmetric reflexes. </w:t>
      </w:r>
      <w:r w:rsidR="002D015B">
        <w:rPr>
          <w:color w:val="auto"/>
        </w:rPr>
        <w:t xml:space="preserve"> </w:t>
      </w:r>
      <w:r w:rsidR="00523B56" w:rsidRPr="009347F9">
        <w:rPr>
          <w:color w:val="auto"/>
        </w:rPr>
        <w:t>The VA C&amp;P exam documented the CI was right hand dominant.</w:t>
      </w:r>
      <w:r w:rsidR="00C64891" w:rsidRPr="009347F9">
        <w:rPr>
          <w:color w:val="auto"/>
        </w:rPr>
        <w:t xml:space="preserve"> </w:t>
      </w:r>
      <w:r w:rsidR="004664F5">
        <w:rPr>
          <w:color w:val="auto"/>
        </w:rPr>
        <w:t xml:space="preserve"> </w:t>
      </w:r>
      <w:r w:rsidR="00C64891" w:rsidRPr="009347F9">
        <w:rPr>
          <w:color w:val="auto"/>
        </w:rPr>
        <w:t xml:space="preserve">It noted the absence of impaired strength or dexterity in both hands. </w:t>
      </w:r>
      <w:r w:rsidR="002D015B">
        <w:rPr>
          <w:color w:val="auto"/>
        </w:rPr>
        <w:t xml:space="preserve"> </w:t>
      </w:r>
      <w:r w:rsidR="00C64891" w:rsidRPr="009347F9">
        <w:rPr>
          <w:color w:val="auto"/>
        </w:rPr>
        <w:t>Neurologic</w:t>
      </w:r>
      <w:r w:rsidR="00C64891">
        <w:rPr>
          <w:color w:val="auto"/>
        </w:rPr>
        <w:t xml:space="preserve"> exam noted no motor or sensory loss and normal and symmetric reflexes of the upper extremities. </w:t>
      </w:r>
      <w:r w:rsidR="002D015B">
        <w:rPr>
          <w:color w:val="auto"/>
        </w:rPr>
        <w:t xml:space="preserve"> </w:t>
      </w:r>
      <w:r w:rsidR="00C64891">
        <w:rPr>
          <w:color w:val="auto"/>
        </w:rPr>
        <w:t xml:space="preserve">VA </w:t>
      </w:r>
      <w:r w:rsidR="001E6561">
        <w:rPr>
          <w:color w:val="auto"/>
        </w:rPr>
        <w:t>X</w:t>
      </w:r>
      <w:r w:rsidR="00C64891">
        <w:rPr>
          <w:color w:val="auto"/>
        </w:rPr>
        <w:t>-rays noted the hardware was intact</w:t>
      </w:r>
      <w:r w:rsidR="00C76160">
        <w:rPr>
          <w:color w:val="auto"/>
        </w:rPr>
        <w:t xml:space="preserve"> and there was good alignment of the fracture fragments. </w:t>
      </w:r>
      <w:r w:rsidR="00C64891">
        <w:rPr>
          <w:color w:val="auto"/>
        </w:rPr>
        <w:t xml:space="preserve"> </w:t>
      </w:r>
      <w:r w:rsidR="002F2584">
        <w:rPr>
          <w:color w:val="auto"/>
        </w:rPr>
        <w:t>It also noted nonunion of the ulnar styloid process versus ulnar styloid ossicle.</w:t>
      </w:r>
    </w:p>
    <w:p w:rsidR="0045622F" w:rsidRPr="00F64312" w:rsidRDefault="0045622F" w:rsidP="0045622F">
      <w:pPr>
        <w:jc w:val="both"/>
        <w:rPr>
          <w:color w:val="auto"/>
        </w:rPr>
      </w:pPr>
    </w:p>
    <w:p w:rsidR="0045622F" w:rsidRDefault="0045622F" w:rsidP="0045622F">
      <w:pPr>
        <w:jc w:val="both"/>
        <w:rPr>
          <w:color w:val="auto"/>
          <w:szCs w:val="24"/>
        </w:rPr>
      </w:pPr>
      <w:r w:rsidRPr="00F64312">
        <w:rPr>
          <w:color w:val="auto"/>
          <w:szCs w:val="24"/>
        </w:rPr>
        <w:t xml:space="preserve">There </w:t>
      </w:r>
      <w:r w:rsidR="00A16CB5">
        <w:rPr>
          <w:color w:val="auto"/>
          <w:szCs w:val="24"/>
        </w:rPr>
        <w:t>was one</w:t>
      </w:r>
      <w:r>
        <w:rPr>
          <w:color w:val="auto"/>
          <w:szCs w:val="24"/>
        </w:rPr>
        <w:t xml:space="preserve"> </w:t>
      </w:r>
      <w:r w:rsidR="00A16CB5">
        <w:rPr>
          <w:color w:val="auto"/>
          <w:szCs w:val="24"/>
        </w:rPr>
        <w:t>ROM evaluation</w:t>
      </w:r>
      <w:r w:rsidRPr="00F64312">
        <w:rPr>
          <w:color w:val="auto"/>
          <w:szCs w:val="24"/>
        </w:rPr>
        <w:t xml:space="preserve"> in evidence, with documentation of additional ratable criteria, which the Board weighed in arriving at its rating recommendation; as summarized in the chart below.  </w:t>
      </w:r>
    </w:p>
    <w:p w:rsidR="00523B56" w:rsidRDefault="00523B56" w:rsidP="0045622F">
      <w:pPr>
        <w:jc w:val="both"/>
        <w:rPr>
          <w:color w:val="auto"/>
          <w:szCs w:val="24"/>
        </w:rPr>
      </w:pPr>
    </w:p>
    <w:p w:rsidR="00CB024E" w:rsidRDefault="00CB024E">
      <w:pPr>
        <w:spacing w:line="240" w:lineRule="auto"/>
        <w:jc w:val="left"/>
        <w:rPr>
          <w:rFonts w:eastAsiaTheme="minorHAnsi"/>
          <w:color w:val="auto"/>
          <w:szCs w:val="24"/>
        </w:rPr>
      </w:pPr>
      <w:r>
        <w:rPr>
          <w:rFonts w:eastAsiaTheme="minorHAnsi"/>
          <w:color w:val="auto"/>
          <w:szCs w:val="24"/>
        </w:rPr>
        <w:br w:type="page"/>
      </w:r>
    </w:p>
    <w:tbl>
      <w:tblPr>
        <w:tblW w:w="8325" w:type="dxa"/>
        <w:jc w:val="center"/>
        <w:tblInd w:w="-5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5"/>
        <w:gridCol w:w="2970"/>
        <w:gridCol w:w="2970"/>
      </w:tblGrid>
      <w:tr w:rsidR="00661912" w:rsidRPr="00523B56" w:rsidTr="0001029E">
        <w:trPr>
          <w:jc w:val="center"/>
        </w:trPr>
        <w:tc>
          <w:tcPr>
            <w:tcW w:w="8325" w:type="dxa"/>
            <w:gridSpan w:val="3"/>
            <w:shd w:val="clear" w:color="auto" w:fill="D9D9D9" w:themeFill="background1" w:themeFillShade="D9"/>
            <w:vAlign w:val="center"/>
          </w:tcPr>
          <w:p w:rsidR="00661912" w:rsidRDefault="00661912" w:rsidP="00661912">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lastRenderedPageBreak/>
              <w:t xml:space="preserve">MEB Addendum ~ 4 Months </w:t>
            </w:r>
            <w:r w:rsidRPr="0045622F">
              <w:rPr>
                <w:rFonts w:asciiTheme="majorHAnsi" w:eastAsia="Calibri" w:hAnsiTheme="majorHAnsi" w:cstheme="majorHAnsi"/>
                <w:color w:val="000000" w:themeColor="text1"/>
                <w:sz w:val="18"/>
                <w:szCs w:val="18"/>
              </w:rPr>
              <w:t>Pre-Sep</w:t>
            </w:r>
            <w:r>
              <w:rPr>
                <w:rFonts w:asciiTheme="majorHAnsi" w:eastAsia="Calibri" w:hAnsiTheme="majorHAnsi" w:cstheme="majorHAnsi"/>
                <w:color w:val="000000" w:themeColor="text1"/>
                <w:sz w:val="18"/>
                <w:szCs w:val="18"/>
              </w:rPr>
              <w:t>aration</w:t>
            </w:r>
          </w:p>
        </w:tc>
      </w:tr>
      <w:tr w:rsidR="0074557D" w:rsidRPr="00523B56" w:rsidTr="00C21426">
        <w:trPr>
          <w:jc w:val="center"/>
        </w:trPr>
        <w:tc>
          <w:tcPr>
            <w:tcW w:w="2385" w:type="dxa"/>
            <w:shd w:val="clear" w:color="auto" w:fill="D9D9D9" w:themeFill="background1" w:themeFillShade="D9"/>
            <w:vAlign w:val="center"/>
          </w:tcPr>
          <w:p w:rsidR="0074557D" w:rsidRPr="009347F9" w:rsidRDefault="00661912" w:rsidP="009347F9">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Elbow Normal</w:t>
            </w:r>
          </w:p>
        </w:tc>
        <w:tc>
          <w:tcPr>
            <w:tcW w:w="2970" w:type="dxa"/>
            <w:shd w:val="clear" w:color="auto" w:fill="D9D9D9" w:themeFill="background1" w:themeFillShade="D9"/>
            <w:vAlign w:val="center"/>
          </w:tcPr>
          <w:p w:rsidR="0074557D" w:rsidRPr="00523B56" w:rsidRDefault="00C76160" w:rsidP="00523B56">
            <w:pPr>
              <w:spacing w:line="220" w:lineRule="exact"/>
              <w:contextualSpacing/>
              <w:rPr>
                <w:rFonts w:asciiTheme="majorHAnsi" w:hAnsiTheme="majorHAnsi" w:cstheme="majorHAnsi"/>
                <w:color w:val="auto"/>
                <w:sz w:val="18"/>
                <w:szCs w:val="18"/>
              </w:rPr>
            </w:pPr>
            <w:r w:rsidRPr="00523B56">
              <w:rPr>
                <w:rFonts w:asciiTheme="majorHAnsi" w:eastAsia="Calibri" w:hAnsiTheme="majorHAnsi" w:cstheme="majorHAnsi"/>
                <w:color w:val="auto"/>
                <w:sz w:val="18"/>
                <w:szCs w:val="18"/>
              </w:rPr>
              <w:t>Left Elbow ROM</w:t>
            </w:r>
          </w:p>
        </w:tc>
        <w:tc>
          <w:tcPr>
            <w:tcW w:w="2970" w:type="dxa"/>
            <w:shd w:val="clear" w:color="auto" w:fill="D9D9D9" w:themeFill="background1" w:themeFillShade="D9"/>
            <w:vAlign w:val="center"/>
          </w:tcPr>
          <w:p w:rsidR="0074557D" w:rsidRDefault="00C21426" w:rsidP="00C21426">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Right Elbow</w:t>
            </w:r>
            <w:r w:rsidR="00C76160">
              <w:rPr>
                <w:rFonts w:asciiTheme="majorHAnsi" w:eastAsia="Calibri" w:hAnsiTheme="majorHAnsi" w:cstheme="majorHAnsi"/>
                <w:color w:val="000000" w:themeColor="text1"/>
                <w:sz w:val="18"/>
                <w:szCs w:val="18"/>
              </w:rPr>
              <w:t xml:space="preserve"> ROM</w:t>
            </w:r>
          </w:p>
        </w:tc>
      </w:tr>
      <w:tr w:rsidR="0074557D" w:rsidRPr="00523B56" w:rsidTr="00C21426">
        <w:trPr>
          <w:jc w:val="center"/>
        </w:trPr>
        <w:tc>
          <w:tcPr>
            <w:tcW w:w="2385" w:type="dxa"/>
            <w:vAlign w:val="center"/>
          </w:tcPr>
          <w:p w:rsidR="0074557D" w:rsidRPr="00523B56" w:rsidRDefault="0074557D" w:rsidP="00523B56">
            <w:pPr>
              <w:pStyle w:val="ListParagraph"/>
              <w:spacing w:after="0" w:line="240" w:lineRule="exact"/>
              <w:ind w:left="0"/>
              <w:rPr>
                <w:rFonts w:asciiTheme="majorHAnsi" w:eastAsia="Calibri" w:hAnsiTheme="majorHAnsi" w:cstheme="majorHAnsi"/>
                <w:sz w:val="18"/>
                <w:szCs w:val="18"/>
              </w:rPr>
            </w:pPr>
            <w:r w:rsidRPr="00523B56">
              <w:rPr>
                <w:rFonts w:asciiTheme="majorHAnsi" w:eastAsia="Calibri" w:hAnsiTheme="majorHAnsi" w:cstheme="majorHAnsi"/>
                <w:sz w:val="18"/>
                <w:szCs w:val="18"/>
              </w:rPr>
              <w:t>Flexion (0-145⁰)</w:t>
            </w:r>
          </w:p>
        </w:tc>
        <w:tc>
          <w:tcPr>
            <w:tcW w:w="2970" w:type="dxa"/>
            <w:vAlign w:val="center"/>
          </w:tcPr>
          <w:p w:rsidR="0074557D" w:rsidRPr="00523B56" w:rsidRDefault="0074557D" w:rsidP="00523B56">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145</w:t>
            </w:r>
            <w:r w:rsidRPr="00523B56">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(150)</w:t>
            </w:r>
          </w:p>
        </w:tc>
        <w:tc>
          <w:tcPr>
            <w:tcW w:w="2970" w:type="dxa"/>
            <w:vAlign w:val="center"/>
          </w:tcPr>
          <w:p w:rsidR="0074557D" w:rsidRDefault="00C21426" w:rsidP="00C21426">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145</w:t>
            </w:r>
            <w:r w:rsidRPr="00523B56">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(150)</w:t>
            </w:r>
          </w:p>
        </w:tc>
      </w:tr>
      <w:tr w:rsidR="0074557D" w:rsidRPr="00523B56" w:rsidTr="00C21426">
        <w:trPr>
          <w:jc w:val="center"/>
        </w:trPr>
        <w:tc>
          <w:tcPr>
            <w:tcW w:w="2385" w:type="dxa"/>
            <w:shd w:val="clear" w:color="auto" w:fill="D9D9D9" w:themeFill="background1" w:themeFillShade="D9"/>
            <w:vAlign w:val="center"/>
          </w:tcPr>
          <w:p w:rsidR="0074557D" w:rsidRPr="00523B56" w:rsidRDefault="004664F5" w:rsidP="00C76160">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000000" w:themeColor="text1"/>
                <w:sz w:val="18"/>
                <w:szCs w:val="18"/>
              </w:rPr>
              <w:t>Wrist Normal</w:t>
            </w:r>
          </w:p>
        </w:tc>
        <w:tc>
          <w:tcPr>
            <w:tcW w:w="2970" w:type="dxa"/>
            <w:shd w:val="clear" w:color="auto" w:fill="D9D9D9" w:themeFill="background1" w:themeFillShade="D9"/>
            <w:vAlign w:val="center"/>
          </w:tcPr>
          <w:p w:rsidR="0074557D" w:rsidRPr="00523B56" w:rsidRDefault="00C76160" w:rsidP="00523B56">
            <w:pPr>
              <w:spacing w:line="220" w:lineRule="exact"/>
              <w:contextualSpacing/>
              <w:rPr>
                <w:rFonts w:asciiTheme="majorHAnsi" w:hAnsiTheme="majorHAnsi" w:cstheme="majorHAnsi"/>
                <w:color w:val="auto"/>
                <w:sz w:val="18"/>
                <w:szCs w:val="18"/>
              </w:rPr>
            </w:pPr>
            <w:r w:rsidRPr="00523B56">
              <w:rPr>
                <w:rFonts w:asciiTheme="majorHAnsi" w:eastAsia="Calibri" w:hAnsiTheme="majorHAnsi" w:cstheme="majorHAnsi"/>
                <w:color w:val="auto"/>
                <w:sz w:val="18"/>
                <w:szCs w:val="18"/>
              </w:rPr>
              <w:t>Left Wrist ROM</w:t>
            </w:r>
          </w:p>
        </w:tc>
        <w:tc>
          <w:tcPr>
            <w:tcW w:w="2970" w:type="dxa"/>
            <w:shd w:val="clear" w:color="auto" w:fill="D9D9D9" w:themeFill="background1" w:themeFillShade="D9"/>
            <w:vAlign w:val="center"/>
          </w:tcPr>
          <w:p w:rsidR="0074557D" w:rsidRDefault="00C21426" w:rsidP="00C21426">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Right Wrist</w:t>
            </w:r>
            <w:r w:rsidR="00C76160">
              <w:rPr>
                <w:rFonts w:asciiTheme="majorHAnsi" w:eastAsia="Calibri" w:hAnsiTheme="majorHAnsi" w:cstheme="majorHAnsi"/>
                <w:color w:val="000000" w:themeColor="text1"/>
                <w:sz w:val="18"/>
                <w:szCs w:val="18"/>
              </w:rPr>
              <w:t xml:space="preserve"> ROM</w:t>
            </w:r>
          </w:p>
        </w:tc>
      </w:tr>
      <w:tr w:rsidR="00C21426" w:rsidRPr="00523B56" w:rsidTr="00C21426">
        <w:trPr>
          <w:jc w:val="center"/>
        </w:trPr>
        <w:tc>
          <w:tcPr>
            <w:tcW w:w="2385" w:type="dxa"/>
            <w:vAlign w:val="center"/>
          </w:tcPr>
          <w:p w:rsidR="00C21426" w:rsidRPr="00523B56" w:rsidRDefault="00C21426" w:rsidP="00523B56">
            <w:pPr>
              <w:spacing w:line="220" w:lineRule="exact"/>
              <w:contextualSpacing/>
              <w:rPr>
                <w:rFonts w:asciiTheme="majorHAnsi" w:eastAsia="Calibri" w:hAnsiTheme="majorHAnsi" w:cstheme="majorHAnsi"/>
                <w:color w:val="auto"/>
                <w:sz w:val="18"/>
                <w:szCs w:val="18"/>
              </w:rPr>
            </w:pPr>
            <w:r w:rsidRPr="00523B56">
              <w:rPr>
                <w:rFonts w:asciiTheme="majorHAnsi" w:eastAsia="Calibri" w:hAnsiTheme="majorHAnsi" w:cstheme="majorHAnsi"/>
                <w:color w:val="auto"/>
                <w:sz w:val="18"/>
                <w:szCs w:val="18"/>
              </w:rPr>
              <w:t>Dorsiflexion (0-70⁰)</w:t>
            </w:r>
          </w:p>
        </w:tc>
        <w:tc>
          <w:tcPr>
            <w:tcW w:w="2970" w:type="dxa"/>
            <w:vAlign w:val="center"/>
          </w:tcPr>
          <w:p w:rsidR="00C21426" w:rsidRPr="00523B56" w:rsidRDefault="00C21426" w:rsidP="00523B5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r w:rsidRPr="00523B56">
              <w:rPr>
                <w:rFonts w:asciiTheme="majorHAnsi" w:eastAsia="Calibri" w:hAnsiTheme="majorHAnsi" w:cstheme="majorHAnsi"/>
                <w:color w:val="auto"/>
                <w:sz w:val="18"/>
                <w:szCs w:val="18"/>
              </w:rPr>
              <w:t>⁰</w:t>
            </w:r>
          </w:p>
        </w:tc>
        <w:tc>
          <w:tcPr>
            <w:tcW w:w="2970" w:type="dxa"/>
            <w:vAlign w:val="center"/>
          </w:tcPr>
          <w:p w:rsidR="00C21426" w:rsidRPr="00523B56" w:rsidRDefault="00C21426" w:rsidP="00C2142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60</w:t>
            </w:r>
            <w:r w:rsidRPr="00523B56">
              <w:rPr>
                <w:rFonts w:asciiTheme="majorHAnsi" w:eastAsia="Calibri" w:hAnsiTheme="majorHAnsi" w:cstheme="majorHAnsi"/>
                <w:color w:val="auto"/>
                <w:sz w:val="18"/>
                <w:szCs w:val="18"/>
              </w:rPr>
              <w:t>⁰</w:t>
            </w:r>
          </w:p>
        </w:tc>
      </w:tr>
      <w:tr w:rsidR="00C21426" w:rsidRPr="00523B56" w:rsidTr="00C21426">
        <w:trPr>
          <w:jc w:val="center"/>
        </w:trPr>
        <w:tc>
          <w:tcPr>
            <w:tcW w:w="2385" w:type="dxa"/>
            <w:vAlign w:val="center"/>
          </w:tcPr>
          <w:p w:rsidR="00C21426" w:rsidRPr="00523B56" w:rsidRDefault="00C21426" w:rsidP="00523B56">
            <w:pPr>
              <w:spacing w:line="220" w:lineRule="exact"/>
              <w:contextualSpacing/>
              <w:rPr>
                <w:rFonts w:asciiTheme="majorHAnsi" w:eastAsia="Calibri" w:hAnsiTheme="majorHAnsi" w:cstheme="majorHAnsi"/>
                <w:color w:val="auto"/>
                <w:sz w:val="18"/>
                <w:szCs w:val="18"/>
              </w:rPr>
            </w:pPr>
            <w:r w:rsidRPr="00523B56">
              <w:rPr>
                <w:rFonts w:asciiTheme="majorHAnsi" w:eastAsia="Calibri" w:hAnsiTheme="majorHAnsi" w:cstheme="majorHAnsi"/>
                <w:color w:val="auto"/>
                <w:sz w:val="18"/>
                <w:szCs w:val="18"/>
              </w:rPr>
              <w:t>Palmar Flexion (0-80⁰)</w:t>
            </w:r>
          </w:p>
        </w:tc>
        <w:tc>
          <w:tcPr>
            <w:tcW w:w="2970" w:type="dxa"/>
            <w:vAlign w:val="center"/>
          </w:tcPr>
          <w:p w:rsidR="00C21426" w:rsidRPr="00523B56" w:rsidRDefault="00C21426" w:rsidP="00523B5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70</w:t>
            </w:r>
            <w:r w:rsidRPr="00523B56">
              <w:rPr>
                <w:rFonts w:asciiTheme="majorHAnsi" w:eastAsia="Calibri" w:hAnsiTheme="majorHAnsi" w:cstheme="majorHAnsi"/>
                <w:color w:val="auto"/>
                <w:sz w:val="18"/>
                <w:szCs w:val="18"/>
              </w:rPr>
              <w:t>⁰</w:t>
            </w:r>
          </w:p>
        </w:tc>
        <w:tc>
          <w:tcPr>
            <w:tcW w:w="2970" w:type="dxa"/>
            <w:vAlign w:val="center"/>
          </w:tcPr>
          <w:p w:rsidR="00C21426" w:rsidRPr="00523B56" w:rsidRDefault="00C21426" w:rsidP="00C2142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70</w:t>
            </w:r>
            <w:r w:rsidRPr="00523B56">
              <w:rPr>
                <w:rFonts w:asciiTheme="majorHAnsi" w:eastAsia="Calibri" w:hAnsiTheme="majorHAnsi" w:cstheme="majorHAnsi"/>
                <w:color w:val="auto"/>
                <w:sz w:val="18"/>
                <w:szCs w:val="18"/>
              </w:rPr>
              <w:t>⁰</w:t>
            </w:r>
          </w:p>
        </w:tc>
      </w:tr>
      <w:tr w:rsidR="00C21426" w:rsidRPr="00523B56" w:rsidTr="00C21426">
        <w:trPr>
          <w:jc w:val="center"/>
        </w:trPr>
        <w:tc>
          <w:tcPr>
            <w:tcW w:w="2385" w:type="dxa"/>
            <w:vAlign w:val="center"/>
          </w:tcPr>
          <w:p w:rsidR="00C21426" w:rsidRPr="00523B56" w:rsidRDefault="00C21426" w:rsidP="00523B56">
            <w:pPr>
              <w:spacing w:line="220" w:lineRule="exact"/>
              <w:contextualSpacing/>
              <w:rPr>
                <w:rFonts w:asciiTheme="majorHAnsi" w:eastAsia="Calibri" w:hAnsiTheme="majorHAnsi" w:cstheme="majorHAnsi"/>
                <w:color w:val="auto"/>
                <w:sz w:val="18"/>
                <w:szCs w:val="18"/>
              </w:rPr>
            </w:pPr>
            <w:r w:rsidRPr="00523B56">
              <w:rPr>
                <w:rFonts w:asciiTheme="majorHAnsi" w:eastAsia="Calibri" w:hAnsiTheme="majorHAnsi" w:cstheme="majorHAnsi"/>
                <w:color w:val="auto"/>
                <w:sz w:val="18"/>
                <w:szCs w:val="18"/>
              </w:rPr>
              <w:t>Ulnar Deviation (0-45⁰)</w:t>
            </w:r>
          </w:p>
        </w:tc>
        <w:tc>
          <w:tcPr>
            <w:tcW w:w="2970" w:type="dxa"/>
            <w:vAlign w:val="center"/>
          </w:tcPr>
          <w:p w:rsidR="00C21426" w:rsidRPr="00523B56" w:rsidRDefault="00C21426" w:rsidP="00523B5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Pr="00523B56">
              <w:rPr>
                <w:rFonts w:asciiTheme="majorHAnsi" w:eastAsia="Calibri" w:hAnsiTheme="majorHAnsi" w:cstheme="majorHAnsi"/>
                <w:color w:val="auto"/>
                <w:sz w:val="18"/>
                <w:szCs w:val="18"/>
              </w:rPr>
              <w:t>⁰</w:t>
            </w:r>
          </w:p>
        </w:tc>
        <w:tc>
          <w:tcPr>
            <w:tcW w:w="2970" w:type="dxa"/>
            <w:vAlign w:val="center"/>
          </w:tcPr>
          <w:p w:rsidR="00C21426" w:rsidRPr="00523B56" w:rsidRDefault="00C21426" w:rsidP="00C2142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30</w:t>
            </w:r>
            <w:r w:rsidRPr="00523B56">
              <w:rPr>
                <w:rFonts w:asciiTheme="majorHAnsi" w:eastAsia="Calibri" w:hAnsiTheme="majorHAnsi" w:cstheme="majorHAnsi"/>
                <w:color w:val="auto"/>
                <w:sz w:val="18"/>
                <w:szCs w:val="18"/>
              </w:rPr>
              <w:t>⁰</w:t>
            </w:r>
          </w:p>
        </w:tc>
      </w:tr>
      <w:tr w:rsidR="00C21426" w:rsidRPr="00523B56" w:rsidTr="00C21426">
        <w:trPr>
          <w:jc w:val="center"/>
        </w:trPr>
        <w:tc>
          <w:tcPr>
            <w:tcW w:w="2385" w:type="dxa"/>
            <w:vAlign w:val="center"/>
          </w:tcPr>
          <w:p w:rsidR="00C21426" w:rsidRPr="00523B56" w:rsidRDefault="00C21426" w:rsidP="00523B56">
            <w:pPr>
              <w:spacing w:line="220" w:lineRule="exact"/>
              <w:contextualSpacing/>
              <w:rPr>
                <w:rFonts w:asciiTheme="majorHAnsi" w:eastAsia="Calibri" w:hAnsiTheme="majorHAnsi" w:cstheme="majorHAnsi"/>
                <w:color w:val="auto"/>
                <w:sz w:val="18"/>
                <w:szCs w:val="18"/>
              </w:rPr>
            </w:pPr>
            <w:r w:rsidRPr="00523B56">
              <w:rPr>
                <w:rFonts w:asciiTheme="majorHAnsi" w:eastAsia="Calibri" w:hAnsiTheme="majorHAnsi" w:cstheme="majorHAnsi"/>
                <w:color w:val="auto"/>
                <w:sz w:val="18"/>
                <w:szCs w:val="18"/>
              </w:rPr>
              <w:t>Radial Deviation (0-20⁰)</w:t>
            </w:r>
          </w:p>
        </w:tc>
        <w:tc>
          <w:tcPr>
            <w:tcW w:w="2970" w:type="dxa"/>
            <w:vAlign w:val="center"/>
          </w:tcPr>
          <w:p w:rsidR="00C21426" w:rsidRPr="00523B56" w:rsidRDefault="00C21426" w:rsidP="00523B5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r w:rsidRPr="00523B56">
              <w:rPr>
                <w:rFonts w:asciiTheme="majorHAnsi" w:eastAsia="Calibri" w:hAnsiTheme="majorHAnsi" w:cstheme="majorHAnsi"/>
                <w:color w:val="auto"/>
                <w:sz w:val="18"/>
                <w:szCs w:val="18"/>
              </w:rPr>
              <w:t>⁰</w:t>
            </w:r>
          </w:p>
        </w:tc>
        <w:tc>
          <w:tcPr>
            <w:tcW w:w="2970" w:type="dxa"/>
            <w:vAlign w:val="center"/>
          </w:tcPr>
          <w:p w:rsidR="00C21426" w:rsidRPr="00523B56" w:rsidRDefault="00C21426" w:rsidP="00C2142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20</w:t>
            </w:r>
            <w:r w:rsidRPr="00523B56">
              <w:rPr>
                <w:rFonts w:asciiTheme="majorHAnsi" w:eastAsia="Calibri" w:hAnsiTheme="majorHAnsi" w:cstheme="majorHAnsi"/>
                <w:color w:val="auto"/>
                <w:sz w:val="18"/>
                <w:szCs w:val="18"/>
              </w:rPr>
              <w:t>⁰</w:t>
            </w:r>
          </w:p>
        </w:tc>
      </w:tr>
      <w:tr w:rsidR="0074557D" w:rsidRPr="00523B56" w:rsidTr="00C21426">
        <w:trPr>
          <w:jc w:val="center"/>
        </w:trPr>
        <w:tc>
          <w:tcPr>
            <w:tcW w:w="2385" w:type="dxa"/>
            <w:shd w:val="clear" w:color="auto" w:fill="D9D9D9" w:themeFill="background1" w:themeFillShade="D9"/>
            <w:vAlign w:val="center"/>
          </w:tcPr>
          <w:p w:rsidR="0074557D" w:rsidRPr="00523B56" w:rsidRDefault="004664F5" w:rsidP="00C76160">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000000" w:themeColor="text1"/>
                <w:sz w:val="18"/>
                <w:szCs w:val="18"/>
              </w:rPr>
              <w:t>Forearm Normal</w:t>
            </w:r>
          </w:p>
        </w:tc>
        <w:tc>
          <w:tcPr>
            <w:tcW w:w="2970" w:type="dxa"/>
            <w:shd w:val="clear" w:color="auto" w:fill="D9D9D9" w:themeFill="background1" w:themeFillShade="D9"/>
            <w:vAlign w:val="center"/>
          </w:tcPr>
          <w:p w:rsidR="0074557D" w:rsidRPr="00523B56" w:rsidRDefault="00C76160" w:rsidP="00523B56">
            <w:pPr>
              <w:spacing w:line="220" w:lineRule="exact"/>
              <w:contextualSpacing/>
              <w:rPr>
                <w:rFonts w:asciiTheme="majorHAnsi" w:hAnsiTheme="majorHAnsi" w:cstheme="majorHAnsi"/>
                <w:color w:val="auto"/>
                <w:sz w:val="18"/>
                <w:szCs w:val="18"/>
              </w:rPr>
            </w:pPr>
            <w:r>
              <w:rPr>
                <w:rFonts w:asciiTheme="majorHAnsi" w:eastAsia="Calibri" w:hAnsiTheme="majorHAnsi" w:cstheme="majorHAnsi"/>
                <w:color w:val="auto"/>
                <w:sz w:val="18"/>
                <w:szCs w:val="18"/>
              </w:rPr>
              <w:t>Left</w:t>
            </w:r>
            <w:r w:rsidRPr="00523B56">
              <w:rPr>
                <w:rFonts w:asciiTheme="majorHAnsi" w:eastAsia="Calibri" w:hAnsiTheme="majorHAnsi" w:cstheme="majorHAnsi"/>
                <w:color w:val="auto"/>
                <w:sz w:val="18"/>
                <w:szCs w:val="18"/>
              </w:rPr>
              <w:t xml:space="preserve"> Forearm ROM</w:t>
            </w:r>
          </w:p>
        </w:tc>
        <w:tc>
          <w:tcPr>
            <w:tcW w:w="2970" w:type="dxa"/>
            <w:shd w:val="clear" w:color="auto" w:fill="D9D9D9" w:themeFill="background1" w:themeFillShade="D9"/>
            <w:vAlign w:val="center"/>
          </w:tcPr>
          <w:p w:rsidR="0074557D" w:rsidRDefault="00C21426" w:rsidP="00C21426">
            <w:pPr>
              <w:contextualSpacing/>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Right Forearm</w:t>
            </w:r>
            <w:r w:rsidR="00C76160">
              <w:rPr>
                <w:rFonts w:asciiTheme="majorHAnsi" w:eastAsia="Calibri" w:hAnsiTheme="majorHAnsi" w:cstheme="majorHAnsi"/>
                <w:color w:val="000000" w:themeColor="text1"/>
                <w:sz w:val="18"/>
                <w:szCs w:val="18"/>
              </w:rPr>
              <w:t xml:space="preserve"> ROM</w:t>
            </w:r>
          </w:p>
        </w:tc>
      </w:tr>
      <w:tr w:rsidR="0074557D" w:rsidRPr="00523B56" w:rsidTr="00C21426">
        <w:trPr>
          <w:jc w:val="center"/>
        </w:trPr>
        <w:tc>
          <w:tcPr>
            <w:tcW w:w="2385" w:type="dxa"/>
            <w:vAlign w:val="center"/>
          </w:tcPr>
          <w:p w:rsidR="0074557D" w:rsidRPr="00523B56" w:rsidRDefault="0074557D" w:rsidP="00523B56">
            <w:pPr>
              <w:pStyle w:val="ListParagraph"/>
              <w:spacing w:after="0" w:line="220" w:lineRule="exact"/>
              <w:ind w:left="0"/>
              <w:rPr>
                <w:rFonts w:asciiTheme="majorHAnsi" w:eastAsia="Calibri" w:hAnsiTheme="majorHAnsi" w:cstheme="majorHAnsi"/>
                <w:sz w:val="18"/>
                <w:szCs w:val="18"/>
              </w:rPr>
            </w:pPr>
            <w:r w:rsidRPr="00523B56">
              <w:rPr>
                <w:rFonts w:asciiTheme="majorHAnsi" w:eastAsia="Calibri" w:hAnsiTheme="majorHAnsi" w:cstheme="majorHAnsi"/>
                <w:sz w:val="18"/>
                <w:szCs w:val="18"/>
              </w:rPr>
              <w:t>Pronation (0-80⁰)</w:t>
            </w:r>
          </w:p>
        </w:tc>
        <w:tc>
          <w:tcPr>
            <w:tcW w:w="2970" w:type="dxa"/>
            <w:vAlign w:val="center"/>
          </w:tcPr>
          <w:p w:rsidR="0074557D" w:rsidRPr="00523B56" w:rsidRDefault="0074557D" w:rsidP="00523B5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80</w:t>
            </w:r>
            <w:r w:rsidRPr="00523B56">
              <w:rPr>
                <w:rFonts w:asciiTheme="majorHAnsi" w:eastAsia="Calibri" w:hAnsiTheme="majorHAnsi" w:cstheme="majorHAnsi"/>
                <w:color w:val="auto"/>
                <w:sz w:val="18"/>
                <w:szCs w:val="18"/>
              </w:rPr>
              <w:t>⁰</w:t>
            </w:r>
            <w:r>
              <w:rPr>
                <w:rFonts w:asciiTheme="majorHAnsi" w:eastAsia="Calibri" w:hAnsiTheme="majorHAnsi" w:cstheme="majorHAnsi"/>
                <w:color w:val="auto"/>
                <w:sz w:val="18"/>
                <w:szCs w:val="18"/>
              </w:rPr>
              <w:t xml:space="preserve"> (85)</w:t>
            </w:r>
          </w:p>
        </w:tc>
        <w:tc>
          <w:tcPr>
            <w:tcW w:w="2970" w:type="dxa"/>
            <w:vAlign w:val="center"/>
          </w:tcPr>
          <w:p w:rsidR="0074557D" w:rsidRDefault="00C21426" w:rsidP="00C2142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Not Measured</w:t>
            </w:r>
          </w:p>
        </w:tc>
      </w:tr>
      <w:tr w:rsidR="0074557D" w:rsidRPr="00523B56" w:rsidTr="00C21426">
        <w:trPr>
          <w:jc w:val="center"/>
        </w:trPr>
        <w:tc>
          <w:tcPr>
            <w:tcW w:w="2385" w:type="dxa"/>
            <w:vAlign w:val="center"/>
          </w:tcPr>
          <w:p w:rsidR="0074557D" w:rsidRPr="00523B56" w:rsidRDefault="0074557D" w:rsidP="00523B56">
            <w:pPr>
              <w:tabs>
                <w:tab w:val="left" w:pos="288"/>
                <w:tab w:val="left" w:pos="4752"/>
              </w:tabs>
              <w:spacing w:line="220" w:lineRule="exact"/>
              <w:rPr>
                <w:rFonts w:asciiTheme="majorHAnsi" w:eastAsiaTheme="minorHAnsi" w:hAnsiTheme="majorHAnsi" w:cstheme="majorHAnsi"/>
                <w:color w:val="auto"/>
                <w:sz w:val="18"/>
                <w:szCs w:val="18"/>
              </w:rPr>
            </w:pPr>
            <w:r w:rsidRPr="00523B56">
              <w:rPr>
                <w:rFonts w:asciiTheme="majorHAnsi" w:eastAsiaTheme="minorHAnsi" w:hAnsiTheme="majorHAnsi" w:cstheme="majorHAnsi"/>
                <w:color w:val="auto"/>
                <w:sz w:val="18"/>
                <w:szCs w:val="18"/>
              </w:rPr>
              <w:t>Supination (0-85</w:t>
            </w:r>
            <w:r w:rsidRPr="00523B56">
              <w:rPr>
                <w:rFonts w:asciiTheme="majorHAnsi" w:eastAsia="Calibri" w:hAnsiTheme="majorHAnsi" w:cstheme="majorHAnsi"/>
                <w:color w:val="auto"/>
                <w:sz w:val="18"/>
                <w:szCs w:val="18"/>
              </w:rPr>
              <w:t>⁰</w:t>
            </w:r>
            <w:r w:rsidRPr="00523B56">
              <w:rPr>
                <w:rFonts w:asciiTheme="majorHAnsi" w:eastAsiaTheme="minorHAnsi" w:hAnsiTheme="majorHAnsi" w:cstheme="majorHAnsi"/>
                <w:color w:val="auto"/>
                <w:sz w:val="18"/>
                <w:szCs w:val="18"/>
              </w:rPr>
              <w:t>)</w:t>
            </w:r>
          </w:p>
        </w:tc>
        <w:tc>
          <w:tcPr>
            <w:tcW w:w="2970" w:type="dxa"/>
            <w:vAlign w:val="center"/>
          </w:tcPr>
          <w:p w:rsidR="0074557D" w:rsidRPr="00523B56" w:rsidRDefault="0074557D" w:rsidP="00523B5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85</w:t>
            </w:r>
            <w:r w:rsidRPr="00523B56">
              <w:rPr>
                <w:rFonts w:asciiTheme="majorHAnsi" w:eastAsia="Calibri" w:hAnsiTheme="majorHAnsi" w:cstheme="majorHAnsi"/>
                <w:color w:val="auto"/>
                <w:sz w:val="18"/>
                <w:szCs w:val="18"/>
              </w:rPr>
              <w:t>⁰</w:t>
            </w:r>
          </w:p>
        </w:tc>
        <w:tc>
          <w:tcPr>
            <w:tcW w:w="2970" w:type="dxa"/>
            <w:vAlign w:val="center"/>
          </w:tcPr>
          <w:p w:rsidR="0074557D" w:rsidRDefault="00C21426" w:rsidP="00C21426">
            <w:pPr>
              <w:spacing w:line="220" w:lineRule="exact"/>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Not Measured</w:t>
            </w:r>
          </w:p>
        </w:tc>
      </w:tr>
    </w:tbl>
    <w:p w:rsidR="00523B56" w:rsidRPr="00F64312" w:rsidRDefault="00523B56" w:rsidP="0045622F">
      <w:pPr>
        <w:jc w:val="both"/>
        <w:rPr>
          <w:color w:val="auto"/>
          <w:szCs w:val="24"/>
        </w:rPr>
      </w:pPr>
    </w:p>
    <w:p w:rsidR="00B20E42" w:rsidRDefault="000D7066" w:rsidP="00F03DE1">
      <w:pPr>
        <w:tabs>
          <w:tab w:val="left" w:pos="288"/>
          <w:tab w:val="left" w:pos="4752"/>
        </w:tabs>
        <w:jc w:val="both"/>
        <w:rPr>
          <w:color w:val="auto"/>
          <w:szCs w:val="24"/>
        </w:rPr>
      </w:pPr>
      <w:r w:rsidRPr="009347F9">
        <w:rPr>
          <w:color w:val="auto"/>
          <w:szCs w:val="24"/>
        </w:rPr>
        <w:t xml:space="preserve">The PEB rated the wrist and forearm together, applying a 10% disability rating </w:t>
      </w:r>
      <w:r w:rsidR="008A78B7" w:rsidRPr="009347F9">
        <w:rPr>
          <w:color w:val="auto"/>
          <w:szCs w:val="24"/>
        </w:rPr>
        <w:t xml:space="preserve">for slight/frequent pain utilizing the USAPDA pain policy. </w:t>
      </w:r>
      <w:r w:rsidR="002D015B">
        <w:rPr>
          <w:color w:val="auto"/>
          <w:szCs w:val="24"/>
        </w:rPr>
        <w:t xml:space="preserve"> </w:t>
      </w:r>
      <w:r w:rsidR="008A78B7" w:rsidRPr="009347F9">
        <w:rPr>
          <w:color w:val="auto"/>
          <w:szCs w:val="24"/>
        </w:rPr>
        <w:t xml:space="preserve">The PEB noted full motion and normal </w:t>
      </w:r>
      <w:r w:rsidR="002F2584" w:rsidRPr="009347F9">
        <w:rPr>
          <w:color w:val="auto"/>
          <w:szCs w:val="24"/>
        </w:rPr>
        <w:t>strength;</w:t>
      </w:r>
      <w:r w:rsidR="008A78B7" w:rsidRPr="009347F9">
        <w:rPr>
          <w:color w:val="auto"/>
          <w:szCs w:val="24"/>
        </w:rPr>
        <w:t xml:space="preserve"> however</w:t>
      </w:r>
      <w:r w:rsidR="00B20E42">
        <w:rPr>
          <w:color w:val="auto"/>
          <w:szCs w:val="24"/>
        </w:rPr>
        <w:t>,</w:t>
      </w:r>
      <w:r w:rsidR="008A78B7" w:rsidRPr="009347F9">
        <w:rPr>
          <w:color w:val="auto"/>
          <w:szCs w:val="24"/>
        </w:rPr>
        <w:t xml:space="preserve"> the ROM exam did n</w:t>
      </w:r>
      <w:r w:rsidR="002F2584" w:rsidRPr="009347F9">
        <w:rPr>
          <w:color w:val="auto"/>
          <w:szCs w:val="24"/>
        </w:rPr>
        <w:t xml:space="preserve">ot include full </w:t>
      </w:r>
      <w:r w:rsidR="001E6561">
        <w:rPr>
          <w:color w:val="auto"/>
          <w:szCs w:val="24"/>
        </w:rPr>
        <w:t>ROM</w:t>
      </w:r>
      <w:r w:rsidR="002F2584" w:rsidRPr="009347F9">
        <w:rPr>
          <w:color w:val="auto"/>
          <w:szCs w:val="24"/>
        </w:rPr>
        <w:t xml:space="preserve">. </w:t>
      </w:r>
      <w:r w:rsidR="002D015B">
        <w:rPr>
          <w:color w:val="auto"/>
          <w:szCs w:val="24"/>
        </w:rPr>
        <w:t xml:space="preserve"> </w:t>
      </w:r>
      <w:r w:rsidR="002F2584" w:rsidRPr="009347F9">
        <w:rPr>
          <w:color w:val="auto"/>
          <w:szCs w:val="24"/>
        </w:rPr>
        <w:t>Wrist dorsiflexion, palmar flexion, and ulnar deviation were all slightly decreased</w:t>
      </w:r>
      <w:r w:rsidR="00B20E42">
        <w:rPr>
          <w:color w:val="auto"/>
          <w:szCs w:val="24"/>
        </w:rPr>
        <w:t>,</w:t>
      </w:r>
      <w:r w:rsidR="002F2584" w:rsidRPr="009347F9">
        <w:rPr>
          <w:color w:val="auto"/>
          <w:szCs w:val="24"/>
        </w:rPr>
        <w:t xml:space="preserve"> but equal in both the left and the right wrist. </w:t>
      </w:r>
      <w:r w:rsidR="00B20E42">
        <w:rPr>
          <w:color w:val="auto"/>
          <w:szCs w:val="24"/>
        </w:rPr>
        <w:t xml:space="preserve"> </w:t>
      </w:r>
      <w:r w:rsidR="002F2584" w:rsidRPr="009347F9">
        <w:rPr>
          <w:color w:val="auto"/>
          <w:szCs w:val="24"/>
        </w:rPr>
        <w:t xml:space="preserve">There was not mention of the presence or absence of painful motion. </w:t>
      </w:r>
      <w:r w:rsidR="002D015B">
        <w:rPr>
          <w:color w:val="auto"/>
          <w:szCs w:val="24"/>
        </w:rPr>
        <w:t xml:space="preserve"> </w:t>
      </w:r>
      <w:r w:rsidR="002F2584" w:rsidRPr="009347F9">
        <w:rPr>
          <w:color w:val="auto"/>
          <w:szCs w:val="24"/>
        </w:rPr>
        <w:t xml:space="preserve">The VA rated the residuals of left radius fracture analogous to </w:t>
      </w:r>
      <w:r w:rsidR="001E6561" w:rsidRPr="001E6561">
        <w:rPr>
          <w:color w:val="auto"/>
          <w:szCs w:val="24"/>
        </w:rPr>
        <w:t>VASRD</w:t>
      </w:r>
      <w:r w:rsidR="001E6561">
        <w:rPr>
          <w:color w:val="auto"/>
          <w:szCs w:val="24"/>
        </w:rPr>
        <w:t xml:space="preserve"> code </w:t>
      </w:r>
      <w:r w:rsidR="002F2584" w:rsidRPr="001E6561">
        <w:rPr>
          <w:color w:val="auto"/>
          <w:szCs w:val="24"/>
        </w:rPr>
        <w:t>5211</w:t>
      </w:r>
      <w:r w:rsidR="002F2584" w:rsidRPr="009347F9">
        <w:rPr>
          <w:color w:val="auto"/>
          <w:szCs w:val="24"/>
        </w:rPr>
        <w:t xml:space="preserve"> Ulnar, impairment of, based on “malunion of the ulna with bad alignment.”  This is most likely due to the </w:t>
      </w:r>
      <w:r w:rsidR="001E6561">
        <w:rPr>
          <w:color w:val="auto"/>
          <w:szCs w:val="24"/>
        </w:rPr>
        <w:t>X</w:t>
      </w:r>
      <w:r w:rsidR="002F2584" w:rsidRPr="009347F9">
        <w:rPr>
          <w:color w:val="auto"/>
          <w:szCs w:val="24"/>
        </w:rPr>
        <w:t>-ray report of a either an ulnar styloid process nonunion or an ulnar styloid ossicle.</w:t>
      </w:r>
      <w:r w:rsidR="002D015B">
        <w:rPr>
          <w:color w:val="auto"/>
          <w:szCs w:val="24"/>
        </w:rPr>
        <w:t xml:space="preserve"> </w:t>
      </w:r>
      <w:r w:rsidR="002F2584" w:rsidRPr="009347F9">
        <w:rPr>
          <w:color w:val="auto"/>
          <w:szCs w:val="24"/>
        </w:rPr>
        <w:t xml:space="preserve"> However, the CI never had an ulnar fracture and the </w:t>
      </w:r>
      <w:r w:rsidR="001E6561">
        <w:rPr>
          <w:color w:val="auto"/>
          <w:szCs w:val="24"/>
        </w:rPr>
        <w:t>X</w:t>
      </w:r>
      <w:r w:rsidR="002F2584" w:rsidRPr="009347F9">
        <w:rPr>
          <w:color w:val="auto"/>
          <w:szCs w:val="24"/>
        </w:rPr>
        <w:t xml:space="preserve">-ray finding most likely represents an ossicle. </w:t>
      </w:r>
      <w:r w:rsidR="002D015B">
        <w:rPr>
          <w:color w:val="auto"/>
          <w:szCs w:val="24"/>
        </w:rPr>
        <w:t xml:space="preserve"> </w:t>
      </w:r>
    </w:p>
    <w:p w:rsidR="00B20E42" w:rsidRDefault="00B20E42" w:rsidP="00F03DE1">
      <w:pPr>
        <w:tabs>
          <w:tab w:val="left" w:pos="288"/>
          <w:tab w:val="left" w:pos="4752"/>
        </w:tabs>
        <w:jc w:val="both"/>
        <w:rPr>
          <w:color w:val="auto"/>
          <w:szCs w:val="24"/>
        </w:rPr>
      </w:pPr>
    </w:p>
    <w:p w:rsidR="00626902" w:rsidRPr="009347F9" w:rsidRDefault="00F03DE1" w:rsidP="00F03DE1">
      <w:pPr>
        <w:tabs>
          <w:tab w:val="left" w:pos="288"/>
          <w:tab w:val="left" w:pos="4752"/>
        </w:tabs>
        <w:jc w:val="both"/>
        <w:rPr>
          <w:rFonts w:eastAsia="Calibri" w:cs="Times New Roman"/>
          <w:color w:val="auto"/>
          <w:szCs w:val="24"/>
        </w:rPr>
      </w:pPr>
      <w:r w:rsidRPr="009347F9">
        <w:rPr>
          <w:rFonts w:cs="Times New Roman"/>
          <w:color w:val="auto"/>
        </w:rPr>
        <w:t xml:space="preserve">The Board directs attention to its rating recommendation based on the above evidence.  </w:t>
      </w:r>
      <w:r w:rsidRPr="009347F9">
        <w:rPr>
          <w:color w:val="auto"/>
          <w:szCs w:val="24"/>
        </w:rPr>
        <w:t xml:space="preserve">With the CI’s history of chronic pain, painful motion can be assumed and this supports a 10% rating. </w:t>
      </w:r>
      <w:r w:rsidR="002D015B">
        <w:rPr>
          <w:color w:val="auto"/>
          <w:szCs w:val="24"/>
        </w:rPr>
        <w:t xml:space="preserve"> </w:t>
      </w:r>
      <w:r w:rsidRPr="009347F9">
        <w:rPr>
          <w:color w:val="auto"/>
          <w:szCs w:val="24"/>
        </w:rPr>
        <w:t xml:space="preserve">There is no evidence available to support a rating greater than 10%.  </w:t>
      </w:r>
      <w:r w:rsidR="00626902" w:rsidRPr="009347F9">
        <w:rPr>
          <w:rFonts w:eastAsia="Calibri" w:cs="Times New Roman"/>
          <w:color w:val="auto"/>
          <w:szCs w:val="24"/>
        </w:rPr>
        <w:t>After due deliberation, considering all of the evidence and</w:t>
      </w:r>
      <w:r w:rsidR="001E6561">
        <w:rPr>
          <w:rFonts w:eastAsia="Calibri" w:cs="Times New Roman"/>
          <w:color w:val="auto"/>
          <w:szCs w:val="24"/>
        </w:rPr>
        <w:t xml:space="preserve"> being</w:t>
      </w:r>
      <w:r w:rsidR="00626902" w:rsidRPr="009347F9">
        <w:rPr>
          <w:rFonts w:eastAsia="Calibri" w:cs="Times New Roman"/>
          <w:color w:val="auto"/>
          <w:szCs w:val="24"/>
        </w:rPr>
        <w:t xml:space="preserve"> mindful of VASRD §4.3 (reasonable doubt), the Board concluded that there was insufficient cause to recommend a change in the PEB adjudication for the </w:t>
      </w:r>
      <w:r w:rsidRPr="009347F9">
        <w:rPr>
          <w:color w:val="auto"/>
        </w:rPr>
        <w:t>chronic left forearm and wrist pain</w:t>
      </w:r>
      <w:r w:rsidR="00B20E42">
        <w:rPr>
          <w:rFonts w:eastAsia="Calibri" w:cs="Times New Roman"/>
          <w:color w:val="auto"/>
          <w:szCs w:val="24"/>
        </w:rPr>
        <w:t xml:space="preserve"> condition.</w:t>
      </w:r>
    </w:p>
    <w:p w:rsidR="00AD2379" w:rsidRPr="009347F9" w:rsidRDefault="00AD2379" w:rsidP="00BF0E94">
      <w:pPr>
        <w:jc w:val="left"/>
        <w:rPr>
          <w:rFonts w:eastAsia="HiddenHorzOCR"/>
          <w:color w:val="auto"/>
          <w:u w:val="single"/>
        </w:rPr>
      </w:pPr>
    </w:p>
    <w:p w:rsidR="003863E9" w:rsidRPr="00792790" w:rsidRDefault="006B690F" w:rsidP="003863E9">
      <w:pPr>
        <w:jc w:val="both"/>
        <w:rPr>
          <w:rFonts w:eastAsia="Calibri" w:cs="Times New Roman"/>
          <w:color w:val="auto"/>
          <w:szCs w:val="24"/>
        </w:rPr>
      </w:pPr>
      <w:proofErr w:type="gramStart"/>
      <w:r w:rsidRPr="009347F9">
        <w:rPr>
          <w:rFonts w:eastAsia="HiddenHorzOCR"/>
          <w:color w:val="auto"/>
          <w:u w:val="single"/>
        </w:rPr>
        <w:t xml:space="preserve">Contended </w:t>
      </w:r>
      <w:r w:rsidR="00AD2379" w:rsidRPr="009347F9">
        <w:rPr>
          <w:rFonts w:eastAsia="HiddenHorzOCR"/>
          <w:color w:val="auto"/>
          <w:u w:val="single"/>
        </w:rPr>
        <w:t>PEB Conditions</w:t>
      </w:r>
      <w:r w:rsidR="00AD2379" w:rsidRPr="009347F9">
        <w:rPr>
          <w:rFonts w:eastAsia="HiddenHorzOCR"/>
          <w:color w:val="auto"/>
        </w:rPr>
        <w:t>.</w:t>
      </w:r>
      <w:proofErr w:type="gramEnd"/>
      <w:r w:rsidR="0001281C" w:rsidRPr="009347F9">
        <w:rPr>
          <w:rFonts w:eastAsia="HiddenHorzOCR"/>
          <w:color w:val="auto"/>
        </w:rPr>
        <w:t xml:space="preserve">  </w:t>
      </w:r>
      <w:r w:rsidR="003863E9" w:rsidRPr="009347F9">
        <w:rPr>
          <w:rFonts w:eastAsia="Calibri" w:cs="Times New Roman"/>
          <w:color w:val="auto"/>
          <w:szCs w:val="24"/>
        </w:rPr>
        <w:t xml:space="preserve">The contended conditions adjudicated as </w:t>
      </w:r>
      <w:r w:rsidR="001C545A" w:rsidRPr="009347F9">
        <w:rPr>
          <w:rFonts w:eastAsia="Calibri" w:cs="Times New Roman"/>
          <w:color w:val="auto"/>
          <w:szCs w:val="24"/>
        </w:rPr>
        <w:t xml:space="preserve">not </w:t>
      </w:r>
      <w:r w:rsidR="003863E9" w:rsidRPr="009347F9">
        <w:rPr>
          <w:rFonts w:eastAsia="Calibri" w:cs="Times New Roman"/>
          <w:color w:val="auto"/>
          <w:szCs w:val="24"/>
        </w:rPr>
        <w:t xml:space="preserve">unfitting by the PEB </w:t>
      </w:r>
      <w:r w:rsidR="001B7D93" w:rsidRPr="009347F9">
        <w:rPr>
          <w:rFonts w:eastAsia="Calibri" w:cs="Times New Roman"/>
          <w:color w:val="auto"/>
          <w:szCs w:val="24"/>
        </w:rPr>
        <w:t xml:space="preserve">were </w:t>
      </w:r>
      <w:r w:rsidR="001B7D93" w:rsidRPr="009347F9">
        <w:rPr>
          <w:rFonts w:eastAsia="HiddenHorzOCR"/>
          <w:color w:val="auto"/>
        </w:rPr>
        <w:t>costochondritis and hypertrophic scar, left forearm</w:t>
      </w:r>
      <w:r w:rsidR="009E3C2F" w:rsidRPr="009347F9">
        <w:rPr>
          <w:rFonts w:eastAsia="Calibri" w:cs="Times New Roman"/>
          <w:color w:val="auto"/>
          <w:szCs w:val="24"/>
        </w:rPr>
        <w:t xml:space="preserve">.  </w:t>
      </w:r>
      <w:r w:rsidR="003863E9" w:rsidRPr="009347F9">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adherent to the DoDI 6040.44 “fair and equitable” standard.  </w:t>
      </w:r>
      <w:r w:rsidR="003863E9" w:rsidRPr="009347F9">
        <w:rPr>
          <w:color w:val="000000"/>
        </w:rPr>
        <w:t>N</w:t>
      </w:r>
      <w:r w:rsidR="001B7D93" w:rsidRPr="009347F9">
        <w:rPr>
          <w:color w:val="000000"/>
        </w:rPr>
        <w:t>either</w:t>
      </w:r>
      <w:r w:rsidR="003863E9" w:rsidRPr="009347F9">
        <w:rPr>
          <w:color w:val="000000"/>
        </w:rPr>
        <w:t xml:space="preserve"> of these conditions </w:t>
      </w:r>
      <w:r w:rsidR="009E3C2F" w:rsidRPr="009347F9">
        <w:rPr>
          <w:color w:val="000000"/>
        </w:rPr>
        <w:t>was</w:t>
      </w:r>
      <w:r w:rsidR="003863E9" w:rsidRPr="009347F9">
        <w:rPr>
          <w:color w:val="000000"/>
        </w:rPr>
        <w:t xml:space="preserve"> profiled</w:t>
      </w:r>
      <w:r w:rsidR="009E3C2F" w:rsidRPr="009347F9">
        <w:rPr>
          <w:color w:val="000000"/>
        </w:rPr>
        <w:t xml:space="preserve"> or mentioned</w:t>
      </w:r>
      <w:r w:rsidR="003863E9" w:rsidRPr="009347F9">
        <w:rPr>
          <w:color w:val="000000"/>
        </w:rPr>
        <w:t xml:space="preserve"> in the commander’s statement; and, </w:t>
      </w:r>
      <w:r w:rsidR="009E3C2F" w:rsidRPr="009347F9">
        <w:rPr>
          <w:color w:val="000000"/>
        </w:rPr>
        <w:t>neither was</w:t>
      </w:r>
      <w:r w:rsidR="003863E9" w:rsidRPr="009347F9">
        <w:rPr>
          <w:color w:val="000000"/>
        </w:rPr>
        <w:t xml:space="preserve"> </w:t>
      </w:r>
      <w:r w:rsidR="009E3C2F" w:rsidRPr="009347F9">
        <w:rPr>
          <w:color w:val="000000"/>
        </w:rPr>
        <w:t>determined</w:t>
      </w:r>
      <w:r w:rsidR="003863E9" w:rsidRPr="009347F9">
        <w:rPr>
          <w:color w:val="000000"/>
        </w:rPr>
        <w:t xml:space="preserve"> </w:t>
      </w:r>
      <w:r w:rsidR="009E3C2F" w:rsidRPr="009347F9">
        <w:rPr>
          <w:color w:val="000000"/>
        </w:rPr>
        <w:t xml:space="preserve">by the MEB </w:t>
      </w:r>
      <w:r w:rsidR="003863E9" w:rsidRPr="009347F9">
        <w:rPr>
          <w:color w:val="000000"/>
        </w:rPr>
        <w:t xml:space="preserve">to fail retention standards.  </w:t>
      </w:r>
      <w:r w:rsidR="009E3C2F" w:rsidRPr="009347F9">
        <w:rPr>
          <w:color w:val="000000"/>
        </w:rPr>
        <w:t>Both</w:t>
      </w:r>
      <w:r w:rsidR="003863E9" w:rsidRPr="009347F9">
        <w:rPr>
          <w:color w:val="000000"/>
        </w:rPr>
        <w:t xml:space="preserve"> were reviewed by the </w:t>
      </w:r>
      <w:r w:rsidR="00DF3B06" w:rsidRPr="009347F9">
        <w:rPr>
          <w:color w:val="000000"/>
        </w:rPr>
        <w:t>a</w:t>
      </w:r>
      <w:r w:rsidR="003863E9" w:rsidRPr="009347F9">
        <w:rPr>
          <w:color w:val="000000"/>
        </w:rPr>
        <w:t xml:space="preserve">ction </w:t>
      </w:r>
      <w:r w:rsidR="00DF3B06" w:rsidRPr="009347F9">
        <w:rPr>
          <w:color w:val="000000"/>
        </w:rPr>
        <w:t>o</w:t>
      </w:r>
      <w:r w:rsidR="003863E9" w:rsidRPr="009347F9">
        <w:rPr>
          <w:color w:val="000000"/>
        </w:rPr>
        <w:t xml:space="preserve">fficer and considered by the Board.  There was no indication from the record that any of these conditions significantly interfered with satisfactory duty performance. </w:t>
      </w:r>
      <w:r w:rsidR="009E3C2F" w:rsidRPr="009347F9">
        <w:rPr>
          <w:color w:val="000000"/>
        </w:rPr>
        <w:t xml:space="preserve"> </w:t>
      </w:r>
      <w:r w:rsidR="003863E9" w:rsidRPr="009347F9">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sidR="009E3C2F" w:rsidRPr="009347F9">
        <w:rPr>
          <w:rFonts w:eastAsia="Calibri" w:cs="Times New Roman"/>
          <w:color w:val="auto"/>
          <w:szCs w:val="24"/>
        </w:rPr>
        <w:t>either</w:t>
      </w:r>
      <w:r w:rsidR="003863E9" w:rsidRPr="009347F9">
        <w:rPr>
          <w:rFonts w:eastAsia="Calibri" w:cs="Times New Roman"/>
          <w:color w:val="auto"/>
          <w:szCs w:val="24"/>
        </w:rPr>
        <w:t xml:space="preserve"> </w:t>
      </w:r>
      <w:r w:rsidR="009E3C2F" w:rsidRPr="009347F9">
        <w:rPr>
          <w:rFonts w:eastAsia="Calibri" w:cs="Times New Roman"/>
          <w:color w:val="auto"/>
          <w:szCs w:val="24"/>
        </w:rPr>
        <w:t>costochondritis or hypertrophic scar, left forearm.  T</w:t>
      </w:r>
      <w:r w:rsidR="003863E9" w:rsidRPr="009347F9">
        <w:rPr>
          <w:rFonts w:eastAsia="Calibri" w:cs="Times New Roman"/>
          <w:color w:val="auto"/>
          <w:szCs w:val="24"/>
        </w:rPr>
        <w:t>herefore, no additional disability ratings can be recommended.</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9347F9"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with the VASRD in effect at </w:t>
      </w:r>
      <w:r w:rsidRPr="009347F9">
        <w:rPr>
          <w:color w:val="auto"/>
        </w:rPr>
        <w:t>the time of the adjudication</w:t>
      </w:r>
      <w:r w:rsidRPr="009347F9">
        <w:rPr>
          <w:rFonts w:cs="Times New Roman"/>
          <w:color w:val="auto"/>
        </w:rPr>
        <w:t>.</w:t>
      </w:r>
      <w:r w:rsidR="009347F9" w:rsidRPr="009347F9">
        <w:rPr>
          <w:rFonts w:cs="Times New Roman"/>
          <w:color w:val="auto"/>
        </w:rPr>
        <w:t xml:space="preserve">  </w:t>
      </w:r>
      <w:r w:rsidR="00560F12" w:rsidRPr="009347F9">
        <w:rPr>
          <w:rFonts w:eastAsia="Calibri" w:cs="Times New Roman"/>
          <w:color w:val="auto"/>
          <w:szCs w:val="24"/>
        </w:rPr>
        <w:t xml:space="preserve">In the matter of the </w:t>
      </w:r>
      <w:r w:rsidR="00B20E42" w:rsidRPr="009347F9">
        <w:rPr>
          <w:color w:val="auto"/>
        </w:rPr>
        <w:t xml:space="preserve">chronic non-radiating </w:t>
      </w:r>
      <w:r w:rsidR="001E6561">
        <w:rPr>
          <w:color w:val="auto"/>
        </w:rPr>
        <w:t>LBP</w:t>
      </w:r>
      <w:r w:rsidR="00B20E42" w:rsidRPr="009347F9">
        <w:rPr>
          <w:rFonts w:eastAsia="Calibri" w:cs="Times New Roman"/>
          <w:color w:val="auto"/>
          <w:szCs w:val="24"/>
        </w:rPr>
        <w:t xml:space="preserve"> </w:t>
      </w:r>
      <w:r w:rsidR="00560F12" w:rsidRPr="009347F9">
        <w:rPr>
          <w:rFonts w:eastAsia="Calibri" w:cs="Times New Roman"/>
          <w:color w:val="auto"/>
          <w:szCs w:val="24"/>
        </w:rPr>
        <w:t>condition and IAW VASRD §4.71a, the Board unanimously recommends no change in the PEB adjudication.</w:t>
      </w:r>
      <w:r w:rsidR="009347F9" w:rsidRPr="009347F9">
        <w:rPr>
          <w:rFonts w:eastAsia="Calibri" w:cs="Times New Roman"/>
          <w:color w:val="auto"/>
          <w:szCs w:val="24"/>
        </w:rPr>
        <w:t xml:space="preserve">  </w:t>
      </w:r>
      <w:r w:rsidR="00F03DE1" w:rsidRPr="009347F9">
        <w:rPr>
          <w:rFonts w:eastAsia="Calibri" w:cs="Times New Roman"/>
          <w:color w:val="auto"/>
          <w:szCs w:val="24"/>
        </w:rPr>
        <w:t xml:space="preserve">In the matter of the </w:t>
      </w:r>
      <w:r w:rsidR="00B20E42" w:rsidRPr="009347F9">
        <w:rPr>
          <w:color w:val="auto"/>
        </w:rPr>
        <w:t xml:space="preserve">chronic left forearm and </w:t>
      </w:r>
      <w:r w:rsidR="00B20E42" w:rsidRPr="009347F9">
        <w:rPr>
          <w:color w:val="auto"/>
        </w:rPr>
        <w:lastRenderedPageBreak/>
        <w:t>wrist pain</w:t>
      </w:r>
      <w:r w:rsidR="00F03DE1" w:rsidRPr="009347F9">
        <w:rPr>
          <w:rFonts w:eastAsia="Calibri" w:cs="Times New Roman"/>
          <w:color w:val="auto"/>
          <w:szCs w:val="24"/>
        </w:rPr>
        <w:t xml:space="preserve"> condition and IAW VASRD §4.71a, the Board unanimously recommends no change in the PEB adjudication.</w:t>
      </w:r>
      <w:r w:rsidR="009347F9" w:rsidRPr="009347F9">
        <w:rPr>
          <w:rFonts w:eastAsia="Calibri" w:cs="Times New Roman"/>
          <w:color w:val="auto"/>
          <w:szCs w:val="24"/>
        </w:rPr>
        <w:t xml:space="preserve">  </w:t>
      </w:r>
      <w:r w:rsidR="00560F12" w:rsidRPr="009347F9">
        <w:rPr>
          <w:rFonts w:eastAsia="Calibri" w:cs="Times New Roman"/>
          <w:color w:val="auto"/>
          <w:szCs w:val="24"/>
        </w:rPr>
        <w:t xml:space="preserve">In the matter of the contended </w:t>
      </w:r>
      <w:r w:rsidR="00A303BE" w:rsidRPr="009347F9">
        <w:rPr>
          <w:rFonts w:eastAsia="HiddenHorzOCR"/>
          <w:color w:val="auto"/>
        </w:rPr>
        <w:t>costochondritis and hypertrophic scar, left forearm</w:t>
      </w:r>
      <w:r w:rsidR="00A303BE" w:rsidRPr="009347F9">
        <w:rPr>
          <w:rFonts w:eastAsia="Calibri" w:cs="Times New Roman"/>
          <w:color w:val="auto"/>
          <w:szCs w:val="24"/>
        </w:rPr>
        <w:t xml:space="preserve"> </w:t>
      </w:r>
      <w:r w:rsidR="00560F12" w:rsidRPr="009347F9">
        <w:rPr>
          <w:rFonts w:eastAsia="Calibri" w:cs="Times New Roman"/>
          <w:color w:val="auto"/>
          <w:szCs w:val="24"/>
        </w:rPr>
        <w:t xml:space="preserve">conditions, the Board unanimously </w:t>
      </w:r>
      <w:r w:rsidR="00417BED" w:rsidRPr="009347F9">
        <w:rPr>
          <w:rFonts w:eastAsia="Calibri" w:cs="Times New Roman"/>
          <w:color w:val="auto"/>
          <w:szCs w:val="24"/>
        </w:rPr>
        <w:t>recommends no change from the PEB determination as not unfitting.</w:t>
      </w:r>
      <w:r w:rsidR="009347F9" w:rsidRPr="009347F9">
        <w:rPr>
          <w:rFonts w:eastAsia="Calibri" w:cs="Times New Roman"/>
          <w:color w:val="auto"/>
          <w:szCs w:val="24"/>
        </w:rPr>
        <w:t xml:space="preserve">  </w:t>
      </w:r>
      <w:r w:rsidR="00417BED" w:rsidRPr="009347F9">
        <w:rPr>
          <w:rFonts w:eastAsia="Calibri" w:cs="Times New Roman"/>
          <w:color w:val="auto"/>
          <w:szCs w:val="24"/>
        </w:rPr>
        <w:t>There were no other conditions within the Board’s scope of review for consideration.</w:t>
      </w:r>
      <w:r w:rsidR="00165C7B" w:rsidRPr="009347F9">
        <w:rPr>
          <w:rFonts w:eastAsia="Calibri" w:cs="Times New Roman"/>
          <w:color w:val="auto"/>
          <w:szCs w:val="24"/>
        </w:rPr>
        <w:t xml:space="preserve">  </w:t>
      </w:r>
    </w:p>
    <w:p w:rsidR="00AD2379" w:rsidRPr="009347F9" w:rsidRDefault="00AD2379" w:rsidP="00BF0E94">
      <w:pPr>
        <w:pBdr>
          <w:bottom w:val="single" w:sz="12" w:space="1" w:color="auto"/>
        </w:pBdr>
        <w:tabs>
          <w:tab w:val="left" w:pos="288"/>
          <w:tab w:val="left" w:pos="4752"/>
        </w:tabs>
        <w:jc w:val="both"/>
        <w:rPr>
          <w:color w:val="auto"/>
        </w:rPr>
      </w:pPr>
    </w:p>
    <w:p w:rsidR="00AD2379" w:rsidRPr="009347F9" w:rsidRDefault="00AD2379" w:rsidP="006364ED">
      <w:pPr>
        <w:jc w:val="left"/>
        <w:rPr>
          <w:color w:val="auto"/>
        </w:rPr>
      </w:pPr>
    </w:p>
    <w:p w:rsidR="00AD2379" w:rsidRPr="00F64312" w:rsidRDefault="00AD2379" w:rsidP="00B22D42">
      <w:pPr>
        <w:jc w:val="left"/>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6B690F">
            <w:pPr>
              <w:tabs>
                <w:tab w:val="left" w:pos="288"/>
                <w:tab w:val="left" w:pos="4752"/>
              </w:tabs>
              <w:rPr>
                <w:b/>
                <w:color w:val="auto"/>
              </w:rPr>
            </w:pPr>
            <w:r w:rsidRPr="00F64312">
              <w:rPr>
                <w:b/>
                <w:color w:val="auto"/>
              </w:rPr>
              <w:t>RATING</w:t>
            </w:r>
          </w:p>
        </w:tc>
      </w:tr>
      <w:tr w:rsidR="00AD2379" w:rsidRPr="00F64312" w:rsidTr="006B690F">
        <w:trPr>
          <w:jc w:val="center"/>
        </w:trPr>
        <w:tc>
          <w:tcPr>
            <w:tcW w:w="6768" w:type="dxa"/>
            <w:vAlign w:val="center"/>
          </w:tcPr>
          <w:p w:rsidR="00AD2379" w:rsidRPr="00F64312" w:rsidRDefault="0045622F" w:rsidP="006B690F">
            <w:pPr>
              <w:tabs>
                <w:tab w:val="left" w:pos="288"/>
                <w:tab w:val="left" w:pos="4752"/>
              </w:tabs>
              <w:jc w:val="left"/>
              <w:rPr>
                <w:color w:val="auto"/>
              </w:rPr>
            </w:pPr>
            <w:r>
              <w:rPr>
                <w:color w:val="auto"/>
              </w:rPr>
              <w:t>Chronic Non-Radiating Low Back Pain</w:t>
            </w:r>
          </w:p>
        </w:tc>
        <w:tc>
          <w:tcPr>
            <w:tcW w:w="1530" w:type="dxa"/>
            <w:vAlign w:val="center"/>
          </w:tcPr>
          <w:p w:rsidR="00AD2379" w:rsidRPr="00A303BE" w:rsidRDefault="0045622F" w:rsidP="006B690F">
            <w:pPr>
              <w:tabs>
                <w:tab w:val="left" w:pos="288"/>
                <w:tab w:val="left" w:pos="4752"/>
              </w:tabs>
              <w:rPr>
                <w:color w:val="auto"/>
              </w:rPr>
            </w:pPr>
            <w:r w:rsidRPr="00A303BE">
              <w:rPr>
                <w:color w:val="auto"/>
              </w:rPr>
              <w:t>5235</w:t>
            </w:r>
          </w:p>
        </w:tc>
        <w:tc>
          <w:tcPr>
            <w:tcW w:w="1026" w:type="dxa"/>
            <w:vAlign w:val="center"/>
          </w:tcPr>
          <w:p w:rsidR="00AD2379" w:rsidRPr="00A303BE" w:rsidRDefault="00A303BE" w:rsidP="006B690F">
            <w:pPr>
              <w:tabs>
                <w:tab w:val="left" w:pos="288"/>
                <w:tab w:val="left" w:pos="4752"/>
              </w:tabs>
              <w:rPr>
                <w:color w:val="auto"/>
              </w:rPr>
            </w:pPr>
            <w:r>
              <w:rPr>
                <w:color w:val="auto"/>
              </w:rPr>
              <w:t>1</w:t>
            </w:r>
            <w:r w:rsidR="00AD2379" w:rsidRPr="00A303BE">
              <w:rPr>
                <w:color w:val="auto"/>
              </w:rPr>
              <w:t>0%</w:t>
            </w:r>
          </w:p>
        </w:tc>
      </w:tr>
      <w:tr w:rsidR="0045622F" w:rsidRPr="00F64312" w:rsidTr="006B690F">
        <w:trPr>
          <w:jc w:val="center"/>
        </w:trPr>
        <w:tc>
          <w:tcPr>
            <w:tcW w:w="6768" w:type="dxa"/>
            <w:vAlign w:val="center"/>
          </w:tcPr>
          <w:p w:rsidR="0045622F" w:rsidRDefault="0045622F" w:rsidP="006B690F">
            <w:pPr>
              <w:tabs>
                <w:tab w:val="left" w:pos="288"/>
                <w:tab w:val="left" w:pos="4752"/>
              </w:tabs>
              <w:jc w:val="left"/>
              <w:rPr>
                <w:color w:val="auto"/>
              </w:rPr>
            </w:pPr>
            <w:r>
              <w:rPr>
                <w:color w:val="auto"/>
              </w:rPr>
              <w:t>Chronic L</w:t>
            </w:r>
            <w:r w:rsidR="0021672B">
              <w:rPr>
                <w:color w:val="auto"/>
              </w:rPr>
              <w:t>ef</w:t>
            </w:r>
            <w:r>
              <w:rPr>
                <w:color w:val="auto"/>
              </w:rPr>
              <w:t>t Forearm and Wrist Pain</w:t>
            </w:r>
          </w:p>
        </w:tc>
        <w:tc>
          <w:tcPr>
            <w:tcW w:w="1530" w:type="dxa"/>
            <w:vAlign w:val="center"/>
          </w:tcPr>
          <w:p w:rsidR="0045622F" w:rsidRPr="00A303BE" w:rsidRDefault="0045622F" w:rsidP="006B690F">
            <w:pPr>
              <w:tabs>
                <w:tab w:val="left" w:pos="288"/>
                <w:tab w:val="left" w:pos="4752"/>
              </w:tabs>
              <w:rPr>
                <w:color w:val="auto"/>
              </w:rPr>
            </w:pPr>
            <w:r w:rsidRPr="00A303BE">
              <w:rPr>
                <w:color w:val="auto"/>
              </w:rPr>
              <w:t>5099-5003</w:t>
            </w:r>
          </w:p>
        </w:tc>
        <w:tc>
          <w:tcPr>
            <w:tcW w:w="1026" w:type="dxa"/>
            <w:vAlign w:val="center"/>
          </w:tcPr>
          <w:p w:rsidR="0045622F" w:rsidRPr="00A303BE" w:rsidRDefault="00A303BE" w:rsidP="006B690F">
            <w:pPr>
              <w:tabs>
                <w:tab w:val="left" w:pos="288"/>
                <w:tab w:val="left" w:pos="4752"/>
              </w:tabs>
              <w:rPr>
                <w:color w:val="auto"/>
              </w:rPr>
            </w:pPr>
            <w:r>
              <w:rPr>
                <w:color w:val="auto"/>
              </w:rPr>
              <w:t>10%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A303BE" w:rsidRDefault="00AD2379" w:rsidP="006B690F">
            <w:pPr>
              <w:tabs>
                <w:tab w:val="left" w:pos="288"/>
                <w:tab w:val="left" w:pos="4752"/>
              </w:tabs>
              <w:rPr>
                <w:b/>
                <w:color w:val="auto"/>
              </w:rPr>
            </w:pPr>
            <w:r w:rsidRPr="00A303BE">
              <w:rPr>
                <w:b/>
                <w:color w:val="auto"/>
              </w:rPr>
              <w:t>COMBINED</w:t>
            </w:r>
          </w:p>
        </w:tc>
        <w:tc>
          <w:tcPr>
            <w:tcW w:w="1026" w:type="dxa"/>
            <w:shd w:val="clear" w:color="auto" w:fill="D9D9D9"/>
            <w:vAlign w:val="center"/>
          </w:tcPr>
          <w:p w:rsidR="00AD2379" w:rsidRPr="00A303BE" w:rsidRDefault="00A303BE" w:rsidP="006B690F">
            <w:pPr>
              <w:tabs>
                <w:tab w:val="left" w:pos="288"/>
                <w:tab w:val="left" w:pos="4752"/>
              </w:tabs>
              <w:rPr>
                <w:b/>
                <w:color w:val="auto"/>
              </w:rPr>
            </w:pPr>
            <w:r>
              <w:rPr>
                <w:b/>
                <w:color w:val="auto"/>
              </w:rPr>
              <w:t>2</w:t>
            </w:r>
            <w:r w:rsidR="00AD2379" w:rsidRPr="00A303BE">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45622F">
        <w:rPr>
          <w:color w:val="auto"/>
        </w:rPr>
        <w:t>dated 20</w:t>
      </w:r>
      <w:r w:rsidR="0045622F" w:rsidRPr="0045622F">
        <w:rPr>
          <w:color w:val="auto"/>
        </w:rPr>
        <w:t>110928</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3A5F40">
        <w:rPr>
          <w:color w:val="auto"/>
        </w:rPr>
        <w:t>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DF3B06" w:rsidRDefault="00DF3B06" w:rsidP="00BF0E94">
      <w:pPr>
        <w:tabs>
          <w:tab w:val="left" w:pos="0"/>
          <w:tab w:val="left" w:pos="4320"/>
        </w:tabs>
        <w:jc w:val="both"/>
        <w:rPr>
          <w:color w:val="auto"/>
        </w:rPr>
      </w:pPr>
    </w:p>
    <w:p w:rsidR="00DF3B06" w:rsidRDefault="00DF3B06" w:rsidP="00BF0E94">
      <w:pPr>
        <w:tabs>
          <w:tab w:val="left" w:pos="0"/>
          <w:tab w:val="left" w:pos="4320"/>
        </w:tabs>
        <w:jc w:val="both"/>
        <w:rPr>
          <w:color w:val="auto"/>
        </w:rPr>
      </w:pPr>
    </w:p>
    <w:p w:rsidR="003A5F40" w:rsidRDefault="003A5F40">
      <w:pPr>
        <w:spacing w:line="240" w:lineRule="auto"/>
        <w:jc w:val="left"/>
        <w:rPr>
          <w:rFonts w:ascii="Times New Roman" w:hAnsi="Times New Roman" w:cs="Times New Roman"/>
          <w:b/>
          <w:bCs/>
          <w:color w:val="000000"/>
          <w:sz w:val="28"/>
          <w:szCs w:val="28"/>
        </w:rPr>
      </w:pPr>
    </w:p>
    <w:p w:rsidR="003A5F40" w:rsidRDefault="003A5F40">
      <w:pPr>
        <w:spacing w:line="240" w:lineRule="auto"/>
        <w:jc w:val="left"/>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3A5F40" w:rsidRDefault="003A5F40" w:rsidP="003A5F40">
      <w:pPr>
        <w:sectPr w:rsidR="003A5F40">
          <w:pgSz w:w="12240" w:h="15840"/>
          <w:pgMar w:top="2160" w:right="1440" w:bottom="1440" w:left="1440" w:header="720" w:footer="720" w:gutter="0"/>
          <w:cols w:space="720"/>
        </w:sectPr>
      </w:pPr>
    </w:p>
    <w:p w:rsidR="003A5F40" w:rsidRDefault="003A5F40" w:rsidP="003A5F40">
      <w:pPr>
        <w:pStyle w:val="Header"/>
        <w:tabs>
          <w:tab w:val="left" w:pos="720"/>
        </w:tabs>
        <w:jc w:val="both"/>
      </w:pPr>
      <w:r>
        <w:lastRenderedPageBreak/>
        <w:t>SFMR-RB</w:t>
      </w:r>
      <w:r>
        <w:tab/>
      </w:r>
      <w:r>
        <w:tab/>
      </w:r>
      <w:r>
        <w:tab/>
      </w:r>
      <w:r>
        <w:tab/>
      </w:r>
      <w:r>
        <w:tab/>
      </w:r>
      <w:r>
        <w:tab/>
      </w:r>
      <w:r>
        <w:tab/>
      </w:r>
      <w:r>
        <w:tab/>
      </w:r>
      <w:r>
        <w:tab/>
      </w:r>
    </w:p>
    <w:p w:rsidR="003A5F40" w:rsidRDefault="003A5F40" w:rsidP="003A5F40">
      <w:pPr>
        <w:pStyle w:val="Header"/>
        <w:tabs>
          <w:tab w:val="left" w:pos="720"/>
        </w:tabs>
        <w:jc w:val="both"/>
      </w:pPr>
    </w:p>
    <w:p w:rsidR="003A5F40" w:rsidRDefault="003A5F40" w:rsidP="003A5F40">
      <w:pPr>
        <w:jc w:val="both"/>
      </w:pPr>
    </w:p>
    <w:p w:rsidR="003A5F40" w:rsidRDefault="003A5F40" w:rsidP="003A5F40">
      <w:pPr>
        <w:jc w:val="both"/>
      </w:pPr>
      <w:r>
        <w:t xml:space="preserve">MEMORANDUM FOR Commander, US Army Physical Disability Agency </w:t>
      </w:r>
    </w:p>
    <w:p w:rsidR="003A5F40" w:rsidRDefault="003A5F40" w:rsidP="003A5F40">
      <w:pPr>
        <w:jc w:val="both"/>
      </w:pPr>
      <w:r>
        <w:t xml:space="preserve">(TAPD-ZB </w:t>
      </w:r>
      <w:proofErr w:type="gramStart"/>
      <w:r>
        <w:t>/  )</w:t>
      </w:r>
      <w:proofErr w:type="gramEnd"/>
      <w:r>
        <w:t>, 2900 Crystal Drive, Suite 300, Arlington, VA  22202</w:t>
      </w:r>
    </w:p>
    <w:p w:rsidR="003A5F40" w:rsidRDefault="003A5F40" w:rsidP="003A5F40">
      <w:pPr>
        <w:jc w:val="both"/>
      </w:pPr>
    </w:p>
    <w:p w:rsidR="003A5F40" w:rsidRDefault="003A5F40" w:rsidP="003A5F40">
      <w:pPr>
        <w:ind w:right="-180"/>
        <w:jc w:val="both"/>
      </w:pPr>
      <w:r>
        <w:t>SUBJECT:  Department of Defense Physical Disability Board of Review Recommendation for XXXXXXXXXXXXXXXXXXXX, AR20120018077 (PD201100845)</w:t>
      </w:r>
    </w:p>
    <w:p w:rsidR="003A5F40" w:rsidRDefault="003A5F40" w:rsidP="003A5F40">
      <w:pPr>
        <w:pStyle w:val="Header"/>
        <w:tabs>
          <w:tab w:val="left" w:pos="720"/>
        </w:tabs>
        <w:jc w:val="both"/>
      </w:pPr>
    </w:p>
    <w:p w:rsidR="003A5F40" w:rsidRDefault="003A5F40" w:rsidP="003A5F40">
      <w:pPr>
        <w:jc w:val="both"/>
      </w:pPr>
    </w:p>
    <w:p w:rsidR="003A5F40" w:rsidRDefault="003A5F40" w:rsidP="003A5F40">
      <w:pPr>
        <w:jc w:val="both"/>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A5F40" w:rsidRDefault="003A5F40" w:rsidP="003A5F40">
      <w:pPr>
        <w:jc w:val="both"/>
      </w:pPr>
      <w:r>
        <w:t>This decision is final.  The individual concerned, counsel (if any), and any Members of Congress who have shown interest in this application have been notified of this decision by mail.</w:t>
      </w:r>
    </w:p>
    <w:p w:rsidR="003A5F40" w:rsidRDefault="003A5F40" w:rsidP="003A5F40">
      <w:pPr>
        <w:jc w:val="both"/>
      </w:pPr>
    </w:p>
    <w:p w:rsidR="003A5F40" w:rsidRDefault="003A5F40" w:rsidP="003A5F40">
      <w:pPr>
        <w:jc w:val="both"/>
      </w:pPr>
      <w:r>
        <w:t xml:space="preserve"> BY ORDER OF THE SECRETARY OF THE ARMY:</w:t>
      </w:r>
    </w:p>
    <w:p w:rsidR="003A5F40" w:rsidRDefault="003A5F40" w:rsidP="003A5F40">
      <w:pPr>
        <w:jc w:val="both"/>
      </w:pPr>
    </w:p>
    <w:p w:rsidR="003A5F40" w:rsidRDefault="003A5F40" w:rsidP="003A5F40">
      <w:pPr>
        <w:jc w:val="both"/>
      </w:pPr>
    </w:p>
    <w:p w:rsidR="003A5F40" w:rsidRDefault="003A5F40" w:rsidP="003A5F40">
      <w:pPr>
        <w:pStyle w:val="Header"/>
        <w:tabs>
          <w:tab w:val="left" w:pos="720"/>
        </w:tabs>
        <w:jc w:val="both"/>
      </w:pPr>
    </w:p>
    <w:p w:rsidR="003A5F40" w:rsidRDefault="003A5F40" w:rsidP="003A5F40">
      <w:pPr>
        <w:jc w:val="both"/>
      </w:pPr>
    </w:p>
    <w:p w:rsidR="003A5F40" w:rsidRDefault="003A5F40" w:rsidP="003A5F40">
      <w:pPr>
        <w:jc w:val="both"/>
      </w:pPr>
      <w:bookmarkStart w:id="1" w:name="OLE_LINK4"/>
      <w:bookmarkStart w:id="2" w:name="OLE_LINK3"/>
      <w:r>
        <w:t>Encl</w:t>
      </w:r>
      <w:r>
        <w:tab/>
      </w:r>
      <w:r>
        <w:tab/>
      </w:r>
      <w:r>
        <w:tab/>
      </w:r>
      <w:r>
        <w:tab/>
      </w:r>
      <w:r>
        <w:tab/>
      </w:r>
      <w:r>
        <w:tab/>
        <w:t xml:space="preserve">     XXXXXXXXXXXXXXX</w:t>
      </w:r>
    </w:p>
    <w:p w:rsidR="003A5F40" w:rsidRDefault="003A5F40" w:rsidP="003A5F40">
      <w:pPr>
        <w:jc w:val="both"/>
      </w:pPr>
      <w:r>
        <w:tab/>
      </w:r>
      <w:r>
        <w:tab/>
      </w:r>
      <w:r>
        <w:tab/>
      </w:r>
      <w:r>
        <w:tab/>
      </w:r>
      <w:r>
        <w:tab/>
      </w:r>
      <w:r>
        <w:tab/>
        <w:t xml:space="preserve">     Deputy Assistant Secretary</w:t>
      </w:r>
    </w:p>
    <w:p w:rsidR="003A5F40" w:rsidRDefault="003A5F40" w:rsidP="003A5F40">
      <w:pPr>
        <w:jc w:val="both"/>
      </w:pPr>
      <w:r>
        <w:tab/>
      </w:r>
      <w:r>
        <w:tab/>
      </w:r>
      <w:r>
        <w:tab/>
      </w:r>
      <w:r>
        <w:tab/>
      </w:r>
      <w:r>
        <w:tab/>
      </w:r>
      <w:r>
        <w:tab/>
        <w:t xml:space="preserve">         (Army Review Boards)</w:t>
      </w:r>
      <w:bookmarkEnd w:id="1"/>
      <w:bookmarkEnd w:id="2"/>
    </w:p>
    <w:p w:rsidR="003A5F40" w:rsidRDefault="003A5F40" w:rsidP="003A5F40">
      <w:pPr>
        <w:jc w:val="both"/>
      </w:pPr>
    </w:p>
    <w:p w:rsidR="003A5F40" w:rsidRDefault="003A5F40" w:rsidP="003A5F40">
      <w:pPr>
        <w:jc w:val="both"/>
      </w:pPr>
      <w:r>
        <w:t xml:space="preserve">CF: </w:t>
      </w:r>
    </w:p>
    <w:p w:rsidR="003A5F40" w:rsidRDefault="003A5F40" w:rsidP="003A5F40">
      <w:pPr>
        <w:jc w:val="both"/>
      </w:pPr>
      <w:r>
        <w:t xml:space="preserve">(  ) </w:t>
      </w:r>
      <w:proofErr w:type="spellStart"/>
      <w:proofErr w:type="gramStart"/>
      <w:r>
        <w:t>DoD</w:t>
      </w:r>
      <w:proofErr w:type="spellEnd"/>
      <w:proofErr w:type="gramEnd"/>
      <w:r>
        <w:t xml:space="preserve"> PDBR</w:t>
      </w:r>
    </w:p>
    <w:p w:rsidR="003A5F40" w:rsidRDefault="003A5F40" w:rsidP="003A5F40">
      <w:pPr>
        <w:jc w:val="both"/>
      </w:pPr>
      <w:r>
        <w:t>(  ) DVA</w:t>
      </w:r>
    </w:p>
    <w:p w:rsidR="003A5F40" w:rsidRDefault="003A5F40" w:rsidP="003A5F40"/>
    <w:p w:rsidR="00A303BE" w:rsidRDefault="00A303BE">
      <w:pPr>
        <w:spacing w:line="240" w:lineRule="auto"/>
        <w:jc w:val="left"/>
        <w:rPr>
          <w:rFonts w:ascii="Times New Roman" w:hAnsi="Times New Roman" w:cs="Times New Roman"/>
          <w:b/>
          <w:bCs/>
          <w:color w:val="000000"/>
          <w:sz w:val="28"/>
          <w:szCs w:val="28"/>
        </w:rPr>
      </w:pPr>
    </w:p>
    <w:sectPr w:rsidR="00A303BE" w:rsidSect="00726F84">
      <w:headerReference w:type="default"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66" w:rsidRDefault="00323366">
      <w:r>
        <w:separator/>
      </w:r>
    </w:p>
  </w:endnote>
  <w:endnote w:type="continuationSeparator" w:id="0">
    <w:p w:rsidR="00323366" w:rsidRDefault="00323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C" w:rsidRPr="00374247" w:rsidRDefault="0086075C" w:rsidP="00726F84">
    <w:pPr>
      <w:pStyle w:val="Footer"/>
      <w:ind w:firstLine="4320"/>
      <w:rPr>
        <w:color w:val="auto"/>
      </w:rPr>
    </w:pPr>
    <w:r w:rsidRPr="00374247">
      <w:rPr>
        <w:color w:val="auto"/>
      </w:rPr>
      <w:t xml:space="preserve">   </w:t>
    </w:r>
    <w:r w:rsidR="00C63D3A" w:rsidRPr="00C63D3A">
      <w:fldChar w:fldCharType="begin"/>
    </w:r>
    <w:r w:rsidR="00323366">
      <w:instrText xml:space="preserve"> PAGE   \* MERGEFORMAT </w:instrText>
    </w:r>
    <w:r w:rsidR="00C63D3A" w:rsidRPr="00C63D3A">
      <w:fldChar w:fldCharType="separate"/>
    </w:r>
    <w:r w:rsidR="003A5F40" w:rsidRPr="003A5F40">
      <w:rPr>
        <w:noProof/>
        <w:color w:val="auto"/>
      </w:rPr>
      <w:t>7</w:t>
    </w:r>
    <w:r w:rsidR="00C63D3A">
      <w:rPr>
        <w:noProof/>
        <w:color w:val="auto"/>
      </w:rPr>
      <w:fldChar w:fldCharType="end"/>
    </w:r>
    <w:r w:rsidRPr="0045622F">
      <w:rPr>
        <w:color w:val="auto"/>
      </w:rPr>
      <w:t xml:space="preserve">                                </w:t>
    </w:r>
    <w:r>
      <w:rPr>
        <w:color w:val="auto"/>
      </w:rPr>
      <w:t xml:space="preserve">                           PD11</w:t>
    </w:r>
    <w:r w:rsidRPr="0045622F">
      <w:rPr>
        <w:color w:val="auto"/>
      </w:rPr>
      <w:t>00845</w:t>
    </w:r>
  </w:p>
  <w:p w:rsidR="0086075C" w:rsidRPr="00684CE6" w:rsidRDefault="0086075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66" w:rsidRDefault="00323366">
      <w:r>
        <w:separator/>
      </w:r>
    </w:p>
  </w:footnote>
  <w:footnote w:type="continuationSeparator" w:id="0">
    <w:p w:rsidR="00323366" w:rsidRDefault="003233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5C" w:rsidRDefault="008607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2A32"/>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2D8"/>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1D6"/>
    <w:rsid w:val="00060C18"/>
    <w:rsid w:val="00060FFD"/>
    <w:rsid w:val="00061D69"/>
    <w:rsid w:val="00063BE5"/>
    <w:rsid w:val="0006431E"/>
    <w:rsid w:val="000647B0"/>
    <w:rsid w:val="000652EA"/>
    <w:rsid w:val="00065E21"/>
    <w:rsid w:val="000673ED"/>
    <w:rsid w:val="00067854"/>
    <w:rsid w:val="00070DED"/>
    <w:rsid w:val="00071071"/>
    <w:rsid w:val="000715F2"/>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98A"/>
    <w:rsid w:val="000C3C13"/>
    <w:rsid w:val="000C4D5F"/>
    <w:rsid w:val="000C53F9"/>
    <w:rsid w:val="000C5813"/>
    <w:rsid w:val="000C647D"/>
    <w:rsid w:val="000C714C"/>
    <w:rsid w:val="000C7161"/>
    <w:rsid w:val="000C75CF"/>
    <w:rsid w:val="000C7B83"/>
    <w:rsid w:val="000C7DE4"/>
    <w:rsid w:val="000D0AE6"/>
    <w:rsid w:val="000D133F"/>
    <w:rsid w:val="000D15E7"/>
    <w:rsid w:val="000D1A24"/>
    <w:rsid w:val="000D1CF4"/>
    <w:rsid w:val="000D1DBC"/>
    <w:rsid w:val="000D21C7"/>
    <w:rsid w:val="000D248A"/>
    <w:rsid w:val="000D2CFD"/>
    <w:rsid w:val="000D35D8"/>
    <w:rsid w:val="000D43F9"/>
    <w:rsid w:val="000D4717"/>
    <w:rsid w:val="000D4AF7"/>
    <w:rsid w:val="000D5DBE"/>
    <w:rsid w:val="000D6457"/>
    <w:rsid w:val="000D7066"/>
    <w:rsid w:val="000D7D55"/>
    <w:rsid w:val="000E0993"/>
    <w:rsid w:val="000E1E18"/>
    <w:rsid w:val="000E220A"/>
    <w:rsid w:val="000E2E50"/>
    <w:rsid w:val="000E32DB"/>
    <w:rsid w:val="000E37E0"/>
    <w:rsid w:val="000E3BD6"/>
    <w:rsid w:val="000E3F20"/>
    <w:rsid w:val="000E4BE2"/>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325"/>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2188"/>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6FB2"/>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50A"/>
    <w:rsid w:val="001B06FB"/>
    <w:rsid w:val="001B0B1A"/>
    <w:rsid w:val="001B1B06"/>
    <w:rsid w:val="001B20E6"/>
    <w:rsid w:val="001B4C0B"/>
    <w:rsid w:val="001B4D12"/>
    <w:rsid w:val="001B4EC2"/>
    <w:rsid w:val="001B5B59"/>
    <w:rsid w:val="001B60E0"/>
    <w:rsid w:val="001B755A"/>
    <w:rsid w:val="001B7C8C"/>
    <w:rsid w:val="001B7D93"/>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6561"/>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030"/>
    <w:rsid w:val="00213BD0"/>
    <w:rsid w:val="002143E5"/>
    <w:rsid w:val="00214DBA"/>
    <w:rsid w:val="002151AB"/>
    <w:rsid w:val="0021548C"/>
    <w:rsid w:val="0021565F"/>
    <w:rsid w:val="00215C4C"/>
    <w:rsid w:val="00215ED6"/>
    <w:rsid w:val="00216049"/>
    <w:rsid w:val="002163FA"/>
    <w:rsid w:val="0021672B"/>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57E14"/>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1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0A1"/>
    <w:rsid w:val="002F2584"/>
    <w:rsid w:val="002F287E"/>
    <w:rsid w:val="002F2981"/>
    <w:rsid w:val="002F2D63"/>
    <w:rsid w:val="002F478B"/>
    <w:rsid w:val="002F6AD8"/>
    <w:rsid w:val="002F7C06"/>
    <w:rsid w:val="002F7F81"/>
    <w:rsid w:val="00300A36"/>
    <w:rsid w:val="00301B45"/>
    <w:rsid w:val="003029D5"/>
    <w:rsid w:val="0030433B"/>
    <w:rsid w:val="00304404"/>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366"/>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15A3"/>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32"/>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5F40"/>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47C0"/>
    <w:rsid w:val="003C5046"/>
    <w:rsid w:val="003C53E8"/>
    <w:rsid w:val="003C5B54"/>
    <w:rsid w:val="003C6068"/>
    <w:rsid w:val="003C7AEC"/>
    <w:rsid w:val="003D2BA3"/>
    <w:rsid w:val="003D3080"/>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E80"/>
    <w:rsid w:val="00427F54"/>
    <w:rsid w:val="004306E0"/>
    <w:rsid w:val="004316FD"/>
    <w:rsid w:val="00433F36"/>
    <w:rsid w:val="00434694"/>
    <w:rsid w:val="00434860"/>
    <w:rsid w:val="00434BBD"/>
    <w:rsid w:val="0043503A"/>
    <w:rsid w:val="00437B8A"/>
    <w:rsid w:val="00437D18"/>
    <w:rsid w:val="00437D77"/>
    <w:rsid w:val="0044083C"/>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22F"/>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4F5"/>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B56"/>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1A90"/>
    <w:rsid w:val="00542022"/>
    <w:rsid w:val="00542B34"/>
    <w:rsid w:val="00542C9A"/>
    <w:rsid w:val="005436C2"/>
    <w:rsid w:val="005442D4"/>
    <w:rsid w:val="0054586A"/>
    <w:rsid w:val="0054631F"/>
    <w:rsid w:val="00546C24"/>
    <w:rsid w:val="005471BA"/>
    <w:rsid w:val="00547BDA"/>
    <w:rsid w:val="00547BE6"/>
    <w:rsid w:val="0055034F"/>
    <w:rsid w:val="00550476"/>
    <w:rsid w:val="00552429"/>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B50"/>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3C4"/>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2862"/>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5F8"/>
    <w:rsid w:val="0065689C"/>
    <w:rsid w:val="0065726D"/>
    <w:rsid w:val="006573F2"/>
    <w:rsid w:val="0066191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603"/>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57D"/>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A20"/>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C95"/>
    <w:rsid w:val="007A5AD1"/>
    <w:rsid w:val="007A5B7B"/>
    <w:rsid w:val="007A65A9"/>
    <w:rsid w:val="007A7FD8"/>
    <w:rsid w:val="007B0128"/>
    <w:rsid w:val="007B0635"/>
    <w:rsid w:val="007B0A06"/>
    <w:rsid w:val="007B0B24"/>
    <w:rsid w:val="007B0F8B"/>
    <w:rsid w:val="007B1C83"/>
    <w:rsid w:val="007B3204"/>
    <w:rsid w:val="007B4181"/>
    <w:rsid w:val="007B5746"/>
    <w:rsid w:val="007B58AB"/>
    <w:rsid w:val="007B5C5C"/>
    <w:rsid w:val="007B66ED"/>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6D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67F"/>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478DE"/>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75C"/>
    <w:rsid w:val="00860869"/>
    <w:rsid w:val="00860E60"/>
    <w:rsid w:val="0086102A"/>
    <w:rsid w:val="0086162B"/>
    <w:rsid w:val="00861710"/>
    <w:rsid w:val="00861D5C"/>
    <w:rsid w:val="00861E7C"/>
    <w:rsid w:val="008626C2"/>
    <w:rsid w:val="00862A21"/>
    <w:rsid w:val="0086429C"/>
    <w:rsid w:val="00865207"/>
    <w:rsid w:val="008656A7"/>
    <w:rsid w:val="00865FA3"/>
    <w:rsid w:val="00866231"/>
    <w:rsid w:val="00871262"/>
    <w:rsid w:val="0087170E"/>
    <w:rsid w:val="00871D4E"/>
    <w:rsid w:val="00871E7B"/>
    <w:rsid w:val="008721BB"/>
    <w:rsid w:val="008734E7"/>
    <w:rsid w:val="008745D9"/>
    <w:rsid w:val="0087566D"/>
    <w:rsid w:val="00875B50"/>
    <w:rsid w:val="00875B51"/>
    <w:rsid w:val="00875F2D"/>
    <w:rsid w:val="008762E7"/>
    <w:rsid w:val="008764DC"/>
    <w:rsid w:val="00881C17"/>
    <w:rsid w:val="00881D10"/>
    <w:rsid w:val="00881F49"/>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8B7"/>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B6A34"/>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319"/>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5F66"/>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47F9"/>
    <w:rsid w:val="009369A6"/>
    <w:rsid w:val="00936E38"/>
    <w:rsid w:val="00937433"/>
    <w:rsid w:val="00937F57"/>
    <w:rsid w:val="0094031E"/>
    <w:rsid w:val="009419B4"/>
    <w:rsid w:val="00941A4C"/>
    <w:rsid w:val="00942645"/>
    <w:rsid w:val="00945DB0"/>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56C"/>
    <w:rsid w:val="009B5902"/>
    <w:rsid w:val="009B6023"/>
    <w:rsid w:val="009B69D3"/>
    <w:rsid w:val="009B721E"/>
    <w:rsid w:val="009B7BA7"/>
    <w:rsid w:val="009B7C01"/>
    <w:rsid w:val="009C0938"/>
    <w:rsid w:val="009C0C22"/>
    <w:rsid w:val="009C10B6"/>
    <w:rsid w:val="009C12A1"/>
    <w:rsid w:val="009C15D9"/>
    <w:rsid w:val="009C1A1D"/>
    <w:rsid w:val="009C2032"/>
    <w:rsid w:val="009C22C8"/>
    <w:rsid w:val="009C3F82"/>
    <w:rsid w:val="009C582A"/>
    <w:rsid w:val="009C5C56"/>
    <w:rsid w:val="009C72DD"/>
    <w:rsid w:val="009C78FD"/>
    <w:rsid w:val="009C7DF5"/>
    <w:rsid w:val="009D0363"/>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3C2F"/>
    <w:rsid w:val="009E4C9B"/>
    <w:rsid w:val="009E4DFC"/>
    <w:rsid w:val="009E5789"/>
    <w:rsid w:val="009E57B1"/>
    <w:rsid w:val="009E6379"/>
    <w:rsid w:val="009F020F"/>
    <w:rsid w:val="009F077E"/>
    <w:rsid w:val="009F1DF8"/>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9CF"/>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6CB5"/>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3BE"/>
    <w:rsid w:val="00A305AD"/>
    <w:rsid w:val="00A314B6"/>
    <w:rsid w:val="00A31DE7"/>
    <w:rsid w:val="00A31FE2"/>
    <w:rsid w:val="00A32743"/>
    <w:rsid w:val="00A361A2"/>
    <w:rsid w:val="00A36444"/>
    <w:rsid w:val="00A36CD4"/>
    <w:rsid w:val="00A37C07"/>
    <w:rsid w:val="00A40356"/>
    <w:rsid w:val="00A40FFB"/>
    <w:rsid w:val="00A41468"/>
    <w:rsid w:val="00A414A9"/>
    <w:rsid w:val="00A44141"/>
    <w:rsid w:val="00A44CCA"/>
    <w:rsid w:val="00A44D4D"/>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3F86"/>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B60C7"/>
    <w:rsid w:val="00AC0C1C"/>
    <w:rsid w:val="00AC0EE5"/>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6AB"/>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0E42"/>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51CF"/>
    <w:rsid w:val="00B91676"/>
    <w:rsid w:val="00B9322B"/>
    <w:rsid w:val="00B93640"/>
    <w:rsid w:val="00B94023"/>
    <w:rsid w:val="00B955D5"/>
    <w:rsid w:val="00B95833"/>
    <w:rsid w:val="00BA1824"/>
    <w:rsid w:val="00BA272B"/>
    <w:rsid w:val="00BA2D98"/>
    <w:rsid w:val="00BA2F0C"/>
    <w:rsid w:val="00BA30D1"/>
    <w:rsid w:val="00BA30E1"/>
    <w:rsid w:val="00BA4609"/>
    <w:rsid w:val="00BA5BE2"/>
    <w:rsid w:val="00BA60FC"/>
    <w:rsid w:val="00BA6A9C"/>
    <w:rsid w:val="00BA7F46"/>
    <w:rsid w:val="00BB0388"/>
    <w:rsid w:val="00BB0A0A"/>
    <w:rsid w:val="00BB133C"/>
    <w:rsid w:val="00BB18E0"/>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0245"/>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2B98"/>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42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3D3A"/>
    <w:rsid w:val="00C64891"/>
    <w:rsid w:val="00C64C87"/>
    <w:rsid w:val="00C65414"/>
    <w:rsid w:val="00C6590A"/>
    <w:rsid w:val="00C65BE0"/>
    <w:rsid w:val="00C65D5D"/>
    <w:rsid w:val="00C665FE"/>
    <w:rsid w:val="00C71BEC"/>
    <w:rsid w:val="00C73942"/>
    <w:rsid w:val="00C73A83"/>
    <w:rsid w:val="00C73F19"/>
    <w:rsid w:val="00C74D3A"/>
    <w:rsid w:val="00C75F3D"/>
    <w:rsid w:val="00C76160"/>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024E"/>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A2D"/>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1D14"/>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3DFA"/>
    <w:rsid w:val="00DC4001"/>
    <w:rsid w:val="00DC41C3"/>
    <w:rsid w:val="00DC4842"/>
    <w:rsid w:val="00DC4A3C"/>
    <w:rsid w:val="00DC4FA4"/>
    <w:rsid w:val="00DC5028"/>
    <w:rsid w:val="00DC5B37"/>
    <w:rsid w:val="00DD1690"/>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9C3"/>
    <w:rsid w:val="00E17EC9"/>
    <w:rsid w:val="00E202F4"/>
    <w:rsid w:val="00E207C3"/>
    <w:rsid w:val="00E20C7C"/>
    <w:rsid w:val="00E212DF"/>
    <w:rsid w:val="00E21386"/>
    <w:rsid w:val="00E24004"/>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8BE"/>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66DB"/>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013"/>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3DE1"/>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688A"/>
    <w:rsid w:val="00F171F9"/>
    <w:rsid w:val="00F1737C"/>
    <w:rsid w:val="00F173AA"/>
    <w:rsid w:val="00F20DA4"/>
    <w:rsid w:val="00F22A26"/>
    <w:rsid w:val="00F2361E"/>
    <w:rsid w:val="00F24072"/>
    <w:rsid w:val="00F26432"/>
    <w:rsid w:val="00F3197A"/>
    <w:rsid w:val="00F32139"/>
    <w:rsid w:val="00F3264E"/>
    <w:rsid w:val="00F32861"/>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3EC"/>
    <w:rsid w:val="00F624DD"/>
    <w:rsid w:val="00F629C0"/>
    <w:rsid w:val="00F6384A"/>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6C1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585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2012-10-02T18:30:00Z</cp:lastPrinted>
  <dcterms:created xsi:type="dcterms:W3CDTF">2012-10-22T19:28:00Z</dcterms:created>
  <dcterms:modified xsi:type="dcterms:W3CDTF">2012-10-22T19:28:00Z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