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867528">
        <w:rPr>
          <w:caps/>
          <w:color w:val="000000"/>
        </w:rPr>
        <w:t>XXXXXXXXXXXXXX</w:t>
      </w:r>
      <w:r>
        <w:rPr>
          <w:caps/>
          <w:color w:val="000000" w:themeColor="text1"/>
        </w:rPr>
        <w:tab/>
        <w:t xml:space="preserve">                             </w:t>
      </w:r>
      <w:r w:rsidRPr="001F29F9">
        <w:rPr>
          <w:caps/>
          <w:color w:val="000000" w:themeColor="text1"/>
        </w:rPr>
        <w:t xml:space="preserve">BRANCH OF </w:t>
      </w:r>
      <w:r w:rsidRPr="00A10AF8">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A10AF8" w:rsidRPr="00E251C7">
        <w:rPr>
          <w:caps/>
          <w:color w:val="000000"/>
        </w:rPr>
        <w:t>PD1100844</w:t>
      </w:r>
      <w:r>
        <w:rPr>
          <w:color w:val="000000" w:themeColor="text1"/>
        </w:rPr>
        <w:tab/>
      </w:r>
      <w:r>
        <w:rPr>
          <w:color w:val="000000" w:themeColor="text1"/>
        </w:rPr>
        <w:tab/>
        <w:t xml:space="preserve">          </w:t>
      </w:r>
      <w:r w:rsidRPr="001F29F9">
        <w:rPr>
          <w:color w:val="000000" w:themeColor="text1"/>
        </w:rPr>
        <w:t xml:space="preserve"> SEPARATION DATE:  </w:t>
      </w:r>
      <w:r w:rsidR="00A10AF8" w:rsidRPr="001F29F9">
        <w:rPr>
          <w:color w:val="000000"/>
        </w:rPr>
        <w:t>200</w:t>
      </w:r>
      <w:r w:rsidR="00A10AF8">
        <w:rPr>
          <w:color w:val="000000"/>
        </w:rPr>
        <w:t>40926</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CE1C07">
        <w:rPr>
          <w:caps/>
          <w:color w:val="000000"/>
        </w:rPr>
        <w:t>0802</w:t>
      </w:r>
      <w:r w:rsidRPr="001F29F9">
        <w:rPr>
          <w:caps/>
          <w:color w:val="000000"/>
        </w:rPr>
        <w:t xml:space="preserve">         </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t>
      </w:r>
      <w:r w:rsidRPr="00DE311E">
        <w:rPr>
          <w:color w:val="000000"/>
        </w:rPr>
        <w:t xml:space="preserve">was a </w:t>
      </w:r>
      <w:r w:rsidR="00A70270" w:rsidRPr="00DE311E">
        <w:rPr>
          <w:color w:val="000000"/>
        </w:rPr>
        <w:t xml:space="preserve">Reserve </w:t>
      </w:r>
      <w:r w:rsidR="00542022" w:rsidRPr="00DE311E">
        <w:rPr>
          <w:color w:val="000000"/>
        </w:rPr>
        <w:t>member</w:t>
      </w:r>
      <w:r w:rsidRPr="00DE311E">
        <w:rPr>
          <w:color w:val="000000"/>
        </w:rPr>
        <w:t xml:space="preserve">, </w:t>
      </w:r>
      <w:r w:rsidR="00A70270" w:rsidRPr="00DE311E">
        <w:rPr>
          <w:color w:val="000000"/>
        </w:rPr>
        <w:t>SGT/E-5</w:t>
      </w:r>
      <w:r w:rsidRPr="00DE311E">
        <w:rPr>
          <w:color w:val="000000"/>
        </w:rPr>
        <w:t xml:space="preserve"> (</w:t>
      </w:r>
      <w:r w:rsidR="00A10AF8" w:rsidRPr="00DE311E">
        <w:rPr>
          <w:color w:val="000000"/>
          <w:szCs w:val="24"/>
        </w:rPr>
        <w:t>31U, Signal Support</w:t>
      </w:r>
      <w:r w:rsidR="00A70270" w:rsidRPr="00DE311E">
        <w:rPr>
          <w:color w:val="000000"/>
        </w:rPr>
        <w:t>)</w:t>
      </w:r>
      <w:r w:rsidR="00565636" w:rsidRPr="00DE311E">
        <w:rPr>
          <w:color w:val="000000"/>
        </w:rPr>
        <w:t>,</w:t>
      </w:r>
      <w:r w:rsidR="00A70270" w:rsidRPr="00DE311E">
        <w:rPr>
          <w:color w:val="000000"/>
        </w:rPr>
        <w:t xml:space="preserve"> </w:t>
      </w:r>
      <w:r w:rsidRPr="00DE311E">
        <w:rPr>
          <w:color w:val="000000"/>
        </w:rPr>
        <w:t xml:space="preserve">medically separated for </w:t>
      </w:r>
      <w:r w:rsidR="00261B7E" w:rsidRPr="00DE311E">
        <w:rPr>
          <w:color w:val="000000"/>
        </w:rPr>
        <w:t xml:space="preserve">a </w:t>
      </w:r>
      <w:r w:rsidR="00A10AF8" w:rsidRPr="00DE311E">
        <w:rPr>
          <w:color w:val="000000"/>
        </w:rPr>
        <w:t>right wrist</w:t>
      </w:r>
      <w:r w:rsidRPr="00DE311E">
        <w:rPr>
          <w:color w:val="000000"/>
        </w:rPr>
        <w:t xml:space="preserve"> </w:t>
      </w:r>
      <w:r w:rsidR="00261B7E" w:rsidRPr="00DE311E">
        <w:rPr>
          <w:color w:val="000000"/>
        </w:rPr>
        <w:t>condition</w:t>
      </w:r>
      <w:r w:rsidRPr="00DE311E">
        <w:rPr>
          <w:color w:val="000000"/>
        </w:rPr>
        <w:t xml:space="preserve">. </w:t>
      </w:r>
      <w:r w:rsidR="00261B7E" w:rsidRPr="00DE311E">
        <w:rPr>
          <w:color w:val="000000"/>
        </w:rPr>
        <w:t xml:space="preserve"> </w:t>
      </w:r>
      <w:r w:rsidR="00DE311E" w:rsidRPr="00DE311E">
        <w:rPr>
          <w:color w:val="000000"/>
        </w:rPr>
        <w:t xml:space="preserve">He sustained a fracture/dislocation of his </w:t>
      </w:r>
      <w:r w:rsidR="00DE311E">
        <w:rPr>
          <w:color w:val="000000"/>
        </w:rPr>
        <w:t xml:space="preserve">(dominant) </w:t>
      </w:r>
      <w:r w:rsidR="00DE311E" w:rsidRPr="00DE311E">
        <w:rPr>
          <w:color w:val="000000"/>
        </w:rPr>
        <w:t>right wris</w:t>
      </w:r>
      <w:r w:rsidR="00CE1C07">
        <w:rPr>
          <w:color w:val="000000"/>
        </w:rPr>
        <w:t>t and forearm in Kuwait in 2003,</w:t>
      </w:r>
      <w:r w:rsidR="00DE311E" w:rsidRPr="00DE311E">
        <w:rPr>
          <w:color w:val="000000"/>
        </w:rPr>
        <w:t xml:space="preserve"> </w:t>
      </w:r>
      <w:r w:rsidR="00CE1C07">
        <w:rPr>
          <w:color w:val="000000"/>
        </w:rPr>
        <w:t>requiring surgical intervention.</w:t>
      </w:r>
      <w:r w:rsidR="00DE311E" w:rsidRPr="00DE311E">
        <w:rPr>
          <w:color w:val="000000"/>
        </w:rPr>
        <w:t xml:space="preserve"> </w:t>
      </w:r>
      <w:r w:rsidR="00CE1C07">
        <w:rPr>
          <w:color w:val="000000"/>
        </w:rPr>
        <w:t xml:space="preserve"> The condition</w:t>
      </w:r>
      <w:r w:rsidR="00F566B7" w:rsidRPr="00DE311E">
        <w:rPr>
          <w:color w:val="000000"/>
        </w:rPr>
        <w:t xml:space="preserve"> could not be adequately rehabilitated to meet the physical requirements of his Military Occupational Specialty (MOS) or satis</w:t>
      </w:r>
      <w:r w:rsidR="009C12A1" w:rsidRPr="00DE311E">
        <w:rPr>
          <w:color w:val="000000"/>
        </w:rPr>
        <w:t>fy physical fitness standards.</w:t>
      </w:r>
      <w:r w:rsidR="00F566B7" w:rsidRPr="00DE311E">
        <w:rPr>
          <w:color w:val="000000"/>
        </w:rPr>
        <w:t xml:space="preserve"> </w:t>
      </w:r>
      <w:r w:rsidR="009C12A1" w:rsidRPr="00DE311E">
        <w:rPr>
          <w:color w:val="000000"/>
        </w:rPr>
        <w:t xml:space="preserve"> He </w:t>
      </w:r>
      <w:r w:rsidR="00F566B7" w:rsidRPr="00DE311E">
        <w:rPr>
          <w:color w:val="000000"/>
        </w:rPr>
        <w:t xml:space="preserve">was </w:t>
      </w:r>
      <w:r w:rsidR="00271871" w:rsidRPr="00DE311E">
        <w:rPr>
          <w:color w:val="000000"/>
        </w:rPr>
        <w:t>consequently</w:t>
      </w:r>
      <w:r w:rsidR="009C12A1" w:rsidRPr="00DE311E">
        <w:rPr>
          <w:color w:val="000000"/>
        </w:rPr>
        <w:t xml:space="preserve"> </w:t>
      </w:r>
      <w:r w:rsidR="00F566B7" w:rsidRPr="00DE311E">
        <w:rPr>
          <w:color w:val="000000"/>
        </w:rPr>
        <w:t xml:space="preserve">issued a permanent </w:t>
      </w:r>
      <w:r w:rsidR="00A10AF8" w:rsidRPr="00DE311E">
        <w:rPr>
          <w:color w:val="000000"/>
        </w:rPr>
        <w:t>U</w:t>
      </w:r>
      <w:r w:rsidR="00F566B7" w:rsidRPr="00DE311E">
        <w:rPr>
          <w:color w:val="000000"/>
        </w:rPr>
        <w:t>3 profile and</w:t>
      </w:r>
      <w:r w:rsidR="009C12A1" w:rsidRPr="00DE311E">
        <w:rPr>
          <w:color w:val="000000"/>
        </w:rPr>
        <w:t xml:space="preserve"> </w:t>
      </w:r>
      <w:r w:rsidR="00F566B7" w:rsidRPr="00DE311E">
        <w:rPr>
          <w:color w:val="000000"/>
        </w:rPr>
        <w:t>referred for a Medical Evaluation Board (MEB).  The condition was forwarded to the Physical Evaluation Board (PEB) as medic</w:t>
      </w:r>
      <w:r w:rsidR="00CE1C07">
        <w:rPr>
          <w:color w:val="000000"/>
        </w:rPr>
        <w:t>ally unacceptable IAW AR 40-501;</w:t>
      </w:r>
      <w:r w:rsidR="00F566B7" w:rsidRPr="00DE311E">
        <w:rPr>
          <w:color w:val="000000"/>
        </w:rPr>
        <w:t xml:space="preserve"> </w:t>
      </w:r>
      <w:r w:rsidR="00CE1C07">
        <w:rPr>
          <w:color w:val="000000"/>
        </w:rPr>
        <w:t>and, n</w:t>
      </w:r>
      <w:r w:rsidR="00F566B7" w:rsidRPr="00DE311E">
        <w:rPr>
          <w:color w:val="000000"/>
        </w:rPr>
        <w:t>o other condi</w:t>
      </w:r>
      <w:r w:rsidR="00B63EAE" w:rsidRPr="00DE311E">
        <w:rPr>
          <w:color w:val="000000"/>
        </w:rPr>
        <w:t>tions were submitted by the MEB</w:t>
      </w:r>
      <w:r w:rsidR="00F566B7" w:rsidRPr="00DE311E">
        <w:rPr>
          <w:color w:val="000000"/>
        </w:rPr>
        <w:t xml:space="preserve">.  </w:t>
      </w:r>
      <w:r w:rsidRPr="00DE311E">
        <w:rPr>
          <w:color w:val="000000"/>
        </w:rPr>
        <w:t xml:space="preserve">The PEB adjudicated the </w:t>
      </w:r>
      <w:r w:rsidR="00DE311E" w:rsidRPr="00DE311E">
        <w:rPr>
          <w:color w:val="000000"/>
        </w:rPr>
        <w:t xml:space="preserve">right wrist </w:t>
      </w:r>
      <w:r w:rsidR="008530E3" w:rsidRPr="00DE311E">
        <w:rPr>
          <w:color w:val="000000"/>
        </w:rPr>
        <w:t xml:space="preserve">condition as unfitting, rated </w:t>
      </w:r>
      <w:r w:rsidRPr="00DE311E">
        <w:rPr>
          <w:color w:val="000000"/>
        </w:rPr>
        <w:t xml:space="preserve">0%, </w:t>
      </w:r>
      <w:r w:rsidR="00FA24F2" w:rsidRPr="00DE311E">
        <w:rPr>
          <w:color w:val="000000"/>
        </w:rPr>
        <w:t xml:space="preserve">referencing </w:t>
      </w:r>
      <w:r w:rsidRPr="00DE311E">
        <w:rPr>
          <w:color w:val="000000"/>
        </w:rPr>
        <w:t xml:space="preserve">the </w:t>
      </w:r>
      <w:r w:rsidR="0065689C" w:rsidRPr="00DE311E">
        <w:rPr>
          <w:color w:val="000000" w:themeColor="text1"/>
          <w:szCs w:val="24"/>
        </w:rPr>
        <w:t>US Army Physical Disability Agency (USAPDA) pain policy</w:t>
      </w:r>
      <w:r w:rsidR="0065689C" w:rsidRPr="00DE311E">
        <w:rPr>
          <w:color w:val="000000"/>
        </w:rPr>
        <w:t xml:space="preserve"> </w:t>
      </w:r>
      <w:r w:rsidR="00380601" w:rsidRPr="00DE311E">
        <w:rPr>
          <w:color w:val="000000"/>
        </w:rPr>
        <w:t xml:space="preserve">  </w:t>
      </w:r>
      <w:r w:rsidRPr="00DE311E">
        <w:rPr>
          <w:color w:val="000000"/>
        </w:rPr>
        <w:t xml:space="preserve">The CI made no appeals, and was medically separated with </w:t>
      </w:r>
      <w:r w:rsidR="00261B7E" w:rsidRPr="00DE311E">
        <w:rPr>
          <w:color w:val="000000"/>
        </w:rPr>
        <w:t>that</w:t>
      </w:r>
      <w:r w:rsidRPr="00DE311E">
        <w:rPr>
          <w:color w:val="000000"/>
        </w:rPr>
        <w:t xml:space="preserve"> disability rating.</w:t>
      </w:r>
      <w:r w:rsidR="00E438A4">
        <w:rPr>
          <w:color w:val="000000"/>
        </w:rPr>
        <w:t xml:space="preserve">  </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A10AF8">
        <w:rPr>
          <w:color w:val="000000"/>
        </w:rPr>
        <w:t xml:space="preserve">“Right wrist Osteotomy - 10%.”  </w:t>
      </w:r>
      <w:r w:rsidR="004A2728" w:rsidRPr="00F72DEB">
        <w:rPr>
          <w:rFonts w:eastAsiaTheme="minorHAnsi"/>
          <w:color w:val="000000" w:themeColor="text1"/>
          <w:szCs w:val="24"/>
        </w:rPr>
        <w:t xml:space="preserve">He does not elaborate further or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A10AF8">
        <w:rPr>
          <w:rFonts w:eastAsiaTheme="minorHAnsi"/>
          <w:color w:val="000000" w:themeColor="text1"/>
          <w:szCs w:val="24"/>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8C4830" w:rsidRPr="008C4830" w:rsidRDefault="00F14638" w:rsidP="008C4830">
      <w:pPr>
        <w:jc w:val="both"/>
        <w:rPr>
          <w:color w:val="auto"/>
        </w:rPr>
      </w:pPr>
      <w:r w:rsidRPr="006A714F">
        <w:rPr>
          <w:color w:val="auto"/>
          <w:u w:val="single"/>
        </w:rPr>
        <w:t>SCOPE OF REVIEW</w:t>
      </w:r>
      <w:r>
        <w:rPr>
          <w:color w:val="auto"/>
        </w:rPr>
        <w:t xml:space="preserve">:  </w:t>
      </w:r>
      <w:r w:rsidR="008C4830" w:rsidRPr="008C4830">
        <w:rPr>
          <w:color w:val="auto"/>
        </w:rPr>
        <w:t>The Board wishes to clarify that the scope of its review as defined in Department of Defense Instruction (DoDI)</w:t>
      </w:r>
      <w:r w:rsidR="008C4830">
        <w:rPr>
          <w:color w:val="auto"/>
        </w:rPr>
        <w:t xml:space="preserve"> </w:t>
      </w:r>
      <w:r w:rsidR="008C4830" w:rsidRPr="008C4830">
        <w:rPr>
          <w:color w:val="auto"/>
        </w:rPr>
        <w:t>6040.44 (Enclosure 3, paragraph 5.e.2) is limited to those conditions which were determined by the PEB to be specifically unfitting for continued military service; or, when requested by the CI, those condition(s) “identified but not determined to be unfitting by the PEB</w:t>
      </w:r>
      <w:r w:rsidR="005E35DB">
        <w:rPr>
          <w:color w:val="auto"/>
        </w:rPr>
        <w:t>.</w:t>
      </w:r>
      <w:r w:rsidR="008C4830" w:rsidRPr="008C4830">
        <w:rPr>
          <w:color w:val="auto"/>
        </w:rPr>
        <w:t xml:space="preserve">”  The rating for the unfitting </w:t>
      </w:r>
      <w:r w:rsidR="008C4830">
        <w:rPr>
          <w:color w:val="auto"/>
        </w:rPr>
        <w:t>right wrist</w:t>
      </w:r>
      <w:r w:rsidR="008C4830" w:rsidRPr="008C4830">
        <w:rPr>
          <w:color w:val="auto"/>
        </w:rPr>
        <w:t xml:space="preserve"> condition is addressed below; and, no additional conditions are within the DoDI 6040.44 defined purview of the Board.  Any conditions or contention not requested in this application, or otherwise outside the Board’s defined scope of review, remain eligible for future consideration by the Army Board for the Correction of Military Records </w:t>
      </w:r>
    </w:p>
    <w:p w:rsidR="008C4830" w:rsidRPr="001F29F9" w:rsidRDefault="008C4830" w:rsidP="008C4830">
      <w:pPr>
        <w:pBdr>
          <w:bottom w:val="single" w:sz="12" w:space="1" w:color="auto"/>
        </w:pBdr>
        <w:tabs>
          <w:tab w:val="left" w:pos="288"/>
          <w:tab w:val="left" w:pos="4752"/>
        </w:tabs>
        <w:jc w:val="both"/>
        <w:rPr>
          <w:color w:val="000000"/>
        </w:rPr>
      </w:pPr>
    </w:p>
    <w:p w:rsidR="008C4830" w:rsidRPr="001F29F9" w:rsidRDefault="008C4830" w:rsidP="008C4830">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538"/>
        <w:gridCol w:w="1080"/>
        <w:gridCol w:w="720"/>
        <w:gridCol w:w="2250"/>
        <w:gridCol w:w="1080"/>
        <w:gridCol w:w="720"/>
        <w:gridCol w:w="960"/>
      </w:tblGrid>
      <w:tr w:rsidR="000254B6" w:rsidRPr="000D5DBE" w:rsidTr="000254B6">
        <w:trPr>
          <w:trHeight w:val="170"/>
        </w:trPr>
        <w:tc>
          <w:tcPr>
            <w:tcW w:w="4338" w:type="dxa"/>
            <w:gridSpan w:val="3"/>
            <w:tcBorders>
              <w:right w:val="thinThickThinSmallGap" w:sz="24" w:space="0" w:color="auto"/>
            </w:tcBorders>
            <w:shd w:val="clear" w:color="auto" w:fill="D9D9D9"/>
            <w:vAlign w:val="center"/>
          </w:tcPr>
          <w:p w:rsidR="000254B6" w:rsidRPr="00C66E28" w:rsidRDefault="000254B6" w:rsidP="000254B6">
            <w:pPr>
              <w:contextualSpacing/>
              <w:rPr>
                <w:rFonts w:eastAsia="Calibri"/>
                <w:b/>
                <w:color w:val="000000"/>
                <w:sz w:val="18"/>
                <w:szCs w:val="18"/>
              </w:rPr>
            </w:pPr>
            <w:r w:rsidRPr="00C66E28">
              <w:rPr>
                <w:rFonts w:eastAsia="Calibri"/>
                <w:b/>
                <w:color w:val="000000"/>
                <w:sz w:val="18"/>
                <w:szCs w:val="18"/>
              </w:rPr>
              <w:t>Service PEB – Dated 200</w:t>
            </w:r>
            <w:r>
              <w:rPr>
                <w:rFonts w:eastAsia="Calibri"/>
                <w:b/>
                <w:color w:val="000000"/>
                <w:sz w:val="18"/>
                <w:szCs w:val="18"/>
              </w:rPr>
              <w:t>40804</w:t>
            </w:r>
          </w:p>
        </w:tc>
        <w:tc>
          <w:tcPr>
            <w:tcW w:w="5010" w:type="dxa"/>
            <w:gridSpan w:val="4"/>
            <w:tcBorders>
              <w:left w:val="thinThickThinSmallGap" w:sz="24" w:space="0" w:color="auto"/>
            </w:tcBorders>
            <w:shd w:val="clear" w:color="auto" w:fill="D9D9D9"/>
            <w:vAlign w:val="center"/>
          </w:tcPr>
          <w:p w:rsidR="000254B6" w:rsidRPr="00C66E28" w:rsidRDefault="000254B6" w:rsidP="000254B6">
            <w:pPr>
              <w:contextualSpacing/>
              <w:rPr>
                <w:rFonts w:eastAsia="Calibri"/>
                <w:b/>
                <w:color w:val="000000"/>
                <w:sz w:val="18"/>
                <w:szCs w:val="18"/>
              </w:rPr>
            </w:pPr>
            <w:r w:rsidRPr="00C66E28">
              <w:rPr>
                <w:rFonts w:eastAsia="Calibri"/>
                <w:b/>
                <w:color w:val="000000"/>
                <w:sz w:val="18"/>
                <w:szCs w:val="18"/>
              </w:rPr>
              <w:t>VA (</w:t>
            </w:r>
            <w:r>
              <w:rPr>
                <w:rFonts w:eastAsia="Calibri"/>
                <w:b/>
                <w:color w:val="000000"/>
                <w:sz w:val="18"/>
                <w:szCs w:val="18"/>
              </w:rPr>
              <w:t>4</w:t>
            </w:r>
            <w:r w:rsidRPr="00C66E28">
              <w:rPr>
                <w:rFonts w:eastAsia="Calibri"/>
                <w:b/>
                <w:color w:val="000000"/>
                <w:sz w:val="18"/>
                <w:szCs w:val="18"/>
              </w:rPr>
              <w:t xml:space="preserve"> </w:t>
            </w:r>
            <w:r w:rsidRPr="00527E70">
              <w:rPr>
                <w:rFonts w:eastAsia="Calibri"/>
                <w:b/>
                <w:color w:val="000000"/>
                <w:sz w:val="18"/>
                <w:szCs w:val="18"/>
              </w:rPr>
              <w:t>Mo. Pre Separation</w:t>
            </w:r>
            <w:r w:rsidRPr="00C66E28">
              <w:rPr>
                <w:rFonts w:eastAsia="Calibri"/>
                <w:b/>
                <w:color w:val="000000"/>
                <w:sz w:val="18"/>
                <w:szCs w:val="18"/>
              </w:rPr>
              <w:t>) – All Effective 200</w:t>
            </w:r>
            <w:r>
              <w:rPr>
                <w:rFonts w:eastAsia="Calibri"/>
                <w:b/>
                <w:color w:val="000000"/>
                <w:sz w:val="18"/>
                <w:szCs w:val="18"/>
              </w:rPr>
              <w:t>40927</w:t>
            </w:r>
          </w:p>
        </w:tc>
      </w:tr>
      <w:tr w:rsidR="00261B7E" w:rsidRPr="000D5DBE" w:rsidTr="000254B6">
        <w:trPr>
          <w:trHeight w:val="97"/>
        </w:trPr>
        <w:tc>
          <w:tcPr>
            <w:tcW w:w="2538" w:type="dxa"/>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2250" w:type="dxa"/>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0254B6" w:rsidRPr="000D5DBE" w:rsidTr="000254B6">
        <w:trPr>
          <w:trHeight w:val="118"/>
        </w:trPr>
        <w:tc>
          <w:tcPr>
            <w:tcW w:w="2538" w:type="dxa"/>
            <w:tcBorders>
              <w:right w:val="single" w:sz="4" w:space="0" w:color="auto"/>
            </w:tcBorders>
            <w:shd w:val="clear" w:color="auto" w:fill="FFFFFF"/>
            <w:vAlign w:val="center"/>
          </w:tcPr>
          <w:p w:rsidR="000254B6" w:rsidRPr="00C66E28" w:rsidRDefault="000254B6" w:rsidP="008C4830">
            <w:pPr>
              <w:spacing w:line="220" w:lineRule="exact"/>
              <w:contextualSpacing/>
              <w:jc w:val="left"/>
              <w:rPr>
                <w:color w:val="000000"/>
                <w:sz w:val="18"/>
                <w:szCs w:val="18"/>
              </w:rPr>
            </w:pPr>
            <w:r>
              <w:rPr>
                <w:rFonts w:eastAsia="Calibri"/>
                <w:color w:val="000000"/>
                <w:sz w:val="18"/>
                <w:szCs w:val="18"/>
              </w:rPr>
              <w:t>Right Wrist (Surgical Residuals)</w:t>
            </w:r>
          </w:p>
        </w:tc>
        <w:tc>
          <w:tcPr>
            <w:tcW w:w="1080" w:type="dxa"/>
            <w:tcBorders>
              <w:left w:val="single" w:sz="4" w:space="0" w:color="auto"/>
            </w:tcBorders>
            <w:shd w:val="clear" w:color="auto" w:fill="FFFFFF"/>
            <w:vAlign w:val="center"/>
          </w:tcPr>
          <w:p w:rsidR="000254B6" w:rsidRPr="00C66E28" w:rsidRDefault="000254B6" w:rsidP="008C4830">
            <w:pPr>
              <w:spacing w:line="220" w:lineRule="exact"/>
              <w:contextualSpacing/>
              <w:rPr>
                <w:color w:val="000000"/>
                <w:sz w:val="18"/>
                <w:szCs w:val="18"/>
              </w:rPr>
            </w:pPr>
            <w:r>
              <w:rPr>
                <w:rFonts w:eastAsia="Calibri"/>
                <w:color w:val="000000"/>
                <w:sz w:val="18"/>
                <w:szCs w:val="18"/>
              </w:rPr>
              <w:t>5099-5003</w:t>
            </w:r>
          </w:p>
        </w:tc>
        <w:tc>
          <w:tcPr>
            <w:tcW w:w="720" w:type="dxa"/>
            <w:tcBorders>
              <w:right w:val="thinThickThinSmallGap" w:sz="24" w:space="0" w:color="auto"/>
            </w:tcBorders>
            <w:shd w:val="clear" w:color="auto" w:fill="FFFFFF"/>
            <w:vAlign w:val="center"/>
          </w:tcPr>
          <w:p w:rsidR="000254B6" w:rsidRPr="00C66E28" w:rsidRDefault="000254B6" w:rsidP="008C4830">
            <w:pPr>
              <w:spacing w:line="220" w:lineRule="exact"/>
              <w:rPr>
                <w:color w:val="000000"/>
                <w:sz w:val="18"/>
                <w:szCs w:val="18"/>
              </w:rPr>
            </w:pPr>
            <w:r>
              <w:rPr>
                <w:rFonts w:eastAsia="Calibri"/>
                <w:color w:val="000000"/>
                <w:sz w:val="18"/>
                <w:szCs w:val="18"/>
              </w:rPr>
              <w:t>0%</w:t>
            </w:r>
          </w:p>
        </w:tc>
        <w:tc>
          <w:tcPr>
            <w:tcW w:w="2250" w:type="dxa"/>
            <w:tcBorders>
              <w:left w:val="thinThickThinSmallGap" w:sz="24" w:space="0" w:color="auto"/>
            </w:tcBorders>
            <w:shd w:val="clear" w:color="auto" w:fill="FFFFFF"/>
            <w:vAlign w:val="center"/>
          </w:tcPr>
          <w:p w:rsidR="000254B6" w:rsidRPr="00C66E28" w:rsidRDefault="000254B6" w:rsidP="008C4830">
            <w:pPr>
              <w:spacing w:line="220" w:lineRule="exact"/>
              <w:contextualSpacing/>
              <w:jc w:val="left"/>
              <w:rPr>
                <w:color w:val="000000"/>
                <w:sz w:val="18"/>
                <w:szCs w:val="18"/>
              </w:rPr>
            </w:pPr>
            <w:r>
              <w:rPr>
                <w:rFonts w:eastAsia="Calibri"/>
                <w:color w:val="000000"/>
                <w:sz w:val="18"/>
                <w:szCs w:val="18"/>
              </w:rPr>
              <w:t>Right Wrist Osteotomy</w:t>
            </w:r>
          </w:p>
        </w:tc>
        <w:tc>
          <w:tcPr>
            <w:tcW w:w="1080" w:type="dxa"/>
            <w:shd w:val="clear" w:color="auto" w:fill="FFFFFF"/>
            <w:vAlign w:val="center"/>
          </w:tcPr>
          <w:p w:rsidR="000254B6" w:rsidRPr="00C66E28" w:rsidRDefault="000254B6" w:rsidP="008C4830">
            <w:pPr>
              <w:spacing w:line="220" w:lineRule="exact"/>
              <w:contextualSpacing/>
              <w:rPr>
                <w:color w:val="000000"/>
                <w:sz w:val="18"/>
                <w:szCs w:val="18"/>
              </w:rPr>
            </w:pPr>
            <w:r>
              <w:rPr>
                <w:rFonts w:eastAsia="Calibri"/>
                <w:color w:val="000000"/>
                <w:sz w:val="18"/>
                <w:szCs w:val="18"/>
              </w:rPr>
              <w:t>5215</w:t>
            </w:r>
          </w:p>
        </w:tc>
        <w:tc>
          <w:tcPr>
            <w:tcW w:w="720" w:type="dxa"/>
            <w:shd w:val="clear" w:color="auto" w:fill="FFFFFF"/>
            <w:vAlign w:val="center"/>
          </w:tcPr>
          <w:p w:rsidR="000254B6" w:rsidRPr="00C66E28" w:rsidRDefault="000254B6" w:rsidP="008C4830">
            <w:pPr>
              <w:spacing w:line="220" w:lineRule="exact"/>
              <w:contextualSpacing/>
              <w:rPr>
                <w:color w:val="000000"/>
                <w:sz w:val="18"/>
                <w:szCs w:val="18"/>
              </w:rPr>
            </w:pPr>
            <w:r>
              <w:rPr>
                <w:rFonts w:eastAsia="Calibri"/>
                <w:color w:val="000000"/>
                <w:sz w:val="18"/>
                <w:szCs w:val="18"/>
              </w:rPr>
              <w:t>10%</w:t>
            </w:r>
          </w:p>
        </w:tc>
        <w:tc>
          <w:tcPr>
            <w:tcW w:w="960" w:type="dxa"/>
            <w:shd w:val="clear" w:color="auto" w:fill="FFFFFF"/>
            <w:vAlign w:val="center"/>
          </w:tcPr>
          <w:p w:rsidR="000254B6" w:rsidRPr="00C66E28" w:rsidRDefault="000254B6" w:rsidP="008C4830">
            <w:pPr>
              <w:spacing w:line="22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40521</w:t>
            </w:r>
          </w:p>
        </w:tc>
      </w:tr>
      <w:tr w:rsidR="008C4830" w:rsidRPr="000D5DBE" w:rsidTr="00B62708">
        <w:trPr>
          <w:trHeight w:val="97"/>
        </w:trPr>
        <w:tc>
          <w:tcPr>
            <w:tcW w:w="4338" w:type="dxa"/>
            <w:gridSpan w:val="3"/>
            <w:vMerge w:val="restart"/>
            <w:tcBorders>
              <w:right w:val="thinThickThinSmallGap" w:sz="24" w:space="0" w:color="auto"/>
            </w:tcBorders>
            <w:shd w:val="clear" w:color="auto" w:fill="FFFFFF"/>
            <w:vAlign w:val="center"/>
          </w:tcPr>
          <w:p w:rsidR="008C4830" w:rsidRPr="00D8352E" w:rsidRDefault="008C4830" w:rsidP="008C4830">
            <w:pPr>
              <w:spacing w:line="220" w:lineRule="exact"/>
              <w:contextualSpacing/>
              <w:rPr>
                <w:rFonts w:cs="Calibri"/>
                <w:color w:val="000000"/>
                <w:sz w:val="18"/>
              </w:rPr>
            </w:pPr>
            <w:r w:rsidRPr="00C66E28">
              <w:rPr>
                <w:rFonts w:eastAsia="Calibri"/>
                <w:color w:val="000000"/>
                <w:sz w:val="18"/>
                <w:szCs w:val="18"/>
              </w:rPr>
              <w:t>No Additional MEB/PEB Entries</w:t>
            </w:r>
          </w:p>
        </w:tc>
        <w:tc>
          <w:tcPr>
            <w:tcW w:w="2250" w:type="dxa"/>
            <w:tcBorders>
              <w:left w:val="thinThickThinSmallGap" w:sz="24" w:space="0" w:color="auto"/>
              <w:right w:val="single" w:sz="4" w:space="0" w:color="auto"/>
            </w:tcBorders>
            <w:shd w:val="clear" w:color="auto" w:fill="FFFFFF"/>
            <w:vAlign w:val="center"/>
          </w:tcPr>
          <w:p w:rsidR="008C4830" w:rsidRPr="00C66E28" w:rsidRDefault="008C4830" w:rsidP="008C4830">
            <w:pPr>
              <w:spacing w:line="220" w:lineRule="exact"/>
              <w:contextualSpacing/>
              <w:jc w:val="left"/>
              <w:rPr>
                <w:color w:val="000000"/>
                <w:sz w:val="18"/>
                <w:szCs w:val="18"/>
              </w:rPr>
            </w:pPr>
            <w:r>
              <w:rPr>
                <w:rFonts w:eastAsia="Calibri"/>
                <w:color w:val="000000"/>
                <w:sz w:val="18"/>
                <w:szCs w:val="18"/>
              </w:rPr>
              <w:t>Acid Reflux Disease</w:t>
            </w:r>
          </w:p>
        </w:tc>
        <w:tc>
          <w:tcPr>
            <w:tcW w:w="1080" w:type="dxa"/>
            <w:tcBorders>
              <w:left w:val="single" w:sz="4" w:space="0" w:color="auto"/>
            </w:tcBorders>
            <w:shd w:val="clear" w:color="auto" w:fill="FFFFFF"/>
            <w:vAlign w:val="center"/>
          </w:tcPr>
          <w:p w:rsidR="008C4830" w:rsidRPr="00C66E28" w:rsidRDefault="008C4830" w:rsidP="008C4830">
            <w:pPr>
              <w:spacing w:line="220" w:lineRule="exact"/>
              <w:contextualSpacing/>
              <w:rPr>
                <w:color w:val="000000"/>
                <w:sz w:val="18"/>
                <w:szCs w:val="18"/>
              </w:rPr>
            </w:pPr>
            <w:r>
              <w:rPr>
                <w:rFonts w:eastAsia="Calibri"/>
                <w:color w:val="000000"/>
                <w:sz w:val="18"/>
                <w:szCs w:val="18"/>
              </w:rPr>
              <w:t>7399-7346</w:t>
            </w:r>
          </w:p>
        </w:tc>
        <w:tc>
          <w:tcPr>
            <w:tcW w:w="720" w:type="dxa"/>
            <w:shd w:val="clear" w:color="auto" w:fill="FFFFFF"/>
            <w:vAlign w:val="center"/>
          </w:tcPr>
          <w:p w:rsidR="008C4830" w:rsidRPr="00C66E28" w:rsidRDefault="008C4830" w:rsidP="008C4830">
            <w:pPr>
              <w:spacing w:line="220" w:lineRule="exact"/>
              <w:contextualSpacing/>
              <w:rPr>
                <w:color w:val="000000"/>
                <w:sz w:val="18"/>
                <w:szCs w:val="18"/>
              </w:rPr>
            </w:pPr>
            <w:r>
              <w:rPr>
                <w:rFonts w:eastAsia="Calibri"/>
                <w:color w:val="000000"/>
                <w:sz w:val="18"/>
                <w:szCs w:val="18"/>
              </w:rPr>
              <w:t>10%</w:t>
            </w:r>
          </w:p>
        </w:tc>
        <w:tc>
          <w:tcPr>
            <w:tcW w:w="960" w:type="dxa"/>
            <w:shd w:val="clear" w:color="auto" w:fill="FFFFFF"/>
            <w:vAlign w:val="center"/>
          </w:tcPr>
          <w:p w:rsidR="008C4830" w:rsidRPr="00C66E28" w:rsidRDefault="008C4830" w:rsidP="008C4830">
            <w:pPr>
              <w:spacing w:line="220" w:lineRule="exact"/>
              <w:contextualSpacing/>
              <w:rPr>
                <w:color w:val="000000"/>
                <w:sz w:val="18"/>
                <w:szCs w:val="18"/>
              </w:rPr>
            </w:pPr>
            <w:r>
              <w:rPr>
                <w:rFonts w:eastAsia="Calibri"/>
                <w:color w:val="000000"/>
                <w:sz w:val="18"/>
                <w:szCs w:val="18"/>
              </w:rPr>
              <w:t>STR</w:t>
            </w:r>
          </w:p>
        </w:tc>
      </w:tr>
      <w:tr w:rsidR="008C4830" w:rsidRPr="000D5DBE" w:rsidTr="00F3184E">
        <w:trPr>
          <w:trHeight w:val="97"/>
        </w:trPr>
        <w:tc>
          <w:tcPr>
            <w:tcW w:w="4338" w:type="dxa"/>
            <w:gridSpan w:val="3"/>
            <w:vMerge/>
            <w:tcBorders>
              <w:right w:val="thinThickThinSmallGap" w:sz="24" w:space="0" w:color="auto"/>
            </w:tcBorders>
            <w:shd w:val="clear" w:color="auto" w:fill="FFFFFF"/>
            <w:vAlign w:val="center"/>
          </w:tcPr>
          <w:p w:rsidR="008C4830" w:rsidRPr="00D8352E" w:rsidRDefault="008C4830" w:rsidP="008C4830">
            <w:pPr>
              <w:spacing w:line="220" w:lineRule="exact"/>
              <w:contextualSpacing/>
              <w:rPr>
                <w:color w:val="000000"/>
                <w:sz w:val="18"/>
              </w:rPr>
            </w:pPr>
          </w:p>
        </w:tc>
        <w:tc>
          <w:tcPr>
            <w:tcW w:w="2250" w:type="dxa"/>
            <w:tcBorders>
              <w:left w:val="thinThickThinSmallGap" w:sz="24" w:space="0" w:color="auto"/>
              <w:right w:val="single" w:sz="4" w:space="0" w:color="auto"/>
            </w:tcBorders>
            <w:shd w:val="clear" w:color="auto" w:fill="FFFFFF"/>
            <w:vAlign w:val="center"/>
          </w:tcPr>
          <w:p w:rsidR="008C4830" w:rsidRPr="00C66E28" w:rsidRDefault="008C4830" w:rsidP="008C4830">
            <w:pPr>
              <w:spacing w:line="220" w:lineRule="exact"/>
              <w:contextualSpacing/>
              <w:jc w:val="left"/>
              <w:rPr>
                <w:color w:val="000000"/>
                <w:sz w:val="18"/>
                <w:szCs w:val="18"/>
              </w:rPr>
            </w:pPr>
            <w:r>
              <w:rPr>
                <w:color w:val="000000"/>
                <w:sz w:val="18"/>
                <w:szCs w:val="18"/>
              </w:rPr>
              <w:t>Acne Keloids, Scalp</w:t>
            </w:r>
          </w:p>
        </w:tc>
        <w:tc>
          <w:tcPr>
            <w:tcW w:w="1080" w:type="dxa"/>
            <w:tcBorders>
              <w:left w:val="single" w:sz="4" w:space="0" w:color="auto"/>
            </w:tcBorders>
            <w:shd w:val="clear" w:color="auto" w:fill="FFFFFF"/>
            <w:vAlign w:val="center"/>
          </w:tcPr>
          <w:p w:rsidR="008C4830" w:rsidRPr="00C66E28" w:rsidRDefault="008C4830" w:rsidP="008C4830">
            <w:pPr>
              <w:spacing w:line="220" w:lineRule="exact"/>
              <w:contextualSpacing/>
              <w:rPr>
                <w:color w:val="000000"/>
                <w:sz w:val="18"/>
                <w:szCs w:val="18"/>
              </w:rPr>
            </w:pPr>
            <w:r>
              <w:rPr>
                <w:color w:val="000000"/>
                <w:sz w:val="18"/>
                <w:szCs w:val="18"/>
              </w:rPr>
              <w:t>7800</w:t>
            </w:r>
          </w:p>
        </w:tc>
        <w:tc>
          <w:tcPr>
            <w:tcW w:w="720" w:type="dxa"/>
            <w:shd w:val="clear" w:color="auto" w:fill="FFFFFF"/>
            <w:vAlign w:val="center"/>
          </w:tcPr>
          <w:p w:rsidR="008C4830" w:rsidRPr="00C66E28" w:rsidRDefault="008C4830" w:rsidP="008C4830">
            <w:pPr>
              <w:spacing w:line="220" w:lineRule="exact"/>
              <w:contextualSpacing/>
              <w:rPr>
                <w:color w:val="000000"/>
                <w:sz w:val="18"/>
                <w:szCs w:val="18"/>
              </w:rPr>
            </w:pPr>
            <w:r>
              <w:rPr>
                <w:color w:val="000000"/>
                <w:sz w:val="18"/>
                <w:szCs w:val="18"/>
              </w:rPr>
              <w:t>10%</w:t>
            </w:r>
          </w:p>
        </w:tc>
        <w:tc>
          <w:tcPr>
            <w:tcW w:w="960" w:type="dxa"/>
            <w:shd w:val="clear" w:color="auto" w:fill="FFFFFF"/>
            <w:vAlign w:val="center"/>
          </w:tcPr>
          <w:p w:rsidR="008C4830" w:rsidRPr="00527E70" w:rsidRDefault="008C4830" w:rsidP="008C4830">
            <w:pPr>
              <w:spacing w:line="220" w:lineRule="exact"/>
              <w:contextualSpacing/>
              <w:rPr>
                <w:color w:val="000000"/>
                <w:sz w:val="18"/>
                <w:szCs w:val="18"/>
              </w:rPr>
            </w:pPr>
            <w:r w:rsidRPr="00527E70">
              <w:rPr>
                <w:color w:val="000000"/>
                <w:sz w:val="18"/>
                <w:szCs w:val="18"/>
              </w:rPr>
              <w:t>20040521</w:t>
            </w:r>
          </w:p>
        </w:tc>
      </w:tr>
      <w:tr w:rsidR="008C4830" w:rsidRPr="000D5DBE" w:rsidTr="00F3184E">
        <w:trPr>
          <w:trHeight w:val="172"/>
        </w:trPr>
        <w:tc>
          <w:tcPr>
            <w:tcW w:w="4338" w:type="dxa"/>
            <w:gridSpan w:val="3"/>
            <w:vMerge/>
            <w:tcBorders>
              <w:right w:val="thinThickThinSmallGap" w:sz="24" w:space="0" w:color="auto"/>
            </w:tcBorders>
            <w:shd w:val="clear" w:color="auto" w:fill="FFFFFF"/>
            <w:vAlign w:val="center"/>
          </w:tcPr>
          <w:p w:rsidR="008C4830" w:rsidRPr="001F29F9" w:rsidRDefault="008C4830" w:rsidP="008C4830">
            <w:pPr>
              <w:spacing w:line="220" w:lineRule="exact"/>
              <w:contextualSpacing/>
              <w:rPr>
                <w:rFonts w:cs="Calibri"/>
                <w:color w:val="000000"/>
                <w:sz w:val="18"/>
              </w:rPr>
            </w:pPr>
          </w:p>
        </w:tc>
        <w:tc>
          <w:tcPr>
            <w:tcW w:w="4050" w:type="dxa"/>
            <w:gridSpan w:val="3"/>
            <w:tcBorders>
              <w:left w:val="thinThickThinSmallGap" w:sz="24" w:space="0" w:color="auto"/>
            </w:tcBorders>
            <w:shd w:val="clear" w:color="auto" w:fill="FFFFFF"/>
            <w:vAlign w:val="center"/>
          </w:tcPr>
          <w:p w:rsidR="008C4830" w:rsidRPr="001F29F9" w:rsidRDefault="008C4830" w:rsidP="008C4830">
            <w:pPr>
              <w:spacing w:line="220" w:lineRule="exact"/>
              <w:contextualSpacing/>
              <w:rPr>
                <w:rFonts w:cs="Calibri"/>
                <w:color w:val="000000"/>
                <w:sz w:val="18"/>
              </w:rPr>
            </w:pPr>
            <w:r>
              <w:rPr>
                <w:color w:val="000000"/>
                <w:sz w:val="18"/>
              </w:rPr>
              <w:t xml:space="preserve">0% X 1 </w:t>
            </w:r>
            <w:r w:rsidRPr="000D5DBE">
              <w:rPr>
                <w:color w:val="000000"/>
                <w:sz w:val="18"/>
              </w:rPr>
              <w:t>/</w:t>
            </w:r>
            <w:r>
              <w:rPr>
                <w:color w:val="000000"/>
                <w:sz w:val="18"/>
              </w:rPr>
              <w:t xml:space="preserve"> </w:t>
            </w:r>
            <w:r w:rsidR="005E35DB">
              <w:rPr>
                <w:color w:val="000000"/>
                <w:sz w:val="18"/>
              </w:rPr>
              <w:t>Not Service-</w:t>
            </w:r>
            <w:r w:rsidRPr="000D5DBE">
              <w:rPr>
                <w:color w:val="000000"/>
                <w:sz w:val="18"/>
              </w:rPr>
              <w:t xml:space="preserve">Connected x </w:t>
            </w:r>
            <w:r>
              <w:rPr>
                <w:color w:val="000000"/>
                <w:sz w:val="18"/>
              </w:rPr>
              <w:t>3</w:t>
            </w:r>
          </w:p>
        </w:tc>
        <w:tc>
          <w:tcPr>
            <w:tcW w:w="960" w:type="dxa"/>
            <w:shd w:val="clear" w:color="auto" w:fill="FFFFFF"/>
            <w:vAlign w:val="center"/>
          </w:tcPr>
          <w:p w:rsidR="008C4830" w:rsidRPr="001F29F9" w:rsidRDefault="008C4830" w:rsidP="008C4830">
            <w:pPr>
              <w:spacing w:line="220" w:lineRule="exact"/>
              <w:contextualSpacing/>
              <w:rPr>
                <w:rFonts w:cs="Calibri"/>
                <w:color w:val="000000"/>
                <w:sz w:val="18"/>
              </w:rPr>
            </w:pPr>
            <w:r w:rsidRPr="00527E70">
              <w:rPr>
                <w:color w:val="000000"/>
                <w:sz w:val="18"/>
                <w:szCs w:val="18"/>
              </w:rPr>
              <w:t>20040521</w:t>
            </w:r>
          </w:p>
        </w:tc>
      </w:tr>
      <w:tr w:rsidR="00AD2379" w:rsidRPr="000D5DBE" w:rsidTr="000254B6">
        <w:trPr>
          <w:trHeight w:val="124"/>
        </w:trPr>
        <w:tc>
          <w:tcPr>
            <w:tcW w:w="4338" w:type="dxa"/>
            <w:gridSpan w:val="3"/>
            <w:tcBorders>
              <w:right w:val="thinThickThinSmallGap" w:sz="24" w:space="0" w:color="auto"/>
            </w:tcBorders>
            <w:shd w:val="clear" w:color="auto" w:fill="D9D9D9"/>
          </w:tcPr>
          <w:p w:rsidR="00AD2379" w:rsidRPr="000D5DBE" w:rsidRDefault="000254B6" w:rsidP="001968BB">
            <w:pPr>
              <w:contextualSpacing/>
              <w:rPr>
                <w:rFonts w:cs="Calibri"/>
                <w:b/>
                <w:color w:val="000000"/>
                <w:sz w:val="18"/>
              </w:rPr>
            </w:pPr>
            <w:r>
              <w:rPr>
                <w:b/>
                <w:color w:val="000000"/>
                <w:sz w:val="18"/>
              </w:rPr>
              <w:t xml:space="preserve">Combined:  </w:t>
            </w:r>
            <w:r w:rsidR="00AD2379" w:rsidRPr="000D5DBE">
              <w:rPr>
                <w:b/>
                <w:color w:val="000000"/>
                <w:sz w:val="18"/>
              </w:rPr>
              <w:t>0%</w:t>
            </w:r>
          </w:p>
        </w:tc>
        <w:tc>
          <w:tcPr>
            <w:tcW w:w="5010" w:type="dxa"/>
            <w:gridSpan w:val="4"/>
            <w:tcBorders>
              <w:left w:val="thinThickThinSmallGap" w:sz="24" w:space="0" w:color="auto"/>
            </w:tcBorders>
            <w:shd w:val="clear" w:color="auto" w:fill="D9D9D9"/>
          </w:tcPr>
          <w:p w:rsidR="00AD2379" w:rsidRPr="000D5DBE" w:rsidRDefault="000254B6" w:rsidP="001968BB">
            <w:pPr>
              <w:contextualSpacing/>
              <w:rPr>
                <w:rFonts w:cs="Calibri"/>
                <w:b/>
                <w:color w:val="000000"/>
                <w:sz w:val="18"/>
              </w:rPr>
            </w:pPr>
            <w:r>
              <w:rPr>
                <w:b/>
                <w:color w:val="000000"/>
                <w:sz w:val="18"/>
              </w:rPr>
              <w:t>Combined:  3</w:t>
            </w:r>
            <w:r w:rsidR="00AD2379" w:rsidRPr="000D5DBE">
              <w:rPr>
                <w:b/>
                <w:color w:val="000000"/>
                <w:sz w:val="18"/>
              </w:rPr>
              <w:t>0%</w:t>
            </w:r>
          </w:p>
        </w:tc>
      </w:tr>
    </w:tbl>
    <w:p w:rsidR="004B21BA" w:rsidRDefault="004B21BA">
      <w:pPr>
        <w:spacing w:line="240" w:lineRule="auto"/>
        <w:jc w:val="left"/>
        <w:rPr>
          <w:color w:val="000000"/>
        </w:rPr>
      </w:pPr>
    </w:p>
    <w:p w:rsidR="005E35DB" w:rsidRDefault="005E35DB">
      <w:pPr>
        <w:spacing w:line="240" w:lineRule="auto"/>
        <w:jc w:val="left"/>
        <w:rPr>
          <w:color w:val="000000"/>
        </w:rPr>
      </w:pPr>
    </w:p>
    <w:p w:rsidR="005E35DB" w:rsidRDefault="005E35DB">
      <w:pPr>
        <w:spacing w:line="240" w:lineRule="auto"/>
        <w:jc w:val="left"/>
        <w:rPr>
          <w:color w:val="000000"/>
        </w:rPr>
      </w:pPr>
    </w:p>
    <w:p w:rsidR="005E35DB" w:rsidRDefault="005E35DB">
      <w:pPr>
        <w:spacing w:line="240" w:lineRule="auto"/>
        <w:jc w:val="left"/>
        <w:rPr>
          <w:color w:val="000000"/>
        </w:rPr>
      </w:pPr>
    </w:p>
    <w:p w:rsidR="00172D70" w:rsidRDefault="00172D70">
      <w:pPr>
        <w:spacing w:line="240" w:lineRule="auto"/>
        <w:jc w:val="left"/>
        <w:rPr>
          <w:color w:val="000000"/>
        </w:rPr>
      </w:pPr>
    </w:p>
    <w:p w:rsidR="005E35DB" w:rsidRDefault="005E35DB">
      <w:pPr>
        <w:spacing w:line="240" w:lineRule="auto"/>
        <w:jc w:val="left"/>
        <w:rPr>
          <w:color w:val="000000"/>
          <w:u w:val="single"/>
        </w:rPr>
      </w:pPr>
    </w:p>
    <w:p w:rsidR="00AD2379" w:rsidRPr="00CE1C07" w:rsidRDefault="00AD2379" w:rsidP="00CE1C07">
      <w:pPr>
        <w:spacing w:line="240" w:lineRule="auto"/>
        <w:jc w:val="left"/>
        <w:rPr>
          <w:color w:val="000000"/>
          <w:u w:val="single"/>
        </w:rPr>
      </w:pPr>
      <w:r w:rsidRPr="001F29F9">
        <w:rPr>
          <w:color w:val="000000"/>
          <w:u w:val="single"/>
        </w:rPr>
        <w:t>ANALYSIS SUMMARY</w:t>
      </w:r>
      <w:r w:rsidRPr="001F29F9">
        <w:rPr>
          <w:color w:val="000000"/>
        </w:rPr>
        <w:t>:</w:t>
      </w:r>
      <w:r>
        <w:rPr>
          <w:color w:val="000000"/>
        </w:rPr>
        <w:t xml:space="preserve"> </w:t>
      </w:r>
    </w:p>
    <w:p w:rsidR="00AD2379" w:rsidRPr="001F29F9" w:rsidRDefault="00AD2379" w:rsidP="00B22D42">
      <w:pPr>
        <w:jc w:val="both"/>
        <w:rPr>
          <w:color w:val="000000"/>
          <w:highlight w:val="yellow"/>
        </w:rPr>
      </w:pPr>
    </w:p>
    <w:p w:rsidR="00DE311E" w:rsidRDefault="00DE311E" w:rsidP="00B22D42">
      <w:pPr>
        <w:jc w:val="both"/>
        <w:rPr>
          <w:color w:val="000000"/>
        </w:rPr>
      </w:pPr>
      <w:r>
        <w:rPr>
          <w:color w:val="000000"/>
          <w:u w:val="single"/>
        </w:rPr>
        <w:t>Right Wrist</w:t>
      </w:r>
      <w:r w:rsidR="00AD2379" w:rsidRPr="009A7578">
        <w:rPr>
          <w:color w:val="000000"/>
          <w:u w:val="single"/>
        </w:rPr>
        <w:t xml:space="preserve"> Condition</w:t>
      </w:r>
      <w:r w:rsidR="00AD2379" w:rsidRPr="009A7578">
        <w:rPr>
          <w:color w:val="000000"/>
        </w:rPr>
        <w:t xml:space="preserve">. </w:t>
      </w:r>
      <w:r w:rsidR="00385708">
        <w:rPr>
          <w:color w:val="000000"/>
        </w:rPr>
        <w:t xml:space="preserve"> The </w:t>
      </w:r>
      <w:r>
        <w:rPr>
          <w:color w:val="000000"/>
        </w:rPr>
        <w:t xml:space="preserve">fracture failed to heal in a cast and the CI was redeployed; undergoing a radial osteotomy (removal of a portion of the bone) and placement of </w:t>
      </w:r>
      <w:r w:rsidR="00CE1C07">
        <w:rPr>
          <w:color w:val="000000"/>
        </w:rPr>
        <w:t>hardware</w:t>
      </w:r>
      <w:r>
        <w:rPr>
          <w:color w:val="000000"/>
        </w:rPr>
        <w:t xml:space="preserve"> in July 2003.  He responded favorably to that intervention, but functionality could not be adequately restored for continued service.  </w:t>
      </w:r>
      <w:r w:rsidR="00F644D2">
        <w:rPr>
          <w:color w:val="000000"/>
        </w:rPr>
        <w:t xml:space="preserve"> </w:t>
      </w:r>
      <w:r w:rsidR="005E35DB">
        <w:rPr>
          <w:color w:val="000000"/>
        </w:rPr>
        <w:t>Post-</w:t>
      </w:r>
      <w:r w:rsidR="00FC6C9D">
        <w:rPr>
          <w:color w:val="000000"/>
        </w:rPr>
        <w:t xml:space="preserve">operative </w:t>
      </w:r>
      <w:r w:rsidR="005E35DB">
        <w:rPr>
          <w:color w:val="000000"/>
        </w:rPr>
        <w:t>X</w:t>
      </w:r>
      <w:r w:rsidR="00FC6C9D">
        <w:rPr>
          <w:color w:val="000000"/>
        </w:rPr>
        <w:t>-ray</w:t>
      </w:r>
      <w:r w:rsidR="00CE1C07">
        <w:rPr>
          <w:color w:val="000000"/>
        </w:rPr>
        <w:t>s</w:t>
      </w:r>
      <w:r w:rsidR="00FC6C9D">
        <w:rPr>
          <w:color w:val="000000"/>
        </w:rPr>
        <w:t xml:space="preserve"> noted healed fractures, intact hardware, and “anatomical alignment</w:t>
      </w:r>
      <w:r w:rsidR="005E35DB">
        <w:rPr>
          <w:color w:val="000000"/>
        </w:rPr>
        <w:t>.</w:t>
      </w:r>
      <w:r w:rsidR="00FC6C9D">
        <w:rPr>
          <w:color w:val="000000"/>
        </w:rPr>
        <w:t xml:space="preserve">”  </w:t>
      </w:r>
      <w:r w:rsidR="00F644D2">
        <w:rPr>
          <w:color w:val="000000"/>
        </w:rPr>
        <w:t>The MEB’s narrative summary (NARSUM) noted complaint</w:t>
      </w:r>
      <w:r w:rsidR="00FC6C9D">
        <w:rPr>
          <w:color w:val="000000"/>
        </w:rPr>
        <w:t>s</w:t>
      </w:r>
      <w:r w:rsidR="00F644D2">
        <w:rPr>
          <w:color w:val="000000"/>
        </w:rPr>
        <w:t xml:space="preserve"> that the “right hand and wrist seem weaker than before</w:t>
      </w:r>
      <w:r w:rsidR="005E35DB">
        <w:rPr>
          <w:color w:val="000000"/>
        </w:rPr>
        <w:t>;</w:t>
      </w:r>
      <w:r w:rsidR="00F644D2">
        <w:rPr>
          <w:color w:val="000000"/>
        </w:rPr>
        <w:t>”</w:t>
      </w:r>
      <w:r w:rsidR="00807E42">
        <w:rPr>
          <w:color w:val="000000"/>
        </w:rPr>
        <w:t xml:space="preserve"> </w:t>
      </w:r>
      <w:r w:rsidR="00FC6C9D">
        <w:rPr>
          <w:color w:val="000000"/>
        </w:rPr>
        <w:t xml:space="preserve">of </w:t>
      </w:r>
      <w:r w:rsidR="00F644D2">
        <w:rPr>
          <w:color w:val="000000"/>
        </w:rPr>
        <w:t>“some pain in the right hand and wrist from time to time with certain exercises</w:t>
      </w:r>
      <w:r w:rsidR="005E35DB">
        <w:rPr>
          <w:color w:val="000000"/>
        </w:rPr>
        <w:t>;</w:t>
      </w:r>
      <w:r w:rsidR="00F644D2">
        <w:rPr>
          <w:color w:val="000000"/>
        </w:rPr>
        <w:t xml:space="preserve">” and </w:t>
      </w:r>
      <w:r w:rsidR="00807E42">
        <w:rPr>
          <w:color w:val="000000"/>
        </w:rPr>
        <w:t xml:space="preserve">that he </w:t>
      </w:r>
      <w:r w:rsidR="00F644D2">
        <w:rPr>
          <w:color w:val="000000"/>
        </w:rPr>
        <w:t>“has noticed obvious defects in the range of motion</w:t>
      </w:r>
      <w:r w:rsidR="005E35DB">
        <w:rPr>
          <w:color w:val="000000"/>
        </w:rPr>
        <w:t>.</w:t>
      </w:r>
      <w:r w:rsidR="00F644D2">
        <w:rPr>
          <w:color w:val="000000"/>
        </w:rPr>
        <w:t xml:space="preserve">”  The </w:t>
      </w:r>
      <w:r w:rsidR="00CE1C07">
        <w:rPr>
          <w:color w:val="000000"/>
        </w:rPr>
        <w:t>physical examination noted tenderness,</w:t>
      </w:r>
      <w:r w:rsidR="00F644D2">
        <w:rPr>
          <w:color w:val="000000"/>
        </w:rPr>
        <w:t xml:space="preserve"> “obvious deformity</w:t>
      </w:r>
      <w:r w:rsidR="005E35DB">
        <w:rPr>
          <w:color w:val="000000"/>
        </w:rPr>
        <w:t>,</w:t>
      </w:r>
      <w:r w:rsidR="00F644D2">
        <w:rPr>
          <w:color w:val="000000"/>
        </w:rPr>
        <w:t>”</w:t>
      </w:r>
      <w:r w:rsidR="00FC6C9D">
        <w:rPr>
          <w:color w:val="000000"/>
        </w:rPr>
        <w:t xml:space="preserve"> “obvious pronation and supination defects</w:t>
      </w:r>
      <w:r w:rsidR="005E35DB">
        <w:rPr>
          <w:color w:val="000000"/>
        </w:rPr>
        <w:t>,</w:t>
      </w:r>
      <w:r w:rsidR="00FC6C9D">
        <w:rPr>
          <w:color w:val="000000"/>
        </w:rPr>
        <w:t>” some light touch sensory deficits of the 3</w:t>
      </w:r>
      <w:r w:rsidR="00172D70">
        <w:rPr>
          <w:color w:val="000000"/>
        </w:rPr>
        <w:t>rd</w:t>
      </w:r>
      <w:r w:rsidR="00FC6C9D">
        <w:rPr>
          <w:color w:val="000000"/>
        </w:rPr>
        <w:t xml:space="preserve"> and 4</w:t>
      </w:r>
      <w:r w:rsidR="00172D70">
        <w:rPr>
          <w:color w:val="000000"/>
        </w:rPr>
        <w:t>th</w:t>
      </w:r>
      <w:r w:rsidR="00FC6C9D">
        <w:rPr>
          <w:color w:val="000000"/>
        </w:rPr>
        <w:t xml:space="preserve"> fingers, and a 50% reduction in grip strength.  The </w:t>
      </w:r>
      <w:r w:rsidR="00172D70">
        <w:rPr>
          <w:color w:val="000000"/>
        </w:rPr>
        <w:t xml:space="preserve">VA </w:t>
      </w:r>
      <w:r w:rsidR="00FC6C9D" w:rsidRPr="00CF0280">
        <w:rPr>
          <w:color w:val="000000"/>
          <w:szCs w:val="24"/>
        </w:rPr>
        <w:t>Compensation and Pension (C&amp;P)</w:t>
      </w:r>
      <w:r w:rsidR="00FC6C9D">
        <w:rPr>
          <w:color w:val="000000"/>
          <w:szCs w:val="24"/>
        </w:rPr>
        <w:t xml:space="preserve"> examiner</w:t>
      </w:r>
      <w:r w:rsidR="005E35DB">
        <w:rPr>
          <w:color w:val="000000"/>
          <w:szCs w:val="24"/>
        </w:rPr>
        <w:t xml:space="preserve"> </w:t>
      </w:r>
      <w:r w:rsidR="00FC6C9D">
        <w:rPr>
          <w:color w:val="000000"/>
          <w:szCs w:val="24"/>
        </w:rPr>
        <w:t xml:space="preserve">noted similar symptoms of “pain, weakness, and limited </w:t>
      </w:r>
      <w:r w:rsidR="00807E42">
        <w:rPr>
          <w:color w:val="000000"/>
        </w:rPr>
        <w:t>range of motion</w:t>
      </w:r>
      <w:r w:rsidR="005E35DB">
        <w:rPr>
          <w:color w:val="000000"/>
        </w:rPr>
        <w:t>;</w:t>
      </w:r>
      <w:r w:rsidR="00FC6C9D">
        <w:rPr>
          <w:color w:val="000000"/>
        </w:rPr>
        <w:t xml:space="preserve">” and documented, “He states his condition does not cause incapacitation.”  </w:t>
      </w:r>
      <w:r w:rsidR="00871B29">
        <w:rPr>
          <w:color w:val="000000"/>
        </w:rPr>
        <w:t xml:space="preserve">The </w:t>
      </w:r>
      <w:bookmarkStart w:id="0" w:name="_GoBack"/>
      <w:bookmarkEnd w:id="0"/>
      <w:r w:rsidR="00871B29">
        <w:rPr>
          <w:color w:val="000000"/>
        </w:rPr>
        <w:t>VA p</w:t>
      </w:r>
      <w:r w:rsidR="00807E42">
        <w:rPr>
          <w:color w:val="000000"/>
        </w:rPr>
        <w:t xml:space="preserve">hysical findings were confined to a meticulous description of the tender surgical scar, and documentation of painful motion.  The goniometric </w:t>
      </w:r>
      <w:r w:rsidR="005E35DB">
        <w:rPr>
          <w:color w:val="000000"/>
          <w:szCs w:val="24"/>
        </w:rPr>
        <w:t>range-of-</w:t>
      </w:r>
      <w:r w:rsidR="00807E42" w:rsidRPr="00B652C3">
        <w:rPr>
          <w:color w:val="000000"/>
          <w:szCs w:val="24"/>
        </w:rPr>
        <w:t xml:space="preserve">motion (ROM) </w:t>
      </w:r>
      <w:r w:rsidR="00807E42">
        <w:rPr>
          <w:color w:val="000000"/>
          <w:szCs w:val="24"/>
        </w:rPr>
        <w:t>evidence from both examiners</w:t>
      </w:r>
      <w:r w:rsidR="00807E42" w:rsidRPr="00B652C3">
        <w:rPr>
          <w:color w:val="000000"/>
          <w:szCs w:val="24"/>
        </w:rPr>
        <w:t>, which the Board weighed in arrivi</w:t>
      </w:r>
      <w:r w:rsidR="00807E42">
        <w:rPr>
          <w:color w:val="000000"/>
          <w:szCs w:val="24"/>
        </w:rPr>
        <w:t>ng at its rating recommendation, is charted below.</w:t>
      </w:r>
      <w:r w:rsidR="00807E42" w:rsidRPr="00B652C3">
        <w:rPr>
          <w:color w:val="000000"/>
          <w:szCs w:val="24"/>
        </w:rPr>
        <w:t xml:space="preserve"> </w:t>
      </w:r>
    </w:p>
    <w:p w:rsidR="00F644D2" w:rsidRDefault="00F644D2" w:rsidP="00B22D42">
      <w:pPr>
        <w:jc w:val="both"/>
        <w:rPr>
          <w:color w:val="000000"/>
        </w:rPr>
      </w:pPr>
    </w:p>
    <w:tbl>
      <w:tblPr>
        <w:tblW w:w="7139" w:type="dxa"/>
        <w:jc w:val="center"/>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8"/>
        <w:gridCol w:w="2093"/>
        <w:gridCol w:w="2428"/>
      </w:tblGrid>
      <w:tr w:rsidR="00F644D2" w:rsidRPr="00F644D2" w:rsidTr="00F644D2">
        <w:trPr>
          <w:jc w:val="center"/>
        </w:trPr>
        <w:tc>
          <w:tcPr>
            <w:tcW w:w="2618" w:type="dxa"/>
            <w:shd w:val="clear" w:color="auto" w:fill="D9D9D9"/>
            <w:vAlign w:val="center"/>
          </w:tcPr>
          <w:p w:rsidR="00F644D2" w:rsidRPr="00F644D2" w:rsidRDefault="00F644D2" w:rsidP="00F644D2">
            <w:pPr>
              <w:tabs>
                <w:tab w:val="left" w:pos="288"/>
                <w:tab w:val="left" w:pos="4752"/>
              </w:tabs>
              <w:rPr>
                <w:rFonts w:eastAsia="Cambria"/>
                <w:color w:val="auto"/>
                <w:sz w:val="22"/>
                <w:szCs w:val="22"/>
              </w:rPr>
            </w:pPr>
            <w:r w:rsidRPr="00F644D2">
              <w:rPr>
                <w:rFonts w:eastAsia="Cambria"/>
                <w:color w:val="auto"/>
                <w:sz w:val="22"/>
                <w:szCs w:val="22"/>
              </w:rPr>
              <w:t>Right Wrist ROM</w:t>
            </w:r>
          </w:p>
        </w:tc>
        <w:tc>
          <w:tcPr>
            <w:tcW w:w="2093" w:type="dxa"/>
            <w:shd w:val="clear" w:color="auto" w:fill="D9D9D9"/>
            <w:vAlign w:val="center"/>
          </w:tcPr>
          <w:p w:rsidR="00F644D2" w:rsidRPr="00F644D2" w:rsidRDefault="00F644D2" w:rsidP="00F644D2">
            <w:pPr>
              <w:contextualSpacing/>
              <w:rPr>
                <w:rFonts w:eastAsia="Calibri"/>
                <w:color w:val="auto"/>
                <w:sz w:val="22"/>
                <w:szCs w:val="22"/>
              </w:rPr>
            </w:pPr>
            <w:r w:rsidRPr="00F644D2">
              <w:rPr>
                <w:rFonts w:eastAsia="Calibri"/>
                <w:color w:val="auto"/>
                <w:sz w:val="22"/>
                <w:szCs w:val="22"/>
              </w:rPr>
              <w:t>MEB ~5 Mo. Pre-Sep</w:t>
            </w:r>
          </w:p>
        </w:tc>
        <w:tc>
          <w:tcPr>
            <w:tcW w:w="2428" w:type="dxa"/>
            <w:shd w:val="clear" w:color="auto" w:fill="D9D9D9"/>
            <w:vAlign w:val="center"/>
          </w:tcPr>
          <w:p w:rsidR="00F644D2" w:rsidRPr="00F644D2" w:rsidRDefault="00F644D2" w:rsidP="00F644D2">
            <w:pPr>
              <w:contextualSpacing/>
              <w:rPr>
                <w:rFonts w:eastAsia="Cambria"/>
                <w:color w:val="auto"/>
                <w:sz w:val="22"/>
                <w:szCs w:val="22"/>
              </w:rPr>
            </w:pPr>
            <w:r w:rsidRPr="00F644D2">
              <w:rPr>
                <w:rFonts w:eastAsia="Calibri"/>
                <w:color w:val="auto"/>
                <w:sz w:val="22"/>
                <w:szCs w:val="22"/>
              </w:rPr>
              <w:t>VA</w:t>
            </w:r>
            <w:r w:rsidRPr="00F644D2">
              <w:rPr>
                <w:rFonts w:eastAsia="Cambria"/>
                <w:color w:val="auto"/>
                <w:sz w:val="22"/>
                <w:szCs w:val="22"/>
              </w:rPr>
              <w:t xml:space="preserve"> C&amp;P ~4 Mo. Pre-Sep</w:t>
            </w:r>
          </w:p>
        </w:tc>
      </w:tr>
      <w:tr w:rsidR="00F644D2" w:rsidRPr="00F644D2" w:rsidTr="00F644D2">
        <w:trPr>
          <w:jc w:val="center"/>
        </w:trPr>
        <w:tc>
          <w:tcPr>
            <w:tcW w:w="2618" w:type="dxa"/>
            <w:vAlign w:val="center"/>
          </w:tcPr>
          <w:p w:rsidR="00F644D2" w:rsidRPr="00F644D2" w:rsidRDefault="00F644D2" w:rsidP="00F644D2">
            <w:pPr>
              <w:tabs>
                <w:tab w:val="left" w:pos="288"/>
                <w:tab w:val="left" w:pos="4752"/>
              </w:tabs>
              <w:rPr>
                <w:rFonts w:eastAsia="Cambria"/>
                <w:color w:val="auto"/>
                <w:sz w:val="22"/>
                <w:szCs w:val="22"/>
              </w:rPr>
            </w:pPr>
            <w:r>
              <w:rPr>
                <w:rFonts w:eastAsia="Cambria"/>
                <w:color w:val="auto"/>
                <w:sz w:val="22"/>
                <w:szCs w:val="22"/>
              </w:rPr>
              <w:t xml:space="preserve">Dorsiflexion (Normal </w:t>
            </w:r>
            <w:r w:rsidRPr="00F644D2">
              <w:rPr>
                <w:rFonts w:eastAsia="Cambria"/>
                <w:color w:val="auto"/>
                <w:sz w:val="22"/>
                <w:szCs w:val="22"/>
              </w:rPr>
              <w:t>70⁰)</w:t>
            </w:r>
          </w:p>
        </w:tc>
        <w:tc>
          <w:tcPr>
            <w:tcW w:w="2093" w:type="dxa"/>
            <w:vAlign w:val="center"/>
          </w:tcPr>
          <w:p w:rsidR="00F644D2" w:rsidRPr="00F644D2" w:rsidRDefault="00F644D2" w:rsidP="00F644D2">
            <w:pPr>
              <w:spacing w:after="200"/>
              <w:contextualSpacing/>
              <w:rPr>
                <w:rFonts w:eastAsia="Calibri" w:cs="Times New Roman"/>
                <w:color w:val="000000"/>
                <w:sz w:val="22"/>
                <w:szCs w:val="22"/>
              </w:rPr>
            </w:pPr>
            <w:r w:rsidRPr="00F644D2">
              <w:rPr>
                <w:rFonts w:eastAsia="Calibri" w:cs="Times New Roman"/>
                <w:color w:val="000000"/>
                <w:sz w:val="22"/>
                <w:szCs w:val="22"/>
              </w:rPr>
              <w:t>55⁰</w:t>
            </w:r>
          </w:p>
        </w:tc>
        <w:tc>
          <w:tcPr>
            <w:tcW w:w="2428" w:type="dxa"/>
            <w:vAlign w:val="center"/>
          </w:tcPr>
          <w:p w:rsidR="00F644D2" w:rsidRPr="00F644D2" w:rsidRDefault="00F644D2" w:rsidP="00F644D2">
            <w:pPr>
              <w:spacing w:after="200"/>
              <w:contextualSpacing/>
              <w:rPr>
                <w:rFonts w:eastAsia="Calibri" w:cs="Times New Roman"/>
                <w:color w:val="000000"/>
                <w:sz w:val="22"/>
                <w:szCs w:val="22"/>
              </w:rPr>
            </w:pPr>
            <w:r w:rsidRPr="00F644D2">
              <w:rPr>
                <w:rFonts w:eastAsia="Calibri" w:cs="Times New Roman"/>
                <w:color w:val="000000"/>
                <w:sz w:val="22"/>
                <w:szCs w:val="22"/>
              </w:rPr>
              <w:t>45⁰</w:t>
            </w:r>
          </w:p>
        </w:tc>
      </w:tr>
      <w:tr w:rsidR="00F644D2" w:rsidRPr="00F644D2" w:rsidTr="00F644D2">
        <w:trPr>
          <w:jc w:val="center"/>
        </w:trPr>
        <w:tc>
          <w:tcPr>
            <w:tcW w:w="2618" w:type="dxa"/>
            <w:vAlign w:val="center"/>
          </w:tcPr>
          <w:p w:rsidR="00F644D2" w:rsidRPr="00F644D2" w:rsidRDefault="00F644D2" w:rsidP="00F644D2">
            <w:pPr>
              <w:tabs>
                <w:tab w:val="left" w:pos="288"/>
                <w:tab w:val="left" w:pos="4752"/>
              </w:tabs>
              <w:rPr>
                <w:rFonts w:eastAsia="Cambria"/>
                <w:color w:val="auto"/>
                <w:sz w:val="22"/>
                <w:szCs w:val="22"/>
              </w:rPr>
            </w:pPr>
            <w:r w:rsidRPr="00F644D2">
              <w:rPr>
                <w:rFonts w:eastAsia="Cambria"/>
                <w:color w:val="auto"/>
                <w:sz w:val="22"/>
                <w:szCs w:val="22"/>
              </w:rPr>
              <w:t>Palmar Flexion (80⁰)</w:t>
            </w:r>
          </w:p>
        </w:tc>
        <w:tc>
          <w:tcPr>
            <w:tcW w:w="2093" w:type="dxa"/>
            <w:vAlign w:val="center"/>
          </w:tcPr>
          <w:p w:rsidR="00F644D2" w:rsidRPr="00F644D2" w:rsidRDefault="00F644D2" w:rsidP="00F644D2">
            <w:pPr>
              <w:spacing w:after="200"/>
              <w:contextualSpacing/>
              <w:rPr>
                <w:rFonts w:eastAsia="Calibri" w:cs="Times New Roman"/>
                <w:color w:val="000000"/>
                <w:sz w:val="22"/>
                <w:szCs w:val="22"/>
              </w:rPr>
            </w:pPr>
            <w:r w:rsidRPr="00F644D2">
              <w:rPr>
                <w:rFonts w:eastAsia="Calibri" w:cs="Times New Roman"/>
                <w:color w:val="000000"/>
                <w:sz w:val="22"/>
                <w:szCs w:val="22"/>
              </w:rPr>
              <w:t>40⁰</w:t>
            </w:r>
          </w:p>
        </w:tc>
        <w:tc>
          <w:tcPr>
            <w:tcW w:w="2428" w:type="dxa"/>
            <w:vAlign w:val="center"/>
          </w:tcPr>
          <w:p w:rsidR="00F644D2" w:rsidRPr="00F644D2" w:rsidRDefault="00F644D2" w:rsidP="00F644D2">
            <w:pPr>
              <w:spacing w:after="200"/>
              <w:contextualSpacing/>
              <w:rPr>
                <w:rFonts w:eastAsia="Calibri" w:cs="Times New Roman"/>
                <w:color w:val="000000"/>
                <w:sz w:val="22"/>
                <w:szCs w:val="22"/>
              </w:rPr>
            </w:pPr>
            <w:r>
              <w:rPr>
                <w:rFonts w:eastAsia="Calibri" w:cs="Times New Roman"/>
                <w:color w:val="000000"/>
                <w:sz w:val="22"/>
                <w:szCs w:val="22"/>
              </w:rPr>
              <w:t>6</w:t>
            </w:r>
            <w:r w:rsidRPr="00F644D2">
              <w:rPr>
                <w:rFonts w:eastAsia="Calibri" w:cs="Times New Roman"/>
                <w:color w:val="000000"/>
                <w:sz w:val="22"/>
                <w:szCs w:val="22"/>
              </w:rPr>
              <w:t>0⁰</w:t>
            </w:r>
          </w:p>
        </w:tc>
      </w:tr>
      <w:tr w:rsidR="00F644D2" w:rsidRPr="00F644D2" w:rsidTr="00F644D2">
        <w:trPr>
          <w:jc w:val="center"/>
        </w:trPr>
        <w:tc>
          <w:tcPr>
            <w:tcW w:w="2618" w:type="dxa"/>
            <w:vAlign w:val="center"/>
          </w:tcPr>
          <w:p w:rsidR="00F644D2" w:rsidRPr="00F644D2" w:rsidRDefault="00F644D2" w:rsidP="00F644D2">
            <w:pPr>
              <w:tabs>
                <w:tab w:val="left" w:pos="288"/>
                <w:tab w:val="left" w:pos="4752"/>
              </w:tabs>
              <w:rPr>
                <w:rFonts w:eastAsia="Cambria"/>
                <w:color w:val="auto"/>
                <w:sz w:val="22"/>
                <w:szCs w:val="22"/>
              </w:rPr>
            </w:pPr>
            <w:r w:rsidRPr="00F644D2">
              <w:rPr>
                <w:rFonts w:eastAsia="Cambria"/>
                <w:color w:val="auto"/>
                <w:sz w:val="22"/>
                <w:szCs w:val="22"/>
              </w:rPr>
              <w:t xml:space="preserve">Ulnar Deviation </w:t>
            </w:r>
            <w:r>
              <w:rPr>
                <w:rFonts w:eastAsia="Cambria"/>
                <w:color w:val="auto"/>
                <w:sz w:val="22"/>
                <w:szCs w:val="22"/>
              </w:rPr>
              <w:t>(</w:t>
            </w:r>
            <w:r w:rsidRPr="00F644D2">
              <w:rPr>
                <w:rFonts w:eastAsia="Cambria"/>
                <w:color w:val="auto"/>
                <w:sz w:val="22"/>
                <w:szCs w:val="22"/>
              </w:rPr>
              <w:t>45⁰)</w:t>
            </w:r>
          </w:p>
        </w:tc>
        <w:tc>
          <w:tcPr>
            <w:tcW w:w="2093" w:type="dxa"/>
            <w:vAlign w:val="center"/>
          </w:tcPr>
          <w:p w:rsidR="00F644D2" w:rsidRPr="00F644D2" w:rsidRDefault="00F644D2" w:rsidP="00F644D2">
            <w:pPr>
              <w:spacing w:after="200"/>
              <w:contextualSpacing/>
              <w:rPr>
                <w:rFonts w:eastAsia="Calibri" w:cs="Times New Roman"/>
                <w:color w:val="000000"/>
                <w:sz w:val="22"/>
                <w:szCs w:val="22"/>
              </w:rPr>
            </w:pPr>
            <w:r w:rsidRPr="00F644D2">
              <w:rPr>
                <w:rFonts w:eastAsia="Calibri" w:cs="Times New Roman"/>
                <w:color w:val="000000"/>
                <w:sz w:val="22"/>
                <w:szCs w:val="22"/>
              </w:rPr>
              <w:t>25⁰</w:t>
            </w:r>
          </w:p>
        </w:tc>
        <w:tc>
          <w:tcPr>
            <w:tcW w:w="2428" w:type="dxa"/>
            <w:vAlign w:val="center"/>
          </w:tcPr>
          <w:p w:rsidR="00F644D2" w:rsidRPr="00F644D2" w:rsidRDefault="00F644D2" w:rsidP="00F644D2">
            <w:pPr>
              <w:spacing w:after="200"/>
              <w:contextualSpacing/>
              <w:rPr>
                <w:rFonts w:eastAsia="Calibri" w:cs="Times New Roman"/>
                <w:color w:val="000000"/>
                <w:sz w:val="22"/>
                <w:szCs w:val="22"/>
              </w:rPr>
            </w:pPr>
            <w:r w:rsidRPr="00F644D2">
              <w:rPr>
                <w:rFonts w:eastAsia="Calibri" w:cs="Times New Roman"/>
                <w:color w:val="000000"/>
                <w:sz w:val="22"/>
                <w:szCs w:val="22"/>
              </w:rPr>
              <w:t>5⁰</w:t>
            </w:r>
          </w:p>
        </w:tc>
      </w:tr>
      <w:tr w:rsidR="00F644D2" w:rsidRPr="00F644D2" w:rsidTr="00F644D2">
        <w:trPr>
          <w:jc w:val="center"/>
        </w:trPr>
        <w:tc>
          <w:tcPr>
            <w:tcW w:w="2618" w:type="dxa"/>
            <w:vAlign w:val="center"/>
          </w:tcPr>
          <w:p w:rsidR="00F644D2" w:rsidRPr="00F644D2" w:rsidRDefault="00F644D2" w:rsidP="00F644D2">
            <w:pPr>
              <w:tabs>
                <w:tab w:val="left" w:pos="288"/>
                <w:tab w:val="left" w:pos="4752"/>
              </w:tabs>
              <w:rPr>
                <w:rFonts w:eastAsia="Cambria"/>
                <w:color w:val="auto"/>
                <w:sz w:val="22"/>
                <w:szCs w:val="22"/>
              </w:rPr>
            </w:pPr>
            <w:r w:rsidRPr="00F644D2">
              <w:rPr>
                <w:rFonts w:eastAsia="Cambria"/>
                <w:color w:val="auto"/>
                <w:sz w:val="22"/>
                <w:szCs w:val="22"/>
              </w:rPr>
              <w:t xml:space="preserve">Radial Deviation </w:t>
            </w:r>
            <w:r>
              <w:rPr>
                <w:rFonts w:eastAsia="Cambria"/>
                <w:color w:val="auto"/>
                <w:sz w:val="22"/>
                <w:szCs w:val="22"/>
              </w:rPr>
              <w:t>(</w:t>
            </w:r>
            <w:r w:rsidRPr="00F644D2">
              <w:rPr>
                <w:rFonts w:eastAsia="Cambria"/>
                <w:color w:val="auto"/>
                <w:sz w:val="22"/>
                <w:szCs w:val="22"/>
              </w:rPr>
              <w:t>20⁰)</w:t>
            </w:r>
          </w:p>
        </w:tc>
        <w:tc>
          <w:tcPr>
            <w:tcW w:w="2093" w:type="dxa"/>
            <w:vAlign w:val="center"/>
          </w:tcPr>
          <w:p w:rsidR="00F644D2" w:rsidRPr="00F644D2" w:rsidRDefault="00F644D2" w:rsidP="00F644D2">
            <w:pPr>
              <w:spacing w:after="200"/>
              <w:contextualSpacing/>
              <w:rPr>
                <w:rFonts w:eastAsia="Calibri" w:cs="Times New Roman"/>
                <w:color w:val="000000"/>
                <w:sz w:val="22"/>
                <w:szCs w:val="22"/>
              </w:rPr>
            </w:pPr>
            <w:r w:rsidRPr="00F644D2">
              <w:rPr>
                <w:rFonts w:eastAsia="Calibri" w:cs="Times New Roman"/>
                <w:color w:val="000000"/>
                <w:sz w:val="22"/>
                <w:szCs w:val="22"/>
              </w:rPr>
              <w:t>10⁰</w:t>
            </w:r>
          </w:p>
        </w:tc>
        <w:tc>
          <w:tcPr>
            <w:tcW w:w="2428" w:type="dxa"/>
            <w:vAlign w:val="center"/>
          </w:tcPr>
          <w:p w:rsidR="00F644D2" w:rsidRPr="00F644D2" w:rsidRDefault="00F644D2" w:rsidP="00F644D2">
            <w:pPr>
              <w:spacing w:after="200"/>
              <w:contextualSpacing/>
              <w:rPr>
                <w:rFonts w:eastAsia="Calibri" w:cs="Times New Roman"/>
                <w:color w:val="000000"/>
                <w:sz w:val="22"/>
                <w:szCs w:val="22"/>
              </w:rPr>
            </w:pPr>
            <w:r w:rsidRPr="00F644D2">
              <w:rPr>
                <w:rFonts w:eastAsia="Calibri" w:cs="Times New Roman"/>
                <w:color w:val="000000"/>
                <w:sz w:val="22"/>
                <w:szCs w:val="22"/>
              </w:rPr>
              <w:t>20⁰</w:t>
            </w:r>
          </w:p>
        </w:tc>
      </w:tr>
      <w:tr w:rsidR="00F644D2" w:rsidRPr="00F644D2" w:rsidTr="00F644D2">
        <w:trPr>
          <w:trHeight w:val="70"/>
          <w:jc w:val="center"/>
        </w:trPr>
        <w:tc>
          <w:tcPr>
            <w:tcW w:w="2618" w:type="dxa"/>
            <w:vAlign w:val="center"/>
          </w:tcPr>
          <w:p w:rsidR="00F644D2" w:rsidRPr="00F644D2" w:rsidRDefault="00F644D2" w:rsidP="00F644D2">
            <w:pPr>
              <w:tabs>
                <w:tab w:val="left" w:pos="288"/>
                <w:tab w:val="left" w:pos="4752"/>
              </w:tabs>
              <w:rPr>
                <w:rFonts w:eastAsia="Cambria"/>
                <w:color w:val="auto"/>
                <w:sz w:val="22"/>
                <w:szCs w:val="22"/>
              </w:rPr>
            </w:pPr>
            <w:r w:rsidRPr="00F644D2">
              <w:rPr>
                <w:rFonts w:eastAsia="Cambria"/>
                <w:color w:val="auto"/>
                <w:sz w:val="22"/>
                <w:szCs w:val="22"/>
              </w:rPr>
              <w:t>§4.71a Rating</w:t>
            </w:r>
          </w:p>
        </w:tc>
        <w:tc>
          <w:tcPr>
            <w:tcW w:w="2093" w:type="dxa"/>
            <w:vAlign w:val="center"/>
          </w:tcPr>
          <w:p w:rsidR="00F644D2" w:rsidRPr="00F644D2" w:rsidRDefault="00F644D2" w:rsidP="00F644D2">
            <w:pPr>
              <w:tabs>
                <w:tab w:val="left" w:pos="288"/>
                <w:tab w:val="left" w:pos="4752"/>
              </w:tabs>
              <w:rPr>
                <w:rFonts w:eastAsia="Cambria"/>
                <w:color w:val="auto"/>
                <w:sz w:val="22"/>
                <w:szCs w:val="22"/>
              </w:rPr>
            </w:pPr>
            <w:r w:rsidRPr="00F644D2">
              <w:rPr>
                <w:rFonts w:eastAsia="Cambria"/>
                <w:color w:val="auto"/>
                <w:sz w:val="22"/>
                <w:szCs w:val="22"/>
              </w:rPr>
              <w:t>10%</w:t>
            </w:r>
          </w:p>
        </w:tc>
        <w:tc>
          <w:tcPr>
            <w:tcW w:w="2428" w:type="dxa"/>
            <w:vAlign w:val="center"/>
          </w:tcPr>
          <w:p w:rsidR="00F644D2" w:rsidRPr="00F644D2" w:rsidRDefault="00F644D2" w:rsidP="00F644D2">
            <w:pPr>
              <w:tabs>
                <w:tab w:val="left" w:pos="288"/>
                <w:tab w:val="left" w:pos="4752"/>
              </w:tabs>
              <w:rPr>
                <w:rFonts w:eastAsia="Cambria"/>
                <w:color w:val="auto"/>
                <w:sz w:val="22"/>
                <w:szCs w:val="22"/>
              </w:rPr>
            </w:pPr>
            <w:r w:rsidRPr="00F644D2">
              <w:rPr>
                <w:rFonts w:eastAsia="Cambria"/>
                <w:color w:val="auto"/>
                <w:sz w:val="22"/>
                <w:szCs w:val="22"/>
              </w:rPr>
              <w:t>10%</w:t>
            </w:r>
          </w:p>
        </w:tc>
      </w:tr>
    </w:tbl>
    <w:p w:rsidR="00F644D2" w:rsidRDefault="00F644D2" w:rsidP="00B22D42">
      <w:pPr>
        <w:jc w:val="both"/>
        <w:rPr>
          <w:color w:val="000000"/>
        </w:rPr>
      </w:pPr>
    </w:p>
    <w:p w:rsidR="009D07D7" w:rsidRPr="009D07D7" w:rsidRDefault="00807E42" w:rsidP="009D07D7">
      <w:pPr>
        <w:jc w:val="both"/>
        <w:rPr>
          <w:color w:val="000000"/>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Pr="00807E42">
        <w:rPr>
          <w:rFonts w:cs="Times New Roman"/>
          <w:color w:val="auto"/>
        </w:rPr>
        <w:t>T</w:t>
      </w:r>
      <w:r w:rsidR="00871B29">
        <w:rPr>
          <w:rFonts w:cs="Times New Roman"/>
          <w:color w:val="auto"/>
        </w:rPr>
        <w:t xml:space="preserve">he PEB’s </w:t>
      </w:r>
      <w:r w:rsidRPr="00807E42">
        <w:rPr>
          <w:rFonts w:cs="Times New Roman"/>
          <w:color w:val="auto"/>
        </w:rPr>
        <w:t>0% rating was supported by the USAPDA pain policy, but was not consistent with VASRD §4.71a</w:t>
      </w:r>
      <w:r w:rsidR="00871B29">
        <w:rPr>
          <w:rFonts w:cs="Times New Roman"/>
          <w:color w:val="auto"/>
        </w:rPr>
        <w:t xml:space="preserve"> criteria for the evidence under consideration.  There is adequate documentation that </w:t>
      </w:r>
      <w:r w:rsidR="00871B29" w:rsidRPr="00871B29">
        <w:rPr>
          <w:rFonts w:cs="Times New Roman"/>
          <w:color w:val="auto"/>
        </w:rPr>
        <w:t>VASRD §4.59 (painful motion)</w:t>
      </w:r>
      <w:r w:rsidR="00871B29">
        <w:rPr>
          <w:rFonts w:cs="Times New Roman"/>
          <w:color w:val="auto"/>
        </w:rPr>
        <w:t xml:space="preserve"> wa</w:t>
      </w:r>
      <w:r w:rsidR="00CE1C07">
        <w:rPr>
          <w:rFonts w:cs="Times New Roman"/>
          <w:color w:val="auto"/>
        </w:rPr>
        <w:t>s supported to achieve a minimum</w:t>
      </w:r>
      <w:r w:rsidR="00871B29">
        <w:rPr>
          <w:rFonts w:cs="Times New Roman"/>
          <w:color w:val="auto"/>
        </w:rPr>
        <w:t xml:space="preserve"> compensable </w:t>
      </w:r>
      <w:r w:rsidR="00CE1C07">
        <w:rPr>
          <w:rFonts w:cs="Times New Roman"/>
          <w:color w:val="auto"/>
        </w:rPr>
        <w:t>rating of 10%</w:t>
      </w:r>
      <w:r w:rsidR="00871B29">
        <w:rPr>
          <w:rFonts w:cs="Times New Roman"/>
          <w:color w:val="auto"/>
        </w:rPr>
        <w:t xml:space="preserve">.  The VASRD only offers two joint codes for the wrist:  5214 (ankylosis) and 5215 (limitation of motion).  The 5215 code offers a maximum rating of 10%.  </w:t>
      </w:r>
      <w:r w:rsidR="009D07D7">
        <w:rPr>
          <w:rFonts w:cs="Times New Roman"/>
          <w:color w:val="auto"/>
        </w:rPr>
        <w:t>Only t</w:t>
      </w:r>
      <w:r w:rsidR="00871B29">
        <w:rPr>
          <w:rFonts w:cs="Times New Roman"/>
          <w:color w:val="auto"/>
        </w:rPr>
        <w:t xml:space="preserve">he 5214 code </w:t>
      </w:r>
      <w:r w:rsidR="009D07D7">
        <w:rPr>
          <w:rFonts w:cs="Times New Roman"/>
          <w:color w:val="auto"/>
        </w:rPr>
        <w:t>is available for a higher rating</w:t>
      </w:r>
      <w:r w:rsidR="00871B29">
        <w:rPr>
          <w:rFonts w:cs="Times New Roman"/>
          <w:color w:val="auto"/>
        </w:rPr>
        <w:t xml:space="preserve">.  </w:t>
      </w:r>
      <w:r w:rsidR="00871B29" w:rsidRPr="005E35DB">
        <w:rPr>
          <w:rFonts w:cs="Times New Roman"/>
          <w:color w:val="auto"/>
        </w:rPr>
        <w:t>Although analogous rating</w:t>
      </w:r>
      <w:r w:rsidR="00871B29" w:rsidRPr="00871B29">
        <w:rPr>
          <w:rFonts w:cs="Times New Roman"/>
          <w:color w:val="auto"/>
        </w:rPr>
        <w:t xml:space="preserve"> for ankylosis can be entertained for mobile, but functionally frozen joints, the evidence makes it clear that </w:t>
      </w:r>
      <w:r w:rsidR="009D07D7">
        <w:rPr>
          <w:rFonts w:cs="Times New Roman"/>
          <w:color w:val="auto"/>
        </w:rPr>
        <w:t>significant</w:t>
      </w:r>
      <w:r w:rsidR="00871B29" w:rsidRPr="00871B29">
        <w:rPr>
          <w:rFonts w:cs="Times New Roman"/>
          <w:color w:val="auto"/>
        </w:rPr>
        <w:t xml:space="preserve"> joint excursion was retained in this case.  The Board therefore cannot justify an analogous rating under </w:t>
      </w:r>
      <w:r w:rsidR="005E35DB">
        <w:rPr>
          <w:rFonts w:cs="Times New Roman"/>
          <w:color w:val="auto"/>
        </w:rPr>
        <w:t xml:space="preserve">code </w:t>
      </w:r>
      <w:r w:rsidR="009D07D7">
        <w:rPr>
          <w:rFonts w:cs="Times New Roman"/>
          <w:color w:val="auto"/>
        </w:rPr>
        <w:t>5214</w:t>
      </w:r>
      <w:r w:rsidR="00871B29" w:rsidRPr="00871B29">
        <w:rPr>
          <w:rFonts w:cs="Times New Roman"/>
          <w:color w:val="auto"/>
        </w:rPr>
        <w:t>.</w:t>
      </w:r>
      <w:r w:rsidR="009D07D7">
        <w:rPr>
          <w:rFonts w:cs="Times New Roman"/>
          <w:color w:val="auto"/>
        </w:rPr>
        <w:t xml:space="preserve">  Although a sensory neurologic deficit was noted by the MEB examiner; </w:t>
      </w:r>
      <w:r w:rsidR="009D07D7">
        <w:rPr>
          <w:color w:val="000000"/>
          <w:szCs w:val="24"/>
        </w:rPr>
        <w:t>a</w:t>
      </w:r>
      <w:r w:rsidR="009D07D7" w:rsidRPr="006313E6">
        <w:rPr>
          <w:color w:val="000000"/>
          <w:szCs w:val="24"/>
        </w:rPr>
        <w:t>ll members agreed that there was no separately ratable neuropathy for disability, since no functional impairment linked to fitness was in evidence.</w:t>
      </w:r>
      <w:r w:rsidR="009D07D7">
        <w:rPr>
          <w:color w:val="000000"/>
          <w:szCs w:val="24"/>
        </w:rPr>
        <w:t xml:space="preserve">  </w:t>
      </w:r>
      <w:r w:rsidR="009D07D7" w:rsidRPr="00241B01">
        <w:rPr>
          <w:rFonts w:eastAsia="Calibri" w:cs="Times New Roman"/>
          <w:color w:val="auto"/>
          <w:szCs w:val="24"/>
        </w:rPr>
        <w:t xml:space="preserve">After due deliberation, considering all of the evidence and mindful of VASRD §4.3 (reasonable doubt), the Board recommends a disability rating of </w:t>
      </w:r>
      <w:r w:rsidR="009D07D7">
        <w:rPr>
          <w:rFonts w:eastAsia="Calibri" w:cs="Times New Roman"/>
          <w:color w:val="auto"/>
          <w:szCs w:val="24"/>
        </w:rPr>
        <w:t>1</w:t>
      </w:r>
      <w:r w:rsidR="009D07D7" w:rsidRPr="00241B01">
        <w:rPr>
          <w:rFonts w:eastAsia="Calibri" w:cs="Times New Roman"/>
          <w:color w:val="auto"/>
          <w:szCs w:val="24"/>
        </w:rPr>
        <w:t xml:space="preserve">0% for the </w:t>
      </w:r>
      <w:r w:rsidR="009D07D7">
        <w:rPr>
          <w:rFonts w:eastAsia="Calibri" w:cs="Times New Roman"/>
          <w:color w:val="auto"/>
          <w:szCs w:val="24"/>
        </w:rPr>
        <w:t>right wrist</w:t>
      </w:r>
      <w:r w:rsidR="009D07D7" w:rsidRPr="00241B01">
        <w:rPr>
          <w:rFonts w:eastAsia="Calibri" w:cs="Times New Roman"/>
          <w:color w:val="auto"/>
          <w:szCs w:val="24"/>
        </w:rPr>
        <w:t xml:space="preserve"> condition.</w:t>
      </w:r>
      <w:r w:rsidR="009D07D7">
        <w:rPr>
          <w:rFonts w:eastAsia="Calibri" w:cs="Times New Roman"/>
          <w:color w:val="auto"/>
          <w:szCs w:val="24"/>
        </w:rPr>
        <w:t xml:space="preserve">  </w:t>
      </w:r>
      <w:r w:rsidR="009D07D7">
        <w:rPr>
          <w:color w:val="000000"/>
          <w:szCs w:val="24"/>
        </w:rPr>
        <w:t xml:space="preserve">The </w:t>
      </w:r>
      <w:r w:rsidR="005E35DB">
        <w:rPr>
          <w:color w:val="000000"/>
          <w:szCs w:val="24"/>
        </w:rPr>
        <w:t>a</w:t>
      </w:r>
      <w:r w:rsidR="009D07D7">
        <w:rPr>
          <w:color w:val="000000"/>
          <w:szCs w:val="24"/>
        </w:rPr>
        <w:t xml:space="preserve">ction </w:t>
      </w:r>
      <w:r w:rsidR="005E35DB">
        <w:rPr>
          <w:color w:val="000000"/>
          <w:szCs w:val="24"/>
        </w:rPr>
        <w:t>o</w:t>
      </w:r>
      <w:r w:rsidR="009D07D7">
        <w:rPr>
          <w:color w:val="000000"/>
          <w:szCs w:val="24"/>
        </w:rPr>
        <w:t>fficer recommended, and the Board concurred with, the 5215 code for its compatibility with the disability in evidence.</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9D07D7" w:rsidRDefault="00AD2379" w:rsidP="009D07D7">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9D07D7" w:rsidRPr="00241B01">
        <w:rPr>
          <w:rFonts w:eastAsia="Calibri" w:cs="Times New Roman"/>
          <w:color w:val="auto"/>
          <w:szCs w:val="24"/>
        </w:rPr>
        <w:t xml:space="preserve">As discussed above, PEB reliance on the USAPDA pain </w:t>
      </w:r>
      <w:r w:rsidR="009D07D7" w:rsidRPr="009D07D7">
        <w:rPr>
          <w:rFonts w:eastAsia="Calibri" w:cs="Times New Roman"/>
          <w:color w:val="auto"/>
          <w:szCs w:val="24"/>
        </w:rPr>
        <w:t xml:space="preserve">policy for rating the right wrist condition was operant in this case, and the condition was adjudicated independently of that policy by the Board.  In the matter of </w:t>
      </w:r>
      <w:r w:rsidR="009D07D7" w:rsidRPr="009D07D7">
        <w:rPr>
          <w:rFonts w:eastAsia="Calibri" w:cs="Times New Roman"/>
          <w:color w:val="auto"/>
          <w:szCs w:val="24"/>
        </w:rPr>
        <w:lastRenderedPageBreak/>
        <w:t xml:space="preserve">the right wrist condition, the Board unanimously recommends a disability rating of 10%, coded </w:t>
      </w:r>
      <w:r w:rsidR="009D07D7" w:rsidRPr="009D07D7">
        <w:rPr>
          <w:color w:val="000000"/>
          <w:szCs w:val="24"/>
        </w:rPr>
        <w:t xml:space="preserve">5215 </w:t>
      </w:r>
      <w:r w:rsidR="009D07D7" w:rsidRPr="009D07D7">
        <w:rPr>
          <w:rFonts w:eastAsia="Calibri" w:cs="Times New Roman"/>
          <w:color w:val="auto"/>
          <w:szCs w:val="24"/>
        </w:rPr>
        <w:t>IAW VASRD §4.71a.</w:t>
      </w:r>
      <w:r w:rsidR="009D07D7">
        <w:rPr>
          <w:rFonts w:eastAsia="Calibri" w:cs="Times New Roman"/>
          <w:color w:val="auto"/>
          <w:szCs w:val="24"/>
        </w:rPr>
        <w:t xml:space="preserve">  </w:t>
      </w:r>
      <w:r w:rsidR="009D07D7" w:rsidRPr="003471C5">
        <w:rPr>
          <w:rFonts w:eastAsia="Calibri" w:cs="Times New Roman"/>
          <w:color w:val="auto"/>
          <w:szCs w:val="24"/>
        </w:rPr>
        <w:t>There were no other conditions within the Board’s scope of review for consideration.</w:t>
      </w:r>
    </w:p>
    <w:p w:rsidR="009D07D7" w:rsidRPr="009A7578" w:rsidRDefault="009D07D7" w:rsidP="009D07D7">
      <w:pPr>
        <w:pBdr>
          <w:bottom w:val="single" w:sz="12" w:space="1" w:color="auto"/>
        </w:pBdr>
        <w:tabs>
          <w:tab w:val="left" w:pos="288"/>
          <w:tab w:val="left" w:pos="4752"/>
        </w:tabs>
        <w:jc w:val="both"/>
        <w:rPr>
          <w:color w:val="000000"/>
          <w:highlight w:val="magenta"/>
        </w:rPr>
      </w:pPr>
    </w:p>
    <w:p w:rsidR="0069168A" w:rsidRDefault="0069168A" w:rsidP="009D07D7">
      <w:pPr>
        <w:jc w:val="both"/>
        <w:rPr>
          <w:color w:val="000000"/>
          <w:u w:val="single"/>
        </w:rPr>
      </w:pPr>
    </w:p>
    <w:p w:rsidR="009D07D7" w:rsidRPr="004B21BA" w:rsidRDefault="0069168A" w:rsidP="004B21BA">
      <w:pPr>
        <w:spacing w:line="240" w:lineRule="auto"/>
        <w:jc w:val="left"/>
        <w:rPr>
          <w:color w:val="000000"/>
          <w:u w:val="single"/>
        </w:rPr>
      </w:pPr>
      <w:r>
        <w:rPr>
          <w:color w:val="000000"/>
          <w:u w:val="single"/>
        </w:rPr>
        <w:br w:type="page"/>
      </w:r>
      <w:r w:rsidR="00AD2379" w:rsidRPr="009A7578">
        <w:rPr>
          <w:color w:val="000000"/>
          <w:u w:val="single"/>
        </w:rPr>
        <w:lastRenderedPageBreak/>
        <w:t>RECOMMENDATION</w:t>
      </w:r>
      <w:r w:rsidR="00AD2379" w:rsidRPr="009A7578">
        <w:rPr>
          <w:color w:val="000000"/>
        </w:rPr>
        <w:t xml:space="preserve">: </w:t>
      </w:r>
      <w:r w:rsidR="009D07D7" w:rsidRPr="00565636">
        <w:rPr>
          <w:rFonts w:eastAsia="Calibri" w:cs="Times New Roman"/>
          <w:color w:val="auto"/>
          <w:szCs w:val="24"/>
        </w:rPr>
        <w:t>The Board recommends that the CI’s prior determination be modified as follows, effective as of the date of his prior medical separation</w:t>
      </w:r>
      <w:r w:rsidR="009D07D7">
        <w:rPr>
          <w:rFonts w:eastAsia="Calibri" w:cs="Times New Roman"/>
          <w:color w:val="auto"/>
          <w:szCs w:val="24"/>
        </w:rPr>
        <w:t>:</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9D07D7" w:rsidP="00BF0E94">
            <w:pPr>
              <w:tabs>
                <w:tab w:val="left" w:pos="288"/>
                <w:tab w:val="left" w:pos="4752"/>
              </w:tabs>
              <w:jc w:val="left"/>
              <w:rPr>
                <w:color w:val="000000"/>
              </w:rPr>
            </w:pPr>
            <w:r>
              <w:rPr>
                <w:color w:val="000000"/>
              </w:rPr>
              <w:t>Surgical Residuals, Right Wrist</w:t>
            </w:r>
          </w:p>
        </w:tc>
        <w:tc>
          <w:tcPr>
            <w:tcW w:w="1530" w:type="dxa"/>
            <w:vAlign w:val="center"/>
          </w:tcPr>
          <w:p w:rsidR="00AD2379" w:rsidRPr="000D5DBE" w:rsidRDefault="00C83F2F" w:rsidP="00BF0E94">
            <w:pPr>
              <w:tabs>
                <w:tab w:val="left" w:pos="288"/>
                <w:tab w:val="left" w:pos="4752"/>
              </w:tabs>
              <w:rPr>
                <w:color w:val="000000"/>
              </w:rPr>
            </w:pPr>
            <w:r>
              <w:rPr>
                <w:color w:val="000000"/>
              </w:rPr>
              <w:t>5215</w:t>
            </w:r>
          </w:p>
        </w:tc>
        <w:tc>
          <w:tcPr>
            <w:tcW w:w="1026" w:type="dxa"/>
            <w:vAlign w:val="center"/>
          </w:tcPr>
          <w:p w:rsidR="00AD2379" w:rsidRPr="000D5DBE" w:rsidRDefault="00C83F2F" w:rsidP="00BF0E94">
            <w:pPr>
              <w:tabs>
                <w:tab w:val="left" w:pos="288"/>
                <w:tab w:val="left" w:pos="4752"/>
              </w:tabs>
              <w:rPr>
                <w:color w:val="000000"/>
              </w:rPr>
            </w:pPr>
            <w:r>
              <w:rPr>
                <w:color w:val="000000"/>
              </w:rPr>
              <w:t>1</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C83F2F" w:rsidP="00BF0E94">
            <w:pPr>
              <w:tabs>
                <w:tab w:val="left" w:pos="288"/>
                <w:tab w:val="left" w:pos="4752"/>
              </w:tabs>
              <w:rPr>
                <w:b/>
                <w:color w:val="000000"/>
              </w:rPr>
            </w:pPr>
            <w:r>
              <w:rPr>
                <w:b/>
                <w:color w:val="000000"/>
              </w:rPr>
              <w:t>1</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A10AF8" w:rsidRPr="001F29F9">
        <w:rPr>
          <w:color w:val="000000"/>
          <w:szCs w:val="24"/>
        </w:rPr>
        <w:t>201</w:t>
      </w:r>
      <w:r w:rsidR="00A10AF8">
        <w:rPr>
          <w:color w:val="000000"/>
          <w:szCs w:val="24"/>
        </w:rPr>
        <w:t>10928</w:t>
      </w:r>
      <w:r w:rsidR="005E35DB">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5E35DB">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5E35DB">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867528">
        <w:rPr>
          <w:color w:val="000000"/>
        </w:rPr>
        <w:t>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AD2379" w:rsidRPr="001F29F9" w:rsidRDefault="00AD2379" w:rsidP="00BF0E94">
      <w:pPr>
        <w:tabs>
          <w:tab w:val="left" w:pos="0"/>
          <w:tab w:val="left" w:pos="4320"/>
        </w:tabs>
        <w:jc w:val="both"/>
        <w:rPr>
          <w:color w:val="000000"/>
        </w:rPr>
      </w:pPr>
      <w:r w:rsidRPr="001F29F9">
        <w:rPr>
          <w:color w:val="000000"/>
        </w:rPr>
        <w:tab/>
        <w:t xml:space="preserve">           Physical Disability Board of Review</w:t>
      </w:r>
    </w:p>
    <w:p w:rsidR="00867528" w:rsidRDefault="00867528" w:rsidP="0095270D">
      <w:pPr>
        <w:jc w:val="both"/>
        <w:rPr>
          <w:b/>
          <w:color w:val="000000"/>
          <w:highlight w:val="yellow"/>
        </w:rPr>
      </w:pPr>
    </w:p>
    <w:p w:rsidR="00867528" w:rsidRDefault="00867528">
      <w:pPr>
        <w:spacing w:line="240" w:lineRule="auto"/>
        <w:jc w:val="left"/>
        <w:rPr>
          <w:b/>
          <w:color w:val="000000"/>
          <w:highlight w:val="yellow"/>
        </w:rPr>
      </w:pPr>
      <w:r>
        <w:rPr>
          <w:b/>
          <w:color w:val="000000"/>
          <w:highlight w:val="yellow"/>
        </w:rPr>
        <w:br w:type="page"/>
      </w:r>
    </w:p>
    <w:p w:rsidR="00867528" w:rsidRDefault="00867528" w:rsidP="00867528">
      <w:pPr>
        <w:sectPr w:rsidR="00867528">
          <w:pgSz w:w="12240" w:h="15840"/>
          <w:pgMar w:top="2160" w:right="1440" w:bottom="1440" w:left="1440" w:header="720" w:footer="720" w:gutter="0"/>
          <w:cols w:space="720"/>
        </w:sectPr>
      </w:pPr>
    </w:p>
    <w:p w:rsidR="00867528" w:rsidRDefault="00867528" w:rsidP="00867528">
      <w:pPr>
        <w:pStyle w:val="Header"/>
        <w:tabs>
          <w:tab w:val="left" w:pos="720"/>
        </w:tabs>
        <w:jc w:val="left"/>
      </w:pPr>
      <w:r>
        <w:lastRenderedPageBreak/>
        <w:t>SFMR-RB</w:t>
      </w:r>
      <w:r>
        <w:tab/>
      </w:r>
      <w:r>
        <w:tab/>
      </w:r>
      <w:r>
        <w:tab/>
      </w:r>
      <w:r>
        <w:tab/>
      </w:r>
      <w:r>
        <w:tab/>
      </w:r>
      <w:r>
        <w:tab/>
      </w:r>
      <w:r>
        <w:tab/>
      </w:r>
      <w:r>
        <w:tab/>
      </w:r>
      <w:r>
        <w:tab/>
      </w:r>
    </w:p>
    <w:p w:rsidR="00867528" w:rsidRDefault="00867528" w:rsidP="00867528">
      <w:pPr>
        <w:pStyle w:val="Header"/>
        <w:tabs>
          <w:tab w:val="left" w:pos="720"/>
        </w:tabs>
        <w:jc w:val="left"/>
      </w:pPr>
    </w:p>
    <w:p w:rsidR="00867528" w:rsidRDefault="00867528" w:rsidP="00867528">
      <w:pPr>
        <w:jc w:val="left"/>
      </w:pPr>
    </w:p>
    <w:p w:rsidR="00867528" w:rsidRDefault="00867528" w:rsidP="00867528">
      <w:pPr>
        <w:jc w:val="left"/>
      </w:pPr>
      <w:r>
        <w:t xml:space="preserve">MEMORANDUM FOR Commander, US Army Physical Disability Agency </w:t>
      </w:r>
    </w:p>
    <w:p w:rsidR="00867528" w:rsidRDefault="00867528" w:rsidP="00867528">
      <w:pPr>
        <w:jc w:val="left"/>
      </w:pPr>
      <w:r>
        <w:t xml:space="preserve">(TAPD-ZB </w:t>
      </w:r>
      <w:proofErr w:type="gramStart"/>
      <w:r>
        <w:t>/  )</w:t>
      </w:r>
      <w:proofErr w:type="gramEnd"/>
      <w:r>
        <w:t>, 2900 Crystal Drive, Suite 300, Arlington, VA  22202</w:t>
      </w:r>
    </w:p>
    <w:p w:rsidR="00867528" w:rsidRDefault="00867528" w:rsidP="00867528">
      <w:pPr>
        <w:jc w:val="left"/>
      </w:pPr>
    </w:p>
    <w:p w:rsidR="00867528" w:rsidRDefault="00867528" w:rsidP="00867528">
      <w:pPr>
        <w:ind w:right="-180"/>
        <w:jc w:val="left"/>
      </w:pPr>
      <w:r>
        <w:t xml:space="preserve">SUBJECT:  Department of Defense Physical Disability Board of Review Recommendation </w:t>
      </w:r>
    </w:p>
    <w:p w:rsidR="00867528" w:rsidRDefault="00867528" w:rsidP="00867528">
      <w:pPr>
        <w:pStyle w:val="Header"/>
        <w:tabs>
          <w:tab w:val="left" w:pos="720"/>
        </w:tabs>
        <w:jc w:val="left"/>
      </w:pPr>
      <w:proofErr w:type="gramStart"/>
      <w:r>
        <w:t>for</w:t>
      </w:r>
      <w:proofErr w:type="gramEnd"/>
      <w:r>
        <w:t xml:space="preserve"> XXXXXXXXXXXXXXXXX, AR20120013948 (PD201100844)</w:t>
      </w:r>
    </w:p>
    <w:p w:rsidR="00867528" w:rsidRDefault="00867528" w:rsidP="00867528">
      <w:pPr>
        <w:pStyle w:val="Header"/>
        <w:tabs>
          <w:tab w:val="left" w:pos="720"/>
        </w:tabs>
        <w:jc w:val="left"/>
      </w:pPr>
    </w:p>
    <w:p w:rsidR="00867528" w:rsidRDefault="00867528" w:rsidP="00867528">
      <w:pPr>
        <w:jc w:val="left"/>
      </w:pPr>
    </w:p>
    <w:p w:rsidR="00867528" w:rsidRDefault="00867528" w:rsidP="00867528">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867528" w:rsidRDefault="00867528" w:rsidP="00867528">
      <w:pPr>
        <w:jc w:val="left"/>
      </w:pPr>
    </w:p>
    <w:p w:rsidR="00867528" w:rsidRDefault="00867528" w:rsidP="00867528">
      <w:pPr>
        <w:jc w:val="left"/>
      </w:pPr>
      <w:r>
        <w:t xml:space="preserve">2.  I direct that all the Department of the Army records of the individual concerned be corrected accordingly no later than 120 days from the date of this memorandum.   </w:t>
      </w:r>
    </w:p>
    <w:p w:rsidR="00867528" w:rsidRDefault="00867528" w:rsidP="00867528">
      <w:pPr>
        <w:jc w:val="left"/>
      </w:pPr>
    </w:p>
    <w:p w:rsidR="00867528" w:rsidRDefault="00867528" w:rsidP="0086752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67528" w:rsidRDefault="00867528" w:rsidP="00867528">
      <w:pPr>
        <w:jc w:val="left"/>
      </w:pPr>
    </w:p>
    <w:p w:rsidR="00867528" w:rsidRDefault="00867528" w:rsidP="00867528">
      <w:pPr>
        <w:jc w:val="left"/>
      </w:pPr>
      <w:r>
        <w:t xml:space="preserve"> BY ORDER OF THE SECRETARY OF THE ARMY:</w:t>
      </w:r>
    </w:p>
    <w:p w:rsidR="00867528" w:rsidRDefault="00867528" w:rsidP="00867528">
      <w:pPr>
        <w:jc w:val="left"/>
      </w:pPr>
    </w:p>
    <w:p w:rsidR="00867528" w:rsidRDefault="00867528" w:rsidP="00867528">
      <w:pPr>
        <w:jc w:val="left"/>
      </w:pPr>
    </w:p>
    <w:p w:rsidR="00867528" w:rsidRDefault="00867528" w:rsidP="00867528">
      <w:pPr>
        <w:pStyle w:val="Header"/>
        <w:tabs>
          <w:tab w:val="left" w:pos="720"/>
        </w:tabs>
        <w:jc w:val="left"/>
      </w:pPr>
    </w:p>
    <w:p w:rsidR="00867528" w:rsidRDefault="00867528" w:rsidP="00867528">
      <w:pPr>
        <w:jc w:val="left"/>
      </w:pPr>
    </w:p>
    <w:p w:rsidR="00867528" w:rsidRDefault="00867528" w:rsidP="00867528">
      <w:pPr>
        <w:jc w:val="left"/>
      </w:pPr>
      <w:bookmarkStart w:id="1" w:name="OLE_LINK4"/>
      <w:bookmarkStart w:id="2" w:name="OLE_LINK3"/>
      <w:r>
        <w:t>Encl</w:t>
      </w:r>
      <w:r>
        <w:tab/>
      </w:r>
      <w:r>
        <w:tab/>
      </w:r>
      <w:r>
        <w:tab/>
      </w:r>
      <w:r>
        <w:tab/>
      </w:r>
      <w:r>
        <w:tab/>
      </w:r>
      <w:r>
        <w:tab/>
        <w:t xml:space="preserve">     XXXXXXXXXXXXXXXXXXXX</w:t>
      </w:r>
    </w:p>
    <w:p w:rsidR="00867528" w:rsidRDefault="00867528" w:rsidP="00867528">
      <w:pPr>
        <w:jc w:val="left"/>
      </w:pPr>
      <w:r>
        <w:tab/>
      </w:r>
      <w:r>
        <w:tab/>
      </w:r>
      <w:r>
        <w:tab/>
      </w:r>
      <w:r>
        <w:tab/>
      </w:r>
      <w:r>
        <w:tab/>
      </w:r>
      <w:r>
        <w:tab/>
        <w:t xml:space="preserve">     Deputy Assistant Secretary</w:t>
      </w:r>
    </w:p>
    <w:p w:rsidR="00867528" w:rsidRDefault="00867528" w:rsidP="00867528">
      <w:pPr>
        <w:jc w:val="left"/>
      </w:pPr>
      <w:r>
        <w:tab/>
      </w:r>
      <w:r>
        <w:tab/>
      </w:r>
      <w:r>
        <w:tab/>
      </w:r>
      <w:r>
        <w:tab/>
      </w:r>
      <w:r>
        <w:tab/>
      </w:r>
      <w:r>
        <w:tab/>
        <w:t xml:space="preserve">         (Army Review Boards)</w:t>
      </w:r>
      <w:bookmarkEnd w:id="1"/>
      <w:bookmarkEnd w:id="2"/>
    </w:p>
    <w:p w:rsidR="00867528" w:rsidRDefault="00867528" w:rsidP="00867528">
      <w:pPr>
        <w:jc w:val="left"/>
      </w:pPr>
    </w:p>
    <w:p w:rsidR="00867528" w:rsidRDefault="00867528" w:rsidP="00867528">
      <w:pPr>
        <w:jc w:val="left"/>
      </w:pPr>
      <w:r>
        <w:t xml:space="preserve">CF: </w:t>
      </w:r>
    </w:p>
    <w:p w:rsidR="00867528" w:rsidRDefault="00867528" w:rsidP="00867528">
      <w:pPr>
        <w:jc w:val="left"/>
      </w:pPr>
      <w:r>
        <w:t xml:space="preserve">(  ) </w:t>
      </w:r>
      <w:proofErr w:type="spellStart"/>
      <w:proofErr w:type="gramStart"/>
      <w:r>
        <w:t>DoD</w:t>
      </w:r>
      <w:proofErr w:type="spellEnd"/>
      <w:proofErr w:type="gramEnd"/>
      <w:r>
        <w:t xml:space="preserve"> PDBR</w:t>
      </w:r>
    </w:p>
    <w:p w:rsidR="00867528" w:rsidRDefault="00867528" w:rsidP="00867528">
      <w:pPr>
        <w:jc w:val="left"/>
      </w:pPr>
      <w:r>
        <w:t>(  ) DVA</w:t>
      </w:r>
    </w:p>
    <w:p w:rsidR="00482B19" w:rsidRDefault="00482B19" w:rsidP="0095270D">
      <w:pPr>
        <w:jc w:val="both"/>
        <w:rPr>
          <w:b/>
          <w:color w:val="000000"/>
          <w:highlight w:val="yellow"/>
        </w:rPr>
      </w:pPr>
    </w:p>
    <w:sectPr w:rsidR="00482B1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BD" w:rsidRDefault="002727BD">
      <w:r>
        <w:separator/>
      </w:r>
    </w:p>
  </w:endnote>
  <w:endnote w:type="continuationSeparator" w:id="0">
    <w:p w:rsidR="002727BD" w:rsidRDefault="002727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9E510C" w:rsidRPr="009E510C">
      <w:fldChar w:fldCharType="begin"/>
    </w:r>
    <w:r w:rsidR="002727BD">
      <w:instrText xml:space="preserve"> PAGE   \* MERGEFORMAT </w:instrText>
    </w:r>
    <w:r w:rsidR="009E510C" w:rsidRPr="009E510C">
      <w:fldChar w:fldCharType="separate"/>
    </w:r>
    <w:r w:rsidR="00867528" w:rsidRPr="00867528">
      <w:rPr>
        <w:noProof/>
        <w:color w:val="auto"/>
      </w:rPr>
      <w:t>4</w:t>
    </w:r>
    <w:r w:rsidR="009E510C">
      <w:rPr>
        <w:noProof/>
        <w:color w:val="auto"/>
      </w:rPr>
      <w:fldChar w:fldCharType="end"/>
    </w:r>
    <w:r w:rsidRPr="00374247">
      <w:rPr>
        <w:color w:val="auto"/>
      </w:rPr>
      <w:t xml:space="preserve">                                                           </w:t>
    </w:r>
    <w:r w:rsidRPr="001D64F3">
      <w:rPr>
        <w:color w:val="auto"/>
      </w:rPr>
      <w:t>PD1</w:t>
    </w:r>
    <w:r w:rsidRPr="009369A6">
      <w:rPr>
        <w:color w:val="auto"/>
      </w:rPr>
      <w:t>100</w:t>
    </w:r>
    <w:r w:rsidR="00172D70">
      <w:rPr>
        <w:color w:val="auto"/>
      </w:rPr>
      <w:t>844</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BD" w:rsidRDefault="002727BD">
      <w:r>
        <w:separator/>
      </w:r>
    </w:p>
  </w:footnote>
  <w:footnote w:type="continuationSeparator" w:id="0">
    <w:p w:rsidR="002727BD" w:rsidRDefault="00272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54B6"/>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663"/>
    <w:rsid w:val="000F688E"/>
    <w:rsid w:val="000F70DD"/>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2D70"/>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27BD"/>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11F"/>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4905"/>
    <w:rsid w:val="004A712D"/>
    <w:rsid w:val="004A7C03"/>
    <w:rsid w:val="004B03F3"/>
    <w:rsid w:val="004B0CC9"/>
    <w:rsid w:val="004B1C61"/>
    <w:rsid w:val="004B21BA"/>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7D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24F"/>
    <w:rsid w:val="005E3064"/>
    <w:rsid w:val="005E35DB"/>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68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07E42"/>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528"/>
    <w:rsid w:val="00871262"/>
    <w:rsid w:val="0087170E"/>
    <w:rsid w:val="00871B29"/>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3F9E"/>
    <w:rsid w:val="008B446D"/>
    <w:rsid w:val="008B515D"/>
    <w:rsid w:val="008B5D31"/>
    <w:rsid w:val="008B6705"/>
    <w:rsid w:val="008C22F3"/>
    <w:rsid w:val="008C3223"/>
    <w:rsid w:val="008C3FD0"/>
    <w:rsid w:val="008C483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7D7"/>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10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AF8"/>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3696"/>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E7189"/>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3F1B"/>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3F2F"/>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1D9"/>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1C07"/>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11E"/>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36914"/>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4D2"/>
    <w:rsid w:val="00F65E1F"/>
    <w:rsid w:val="00F65ED5"/>
    <w:rsid w:val="00F6608B"/>
    <w:rsid w:val="00F6636A"/>
    <w:rsid w:val="00F667C5"/>
    <w:rsid w:val="00F67E31"/>
    <w:rsid w:val="00F70B44"/>
    <w:rsid w:val="00F71436"/>
    <w:rsid w:val="00F718A8"/>
    <w:rsid w:val="00F7207E"/>
    <w:rsid w:val="00F72183"/>
    <w:rsid w:val="00F72DEB"/>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3AB"/>
    <w:rsid w:val="00FA68ED"/>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6C9D"/>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867209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2012-08-06T14:16:00Z</cp:lastPrinted>
  <dcterms:created xsi:type="dcterms:W3CDTF">2012-08-17T19:13:00Z</dcterms:created>
  <dcterms:modified xsi:type="dcterms:W3CDTF">2012-08-17T19:13:00Z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