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5E2B66" w:rsidRDefault="00AD2379" w:rsidP="000D4AF7">
      <w:pPr>
        <w:tabs>
          <w:tab w:val="left" w:pos="288"/>
          <w:tab w:val="left" w:pos="4770"/>
        </w:tabs>
        <w:rPr>
          <w:color w:val="auto"/>
        </w:rPr>
      </w:pPr>
      <w:r w:rsidRPr="005E2B66">
        <w:rPr>
          <w:color w:val="auto"/>
        </w:rPr>
        <w:t>RECORD OF PROCEEDINGS</w:t>
      </w:r>
    </w:p>
    <w:p w:rsidR="00AD2379" w:rsidRPr="005E2B66" w:rsidRDefault="00AD2379" w:rsidP="00BF0E94">
      <w:pPr>
        <w:tabs>
          <w:tab w:val="left" w:pos="288"/>
          <w:tab w:val="left" w:pos="4752"/>
        </w:tabs>
        <w:rPr>
          <w:color w:val="auto"/>
        </w:rPr>
      </w:pPr>
      <w:r w:rsidRPr="005E2B66">
        <w:rPr>
          <w:color w:val="auto"/>
        </w:rPr>
        <w:t>PHYSICAL DISABILITY BOARD OF REVIEW</w:t>
      </w:r>
    </w:p>
    <w:p w:rsidR="00AD2379" w:rsidRPr="005E2B66" w:rsidRDefault="00AD2379" w:rsidP="00BF0E94">
      <w:pPr>
        <w:tabs>
          <w:tab w:val="left" w:pos="288"/>
          <w:tab w:val="left" w:pos="4752"/>
        </w:tabs>
        <w:jc w:val="both"/>
        <w:rPr>
          <w:caps/>
          <w:color w:val="auto"/>
        </w:rPr>
      </w:pPr>
    </w:p>
    <w:p w:rsidR="0095270D" w:rsidRPr="005E2B66" w:rsidRDefault="0095270D" w:rsidP="00DD5558">
      <w:pPr>
        <w:tabs>
          <w:tab w:val="right" w:pos="9360"/>
        </w:tabs>
        <w:jc w:val="both"/>
        <w:rPr>
          <w:caps/>
          <w:color w:val="auto"/>
        </w:rPr>
      </w:pPr>
      <w:r w:rsidRPr="005E2B66">
        <w:rPr>
          <w:caps/>
          <w:color w:val="auto"/>
        </w:rPr>
        <w:t xml:space="preserve">NAME:  </w:t>
      </w:r>
      <w:r w:rsidR="00E924CF">
        <w:rPr>
          <w:caps/>
          <w:color w:val="auto"/>
        </w:rPr>
        <w:t>XXXXXXXXXXXXXXXXXXXXXX</w:t>
      </w:r>
      <w:r w:rsidR="00417D1B">
        <w:rPr>
          <w:caps/>
          <w:color w:val="auto"/>
        </w:rPr>
        <w:tab/>
      </w:r>
      <w:r w:rsidRPr="005E2B66">
        <w:rPr>
          <w:caps/>
          <w:color w:val="auto"/>
        </w:rPr>
        <w:t xml:space="preserve">BRANCH OF SERVICE:  </w:t>
      </w:r>
      <w:r w:rsidR="0018208F" w:rsidRPr="005E2B66">
        <w:rPr>
          <w:caps/>
          <w:color w:val="auto"/>
        </w:rPr>
        <w:t xml:space="preserve"> </w:t>
      </w:r>
      <w:r w:rsidR="005E4E26">
        <w:rPr>
          <w:caps/>
          <w:color w:val="auto"/>
        </w:rPr>
        <w:t>Army</w:t>
      </w:r>
    </w:p>
    <w:p w:rsidR="0095270D" w:rsidRPr="005E2B66" w:rsidRDefault="0095270D" w:rsidP="00DD5558">
      <w:pPr>
        <w:tabs>
          <w:tab w:val="right" w:pos="9360"/>
        </w:tabs>
        <w:jc w:val="both"/>
        <w:rPr>
          <w:color w:val="auto"/>
        </w:rPr>
      </w:pPr>
      <w:r w:rsidRPr="005E2B66">
        <w:rPr>
          <w:caps/>
          <w:color w:val="auto"/>
        </w:rPr>
        <w:t>CASE NUMBER:  PD1100</w:t>
      </w:r>
      <w:r w:rsidR="00334081" w:rsidRPr="005E2B66">
        <w:rPr>
          <w:caps/>
          <w:color w:val="auto"/>
        </w:rPr>
        <w:t>843</w:t>
      </w:r>
      <w:r w:rsidR="00DD5558" w:rsidRPr="005E2B66">
        <w:rPr>
          <w:color w:val="auto"/>
        </w:rPr>
        <w:tab/>
      </w:r>
      <w:r w:rsidR="0018208F" w:rsidRPr="005E2B66">
        <w:rPr>
          <w:color w:val="auto"/>
        </w:rPr>
        <w:t>SE</w:t>
      </w:r>
      <w:r w:rsidRPr="005E2B66">
        <w:rPr>
          <w:color w:val="auto"/>
        </w:rPr>
        <w:t>PARATION DATE:  200</w:t>
      </w:r>
      <w:r w:rsidR="00334081" w:rsidRPr="005E2B66">
        <w:rPr>
          <w:color w:val="auto"/>
        </w:rPr>
        <w:t>30905</w:t>
      </w:r>
    </w:p>
    <w:p w:rsidR="00AD2379" w:rsidRPr="005E2B66" w:rsidRDefault="0095270D" w:rsidP="0095270D">
      <w:pPr>
        <w:pBdr>
          <w:bottom w:val="single" w:sz="12" w:space="1" w:color="auto"/>
        </w:pBdr>
        <w:tabs>
          <w:tab w:val="left" w:pos="288"/>
          <w:tab w:val="left" w:pos="4752"/>
        </w:tabs>
        <w:jc w:val="both"/>
        <w:rPr>
          <w:rFonts w:cs="Times New Roman"/>
          <w:caps/>
          <w:color w:val="auto"/>
        </w:rPr>
      </w:pPr>
      <w:r w:rsidRPr="005E2B66">
        <w:rPr>
          <w:caps/>
          <w:color w:val="auto"/>
        </w:rPr>
        <w:t>BOARD DATE:  2012</w:t>
      </w:r>
      <w:r w:rsidR="005E4E26">
        <w:rPr>
          <w:caps/>
          <w:color w:val="auto"/>
        </w:rPr>
        <w:t>0817</w:t>
      </w:r>
    </w:p>
    <w:p w:rsidR="0095270D" w:rsidRPr="005E2B66" w:rsidRDefault="0095270D" w:rsidP="0095270D">
      <w:pPr>
        <w:pBdr>
          <w:bottom w:val="single" w:sz="12" w:space="1" w:color="auto"/>
        </w:pBdr>
        <w:tabs>
          <w:tab w:val="left" w:pos="288"/>
          <w:tab w:val="left" w:pos="4752"/>
        </w:tabs>
        <w:jc w:val="both"/>
        <w:rPr>
          <w:color w:val="auto"/>
        </w:rPr>
      </w:pPr>
    </w:p>
    <w:p w:rsidR="00AD2379" w:rsidRPr="005E2B66" w:rsidRDefault="00AD2379" w:rsidP="00BF0E94">
      <w:pPr>
        <w:tabs>
          <w:tab w:val="left" w:pos="288"/>
          <w:tab w:val="left" w:pos="4752"/>
        </w:tabs>
        <w:jc w:val="both"/>
        <w:rPr>
          <w:color w:val="auto"/>
        </w:rPr>
      </w:pPr>
    </w:p>
    <w:p w:rsidR="000B1C9E" w:rsidRPr="005E2B66" w:rsidRDefault="00AD2379" w:rsidP="00BF0E94">
      <w:pPr>
        <w:tabs>
          <w:tab w:val="left" w:pos="288"/>
          <w:tab w:val="left" w:pos="4752"/>
        </w:tabs>
        <w:jc w:val="both"/>
        <w:rPr>
          <w:color w:val="auto"/>
        </w:rPr>
      </w:pPr>
      <w:r w:rsidRPr="005E2B66">
        <w:rPr>
          <w:color w:val="auto"/>
          <w:u w:val="single"/>
        </w:rPr>
        <w:t>SUMMARY OF CASE</w:t>
      </w:r>
      <w:r w:rsidRPr="005E2B66">
        <w:rPr>
          <w:color w:val="auto"/>
        </w:rPr>
        <w:t>:</w:t>
      </w:r>
      <w:r w:rsidR="00532B33" w:rsidRPr="005E2B66">
        <w:rPr>
          <w:color w:val="auto"/>
        </w:rPr>
        <w:t xml:space="preserve"> </w:t>
      </w:r>
      <w:r w:rsidRPr="005E2B66">
        <w:rPr>
          <w:color w:val="auto"/>
        </w:rPr>
        <w:t xml:space="preserve"> Data extracted from the available evidence of record reflects that this covered individual (CI) was </w:t>
      </w:r>
      <w:r w:rsidR="0038259A">
        <w:rPr>
          <w:color w:val="auto"/>
        </w:rPr>
        <w:t>a</w:t>
      </w:r>
      <w:r w:rsidR="00A70270" w:rsidRPr="005E2B66">
        <w:rPr>
          <w:color w:val="auto"/>
        </w:rPr>
        <w:t xml:space="preserve"> </w:t>
      </w:r>
      <w:r w:rsidR="00D40E74" w:rsidRPr="005E2B66">
        <w:rPr>
          <w:color w:val="auto"/>
        </w:rPr>
        <w:t xml:space="preserve">National </w:t>
      </w:r>
      <w:r w:rsidR="00D40E74">
        <w:rPr>
          <w:color w:val="auto"/>
        </w:rPr>
        <w:t>Guard</w:t>
      </w:r>
      <w:r w:rsidR="00D40E74" w:rsidRPr="005E2B66">
        <w:rPr>
          <w:color w:val="auto"/>
        </w:rPr>
        <w:t xml:space="preserve"> SPC</w:t>
      </w:r>
      <w:r w:rsidR="0017172C" w:rsidRPr="005E2B66">
        <w:rPr>
          <w:color w:val="auto"/>
        </w:rPr>
        <w:t>/E-</w:t>
      </w:r>
      <w:r w:rsidR="00E02D1E" w:rsidRPr="005E2B66">
        <w:rPr>
          <w:color w:val="auto"/>
        </w:rPr>
        <w:t>4</w:t>
      </w:r>
      <w:r w:rsidRPr="005E2B66">
        <w:rPr>
          <w:color w:val="auto"/>
        </w:rPr>
        <w:t xml:space="preserve"> (</w:t>
      </w:r>
      <w:r w:rsidR="00E02D1E" w:rsidRPr="005E2B66">
        <w:rPr>
          <w:color w:val="auto"/>
        </w:rPr>
        <w:t>11B</w:t>
      </w:r>
      <w:r w:rsidR="00112F44" w:rsidRPr="005E2B66">
        <w:rPr>
          <w:color w:val="auto"/>
        </w:rPr>
        <w:t>/</w:t>
      </w:r>
      <w:r w:rsidR="00E02D1E" w:rsidRPr="005E2B66">
        <w:rPr>
          <w:color w:val="auto"/>
        </w:rPr>
        <w:t>Infantryman</w:t>
      </w:r>
      <w:r w:rsidR="00A70270" w:rsidRPr="005E2B66">
        <w:rPr>
          <w:color w:val="auto"/>
        </w:rPr>
        <w:t>)</w:t>
      </w:r>
      <w:r w:rsidR="00565636" w:rsidRPr="005E2B66">
        <w:rPr>
          <w:color w:val="auto"/>
        </w:rPr>
        <w:t>,</w:t>
      </w:r>
      <w:r w:rsidR="00A70270" w:rsidRPr="005E2B66">
        <w:rPr>
          <w:color w:val="auto"/>
        </w:rPr>
        <w:t xml:space="preserve"> </w:t>
      </w:r>
      <w:r w:rsidRPr="005E2B66">
        <w:rPr>
          <w:color w:val="auto"/>
        </w:rPr>
        <w:t xml:space="preserve">medically separated for </w:t>
      </w:r>
      <w:r w:rsidR="00626B32">
        <w:rPr>
          <w:color w:val="auto"/>
        </w:rPr>
        <w:t>chronic low back pain</w:t>
      </w:r>
      <w:r w:rsidR="00E02D1E" w:rsidRPr="005E2B66">
        <w:rPr>
          <w:color w:val="auto"/>
        </w:rPr>
        <w:t xml:space="preserve"> </w:t>
      </w:r>
      <w:r w:rsidR="001F3E44">
        <w:rPr>
          <w:color w:val="auto"/>
        </w:rPr>
        <w:t xml:space="preserve">(LBP) </w:t>
      </w:r>
      <w:r w:rsidR="00E02D1E" w:rsidRPr="005E2B66">
        <w:rPr>
          <w:color w:val="auto"/>
        </w:rPr>
        <w:t>with right S1 radiculopathy</w:t>
      </w:r>
      <w:r w:rsidR="0021565F" w:rsidRPr="005E2B66">
        <w:rPr>
          <w:color w:val="auto"/>
          <w:szCs w:val="24"/>
        </w:rPr>
        <w:t>.</w:t>
      </w:r>
      <w:r w:rsidR="006D5E1E" w:rsidRPr="005E2B66">
        <w:rPr>
          <w:color w:val="auto"/>
          <w:szCs w:val="24"/>
        </w:rPr>
        <w:t xml:space="preserve">  </w:t>
      </w:r>
      <w:r w:rsidR="008B5DD0">
        <w:rPr>
          <w:color w:val="auto"/>
          <w:szCs w:val="24"/>
        </w:rPr>
        <w:t xml:space="preserve">This </w:t>
      </w:r>
      <w:r w:rsidR="002143E5" w:rsidRPr="005E2B66">
        <w:rPr>
          <w:color w:val="auto"/>
        </w:rPr>
        <w:t>condition</w:t>
      </w:r>
      <w:r w:rsidR="00F566B7" w:rsidRPr="005E2B66">
        <w:rPr>
          <w:color w:val="auto"/>
        </w:rPr>
        <w:t xml:space="preserve"> could </w:t>
      </w:r>
      <w:r w:rsidR="00F15483" w:rsidRPr="005E2B66">
        <w:rPr>
          <w:color w:val="auto"/>
        </w:rPr>
        <w:t>not be adequately rehabilitated</w:t>
      </w:r>
      <w:r w:rsidR="008B5DD0">
        <w:rPr>
          <w:color w:val="auto"/>
        </w:rPr>
        <w:t xml:space="preserve"> and t</w:t>
      </w:r>
      <w:r w:rsidR="00F15483" w:rsidRPr="005E2B66">
        <w:rPr>
          <w:color w:val="auto"/>
        </w:rPr>
        <w:t xml:space="preserve">he CI </w:t>
      </w:r>
      <w:r w:rsidR="008B5DD0">
        <w:rPr>
          <w:color w:val="auto"/>
        </w:rPr>
        <w:t xml:space="preserve">was not able to </w:t>
      </w:r>
      <w:r w:rsidR="00F566B7" w:rsidRPr="005E2B66">
        <w:rPr>
          <w:color w:val="auto"/>
        </w:rPr>
        <w:t>meet the physical requirements of his Military Occupational Specialty (MOS)</w:t>
      </w:r>
      <w:r w:rsidR="0021565F" w:rsidRPr="005E2B66">
        <w:rPr>
          <w:color w:val="auto"/>
        </w:rPr>
        <w:t xml:space="preserve"> </w:t>
      </w:r>
      <w:r w:rsidR="00F566B7" w:rsidRPr="005E2B66">
        <w:rPr>
          <w:color w:val="auto"/>
        </w:rPr>
        <w:t>or satis</w:t>
      </w:r>
      <w:r w:rsidR="009C12A1" w:rsidRPr="005E2B66">
        <w:rPr>
          <w:color w:val="auto"/>
        </w:rPr>
        <w:t>fy physical fitness standards.</w:t>
      </w:r>
      <w:r w:rsidR="00F566B7" w:rsidRPr="005E2B66">
        <w:rPr>
          <w:color w:val="auto"/>
        </w:rPr>
        <w:t xml:space="preserve"> </w:t>
      </w:r>
      <w:r w:rsidR="009C12A1" w:rsidRPr="005E2B66">
        <w:rPr>
          <w:color w:val="auto"/>
        </w:rPr>
        <w:t xml:space="preserve"> He </w:t>
      </w:r>
      <w:r w:rsidR="00F566B7" w:rsidRPr="005E2B66">
        <w:rPr>
          <w:color w:val="auto"/>
        </w:rPr>
        <w:t>was issued a permanent L3 profile and</w:t>
      </w:r>
      <w:r w:rsidR="009C12A1" w:rsidRPr="005E2B66">
        <w:rPr>
          <w:color w:val="auto"/>
        </w:rPr>
        <w:t xml:space="preserve"> </w:t>
      </w:r>
      <w:r w:rsidR="00D40E74">
        <w:rPr>
          <w:color w:val="auto"/>
        </w:rPr>
        <w:t>was</w:t>
      </w:r>
      <w:r w:rsidR="008B5DD0">
        <w:rPr>
          <w:color w:val="auto"/>
        </w:rPr>
        <w:t xml:space="preserve"> </w:t>
      </w:r>
      <w:r w:rsidR="00F566B7" w:rsidRPr="005E2B66">
        <w:rPr>
          <w:color w:val="auto"/>
        </w:rPr>
        <w:t>referred for a Medical Evaluation Board (MEB).</w:t>
      </w:r>
      <w:r w:rsidR="006D5E1E" w:rsidRPr="005E2B66">
        <w:rPr>
          <w:color w:val="auto"/>
        </w:rPr>
        <w:t xml:space="preserve">  </w:t>
      </w:r>
      <w:r w:rsidR="00F15483" w:rsidRPr="005E2B66">
        <w:rPr>
          <w:color w:val="auto"/>
        </w:rPr>
        <w:t xml:space="preserve">The MEB forwarded no other conditions for </w:t>
      </w:r>
      <w:r w:rsidR="008B5DD0">
        <w:rPr>
          <w:color w:val="auto"/>
        </w:rPr>
        <w:t>Physical Evaluation Board (</w:t>
      </w:r>
      <w:r w:rsidR="00F15483" w:rsidRPr="005E2B66">
        <w:rPr>
          <w:color w:val="auto"/>
        </w:rPr>
        <w:t>PEB</w:t>
      </w:r>
      <w:r w:rsidR="008B5DD0">
        <w:rPr>
          <w:color w:val="auto"/>
        </w:rPr>
        <w:t>)</w:t>
      </w:r>
      <w:r w:rsidR="00F15483" w:rsidRPr="005E2B66">
        <w:rPr>
          <w:color w:val="auto"/>
        </w:rPr>
        <w:t xml:space="preserve"> adjudication.</w:t>
      </w:r>
      <w:r w:rsidR="006D5E1E" w:rsidRPr="005E2B66">
        <w:rPr>
          <w:color w:val="auto"/>
        </w:rPr>
        <w:t xml:space="preserve">  </w:t>
      </w:r>
      <w:r w:rsidR="001F3E44">
        <w:rPr>
          <w:color w:val="auto"/>
        </w:rPr>
        <w:t>The</w:t>
      </w:r>
      <w:r w:rsidRPr="005E2B66">
        <w:rPr>
          <w:color w:val="auto"/>
        </w:rPr>
        <w:t xml:space="preserve"> PEB adjudicated the </w:t>
      </w:r>
      <w:r w:rsidR="00E02D1E" w:rsidRPr="005E2B66">
        <w:rPr>
          <w:color w:val="auto"/>
        </w:rPr>
        <w:t xml:space="preserve">chronic </w:t>
      </w:r>
      <w:r w:rsidR="001F3E44">
        <w:rPr>
          <w:color w:val="auto"/>
        </w:rPr>
        <w:t>LBP</w:t>
      </w:r>
      <w:r w:rsidR="00E02D1E" w:rsidRPr="005E2B66">
        <w:rPr>
          <w:color w:val="auto"/>
        </w:rPr>
        <w:t xml:space="preserve">, with right S1 radiculopathy </w:t>
      </w:r>
      <w:r w:rsidR="008530E3" w:rsidRPr="005E2B66">
        <w:rPr>
          <w:color w:val="auto"/>
        </w:rPr>
        <w:t xml:space="preserve">condition as unfitting, rated </w:t>
      </w:r>
      <w:r w:rsidR="00E02D1E" w:rsidRPr="005E2B66">
        <w:rPr>
          <w:color w:val="auto"/>
        </w:rPr>
        <w:t>20%</w:t>
      </w:r>
      <w:r w:rsidR="00BF72CA" w:rsidRPr="005E2B66">
        <w:rPr>
          <w:color w:val="auto"/>
        </w:rPr>
        <w:t>.</w:t>
      </w:r>
      <w:r w:rsidR="00165C7B" w:rsidRPr="005E2B66">
        <w:rPr>
          <w:color w:val="auto"/>
        </w:rPr>
        <w:t xml:space="preserve">  </w:t>
      </w:r>
      <w:r w:rsidRPr="005E2B66">
        <w:rPr>
          <w:color w:val="auto"/>
        </w:rPr>
        <w:t xml:space="preserve">The CI made no appeals, and was medically separated with </w:t>
      </w:r>
      <w:r w:rsidR="0066684A" w:rsidRPr="005E2B66">
        <w:rPr>
          <w:color w:val="auto"/>
        </w:rPr>
        <w:t xml:space="preserve">a </w:t>
      </w:r>
      <w:r w:rsidR="00E02D1E" w:rsidRPr="005E2B66">
        <w:rPr>
          <w:color w:val="auto"/>
        </w:rPr>
        <w:t>20%</w:t>
      </w:r>
      <w:r w:rsidR="0066684A" w:rsidRPr="005E2B66">
        <w:rPr>
          <w:color w:val="auto"/>
        </w:rPr>
        <w:t xml:space="preserve"> </w:t>
      </w:r>
      <w:r w:rsidRPr="005E2B66">
        <w:rPr>
          <w:color w:val="auto"/>
        </w:rPr>
        <w:t>disability rating.</w:t>
      </w:r>
      <w:r w:rsidR="00165C7B" w:rsidRPr="005E2B66">
        <w:rPr>
          <w:color w:val="auto"/>
        </w:rPr>
        <w:t xml:space="preserve">  </w:t>
      </w:r>
    </w:p>
    <w:p w:rsidR="00042978" w:rsidRPr="005E2B66" w:rsidRDefault="00042978" w:rsidP="00042978">
      <w:pPr>
        <w:pBdr>
          <w:bottom w:val="single" w:sz="12" w:space="1" w:color="auto"/>
        </w:pBdr>
        <w:tabs>
          <w:tab w:val="left" w:pos="288"/>
          <w:tab w:val="left" w:pos="4752"/>
        </w:tabs>
        <w:jc w:val="both"/>
        <w:rPr>
          <w:color w:val="auto"/>
        </w:rPr>
      </w:pPr>
    </w:p>
    <w:p w:rsidR="00042978" w:rsidRPr="005E2B66" w:rsidRDefault="00042978" w:rsidP="00042978">
      <w:pPr>
        <w:jc w:val="left"/>
        <w:rPr>
          <w:color w:val="auto"/>
          <w:u w:val="single"/>
        </w:rPr>
      </w:pPr>
    </w:p>
    <w:p w:rsidR="00E212DF" w:rsidRPr="005E2B66" w:rsidRDefault="00AD2379" w:rsidP="00E212DF">
      <w:pPr>
        <w:tabs>
          <w:tab w:val="left" w:pos="288"/>
          <w:tab w:val="left" w:pos="4752"/>
        </w:tabs>
        <w:jc w:val="both"/>
        <w:rPr>
          <w:color w:val="auto"/>
        </w:rPr>
      </w:pPr>
      <w:r w:rsidRPr="005E2B66">
        <w:rPr>
          <w:color w:val="auto"/>
          <w:u w:val="single"/>
        </w:rPr>
        <w:t>CI CONTENTION</w:t>
      </w:r>
      <w:r w:rsidRPr="005E2B66">
        <w:rPr>
          <w:color w:val="auto"/>
        </w:rPr>
        <w:t>:</w:t>
      </w:r>
      <w:r w:rsidR="0066684A" w:rsidRPr="005E2B66">
        <w:rPr>
          <w:color w:val="auto"/>
        </w:rPr>
        <w:t xml:space="preserve"> </w:t>
      </w:r>
      <w:r w:rsidR="006F674E" w:rsidRPr="005E2B66">
        <w:rPr>
          <w:color w:val="auto"/>
        </w:rPr>
        <w:t xml:space="preserve"> </w:t>
      </w:r>
      <w:r w:rsidR="00334081" w:rsidRPr="005E2B66">
        <w:rPr>
          <w:color w:val="auto"/>
        </w:rPr>
        <w:t>“Condition evaluation to</w:t>
      </w:r>
      <w:r w:rsidR="0044375F">
        <w:rPr>
          <w:color w:val="auto"/>
        </w:rPr>
        <w:t>o</w:t>
      </w:r>
      <w:r w:rsidR="00334081" w:rsidRPr="005E2B66">
        <w:rPr>
          <w:color w:val="auto"/>
        </w:rPr>
        <w:t xml:space="preserve"> low.”</w:t>
      </w:r>
    </w:p>
    <w:p w:rsidR="004306E0" w:rsidRPr="005E2B66" w:rsidRDefault="004306E0" w:rsidP="00BF0E94">
      <w:pPr>
        <w:pBdr>
          <w:bottom w:val="single" w:sz="12" w:space="1" w:color="auto"/>
        </w:pBdr>
        <w:tabs>
          <w:tab w:val="left" w:pos="288"/>
          <w:tab w:val="left" w:pos="4752"/>
        </w:tabs>
        <w:jc w:val="both"/>
        <w:rPr>
          <w:color w:val="auto"/>
        </w:rPr>
      </w:pPr>
    </w:p>
    <w:p w:rsidR="007635A8" w:rsidRPr="005E2B66" w:rsidRDefault="007635A8" w:rsidP="007635A8">
      <w:pPr>
        <w:jc w:val="both"/>
        <w:rPr>
          <w:color w:val="auto"/>
          <w:u w:val="single"/>
        </w:rPr>
      </w:pPr>
    </w:p>
    <w:p w:rsidR="00921F7F" w:rsidRPr="005E2B66" w:rsidRDefault="00921F7F" w:rsidP="00DD5558">
      <w:pPr>
        <w:jc w:val="both"/>
        <w:rPr>
          <w:color w:val="auto"/>
        </w:rPr>
      </w:pPr>
      <w:r w:rsidRPr="005E2B66">
        <w:rPr>
          <w:color w:val="auto"/>
          <w:u w:val="single"/>
        </w:rPr>
        <w:t>SCOPE OF REVIEW</w:t>
      </w:r>
      <w:r w:rsidRPr="005E2B66">
        <w:rPr>
          <w:color w:val="auto"/>
        </w:rPr>
        <w:t xml:space="preserve">:  </w:t>
      </w:r>
      <w:r w:rsidR="00FD5EB4" w:rsidRPr="005E2B66">
        <w:rPr>
          <w:color w:val="auto"/>
        </w:rPr>
        <w:t>The Board wishes to clarify that the scope of its review as defined in DoDI 6040.44 (4.a) is limited to those conditions which were determined by the PEB to be specifically unfitting for continued military service; and, when requested by the CI, those condition(s) “identified but not determined to be unfitting by the PEB</w:t>
      </w:r>
      <w:r w:rsidR="00C10702" w:rsidRPr="005E2B66">
        <w:rPr>
          <w:color w:val="auto"/>
        </w:rPr>
        <w:t>.</w:t>
      </w:r>
      <w:r w:rsidR="00FD5EB4" w:rsidRPr="005E2B66">
        <w:rPr>
          <w:color w:val="auto"/>
        </w:rPr>
        <w:t>”  Any conditions or contention not requested in this application, or otherwise outside the Board’s defined scope of review, remain eligible for future consideration by the Army Board for the Correction of Military Records (</w:t>
      </w:r>
      <w:r w:rsidR="00DF3B06" w:rsidRPr="005E2B66">
        <w:rPr>
          <w:color w:val="auto"/>
        </w:rPr>
        <w:t>A</w:t>
      </w:r>
      <w:r w:rsidR="00FD5EB4" w:rsidRPr="005E2B66">
        <w:rPr>
          <w:color w:val="auto"/>
        </w:rPr>
        <w:t>BCMR)</w:t>
      </w:r>
      <w:r w:rsidR="00DD5558" w:rsidRPr="005E2B66">
        <w:rPr>
          <w:color w:val="auto"/>
        </w:rPr>
        <w:t>.</w:t>
      </w:r>
    </w:p>
    <w:p w:rsidR="000B63CF" w:rsidRPr="005E2B66" w:rsidRDefault="000B63CF" w:rsidP="000B63CF">
      <w:pPr>
        <w:pBdr>
          <w:bottom w:val="single" w:sz="12" w:space="1" w:color="auto"/>
        </w:pBdr>
        <w:tabs>
          <w:tab w:val="left" w:pos="288"/>
          <w:tab w:val="left" w:pos="4752"/>
        </w:tabs>
        <w:jc w:val="both"/>
        <w:rPr>
          <w:color w:val="auto"/>
        </w:rPr>
      </w:pPr>
    </w:p>
    <w:p w:rsidR="00921F7F" w:rsidRPr="005E2B66" w:rsidRDefault="00921F7F" w:rsidP="00BF0E94">
      <w:pPr>
        <w:tabs>
          <w:tab w:val="left" w:pos="288"/>
          <w:tab w:val="left" w:pos="4752"/>
        </w:tabs>
        <w:jc w:val="both"/>
        <w:rPr>
          <w:color w:val="auto"/>
        </w:rPr>
      </w:pPr>
    </w:p>
    <w:p w:rsidR="00AD2379" w:rsidRPr="005E2B66" w:rsidRDefault="00AD2379" w:rsidP="00BF0E94">
      <w:pPr>
        <w:jc w:val="left"/>
        <w:rPr>
          <w:color w:val="auto"/>
        </w:rPr>
      </w:pPr>
      <w:r w:rsidRPr="005E2B66">
        <w:rPr>
          <w:color w:val="auto"/>
          <w:u w:val="single"/>
        </w:rPr>
        <w:t>RATING COMPARISON</w:t>
      </w:r>
      <w:r w:rsidRPr="005E2B66">
        <w:rPr>
          <w:color w:val="auto"/>
        </w:rPr>
        <w:t xml:space="preserve">: </w:t>
      </w:r>
      <w:r w:rsidR="00855E73" w:rsidRPr="005E2B66">
        <w:rPr>
          <w:color w:val="auto"/>
        </w:rPr>
        <w:t xml:space="preserve"> </w:t>
      </w:r>
    </w:p>
    <w:p w:rsidR="006B1F4E" w:rsidRPr="005E2B66" w:rsidRDefault="006B1F4E" w:rsidP="00F90376">
      <w:pPr>
        <w:jc w:val="both"/>
        <w:rPr>
          <w:color w:val="auto"/>
        </w:rPr>
      </w:pPr>
    </w:p>
    <w:tbl>
      <w:tblPr>
        <w:tblStyle w:val="TableGrid"/>
        <w:tblW w:w="9369" w:type="dxa"/>
        <w:jc w:val="center"/>
        <w:tblInd w:w="9" w:type="dxa"/>
        <w:tblLayout w:type="fixed"/>
        <w:tblLook w:val="00A0"/>
      </w:tblPr>
      <w:tblGrid>
        <w:gridCol w:w="2169"/>
        <w:gridCol w:w="1080"/>
        <w:gridCol w:w="720"/>
        <w:gridCol w:w="2610"/>
        <w:gridCol w:w="1080"/>
        <w:gridCol w:w="720"/>
        <w:gridCol w:w="990"/>
      </w:tblGrid>
      <w:tr w:rsidR="00F90376" w:rsidRPr="005E2B66"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5E2B66" w:rsidRDefault="00F90376" w:rsidP="00334081">
            <w:pPr>
              <w:spacing w:line="180" w:lineRule="exact"/>
              <w:contextualSpacing/>
              <w:rPr>
                <w:rFonts w:cs="Calibri"/>
                <w:b/>
                <w:color w:val="auto"/>
                <w:sz w:val="18"/>
              </w:rPr>
            </w:pPr>
            <w:r w:rsidRPr="005E2B66">
              <w:rPr>
                <w:b/>
                <w:color w:val="auto"/>
                <w:sz w:val="18"/>
              </w:rPr>
              <w:t>Service PEB – Dated 200</w:t>
            </w:r>
            <w:r w:rsidR="00334081" w:rsidRPr="005E2B66">
              <w:rPr>
                <w:b/>
                <w:color w:val="auto"/>
                <w:sz w:val="18"/>
              </w:rPr>
              <w:t>30505</w:t>
            </w:r>
          </w:p>
        </w:tc>
        <w:tc>
          <w:tcPr>
            <w:tcW w:w="5400" w:type="dxa"/>
            <w:gridSpan w:val="4"/>
            <w:tcBorders>
              <w:left w:val="thinThickThinSmallGap" w:sz="24" w:space="0" w:color="auto"/>
            </w:tcBorders>
            <w:shd w:val="clear" w:color="auto" w:fill="D9D9D9"/>
            <w:vAlign w:val="center"/>
          </w:tcPr>
          <w:p w:rsidR="00F90376" w:rsidRPr="005E2B66" w:rsidRDefault="00F90376" w:rsidP="005E2B66">
            <w:pPr>
              <w:spacing w:line="180" w:lineRule="exact"/>
              <w:contextualSpacing/>
              <w:rPr>
                <w:rFonts w:cs="Calibri"/>
                <w:b/>
                <w:color w:val="auto"/>
                <w:sz w:val="18"/>
              </w:rPr>
            </w:pPr>
            <w:r w:rsidRPr="005E2B66">
              <w:rPr>
                <w:b/>
                <w:color w:val="auto"/>
                <w:sz w:val="18"/>
              </w:rPr>
              <w:t>VA (</w:t>
            </w:r>
            <w:r w:rsidR="005E2B66" w:rsidRPr="005E2B66">
              <w:rPr>
                <w:b/>
                <w:color w:val="auto"/>
                <w:sz w:val="18"/>
              </w:rPr>
              <w:t>2</w:t>
            </w:r>
            <w:r w:rsidRPr="005E2B66">
              <w:rPr>
                <w:b/>
                <w:color w:val="auto"/>
                <w:sz w:val="18"/>
              </w:rPr>
              <w:t xml:space="preserve"> Mos. Post-Separation) – All Effective Date 200</w:t>
            </w:r>
            <w:r w:rsidR="006B1F4E" w:rsidRPr="005E2B66">
              <w:rPr>
                <w:b/>
                <w:color w:val="auto"/>
                <w:sz w:val="18"/>
              </w:rPr>
              <w:t>30906</w:t>
            </w:r>
          </w:p>
        </w:tc>
      </w:tr>
      <w:tr w:rsidR="00F90376" w:rsidRPr="005E2B66" w:rsidTr="00AC5522">
        <w:trPr>
          <w:trHeight w:val="97"/>
          <w:jc w:val="center"/>
        </w:trPr>
        <w:tc>
          <w:tcPr>
            <w:tcW w:w="2169" w:type="dxa"/>
            <w:tcBorders>
              <w:bottom w:val="single" w:sz="4" w:space="0" w:color="000000"/>
              <w:right w:val="single" w:sz="4" w:space="0" w:color="auto"/>
            </w:tcBorders>
            <w:shd w:val="clear" w:color="auto" w:fill="D9D9D9"/>
            <w:vAlign w:val="center"/>
          </w:tcPr>
          <w:p w:rsidR="00F90376" w:rsidRPr="005E2B66" w:rsidRDefault="00F90376" w:rsidP="006B690F">
            <w:pPr>
              <w:spacing w:line="180" w:lineRule="exact"/>
              <w:contextualSpacing/>
              <w:rPr>
                <w:rFonts w:cs="Calibri"/>
                <w:b/>
                <w:color w:val="auto"/>
                <w:sz w:val="18"/>
              </w:rPr>
            </w:pPr>
            <w:r w:rsidRPr="005E2B66">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5E2B66" w:rsidRDefault="00F90376" w:rsidP="006B690F">
            <w:pPr>
              <w:spacing w:line="180" w:lineRule="exact"/>
              <w:contextualSpacing/>
              <w:rPr>
                <w:rFonts w:cs="Calibri"/>
                <w:b/>
                <w:color w:val="auto"/>
                <w:sz w:val="18"/>
              </w:rPr>
            </w:pPr>
            <w:r w:rsidRPr="005E2B66">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5E2B66" w:rsidRDefault="00F90376" w:rsidP="006B690F">
            <w:pPr>
              <w:spacing w:line="180" w:lineRule="exact"/>
              <w:contextualSpacing/>
              <w:rPr>
                <w:rFonts w:cs="Calibri"/>
                <w:b/>
                <w:color w:val="auto"/>
                <w:sz w:val="18"/>
              </w:rPr>
            </w:pPr>
            <w:r w:rsidRPr="005E2B66">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F90376" w:rsidRPr="005E2B66" w:rsidRDefault="00F90376" w:rsidP="006B690F">
            <w:pPr>
              <w:spacing w:line="180" w:lineRule="exact"/>
              <w:contextualSpacing/>
              <w:rPr>
                <w:rFonts w:cs="Calibri"/>
                <w:b/>
                <w:color w:val="auto"/>
                <w:sz w:val="18"/>
              </w:rPr>
            </w:pPr>
            <w:r w:rsidRPr="005E2B66">
              <w:rPr>
                <w:b/>
                <w:color w:val="auto"/>
                <w:sz w:val="18"/>
              </w:rPr>
              <w:t>Condition</w:t>
            </w:r>
          </w:p>
        </w:tc>
        <w:tc>
          <w:tcPr>
            <w:tcW w:w="1080" w:type="dxa"/>
            <w:tcBorders>
              <w:bottom w:val="single" w:sz="4" w:space="0" w:color="000000"/>
            </w:tcBorders>
            <w:shd w:val="clear" w:color="auto" w:fill="D9D9D9"/>
            <w:vAlign w:val="center"/>
          </w:tcPr>
          <w:p w:rsidR="00F90376" w:rsidRPr="005E2B66" w:rsidRDefault="00F90376" w:rsidP="006B690F">
            <w:pPr>
              <w:spacing w:line="180" w:lineRule="exact"/>
              <w:contextualSpacing/>
              <w:rPr>
                <w:rFonts w:cs="Calibri"/>
                <w:b/>
                <w:color w:val="auto"/>
                <w:sz w:val="18"/>
              </w:rPr>
            </w:pPr>
            <w:r w:rsidRPr="005E2B66">
              <w:rPr>
                <w:b/>
                <w:color w:val="auto"/>
                <w:sz w:val="18"/>
              </w:rPr>
              <w:t>Code</w:t>
            </w:r>
          </w:p>
        </w:tc>
        <w:tc>
          <w:tcPr>
            <w:tcW w:w="720" w:type="dxa"/>
            <w:tcBorders>
              <w:bottom w:val="single" w:sz="4" w:space="0" w:color="000000"/>
            </w:tcBorders>
            <w:shd w:val="clear" w:color="auto" w:fill="D9D9D9"/>
            <w:vAlign w:val="center"/>
          </w:tcPr>
          <w:p w:rsidR="00F90376" w:rsidRPr="005E2B66" w:rsidRDefault="00F90376" w:rsidP="006B690F">
            <w:pPr>
              <w:spacing w:line="180" w:lineRule="exact"/>
              <w:contextualSpacing/>
              <w:rPr>
                <w:rFonts w:cs="Calibri"/>
                <w:b/>
                <w:color w:val="auto"/>
                <w:sz w:val="18"/>
              </w:rPr>
            </w:pPr>
            <w:r w:rsidRPr="005E2B66">
              <w:rPr>
                <w:b/>
                <w:color w:val="auto"/>
                <w:sz w:val="18"/>
              </w:rPr>
              <w:t>Rating</w:t>
            </w:r>
          </w:p>
        </w:tc>
        <w:tc>
          <w:tcPr>
            <w:tcW w:w="990" w:type="dxa"/>
            <w:tcBorders>
              <w:bottom w:val="single" w:sz="4" w:space="0" w:color="000000"/>
            </w:tcBorders>
            <w:shd w:val="clear" w:color="auto" w:fill="D9D9D9"/>
            <w:vAlign w:val="center"/>
          </w:tcPr>
          <w:p w:rsidR="00F90376" w:rsidRPr="005E2B66" w:rsidRDefault="00F90376" w:rsidP="006B690F">
            <w:pPr>
              <w:spacing w:line="180" w:lineRule="exact"/>
              <w:contextualSpacing/>
              <w:rPr>
                <w:rFonts w:cs="Calibri"/>
                <w:b/>
                <w:color w:val="auto"/>
                <w:sz w:val="18"/>
              </w:rPr>
            </w:pPr>
            <w:r w:rsidRPr="005E2B66">
              <w:rPr>
                <w:b/>
                <w:color w:val="auto"/>
                <w:sz w:val="18"/>
              </w:rPr>
              <w:t>Exam</w:t>
            </w:r>
          </w:p>
        </w:tc>
      </w:tr>
      <w:tr w:rsidR="006B1F4E" w:rsidRPr="005E2B66" w:rsidTr="0017172C">
        <w:trPr>
          <w:trHeight w:val="118"/>
          <w:jc w:val="center"/>
        </w:trPr>
        <w:tc>
          <w:tcPr>
            <w:tcW w:w="2169" w:type="dxa"/>
            <w:vMerge w:val="restart"/>
            <w:tcBorders>
              <w:right w:val="single" w:sz="4" w:space="0" w:color="auto"/>
            </w:tcBorders>
            <w:shd w:val="clear" w:color="auto" w:fill="FFFFFF"/>
            <w:vAlign w:val="center"/>
          </w:tcPr>
          <w:p w:rsidR="006B1F4E" w:rsidRPr="005E2B66" w:rsidRDefault="006B1F4E" w:rsidP="00334081">
            <w:pPr>
              <w:spacing w:line="180" w:lineRule="exact"/>
              <w:contextualSpacing/>
              <w:jc w:val="left"/>
              <w:rPr>
                <w:rFonts w:cs="Calibri"/>
                <w:color w:val="auto"/>
                <w:sz w:val="18"/>
              </w:rPr>
            </w:pPr>
            <w:r w:rsidRPr="005E2B66">
              <w:rPr>
                <w:rFonts w:cs="Calibri"/>
                <w:color w:val="auto"/>
                <w:sz w:val="18"/>
              </w:rPr>
              <w:t>Chronic Low Back Pain with Right S1 Radiculopathy</w:t>
            </w:r>
          </w:p>
        </w:tc>
        <w:tc>
          <w:tcPr>
            <w:tcW w:w="1080" w:type="dxa"/>
            <w:vMerge w:val="restart"/>
            <w:tcBorders>
              <w:left w:val="single" w:sz="4" w:space="0" w:color="auto"/>
            </w:tcBorders>
            <w:shd w:val="clear" w:color="auto" w:fill="FFFFFF"/>
            <w:vAlign w:val="center"/>
          </w:tcPr>
          <w:p w:rsidR="006B1F4E" w:rsidRPr="005E2B66" w:rsidRDefault="006B1F4E" w:rsidP="006B690F">
            <w:pPr>
              <w:spacing w:line="180" w:lineRule="exact"/>
              <w:contextualSpacing/>
              <w:rPr>
                <w:rFonts w:cs="Calibri"/>
                <w:color w:val="auto"/>
                <w:sz w:val="18"/>
              </w:rPr>
            </w:pPr>
            <w:r w:rsidRPr="005E2B66">
              <w:rPr>
                <w:rFonts w:cs="Calibri"/>
                <w:color w:val="auto"/>
                <w:sz w:val="18"/>
              </w:rPr>
              <w:t>5293-5299-5295</w:t>
            </w:r>
          </w:p>
        </w:tc>
        <w:tc>
          <w:tcPr>
            <w:tcW w:w="720" w:type="dxa"/>
            <w:vMerge w:val="restart"/>
            <w:tcBorders>
              <w:right w:val="thinThickThinSmallGap" w:sz="24" w:space="0" w:color="auto"/>
            </w:tcBorders>
            <w:shd w:val="clear" w:color="auto" w:fill="FFFFFF"/>
            <w:vAlign w:val="center"/>
          </w:tcPr>
          <w:p w:rsidR="006B1F4E" w:rsidRPr="005E2B66" w:rsidRDefault="006B1F4E" w:rsidP="006B690F">
            <w:pPr>
              <w:spacing w:line="180" w:lineRule="exact"/>
              <w:rPr>
                <w:rFonts w:cs="Calibri"/>
                <w:color w:val="auto"/>
                <w:sz w:val="18"/>
              </w:rPr>
            </w:pPr>
            <w:r w:rsidRPr="005E2B66">
              <w:rPr>
                <w:rFonts w:cs="Calibri"/>
                <w:color w:val="auto"/>
                <w:sz w:val="18"/>
              </w:rPr>
              <w:t>20%</w:t>
            </w:r>
          </w:p>
        </w:tc>
        <w:tc>
          <w:tcPr>
            <w:tcW w:w="2610" w:type="dxa"/>
            <w:tcBorders>
              <w:left w:val="thinThickThinSmallGap" w:sz="24" w:space="0" w:color="auto"/>
            </w:tcBorders>
            <w:shd w:val="clear" w:color="auto" w:fill="FFFFFF"/>
            <w:vAlign w:val="center"/>
          </w:tcPr>
          <w:p w:rsidR="006B1F4E" w:rsidRPr="005E2B66" w:rsidRDefault="006B1F4E" w:rsidP="0017172C">
            <w:pPr>
              <w:spacing w:line="180" w:lineRule="exact"/>
              <w:contextualSpacing/>
              <w:jc w:val="left"/>
              <w:rPr>
                <w:rFonts w:cs="Calibri"/>
                <w:color w:val="auto"/>
                <w:sz w:val="18"/>
              </w:rPr>
            </w:pPr>
            <w:r w:rsidRPr="005E2B66">
              <w:rPr>
                <w:rFonts w:cs="Calibri"/>
                <w:color w:val="auto"/>
                <w:sz w:val="18"/>
              </w:rPr>
              <w:t>Bulging Disc L5-S1 with Foraminal Encroachment and Right L5 Radiculopathy, and Lumbar Myositis</w:t>
            </w:r>
          </w:p>
        </w:tc>
        <w:tc>
          <w:tcPr>
            <w:tcW w:w="1080" w:type="dxa"/>
            <w:shd w:val="clear" w:color="auto" w:fill="FFFFFF"/>
            <w:vAlign w:val="center"/>
          </w:tcPr>
          <w:p w:rsidR="006B1F4E" w:rsidRPr="005E2B66" w:rsidRDefault="006B1F4E" w:rsidP="0017172C">
            <w:pPr>
              <w:spacing w:line="180" w:lineRule="exact"/>
              <w:contextualSpacing/>
              <w:rPr>
                <w:rFonts w:cs="Calibri"/>
                <w:color w:val="auto"/>
                <w:sz w:val="18"/>
              </w:rPr>
            </w:pPr>
            <w:r w:rsidRPr="005E2B66">
              <w:rPr>
                <w:rFonts w:cs="Calibri"/>
                <w:color w:val="auto"/>
                <w:sz w:val="18"/>
              </w:rPr>
              <w:t>5021-5243</w:t>
            </w:r>
          </w:p>
        </w:tc>
        <w:tc>
          <w:tcPr>
            <w:tcW w:w="720" w:type="dxa"/>
            <w:shd w:val="clear" w:color="auto" w:fill="FFFFFF"/>
            <w:vAlign w:val="center"/>
          </w:tcPr>
          <w:p w:rsidR="006B1F4E" w:rsidRPr="005E2B66" w:rsidRDefault="006B1F4E" w:rsidP="0017172C">
            <w:pPr>
              <w:spacing w:line="180" w:lineRule="exact"/>
              <w:contextualSpacing/>
              <w:rPr>
                <w:rFonts w:cs="Calibri"/>
                <w:color w:val="auto"/>
                <w:sz w:val="18"/>
              </w:rPr>
            </w:pPr>
            <w:r w:rsidRPr="005E2B66">
              <w:rPr>
                <w:rFonts w:cs="Calibri"/>
                <w:color w:val="auto"/>
                <w:sz w:val="18"/>
              </w:rPr>
              <w:t>10%</w:t>
            </w:r>
          </w:p>
        </w:tc>
        <w:tc>
          <w:tcPr>
            <w:tcW w:w="990" w:type="dxa"/>
            <w:shd w:val="clear" w:color="auto" w:fill="FFFFFF"/>
            <w:vAlign w:val="center"/>
          </w:tcPr>
          <w:p w:rsidR="006B1F4E" w:rsidRPr="005E2B66" w:rsidRDefault="005E2B66" w:rsidP="0017172C">
            <w:pPr>
              <w:spacing w:line="180" w:lineRule="exact"/>
              <w:contextualSpacing/>
              <w:rPr>
                <w:rFonts w:cs="Calibri"/>
                <w:color w:val="auto"/>
                <w:sz w:val="18"/>
              </w:rPr>
            </w:pPr>
            <w:r w:rsidRPr="005E2B66">
              <w:rPr>
                <w:color w:val="auto"/>
                <w:sz w:val="18"/>
              </w:rPr>
              <w:t>20031106</w:t>
            </w:r>
          </w:p>
        </w:tc>
      </w:tr>
      <w:tr w:rsidR="006B1F4E" w:rsidRPr="005E2B66" w:rsidTr="0017172C">
        <w:trPr>
          <w:trHeight w:val="118"/>
          <w:jc w:val="center"/>
        </w:trPr>
        <w:tc>
          <w:tcPr>
            <w:tcW w:w="2169" w:type="dxa"/>
            <w:vMerge/>
            <w:tcBorders>
              <w:right w:val="single" w:sz="4" w:space="0" w:color="auto"/>
            </w:tcBorders>
            <w:shd w:val="clear" w:color="auto" w:fill="FFFFFF"/>
            <w:vAlign w:val="center"/>
          </w:tcPr>
          <w:p w:rsidR="006B1F4E" w:rsidRPr="005E2B66" w:rsidRDefault="006B1F4E" w:rsidP="006B690F">
            <w:pPr>
              <w:spacing w:line="180" w:lineRule="exact"/>
              <w:contextualSpacing/>
              <w:jc w:val="left"/>
              <w:rPr>
                <w:color w:val="auto"/>
                <w:sz w:val="18"/>
              </w:rPr>
            </w:pPr>
          </w:p>
        </w:tc>
        <w:tc>
          <w:tcPr>
            <w:tcW w:w="1080" w:type="dxa"/>
            <w:vMerge/>
            <w:tcBorders>
              <w:left w:val="single" w:sz="4" w:space="0" w:color="auto"/>
            </w:tcBorders>
            <w:shd w:val="clear" w:color="auto" w:fill="FFFFFF"/>
            <w:vAlign w:val="center"/>
          </w:tcPr>
          <w:p w:rsidR="006B1F4E" w:rsidRPr="005E2B66" w:rsidRDefault="006B1F4E" w:rsidP="006B690F">
            <w:pPr>
              <w:spacing w:line="180" w:lineRule="exact"/>
              <w:contextualSpacing/>
              <w:rPr>
                <w:color w:val="auto"/>
                <w:sz w:val="18"/>
              </w:rPr>
            </w:pPr>
          </w:p>
        </w:tc>
        <w:tc>
          <w:tcPr>
            <w:tcW w:w="720" w:type="dxa"/>
            <w:vMerge/>
            <w:tcBorders>
              <w:right w:val="thinThickThinSmallGap" w:sz="24" w:space="0" w:color="auto"/>
            </w:tcBorders>
            <w:shd w:val="clear" w:color="auto" w:fill="FFFFFF"/>
            <w:vAlign w:val="center"/>
          </w:tcPr>
          <w:p w:rsidR="006B1F4E" w:rsidRPr="005E2B66" w:rsidRDefault="006B1F4E" w:rsidP="006B690F">
            <w:pPr>
              <w:spacing w:line="180" w:lineRule="exact"/>
              <w:rPr>
                <w:color w:val="auto"/>
                <w:sz w:val="18"/>
              </w:rPr>
            </w:pPr>
          </w:p>
        </w:tc>
        <w:tc>
          <w:tcPr>
            <w:tcW w:w="2610" w:type="dxa"/>
            <w:tcBorders>
              <w:left w:val="thinThickThinSmallGap" w:sz="24" w:space="0" w:color="auto"/>
            </w:tcBorders>
            <w:shd w:val="clear" w:color="auto" w:fill="FFFFFF"/>
            <w:vAlign w:val="center"/>
          </w:tcPr>
          <w:p w:rsidR="006B1F4E" w:rsidRPr="005E2B66" w:rsidRDefault="006B1F4E" w:rsidP="0017172C">
            <w:pPr>
              <w:spacing w:line="180" w:lineRule="exact"/>
              <w:contextualSpacing/>
              <w:jc w:val="left"/>
              <w:rPr>
                <w:color w:val="auto"/>
                <w:sz w:val="18"/>
              </w:rPr>
            </w:pPr>
            <w:r w:rsidRPr="005E2B66">
              <w:rPr>
                <w:color w:val="auto"/>
                <w:sz w:val="18"/>
              </w:rPr>
              <w:t>Bulging Disc L5-S1 with Foraminal Encroachment and L5 Radiculopathy, and Lumbar Myositis Condition (Neurological Manifestations)</w:t>
            </w:r>
          </w:p>
        </w:tc>
        <w:tc>
          <w:tcPr>
            <w:tcW w:w="1080" w:type="dxa"/>
            <w:shd w:val="clear" w:color="auto" w:fill="FFFFFF"/>
            <w:vAlign w:val="center"/>
          </w:tcPr>
          <w:p w:rsidR="006B1F4E" w:rsidRPr="005E2B66" w:rsidRDefault="006B1F4E" w:rsidP="0017172C">
            <w:pPr>
              <w:spacing w:line="180" w:lineRule="exact"/>
              <w:contextualSpacing/>
              <w:rPr>
                <w:color w:val="auto"/>
                <w:sz w:val="18"/>
              </w:rPr>
            </w:pPr>
            <w:r w:rsidRPr="005E2B66">
              <w:rPr>
                <w:color w:val="auto"/>
                <w:sz w:val="18"/>
              </w:rPr>
              <w:t>5243-8620</w:t>
            </w:r>
          </w:p>
        </w:tc>
        <w:tc>
          <w:tcPr>
            <w:tcW w:w="720" w:type="dxa"/>
            <w:shd w:val="clear" w:color="auto" w:fill="FFFFFF"/>
            <w:vAlign w:val="center"/>
          </w:tcPr>
          <w:p w:rsidR="006B1F4E" w:rsidRPr="005E2B66" w:rsidRDefault="006B1F4E" w:rsidP="0017172C">
            <w:pPr>
              <w:spacing w:line="180" w:lineRule="exact"/>
              <w:contextualSpacing/>
              <w:rPr>
                <w:color w:val="auto"/>
                <w:sz w:val="18"/>
              </w:rPr>
            </w:pPr>
            <w:r w:rsidRPr="005E2B66">
              <w:rPr>
                <w:color w:val="auto"/>
                <w:sz w:val="18"/>
              </w:rPr>
              <w:t>10%</w:t>
            </w:r>
          </w:p>
        </w:tc>
        <w:tc>
          <w:tcPr>
            <w:tcW w:w="990" w:type="dxa"/>
            <w:shd w:val="clear" w:color="auto" w:fill="FFFFFF"/>
            <w:vAlign w:val="center"/>
          </w:tcPr>
          <w:p w:rsidR="006B1F4E" w:rsidRPr="005E2B66" w:rsidRDefault="005E2B66" w:rsidP="0017172C">
            <w:pPr>
              <w:spacing w:line="180" w:lineRule="exact"/>
              <w:contextualSpacing/>
              <w:rPr>
                <w:color w:val="auto"/>
                <w:sz w:val="18"/>
              </w:rPr>
            </w:pPr>
            <w:r w:rsidRPr="005E2B66">
              <w:rPr>
                <w:color w:val="auto"/>
                <w:sz w:val="18"/>
              </w:rPr>
              <w:t>20031106</w:t>
            </w:r>
          </w:p>
        </w:tc>
      </w:tr>
      <w:tr w:rsidR="006B1F4E" w:rsidRPr="005E2B66" w:rsidTr="00D40E74">
        <w:trPr>
          <w:trHeight w:val="118"/>
          <w:jc w:val="center"/>
        </w:trPr>
        <w:tc>
          <w:tcPr>
            <w:tcW w:w="3969" w:type="dxa"/>
            <w:gridSpan w:val="3"/>
            <w:vMerge w:val="restart"/>
            <w:tcBorders>
              <w:right w:val="thinThickThinSmallGap" w:sz="24" w:space="0" w:color="auto"/>
            </w:tcBorders>
            <w:shd w:val="clear" w:color="auto" w:fill="FFFFFF"/>
            <w:vAlign w:val="center"/>
          </w:tcPr>
          <w:p w:rsidR="006B1F4E" w:rsidRPr="005E2B66" w:rsidRDefault="006B1F4E" w:rsidP="006B690F">
            <w:pPr>
              <w:spacing w:line="180" w:lineRule="exact"/>
              <w:contextualSpacing/>
              <w:rPr>
                <w:color w:val="auto"/>
                <w:sz w:val="18"/>
              </w:rPr>
            </w:pPr>
            <w:r w:rsidRPr="005E2B66">
              <w:rPr>
                <w:rFonts w:cs="Calibri"/>
                <w:color w:val="auto"/>
                <w:sz w:val="18"/>
                <w:szCs w:val="18"/>
              </w:rPr>
              <w:t>↓No Additional MEB/PEB Entries↓</w:t>
            </w:r>
          </w:p>
        </w:tc>
        <w:tc>
          <w:tcPr>
            <w:tcW w:w="2610" w:type="dxa"/>
            <w:tcBorders>
              <w:left w:val="thinThickThinSmallGap" w:sz="24" w:space="0" w:color="auto"/>
            </w:tcBorders>
            <w:shd w:val="clear" w:color="auto" w:fill="FFFFFF"/>
            <w:vAlign w:val="center"/>
          </w:tcPr>
          <w:p w:rsidR="006B1F4E" w:rsidRPr="005E2B66" w:rsidRDefault="00626B32" w:rsidP="0017172C">
            <w:pPr>
              <w:spacing w:line="180" w:lineRule="exact"/>
              <w:contextualSpacing/>
              <w:jc w:val="left"/>
              <w:rPr>
                <w:color w:val="auto"/>
                <w:sz w:val="18"/>
              </w:rPr>
            </w:pPr>
            <w:r>
              <w:rPr>
                <w:color w:val="auto"/>
                <w:sz w:val="18"/>
              </w:rPr>
              <w:t>Trigeminal Autonomic Cepha</w:t>
            </w:r>
            <w:r w:rsidR="006B1F4E" w:rsidRPr="005E2B66">
              <w:rPr>
                <w:color w:val="auto"/>
                <w:sz w:val="18"/>
              </w:rPr>
              <w:t>lgia, also known as Headaches of the Migraine Type</w:t>
            </w:r>
          </w:p>
        </w:tc>
        <w:tc>
          <w:tcPr>
            <w:tcW w:w="1080" w:type="dxa"/>
            <w:shd w:val="clear" w:color="auto" w:fill="FFFFFF"/>
            <w:vAlign w:val="center"/>
          </w:tcPr>
          <w:p w:rsidR="006B1F4E" w:rsidRPr="005E2B66" w:rsidRDefault="006B1F4E" w:rsidP="0017172C">
            <w:pPr>
              <w:spacing w:line="180" w:lineRule="exact"/>
              <w:contextualSpacing/>
              <w:rPr>
                <w:color w:val="auto"/>
                <w:sz w:val="18"/>
              </w:rPr>
            </w:pPr>
            <w:r w:rsidRPr="005E2B66">
              <w:rPr>
                <w:color w:val="auto"/>
                <w:sz w:val="18"/>
              </w:rPr>
              <w:t>8100</w:t>
            </w:r>
          </w:p>
        </w:tc>
        <w:tc>
          <w:tcPr>
            <w:tcW w:w="720" w:type="dxa"/>
            <w:shd w:val="clear" w:color="auto" w:fill="FFFFFF"/>
            <w:vAlign w:val="center"/>
          </w:tcPr>
          <w:p w:rsidR="006B1F4E" w:rsidRPr="005E2B66" w:rsidRDefault="006B1F4E" w:rsidP="0017172C">
            <w:pPr>
              <w:spacing w:line="180" w:lineRule="exact"/>
              <w:contextualSpacing/>
              <w:rPr>
                <w:color w:val="auto"/>
                <w:sz w:val="18"/>
              </w:rPr>
            </w:pPr>
            <w:r w:rsidRPr="005E2B66">
              <w:rPr>
                <w:color w:val="auto"/>
                <w:sz w:val="18"/>
              </w:rPr>
              <w:t>10%</w:t>
            </w:r>
            <w:r w:rsidR="008E3958">
              <w:rPr>
                <w:color w:val="auto"/>
                <w:sz w:val="18"/>
              </w:rPr>
              <w:t>*</w:t>
            </w:r>
          </w:p>
        </w:tc>
        <w:tc>
          <w:tcPr>
            <w:tcW w:w="990" w:type="dxa"/>
            <w:shd w:val="clear" w:color="auto" w:fill="FFFFFF"/>
            <w:vAlign w:val="center"/>
          </w:tcPr>
          <w:p w:rsidR="006B1F4E" w:rsidRPr="005E2B66" w:rsidRDefault="005E2B66" w:rsidP="0017172C">
            <w:pPr>
              <w:spacing w:line="180" w:lineRule="exact"/>
              <w:contextualSpacing/>
              <w:rPr>
                <w:color w:val="auto"/>
                <w:sz w:val="18"/>
              </w:rPr>
            </w:pPr>
            <w:r w:rsidRPr="005E2B66">
              <w:rPr>
                <w:color w:val="auto"/>
                <w:sz w:val="18"/>
              </w:rPr>
              <w:t>20031106</w:t>
            </w:r>
          </w:p>
        </w:tc>
      </w:tr>
      <w:tr w:rsidR="006B1F4E" w:rsidRPr="005E2B66" w:rsidTr="0017172C">
        <w:trPr>
          <w:trHeight w:val="172"/>
          <w:jc w:val="center"/>
        </w:trPr>
        <w:tc>
          <w:tcPr>
            <w:tcW w:w="3969" w:type="dxa"/>
            <w:gridSpan w:val="3"/>
            <w:vMerge/>
            <w:tcBorders>
              <w:right w:val="thinThickThinSmallGap" w:sz="24" w:space="0" w:color="auto"/>
            </w:tcBorders>
            <w:shd w:val="clear" w:color="auto" w:fill="FFFFFF"/>
            <w:vAlign w:val="center"/>
          </w:tcPr>
          <w:p w:rsidR="006B1F4E" w:rsidRPr="005E2B66" w:rsidRDefault="006B1F4E" w:rsidP="006B690F">
            <w:pPr>
              <w:spacing w:line="180" w:lineRule="exact"/>
              <w:contextualSpacing/>
              <w:rPr>
                <w:rFonts w:cs="Calibri"/>
                <w:color w:val="auto"/>
                <w:sz w:val="18"/>
              </w:rPr>
            </w:pPr>
          </w:p>
        </w:tc>
        <w:tc>
          <w:tcPr>
            <w:tcW w:w="4410" w:type="dxa"/>
            <w:gridSpan w:val="3"/>
            <w:tcBorders>
              <w:left w:val="thinThickThinSmallGap" w:sz="24" w:space="0" w:color="auto"/>
            </w:tcBorders>
            <w:shd w:val="clear" w:color="auto" w:fill="FFFFFF"/>
            <w:vAlign w:val="center"/>
          </w:tcPr>
          <w:p w:rsidR="006B1F4E" w:rsidRPr="005E2B66" w:rsidRDefault="006B1F4E" w:rsidP="001D5888">
            <w:pPr>
              <w:spacing w:line="180" w:lineRule="exact"/>
              <w:contextualSpacing/>
              <w:rPr>
                <w:rFonts w:cs="Calibri"/>
                <w:color w:val="auto"/>
                <w:sz w:val="18"/>
              </w:rPr>
            </w:pPr>
            <w:r w:rsidRPr="005E2B66">
              <w:rPr>
                <w:color w:val="auto"/>
                <w:sz w:val="18"/>
              </w:rPr>
              <w:t xml:space="preserve">Not Service-Connected x </w:t>
            </w:r>
            <w:r w:rsidR="001D5888" w:rsidRPr="005E2B66">
              <w:rPr>
                <w:color w:val="auto"/>
                <w:sz w:val="18"/>
              </w:rPr>
              <w:t>3</w:t>
            </w:r>
          </w:p>
        </w:tc>
        <w:tc>
          <w:tcPr>
            <w:tcW w:w="990" w:type="dxa"/>
            <w:shd w:val="clear" w:color="auto" w:fill="FFFFFF"/>
            <w:vAlign w:val="center"/>
          </w:tcPr>
          <w:p w:rsidR="006B1F4E" w:rsidRPr="005E2B66" w:rsidRDefault="005E2B66" w:rsidP="0017172C">
            <w:pPr>
              <w:spacing w:line="180" w:lineRule="exact"/>
              <w:contextualSpacing/>
              <w:rPr>
                <w:rFonts w:cs="Calibri"/>
                <w:color w:val="auto"/>
                <w:sz w:val="18"/>
              </w:rPr>
            </w:pPr>
            <w:r w:rsidRPr="005E2B66">
              <w:rPr>
                <w:rFonts w:cs="Calibri"/>
                <w:color w:val="auto"/>
                <w:sz w:val="18"/>
              </w:rPr>
              <w:t>20031106</w:t>
            </w:r>
          </w:p>
        </w:tc>
      </w:tr>
      <w:tr w:rsidR="00F90376" w:rsidRPr="005E2B66" w:rsidTr="00AC5522">
        <w:trPr>
          <w:trHeight w:val="124"/>
          <w:jc w:val="center"/>
        </w:trPr>
        <w:tc>
          <w:tcPr>
            <w:tcW w:w="3969" w:type="dxa"/>
            <w:gridSpan w:val="3"/>
            <w:tcBorders>
              <w:right w:val="thinThickThinSmallGap" w:sz="24" w:space="0" w:color="auto"/>
            </w:tcBorders>
            <w:shd w:val="clear" w:color="auto" w:fill="D9D9D9"/>
          </w:tcPr>
          <w:p w:rsidR="00F90376" w:rsidRPr="005E2B66" w:rsidRDefault="00F90376" w:rsidP="00334081">
            <w:pPr>
              <w:spacing w:line="180" w:lineRule="exact"/>
              <w:contextualSpacing/>
              <w:rPr>
                <w:rFonts w:cs="Calibri"/>
                <w:b/>
                <w:color w:val="auto"/>
                <w:sz w:val="18"/>
              </w:rPr>
            </w:pPr>
            <w:r w:rsidRPr="005E2B66">
              <w:rPr>
                <w:b/>
                <w:color w:val="auto"/>
                <w:sz w:val="18"/>
              </w:rPr>
              <w:t xml:space="preserve">Combined: </w:t>
            </w:r>
            <w:r w:rsidR="00334081" w:rsidRPr="005E2B66">
              <w:rPr>
                <w:b/>
                <w:color w:val="auto"/>
                <w:sz w:val="18"/>
              </w:rPr>
              <w:t>20%</w:t>
            </w:r>
          </w:p>
        </w:tc>
        <w:tc>
          <w:tcPr>
            <w:tcW w:w="5400" w:type="dxa"/>
            <w:gridSpan w:val="4"/>
            <w:tcBorders>
              <w:left w:val="thinThickThinSmallGap" w:sz="24" w:space="0" w:color="auto"/>
            </w:tcBorders>
            <w:shd w:val="clear" w:color="auto" w:fill="D9D9D9"/>
          </w:tcPr>
          <w:p w:rsidR="00F90376" w:rsidRPr="005E2B66" w:rsidRDefault="00F90376" w:rsidP="006B1F4E">
            <w:pPr>
              <w:spacing w:line="180" w:lineRule="exact"/>
              <w:contextualSpacing/>
              <w:rPr>
                <w:rFonts w:cs="Calibri"/>
                <w:b/>
                <w:color w:val="auto"/>
                <w:sz w:val="18"/>
              </w:rPr>
            </w:pPr>
            <w:r w:rsidRPr="005E2B66">
              <w:rPr>
                <w:b/>
                <w:color w:val="auto"/>
                <w:sz w:val="18"/>
              </w:rPr>
              <w:t xml:space="preserve">Combined:  </w:t>
            </w:r>
            <w:r w:rsidR="006B1F4E" w:rsidRPr="005E2B66">
              <w:rPr>
                <w:b/>
                <w:color w:val="auto"/>
                <w:sz w:val="18"/>
              </w:rPr>
              <w:t>30</w:t>
            </w:r>
            <w:r w:rsidRPr="005E2B66">
              <w:rPr>
                <w:b/>
                <w:color w:val="auto"/>
                <w:sz w:val="18"/>
              </w:rPr>
              <w:t>%</w:t>
            </w:r>
          </w:p>
        </w:tc>
      </w:tr>
    </w:tbl>
    <w:p w:rsidR="008E3958" w:rsidRDefault="00F90376" w:rsidP="005F21CE">
      <w:pPr>
        <w:pBdr>
          <w:bottom w:val="single" w:sz="12" w:space="1" w:color="auto"/>
        </w:pBdr>
        <w:tabs>
          <w:tab w:val="left" w:pos="288"/>
          <w:tab w:val="left" w:pos="4752"/>
        </w:tabs>
        <w:spacing w:line="180" w:lineRule="exact"/>
        <w:jc w:val="both"/>
        <w:rPr>
          <w:color w:val="auto"/>
          <w:sz w:val="18"/>
          <w:szCs w:val="18"/>
        </w:rPr>
      </w:pPr>
      <w:r w:rsidRPr="005E2B66">
        <w:rPr>
          <w:color w:val="auto"/>
          <w:sz w:val="18"/>
          <w:szCs w:val="18"/>
        </w:rPr>
        <w:t>*</w:t>
      </w:r>
      <w:r w:rsidR="008E3958">
        <w:rPr>
          <w:color w:val="auto"/>
          <w:sz w:val="18"/>
          <w:szCs w:val="18"/>
        </w:rPr>
        <w:t>10% rating effective 20031106, not 20030906; increased to 30% effective 20101022</w:t>
      </w:r>
      <w:r w:rsidR="006B1F4E" w:rsidRPr="005E2B66">
        <w:rPr>
          <w:color w:val="auto"/>
          <w:sz w:val="18"/>
          <w:szCs w:val="18"/>
        </w:rPr>
        <w:t>.</w:t>
      </w:r>
    </w:p>
    <w:p w:rsidR="00F90376" w:rsidRDefault="008E3958" w:rsidP="005F21CE">
      <w:pPr>
        <w:pBdr>
          <w:bottom w:val="single" w:sz="12" w:space="1" w:color="auto"/>
        </w:pBdr>
        <w:tabs>
          <w:tab w:val="left" w:pos="288"/>
          <w:tab w:val="left" w:pos="4752"/>
        </w:tabs>
        <w:spacing w:line="180" w:lineRule="exact"/>
        <w:jc w:val="both"/>
        <w:rPr>
          <w:color w:val="auto"/>
          <w:sz w:val="18"/>
          <w:szCs w:val="18"/>
        </w:rPr>
      </w:pPr>
      <w:r>
        <w:rPr>
          <w:color w:val="auto"/>
          <w:sz w:val="18"/>
          <w:szCs w:val="18"/>
        </w:rPr>
        <w:t>*</w:t>
      </w:r>
      <w:r w:rsidR="009F68DD" w:rsidRPr="005E2B66">
        <w:rPr>
          <w:color w:val="auto"/>
          <w:sz w:val="18"/>
          <w:szCs w:val="18"/>
        </w:rPr>
        <w:t>*</w:t>
      </w:r>
      <w:r>
        <w:rPr>
          <w:color w:val="auto"/>
          <w:sz w:val="18"/>
          <w:szCs w:val="18"/>
        </w:rPr>
        <w:t xml:space="preserve">Increased </w:t>
      </w:r>
      <w:r w:rsidR="00072E29">
        <w:rPr>
          <w:color w:val="auto"/>
          <w:sz w:val="18"/>
          <w:szCs w:val="18"/>
        </w:rPr>
        <w:t xml:space="preserve">to </w:t>
      </w:r>
      <w:r w:rsidR="00072E29" w:rsidRPr="005E2B66">
        <w:rPr>
          <w:color w:val="auto"/>
          <w:sz w:val="18"/>
          <w:szCs w:val="18"/>
        </w:rPr>
        <w:t>40</w:t>
      </w:r>
      <w:r w:rsidR="009F68DD" w:rsidRPr="005E2B66">
        <w:rPr>
          <w:color w:val="auto"/>
          <w:sz w:val="18"/>
          <w:szCs w:val="18"/>
        </w:rPr>
        <w:t>% effective 20101022</w:t>
      </w:r>
      <w:r w:rsidR="00072E29">
        <w:rPr>
          <w:color w:val="auto"/>
          <w:sz w:val="18"/>
          <w:szCs w:val="18"/>
        </w:rPr>
        <w:t>.</w:t>
      </w:r>
    </w:p>
    <w:p w:rsidR="004921AD" w:rsidRPr="00F64312" w:rsidRDefault="004921AD" w:rsidP="005F21CE">
      <w:pPr>
        <w:pBdr>
          <w:bottom w:val="single" w:sz="12" w:space="1" w:color="auto"/>
        </w:pBdr>
        <w:tabs>
          <w:tab w:val="left" w:pos="288"/>
          <w:tab w:val="left" w:pos="4752"/>
        </w:tabs>
        <w:spacing w:line="180" w:lineRule="exact"/>
        <w:jc w:val="both"/>
        <w:rPr>
          <w:color w:val="auto"/>
        </w:rPr>
      </w:pPr>
    </w:p>
    <w:p w:rsidR="00AD2379" w:rsidRPr="00F64312" w:rsidRDefault="00AD2379" w:rsidP="005F21CE">
      <w:pPr>
        <w:jc w:val="both"/>
        <w:rPr>
          <w:color w:val="auto"/>
        </w:rPr>
      </w:pPr>
    </w:p>
    <w:p w:rsidR="002A0685" w:rsidRPr="00F64312" w:rsidRDefault="00AD2379" w:rsidP="002A0685">
      <w:pPr>
        <w:jc w:val="both"/>
        <w:rPr>
          <w:color w:val="auto"/>
        </w:rPr>
      </w:pPr>
      <w:r w:rsidRPr="00F64312">
        <w:rPr>
          <w:color w:val="auto"/>
          <w:u w:val="single"/>
        </w:rPr>
        <w:lastRenderedPageBreak/>
        <w:t>ANALYSIS SUMMARY</w:t>
      </w:r>
      <w:r w:rsidRPr="00F64312">
        <w:rPr>
          <w:color w:val="auto"/>
        </w:rPr>
        <w:t>:</w:t>
      </w:r>
      <w:r w:rsidR="00896C01" w:rsidRPr="00F64312">
        <w:rPr>
          <w:color w:val="auto"/>
        </w:rPr>
        <w:t xml:space="preserve"> </w:t>
      </w:r>
      <w:r w:rsidRPr="00F64312">
        <w:rPr>
          <w:color w:val="auto"/>
        </w:rPr>
        <w:t xml:space="preserve"> </w:t>
      </w:r>
      <w:r w:rsidR="002A0685" w:rsidRPr="009A376C">
        <w:rPr>
          <w:color w:val="auto"/>
        </w:rPr>
        <w:t xml:space="preserve">The Board acknowledges the sentiment expressed in the CI’s application, i.e., that the </w:t>
      </w:r>
      <w:r w:rsidR="002A0685" w:rsidRPr="002A0685">
        <w:rPr>
          <w:color w:val="auto"/>
        </w:rPr>
        <w:t>gravity of his condition merits consideration for a higher separation rating.  The Board wishes to clarify that it is subject to the same laws for disability entitlements as those under which the Disability Evaluation System (DES) operates.  While the DES considers all of the service member's medical conditions, compensation can only be offered for those medical conditions that cut short a service member’s career, and then only to the degree of severity present at the time of final disposition.  However the Department of Veteran</w:t>
      </w:r>
      <w:r w:rsidR="001F3E44">
        <w:rPr>
          <w:color w:val="auto"/>
        </w:rPr>
        <w:t>s’</w:t>
      </w:r>
      <w:r w:rsidR="002A0685" w:rsidRPr="002A0685">
        <w:rPr>
          <w:color w:val="auto"/>
        </w:rPr>
        <w:t xml:space="preserve"> Affairs (DVA), operating under a different set of laws (Title 38, United States Code), is empowered to comp</w:t>
      </w:r>
      <w:r w:rsidR="001F3E44">
        <w:rPr>
          <w:color w:val="auto"/>
        </w:rPr>
        <w:t>ensate all service-</w:t>
      </w:r>
      <w:r w:rsidR="002A0685" w:rsidRPr="002A0685">
        <w:rPr>
          <w:color w:val="auto"/>
        </w:rPr>
        <w:t xml:space="preserve">connected conditions and to periodically reevaluate said conditions for the purpose of adjusting the </w:t>
      </w:r>
      <w:r w:rsidR="001F3E44">
        <w:rPr>
          <w:color w:val="auto"/>
        </w:rPr>
        <w:t>V</w:t>
      </w:r>
      <w:r w:rsidR="002A0685" w:rsidRPr="002A0685">
        <w:rPr>
          <w:color w:val="auto"/>
        </w:rPr>
        <w:t xml:space="preserve">eteran’s disability rating should </w:t>
      </w:r>
      <w:r w:rsidR="001F3E44">
        <w:rPr>
          <w:color w:val="auto"/>
        </w:rPr>
        <w:t xml:space="preserve">the </w:t>
      </w:r>
      <w:r w:rsidR="002A0685" w:rsidRPr="002A0685">
        <w:rPr>
          <w:color w:val="auto"/>
        </w:rPr>
        <w:t xml:space="preserve">degree of impairment vary over time.  The Board utilizes </w:t>
      </w:r>
      <w:r w:rsidR="001F3E44">
        <w:rPr>
          <w:color w:val="auto"/>
        </w:rPr>
        <w:t>D</w:t>
      </w:r>
      <w:r w:rsidR="002A0685" w:rsidRPr="002A0685">
        <w:rPr>
          <w:color w:val="auto"/>
        </w:rPr>
        <w:t>VA evidence</w:t>
      </w:r>
      <w:r w:rsidR="002A0685" w:rsidRPr="009A376C">
        <w:rPr>
          <w:color w:val="auto"/>
        </w:rPr>
        <w:t xml:space="preserve"> proximal to separation in arriving at its recommendations; and, DoDI 6040.44 defines a 12-month interval for special consideration to post-separation evidence. </w:t>
      </w:r>
      <w:r w:rsidR="002A0685">
        <w:rPr>
          <w:color w:val="auto"/>
        </w:rPr>
        <w:t xml:space="preserve"> </w:t>
      </w:r>
      <w:r w:rsidR="002A0685" w:rsidRPr="009A376C">
        <w:rPr>
          <w:color w:val="auto"/>
        </w:rPr>
        <w:t xml:space="preserve">The Board’s authority as defined in DoDI 6040.44, however, resides in evaluating the fairness of DES fitness determinations and rating decisions for disability at the time of separation. </w:t>
      </w:r>
      <w:r w:rsidR="002A0685">
        <w:rPr>
          <w:color w:val="auto"/>
        </w:rPr>
        <w:t xml:space="preserve"> </w:t>
      </w:r>
      <w:r w:rsidR="002A0685" w:rsidRPr="009A376C">
        <w:rPr>
          <w:color w:val="auto"/>
        </w:rPr>
        <w:t>Post-separation evidence therefore is probative only to the extent that it reasonably reflects the disability and fitness implications at the time of separation.</w:t>
      </w:r>
    </w:p>
    <w:p w:rsidR="00AD2379" w:rsidRPr="00F64312" w:rsidRDefault="00AD2379" w:rsidP="005F21CE">
      <w:pPr>
        <w:jc w:val="both"/>
        <w:rPr>
          <w:color w:val="auto"/>
          <w:highlight w:val="yellow"/>
        </w:rPr>
      </w:pPr>
    </w:p>
    <w:p w:rsidR="0069687C" w:rsidRDefault="00334081" w:rsidP="005F21CE">
      <w:pPr>
        <w:jc w:val="both"/>
        <w:rPr>
          <w:color w:val="auto"/>
          <w:szCs w:val="24"/>
        </w:rPr>
      </w:pPr>
      <w:proofErr w:type="gramStart"/>
      <w:r w:rsidRPr="002A0685">
        <w:rPr>
          <w:color w:val="auto"/>
          <w:u w:val="single"/>
        </w:rPr>
        <w:t>Chronic Low Back Pain with Right S1 Radiculopathy</w:t>
      </w:r>
      <w:r w:rsidR="00AD2379" w:rsidRPr="002A0685">
        <w:rPr>
          <w:color w:val="auto"/>
        </w:rPr>
        <w:t>.</w:t>
      </w:r>
      <w:proofErr w:type="gramEnd"/>
      <w:r w:rsidR="00AD2379" w:rsidRPr="002A0685">
        <w:rPr>
          <w:color w:val="auto"/>
        </w:rPr>
        <w:t xml:space="preserve"> </w:t>
      </w:r>
      <w:r w:rsidR="00385708" w:rsidRPr="002A0685">
        <w:rPr>
          <w:color w:val="auto"/>
        </w:rPr>
        <w:t xml:space="preserve"> </w:t>
      </w:r>
      <w:r w:rsidR="0069687C" w:rsidRPr="002A0685">
        <w:rPr>
          <w:color w:val="auto"/>
          <w:szCs w:val="24"/>
        </w:rPr>
        <w:t>There</w:t>
      </w:r>
      <w:r w:rsidR="0069687C" w:rsidRPr="00F64312">
        <w:rPr>
          <w:color w:val="auto"/>
          <w:szCs w:val="24"/>
        </w:rPr>
        <w:t xml:space="preserve"> </w:t>
      </w:r>
      <w:r w:rsidR="002A0685">
        <w:rPr>
          <w:color w:val="auto"/>
          <w:szCs w:val="24"/>
        </w:rPr>
        <w:t>was one</w:t>
      </w:r>
      <w:r w:rsidR="00001E2A">
        <w:rPr>
          <w:color w:val="auto"/>
          <w:szCs w:val="24"/>
        </w:rPr>
        <w:t xml:space="preserve"> </w:t>
      </w:r>
      <w:r w:rsidR="001F3E44">
        <w:rPr>
          <w:color w:val="auto"/>
          <w:szCs w:val="24"/>
        </w:rPr>
        <w:t>goniometric range-of-</w:t>
      </w:r>
      <w:r w:rsidR="0069687C" w:rsidRPr="00F64312">
        <w:rPr>
          <w:color w:val="auto"/>
          <w:szCs w:val="24"/>
        </w:rPr>
        <w:t>motion (ROM) evaluations in evidence, with documentation of additional ratable criteria, which the Board weighed in arriving at its rating recommendation; as summarized in the chart below.</w:t>
      </w:r>
      <w:r w:rsidR="00165C7B" w:rsidRPr="00F64312">
        <w:rPr>
          <w:color w:val="auto"/>
          <w:szCs w:val="24"/>
        </w:rPr>
        <w:t xml:space="preserve">  </w:t>
      </w:r>
    </w:p>
    <w:p w:rsidR="00334081" w:rsidRPr="00F64312" w:rsidRDefault="00334081" w:rsidP="0069687C">
      <w:pPr>
        <w:jc w:val="both"/>
        <w:rPr>
          <w:color w:val="auto"/>
          <w:szCs w:val="24"/>
        </w:rPr>
      </w:pPr>
    </w:p>
    <w:tbl>
      <w:tblPr>
        <w:tblW w:w="0" w:type="auto"/>
        <w:jc w:val="center"/>
        <w:tblInd w:w="-2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5"/>
        <w:gridCol w:w="3150"/>
        <w:gridCol w:w="2700"/>
        <w:gridCol w:w="1995"/>
      </w:tblGrid>
      <w:tr w:rsidR="005F21CE" w:rsidRPr="00072E29" w:rsidTr="00200A10">
        <w:trPr>
          <w:jc w:val="center"/>
        </w:trPr>
        <w:tc>
          <w:tcPr>
            <w:tcW w:w="1725"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F21CE" w:rsidRPr="00626B32" w:rsidRDefault="005F21CE" w:rsidP="00D40E74">
            <w:pPr>
              <w:pStyle w:val="ListParagraph"/>
              <w:spacing w:after="0" w:line="200" w:lineRule="exact"/>
              <w:ind w:left="0"/>
              <w:rPr>
                <w:rFonts w:asciiTheme="majorHAnsi" w:eastAsia="Calibri" w:hAnsiTheme="majorHAnsi" w:cstheme="majorHAnsi"/>
                <w:b/>
                <w:sz w:val="20"/>
                <w:szCs w:val="20"/>
              </w:rPr>
            </w:pPr>
            <w:r w:rsidRPr="00626B32">
              <w:rPr>
                <w:rFonts w:asciiTheme="majorHAnsi" w:eastAsia="Calibri" w:hAnsiTheme="majorHAnsi" w:cstheme="majorHAnsi"/>
                <w:sz w:val="20"/>
                <w:szCs w:val="20"/>
              </w:rPr>
              <w:t>Thoracolumbar ROM</w:t>
            </w:r>
          </w:p>
        </w:tc>
        <w:tc>
          <w:tcPr>
            <w:tcW w:w="315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F21CE" w:rsidRDefault="005F21CE" w:rsidP="00D40E74">
            <w:pPr>
              <w:spacing w:line="200" w:lineRule="exact"/>
              <w:contextualSpacing/>
              <w:rPr>
                <w:rFonts w:asciiTheme="majorHAnsi" w:eastAsia="Calibri" w:hAnsiTheme="majorHAnsi" w:cstheme="majorHAnsi"/>
                <w:color w:val="auto"/>
                <w:sz w:val="20"/>
              </w:rPr>
            </w:pPr>
            <w:r w:rsidRPr="00626B32">
              <w:rPr>
                <w:rFonts w:asciiTheme="majorHAnsi" w:eastAsia="Calibri" w:hAnsiTheme="majorHAnsi" w:cstheme="majorHAnsi"/>
                <w:color w:val="auto"/>
                <w:sz w:val="20"/>
              </w:rPr>
              <w:t>MEB ~5 Mo</w:t>
            </w:r>
            <w:r>
              <w:rPr>
                <w:rFonts w:asciiTheme="majorHAnsi" w:eastAsia="Calibri" w:hAnsiTheme="majorHAnsi" w:cstheme="majorHAnsi"/>
                <w:color w:val="auto"/>
                <w:sz w:val="20"/>
              </w:rPr>
              <w:t>nths</w:t>
            </w:r>
            <w:r w:rsidRPr="00626B32">
              <w:rPr>
                <w:rFonts w:asciiTheme="majorHAnsi" w:eastAsia="Calibri" w:hAnsiTheme="majorHAnsi" w:cstheme="majorHAnsi"/>
                <w:color w:val="auto"/>
                <w:sz w:val="20"/>
              </w:rPr>
              <w:t xml:space="preserve"> </w:t>
            </w:r>
          </w:p>
          <w:p w:rsidR="005F21CE" w:rsidRPr="00626B32" w:rsidRDefault="005F21CE" w:rsidP="005E4E26">
            <w:pPr>
              <w:spacing w:line="200" w:lineRule="exact"/>
              <w:contextualSpacing/>
              <w:rPr>
                <w:rFonts w:asciiTheme="majorHAnsi" w:eastAsia="Calibri" w:hAnsiTheme="majorHAnsi" w:cstheme="majorHAnsi"/>
                <w:color w:val="auto"/>
                <w:sz w:val="20"/>
              </w:rPr>
            </w:pPr>
            <w:r w:rsidRPr="00626B32">
              <w:rPr>
                <w:rFonts w:asciiTheme="majorHAnsi" w:eastAsia="Calibri" w:hAnsiTheme="majorHAnsi" w:cstheme="majorHAnsi"/>
                <w:color w:val="auto"/>
                <w:sz w:val="20"/>
              </w:rPr>
              <w:t>Pre-Sep</w:t>
            </w:r>
            <w:r>
              <w:rPr>
                <w:rFonts w:asciiTheme="majorHAnsi" w:eastAsia="Calibri" w:hAnsiTheme="majorHAnsi" w:cstheme="majorHAnsi"/>
                <w:color w:val="auto"/>
                <w:sz w:val="20"/>
              </w:rPr>
              <w:t>aration</w:t>
            </w:r>
          </w:p>
        </w:tc>
        <w:tc>
          <w:tcPr>
            <w:tcW w:w="270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F21CE" w:rsidRDefault="005F21CE" w:rsidP="00D40E74">
            <w:pPr>
              <w:spacing w:line="200" w:lineRule="exact"/>
              <w:contextualSpacing/>
              <w:rPr>
                <w:rFonts w:asciiTheme="majorHAnsi" w:eastAsia="Calibri" w:hAnsiTheme="majorHAnsi" w:cstheme="majorHAnsi"/>
                <w:color w:val="auto"/>
                <w:sz w:val="20"/>
              </w:rPr>
            </w:pPr>
            <w:r w:rsidRPr="00626B32">
              <w:rPr>
                <w:rFonts w:asciiTheme="majorHAnsi" w:eastAsia="Calibri" w:hAnsiTheme="majorHAnsi" w:cstheme="majorHAnsi"/>
                <w:color w:val="auto"/>
                <w:sz w:val="20"/>
              </w:rPr>
              <w:t>VA</w:t>
            </w:r>
            <w:r w:rsidRPr="00626B32">
              <w:rPr>
                <w:rFonts w:asciiTheme="majorHAnsi" w:eastAsiaTheme="minorHAnsi" w:hAnsiTheme="majorHAnsi" w:cstheme="majorHAnsi"/>
                <w:color w:val="auto"/>
                <w:sz w:val="20"/>
              </w:rPr>
              <w:t xml:space="preserve"> C&amp;P </w:t>
            </w:r>
            <w:r>
              <w:rPr>
                <w:rFonts w:asciiTheme="majorHAnsi" w:eastAsia="Calibri" w:hAnsiTheme="majorHAnsi" w:cstheme="majorHAnsi"/>
                <w:color w:val="auto"/>
                <w:sz w:val="20"/>
              </w:rPr>
              <w:t>~2 Months</w:t>
            </w:r>
            <w:r w:rsidRPr="00626B32">
              <w:rPr>
                <w:rFonts w:asciiTheme="majorHAnsi" w:eastAsia="Calibri" w:hAnsiTheme="majorHAnsi" w:cstheme="majorHAnsi"/>
                <w:color w:val="auto"/>
                <w:sz w:val="20"/>
              </w:rPr>
              <w:t xml:space="preserve"> </w:t>
            </w:r>
          </w:p>
          <w:p w:rsidR="005F21CE" w:rsidRPr="005E4E26" w:rsidRDefault="005F21CE" w:rsidP="005E4E26">
            <w:pPr>
              <w:spacing w:line="200" w:lineRule="exact"/>
              <w:contextualSpacing/>
              <w:rPr>
                <w:rFonts w:asciiTheme="majorHAnsi" w:eastAsia="Calibri" w:hAnsiTheme="majorHAnsi" w:cstheme="majorHAnsi"/>
                <w:color w:val="auto"/>
                <w:sz w:val="20"/>
              </w:rPr>
            </w:pPr>
            <w:r w:rsidRPr="00626B32">
              <w:rPr>
                <w:rFonts w:asciiTheme="majorHAnsi" w:eastAsia="Calibri" w:hAnsiTheme="majorHAnsi" w:cstheme="majorHAnsi"/>
                <w:color w:val="auto"/>
                <w:sz w:val="20"/>
              </w:rPr>
              <w:t>Post-Sep</w:t>
            </w:r>
            <w:r>
              <w:rPr>
                <w:rFonts w:asciiTheme="majorHAnsi" w:eastAsia="Calibri" w:hAnsiTheme="majorHAnsi" w:cstheme="majorHAnsi"/>
                <w:color w:val="auto"/>
                <w:sz w:val="20"/>
              </w:rPr>
              <w:t>aration</w:t>
            </w:r>
          </w:p>
        </w:tc>
        <w:tc>
          <w:tcPr>
            <w:tcW w:w="1995" w:type="dxa"/>
            <w:tcBorders>
              <w:top w:val="single" w:sz="4" w:space="0" w:color="000000"/>
              <w:left w:val="single" w:sz="4" w:space="0" w:color="000000"/>
              <w:bottom w:val="single" w:sz="4" w:space="0" w:color="000000"/>
              <w:right w:val="single" w:sz="4" w:space="0" w:color="000000"/>
            </w:tcBorders>
            <w:shd w:val="pct15" w:color="auto" w:fill="auto"/>
          </w:tcPr>
          <w:p w:rsidR="005F21CE" w:rsidRDefault="005F21CE" w:rsidP="005F21CE">
            <w:pPr>
              <w:spacing w:line="200" w:lineRule="exact"/>
              <w:contextualSpacing/>
              <w:rPr>
                <w:rFonts w:asciiTheme="majorHAnsi" w:eastAsia="Calibri" w:hAnsiTheme="majorHAnsi" w:cstheme="majorHAnsi"/>
                <w:color w:val="auto"/>
                <w:sz w:val="20"/>
              </w:rPr>
            </w:pPr>
            <w:r>
              <w:rPr>
                <w:rFonts w:asciiTheme="majorHAnsi" w:eastAsia="Calibri" w:hAnsiTheme="majorHAnsi" w:cstheme="majorHAnsi"/>
                <w:color w:val="auto"/>
                <w:sz w:val="20"/>
              </w:rPr>
              <w:t>VA C&amp;P ~2 Months</w:t>
            </w:r>
            <w:r w:rsidRPr="00626B32">
              <w:rPr>
                <w:rFonts w:asciiTheme="majorHAnsi" w:eastAsia="Calibri" w:hAnsiTheme="majorHAnsi" w:cstheme="majorHAnsi"/>
                <w:color w:val="auto"/>
                <w:sz w:val="20"/>
              </w:rPr>
              <w:t xml:space="preserve"> </w:t>
            </w:r>
          </w:p>
          <w:p w:rsidR="005F21CE" w:rsidRDefault="005F21CE" w:rsidP="005F21CE">
            <w:pPr>
              <w:spacing w:line="200" w:lineRule="exact"/>
              <w:contextualSpacing/>
              <w:rPr>
                <w:rFonts w:asciiTheme="majorHAnsi" w:eastAsia="Calibri" w:hAnsiTheme="majorHAnsi" w:cstheme="majorHAnsi"/>
                <w:color w:val="auto"/>
                <w:sz w:val="20"/>
              </w:rPr>
            </w:pPr>
            <w:r w:rsidRPr="00626B32">
              <w:rPr>
                <w:rFonts w:asciiTheme="majorHAnsi" w:eastAsia="Calibri" w:hAnsiTheme="majorHAnsi" w:cstheme="majorHAnsi"/>
                <w:color w:val="auto"/>
                <w:sz w:val="20"/>
              </w:rPr>
              <w:t>Post-Sep</w:t>
            </w:r>
            <w:r>
              <w:rPr>
                <w:rFonts w:asciiTheme="majorHAnsi" w:eastAsia="Calibri" w:hAnsiTheme="majorHAnsi" w:cstheme="majorHAnsi"/>
                <w:color w:val="auto"/>
                <w:sz w:val="20"/>
              </w:rPr>
              <w:t>aration</w:t>
            </w:r>
          </w:p>
          <w:p w:rsidR="005F21CE" w:rsidRPr="00626B32" w:rsidRDefault="005F21CE" w:rsidP="005E4E26">
            <w:pPr>
              <w:spacing w:line="200" w:lineRule="exact"/>
              <w:contextualSpacing/>
              <w:rPr>
                <w:rFonts w:asciiTheme="majorHAnsi" w:eastAsia="Calibri" w:hAnsiTheme="majorHAnsi" w:cstheme="majorHAnsi"/>
                <w:color w:val="auto"/>
                <w:sz w:val="20"/>
              </w:rPr>
            </w:pPr>
            <w:r>
              <w:rPr>
                <w:rFonts w:asciiTheme="majorHAnsi" w:eastAsia="Calibri" w:hAnsiTheme="majorHAnsi" w:cstheme="majorHAnsi"/>
                <w:color w:val="auto"/>
                <w:sz w:val="20"/>
              </w:rPr>
              <w:t>Neuro</w:t>
            </w:r>
          </w:p>
        </w:tc>
      </w:tr>
      <w:tr w:rsidR="005F21CE" w:rsidRPr="00072E29" w:rsidTr="00200A10">
        <w:trPr>
          <w:jc w:val="center"/>
        </w:trPr>
        <w:tc>
          <w:tcPr>
            <w:tcW w:w="1725" w:type="dxa"/>
            <w:tcBorders>
              <w:top w:val="single" w:sz="4" w:space="0" w:color="000000"/>
              <w:left w:val="single" w:sz="4" w:space="0" w:color="000000"/>
              <w:bottom w:val="single" w:sz="4" w:space="0" w:color="000000"/>
              <w:right w:val="single" w:sz="4" w:space="0" w:color="000000"/>
            </w:tcBorders>
            <w:vAlign w:val="center"/>
            <w:hideMark/>
          </w:tcPr>
          <w:p w:rsidR="005F21CE" w:rsidRPr="00626B32" w:rsidRDefault="005F21CE" w:rsidP="00D40E74">
            <w:pPr>
              <w:pStyle w:val="ListParagraph"/>
              <w:spacing w:after="0" w:line="200" w:lineRule="exact"/>
              <w:ind w:left="0"/>
              <w:rPr>
                <w:rFonts w:asciiTheme="majorHAnsi" w:eastAsia="Calibri" w:hAnsiTheme="majorHAnsi" w:cstheme="majorHAnsi"/>
                <w:sz w:val="20"/>
                <w:szCs w:val="20"/>
              </w:rPr>
            </w:pPr>
            <w:r w:rsidRPr="00626B32">
              <w:rPr>
                <w:rFonts w:asciiTheme="majorHAnsi" w:hAnsiTheme="majorHAnsi" w:cstheme="majorHAnsi"/>
                <w:sz w:val="20"/>
                <w:szCs w:val="20"/>
              </w:rPr>
              <w:t>Flexion (90⁰ Normal)</w:t>
            </w:r>
          </w:p>
        </w:tc>
        <w:tc>
          <w:tcPr>
            <w:tcW w:w="3150" w:type="dxa"/>
            <w:tcBorders>
              <w:top w:val="single" w:sz="4" w:space="0" w:color="000000"/>
              <w:left w:val="single" w:sz="4" w:space="0" w:color="000000"/>
              <w:bottom w:val="single" w:sz="4" w:space="0" w:color="000000"/>
              <w:right w:val="single" w:sz="4" w:space="0" w:color="000000"/>
            </w:tcBorders>
            <w:vAlign w:val="center"/>
          </w:tcPr>
          <w:p w:rsidR="005F21CE" w:rsidRPr="00626B32" w:rsidRDefault="00200A10" w:rsidP="006B1F4E">
            <w:pPr>
              <w:spacing w:line="200" w:lineRule="exact"/>
              <w:contextualSpacing/>
              <w:rPr>
                <w:rFonts w:asciiTheme="majorHAnsi" w:eastAsia="Calibri" w:hAnsiTheme="majorHAnsi" w:cstheme="majorHAnsi"/>
                <w:color w:val="auto"/>
                <w:sz w:val="20"/>
              </w:rPr>
            </w:pPr>
            <w:r>
              <w:rPr>
                <w:rFonts w:asciiTheme="majorHAnsi" w:eastAsia="Calibri" w:hAnsiTheme="majorHAnsi" w:cstheme="majorHAnsi"/>
                <w:color w:val="auto"/>
                <w:sz w:val="20"/>
              </w:rPr>
              <w:t xml:space="preserve">“Full” with pain at </w:t>
            </w:r>
            <w:r w:rsidR="005F21CE" w:rsidRPr="00626B32">
              <w:rPr>
                <w:rFonts w:asciiTheme="majorHAnsi" w:eastAsia="Calibri" w:hAnsiTheme="majorHAnsi" w:cstheme="majorHAnsi"/>
                <w:color w:val="auto"/>
                <w:sz w:val="20"/>
              </w:rPr>
              <w:t>90⁰</w:t>
            </w:r>
          </w:p>
        </w:tc>
        <w:tc>
          <w:tcPr>
            <w:tcW w:w="2700" w:type="dxa"/>
            <w:tcBorders>
              <w:top w:val="single" w:sz="4" w:space="0" w:color="000000"/>
              <w:left w:val="single" w:sz="4" w:space="0" w:color="000000"/>
              <w:bottom w:val="single" w:sz="4" w:space="0" w:color="000000"/>
              <w:right w:val="single" w:sz="4" w:space="0" w:color="000000"/>
            </w:tcBorders>
            <w:vAlign w:val="center"/>
          </w:tcPr>
          <w:p w:rsidR="005F21CE" w:rsidRPr="00626B32" w:rsidRDefault="005F21CE" w:rsidP="00D40E74">
            <w:pPr>
              <w:spacing w:line="200" w:lineRule="exact"/>
              <w:contextualSpacing/>
              <w:rPr>
                <w:rFonts w:asciiTheme="majorHAnsi" w:eastAsia="Calibri" w:hAnsiTheme="majorHAnsi" w:cstheme="majorHAnsi"/>
                <w:color w:val="auto"/>
                <w:sz w:val="20"/>
              </w:rPr>
            </w:pPr>
            <w:r w:rsidRPr="00626B32">
              <w:rPr>
                <w:rFonts w:asciiTheme="majorHAnsi" w:eastAsia="Calibri" w:hAnsiTheme="majorHAnsi" w:cstheme="majorHAnsi"/>
                <w:color w:val="auto"/>
                <w:sz w:val="20"/>
              </w:rPr>
              <w:t>85⁰ (87°)</w:t>
            </w:r>
          </w:p>
        </w:tc>
        <w:tc>
          <w:tcPr>
            <w:tcW w:w="1995" w:type="dxa"/>
            <w:tcBorders>
              <w:top w:val="single" w:sz="4" w:space="0" w:color="000000"/>
              <w:left w:val="single" w:sz="4" w:space="0" w:color="000000"/>
              <w:bottom w:val="single" w:sz="4" w:space="0" w:color="000000"/>
              <w:right w:val="single" w:sz="4" w:space="0" w:color="000000"/>
            </w:tcBorders>
          </w:tcPr>
          <w:p w:rsidR="005F21CE" w:rsidRPr="00626B32" w:rsidRDefault="005F21CE" w:rsidP="00D40E74">
            <w:pPr>
              <w:spacing w:line="200" w:lineRule="exact"/>
              <w:contextualSpacing/>
              <w:rPr>
                <w:rFonts w:asciiTheme="majorHAnsi" w:eastAsia="Calibri" w:hAnsiTheme="majorHAnsi" w:cstheme="majorHAnsi"/>
                <w:color w:val="auto"/>
                <w:sz w:val="20"/>
              </w:rPr>
            </w:pPr>
          </w:p>
        </w:tc>
      </w:tr>
      <w:tr w:rsidR="005F21CE" w:rsidRPr="00072E29" w:rsidTr="00200A10">
        <w:trPr>
          <w:jc w:val="center"/>
        </w:trPr>
        <w:tc>
          <w:tcPr>
            <w:tcW w:w="1725" w:type="dxa"/>
            <w:tcBorders>
              <w:top w:val="single" w:sz="4" w:space="0" w:color="000000"/>
              <w:left w:val="single" w:sz="4" w:space="0" w:color="000000"/>
              <w:bottom w:val="single" w:sz="4" w:space="0" w:color="000000"/>
              <w:right w:val="single" w:sz="4" w:space="0" w:color="000000"/>
            </w:tcBorders>
            <w:vAlign w:val="center"/>
            <w:hideMark/>
          </w:tcPr>
          <w:p w:rsidR="005F21CE" w:rsidRPr="00626B32" w:rsidRDefault="005F21CE" w:rsidP="00D40E74">
            <w:pPr>
              <w:pStyle w:val="ListParagraph"/>
              <w:spacing w:after="0" w:line="200" w:lineRule="exact"/>
              <w:ind w:left="0"/>
              <w:rPr>
                <w:rFonts w:asciiTheme="majorHAnsi" w:eastAsia="Calibri" w:hAnsiTheme="majorHAnsi" w:cstheme="majorHAnsi"/>
                <w:sz w:val="20"/>
                <w:szCs w:val="20"/>
              </w:rPr>
            </w:pPr>
            <w:r w:rsidRPr="00626B32">
              <w:rPr>
                <w:rFonts w:asciiTheme="majorHAnsi" w:eastAsia="Calibri" w:hAnsiTheme="majorHAnsi" w:cstheme="majorHAnsi"/>
                <w:sz w:val="20"/>
                <w:szCs w:val="20"/>
              </w:rPr>
              <w:t>Ext (0-30)</w:t>
            </w:r>
          </w:p>
        </w:tc>
        <w:tc>
          <w:tcPr>
            <w:tcW w:w="3150" w:type="dxa"/>
            <w:tcBorders>
              <w:top w:val="single" w:sz="4" w:space="0" w:color="000000"/>
              <w:left w:val="single" w:sz="4" w:space="0" w:color="000000"/>
              <w:bottom w:val="single" w:sz="4" w:space="0" w:color="000000"/>
              <w:right w:val="single" w:sz="4" w:space="0" w:color="000000"/>
            </w:tcBorders>
            <w:vAlign w:val="center"/>
          </w:tcPr>
          <w:p w:rsidR="005F21CE" w:rsidRPr="00626B32" w:rsidRDefault="005F21CE" w:rsidP="00D40E74">
            <w:pPr>
              <w:spacing w:line="200" w:lineRule="exact"/>
              <w:contextualSpacing/>
              <w:rPr>
                <w:rFonts w:asciiTheme="majorHAnsi" w:eastAsia="Calibri" w:hAnsiTheme="majorHAnsi" w:cstheme="majorHAnsi"/>
                <w:color w:val="auto"/>
                <w:sz w:val="20"/>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5F21CE" w:rsidRPr="00626B32" w:rsidRDefault="005F21CE" w:rsidP="006B1F4E">
            <w:pPr>
              <w:spacing w:line="200" w:lineRule="exact"/>
              <w:contextualSpacing/>
              <w:rPr>
                <w:rFonts w:asciiTheme="majorHAnsi" w:eastAsia="Calibri" w:hAnsiTheme="majorHAnsi" w:cstheme="majorHAnsi"/>
                <w:color w:val="auto"/>
                <w:sz w:val="20"/>
              </w:rPr>
            </w:pPr>
            <w:r w:rsidRPr="00626B32">
              <w:rPr>
                <w:rFonts w:asciiTheme="majorHAnsi" w:eastAsia="Calibri" w:hAnsiTheme="majorHAnsi" w:cstheme="majorHAnsi"/>
                <w:color w:val="auto"/>
                <w:sz w:val="20"/>
              </w:rPr>
              <w:t>30⁰</w:t>
            </w:r>
          </w:p>
        </w:tc>
        <w:tc>
          <w:tcPr>
            <w:tcW w:w="1995" w:type="dxa"/>
            <w:tcBorders>
              <w:top w:val="single" w:sz="4" w:space="0" w:color="000000"/>
              <w:left w:val="single" w:sz="4" w:space="0" w:color="000000"/>
              <w:bottom w:val="single" w:sz="4" w:space="0" w:color="000000"/>
              <w:right w:val="single" w:sz="4" w:space="0" w:color="000000"/>
            </w:tcBorders>
          </w:tcPr>
          <w:p w:rsidR="005F21CE" w:rsidRPr="00626B32" w:rsidRDefault="005F21CE" w:rsidP="006B1F4E">
            <w:pPr>
              <w:spacing w:line="200" w:lineRule="exact"/>
              <w:contextualSpacing/>
              <w:rPr>
                <w:rFonts w:asciiTheme="majorHAnsi" w:eastAsia="Calibri" w:hAnsiTheme="majorHAnsi" w:cstheme="majorHAnsi"/>
                <w:color w:val="auto"/>
                <w:sz w:val="20"/>
              </w:rPr>
            </w:pPr>
          </w:p>
        </w:tc>
      </w:tr>
      <w:tr w:rsidR="005F21CE" w:rsidRPr="00072E29" w:rsidTr="00200A10">
        <w:trPr>
          <w:trHeight w:val="188"/>
          <w:jc w:val="center"/>
        </w:trPr>
        <w:tc>
          <w:tcPr>
            <w:tcW w:w="1725" w:type="dxa"/>
            <w:tcBorders>
              <w:top w:val="single" w:sz="4" w:space="0" w:color="000000"/>
              <w:left w:val="single" w:sz="4" w:space="0" w:color="000000"/>
              <w:bottom w:val="single" w:sz="4" w:space="0" w:color="000000"/>
              <w:right w:val="single" w:sz="4" w:space="0" w:color="000000"/>
            </w:tcBorders>
            <w:vAlign w:val="center"/>
            <w:hideMark/>
          </w:tcPr>
          <w:p w:rsidR="005F21CE" w:rsidRPr="00626B32" w:rsidRDefault="005F21CE" w:rsidP="00D40E74">
            <w:pPr>
              <w:pStyle w:val="ListParagraph"/>
              <w:spacing w:after="0" w:line="200" w:lineRule="exact"/>
              <w:ind w:left="0"/>
              <w:rPr>
                <w:rFonts w:asciiTheme="majorHAnsi" w:eastAsia="Calibri" w:hAnsiTheme="majorHAnsi" w:cstheme="majorHAnsi"/>
                <w:sz w:val="20"/>
                <w:szCs w:val="20"/>
              </w:rPr>
            </w:pPr>
            <w:r w:rsidRPr="00626B32">
              <w:rPr>
                <w:rFonts w:asciiTheme="majorHAnsi" w:eastAsia="Calibri" w:hAnsiTheme="majorHAnsi" w:cstheme="majorHAnsi"/>
                <w:sz w:val="20"/>
                <w:szCs w:val="20"/>
              </w:rPr>
              <w:t>R Lat Flex (0-30)</w:t>
            </w:r>
          </w:p>
        </w:tc>
        <w:tc>
          <w:tcPr>
            <w:tcW w:w="3150" w:type="dxa"/>
            <w:tcBorders>
              <w:top w:val="single" w:sz="4" w:space="0" w:color="000000"/>
              <w:left w:val="single" w:sz="4" w:space="0" w:color="000000"/>
              <w:bottom w:val="single" w:sz="4" w:space="0" w:color="000000"/>
              <w:right w:val="single" w:sz="4" w:space="0" w:color="000000"/>
            </w:tcBorders>
            <w:vAlign w:val="center"/>
          </w:tcPr>
          <w:p w:rsidR="005F21CE" w:rsidRPr="00626B32" w:rsidRDefault="005F21CE" w:rsidP="00D40E74">
            <w:pPr>
              <w:spacing w:line="200" w:lineRule="exact"/>
              <w:contextualSpacing/>
              <w:rPr>
                <w:rFonts w:asciiTheme="majorHAnsi" w:eastAsia="Calibri" w:hAnsiTheme="majorHAnsi" w:cstheme="majorHAnsi"/>
                <w:color w:val="auto"/>
                <w:sz w:val="20"/>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5F21CE" w:rsidRPr="00626B32" w:rsidRDefault="005F21CE" w:rsidP="006B1F4E">
            <w:pPr>
              <w:spacing w:line="200" w:lineRule="exact"/>
              <w:contextualSpacing/>
              <w:rPr>
                <w:rFonts w:asciiTheme="majorHAnsi" w:eastAsia="Calibri" w:hAnsiTheme="majorHAnsi" w:cstheme="majorHAnsi"/>
                <w:color w:val="auto"/>
                <w:sz w:val="20"/>
              </w:rPr>
            </w:pPr>
            <w:r w:rsidRPr="00626B32">
              <w:rPr>
                <w:rFonts w:asciiTheme="majorHAnsi" w:eastAsia="Calibri" w:hAnsiTheme="majorHAnsi" w:cstheme="majorHAnsi"/>
                <w:color w:val="auto"/>
                <w:sz w:val="20"/>
              </w:rPr>
              <w:t>30⁰</w:t>
            </w:r>
          </w:p>
        </w:tc>
        <w:tc>
          <w:tcPr>
            <w:tcW w:w="1995" w:type="dxa"/>
            <w:tcBorders>
              <w:top w:val="single" w:sz="4" w:space="0" w:color="000000"/>
              <w:left w:val="single" w:sz="4" w:space="0" w:color="000000"/>
              <w:bottom w:val="single" w:sz="4" w:space="0" w:color="000000"/>
              <w:right w:val="single" w:sz="4" w:space="0" w:color="000000"/>
            </w:tcBorders>
          </w:tcPr>
          <w:p w:rsidR="005F21CE" w:rsidRPr="00626B32" w:rsidRDefault="005F21CE" w:rsidP="006B1F4E">
            <w:pPr>
              <w:spacing w:line="200" w:lineRule="exact"/>
              <w:contextualSpacing/>
              <w:rPr>
                <w:rFonts w:asciiTheme="majorHAnsi" w:eastAsia="Calibri" w:hAnsiTheme="majorHAnsi" w:cstheme="majorHAnsi"/>
                <w:color w:val="auto"/>
                <w:sz w:val="20"/>
              </w:rPr>
            </w:pPr>
          </w:p>
        </w:tc>
      </w:tr>
      <w:tr w:rsidR="005F21CE" w:rsidRPr="00072E29" w:rsidTr="00200A10">
        <w:trPr>
          <w:jc w:val="center"/>
        </w:trPr>
        <w:tc>
          <w:tcPr>
            <w:tcW w:w="1725" w:type="dxa"/>
            <w:tcBorders>
              <w:top w:val="single" w:sz="4" w:space="0" w:color="000000"/>
              <w:left w:val="single" w:sz="4" w:space="0" w:color="000000"/>
              <w:bottom w:val="single" w:sz="4" w:space="0" w:color="000000"/>
              <w:right w:val="single" w:sz="4" w:space="0" w:color="000000"/>
            </w:tcBorders>
            <w:vAlign w:val="center"/>
            <w:hideMark/>
          </w:tcPr>
          <w:p w:rsidR="005F21CE" w:rsidRPr="00626B32" w:rsidRDefault="005F21CE" w:rsidP="00D40E74">
            <w:pPr>
              <w:pStyle w:val="ListParagraph"/>
              <w:spacing w:after="0" w:line="200" w:lineRule="exact"/>
              <w:ind w:left="0"/>
              <w:rPr>
                <w:rFonts w:asciiTheme="majorHAnsi" w:eastAsia="Calibri" w:hAnsiTheme="majorHAnsi" w:cstheme="majorHAnsi"/>
                <w:sz w:val="20"/>
                <w:szCs w:val="20"/>
              </w:rPr>
            </w:pPr>
            <w:r w:rsidRPr="00626B32">
              <w:rPr>
                <w:rFonts w:asciiTheme="majorHAnsi" w:eastAsia="Calibri" w:hAnsiTheme="majorHAnsi" w:cstheme="majorHAnsi"/>
                <w:sz w:val="20"/>
                <w:szCs w:val="20"/>
              </w:rPr>
              <w:t>L Lat Flex 0-30)</w:t>
            </w:r>
          </w:p>
        </w:tc>
        <w:tc>
          <w:tcPr>
            <w:tcW w:w="3150" w:type="dxa"/>
            <w:tcBorders>
              <w:top w:val="single" w:sz="4" w:space="0" w:color="000000"/>
              <w:left w:val="single" w:sz="4" w:space="0" w:color="000000"/>
              <w:bottom w:val="single" w:sz="4" w:space="0" w:color="000000"/>
              <w:right w:val="single" w:sz="4" w:space="0" w:color="000000"/>
            </w:tcBorders>
            <w:vAlign w:val="center"/>
          </w:tcPr>
          <w:p w:rsidR="005F21CE" w:rsidRPr="00626B32" w:rsidRDefault="005F21CE" w:rsidP="00D40E74">
            <w:pPr>
              <w:spacing w:line="200" w:lineRule="exact"/>
              <w:contextualSpacing/>
              <w:rPr>
                <w:rFonts w:asciiTheme="majorHAnsi" w:eastAsia="Calibri" w:hAnsiTheme="majorHAnsi" w:cstheme="majorHAnsi"/>
                <w:color w:val="auto"/>
                <w:sz w:val="20"/>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5F21CE" w:rsidRPr="00626B32" w:rsidRDefault="005F21CE" w:rsidP="006B1F4E">
            <w:pPr>
              <w:spacing w:line="200" w:lineRule="exact"/>
              <w:contextualSpacing/>
              <w:rPr>
                <w:rFonts w:asciiTheme="majorHAnsi" w:eastAsia="Calibri" w:hAnsiTheme="majorHAnsi" w:cstheme="majorHAnsi"/>
                <w:color w:val="auto"/>
                <w:sz w:val="20"/>
              </w:rPr>
            </w:pPr>
            <w:r w:rsidRPr="00626B32">
              <w:rPr>
                <w:rFonts w:asciiTheme="majorHAnsi" w:eastAsia="Calibri" w:hAnsiTheme="majorHAnsi" w:cstheme="majorHAnsi"/>
                <w:color w:val="auto"/>
                <w:sz w:val="20"/>
              </w:rPr>
              <w:t>30⁰</w:t>
            </w:r>
          </w:p>
        </w:tc>
        <w:tc>
          <w:tcPr>
            <w:tcW w:w="1995" w:type="dxa"/>
            <w:tcBorders>
              <w:top w:val="single" w:sz="4" w:space="0" w:color="000000"/>
              <w:left w:val="single" w:sz="4" w:space="0" w:color="000000"/>
              <w:bottom w:val="single" w:sz="4" w:space="0" w:color="000000"/>
              <w:right w:val="single" w:sz="4" w:space="0" w:color="000000"/>
            </w:tcBorders>
          </w:tcPr>
          <w:p w:rsidR="005F21CE" w:rsidRPr="00626B32" w:rsidRDefault="005F21CE" w:rsidP="006B1F4E">
            <w:pPr>
              <w:spacing w:line="200" w:lineRule="exact"/>
              <w:contextualSpacing/>
              <w:rPr>
                <w:rFonts w:asciiTheme="majorHAnsi" w:eastAsia="Calibri" w:hAnsiTheme="majorHAnsi" w:cstheme="majorHAnsi"/>
                <w:color w:val="auto"/>
                <w:sz w:val="20"/>
              </w:rPr>
            </w:pPr>
          </w:p>
        </w:tc>
      </w:tr>
      <w:tr w:rsidR="005F21CE" w:rsidRPr="00072E29" w:rsidTr="00200A10">
        <w:trPr>
          <w:jc w:val="center"/>
        </w:trPr>
        <w:tc>
          <w:tcPr>
            <w:tcW w:w="1725" w:type="dxa"/>
            <w:tcBorders>
              <w:top w:val="single" w:sz="4" w:space="0" w:color="000000"/>
              <w:left w:val="single" w:sz="4" w:space="0" w:color="000000"/>
              <w:bottom w:val="single" w:sz="4" w:space="0" w:color="000000"/>
              <w:right w:val="single" w:sz="4" w:space="0" w:color="000000"/>
            </w:tcBorders>
            <w:vAlign w:val="center"/>
            <w:hideMark/>
          </w:tcPr>
          <w:p w:rsidR="005F21CE" w:rsidRPr="00626B32" w:rsidRDefault="005F21CE" w:rsidP="00D40E74">
            <w:pPr>
              <w:pStyle w:val="ListParagraph"/>
              <w:spacing w:after="0" w:line="200" w:lineRule="exact"/>
              <w:ind w:left="0"/>
              <w:rPr>
                <w:rFonts w:asciiTheme="majorHAnsi" w:eastAsia="Calibri" w:hAnsiTheme="majorHAnsi" w:cstheme="majorHAnsi"/>
                <w:sz w:val="20"/>
                <w:szCs w:val="20"/>
              </w:rPr>
            </w:pPr>
            <w:r w:rsidRPr="00626B32">
              <w:rPr>
                <w:rFonts w:asciiTheme="majorHAnsi" w:eastAsia="Calibri" w:hAnsiTheme="majorHAnsi" w:cstheme="majorHAnsi"/>
                <w:sz w:val="20"/>
                <w:szCs w:val="20"/>
              </w:rPr>
              <w:t>R Rotation (0-30)</w:t>
            </w:r>
          </w:p>
        </w:tc>
        <w:tc>
          <w:tcPr>
            <w:tcW w:w="3150" w:type="dxa"/>
            <w:tcBorders>
              <w:top w:val="single" w:sz="4" w:space="0" w:color="000000"/>
              <w:left w:val="single" w:sz="4" w:space="0" w:color="000000"/>
              <w:bottom w:val="single" w:sz="4" w:space="0" w:color="000000"/>
              <w:right w:val="single" w:sz="4" w:space="0" w:color="000000"/>
            </w:tcBorders>
            <w:vAlign w:val="center"/>
          </w:tcPr>
          <w:p w:rsidR="005F21CE" w:rsidRPr="00626B32" w:rsidRDefault="005F21CE" w:rsidP="00D40E74">
            <w:pPr>
              <w:spacing w:line="200" w:lineRule="exact"/>
              <w:contextualSpacing/>
              <w:rPr>
                <w:rFonts w:asciiTheme="majorHAnsi" w:eastAsia="Calibri" w:hAnsiTheme="majorHAnsi" w:cstheme="majorHAnsi"/>
                <w:color w:val="auto"/>
                <w:sz w:val="20"/>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5F21CE" w:rsidRPr="00626B32" w:rsidRDefault="005F21CE" w:rsidP="00072E29">
            <w:pPr>
              <w:spacing w:line="200" w:lineRule="exact"/>
              <w:contextualSpacing/>
              <w:rPr>
                <w:rFonts w:asciiTheme="majorHAnsi" w:eastAsia="Calibri" w:hAnsiTheme="majorHAnsi" w:cstheme="majorHAnsi"/>
                <w:color w:val="auto"/>
                <w:sz w:val="20"/>
              </w:rPr>
            </w:pPr>
            <w:r w:rsidRPr="00626B32">
              <w:rPr>
                <w:rFonts w:asciiTheme="majorHAnsi" w:eastAsia="Calibri" w:hAnsiTheme="majorHAnsi" w:cstheme="majorHAnsi"/>
                <w:color w:val="auto"/>
                <w:sz w:val="20"/>
              </w:rPr>
              <w:t xml:space="preserve">30⁰ </w:t>
            </w:r>
          </w:p>
        </w:tc>
        <w:tc>
          <w:tcPr>
            <w:tcW w:w="1995" w:type="dxa"/>
            <w:tcBorders>
              <w:top w:val="single" w:sz="4" w:space="0" w:color="000000"/>
              <w:left w:val="single" w:sz="4" w:space="0" w:color="000000"/>
              <w:bottom w:val="single" w:sz="4" w:space="0" w:color="000000"/>
              <w:right w:val="single" w:sz="4" w:space="0" w:color="000000"/>
            </w:tcBorders>
          </w:tcPr>
          <w:p w:rsidR="005F21CE" w:rsidRPr="00626B32" w:rsidRDefault="005F21CE" w:rsidP="00072E29">
            <w:pPr>
              <w:spacing w:line="200" w:lineRule="exact"/>
              <w:contextualSpacing/>
              <w:rPr>
                <w:rFonts w:asciiTheme="majorHAnsi" w:eastAsia="Calibri" w:hAnsiTheme="majorHAnsi" w:cstheme="majorHAnsi"/>
                <w:color w:val="auto"/>
                <w:sz w:val="20"/>
              </w:rPr>
            </w:pPr>
          </w:p>
        </w:tc>
      </w:tr>
      <w:tr w:rsidR="005F21CE" w:rsidRPr="00072E29" w:rsidTr="00200A10">
        <w:trPr>
          <w:jc w:val="center"/>
        </w:trPr>
        <w:tc>
          <w:tcPr>
            <w:tcW w:w="1725" w:type="dxa"/>
            <w:tcBorders>
              <w:top w:val="single" w:sz="4" w:space="0" w:color="000000"/>
              <w:left w:val="single" w:sz="4" w:space="0" w:color="000000"/>
              <w:bottom w:val="single" w:sz="4" w:space="0" w:color="000000"/>
              <w:right w:val="single" w:sz="4" w:space="0" w:color="000000"/>
            </w:tcBorders>
            <w:vAlign w:val="center"/>
            <w:hideMark/>
          </w:tcPr>
          <w:p w:rsidR="005F21CE" w:rsidRPr="00626B32" w:rsidRDefault="005F21CE" w:rsidP="00D40E74">
            <w:pPr>
              <w:pStyle w:val="ListParagraph"/>
              <w:spacing w:after="0" w:line="200" w:lineRule="exact"/>
              <w:ind w:left="0"/>
              <w:rPr>
                <w:rFonts w:asciiTheme="majorHAnsi" w:eastAsia="Calibri" w:hAnsiTheme="majorHAnsi" w:cstheme="majorHAnsi"/>
                <w:sz w:val="20"/>
                <w:szCs w:val="20"/>
              </w:rPr>
            </w:pPr>
            <w:r w:rsidRPr="00626B32">
              <w:rPr>
                <w:rFonts w:asciiTheme="majorHAnsi" w:eastAsia="Calibri" w:hAnsiTheme="majorHAnsi" w:cstheme="majorHAnsi"/>
                <w:sz w:val="20"/>
                <w:szCs w:val="20"/>
              </w:rPr>
              <w:t>L Rotation (0-30)</w:t>
            </w:r>
          </w:p>
        </w:tc>
        <w:tc>
          <w:tcPr>
            <w:tcW w:w="3150" w:type="dxa"/>
            <w:tcBorders>
              <w:top w:val="single" w:sz="4" w:space="0" w:color="000000"/>
              <w:left w:val="single" w:sz="4" w:space="0" w:color="000000"/>
              <w:bottom w:val="single" w:sz="4" w:space="0" w:color="000000"/>
              <w:right w:val="single" w:sz="4" w:space="0" w:color="000000"/>
            </w:tcBorders>
            <w:vAlign w:val="center"/>
          </w:tcPr>
          <w:p w:rsidR="005F21CE" w:rsidRPr="00626B32" w:rsidRDefault="005F21CE" w:rsidP="00D40E74">
            <w:pPr>
              <w:spacing w:line="200" w:lineRule="exact"/>
              <w:contextualSpacing/>
              <w:rPr>
                <w:rFonts w:asciiTheme="majorHAnsi" w:eastAsia="Calibri" w:hAnsiTheme="majorHAnsi" w:cstheme="majorHAnsi"/>
                <w:color w:val="auto"/>
                <w:sz w:val="20"/>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5F21CE" w:rsidRPr="00626B32" w:rsidRDefault="005F21CE" w:rsidP="00072E29">
            <w:pPr>
              <w:spacing w:line="200" w:lineRule="exact"/>
              <w:contextualSpacing/>
              <w:rPr>
                <w:rFonts w:asciiTheme="majorHAnsi" w:eastAsia="Calibri" w:hAnsiTheme="majorHAnsi" w:cstheme="majorHAnsi"/>
                <w:color w:val="auto"/>
                <w:sz w:val="20"/>
              </w:rPr>
            </w:pPr>
            <w:r w:rsidRPr="00626B32">
              <w:rPr>
                <w:rFonts w:asciiTheme="majorHAnsi" w:eastAsia="Calibri" w:hAnsiTheme="majorHAnsi" w:cstheme="majorHAnsi"/>
                <w:color w:val="auto"/>
                <w:sz w:val="20"/>
              </w:rPr>
              <w:t xml:space="preserve">30⁰ </w:t>
            </w:r>
          </w:p>
        </w:tc>
        <w:tc>
          <w:tcPr>
            <w:tcW w:w="1995" w:type="dxa"/>
            <w:tcBorders>
              <w:top w:val="single" w:sz="4" w:space="0" w:color="000000"/>
              <w:left w:val="single" w:sz="4" w:space="0" w:color="000000"/>
              <w:bottom w:val="single" w:sz="4" w:space="0" w:color="000000"/>
              <w:right w:val="single" w:sz="4" w:space="0" w:color="000000"/>
            </w:tcBorders>
          </w:tcPr>
          <w:p w:rsidR="005F21CE" w:rsidRPr="00626B32" w:rsidRDefault="005F21CE" w:rsidP="00072E29">
            <w:pPr>
              <w:spacing w:line="200" w:lineRule="exact"/>
              <w:contextualSpacing/>
              <w:rPr>
                <w:rFonts w:asciiTheme="majorHAnsi" w:eastAsia="Calibri" w:hAnsiTheme="majorHAnsi" w:cstheme="majorHAnsi"/>
                <w:color w:val="auto"/>
                <w:sz w:val="20"/>
              </w:rPr>
            </w:pPr>
          </w:p>
        </w:tc>
      </w:tr>
      <w:tr w:rsidR="005F21CE" w:rsidRPr="00072E29" w:rsidTr="00200A10">
        <w:trPr>
          <w:jc w:val="center"/>
        </w:trPr>
        <w:tc>
          <w:tcPr>
            <w:tcW w:w="1725" w:type="dxa"/>
            <w:tcBorders>
              <w:top w:val="single" w:sz="4" w:space="0" w:color="000000"/>
              <w:left w:val="single" w:sz="4" w:space="0" w:color="000000"/>
              <w:bottom w:val="single" w:sz="4" w:space="0" w:color="000000"/>
              <w:right w:val="single" w:sz="4" w:space="0" w:color="000000"/>
            </w:tcBorders>
            <w:vAlign w:val="center"/>
            <w:hideMark/>
          </w:tcPr>
          <w:p w:rsidR="005F21CE" w:rsidRPr="00626B32" w:rsidRDefault="005F21CE" w:rsidP="00D40E74">
            <w:pPr>
              <w:pStyle w:val="ListParagraph"/>
              <w:spacing w:after="0" w:line="200" w:lineRule="exact"/>
              <w:ind w:left="0"/>
              <w:rPr>
                <w:rFonts w:asciiTheme="majorHAnsi" w:eastAsia="Calibri" w:hAnsiTheme="majorHAnsi" w:cstheme="majorHAnsi"/>
                <w:sz w:val="20"/>
                <w:szCs w:val="20"/>
              </w:rPr>
            </w:pPr>
            <w:r w:rsidRPr="00626B32">
              <w:rPr>
                <w:rFonts w:asciiTheme="majorHAnsi" w:eastAsia="Calibri" w:hAnsiTheme="majorHAnsi" w:cstheme="majorHAnsi"/>
                <w:sz w:val="20"/>
                <w:szCs w:val="20"/>
              </w:rPr>
              <w:t>Combined (240⁰)</w:t>
            </w:r>
          </w:p>
        </w:tc>
        <w:tc>
          <w:tcPr>
            <w:tcW w:w="3150" w:type="dxa"/>
            <w:tcBorders>
              <w:top w:val="single" w:sz="4" w:space="0" w:color="000000"/>
              <w:left w:val="single" w:sz="4" w:space="0" w:color="000000"/>
              <w:bottom w:val="single" w:sz="4" w:space="0" w:color="000000"/>
              <w:right w:val="single" w:sz="4" w:space="0" w:color="000000"/>
            </w:tcBorders>
            <w:vAlign w:val="center"/>
          </w:tcPr>
          <w:p w:rsidR="005F21CE" w:rsidRPr="00626B32" w:rsidRDefault="005F21CE" w:rsidP="00D40E74">
            <w:pPr>
              <w:spacing w:line="200" w:lineRule="exact"/>
              <w:rPr>
                <w:rFonts w:asciiTheme="majorHAnsi" w:hAnsiTheme="majorHAnsi" w:cstheme="majorHAnsi"/>
                <w:color w:val="auto"/>
                <w:sz w:val="20"/>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5F21CE" w:rsidRPr="00626B32" w:rsidRDefault="005F21CE" w:rsidP="005E506F">
            <w:pPr>
              <w:spacing w:line="200" w:lineRule="exact"/>
              <w:rPr>
                <w:rFonts w:asciiTheme="majorHAnsi" w:hAnsiTheme="majorHAnsi" w:cstheme="majorHAnsi"/>
                <w:color w:val="auto"/>
                <w:sz w:val="20"/>
              </w:rPr>
            </w:pPr>
            <w:r w:rsidRPr="00626B32">
              <w:rPr>
                <w:rFonts w:asciiTheme="majorHAnsi" w:eastAsia="Calibri" w:hAnsiTheme="majorHAnsi" w:cstheme="majorHAnsi"/>
                <w:color w:val="auto"/>
                <w:sz w:val="20"/>
              </w:rPr>
              <w:t>2</w:t>
            </w:r>
            <w:r w:rsidR="005E506F">
              <w:rPr>
                <w:rFonts w:asciiTheme="majorHAnsi" w:eastAsia="Calibri" w:hAnsiTheme="majorHAnsi" w:cstheme="majorHAnsi"/>
                <w:color w:val="auto"/>
                <w:sz w:val="20"/>
              </w:rPr>
              <w:t>35</w:t>
            </w:r>
            <w:r w:rsidRPr="00626B32">
              <w:rPr>
                <w:rFonts w:asciiTheme="majorHAnsi" w:eastAsia="Calibri" w:hAnsiTheme="majorHAnsi" w:cstheme="majorHAnsi"/>
                <w:color w:val="auto"/>
                <w:sz w:val="20"/>
              </w:rPr>
              <w:t>⁰</w:t>
            </w:r>
          </w:p>
        </w:tc>
        <w:tc>
          <w:tcPr>
            <w:tcW w:w="1995" w:type="dxa"/>
            <w:tcBorders>
              <w:top w:val="single" w:sz="4" w:space="0" w:color="000000"/>
              <w:left w:val="single" w:sz="4" w:space="0" w:color="000000"/>
              <w:bottom w:val="single" w:sz="4" w:space="0" w:color="000000"/>
              <w:right w:val="single" w:sz="4" w:space="0" w:color="000000"/>
            </w:tcBorders>
          </w:tcPr>
          <w:p w:rsidR="005F21CE" w:rsidRPr="00626B32" w:rsidRDefault="005F21CE" w:rsidP="00D40E74">
            <w:pPr>
              <w:spacing w:line="200" w:lineRule="exact"/>
              <w:rPr>
                <w:rFonts w:asciiTheme="majorHAnsi" w:eastAsia="Calibri" w:hAnsiTheme="majorHAnsi" w:cstheme="majorHAnsi"/>
                <w:color w:val="auto"/>
                <w:sz w:val="20"/>
              </w:rPr>
            </w:pPr>
          </w:p>
        </w:tc>
      </w:tr>
      <w:tr w:rsidR="005F21CE" w:rsidRPr="00F64312" w:rsidTr="00200A10">
        <w:trPr>
          <w:jc w:val="center"/>
        </w:trPr>
        <w:tc>
          <w:tcPr>
            <w:tcW w:w="1725" w:type="dxa"/>
            <w:tcBorders>
              <w:top w:val="single" w:sz="4" w:space="0" w:color="000000"/>
              <w:left w:val="single" w:sz="4" w:space="0" w:color="000000"/>
              <w:bottom w:val="single" w:sz="4" w:space="0" w:color="000000"/>
              <w:right w:val="single" w:sz="4" w:space="0" w:color="000000"/>
            </w:tcBorders>
            <w:vAlign w:val="center"/>
            <w:hideMark/>
          </w:tcPr>
          <w:p w:rsidR="005F21CE" w:rsidRPr="00626B32" w:rsidRDefault="005F21CE" w:rsidP="00D40E74">
            <w:pPr>
              <w:pStyle w:val="ListParagraph"/>
              <w:spacing w:after="0" w:line="200" w:lineRule="exact"/>
              <w:ind w:left="0"/>
              <w:rPr>
                <w:rFonts w:asciiTheme="majorHAnsi" w:eastAsia="Calibri" w:hAnsiTheme="majorHAnsi" w:cstheme="majorHAnsi"/>
                <w:sz w:val="20"/>
                <w:szCs w:val="20"/>
              </w:rPr>
            </w:pPr>
            <w:r w:rsidRPr="00626B32">
              <w:rPr>
                <w:rFonts w:asciiTheme="majorHAnsi" w:eastAsia="Calibri" w:hAnsiTheme="majorHAnsi" w:cstheme="majorHAnsi"/>
                <w:sz w:val="20"/>
                <w:szCs w:val="20"/>
              </w:rPr>
              <w:t>Comment</w:t>
            </w:r>
          </w:p>
        </w:tc>
        <w:tc>
          <w:tcPr>
            <w:tcW w:w="3150" w:type="dxa"/>
            <w:tcBorders>
              <w:top w:val="single" w:sz="4" w:space="0" w:color="000000"/>
              <w:left w:val="single" w:sz="4" w:space="0" w:color="000000"/>
              <w:bottom w:val="single" w:sz="4" w:space="0" w:color="000000"/>
              <w:right w:val="single" w:sz="4" w:space="0" w:color="000000"/>
            </w:tcBorders>
            <w:vAlign w:val="center"/>
          </w:tcPr>
          <w:p w:rsidR="005F21CE" w:rsidRPr="00626B32" w:rsidRDefault="005F21CE" w:rsidP="002E3233">
            <w:pPr>
              <w:pStyle w:val="ListParagraph"/>
              <w:spacing w:after="0" w:line="200" w:lineRule="exact"/>
              <w:ind w:left="0"/>
              <w:jc w:val="left"/>
              <w:rPr>
                <w:rFonts w:asciiTheme="majorHAnsi" w:eastAsia="Calibri" w:hAnsiTheme="majorHAnsi" w:cstheme="majorHAnsi"/>
                <w:sz w:val="20"/>
                <w:szCs w:val="20"/>
              </w:rPr>
            </w:pPr>
            <w:r w:rsidRPr="00626B32">
              <w:rPr>
                <w:rFonts w:asciiTheme="majorHAnsi" w:eastAsia="Calibri" w:hAnsiTheme="majorHAnsi" w:cstheme="majorHAnsi"/>
                <w:sz w:val="20"/>
                <w:szCs w:val="20"/>
              </w:rPr>
              <w:t xml:space="preserve">Full active ROM with pain on flexion at 90°; tender to palpation at right paravertebral muscles; normal pelvic obliquity; </w:t>
            </w:r>
            <w:r>
              <w:rPr>
                <w:rFonts w:asciiTheme="majorHAnsi" w:eastAsia="Calibri" w:hAnsiTheme="majorHAnsi" w:cstheme="majorHAnsi"/>
                <w:sz w:val="20"/>
                <w:szCs w:val="20"/>
              </w:rPr>
              <w:t xml:space="preserve">normal vertebral alignment; intact sensation bilateral lower extremities but slight change notes at lateral to posterior right thigh and at calf muscle region; Strength at right knee flexion and extension and ankle dorsiflexion all 4/5, right great toe extension 4+/5; positive straight leg raise on right </w:t>
            </w:r>
          </w:p>
        </w:tc>
        <w:tc>
          <w:tcPr>
            <w:tcW w:w="2700" w:type="dxa"/>
            <w:tcBorders>
              <w:top w:val="single" w:sz="4" w:space="0" w:color="000000"/>
              <w:left w:val="single" w:sz="4" w:space="0" w:color="000000"/>
              <w:bottom w:val="single" w:sz="4" w:space="0" w:color="000000"/>
              <w:right w:val="single" w:sz="4" w:space="0" w:color="000000"/>
            </w:tcBorders>
            <w:vAlign w:val="center"/>
          </w:tcPr>
          <w:p w:rsidR="005F21CE" w:rsidRPr="00626B32" w:rsidRDefault="005F21CE" w:rsidP="008B5DD0">
            <w:pPr>
              <w:pStyle w:val="ListParagraph"/>
              <w:spacing w:after="0" w:line="200" w:lineRule="exact"/>
              <w:ind w:left="0"/>
              <w:jc w:val="left"/>
              <w:rPr>
                <w:rFonts w:asciiTheme="majorHAnsi" w:eastAsia="Calibri" w:hAnsiTheme="majorHAnsi" w:cstheme="majorHAnsi"/>
                <w:sz w:val="20"/>
                <w:szCs w:val="20"/>
              </w:rPr>
            </w:pPr>
            <w:r>
              <w:rPr>
                <w:rFonts w:asciiTheme="majorHAnsi" w:eastAsia="Calibri" w:hAnsiTheme="majorHAnsi" w:cstheme="majorHAnsi"/>
                <w:sz w:val="20"/>
                <w:szCs w:val="20"/>
              </w:rPr>
              <w:t>Mild pain with flexion and moderate pain with extension at end of range of motion; increased pain with repetitive ROM; normal gait; normal spinal contour; some muscle spasm during ROM; no guarding; intact pinprick and light touch; motor 5/5 without atrophy or abnormal tone; reflex exam deferred; no  non-organic physical signs</w:t>
            </w:r>
          </w:p>
        </w:tc>
        <w:tc>
          <w:tcPr>
            <w:tcW w:w="1995" w:type="dxa"/>
            <w:tcBorders>
              <w:top w:val="single" w:sz="4" w:space="0" w:color="000000"/>
              <w:left w:val="single" w:sz="4" w:space="0" w:color="000000"/>
              <w:bottom w:val="single" w:sz="4" w:space="0" w:color="000000"/>
              <w:right w:val="single" w:sz="4" w:space="0" w:color="000000"/>
            </w:tcBorders>
            <w:vAlign w:val="center"/>
          </w:tcPr>
          <w:p w:rsidR="005F21CE" w:rsidRDefault="005F21CE" w:rsidP="002E3233">
            <w:pPr>
              <w:pStyle w:val="ListParagraph"/>
              <w:spacing w:after="0" w:line="200" w:lineRule="exact"/>
              <w:ind w:left="0"/>
              <w:jc w:val="left"/>
              <w:rPr>
                <w:rFonts w:asciiTheme="majorHAnsi" w:eastAsia="Calibri" w:hAnsiTheme="majorHAnsi" w:cstheme="majorHAnsi"/>
                <w:sz w:val="20"/>
                <w:szCs w:val="20"/>
              </w:rPr>
            </w:pPr>
            <w:r>
              <w:rPr>
                <w:rFonts w:asciiTheme="majorHAnsi" w:eastAsia="Calibri" w:hAnsiTheme="majorHAnsi" w:cstheme="majorHAnsi"/>
                <w:sz w:val="20"/>
                <w:szCs w:val="20"/>
              </w:rPr>
              <w:t xml:space="preserve">Normal motor examination; no atrophy; pinprick sensation decreased and vibratory sensation </w:t>
            </w:r>
            <w:r w:rsidR="00200A10">
              <w:rPr>
                <w:rFonts w:asciiTheme="majorHAnsi" w:eastAsia="Calibri" w:hAnsiTheme="majorHAnsi" w:cstheme="majorHAnsi"/>
                <w:sz w:val="20"/>
                <w:szCs w:val="20"/>
              </w:rPr>
              <w:t>increased in</w:t>
            </w:r>
            <w:r>
              <w:rPr>
                <w:rFonts w:asciiTheme="majorHAnsi" w:eastAsia="Calibri" w:hAnsiTheme="majorHAnsi" w:cstheme="majorHAnsi"/>
                <w:sz w:val="20"/>
                <w:szCs w:val="20"/>
              </w:rPr>
              <w:t xml:space="preserve"> entire right lower extremity; reflexes normal and symmetric in bilateral lower extremities.</w:t>
            </w:r>
          </w:p>
        </w:tc>
      </w:tr>
      <w:tr w:rsidR="002E3233" w:rsidRPr="00F64312" w:rsidTr="00200A10">
        <w:trPr>
          <w:jc w:val="center"/>
        </w:trPr>
        <w:tc>
          <w:tcPr>
            <w:tcW w:w="1725" w:type="dxa"/>
            <w:tcBorders>
              <w:top w:val="single" w:sz="4" w:space="0" w:color="000000"/>
              <w:left w:val="single" w:sz="4" w:space="0" w:color="000000"/>
              <w:bottom w:val="single" w:sz="4" w:space="0" w:color="000000"/>
              <w:right w:val="single" w:sz="4" w:space="0" w:color="000000"/>
            </w:tcBorders>
            <w:vAlign w:val="center"/>
            <w:hideMark/>
          </w:tcPr>
          <w:p w:rsidR="002E3233" w:rsidRPr="00626B32" w:rsidRDefault="002E3233" w:rsidP="00D40E74">
            <w:pPr>
              <w:pStyle w:val="ListParagraph"/>
              <w:spacing w:after="0" w:line="200" w:lineRule="exact"/>
              <w:ind w:left="0"/>
              <w:rPr>
                <w:rFonts w:asciiTheme="majorHAnsi" w:eastAsia="Calibri" w:hAnsiTheme="majorHAnsi" w:cstheme="majorHAnsi"/>
                <w:sz w:val="20"/>
                <w:szCs w:val="20"/>
              </w:rPr>
            </w:pPr>
            <w:r w:rsidRPr="00626B32">
              <w:rPr>
                <w:rFonts w:asciiTheme="majorHAnsi" w:eastAsia="Calibri" w:hAnsiTheme="majorHAnsi" w:cstheme="majorHAnsi"/>
                <w:sz w:val="20"/>
                <w:szCs w:val="20"/>
              </w:rPr>
              <w:t>§4.71a Rating</w:t>
            </w:r>
          </w:p>
        </w:tc>
        <w:tc>
          <w:tcPr>
            <w:tcW w:w="5850" w:type="dxa"/>
            <w:gridSpan w:val="2"/>
            <w:tcBorders>
              <w:top w:val="single" w:sz="4" w:space="0" w:color="000000"/>
              <w:left w:val="single" w:sz="4" w:space="0" w:color="000000"/>
              <w:bottom w:val="single" w:sz="4" w:space="0" w:color="000000"/>
              <w:right w:val="single" w:sz="4" w:space="0" w:color="000000"/>
            </w:tcBorders>
            <w:vAlign w:val="center"/>
          </w:tcPr>
          <w:p w:rsidR="002E3233" w:rsidRPr="00626B32" w:rsidRDefault="002E3233" w:rsidP="00200A10">
            <w:pPr>
              <w:pStyle w:val="ListParagraph"/>
              <w:spacing w:after="0" w:line="200" w:lineRule="exact"/>
              <w:ind w:left="0"/>
              <w:jc w:val="both"/>
              <w:rPr>
                <w:rFonts w:asciiTheme="majorHAnsi" w:eastAsia="Calibri" w:hAnsiTheme="majorHAnsi" w:cstheme="majorHAnsi"/>
                <w:sz w:val="20"/>
                <w:szCs w:val="20"/>
              </w:rPr>
            </w:pPr>
          </w:p>
        </w:tc>
        <w:tc>
          <w:tcPr>
            <w:tcW w:w="1995" w:type="dxa"/>
            <w:vMerge w:val="restart"/>
            <w:tcBorders>
              <w:top w:val="single" w:sz="4" w:space="0" w:color="000000"/>
              <w:left w:val="single" w:sz="4" w:space="0" w:color="000000"/>
              <w:right w:val="single" w:sz="4" w:space="0" w:color="000000"/>
            </w:tcBorders>
          </w:tcPr>
          <w:p w:rsidR="002E3233" w:rsidRPr="00626B32" w:rsidRDefault="002E3233" w:rsidP="00D40E74">
            <w:pPr>
              <w:pStyle w:val="ListParagraph"/>
              <w:spacing w:after="0" w:line="200" w:lineRule="exact"/>
              <w:ind w:left="0"/>
              <w:rPr>
                <w:rFonts w:asciiTheme="majorHAnsi" w:eastAsia="Calibri" w:hAnsiTheme="majorHAnsi" w:cstheme="majorHAnsi"/>
                <w:sz w:val="20"/>
                <w:szCs w:val="20"/>
              </w:rPr>
            </w:pPr>
          </w:p>
        </w:tc>
      </w:tr>
      <w:tr w:rsidR="002E3233" w:rsidRPr="00F64312" w:rsidTr="00200A10">
        <w:trPr>
          <w:jc w:val="center"/>
        </w:trPr>
        <w:tc>
          <w:tcPr>
            <w:tcW w:w="1725" w:type="dxa"/>
            <w:tcBorders>
              <w:top w:val="single" w:sz="4" w:space="0" w:color="000000"/>
              <w:left w:val="single" w:sz="4" w:space="0" w:color="000000"/>
              <w:bottom w:val="single" w:sz="4" w:space="0" w:color="000000"/>
              <w:right w:val="single" w:sz="4" w:space="0" w:color="000000"/>
            </w:tcBorders>
            <w:vAlign w:val="center"/>
          </w:tcPr>
          <w:p w:rsidR="002E3233" w:rsidRPr="00626B32" w:rsidRDefault="002E3233" w:rsidP="00001E2A">
            <w:pPr>
              <w:pStyle w:val="ListParagraph"/>
              <w:spacing w:after="0" w:line="200" w:lineRule="exact"/>
              <w:ind w:left="0"/>
              <w:rPr>
                <w:rFonts w:asciiTheme="majorHAnsi" w:eastAsia="Calibri" w:hAnsiTheme="majorHAnsi" w:cstheme="majorHAnsi"/>
                <w:sz w:val="20"/>
                <w:szCs w:val="20"/>
              </w:rPr>
            </w:pPr>
            <w:r>
              <w:rPr>
                <w:rFonts w:asciiTheme="majorHAnsi" w:eastAsia="Calibri" w:hAnsiTheme="majorHAnsi" w:cstheme="majorHAnsi"/>
                <w:sz w:val="20"/>
                <w:szCs w:val="20"/>
              </w:rPr>
              <w:t>2003 5292</w:t>
            </w:r>
          </w:p>
        </w:tc>
        <w:tc>
          <w:tcPr>
            <w:tcW w:w="3150" w:type="dxa"/>
            <w:tcBorders>
              <w:top w:val="single" w:sz="4" w:space="0" w:color="000000"/>
              <w:left w:val="single" w:sz="4" w:space="0" w:color="000000"/>
              <w:bottom w:val="single" w:sz="4" w:space="0" w:color="000000"/>
              <w:right w:val="single" w:sz="4" w:space="0" w:color="000000"/>
            </w:tcBorders>
            <w:vAlign w:val="center"/>
          </w:tcPr>
          <w:p w:rsidR="002E3233" w:rsidRPr="00626B32" w:rsidRDefault="002E3233" w:rsidP="00D40E74">
            <w:pPr>
              <w:pStyle w:val="ListParagraph"/>
              <w:spacing w:after="0" w:line="200" w:lineRule="exact"/>
              <w:ind w:left="0"/>
              <w:rPr>
                <w:rFonts w:asciiTheme="majorHAnsi" w:eastAsia="Calibri" w:hAnsiTheme="majorHAnsi" w:cstheme="majorHAnsi"/>
                <w:sz w:val="20"/>
                <w:szCs w:val="20"/>
              </w:rPr>
            </w:pPr>
            <w:r>
              <w:rPr>
                <w:rFonts w:asciiTheme="majorHAnsi" w:eastAsia="Calibri" w:hAnsiTheme="majorHAnsi" w:cstheme="majorHAnsi"/>
                <w:sz w:val="20"/>
                <w:szCs w:val="20"/>
              </w:rPr>
              <w:t>10%</w:t>
            </w:r>
          </w:p>
        </w:tc>
        <w:tc>
          <w:tcPr>
            <w:tcW w:w="2700" w:type="dxa"/>
            <w:tcBorders>
              <w:top w:val="single" w:sz="4" w:space="0" w:color="000000"/>
              <w:left w:val="single" w:sz="4" w:space="0" w:color="000000"/>
              <w:bottom w:val="single" w:sz="4" w:space="0" w:color="000000"/>
              <w:right w:val="single" w:sz="4" w:space="0" w:color="000000"/>
            </w:tcBorders>
            <w:vAlign w:val="center"/>
          </w:tcPr>
          <w:p w:rsidR="002E3233" w:rsidRPr="00626B32" w:rsidRDefault="002E3233" w:rsidP="00D40E74">
            <w:pPr>
              <w:pStyle w:val="ListParagraph"/>
              <w:spacing w:after="0" w:line="200" w:lineRule="exact"/>
              <w:ind w:left="0"/>
              <w:rPr>
                <w:rFonts w:asciiTheme="majorHAnsi" w:eastAsia="Calibri" w:hAnsiTheme="majorHAnsi" w:cstheme="majorHAnsi"/>
                <w:sz w:val="20"/>
                <w:szCs w:val="20"/>
              </w:rPr>
            </w:pPr>
            <w:r>
              <w:rPr>
                <w:rFonts w:asciiTheme="majorHAnsi" w:eastAsia="Calibri" w:hAnsiTheme="majorHAnsi" w:cstheme="majorHAnsi"/>
                <w:sz w:val="20"/>
                <w:szCs w:val="20"/>
              </w:rPr>
              <w:t>10%</w:t>
            </w:r>
          </w:p>
        </w:tc>
        <w:tc>
          <w:tcPr>
            <w:tcW w:w="1995" w:type="dxa"/>
            <w:vMerge/>
            <w:tcBorders>
              <w:left w:val="single" w:sz="4" w:space="0" w:color="000000"/>
              <w:right w:val="single" w:sz="4" w:space="0" w:color="000000"/>
            </w:tcBorders>
          </w:tcPr>
          <w:p w:rsidR="002E3233" w:rsidRDefault="002E3233" w:rsidP="00D40E74">
            <w:pPr>
              <w:pStyle w:val="ListParagraph"/>
              <w:spacing w:after="0" w:line="200" w:lineRule="exact"/>
              <w:ind w:left="0"/>
              <w:rPr>
                <w:rFonts w:asciiTheme="majorHAnsi" w:eastAsia="Calibri" w:hAnsiTheme="majorHAnsi" w:cstheme="majorHAnsi"/>
                <w:sz w:val="20"/>
                <w:szCs w:val="20"/>
              </w:rPr>
            </w:pPr>
          </w:p>
        </w:tc>
      </w:tr>
      <w:tr w:rsidR="002E3233" w:rsidRPr="00F64312" w:rsidTr="00200A10">
        <w:trPr>
          <w:jc w:val="center"/>
        </w:trPr>
        <w:tc>
          <w:tcPr>
            <w:tcW w:w="1725" w:type="dxa"/>
            <w:tcBorders>
              <w:top w:val="single" w:sz="4" w:space="0" w:color="000000"/>
              <w:left w:val="single" w:sz="4" w:space="0" w:color="000000"/>
              <w:bottom w:val="single" w:sz="4" w:space="0" w:color="000000"/>
              <w:right w:val="single" w:sz="4" w:space="0" w:color="000000"/>
            </w:tcBorders>
            <w:vAlign w:val="center"/>
          </w:tcPr>
          <w:p w:rsidR="002E3233" w:rsidRDefault="002E3233" w:rsidP="00001E2A">
            <w:pPr>
              <w:pStyle w:val="ListParagraph"/>
              <w:spacing w:after="0" w:line="200" w:lineRule="exact"/>
              <w:ind w:left="0"/>
              <w:rPr>
                <w:rFonts w:asciiTheme="majorHAnsi" w:eastAsia="Calibri" w:hAnsiTheme="majorHAnsi" w:cstheme="majorHAnsi"/>
                <w:sz w:val="20"/>
                <w:szCs w:val="20"/>
              </w:rPr>
            </w:pPr>
            <w:r>
              <w:rPr>
                <w:rFonts w:asciiTheme="majorHAnsi" w:eastAsia="Calibri" w:hAnsiTheme="majorHAnsi" w:cstheme="majorHAnsi"/>
                <w:sz w:val="20"/>
                <w:szCs w:val="20"/>
              </w:rPr>
              <w:t>2003 5293</w:t>
            </w:r>
          </w:p>
        </w:tc>
        <w:tc>
          <w:tcPr>
            <w:tcW w:w="5850" w:type="dxa"/>
            <w:gridSpan w:val="2"/>
            <w:tcBorders>
              <w:top w:val="single" w:sz="4" w:space="0" w:color="000000"/>
              <w:left w:val="single" w:sz="4" w:space="0" w:color="000000"/>
              <w:bottom w:val="single" w:sz="4" w:space="0" w:color="000000"/>
              <w:right w:val="single" w:sz="4" w:space="0" w:color="000000"/>
            </w:tcBorders>
            <w:vAlign w:val="center"/>
          </w:tcPr>
          <w:p w:rsidR="002E3233" w:rsidRPr="00626B32" w:rsidRDefault="002E3233" w:rsidP="00D40E74">
            <w:pPr>
              <w:pStyle w:val="ListParagraph"/>
              <w:spacing w:after="0" w:line="200" w:lineRule="exact"/>
              <w:ind w:left="0"/>
              <w:rPr>
                <w:rFonts w:asciiTheme="majorHAnsi" w:eastAsia="Calibri" w:hAnsiTheme="majorHAnsi" w:cstheme="majorHAnsi"/>
                <w:sz w:val="20"/>
                <w:szCs w:val="20"/>
              </w:rPr>
            </w:pPr>
            <w:r>
              <w:rPr>
                <w:rFonts w:asciiTheme="majorHAnsi" w:eastAsia="Calibri" w:hAnsiTheme="majorHAnsi" w:cstheme="majorHAnsi"/>
                <w:sz w:val="20"/>
                <w:szCs w:val="20"/>
              </w:rPr>
              <w:t>No information on frequency of incapacitating episodes</w:t>
            </w:r>
          </w:p>
        </w:tc>
        <w:tc>
          <w:tcPr>
            <w:tcW w:w="1995" w:type="dxa"/>
            <w:vMerge/>
            <w:tcBorders>
              <w:left w:val="single" w:sz="4" w:space="0" w:color="000000"/>
              <w:right w:val="single" w:sz="4" w:space="0" w:color="000000"/>
            </w:tcBorders>
            <w:vAlign w:val="center"/>
          </w:tcPr>
          <w:p w:rsidR="002E3233" w:rsidRPr="00626B32" w:rsidRDefault="002E3233" w:rsidP="00D40E74">
            <w:pPr>
              <w:pStyle w:val="ListParagraph"/>
              <w:spacing w:after="0" w:line="200" w:lineRule="exact"/>
              <w:ind w:left="0"/>
              <w:rPr>
                <w:rFonts w:asciiTheme="majorHAnsi" w:eastAsia="Calibri" w:hAnsiTheme="majorHAnsi" w:cstheme="majorHAnsi"/>
                <w:sz w:val="20"/>
                <w:szCs w:val="20"/>
              </w:rPr>
            </w:pPr>
          </w:p>
        </w:tc>
      </w:tr>
      <w:tr w:rsidR="002E3233" w:rsidRPr="00F64312" w:rsidTr="00200A10">
        <w:trPr>
          <w:jc w:val="center"/>
        </w:trPr>
        <w:tc>
          <w:tcPr>
            <w:tcW w:w="1725" w:type="dxa"/>
            <w:tcBorders>
              <w:top w:val="single" w:sz="4" w:space="0" w:color="000000"/>
              <w:left w:val="single" w:sz="4" w:space="0" w:color="000000"/>
              <w:bottom w:val="single" w:sz="4" w:space="0" w:color="000000"/>
              <w:right w:val="single" w:sz="4" w:space="0" w:color="000000"/>
            </w:tcBorders>
            <w:vAlign w:val="center"/>
          </w:tcPr>
          <w:p w:rsidR="002E3233" w:rsidRPr="00626B32" w:rsidRDefault="002E3233" w:rsidP="00D40E74">
            <w:pPr>
              <w:pStyle w:val="ListParagraph"/>
              <w:spacing w:after="0" w:line="200" w:lineRule="exact"/>
              <w:ind w:left="0"/>
              <w:rPr>
                <w:rFonts w:asciiTheme="majorHAnsi" w:eastAsia="Calibri" w:hAnsiTheme="majorHAnsi" w:cstheme="majorHAnsi"/>
                <w:sz w:val="20"/>
                <w:szCs w:val="20"/>
              </w:rPr>
            </w:pPr>
            <w:r>
              <w:rPr>
                <w:rFonts w:asciiTheme="majorHAnsi" w:eastAsia="Calibri" w:hAnsiTheme="majorHAnsi" w:cstheme="majorHAnsi"/>
                <w:sz w:val="20"/>
                <w:szCs w:val="20"/>
              </w:rPr>
              <w:t>2003 5295</w:t>
            </w:r>
          </w:p>
        </w:tc>
        <w:tc>
          <w:tcPr>
            <w:tcW w:w="3150" w:type="dxa"/>
            <w:tcBorders>
              <w:top w:val="single" w:sz="4" w:space="0" w:color="000000"/>
              <w:left w:val="single" w:sz="4" w:space="0" w:color="000000"/>
              <w:bottom w:val="single" w:sz="4" w:space="0" w:color="000000"/>
              <w:right w:val="single" w:sz="4" w:space="0" w:color="000000"/>
            </w:tcBorders>
            <w:vAlign w:val="center"/>
          </w:tcPr>
          <w:p w:rsidR="002E3233" w:rsidRPr="00626B32" w:rsidRDefault="002E3233" w:rsidP="00D40E74">
            <w:pPr>
              <w:pStyle w:val="ListParagraph"/>
              <w:spacing w:after="0" w:line="200" w:lineRule="exact"/>
              <w:ind w:left="0"/>
              <w:rPr>
                <w:rFonts w:asciiTheme="majorHAnsi" w:eastAsia="Calibri" w:hAnsiTheme="majorHAnsi" w:cstheme="majorHAnsi"/>
                <w:sz w:val="20"/>
                <w:szCs w:val="20"/>
              </w:rPr>
            </w:pPr>
            <w:r>
              <w:rPr>
                <w:rFonts w:asciiTheme="majorHAnsi" w:eastAsia="Calibri" w:hAnsiTheme="majorHAnsi" w:cstheme="majorHAnsi"/>
                <w:sz w:val="20"/>
                <w:szCs w:val="20"/>
              </w:rPr>
              <w:t>10%</w:t>
            </w:r>
          </w:p>
        </w:tc>
        <w:tc>
          <w:tcPr>
            <w:tcW w:w="2700" w:type="dxa"/>
            <w:tcBorders>
              <w:top w:val="single" w:sz="4" w:space="0" w:color="000000"/>
              <w:left w:val="single" w:sz="4" w:space="0" w:color="000000"/>
              <w:bottom w:val="single" w:sz="4" w:space="0" w:color="000000"/>
              <w:right w:val="single" w:sz="4" w:space="0" w:color="000000"/>
            </w:tcBorders>
            <w:vAlign w:val="center"/>
          </w:tcPr>
          <w:p w:rsidR="002E3233" w:rsidRPr="00626B32" w:rsidRDefault="002E3233" w:rsidP="00D40E74">
            <w:pPr>
              <w:pStyle w:val="ListParagraph"/>
              <w:spacing w:after="0" w:line="200" w:lineRule="exact"/>
              <w:ind w:left="0"/>
              <w:rPr>
                <w:rFonts w:asciiTheme="majorHAnsi" w:eastAsia="Calibri" w:hAnsiTheme="majorHAnsi" w:cstheme="majorHAnsi"/>
                <w:sz w:val="20"/>
                <w:szCs w:val="20"/>
              </w:rPr>
            </w:pPr>
            <w:r>
              <w:rPr>
                <w:rFonts w:asciiTheme="majorHAnsi" w:eastAsia="Calibri" w:hAnsiTheme="majorHAnsi" w:cstheme="majorHAnsi"/>
                <w:sz w:val="20"/>
                <w:szCs w:val="20"/>
              </w:rPr>
              <w:t>10%</w:t>
            </w:r>
          </w:p>
        </w:tc>
        <w:tc>
          <w:tcPr>
            <w:tcW w:w="1995" w:type="dxa"/>
            <w:vMerge/>
            <w:tcBorders>
              <w:left w:val="single" w:sz="4" w:space="0" w:color="000000"/>
              <w:right w:val="single" w:sz="4" w:space="0" w:color="000000"/>
            </w:tcBorders>
          </w:tcPr>
          <w:p w:rsidR="002E3233" w:rsidRPr="00626B32" w:rsidRDefault="002E3233" w:rsidP="002A0685">
            <w:pPr>
              <w:pStyle w:val="ListParagraph"/>
              <w:spacing w:after="0" w:line="200" w:lineRule="exact"/>
              <w:ind w:left="0"/>
              <w:rPr>
                <w:rFonts w:asciiTheme="majorHAnsi" w:eastAsia="Calibri" w:hAnsiTheme="majorHAnsi" w:cstheme="majorHAnsi"/>
                <w:sz w:val="20"/>
                <w:szCs w:val="20"/>
              </w:rPr>
            </w:pPr>
          </w:p>
        </w:tc>
      </w:tr>
      <w:tr w:rsidR="002E3233" w:rsidRPr="00F64312" w:rsidTr="00200A10">
        <w:trPr>
          <w:jc w:val="center"/>
        </w:trPr>
        <w:tc>
          <w:tcPr>
            <w:tcW w:w="1725" w:type="dxa"/>
            <w:tcBorders>
              <w:top w:val="single" w:sz="4" w:space="0" w:color="000000"/>
              <w:left w:val="single" w:sz="4" w:space="0" w:color="000000"/>
              <w:bottom w:val="single" w:sz="4" w:space="0" w:color="000000"/>
              <w:right w:val="single" w:sz="4" w:space="0" w:color="000000"/>
            </w:tcBorders>
            <w:vAlign w:val="center"/>
          </w:tcPr>
          <w:p w:rsidR="002E3233" w:rsidRPr="005E4E26" w:rsidRDefault="002E3233" w:rsidP="00D40E74">
            <w:pPr>
              <w:pStyle w:val="ListParagraph"/>
              <w:spacing w:after="0" w:line="200" w:lineRule="exact"/>
              <w:ind w:left="0"/>
              <w:rPr>
                <w:rFonts w:asciiTheme="majorHAnsi" w:eastAsia="Calibri" w:hAnsiTheme="majorHAnsi" w:cstheme="majorHAnsi"/>
                <w:sz w:val="20"/>
                <w:szCs w:val="20"/>
              </w:rPr>
            </w:pPr>
            <w:r w:rsidRPr="005E4E26">
              <w:rPr>
                <w:rFonts w:asciiTheme="majorHAnsi" w:eastAsia="Calibri" w:hAnsiTheme="majorHAnsi" w:cstheme="majorHAnsi"/>
                <w:sz w:val="20"/>
                <w:szCs w:val="20"/>
              </w:rPr>
              <w:t>Present</w:t>
            </w:r>
            <w:r w:rsidR="00200A10" w:rsidRPr="005E4E26">
              <w:rPr>
                <w:rFonts w:asciiTheme="majorHAnsi" w:eastAsia="Calibri" w:hAnsiTheme="majorHAnsi" w:cstheme="majorHAnsi"/>
                <w:sz w:val="20"/>
                <w:szCs w:val="20"/>
              </w:rPr>
              <w:t xml:space="preserve"> Day</w:t>
            </w:r>
            <w:r w:rsidRPr="005E4E26">
              <w:rPr>
                <w:rFonts w:asciiTheme="majorHAnsi" w:eastAsia="Calibri" w:hAnsiTheme="majorHAnsi" w:cstheme="majorHAnsi"/>
                <w:sz w:val="20"/>
                <w:szCs w:val="20"/>
              </w:rPr>
              <w:t xml:space="preserve"> 5243 </w:t>
            </w:r>
          </w:p>
        </w:tc>
        <w:tc>
          <w:tcPr>
            <w:tcW w:w="3150" w:type="dxa"/>
            <w:tcBorders>
              <w:top w:val="single" w:sz="4" w:space="0" w:color="000000"/>
              <w:left w:val="single" w:sz="4" w:space="0" w:color="000000"/>
              <w:bottom w:val="single" w:sz="4" w:space="0" w:color="000000"/>
              <w:right w:val="single" w:sz="4" w:space="0" w:color="000000"/>
            </w:tcBorders>
            <w:vAlign w:val="center"/>
          </w:tcPr>
          <w:p w:rsidR="002E3233" w:rsidRPr="005E4E26" w:rsidRDefault="002E3233" w:rsidP="00D40E74">
            <w:pPr>
              <w:pStyle w:val="ListParagraph"/>
              <w:spacing w:after="0" w:line="200" w:lineRule="exact"/>
              <w:ind w:left="0"/>
              <w:rPr>
                <w:rFonts w:asciiTheme="majorHAnsi" w:eastAsia="Calibri" w:hAnsiTheme="majorHAnsi" w:cstheme="majorHAnsi"/>
                <w:sz w:val="20"/>
                <w:szCs w:val="20"/>
              </w:rPr>
            </w:pPr>
            <w:r w:rsidRPr="005E4E26">
              <w:rPr>
                <w:rFonts w:asciiTheme="majorHAnsi" w:eastAsia="Calibri" w:hAnsiTheme="majorHAnsi" w:cstheme="majorHAnsi"/>
                <w:sz w:val="20"/>
                <w:szCs w:val="20"/>
              </w:rPr>
              <w:t>10%</w:t>
            </w:r>
          </w:p>
        </w:tc>
        <w:tc>
          <w:tcPr>
            <w:tcW w:w="2700" w:type="dxa"/>
            <w:tcBorders>
              <w:top w:val="single" w:sz="4" w:space="0" w:color="000000"/>
              <w:left w:val="single" w:sz="4" w:space="0" w:color="000000"/>
              <w:bottom w:val="single" w:sz="4" w:space="0" w:color="000000"/>
              <w:right w:val="single" w:sz="4" w:space="0" w:color="000000"/>
            </w:tcBorders>
            <w:vAlign w:val="center"/>
          </w:tcPr>
          <w:p w:rsidR="002E3233" w:rsidRPr="005E4E26" w:rsidRDefault="002E3233" w:rsidP="00D40E74">
            <w:pPr>
              <w:pStyle w:val="ListParagraph"/>
              <w:spacing w:after="0" w:line="200" w:lineRule="exact"/>
              <w:ind w:left="0"/>
              <w:rPr>
                <w:rFonts w:asciiTheme="majorHAnsi" w:eastAsia="Calibri" w:hAnsiTheme="majorHAnsi" w:cstheme="majorHAnsi"/>
                <w:sz w:val="20"/>
                <w:szCs w:val="20"/>
              </w:rPr>
            </w:pPr>
            <w:r w:rsidRPr="005E4E26">
              <w:rPr>
                <w:rFonts w:asciiTheme="majorHAnsi" w:eastAsia="Calibri" w:hAnsiTheme="majorHAnsi" w:cstheme="majorHAnsi"/>
                <w:sz w:val="20"/>
                <w:szCs w:val="20"/>
              </w:rPr>
              <w:t>10%</w:t>
            </w:r>
          </w:p>
        </w:tc>
        <w:tc>
          <w:tcPr>
            <w:tcW w:w="1995" w:type="dxa"/>
            <w:vMerge/>
            <w:tcBorders>
              <w:left w:val="single" w:sz="4" w:space="0" w:color="000000"/>
              <w:bottom w:val="single" w:sz="4" w:space="0" w:color="000000"/>
              <w:right w:val="single" w:sz="4" w:space="0" w:color="000000"/>
            </w:tcBorders>
          </w:tcPr>
          <w:p w:rsidR="002E3233" w:rsidRDefault="002E3233" w:rsidP="00D40E74">
            <w:pPr>
              <w:pStyle w:val="ListParagraph"/>
              <w:spacing w:after="0" w:line="200" w:lineRule="exact"/>
              <w:ind w:left="0"/>
              <w:rPr>
                <w:rFonts w:asciiTheme="majorHAnsi" w:eastAsia="Calibri" w:hAnsiTheme="majorHAnsi" w:cstheme="majorHAnsi"/>
                <w:sz w:val="20"/>
                <w:szCs w:val="20"/>
              </w:rPr>
            </w:pPr>
          </w:p>
        </w:tc>
      </w:tr>
      <w:tr w:rsidR="002E3233" w:rsidRPr="00F64312" w:rsidTr="00200A10">
        <w:trPr>
          <w:jc w:val="center"/>
        </w:trPr>
        <w:tc>
          <w:tcPr>
            <w:tcW w:w="1725" w:type="dxa"/>
            <w:tcBorders>
              <w:top w:val="single" w:sz="4" w:space="0" w:color="000000"/>
              <w:left w:val="single" w:sz="4" w:space="0" w:color="000000"/>
              <w:bottom w:val="single" w:sz="4" w:space="0" w:color="000000"/>
              <w:right w:val="single" w:sz="4" w:space="0" w:color="000000"/>
            </w:tcBorders>
            <w:vAlign w:val="center"/>
          </w:tcPr>
          <w:p w:rsidR="002E3233" w:rsidRDefault="002E3233" w:rsidP="00C86A3F">
            <w:pPr>
              <w:pStyle w:val="ListParagraph"/>
              <w:spacing w:after="0" w:line="200" w:lineRule="exact"/>
              <w:ind w:left="0"/>
              <w:rPr>
                <w:rFonts w:asciiTheme="majorHAnsi" w:eastAsia="Calibri" w:hAnsiTheme="majorHAnsi" w:cstheme="majorHAnsi"/>
                <w:sz w:val="20"/>
                <w:szCs w:val="20"/>
              </w:rPr>
            </w:pPr>
            <w:r>
              <w:rPr>
                <w:rFonts w:asciiTheme="majorHAnsi" w:eastAsia="Calibri" w:hAnsiTheme="majorHAnsi" w:cstheme="majorHAnsi"/>
                <w:sz w:val="20"/>
                <w:szCs w:val="20"/>
              </w:rPr>
              <w:t>8</w:t>
            </w:r>
            <w:r w:rsidR="00C86A3F">
              <w:rPr>
                <w:rFonts w:asciiTheme="majorHAnsi" w:eastAsia="Calibri" w:hAnsiTheme="majorHAnsi" w:cstheme="majorHAnsi"/>
                <w:sz w:val="20"/>
                <w:szCs w:val="20"/>
              </w:rPr>
              <w:t>6</w:t>
            </w:r>
            <w:r>
              <w:rPr>
                <w:rFonts w:asciiTheme="majorHAnsi" w:eastAsia="Calibri" w:hAnsiTheme="majorHAnsi" w:cstheme="majorHAnsi"/>
                <w:sz w:val="20"/>
                <w:szCs w:val="20"/>
              </w:rPr>
              <w:t>20</w:t>
            </w:r>
          </w:p>
        </w:tc>
        <w:tc>
          <w:tcPr>
            <w:tcW w:w="3150" w:type="dxa"/>
            <w:tcBorders>
              <w:top w:val="single" w:sz="4" w:space="0" w:color="000000"/>
              <w:left w:val="single" w:sz="4" w:space="0" w:color="000000"/>
              <w:bottom w:val="single" w:sz="4" w:space="0" w:color="000000"/>
              <w:right w:val="single" w:sz="4" w:space="0" w:color="000000"/>
            </w:tcBorders>
            <w:vAlign w:val="center"/>
          </w:tcPr>
          <w:p w:rsidR="002E3233" w:rsidRPr="00626B32" w:rsidRDefault="002E3233" w:rsidP="00D40E74">
            <w:pPr>
              <w:pStyle w:val="ListParagraph"/>
              <w:spacing w:after="0" w:line="200" w:lineRule="exact"/>
              <w:ind w:left="0"/>
              <w:rPr>
                <w:rFonts w:asciiTheme="majorHAnsi" w:eastAsia="Calibri" w:hAnsiTheme="majorHAnsi" w:cstheme="majorHAnsi"/>
                <w:sz w:val="20"/>
                <w:szCs w:val="20"/>
              </w:rPr>
            </w:pPr>
            <w:r>
              <w:rPr>
                <w:rFonts w:asciiTheme="majorHAnsi" w:eastAsia="Calibri" w:hAnsiTheme="majorHAnsi" w:cstheme="majorHAnsi"/>
                <w:sz w:val="20"/>
                <w:szCs w:val="20"/>
              </w:rPr>
              <w:t>10%</w:t>
            </w:r>
          </w:p>
        </w:tc>
        <w:tc>
          <w:tcPr>
            <w:tcW w:w="2700" w:type="dxa"/>
            <w:tcBorders>
              <w:top w:val="single" w:sz="4" w:space="0" w:color="000000"/>
              <w:left w:val="single" w:sz="4" w:space="0" w:color="000000"/>
              <w:bottom w:val="single" w:sz="4" w:space="0" w:color="000000"/>
              <w:right w:val="single" w:sz="4" w:space="0" w:color="000000"/>
            </w:tcBorders>
            <w:vAlign w:val="center"/>
          </w:tcPr>
          <w:p w:rsidR="002E3233" w:rsidRPr="00626B32" w:rsidRDefault="002E3233" w:rsidP="00D40E74">
            <w:pPr>
              <w:pStyle w:val="ListParagraph"/>
              <w:spacing w:after="0" w:line="200" w:lineRule="exact"/>
              <w:ind w:left="0"/>
              <w:rPr>
                <w:rFonts w:asciiTheme="majorHAnsi" w:eastAsia="Calibri" w:hAnsiTheme="majorHAnsi" w:cstheme="majorHAnsi"/>
                <w:sz w:val="20"/>
                <w:szCs w:val="20"/>
              </w:rPr>
            </w:pPr>
            <w:r>
              <w:rPr>
                <w:rFonts w:asciiTheme="majorHAnsi" w:eastAsia="Calibri" w:hAnsiTheme="majorHAnsi" w:cstheme="majorHAnsi"/>
                <w:sz w:val="20"/>
                <w:szCs w:val="20"/>
              </w:rPr>
              <w:t>10%</w:t>
            </w:r>
          </w:p>
        </w:tc>
        <w:tc>
          <w:tcPr>
            <w:tcW w:w="1995" w:type="dxa"/>
            <w:tcBorders>
              <w:top w:val="single" w:sz="4" w:space="0" w:color="000000"/>
              <w:left w:val="single" w:sz="4" w:space="0" w:color="000000"/>
              <w:bottom w:val="single" w:sz="4" w:space="0" w:color="000000"/>
              <w:right w:val="single" w:sz="4" w:space="0" w:color="000000"/>
            </w:tcBorders>
          </w:tcPr>
          <w:p w:rsidR="002E3233" w:rsidRDefault="002E3233" w:rsidP="00D40E74">
            <w:pPr>
              <w:pStyle w:val="ListParagraph"/>
              <w:spacing w:after="0" w:line="200" w:lineRule="exact"/>
              <w:ind w:left="0"/>
              <w:rPr>
                <w:rFonts w:asciiTheme="majorHAnsi" w:eastAsia="Calibri" w:hAnsiTheme="majorHAnsi" w:cstheme="majorHAnsi"/>
                <w:sz w:val="20"/>
                <w:szCs w:val="20"/>
              </w:rPr>
            </w:pPr>
            <w:r>
              <w:rPr>
                <w:rFonts w:asciiTheme="majorHAnsi" w:eastAsia="Calibri" w:hAnsiTheme="majorHAnsi" w:cstheme="majorHAnsi"/>
                <w:sz w:val="20"/>
                <w:szCs w:val="20"/>
              </w:rPr>
              <w:t>10%</w:t>
            </w:r>
          </w:p>
        </w:tc>
      </w:tr>
    </w:tbl>
    <w:p w:rsidR="00CF0280" w:rsidRPr="00F64312" w:rsidRDefault="00CF0280" w:rsidP="0069687C">
      <w:pPr>
        <w:jc w:val="both"/>
        <w:rPr>
          <w:color w:val="auto"/>
          <w:szCs w:val="24"/>
        </w:rPr>
      </w:pPr>
    </w:p>
    <w:p w:rsidR="002A0685" w:rsidRPr="005E4E26" w:rsidRDefault="002A0685" w:rsidP="00533866">
      <w:pPr>
        <w:jc w:val="both"/>
        <w:rPr>
          <w:color w:val="auto"/>
          <w:szCs w:val="24"/>
        </w:rPr>
      </w:pPr>
      <w:r>
        <w:rPr>
          <w:color w:val="auto"/>
          <w:szCs w:val="24"/>
        </w:rPr>
        <w:t xml:space="preserve">The CI served on active duty from </w:t>
      </w:r>
      <w:r w:rsidR="001F3E44">
        <w:rPr>
          <w:color w:val="auto"/>
          <w:szCs w:val="24"/>
        </w:rPr>
        <w:t xml:space="preserve">12 September </w:t>
      </w:r>
      <w:r>
        <w:rPr>
          <w:color w:val="auto"/>
          <w:szCs w:val="24"/>
        </w:rPr>
        <w:t xml:space="preserve">2002 to </w:t>
      </w:r>
      <w:r w:rsidR="001F3E44">
        <w:rPr>
          <w:color w:val="auto"/>
          <w:szCs w:val="24"/>
        </w:rPr>
        <w:t xml:space="preserve">5 September </w:t>
      </w:r>
      <w:r>
        <w:rPr>
          <w:color w:val="auto"/>
          <w:szCs w:val="24"/>
        </w:rPr>
        <w:t xml:space="preserve">2003 and began having back pain after a fall </w:t>
      </w:r>
      <w:r w:rsidR="00533866">
        <w:rPr>
          <w:color w:val="auto"/>
          <w:szCs w:val="24"/>
        </w:rPr>
        <w:t xml:space="preserve">down a ladder or stairs </w:t>
      </w:r>
      <w:r>
        <w:rPr>
          <w:color w:val="auto"/>
          <w:szCs w:val="24"/>
        </w:rPr>
        <w:t>in late November 2002</w:t>
      </w:r>
      <w:r w:rsidR="00533866">
        <w:rPr>
          <w:color w:val="auto"/>
          <w:szCs w:val="24"/>
        </w:rPr>
        <w:t xml:space="preserve"> while deployed to Kuwait</w:t>
      </w:r>
      <w:r>
        <w:rPr>
          <w:color w:val="auto"/>
          <w:szCs w:val="24"/>
        </w:rPr>
        <w:t xml:space="preserve">. </w:t>
      </w:r>
      <w:r w:rsidR="004921AD">
        <w:rPr>
          <w:color w:val="auto"/>
          <w:szCs w:val="24"/>
        </w:rPr>
        <w:t xml:space="preserve"> </w:t>
      </w:r>
      <w:r>
        <w:rPr>
          <w:color w:val="auto"/>
          <w:szCs w:val="24"/>
        </w:rPr>
        <w:t xml:space="preserve">At the time of the </w:t>
      </w:r>
      <w:r w:rsidRPr="005E4E26">
        <w:rPr>
          <w:color w:val="auto"/>
          <w:szCs w:val="24"/>
        </w:rPr>
        <w:t xml:space="preserve">MEB </w:t>
      </w:r>
      <w:r w:rsidR="001F3E44">
        <w:rPr>
          <w:color w:val="auto"/>
          <w:szCs w:val="24"/>
        </w:rPr>
        <w:t>n</w:t>
      </w:r>
      <w:r w:rsidRPr="005E4E26">
        <w:rPr>
          <w:color w:val="auto"/>
          <w:szCs w:val="24"/>
        </w:rPr>
        <w:t xml:space="preserve">arrative </w:t>
      </w:r>
      <w:r w:rsidR="001F3E44">
        <w:rPr>
          <w:color w:val="auto"/>
          <w:szCs w:val="24"/>
        </w:rPr>
        <w:t>s</w:t>
      </w:r>
      <w:r w:rsidRPr="005E4E26">
        <w:rPr>
          <w:color w:val="auto"/>
          <w:szCs w:val="24"/>
        </w:rPr>
        <w:t>ummary (NARSUM) in April 2003</w:t>
      </w:r>
      <w:r w:rsidR="008B5DD0" w:rsidRPr="005E4E26">
        <w:rPr>
          <w:color w:val="auto"/>
          <w:szCs w:val="24"/>
        </w:rPr>
        <w:t xml:space="preserve">, </w:t>
      </w:r>
      <w:r w:rsidR="001F3E44">
        <w:rPr>
          <w:color w:val="auto"/>
          <w:szCs w:val="24"/>
        </w:rPr>
        <w:t>5</w:t>
      </w:r>
      <w:r w:rsidR="008B5DD0" w:rsidRPr="005E4E26">
        <w:rPr>
          <w:color w:val="auto"/>
          <w:szCs w:val="24"/>
        </w:rPr>
        <w:t xml:space="preserve"> months prior to separation,</w:t>
      </w:r>
      <w:r w:rsidRPr="005E4E26">
        <w:rPr>
          <w:color w:val="auto"/>
          <w:szCs w:val="24"/>
        </w:rPr>
        <w:t xml:space="preserve"> </w:t>
      </w:r>
      <w:r w:rsidR="008B5DD0" w:rsidRPr="005E4E26">
        <w:rPr>
          <w:color w:val="auto"/>
          <w:szCs w:val="24"/>
        </w:rPr>
        <w:t>t</w:t>
      </w:r>
      <w:r w:rsidRPr="005E4E26">
        <w:rPr>
          <w:color w:val="auto"/>
          <w:szCs w:val="24"/>
        </w:rPr>
        <w:t xml:space="preserve">he </w:t>
      </w:r>
      <w:r w:rsidR="008B5DD0" w:rsidRPr="005E4E26">
        <w:rPr>
          <w:color w:val="auto"/>
          <w:szCs w:val="24"/>
        </w:rPr>
        <w:t xml:space="preserve">CI </w:t>
      </w:r>
      <w:r w:rsidRPr="005E4E26">
        <w:rPr>
          <w:color w:val="auto"/>
          <w:szCs w:val="24"/>
        </w:rPr>
        <w:t xml:space="preserve">reported back pain that radiated down his right leg and denied any lower </w:t>
      </w:r>
      <w:r w:rsidRPr="005E4E26">
        <w:rPr>
          <w:color w:val="auto"/>
          <w:szCs w:val="24"/>
        </w:rPr>
        <w:lastRenderedPageBreak/>
        <w:t>extremity weakness or bowel or bladder dysfunction.</w:t>
      </w:r>
      <w:r w:rsidR="00533866" w:rsidRPr="005E4E26">
        <w:rPr>
          <w:color w:val="auto"/>
          <w:szCs w:val="24"/>
        </w:rPr>
        <w:t xml:space="preserve"> </w:t>
      </w:r>
      <w:r w:rsidR="004921AD" w:rsidRPr="005E4E26">
        <w:rPr>
          <w:color w:val="auto"/>
          <w:szCs w:val="24"/>
        </w:rPr>
        <w:t xml:space="preserve"> </w:t>
      </w:r>
      <w:r w:rsidR="00533866" w:rsidRPr="005E4E26">
        <w:rPr>
          <w:color w:val="auto"/>
          <w:szCs w:val="24"/>
        </w:rPr>
        <w:t xml:space="preserve">Although use of a goniometer is not mentioned, goniometric measurements were not required for rating at the time of the NARSUM. </w:t>
      </w:r>
      <w:r w:rsidR="004921AD" w:rsidRPr="005E4E26">
        <w:rPr>
          <w:color w:val="auto"/>
          <w:szCs w:val="24"/>
        </w:rPr>
        <w:t xml:space="preserve"> </w:t>
      </w:r>
      <w:r w:rsidR="00533866" w:rsidRPr="005E4E26">
        <w:rPr>
          <w:color w:val="auto"/>
          <w:szCs w:val="24"/>
        </w:rPr>
        <w:t xml:space="preserve">The examiner did report the CI had full active ROM with pain at flexion of 90 degrees. </w:t>
      </w:r>
      <w:r w:rsidR="004921AD" w:rsidRPr="005E4E26">
        <w:rPr>
          <w:color w:val="auto"/>
          <w:szCs w:val="24"/>
        </w:rPr>
        <w:t xml:space="preserve"> </w:t>
      </w:r>
      <w:r w:rsidR="00533866" w:rsidRPr="005E4E26">
        <w:rPr>
          <w:color w:val="auto"/>
          <w:szCs w:val="24"/>
        </w:rPr>
        <w:t xml:space="preserve">The NARSUM does not mention any periods of incapacitation. </w:t>
      </w:r>
      <w:r w:rsidR="004921AD" w:rsidRPr="005E4E26">
        <w:rPr>
          <w:color w:val="auto"/>
          <w:szCs w:val="24"/>
        </w:rPr>
        <w:t xml:space="preserve"> </w:t>
      </w:r>
      <w:r w:rsidR="00533866" w:rsidRPr="005E4E26">
        <w:rPr>
          <w:color w:val="auto"/>
          <w:szCs w:val="24"/>
        </w:rPr>
        <w:t xml:space="preserve">As reported above, the exam documents altered sensation, slightly decreased strength, and a positive straight leg raise of the right lower extremity. </w:t>
      </w:r>
      <w:r w:rsidR="004921AD" w:rsidRPr="005E4E26">
        <w:rPr>
          <w:color w:val="auto"/>
          <w:szCs w:val="24"/>
        </w:rPr>
        <w:t xml:space="preserve"> </w:t>
      </w:r>
      <w:r w:rsidR="00533866" w:rsidRPr="005E4E26">
        <w:rPr>
          <w:color w:val="auto"/>
          <w:szCs w:val="24"/>
        </w:rPr>
        <w:t>A</w:t>
      </w:r>
      <w:r w:rsidR="001F3E44">
        <w:rPr>
          <w:color w:val="auto"/>
          <w:szCs w:val="24"/>
        </w:rPr>
        <w:t xml:space="preserve"> magnetic resonance imaging (</w:t>
      </w:r>
      <w:r w:rsidR="00533866" w:rsidRPr="005E4E26">
        <w:rPr>
          <w:color w:val="auto"/>
          <w:szCs w:val="24"/>
        </w:rPr>
        <w:t>MRI</w:t>
      </w:r>
      <w:r w:rsidR="001F3E44">
        <w:rPr>
          <w:color w:val="auto"/>
          <w:szCs w:val="24"/>
        </w:rPr>
        <w:t>)</w:t>
      </w:r>
      <w:r w:rsidR="00533866" w:rsidRPr="005E4E26">
        <w:rPr>
          <w:color w:val="auto"/>
          <w:szCs w:val="24"/>
        </w:rPr>
        <w:t xml:space="preserve"> from January 2003 documented posterior media-right lateral sharp bulging of the disc L5-S 1 compressing the right L5 nerve root with rupture of epidural fat. </w:t>
      </w:r>
      <w:r w:rsidR="004921AD" w:rsidRPr="005E4E26">
        <w:rPr>
          <w:color w:val="auto"/>
          <w:szCs w:val="24"/>
        </w:rPr>
        <w:t xml:space="preserve"> </w:t>
      </w:r>
      <w:r w:rsidR="00533866" w:rsidRPr="005E4E26">
        <w:rPr>
          <w:color w:val="auto"/>
          <w:szCs w:val="24"/>
        </w:rPr>
        <w:t>This bulging disc descended slightly down to the entrance of right foramina.</w:t>
      </w:r>
      <w:r w:rsidR="008B5DD0" w:rsidRPr="005E4E26">
        <w:rPr>
          <w:color w:val="auto"/>
          <w:szCs w:val="24"/>
        </w:rPr>
        <w:t xml:space="preserve"> </w:t>
      </w:r>
      <w:r w:rsidR="004921AD" w:rsidRPr="005E4E26">
        <w:rPr>
          <w:color w:val="auto"/>
          <w:szCs w:val="24"/>
        </w:rPr>
        <w:t xml:space="preserve"> </w:t>
      </w:r>
      <w:r w:rsidR="008B5DD0" w:rsidRPr="005E4E26">
        <w:rPr>
          <w:color w:val="auto"/>
          <w:szCs w:val="24"/>
        </w:rPr>
        <w:t xml:space="preserve">A VA Compensation and Pension (C&amp;P) examination was completed two months after separation and noted a similar history and examination. </w:t>
      </w:r>
      <w:r w:rsidR="004921AD" w:rsidRPr="005E4E26">
        <w:rPr>
          <w:color w:val="auto"/>
          <w:szCs w:val="24"/>
        </w:rPr>
        <w:t xml:space="preserve"> </w:t>
      </w:r>
      <w:r w:rsidR="008B5DD0" w:rsidRPr="005E4E26">
        <w:rPr>
          <w:color w:val="auto"/>
          <w:szCs w:val="24"/>
        </w:rPr>
        <w:t xml:space="preserve">However, this examination included goniometric measurements and noted thoracolumbar flexion was limited by pain to 87 degrees. </w:t>
      </w:r>
      <w:r w:rsidR="004921AD" w:rsidRPr="005E4E26">
        <w:rPr>
          <w:color w:val="auto"/>
          <w:szCs w:val="24"/>
        </w:rPr>
        <w:t xml:space="preserve"> </w:t>
      </w:r>
      <w:r w:rsidR="008B5DD0" w:rsidRPr="005E4E26">
        <w:rPr>
          <w:color w:val="auto"/>
          <w:szCs w:val="24"/>
        </w:rPr>
        <w:t xml:space="preserve">It also noted the CI had only one or two days a week without any back pain. </w:t>
      </w:r>
      <w:r w:rsidR="004921AD" w:rsidRPr="005E4E26">
        <w:rPr>
          <w:color w:val="auto"/>
          <w:szCs w:val="24"/>
        </w:rPr>
        <w:t xml:space="preserve"> </w:t>
      </w:r>
      <w:r w:rsidR="008B5DD0" w:rsidRPr="005E4E26">
        <w:rPr>
          <w:color w:val="auto"/>
          <w:szCs w:val="24"/>
        </w:rPr>
        <w:t xml:space="preserve">He would have moderate to severe back pain that would last </w:t>
      </w:r>
      <w:r w:rsidR="001F3E44">
        <w:rPr>
          <w:color w:val="auto"/>
          <w:szCs w:val="24"/>
        </w:rPr>
        <w:t>2</w:t>
      </w:r>
      <w:r w:rsidR="008B5DD0" w:rsidRPr="005E4E26">
        <w:rPr>
          <w:color w:val="auto"/>
          <w:szCs w:val="24"/>
        </w:rPr>
        <w:t xml:space="preserve"> to </w:t>
      </w:r>
      <w:r w:rsidR="001F3E44">
        <w:rPr>
          <w:color w:val="auto"/>
          <w:szCs w:val="24"/>
        </w:rPr>
        <w:t>3</w:t>
      </w:r>
      <w:r w:rsidR="008B5DD0" w:rsidRPr="005E4E26">
        <w:rPr>
          <w:color w:val="auto"/>
          <w:szCs w:val="24"/>
        </w:rPr>
        <w:t xml:space="preserve"> days at a time. </w:t>
      </w:r>
      <w:r w:rsidR="004921AD" w:rsidRPr="005E4E26">
        <w:rPr>
          <w:color w:val="auto"/>
          <w:szCs w:val="24"/>
        </w:rPr>
        <w:t xml:space="preserve"> </w:t>
      </w:r>
      <w:r w:rsidR="008B5DD0" w:rsidRPr="005E4E26">
        <w:rPr>
          <w:color w:val="auto"/>
          <w:szCs w:val="24"/>
        </w:rPr>
        <w:t xml:space="preserve">He was working as a police officer in a radio communication office and needed frequent breaks to stand up, stretch out his back, and walk around. </w:t>
      </w:r>
      <w:r w:rsidR="004921AD" w:rsidRPr="005E4E26">
        <w:rPr>
          <w:color w:val="auto"/>
          <w:szCs w:val="24"/>
        </w:rPr>
        <w:t xml:space="preserve"> </w:t>
      </w:r>
      <w:r w:rsidR="008B5DD0" w:rsidRPr="005E4E26">
        <w:rPr>
          <w:color w:val="auto"/>
          <w:szCs w:val="24"/>
        </w:rPr>
        <w:t xml:space="preserve">There is no mention of any days of work missed for any reason. </w:t>
      </w:r>
      <w:r w:rsidR="004921AD" w:rsidRPr="005E4E26">
        <w:rPr>
          <w:color w:val="auto"/>
          <w:szCs w:val="24"/>
        </w:rPr>
        <w:t xml:space="preserve"> </w:t>
      </w:r>
      <w:r w:rsidR="008B5DD0" w:rsidRPr="005E4E26">
        <w:rPr>
          <w:color w:val="auto"/>
          <w:szCs w:val="24"/>
        </w:rPr>
        <w:t xml:space="preserve">In contrast with the NARSUM examination, motor strength was 5/5 and equal bilaterally in the lower extremities and pinprick and light touch sensory examination was normal. </w:t>
      </w:r>
      <w:r w:rsidR="004921AD" w:rsidRPr="005E4E26">
        <w:rPr>
          <w:color w:val="auto"/>
          <w:szCs w:val="24"/>
        </w:rPr>
        <w:t xml:space="preserve"> </w:t>
      </w:r>
      <w:r w:rsidR="008B5DD0" w:rsidRPr="005E4E26">
        <w:rPr>
          <w:color w:val="auto"/>
          <w:szCs w:val="24"/>
        </w:rPr>
        <w:t>However, a neurologic C&amp;P examination performed the same day noted altered sensation in the right lower extremity.</w:t>
      </w:r>
    </w:p>
    <w:p w:rsidR="002A0685" w:rsidRPr="005E4E26" w:rsidRDefault="002A0685" w:rsidP="0069687C">
      <w:pPr>
        <w:jc w:val="both"/>
        <w:rPr>
          <w:color w:val="auto"/>
          <w:szCs w:val="24"/>
        </w:rPr>
      </w:pPr>
    </w:p>
    <w:p w:rsidR="00CF0280" w:rsidRPr="005E4E26" w:rsidRDefault="001F3E44" w:rsidP="00881E16">
      <w:pPr>
        <w:jc w:val="both"/>
        <w:rPr>
          <w:color w:val="auto"/>
          <w:szCs w:val="24"/>
        </w:rPr>
      </w:pPr>
      <w:r>
        <w:rPr>
          <w:color w:val="auto"/>
          <w:szCs w:val="24"/>
        </w:rPr>
        <w:t xml:space="preserve">The </w:t>
      </w:r>
      <w:r w:rsidR="008B5DD0" w:rsidRPr="005E4E26">
        <w:rPr>
          <w:color w:val="auto"/>
          <w:szCs w:val="24"/>
        </w:rPr>
        <w:t>PEB</w:t>
      </w:r>
      <w:r w:rsidR="00881E16" w:rsidRPr="005E4E26">
        <w:rPr>
          <w:color w:val="auto"/>
          <w:szCs w:val="24"/>
        </w:rPr>
        <w:t xml:space="preserve"> adjudicated </w:t>
      </w:r>
      <w:r w:rsidR="00881E16" w:rsidRPr="005E4E26">
        <w:rPr>
          <w:color w:val="auto"/>
        </w:rPr>
        <w:t xml:space="preserve">chronic </w:t>
      </w:r>
      <w:r>
        <w:rPr>
          <w:color w:val="auto"/>
        </w:rPr>
        <w:t>LBP</w:t>
      </w:r>
      <w:r w:rsidR="00881E16" w:rsidRPr="005E4E26">
        <w:rPr>
          <w:color w:val="auto"/>
        </w:rPr>
        <w:t xml:space="preserve"> with right S1 radiculopathy, manifested by pain, sensory, deficit, and weakness as unfitt</w:t>
      </w:r>
      <w:r>
        <w:rPr>
          <w:color w:val="auto"/>
        </w:rPr>
        <w:t>ing and applied a 20% for codes 5293 i</w:t>
      </w:r>
      <w:r w:rsidR="00881E16" w:rsidRPr="005E4E26">
        <w:rPr>
          <w:color w:val="auto"/>
        </w:rPr>
        <w:t xml:space="preserve">ntervertebral disc syndrome and 5295 </w:t>
      </w:r>
      <w:r>
        <w:rPr>
          <w:color w:val="auto"/>
        </w:rPr>
        <w:t>l</w:t>
      </w:r>
      <w:r w:rsidR="00881E16" w:rsidRPr="005E4E26">
        <w:rPr>
          <w:color w:val="auto"/>
        </w:rPr>
        <w:t xml:space="preserve">umbosacral strain. </w:t>
      </w:r>
      <w:r w:rsidR="004921AD" w:rsidRPr="005E4E26">
        <w:rPr>
          <w:color w:val="auto"/>
        </w:rPr>
        <w:t xml:space="preserve"> </w:t>
      </w:r>
      <w:r w:rsidR="00881E16" w:rsidRPr="005E4E26">
        <w:rPr>
          <w:color w:val="auto"/>
        </w:rPr>
        <w:t xml:space="preserve">Although the original VA </w:t>
      </w:r>
      <w:r>
        <w:rPr>
          <w:color w:val="auto"/>
        </w:rPr>
        <w:t>r</w:t>
      </w:r>
      <w:r w:rsidR="00881E16" w:rsidRPr="005E4E26">
        <w:rPr>
          <w:color w:val="auto"/>
        </w:rPr>
        <w:t xml:space="preserve">ating </w:t>
      </w:r>
      <w:r>
        <w:rPr>
          <w:color w:val="auto"/>
        </w:rPr>
        <w:t>d</w:t>
      </w:r>
      <w:r w:rsidR="00881E16" w:rsidRPr="005E4E26">
        <w:rPr>
          <w:color w:val="auto"/>
        </w:rPr>
        <w:t xml:space="preserve">ecision (VARD) is not present in the record, later VARDs and a </w:t>
      </w:r>
      <w:r>
        <w:rPr>
          <w:color w:val="auto"/>
        </w:rPr>
        <w:t>s</w:t>
      </w:r>
      <w:r w:rsidR="00881E16" w:rsidRPr="005E4E26">
        <w:rPr>
          <w:color w:val="auto"/>
        </w:rPr>
        <w:t xml:space="preserve">tatement of the </w:t>
      </w:r>
      <w:r>
        <w:rPr>
          <w:color w:val="auto"/>
        </w:rPr>
        <w:t>c</w:t>
      </w:r>
      <w:r w:rsidR="00881E16" w:rsidRPr="005E4E26">
        <w:rPr>
          <w:color w:val="auto"/>
        </w:rPr>
        <w:t xml:space="preserve">ase dated </w:t>
      </w:r>
      <w:r>
        <w:rPr>
          <w:color w:val="auto"/>
        </w:rPr>
        <w:t xml:space="preserve">23 August </w:t>
      </w:r>
      <w:r w:rsidR="00881E16" w:rsidRPr="005E4E26">
        <w:rPr>
          <w:color w:val="auto"/>
        </w:rPr>
        <w:t xml:space="preserve">2005 document two separate </w:t>
      </w:r>
      <w:r w:rsidR="00506007" w:rsidRPr="005E4E26">
        <w:rPr>
          <w:color w:val="auto"/>
        </w:rPr>
        <w:t xml:space="preserve">VA </w:t>
      </w:r>
      <w:r w:rsidR="00881E16" w:rsidRPr="005E4E26">
        <w:rPr>
          <w:color w:val="auto"/>
        </w:rPr>
        <w:t xml:space="preserve">ratings with </w:t>
      </w:r>
      <w:r>
        <w:rPr>
          <w:color w:val="auto"/>
        </w:rPr>
        <w:t xml:space="preserve">codes </w:t>
      </w:r>
      <w:r w:rsidR="00881E16" w:rsidRPr="005E4E26">
        <w:rPr>
          <w:color w:val="auto"/>
        </w:rPr>
        <w:t xml:space="preserve">5021-5243 bulging disc L5-S1 with foraminal encroachment and right L5 radiculopathy and lumbar myositis at 10% and 5243-8620 L5-S1 radiculopathy (neurological manifestations of bulging disc L5-S1 with foraminal encroachment) at 10%. </w:t>
      </w:r>
      <w:r w:rsidR="004921AD" w:rsidRPr="005E4E26">
        <w:rPr>
          <w:color w:val="auto"/>
        </w:rPr>
        <w:t xml:space="preserve"> </w:t>
      </w:r>
      <w:r w:rsidR="00881E16" w:rsidRPr="005E4E26">
        <w:rPr>
          <w:color w:val="auto"/>
        </w:rPr>
        <w:t xml:space="preserve">Although the CI appealed these ratings, the VA continued the two 10% ratings through the latest rating decision available for review which is dated </w:t>
      </w:r>
      <w:r>
        <w:rPr>
          <w:color w:val="auto"/>
        </w:rPr>
        <w:t xml:space="preserve">28 January </w:t>
      </w:r>
      <w:r w:rsidR="00881E16" w:rsidRPr="005E4E26">
        <w:rPr>
          <w:color w:val="auto"/>
        </w:rPr>
        <w:t>2012.</w:t>
      </w:r>
      <w:r w:rsidR="00506007" w:rsidRPr="005E4E26">
        <w:rPr>
          <w:color w:val="auto"/>
        </w:rPr>
        <w:t xml:space="preserve"> </w:t>
      </w:r>
      <w:r w:rsidR="004921AD" w:rsidRPr="005E4E26">
        <w:rPr>
          <w:color w:val="auto"/>
        </w:rPr>
        <w:t xml:space="preserve"> </w:t>
      </w:r>
      <w:r w:rsidR="00506007" w:rsidRPr="005E4E26">
        <w:rPr>
          <w:color w:val="auto"/>
        </w:rPr>
        <w:t>It appears that the VA determined these ratings using the present day Veterans Administration Schedule for Rating Disabilities (VASRD) coding and rating standards for the spine which became effective</w:t>
      </w:r>
      <w:r w:rsidR="00417D1B">
        <w:rPr>
          <w:color w:val="auto"/>
        </w:rPr>
        <w:t xml:space="preserve"> </w:t>
      </w:r>
      <w:r>
        <w:rPr>
          <w:color w:val="auto"/>
        </w:rPr>
        <w:t>26</w:t>
      </w:r>
      <w:r w:rsidR="00417D1B">
        <w:rPr>
          <w:color w:val="auto"/>
        </w:rPr>
        <w:t> </w:t>
      </w:r>
      <w:bookmarkStart w:id="0" w:name="_GoBack"/>
      <w:bookmarkEnd w:id="0"/>
      <w:r>
        <w:rPr>
          <w:color w:val="auto"/>
        </w:rPr>
        <w:t>September 2003</w:t>
      </w:r>
      <w:r w:rsidR="00506007" w:rsidRPr="005E4E26">
        <w:rPr>
          <w:color w:val="auto"/>
        </w:rPr>
        <w:t>.</w:t>
      </w:r>
    </w:p>
    <w:p w:rsidR="008B5DD0" w:rsidRPr="005E4E26" w:rsidRDefault="008B5DD0" w:rsidP="0069687C">
      <w:pPr>
        <w:jc w:val="both"/>
        <w:rPr>
          <w:color w:val="auto"/>
          <w:szCs w:val="24"/>
        </w:rPr>
      </w:pPr>
    </w:p>
    <w:p w:rsidR="00417999" w:rsidRDefault="00AD2379" w:rsidP="00FB00AD">
      <w:pPr>
        <w:tabs>
          <w:tab w:val="left" w:pos="288"/>
          <w:tab w:val="left" w:pos="4752"/>
        </w:tabs>
        <w:jc w:val="both"/>
        <w:rPr>
          <w:rFonts w:cs="Times New Roman"/>
          <w:color w:val="auto"/>
        </w:rPr>
      </w:pPr>
      <w:r w:rsidRPr="005E4E26">
        <w:rPr>
          <w:rFonts w:cs="Times New Roman"/>
          <w:color w:val="auto"/>
        </w:rPr>
        <w:t>The Board directs attenti</w:t>
      </w:r>
      <w:r w:rsidR="00782CC1" w:rsidRPr="005E4E26">
        <w:rPr>
          <w:rFonts w:cs="Times New Roman"/>
          <w:color w:val="auto"/>
        </w:rPr>
        <w:t>on to its rating recommendation</w:t>
      </w:r>
      <w:r w:rsidRPr="005E4E26">
        <w:rPr>
          <w:rFonts w:cs="Times New Roman"/>
          <w:color w:val="auto"/>
        </w:rPr>
        <w:t xml:space="preserve"> </w:t>
      </w:r>
      <w:r w:rsidR="00B13A51" w:rsidRPr="005E4E26">
        <w:rPr>
          <w:rFonts w:cs="Times New Roman"/>
          <w:color w:val="auto"/>
        </w:rPr>
        <w:t>based on the above evidence</w:t>
      </w:r>
      <w:r w:rsidRPr="005E4E26">
        <w:rPr>
          <w:rFonts w:cs="Times New Roman"/>
          <w:color w:val="auto"/>
        </w:rPr>
        <w:t>.</w:t>
      </w:r>
      <w:r w:rsidR="00165C7B" w:rsidRPr="005E4E26">
        <w:rPr>
          <w:rFonts w:cs="Times New Roman"/>
          <w:color w:val="auto"/>
        </w:rPr>
        <w:t xml:space="preserve"> </w:t>
      </w:r>
      <w:r w:rsidR="004921AD" w:rsidRPr="005E4E26">
        <w:rPr>
          <w:rFonts w:cs="Times New Roman"/>
          <w:color w:val="auto"/>
        </w:rPr>
        <w:t xml:space="preserve"> </w:t>
      </w:r>
      <w:r w:rsidR="00506007" w:rsidRPr="005E4E26">
        <w:rPr>
          <w:rFonts w:cs="Times New Roman"/>
          <w:color w:val="auto"/>
        </w:rPr>
        <w:t xml:space="preserve">The 2003 </w:t>
      </w:r>
      <w:r w:rsidR="001F3E44">
        <w:rPr>
          <w:rFonts w:cs="Times New Roman"/>
          <w:color w:val="auto"/>
        </w:rPr>
        <w:t>VASRD</w:t>
      </w:r>
      <w:r w:rsidR="00506007" w:rsidRPr="005E4E26">
        <w:rPr>
          <w:rFonts w:cs="Times New Roman"/>
          <w:color w:val="auto"/>
        </w:rPr>
        <w:t xml:space="preserve"> coding and rating standards for the spine, which were in effect at the time of separation, were changed to the </w:t>
      </w:r>
      <w:r w:rsidR="00C86A3F" w:rsidRPr="005E4E26">
        <w:rPr>
          <w:rFonts w:cs="Times New Roman"/>
          <w:color w:val="auto"/>
        </w:rPr>
        <w:t>present day</w:t>
      </w:r>
      <w:r w:rsidR="00506007" w:rsidRPr="005E4E26">
        <w:rPr>
          <w:rFonts w:cs="Times New Roman"/>
          <w:color w:val="auto"/>
        </w:rPr>
        <w:t xml:space="preserve"> §4.71a rating standards on 26 September 2003 approximately </w:t>
      </w:r>
      <w:r w:rsidR="001F3E44">
        <w:rPr>
          <w:rFonts w:cs="Times New Roman"/>
          <w:color w:val="auto"/>
        </w:rPr>
        <w:t>3</w:t>
      </w:r>
      <w:r w:rsidR="00506007" w:rsidRPr="005E4E26">
        <w:rPr>
          <w:rFonts w:cs="Times New Roman"/>
          <w:color w:val="auto"/>
        </w:rPr>
        <w:t xml:space="preserve"> weeks after the CI was separated. </w:t>
      </w:r>
      <w:r w:rsidR="004921AD" w:rsidRPr="005E4E26">
        <w:rPr>
          <w:rFonts w:cs="Times New Roman"/>
          <w:color w:val="auto"/>
        </w:rPr>
        <w:t xml:space="preserve"> </w:t>
      </w:r>
      <w:r w:rsidR="00506007" w:rsidRPr="005E4E26">
        <w:rPr>
          <w:rFonts w:cs="Times New Roman"/>
          <w:color w:val="auto"/>
        </w:rPr>
        <w:t xml:space="preserve">The 2003 standards for rating based on </w:t>
      </w:r>
      <w:r w:rsidR="001F3E44">
        <w:rPr>
          <w:rFonts w:cs="Times New Roman"/>
          <w:color w:val="auto"/>
        </w:rPr>
        <w:t>ROM</w:t>
      </w:r>
      <w:r w:rsidR="00506007" w:rsidRPr="005E4E26">
        <w:rPr>
          <w:rFonts w:cs="Times New Roman"/>
          <w:color w:val="auto"/>
        </w:rPr>
        <w:t xml:space="preserve"> impairment were subject to the rater’s opinion regarding degree of severity, whereas the current standards specify rating thresholds in degrees of ROM impairment. </w:t>
      </w:r>
      <w:r w:rsidR="004921AD" w:rsidRPr="005E4E26">
        <w:rPr>
          <w:rFonts w:cs="Times New Roman"/>
          <w:color w:val="auto"/>
        </w:rPr>
        <w:t xml:space="preserve"> </w:t>
      </w:r>
      <w:r w:rsidR="00506007" w:rsidRPr="005E4E26">
        <w:rPr>
          <w:rFonts w:cs="Times New Roman"/>
          <w:color w:val="auto"/>
        </w:rPr>
        <w:t>When older cases have goniometric measurements in evidence, the Board reconciles (to the extent</w:t>
      </w:r>
      <w:r w:rsidR="00506007" w:rsidRPr="00506007">
        <w:rPr>
          <w:rFonts w:cs="Times New Roman"/>
          <w:color w:val="auto"/>
        </w:rPr>
        <w:t xml:space="preserve"> possible) its opinion regarding degree of severity for the older spine codes and ratings with the objective thresholds specified in the current VASRD §4.71a general rating formula for the spine. </w:t>
      </w:r>
      <w:r w:rsidR="004921AD">
        <w:rPr>
          <w:rFonts w:cs="Times New Roman"/>
          <w:color w:val="auto"/>
        </w:rPr>
        <w:t xml:space="preserve"> </w:t>
      </w:r>
      <w:r w:rsidR="00506007" w:rsidRPr="00506007">
        <w:rPr>
          <w:rFonts w:cs="Times New Roman"/>
          <w:color w:val="auto"/>
        </w:rPr>
        <w:t xml:space="preserve">This promotes uniformity of its recommendations for different cases from the same period and more conformity across dates of separation, without sacrificing compliance with the DoDI 6040.44 requirement for rating IAW the VASRD in effect at the time of separation. </w:t>
      </w:r>
      <w:r w:rsidR="004921AD">
        <w:rPr>
          <w:rFonts w:cs="Times New Roman"/>
          <w:color w:val="auto"/>
        </w:rPr>
        <w:t xml:space="preserve"> </w:t>
      </w:r>
      <w:r w:rsidR="00506007" w:rsidRPr="00506007">
        <w:rPr>
          <w:rFonts w:cs="Times New Roman"/>
          <w:color w:val="auto"/>
        </w:rPr>
        <w:t>For the reader’s convenience, the 200</w:t>
      </w:r>
      <w:r w:rsidR="00C86A3F">
        <w:rPr>
          <w:rFonts w:cs="Times New Roman"/>
          <w:color w:val="auto"/>
        </w:rPr>
        <w:t>3</w:t>
      </w:r>
      <w:r w:rsidR="00506007" w:rsidRPr="00506007">
        <w:rPr>
          <w:rFonts w:cs="Times New Roman"/>
          <w:color w:val="auto"/>
        </w:rPr>
        <w:t xml:space="preserve"> rating codes under discussion in this case are excerpted below. </w:t>
      </w:r>
      <w:r w:rsidR="00165C7B" w:rsidRPr="00F64312">
        <w:rPr>
          <w:rFonts w:cs="Times New Roman"/>
          <w:color w:val="auto"/>
        </w:rPr>
        <w:t xml:space="preserve"> </w:t>
      </w:r>
    </w:p>
    <w:p w:rsidR="00506007" w:rsidRDefault="00506007" w:rsidP="00FB00AD">
      <w:pPr>
        <w:tabs>
          <w:tab w:val="left" w:pos="288"/>
          <w:tab w:val="left" w:pos="4752"/>
        </w:tabs>
        <w:jc w:val="both"/>
        <w:rPr>
          <w:rFonts w:cs="Times New Roman"/>
          <w:color w:val="auto"/>
        </w:rPr>
      </w:pPr>
    </w:p>
    <w:p w:rsidR="00506007" w:rsidRPr="002839DF" w:rsidRDefault="00506007" w:rsidP="00506007">
      <w:pPr>
        <w:tabs>
          <w:tab w:val="left" w:pos="0"/>
          <w:tab w:val="left" w:pos="4320"/>
        </w:tabs>
        <w:jc w:val="both"/>
        <w:rPr>
          <w:color w:val="auto"/>
        </w:rPr>
      </w:pPr>
      <w:r w:rsidRPr="003C3E17">
        <w:rPr>
          <w:b/>
          <w:color w:val="auto"/>
        </w:rPr>
        <w:t>5292 Spine, limitation of motion of, lumbar</w:t>
      </w:r>
      <w:r w:rsidRPr="002839DF">
        <w:rPr>
          <w:color w:val="auto"/>
        </w:rPr>
        <w:t>:</w:t>
      </w:r>
    </w:p>
    <w:p w:rsidR="00506007" w:rsidRPr="002839DF" w:rsidRDefault="00506007" w:rsidP="00506007">
      <w:pPr>
        <w:tabs>
          <w:tab w:val="left" w:pos="0"/>
          <w:tab w:val="left" w:pos="4320"/>
        </w:tabs>
        <w:jc w:val="both"/>
        <w:rPr>
          <w:color w:val="auto"/>
        </w:rPr>
      </w:pPr>
      <w:r>
        <w:rPr>
          <w:color w:val="auto"/>
        </w:rPr>
        <w:t xml:space="preserve">      </w:t>
      </w:r>
      <w:r w:rsidRPr="002839DF">
        <w:rPr>
          <w:color w:val="auto"/>
        </w:rPr>
        <w:t>Severe ..............................................................</w:t>
      </w:r>
      <w:r w:rsidR="0044375F">
        <w:rPr>
          <w:color w:val="auto"/>
        </w:rPr>
        <w:t>.</w:t>
      </w:r>
      <w:r w:rsidRPr="002839DF">
        <w:rPr>
          <w:color w:val="auto"/>
        </w:rPr>
        <w:t>.... 40</w:t>
      </w:r>
    </w:p>
    <w:p w:rsidR="00506007" w:rsidRPr="002839DF" w:rsidRDefault="00506007" w:rsidP="00506007">
      <w:pPr>
        <w:tabs>
          <w:tab w:val="left" w:pos="0"/>
          <w:tab w:val="left" w:pos="4320"/>
        </w:tabs>
        <w:jc w:val="both"/>
        <w:rPr>
          <w:color w:val="auto"/>
        </w:rPr>
      </w:pPr>
      <w:r>
        <w:rPr>
          <w:color w:val="auto"/>
        </w:rPr>
        <w:t xml:space="preserve">      </w:t>
      </w:r>
      <w:proofErr w:type="gramStart"/>
      <w:r w:rsidRPr="002839DF">
        <w:rPr>
          <w:color w:val="auto"/>
        </w:rPr>
        <w:t>Moderate ..............................................................</w:t>
      </w:r>
      <w:proofErr w:type="gramEnd"/>
      <w:r w:rsidRPr="002839DF">
        <w:rPr>
          <w:color w:val="auto"/>
        </w:rPr>
        <w:t xml:space="preserve"> 20</w:t>
      </w:r>
    </w:p>
    <w:p w:rsidR="00506007" w:rsidRPr="002839DF" w:rsidRDefault="00506007" w:rsidP="00506007">
      <w:pPr>
        <w:tabs>
          <w:tab w:val="left" w:pos="0"/>
          <w:tab w:val="left" w:pos="4320"/>
        </w:tabs>
        <w:jc w:val="both"/>
        <w:rPr>
          <w:color w:val="auto"/>
        </w:rPr>
      </w:pPr>
      <w:r>
        <w:rPr>
          <w:color w:val="auto"/>
        </w:rPr>
        <w:t xml:space="preserve">      </w:t>
      </w:r>
      <w:r w:rsidRPr="002839DF">
        <w:rPr>
          <w:color w:val="auto"/>
        </w:rPr>
        <w:t>Slight ..................................................................... 10</w:t>
      </w:r>
    </w:p>
    <w:p w:rsidR="00506007" w:rsidRDefault="00506007" w:rsidP="00506007">
      <w:pPr>
        <w:tabs>
          <w:tab w:val="left" w:pos="0"/>
          <w:tab w:val="left" w:pos="4320"/>
        </w:tabs>
        <w:jc w:val="both"/>
        <w:rPr>
          <w:color w:val="auto"/>
        </w:rPr>
      </w:pPr>
    </w:p>
    <w:p w:rsidR="00506007" w:rsidRDefault="00506007" w:rsidP="00506007">
      <w:pPr>
        <w:tabs>
          <w:tab w:val="left" w:pos="0"/>
          <w:tab w:val="left" w:pos="4320"/>
        </w:tabs>
        <w:jc w:val="both"/>
        <w:rPr>
          <w:color w:val="auto"/>
        </w:rPr>
      </w:pPr>
      <w:r w:rsidRPr="003C3E17">
        <w:rPr>
          <w:b/>
          <w:color w:val="auto"/>
        </w:rPr>
        <w:t>5293 Intervertebral disc syndrome</w:t>
      </w:r>
      <w:r w:rsidRPr="002839DF">
        <w:rPr>
          <w:color w:val="auto"/>
        </w:rPr>
        <w:t>:</w:t>
      </w:r>
    </w:p>
    <w:p w:rsidR="00506007" w:rsidRPr="00762989" w:rsidRDefault="00506007" w:rsidP="00506007">
      <w:pPr>
        <w:tabs>
          <w:tab w:val="left" w:pos="0"/>
          <w:tab w:val="left" w:pos="4320"/>
        </w:tabs>
        <w:jc w:val="both"/>
        <w:rPr>
          <w:color w:val="auto"/>
        </w:rPr>
      </w:pPr>
      <w:r>
        <w:rPr>
          <w:color w:val="auto"/>
        </w:rPr>
        <w:t xml:space="preserve">     </w:t>
      </w:r>
      <w:r w:rsidRPr="00762989">
        <w:rPr>
          <w:color w:val="auto"/>
        </w:rPr>
        <w:t>Evaluate intervertebral disc syndrome (preoperatively</w:t>
      </w:r>
      <w:r>
        <w:rPr>
          <w:color w:val="auto"/>
        </w:rPr>
        <w:t xml:space="preserve"> </w:t>
      </w:r>
      <w:r w:rsidRPr="00762989">
        <w:rPr>
          <w:color w:val="auto"/>
        </w:rPr>
        <w:t>or postoperatively) either on the</w:t>
      </w:r>
      <w:r>
        <w:rPr>
          <w:color w:val="auto"/>
        </w:rPr>
        <w:t xml:space="preserve"> </w:t>
      </w:r>
      <w:r w:rsidRPr="00762989">
        <w:rPr>
          <w:color w:val="auto"/>
        </w:rPr>
        <w:t>total duration of incapacitating episodes over</w:t>
      </w:r>
      <w:r>
        <w:rPr>
          <w:color w:val="auto"/>
        </w:rPr>
        <w:t xml:space="preserve"> </w:t>
      </w:r>
      <w:r w:rsidRPr="00762989">
        <w:rPr>
          <w:color w:val="auto"/>
        </w:rPr>
        <w:t>the past 12 months or by combining under</w:t>
      </w:r>
      <w:r>
        <w:rPr>
          <w:color w:val="auto"/>
        </w:rPr>
        <w:t xml:space="preserve"> </w:t>
      </w:r>
      <w:r w:rsidRPr="00762989">
        <w:rPr>
          <w:color w:val="auto"/>
        </w:rPr>
        <w:t>§ 4.25 separate evaluations of its chronic orthopedic</w:t>
      </w:r>
      <w:r>
        <w:rPr>
          <w:color w:val="auto"/>
        </w:rPr>
        <w:t xml:space="preserve"> </w:t>
      </w:r>
      <w:r w:rsidRPr="00762989">
        <w:rPr>
          <w:color w:val="auto"/>
        </w:rPr>
        <w:t>and neurologic manifestations along</w:t>
      </w:r>
      <w:r>
        <w:rPr>
          <w:color w:val="auto"/>
        </w:rPr>
        <w:t xml:space="preserve"> </w:t>
      </w:r>
      <w:r w:rsidRPr="00762989">
        <w:rPr>
          <w:color w:val="auto"/>
        </w:rPr>
        <w:t>with evaluations for all other disabilities,</w:t>
      </w:r>
      <w:r>
        <w:rPr>
          <w:color w:val="auto"/>
        </w:rPr>
        <w:t xml:space="preserve"> </w:t>
      </w:r>
      <w:r w:rsidRPr="00762989">
        <w:rPr>
          <w:color w:val="auto"/>
        </w:rPr>
        <w:t>whichever method results in the higher evaluation.</w:t>
      </w:r>
    </w:p>
    <w:p w:rsidR="00506007" w:rsidRDefault="00506007" w:rsidP="00506007">
      <w:pPr>
        <w:tabs>
          <w:tab w:val="left" w:pos="0"/>
          <w:tab w:val="left" w:pos="4320"/>
        </w:tabs>
        <w:jc w:val="both"/>
        <w:rPr>
          <w:color w:val="auto"/>
        </w:rPr>
      </w:pPr>
    </w:p>
    <w:p w:rsidR="00506007" w:rsidRPr="00762989" w:rsidRDefault="00506007" w:rsidP="00506007">
      <w:pPr>
        <w:tabs>
          <w:tab w:val="left" w:pos="0"/>
          <w:tab w:val="left" w:pos="4320"/>
        </w:tabs>
        <w:jc w:val="both"/>
        <w:rPr>
          <w:color w:val="auto"/>
        </w:rPr>
      </w:pPr>
      <w:r w:rsidRPr="00762989">
        <w:rPr>
          <w:color w:val="auto"/>
        </w:rPr>
        <w:t>With incapacitating episodes having a total duration</w:t>
      </w:r>
      <w:r>
        <w:rPr>
          <w:color w:val="auto"/>
        </w:rPr>
        <w:t xml:space="preserve"> </w:t>
      </w:r>
      <w:r w:rsidRPr="00762989">
        <w:rPr>
          <w:color w:val="auto"/>
        </w:rPr>
        <w:t>of at least six weeks during the past 12</w:t>
      </w:r>
    </w:p>
    <w:p w:rsidR="00506007" w:rsidRPr="00762989" w:rsidRDefault="00506007" w:rsidP="00506007">
      <w:pPr>
        <w:tabs>
          <w:tab w:val="left" w:pos="0"/>
          <w:tab w:val="left" w:pos="4320"/>
        </w:tabs>
        <w:jc w:val="both"/>
        <w:rPr>
          <w:color w:val="auto"/>
        </w:rPr>
      </w:pPr>
      <w:r>
        <w:rPr>
          <w:color w:val="auto"/>
        </w:rPr>
        <w:t xml:space="preserve">     </w:t>
      </w:r>
      <w:proofErr w:type="gramStart"/>
      <w:r w:rsidRPr="00762989">
        <w:rPr>
          <w:color w:val="auto"/>
        </w:rPr>
        <w:t>months</w:t>
      </w:r>
      <w:proofErr w:type="gramEnd"/>
      <w:r w:rsidRPr="00762989">
        <w:rPr>
          <w:color w:val="auto"/>
        </w:rPr>
        <w:t xml:space="preserve"> ........................</w:t>
      </w:r>
      <w:r w:rsidR="0044375F">
        <w:rPr>
          <w:color w:val="auto"/>
        </w:rPr>
        <w:t>.........................</w:t>
      </w:r>
      <w:r w:rsidR="00BF416A">
        <w:rPr>
          <w:color w:val="auto"/>
        </w:rPr>
        <w:t>...</w:t>
      </w:r>
      <w:r w:rsidR="0044375F">
        <w:rPr>
          <w:color w:val="auto"/>
        </w:rPr>
        <w:t>.....</w:t>
      </w:r>
      <w:r w:rsidRPr="00762989">
        <w:rPr>
          <w:color w:val="auto"/>
        </w:rPr>
        <w:t>...... 60</w:t>
      </w:r>
    </w:p>
    <w:p w:rsidR="00506007" w:rsidRPr="00762989" w:rsidRDefault="00506007" w:rsidP="00506007">
      <w:pPr>
        <w:tabs>
          <w:tab w:val="left" w:pos="0"/>
          <w:tab w:val="left" w:pos="4320"/>
        </w:tabs>
        <w:jc w:val="both"/>
        <w:rPr>
          <w:color w:val="auto"/>
        </w:rPr>
      </w:pPr>
      <w:r w:rsidRPr="00762989">
        <w:rPr>
          <w:color w:val="auto"/>
        </w:rPr>
        <w:t>With incapacitating episodes having a total duration</w:t>
      </w:r>
      <w:r>
        <w:rPr>
          <w:color w:val="auto"/>
        </w:rPr>
        <w:t xml:space="preserve"> </w:t>
      </w:r>
      <w:r w:rsidRPr="00762989">
        <w:rPr>
          <w:color w:val="auto"/>
        </w:rPr>
        <w:t>of at least four weeks but less than six</w:t>
      </w:r>
    </w:p>
    <w:p w:rsidR="00506007" w:rsidRPr="00762989" w:rsidRDefault="00506007" w:rsidP="00506007">
      <w:pPr>
        <w:tabs>
          <w:tab w:val="left" w:pos="0"/>
          <w:tab w:val="left" w:pos="4320"/>
        </w:tabs>
        <w:jc w:val="both"/>
        <w:rPr>
          <w:color w:val="auto"/>
        </w:rPr>
      </w:pPr>
      <w:r>
        <w:rPr>
          <w:color w:val="auto"/>
        </w:rPr>
        <w:t xml:space="preserve">     </w:t>
      </w:r>
      <w:proofErr w:type="gramStart"/>
      <w:r w:rsidRPr="00762989">
        <w:rPr>
          <w:color w:val="auto"/>
        </w:rPr>
        <w:t>weeks</w:t>
      </w:r>
      <w:proofErr w:type="gramEnd"/>
      <w:r w:rsidRPr="00762989">
        <w:rPr>
          <w:color w:val="auto"/>
        </w:rPr>
        <w:t xml:space="preserve"> during the past 12 months ................</w:t>
      </w:r>
      <w:r w:rsidR="0044375F">
        <w:rPr>
          <w:color w:val="auto"/>
        </w:rPr>
        <w:t>..</w:t>
      </w:r>
      <w:r w:rsidRPr="00762989">
        <w:rPr>
          <w:color w:val="auto"/>
        </w:rPr>
        <w:t>.... 40</w:t>
      </w:r>
    </w:p>
    <w:p w:rsidR="00506007" w:rsidRPr="00762989" w:rsidRDefault="00506007" w:rsidP="00506007">
      <w:pPr>
        <w:tabs>
          <w:tab w:val="left" w:pos="0"/>
          <w:tab w:val="left" w:pos="4320"/>
        </w:tabs>
        <w:jc w:val="both"/>
        <w:rPr>
          <w:color w:val="auto"/>
        </w:rPr>
      </w:pPr>
      <w:r w:rsidRPr="00762989">
        <w:rPr>
          <w:color w:val="auto"/>
        </w:rPr>
        <w:t>With incapacitating episodes having a total duration</w:t>
      </w:r>
      <w:r>
        <w:rPr>
          <w:color w:val="auto"/>
        </w:rPr>
        <w:t xml:space="preserve"> </w:t>
      </w:r>
      <w:r w:rsidRPr="00762989">
        <w:rPr>
          <w:color w:val="auto"/>
        </w:rPr>
        <w:t>of at least two weeks but less than four</w:t>
      </w:r>
    </w:p>
    <w:p w:rsidR="00506007" w:rsidRPr="00762989" w:rsidRDefault="00506007" w:rsidP="00506007">
      <w:pPr>
        <w:tabs>
          <w:tab w:val="left" w:pos="0"/>
          <w:tab w:val="left" w:pos="4320"/>
        </w:tabs>
        <w:jc w:val="both"/>
        <w:rPr>
          <w:color w:val="auto"/>
        </w:rPr>
      </w:pPr>
      <w:r>
        <w:rPr>
          <w:color w:val="auto"/>
        </w:rPr>
        <w:t xml:space="preserve">     </w:t>
      </w:r>
      <w:proofErr w:type="gramStart"/>
      <w:r w:rsidRPr="00762989">
        <w:rPr>
          <w:color w:val="auto"/>
        </w:rPr>
        <w:t>weeks</w:t>
      </w:r>
      <w:proofErr w:type="gramEnd"/>
      <w:r w:rsidRPr="00762989">
        <w:rPr>
          <w:color w:val="auto"/>
        </w:rPr>
        <w:t xml:space="preserve"> during the past 12 months .................... 20</w:t>
      </w:r>
    </w:p>
    <w:p w:rsidR="00506007" w:rsidRPr="00762989" w:rsidRDefault="00506007" w:rsidP="00506007">
      <w:pPr>
        <w:tabs>
          <w:tab w:val="left" w:pos="0"/>
          <w:tab w:val="left" w:pos="4320"/>
        </w:tabs>
        <w:jc w:val="both"/>
        <w:rPr>
          <w:color w:val="auto"/>
        </w:rPr>
      </w:pPr>
      <w:r w:rsidRPr="00762989">
        <w:rPr>
          <w:color w:val="auto"/>
        </w:rPr>
        <w:t>With incapacitating episodes having a total duration</w:t>
      </w:r>
      <w:r>
        <w:rPr>
          <w:color w:val="auto"/>
        </w:rPr>
        <w:t xml:space="preserve"> </w:t>
      </w:r>
      <w:r w:rsidRPr="00762989">
        <w:rPr>
          <w:color w:val="auto"/>
        </w:rPr>
        <w:t>of at least one week but less than two</w:t>
      </w:r>
    </w:p>
    <w:p w:rsidR="00506007" w:rsidRPr="00762989" w:rsidRDefault="00506007" w:rsidP="00506007">
      <w:pPr>
        <w:tabs>
          <w:tab w:val="left" w:pos="0"/>
          <w:tab w:val="left" w:pos="4320"/>
        </w:tabs>
        <w:jc w:val="both"/>
        <w:rPr>
          <w:color w:val="auto"/>
        </w:rPr>
      </w:pPr>
      <w:r>
        <w:rPr>
          <w:color w:val="auto"/>
        </w:rPr>
        <w:t xml:space="preserve">     </w:t>
      </w:r>
      <w:proofErr w:type="gramStart"/>
      <w:r w:rsidRPr="00762989">
        <w:rPr>
          <w:color w:val="auto"/>
        </w:rPr>
        <w:t>weeks</w:t>
      </w:r>
      <w:proofErr w:type="gramEnd"/>
      <w:r w:rsidRPr="00762989">
        <w:rPr>
          <w:color w:val="auto"/>
        </w:rPr>
        <w:t xml:space="preserve"> during the past 12 months .................... 10</w:t>
      </w:r>
    </w:p>
    <w:p w:rsidR="00506007" w:rsidRDefault="00506007" w:rsidP="00506007">
      <w:pPr>
        <w:tabs>
          <w:tab w:val="left" w:pos="0"/>
          <w:tab w:val="left" w:pos="4320"/>
        </w:tabs>
        <w:jc w:val="both"/>
        <w:rPr>
          <w:color w:val="auto"/>
        </w:rPr>
      </w:pPr>
    </w:p>
    <w:p w:rsidR="00506007" w:rsidRPr="00762989" w:rsidRDefault="00506007" w:rsidP="00506007">
      <w:pPr>
        <w:tabs>
          <w:tab w:val="left" w:pos="0"/>
          <w:tab w:val="left" w:pos="4320"/>
        </w:tabs>
        <w:jc w:val="both"/>
        <w:rPr>
          <w:color w:val="auto"/>
        </w:rPr>
      </w:pPr>
      <w:r w:rsidRPr="00762989">
        <w:rPr>
          <w:color w:val="auto"/>
        </w:rPr>
        <w:t>Note (1): For purposes of evaluations under</w:t>
      </w:r>
      <w:r>
        <w:rPr>
          <w:color w:val="auto"/>
        </w:rPr>
        <w:t xml:space="preserve"> </w:t>
      </w:r>
      <w:r w:rsidRPr="00762989">
        <w:rPr>
          <w:color w:val="auto"/>
        </w:rPr>
        <w:t>5293, an incapacitating episode is a period of</w:t>
      </w:r>
      <w:r>
        <w:rPr>
          <w:color w:val="auto"/>
        </w:rPr>
        <w:t xml:space="preserve"> </w:t>
      </w:r>
      <w:r w:rsidRPr="00762989">
        <w:rPr>
          <w:color w:val="auto"/>
        </w:rPr>
        <w:t xml:space="preserve">acute </w:t>
      </w:r>
      <w:r>
        <w:rPr>
          <w:color w:val="auto"/>
        </w:rPr>
        <w:t xml:space="preserve">    </w:t>
      </w:r>
      <w:r w:rsidRPr="00762989">
        <w:rPr>
          <w:color w:val="auto"/>
        </w:rPr>
        <w:t>signs and symptoms due to</w:t>
      </w:r>
      <w:r>
        <w:rPr>
          <w:color w:val="auto"/>
        </w:rPr>
        <w:t xml:space="preserve"> </w:t>
      </w:r>
      <w:r w:rsidRPr="00762989">
        <w:rPr>
          <w:color w:val="auto"/>
        </w:rPr>
        <w:t>intervertebral disc syndrome that requires bed</w:t>
      </w:r>
      <w:r>
        <w:rPr>
          <w:color w:val="auto"/>
        </w:rPr>
        <w:t xml:space="preserve"> </w:t>
      </w:r>
      <w:r w:rsidRPr="00762989">
        <w:rPr>
          <w:color w:val="auto"/>
        </w:rPr>
        <w:t>rest prescribed by a physician and treatment</w:t>
      </w:r>
      <w:r>
        <w:rPr>
          <w:color w:val="auto"/>
        </w:rPr>
        <w:t xml:space="preserve"> </w:t>
      </w:r>
      <w:r w:rsidRPr="00762989">
        <w:rPr>
          <w:color w:val="auto"/>
        </w:rPr>
        <w:t>by a physician. ‘‘Chronic orthopedic and</w:t>
      </w:r>
      <w:r>
        <w:rPr>
          <w:color w:val="auto"/>
        </w:rPr>
        <w:t xml:space="preserve"> </w:t>
      </w:r>
      <w:r w:rsidRPr="00762989">
        <w:rPr>
          <w:color w:val="auto"/>
        </w:rPr>
        <w:t>neurologic manifestations’’ means orthopedic</w:t>
      </w:r>
      <w:r>
        <w:rPr>
          <w:color w:val="auto"/>
        </w:rPr>
        <w:t xml:space="preserve"> </w:t>
      </w:r>
      <w:r w:rsidRPr="00762989">
        <w:rPr>
          <w:color w:val="auto"/>
        </w:rPr>
        <w:t>and neurologic signs and symptoms resulting</w:t>
      </w:r>
      <w:r>
        <w:rPr>
          <w:color w:val="auto"/>
        </w:rPr>
        <w:t xml:space="preserve"> </w:t>
      </w:r>
      <w:r w:rsidRPr="00762989">
        <w:rPr>
          <w:color w:val="auto"/>
        </w:rPr>
        <w:t>from intervertebral disc syndrome that are</w:t>
      </w:r>
      <w:r>
        <w:rPr>
          <w:color w:val="auto"/>
        </w:rPr>
        <w:t xml:space="preserve"> </w:t>
      </w:r>
      <w:r w:rsidRPr="00762989">
        <w:rPr>
          <w:color w:val="auto"/>
        </w:rPr>
        <w:t>present constantly, or nearly so.</w:t>
      </w:r>
    </w:p>
    <w:p w:rsidR="00506007" w:rsidRDefault="00506007" w:rsidP="00506007">
      <w:pPr>
        <w:tabs>
          <w:tab w:val="left" w:pos="0"/>
          <w:tab w:val="left" w:pos="4320"/>
        </w:tabs>
        <w:jc w:val="both"/>
        <w:rPr>
          <w:color w:val="auto"/>
        </w:rPr>
      </w:pPr>
    </w:p>
    <w:p w:rsidR="00506007" w:rsidRPr="00762989" w:rsidRDefault="00506007" w:rsidP="00506007">
      <w:pPr>
        <w:tabs>
          <w:tab w:val="left" w:pos="0"/>
          <w:tab w:val="left" w:pos="4320"/>
        </w:tabs>
        <w:jc w:val="both"/>
        <w:rPr>
          <w:color w:val="auto"/>
        </w:rPr>
      </w:pPr>
      <w:r w:rsidRPr="00762989">
        <w:rPr>
          <w:color w:val="auto"/>
        </w:rPr>
        <w:t>Note (2): When evaluating on the basis of chronic</w:t>
      </w:r>
      <w:r>
        <w:rPr>
          <w:color w:val="auto"/>
        </w:rPr>
        <w:t xml:space="preserve"> </w:t>
      </w:r>
      <w:r w:rsidRPr="00762989">
        <w:rPr>
          <w:color w:val="auto"/>
        </w:rPr>
        <w:t>manifestations, evaluate orthopedic disabilities</w:t>
      </w:r>
      <w:r>
        <w:rPr>
          <w:color w:val="auto"/>
        </w:rPr>
        <w:t xml:space="preserve"> </w:t>
      </w:r>
      <w:r w:rsidRPr="00762989">
        <w:rPr>
          <w:color w:val="auto"/>
        </w:rPr>
        <w:t>using evaluation criteria for the most appropriate</w:t>
      </w:r>
      <w:r>
        <w:rPr>
          <w:color w:val="auto"/>
        </w:rPr>
        <w:t xml:space="preserve"> </w:t>
      </w:r>
      <w:r w:rsidRPr="00762989">
        <w:rPr>
          <w:color w:val="auto"/>
        </w:rPr>
        <w:t>orthopedic diagnostic code or codes.</w:t>
      </w:r>
      <w:r>
        <w:rPr>
          <w:color w:val="auto"/>
        </w:rPr>
        <w:t xml:space="preserve"> </w:t>
      </w:r>
      <w:r w:rsidRPr="00762989">
        <w:rPr>
          <w:color w:val="auto"/>
        </w:rPr>
        <w:t>Evaluate neurologic disabilities separately</w:t>
      </w:r>
      <w:r>
        <w:rPr>
          <w:color w:val="auto"/>
        </w:rPr>
        <w:t xml:space="preserve"> </w:t>
      </w:r>
      <w:r w:rsidRPr="00762989">
        <w:rPr>
          <w:color w:val="auto"/>
        </w:rPr>
        <w:t>using evaluation criteria for the most appropriate</w:t>
      </w:r>
      <w:r>
        <w:rPr>
          <w:color w:val="auto"/>
        </w:rPr>
        <w:t xml:space="preserve"> </w:t>
      </w:r>
      <w:r w:rsidRPr="00762989">
        <w:rPr>
          <w:color w:val="auto"/>
        </w:rPr>
        <w:t>neuro</w:t>
      </w:r>
      <w:r>
        <w:rPr>
          <w:color w:val="auto"/>
        </w:rPr>
        <w:t>logic diagnostic code or codes.</w:t>
      </w:r>
    </w:p>
    <w:p w:rsidR="00506007" w:rsidRDefault="00506007" w:rsidP="00506007">
      <w:pPr>
        <w:tabs>
          <w:tab w:val="left" w:pos="0"/>
          <w:tab w:val="left" w:pos="4320"/>
        </w:tabs>
        <w:jc w:val="both"/>
        <w:rPr>
          <w:color w:val="auto"/>
        </w:rPr>
      </w:pPr>
    </w:p>
    <w:p w:rsidR="00506007" w:rsidRPr="00762989" w:rsidRDefault="00506007" w:rsidP="00506007">
      <w:pPr>
        <w:tabs>
          <w:tab w:val="left" w:pos="0"/>
          <w:tab w:val="left" w:pos="4320"/>
        </w:tabs>
        <w:jc w:val="both"/>
        <w:rPr>
          <w:color w:val="auto"/>
        </w:rPr>
      </w:pPr>
      <w:r w:rsidRPr="00762989">
        <w:rPr>
          <w:color w:val="auto"/>
        </w:rPr>
        <w:t>Note (3): If intervertebral disc syndrome is</w:t>
      </w:r>
      <w:r>
        <w:rPr>
          <w:color w:val="auto"/>
        </w:rPr>
        <w:t xml:space="preserve"> </w:t>
      </w:r>
      <w:r w:rsidRPr="00762989">
        <w:rPr>
          <w:color w:val="auto"/>
        </w:rPr>
        <w:t>present in more than one spinal segment, provided</w:t>
      </w:r>
      <w:r>
        <w:rPr>
          <w:color w:val="auto"/>
        </w:rPr>
        <w:t xml:space="preserve"> </w:t>
      </w:r>
      <w:r w:rsidRPr="00762989">
        <w:rPr>
          <w:color w:val="auto"/>
        </w:rPr>
        <w:t>that the effects in each spinal segment</w:t>
      </w:r>
      <w:r>
        <w:rPr>
          <w:color w:val="auto"/>
        </w:rPr>
        <w:t xml:space="preserve"> </w:t>
      </w:r>
      <w:r w:rsidRPr="00762989">
        <w:rPr>
          <w:color w:val="auto"/>
        </w:rPr>
        <w:t>are clearly distinct, evaluate each segment on</w:t>
      </w:r>
      <w:r>
        <w:rPr>
          <w:color w:val="auto"/>
        </w:rPr>
        <w:t xml:space="preserve"> </w:t>
      </w:r>
      <w:r w:rsidRPr="00762989">
        <w:rPr>
          <w:color w:val="auto"/>
        </w:rPr>
        <w:t>the basis of chronic orthopedic and neurologic</w:t>
      </w:r>
      <w:r>
        <w:rPr>
          <w:color w:val="auto"/>
        </w:rPr>
        <w:t xml:space="preserve"> </w:t>
      </w:r>
      <w:r w:rsidRPr="00762989">
        <w:rPr>
          <w:color w:val="auto"/>
        </w:rPr>
        <w:t>manifestations or incapacitating episodes,</w:t>
      </w:r>
      <w:r>
        <w:rPr>
          <w:color w:val="auto"/>
        </w:rPr>
        <w:t xml:space="preserve"> </w:t>
      </w:r>
      <w:r w:rsidRPr="00762989">
        <w:rPr>
          <w:color w:val="auto"/>
        </w:rPr>
        <w:t>whichever method results in a higher evaluation</w:t>
      </w:r>
      <w:r>
        <w:rPr>
          <w:color w:val="auto"/>
        </w:rPr>
        <w:t xml:space="preserve"> for that segment.</w:t>
      </w:r>
    </w:p>
    <w:p w:rsidR="00506007" w:rsidRDefault="00506007" w:rsidP="00506007">
      <w:pPr>
        <w:tabs>
          <w:tab w:val="left" w:pos="0"/>
          <w:tab w:val="left" w:pos="4320"/>
        </w:tabs>
        <w:jc w:val="both"/>
        <w:rPr>
          <w:color w:val="auto"/>
        </w:rPr>
      </w:pPr>
    </w:p>
    <w:p w:rsidR="00506007" w:rsidRPr="00762989" w:rsidRDefault="00506007" w:rsidP="00506007">
      <w:pPr>
        <w:tabs>
          <w:tab w:val="left" w:pos="0"/>
          <w:tab w:val="left" w:pos="4320"/>
        </w:tabs>
        <w:jc w:val="both"/>
        <w:rPr>
          <w:color w:val="auto"/>
        </w:rPr>
      </w:pPr>
      <w:r w:rsidRPr="003C3E17">
        <w:rPr>
          <w:b/>
          <w:color w:val="auto"/>
        </w:rPr>
        <w:t>5295 Lumbosacral strain</w:t>
      </w:r>
      <w:r w:rsidRPr="00762989">
        <w:rPr>
          <w:color w:val="auto"/>
        </w:rPr>
        <w:t>:</w:t>
      </w:r>
    </w:p>
    <w:p w:rsidR="00506007" w:rsidRPr="00762989" w:rsidRDefault="00506007" w:rsidP="00506007">
      <w:pPr>
        <w:tabs>
          <w:tab w:val="left" w:pos="0"/>
          <w:tab w:val="left" w:pos="4320"/>
        </w:tabs>
        <w:jc w:val="both"/>
        <w:rPr>
          <w:color w:val="auto"/>
        </w:rPr>
      </w:pPr>
      <w:r w:rsidRPr="00762989">
        <w:rPr>
          <w:color w:val="auto"/>
        </w:rPr>
        <w:t>Severe; with listing of whole spine to opposite</w:t>
      </w:r>
      <w:r>
        <w:rPr>
          <w:color w:val="auto"/>
        </w:rPr>
        <w:t xml:space="preserve"> </w:t>
      </w:r>
      <w:r w:rsidRPr="00762989">
        <w:rPr>
          <w:color w:val="auto"/>
        </w:rPr>
        <w:t>side, positive Goldthwaite’s sign, marked limitation</w:t>
      </w:r>
      <w:r>
        <w:rPr>
          <w:color w:val="auto"/>
        </w:rPr>
        <w:t xml:space="preserve"> </w:t>
      </w:r>
      <w:r w:rsidRPr="00762989">
        <w:rPr>
          <w:color w:val="auto"/>
        </w:rPr>
        <w:t>of forward bending in standing position,</w:t>
      </w:r>
      <w:r>
        <w:rPr>
          <w:color w:val="auto"/>
        </w:rPr>
        <w:t xml:space="preserve"> </w:t>
      </w:r>
      <w:r w:rsidRPr="00762989">
        <w:rPr>
          <w:color w:val="auto"/>
        </w:rPr>
        <w:t xml:space="preserve">loss of lateral motion with </w:t>
      </w:r>
      <w:proofErr w:type="spellStart"/>
      <w:r w:rsidRPr="00762989">
        <w:rPr>
          <w:color w:val="auto"/>
        </w:rPr>
        <w:t>osteo</w:t>
      </w:r>
      <w:proofErr w:type="spellEnd"/>
      <w:r w:rsidRPr="00762989">
        <w:rPr>
          <w:color w:val="auto"/>
        </w:rPr>
        <w:t>-arthritic</w:t>
      </w:r>
      <w:r>
        <w:rPr>
          <w:color w:val="auto"/>
        </w:rPr>
        <w:t xml:space="preserve"> </w:t>
      </w:r>
      <w:r w:rsidRPr="00762989">
        <w:rPr>
          <w:color w:val="auto"/>
        </w:rPr>
        <w:t>changes, or narrowing or irregularity of joint</w:t>
      </w:r>
      <w:r>
        <w:rPr>
          <w:color w:val="auto"/>
        </w:rPr>
        <w:t xml:space="preserve"> </w:t>
      </w:r>
      <w:r w:rsidRPr="00762989">
        <w:rPr>
          <w:color w:val="auto"/>
        </w:rPr>
        <w:t>space, or some of the above with abnormal</w:t>
      </w:r>
      <w:r>
        <w:rPr>
          <w:color w:val="auto"/>
        </w:rPr>
        <w:t xml:space="preserve"> </w:t>
      </w:r>
      <w:r w:rsidRPr="00762989">
        <w:rPr>
          <w:color w:val="auto"/>
        </w:rPr>
        <w:t>mobility on forced motion .............................</w:t>
      </w:r>
      <w:r w:rsidR="0044375F">
        <w:rPr>
          <w:color w:val="auto"/>
        </w:rPr>
        <w:t>.</w:t>
      </w:r>
      <w:r w:rsidRPr="00762989">
        <w:rPr>
          <w:color w:val="auto"/>
        </w:rPr>
        <w:t>.</w:t>
      </w:r>
      <w:r w:rsidR="0044375F">
        <w:rPr>
          <w:color w:val="auto"/>
        </w:rPr>
        <w:t>.</w:t>
      </w:r>
      <w:r w:rsidR="00BF416A">
        <w:rPr>
          <w:color w:val="auto"/>
        </w:rPr>
        <w:t>.</w:t>
      </w:r>
      <w:r w:rsidR="0044375F">
        <w:rPr>
          <w:color w:val="auto"/>
        </w:rPr>
        <w:t>..</w:t>
      </w:r>
      <w:r w:rsidRPr="00762989">
        <w:rPr>
          <w:color w:val="auto"/>
        </w:rPr>
        <w:t>.. 40</w:t>
      </w:r>
    </w:p>
    <w:p w:rsidR="00506007" w:rsidRPr="00762989" w:rsidRDefault="00506007" w:rsidP="00506007">
      <w:pPr>
        <w:tabs>
          <w:tab w:val="left" w:pos="0"/>
          <w:tab w:val="left" w:pos="4320"/>
        </w:tabs>
        <w:jc w:val="both"/>
        <w:rPr>
          <w:color w:val="auto"/>
        </w:rPr>
      </w:pPr>
      <w:r w:rsidRPr="00762989">
        <w:rPr>
          <w:color w:val="auto"/>
        </w:rPr>
        <w:t>With muscle spasm on extreme forward bending,</w:t>
      </w:r>
      <w:r>
        <w:rPr>
          <w:color w:val="auto"/>
        </w:rPr>
        <w:t xml:space="preserve"> </w:t>
      </w:r>
      <w:r w:rsidRPr="00762989">
        <w:rPr>
          <w:color w:val="auto"/>
        </w:rPr>
        <w:t>loss of lateral spine motion, unilateral, in</w:t>
      </w:r>
      <w:r>
        <w:rPr>
          <w:color w:val="auto"/>
        </w:rPr>
        <w:t xml:space="preserve"> </w:t>
      </w:r>
      <w:r w:rsidRPr="00762989">
        <w:rPr>
          <w:color w:val="auto"/>
        </w:rPr>
        <w:t>standing position ............................................</w:t>
      </w:r>
      <w:r w:rsidR="00BF416A">
        <w:rPr>
          <w:color w:val="auto"/>
        </w:rPr>
        <w:t>...</w:t>
      </w:r>
      <w:r w:rsidR="0044375F">
        <w:rPr>
          <w:color w:val="auto"/>
        </w:rPr>
        <w:t>..</w:t>
      </w:r>
      <w:r w:rsidRPr="00762989">
        <w:rPr>
          <w:color w:val="auto"/>
        </w:rPr>
        <w:t>... 20</w:t>
      </w:r>
    </w:p>
    <w:p w:rsidR="00506007" w:rsidRPr="00762989" w:rsidRDefault="00506007" w:rsidP="00506007">
      <w:pPr>
        <w:tabs>
          <w:tab w:val="left" w:pos="0"/>
          <w:tab w:val="left" w:pos="4320"/>
        </w:tabs>
        <w:jc w:val="both"/>
        <w:rPr>
          <w:color w:val="auto"/>
        </w:rPr>
      </w:pPr>
      <w:r w:rsidRPr="00762989">
        <w:rPr>
          <w:color w:val="auto"/>
        </w:rPr>
        <w:t xml:space="preserve">With characteristic pain on </w:t>
      </w:r>
      <w:proofErr w:type="gramStart"/>
      <w:r w:rsidRPr="00762989">
        <w:rPr>
          <w:color w:val="auto"/>
        </w:rPr>
        <w:t>motion .......................</w:t>
      </w:r>
      <w:proofErr w:type="gramEnd"/>
      <w:r w:rsidRPr="00762989">
        <w:rPr>
          <w:color w:val="auto"/>
        </w:rPr>
        <w:t xml:space="preserve"> 10</w:t>
      </w:r>
    </w:p>
    <w:p w:rsidR="00506007" w:rsidRDefault="00506007" w:rsidP="00506007">
      <w:pPr>
        <w:tabs>
          <w:tab w:val="left" w:pos="0"/>
          <w:tab w:val="left" w:pos="4320"/>
        </w:tabs>
        <w:jc w:val="both"/>
        <w:rPr>
          <w:color w:val="auto"/>
        </w:rPr>
      </w:pPr>
      <w:r w:rsidRPr="00762989">
        <w:rPr>
          <w:color w:val="auto"/>
        </w:rPr>
        <w:t>With slight subjective symptoms only ................</w:t>
      </w:r>
      <w:r w:rsidR="0044375F">
        <w:rPr>
          <w:color w:val="auto"/>
        </w:rPr>
        <w:t>...</w:t>
      </w:r>
      <w:r w:rsidRPr="00762989">
        <w:rPr>
          <w:color w:val="auto"/>
        </w:rPr>
        <w:t>.. 0</w:t>
      </w:r>
    </w:p>
    <w:p w:rsidR="00506007" w:rsidRPr="00F64312" w:rsidRDefault="00506007" w:rsidP="00FB00AD">
      <w:pPr>
        <w:tabs>
          <w:tab w:val="left" w:pos="288"/>
          <w:tab w:val="left" w:pos="4752"/>
        </w:tabs>
        <w:jc w:val="both"/>
        <w:rPr>
          <w:rFonts w:cs="Times New Roman"/>
          <w:color w:val="auto"/>
        </w:rPr>
      </w:pPr>
    </w:p>
    <w:p w:rsidR="00626902" w:rsidRPr="005E4E26" w:rsidRDefault="00506007" w:rsidP="00C86A3F">
      <w:pPr>
        <w:tabs>
          <w:tab w:val="left" w:pos="288"/>
          <w:tab w:val="left" w:pos="4752"/>
        </w:tabs>
        <w:jc w:val="both"/>
        <w:rPr>
          <w:rFonts w:eastAsia="Calibri" w:cs="Times New Roman"/>
          <w:color w:val="auto"/>
          <w:szCs w:val="24"/>
        </w:rPr>
      </w:pPr>
      <w:r>
        <w:rPr>
          <w:rFonts w:cs="Times New Roman"/>
          <w:color w:val="auto"/>
        </w:rPr>
        <w:t xml:space="preserve">The Board first considered the disability rating for the back condition using the 2003 VASRD and was unable to support a rating greater than 10% </w:t>
      </w:r>
      <w:r w:rsidR="0031485B">
        <w:rPr>
          <w:rFonts w:cs="Times New Roman"/>
          <w:color w:val="auto"/>
        </w:rPr>
        <w:t xml:space="preserve">using codes 5292 or 5295. </w:t>
      </w:r>
      <w:r w:rsidR="004921AD">
        <w:rPr>
          <w:rFonts w:cs="Times New Roman"/>
          <w:color w:val="auto"/>
        </w:rPr>
        <w:t xml:space="preserve"> </w:t>
      </w:r>
      <w:r w:rsidR="0031485B">
        <w:rPr>
          <w:rFonts w:cs="Times New Roman"/>
          <w:color w:val="auto"/>
        </w:rPr>
        <w:t>The code for intervertebral disc syndrome</w:t>
      </w:r>
      <w:r w:rsidR="00C86A3F">
        <w:rPr>
          <w:rFonts w:cs="Times New Roman"/>
          <w:color w:val="auto"/>
        </w:rPr>
        <w:t>, 5293,</w:t>
      </w:r>
      <w:r w:rsidR="0031485B">
        <w:rPr>
          <w:rFonts w:cs="Times New Roman"/>
          <w:color w:val="auto"/>
        </w:rPr>
        <w:t xml:space="preserve"> requires quantification of incapacitating episodes and this information is not available in the record available for review. </w:t>
      </w:r>
      <w:r w:rsidR="004921AD">
        <w:rPr>
          <w:rFonts w:cs="Times New Roman"/>
          <w:color w:val="auto"/>
        </w:rPr>
        <w:t xml:space="preserve"> </w:t>
      </w:r>
      <w:r w:rsidR="0031485B">
        <w:rPr>
          <w:rFonts w:cs="Times New Roman"/>
          <w:color w:val="auto"/>
        </w:rPr>
        <w:t xml:space="preserve">There is no mention of any missed work days. </w:t>
      </w:r>
      <w:r w:rsidR="004921AD">
        <w:rPr>
          <w:rFonts w:cs="Times New Roman"/>
          <w:color w:val="auto"/>
        </w:rPr>
        <w:t xml:space="preserve"> </w:t>
      </w:r>
      <w:r w:rsidR="0031485B">
        <w:rPr>
          <w:rFonts w:cs="Times New Roman"/>
          <w:color w:val="auto"/>
        </w:rPr>
        <w:t xml:space="preserve">The present day VASRD also provides no mechanism for rating the back condition greater than 10%. </w:t>
      </w:r>
      <w:r w:rsidR="004921AD">
        <w:rPr>
          <w:rFonts w:cs="Times New Roman"/>
          <w:color w:val="auto"/>
        </w:rPr>
        <w:t xml:space="preserve"> </w:t>
      </w:r>
      <w:r w:rsidR="0031485B">
        <w:rPr>
          <w:rFonts w:cs="Times New Roman"/>
          <w:color w:val="auto"/>
        </w:rPr>
        <w:t xml:space="preserve">Both </w:t>
      </w:r>
      <w:r w:rsidR="00C86A3F">
        <w:rPr>
          <w:rFonts w:cs="Times New Roman"/>
          <w:color w:val="auto"/>
        </w:rPr>
        <w:t xml:space="preserve">the 2003 and present day </w:t>
      </w:r>
      <w:r w:rsidR="0031485B">
        <w:rPr>
          <w:rFonts w:cs="Times New Roman"/>
          <w:color w:val="auto"/>
        </w:rPr>
        <w:t xml:space="preserve">VASRDs support a 10% rating based on </w:t>
      </w:r>
      <w:r w:rsidR="0031485B" w:rsidRPr="0031485B">
        <w:rPr>
          <w:rFonts w:cs="Times New Roman"/>
          <w:color w:val="auto"/>
        </w:rPr>
        <w:t xml:space="preserve">§4.59 </w:t>
      </w:r>
      <w:r w:rsidR="001F3E44">
        <w:rPr>
          <w:rFonts w:cs="Times New Roman"/>
          <w:color w:val="auto"/>
        </w:rPr>
        <w:t>p</w:t>
      </w:r>
      <w:r w:rsidR="0031485B" w:rsidRPr="0031485B">
        <w:rPr>
          <w:rFonts w:cs="Times New Roman"/>
          <w:color w:val="auto"/>
        </w:rPr>
        <w:t>ainful motion</w:t>
      </w:r>
      <w:r w:rsidR="0031485B">
        <w:rPr>
          <w:rFonts w:cs="Times New Roman"/>
          <w:color w:val="auto"/>
        </w:rPr>
        <w:t xml:space="preserve">. </w:t>
      </w:r>
      <w:r w:rsidR="004921AD">
        <w:rPr>
          <w:rFonts w:cs="Times New Roman"/>
          <w:color w:val="auto"/>
        </w:rPr>
        <w:t xml:space="preserve"> </w:t>
      </w:r>
      <w:r w:rsidR="001F3E44">
        <w:rPr>
          <w:rFonts w:cs="Times New Roman"/>
          <w:color w:val="auto"/>
        </w:rPr>
        <w:t xml:space="preserve">As the </w:t>
      </w:r>
      <w:r w:rsidR="0031485B">
        <w:rPr>
          <w:rFonts w:cs="Times New Roman"/>
          <w:color w:val="auto"/>
        </w:rPr>
        <w:t xml:space="preserve">PEB used </w:t>
      </w:r>
      <w:r w:rsidR="001F3E44">
        <w:rPr>
          <w:rFonts w:cs="Times New Roman"/>
          <w:color w:val="auto"/>
        </w:rPr>
        <w:t xml:space="preserve">code </w:t>
      </w:r>
      <w:r w:rsidR="0031485B">
        <w:rPr>
          <w:rFonts w:cs="Times New Roman"/>
          <w:color w:val="auto"/>
        </w:rPr>
        <w:t xml:space="preserve">5293 </w:t>
      </w:r>
      <w:r w:rsidR="001F3E44">
        <w:rPr>
          <w:rFonts w:cs="Times New Roman"/>
          <w:color w:val="auto"/>
        </w:rPr>
        <w:t>i</w:t>
      </w:r>
      <w:r w:rsidR="0031485B">
        <w:rPr>
          <w:rFonts w:cs="Times New Roman"/>
          <w:color w:val="auto"/>
        </w:rPr>
        <w:t xml:space="preserve">ntervertebral </w:t>
      </w:r>
      <w:r w:rsidR="001F3E44">
        <w:rPr>
          <w:rFonts w:cs="Times New Roman"/>
          <w:color w:val="auto"/>
        </w:rPr>
        <w:t>d</w:t>
      </w:r>
      <w:r w:rsidR="0031485B">
        <w:rPr>
          <w:rFonts w:cs="Times New Roman"/>
          <w:color w:val="auto"/>
        </w:rPr>
        <w:t xml:space="preserve">isc </w:t>
      </w:r>
      <w:r w:rsidR="001F3E44">
        <w:rPr>
          <w:rFonts w:cs="Times New Roman"/>
          <w:color w:val="auto"/>
        </w:rPr>
        <w:t>s</w:t>
      </w:r>
      <w:r w:rsidR="0031485B">
        <w:rPr>
          <w:rFonts w:cs="Times New Roman"/>
          <w:color w:val="auto"/>
        </w:rPr>
        <w:t xml:space="preserve">yndrome in determining its 20%, it was prevented from applying a separate rating for radiculopathy.  </w:t>
      </w:r>
      <w:r w:rsidR="00C86A3F">
        <w:rPr>
          <w:rFonts w:cs="Times New Roman"/>
          <w:color w:val="auto"/>
        </w:rPr>
        <w:t xml:space="preserve">However, </w:t>
      </w:r>
      <w:r w:rsidR="004921AD">
        <w:rPr>
          <w:rFonts w:cs="Times New Roman"/>
          <w:color w:val="auto"/>
        </w:rPr>
        <w:t xml:space="preserve">if </w:t>
      </w:r>
      <w:r w:rsidR="001F3E44">
        <w:rPr>
          <w:rFonts w:cs="Times New Roman"/>
          <w:color w:val="auto"/>
        </w:rPr>
        <w:t xml:space="preserve">codes </w:t>
      </w:r>
      <w:r w:rsidR="004921AD">
        <w:rPr>
          <w:rFonts w:cs="Times New Roman"/>
          <w:color w:val="auto"/>
        </w:rPr>
        <w:t xml:space="preserve">5292 or 5295 </w:t>
      </w:r>
      <w:r w:rsidR="0044375F">
        <w:rPr>
          <w:rFonts w:cs="Times New Roman"/>
          <w:color w:val="auto"/>
        </w:rPr>
        <w:t>are</w:t>
      </w:r>
      <w:r w:rsidR="004921AD">
        <w:rPr>
          <w:rFonts w:cs="Times New Roman"/>
          <w:color w:val="auto"/>
        </w:rPr>
        <w:t xml:space="preserve"> used, </w:t>
      </w:r>
      <w:r w:rsidR="00C86A3F">
        <w:rPr>
          <w:rFonts w:cs="Times New Roman"/>
          <w:color w:val="auto"/>
        </w:rPr>
        <w:t>t</w:t>
      </w:r>
      <w:r w:rsidR="0031485B">
        <w:rPr>
          <w:rFonts w:cs="Times New Roman"/>
          <w:color w:val="auto"/>
        </w:rPr>
        <w:t xml:space="preserve">he back pain and radiculopathy </w:t>
      </w:r>
      <w:r w:rsidR="0044375F">
        <w:rPr>
          <w:rFonts w:cs="Times New Roman"/>
          <w:color w:val="auto"/>
        </w:rPr>
        <w:t>can</w:t>
      </w:r>
      <w:r w:rsidR="0031485B">
        <w:rPr>
          <w:rFonts w:cs="Times New Roman"/>
          <w:color w:val="auto"/>
        </w:rPr>
        <w:t xml:space="preserve"> be rated </w:t>
      </w:r>
      <w:r w:rsidR="0031485B">
        <w:rPr>
          <w:rFonts w:cs="Times New Roman"/>
          <w:color w:val="auto"/>
        </w:rPr>
        <w:lastRenderedPageBreak/>
        <w:t>separately at 10% each</w:t>
      </w:r>
      <w:r w:rsidR="00BF416A">
        <w:rPr>
          <w:rFonts w:cs="Times New Roman"/>
          <w:color w:val="auto"/>
        </w:rPr>
        <w:t>,</w:t>
      </w:r>
      <w:r w:rsidR="0031485B">
        <w:rPr>
          <w:rFonts w:cs="Times New Roman"/>
          <w:color w:val="auto"/>
        </w:rPr>
        <w:t xml:space="preserve"> using either the 2003 or the present day VASRD. </w:t>
      </w:r>
      <w:r w:rsidR="004921AD">
        <w:rPr>
          <w:rFonts w:cs="Times New Roman"/>
          <w:color w:val="auto"/>
        </w:rPr>
        <w:t xml:space="preserve"> </w:t>
      </w:r>
      <w:r w:rsidR="0031485B">
        <w:rPr>
          <w:rFonts w:cs="Times New Roman"/>
          <w:color w:val="auto"/>
        </w:rPr>
        <w:t xml:space="preserve">Neither method affords any advantage to the CI. </w:t>
      </w:r>
      <w:r w:rsidR="004921AD">
        <w:rPr>
          <w:rFonts w:cs="Times New Roman"/>
          <w:color w:val="auto"/>
        </w:rPr>
        <w:t xml:space="preserve"> </w:t>
      </w:r>
      <w:r w:rsidR="00626902" w:rsidRPr="00F64312">
        <w:rPr>
          <w:rFonts w:eastAsia="Calibri" w:cs="Times New Roman"/>
          <w:color w:val="auto"/>
          <w:szCs w:val="24"/>
        </w:rPr>
        <w:t xml:space="preserve">After due deliberation, considering </w:t>
      </w:r>
      <w:r w:rsidR="00626902" w:rsidRPr="005E4E26">
        <w:rPr>
          <w:rFonts w:eastAsia="Calibri" w:cs="Times New Roman"/>
          <w:color w:val="auto"/>
          <w:szCs w:val="24"/>
        </w:rPr>
        <w:t xml:space="preserve">all of the evidence and mindful of VASRD §4.3 (reasonable doubt), the Board concluded that there was insufficient cause to recommend a change in the PEB adjudication for the </w:t>
      </w:r>
      <w:r w:rsidR="00C86A3F" w:rsidRPr="005E4E26">
        <w:rPr>
          <w:color w:val="auto"/>
        </w:rPr>
        <w:t xml:space="preserve">chronic </w:t>
      </w:r>
      <w:r w:rsidR="001F3E44">
        <w:rPr>
          <w:color w:val="auto"/>
        </w:rPr>
        <w:t>LBP</w:t>
      </w:r>
      <w:r w:rsidR="00C86A3F" w:rsidRPr="005E4E26">
        <w:rPr>
          <w:color w:val="auto"/>
        </w:rPr>
        <w:t xml:space="preserve"> with right S1 radiculopathy</w:t>
      </w:r>
      <w:r w:rsidR="00626902" w:rsidRPr="005E4E26">
        <w:rPr>
          <w:rFonts w:eastAsia="Calibri" w:cs="Times New Roman"/>
          <w:color w:val="auto"/>
          <w:szCs w:val="24"/>
        </w:rPr>
        <w:t xml:space="preserve"> condition.</w:t>
      </w:r>
      <w:r w:rsidR="00165C7B" w:rsidRPr="005E4E26">
        <w:rPr>
          <w:rFonts w:eastAsia="Calibri" w:cs="Times New Roman"/>
          <w:color w:val="auto"/>
          <w:szCs w:val="24"/>
        </w:rPr>
        <w:t xml:space="preserve">  </w:t>
      </w:r>
    </w:p>
    <w:p w:rsidR="003863E9" w:rsidRPr="005E4E26" w:rsidRDefault="003863E9" w:rsidP="003863E9">
      <w:pPr>
        <w:pBdr>
          <w:bottom w:val="single" w:sz="12" w:space="1" w:color="auto"/>
        </w:pBdr>
        <w:tabs>
          <w:tab w:val="left" w:pos="288"/>
          <w:tab w:val="left" w:pos="4752"/>
        </w:tabs>
        <w:jc w:val="both"/>
        <w:rPr>
          <w:color w:val="auto"/>
        </w:rPr>
      </w:pPr>
    </w:p>
    <w:p w:rsidR="00AD2379" w:rsidRPr="005E4E26" w:rsidRDefault="00AD2379" w:rsidP="006364ED">
      <w:pPr>
        <w:jc w:val="left"/>
        <w:rPr>
          <w:color w:val="auto"/>
        </w:rPr>
      </w:pPr>
    </w:p>
    <w:p w:rsidR="00417BED" w:rsidRPr="00F64312" w:rsidRDefault="00AD2379" w:rsidP="00417BED">
      <w:pPr>
        <w:jc w:val="both"/>
        <w:rPr>
          <w:rFonts w:eastAsia="Calibri" w:cs="Times New Roman"/>
          <w:color w:val="auto"/>
          <w:szCs w:val="24"/>
        </w:rPr>
      </w:pPr>
      <w:r w:rsidRPr="005E4E26">
        <w:rPr>
          <w:color w:val="auto"/>
          <w:u w:val="single"/>
        </w:rPr>
        <w:t>BOARD FINDINGS</w:t>
      </w:r>
      <w:r w:rsidRPr="005E4E26">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5E4E26">
        <w:rPr>
          <w:rFonts w:cs="Times New Roman"/>
          <w:color w:val="auto"/>
        </w:rPr>
        <w:t>.</w:t>
      </w:r>
      <w:r w:rsidR="006B690F" w:rsidRPr="005E4E26">
        <w:rPr>
          <w:rFonts w:cs="Times New Roman"/>
          <w:color w:val="auto"/>
        </w:rPr>
        <w:t xml:space="preserve">  </w:t>
      </w:r>
      <w:r w:rsidRPr="005E4E26">
        <w:rPr>
          <w:rFonts w:cs="Times New Roman"/>
          <w:color w:val="auto"/>
        </w:rPr>
        <w:t>The Board did not surmise from the record or PEB ruling in this case that any prerogatives outside the VASRD were exercised.</w:t>
      </w:r>
      <w:r w:rsidR="006B690F" w:rsidRPr="005E4E26">
        <w:rPr>
          <w:rFonts w:cs="Times New Roman"/>
          <w:color w:val="auto"/>
        </w:rPr>
        <w:t xml:space="preserve">  </w:t>
      </w:r>
      <w:r w:rsidR="00560F12" w:rsidRPr="005E4E26">
        <w:rPr>
          <w:rFonts w:eastAsia="Calibri" w:cs="Times New Roman"/>
          <w:color w:val="auto"/>
          <w:szCs w:val="24"/>
        </w:rPr>
        <w:t xml:space="preserve">In the matter of the </w:t>
      </w:r>
      <w:r w:rsidR="00C86A3F" w:rsidRPr="005E4E26">
        <w:rPr>
          <w:color w:val="auto"/>
        </w:rPr>
        <w:t xml:space="preserve">chronic </w:t>
      </w:r>
      <w:r w:rsidR="001F3E44">
        <w:rPr>
          <w:color w:val="auto"/>
        </w:rPr>
        <w:t>LBP</w:t>
      </w:r>
      <w:r w:rsidR="00C86A3F" w:rsidRPr="005E4E26">
        <w:rPr>
          <w:color w:val="auto"/>
        </w:rPr>
        <w:t xml:space="preserve"> with right S1 radiculopathy</w:t>
      </w:r>
      <w:r w:rsidR="00560F12" w:rsidRPr="005E4E26">
        <w:rPr>
          <w:rFonts w:eastAsia="Calibri" w:cs="Times New Roman"/>
          <w:color w:val="auto"/>
          <w:szCs w:val="24"/>
        </w:rPr>
        <w:t xml:space="preserve"> condition and IAW VASRD §4.71a, the Board unanimously recommends no</w:t>
      </w:r>
      <w:r w:rsidR="00560F12" w:rsidRPr="00F64312">
        <w:rPr>
          <w:rFonts w:eastAsia="Calibri" w:cs="Times New Roman"/>
          <w:color w:val="auto"/>
          <w:szCs w:val="24"/>
        </w:rPr>
        <w:t xml:space="preserve"> change in the PEB adjudication.</w:t>
      </w:r>
      <w:r w:rsidR="006B690F" w:rsidRPr="00F64312">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F64312" w:rsidRDefault="00AD2379" w:rsidP="00C86A3F">
      <w:pPr>
        <w:jc w:val="left"/>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r w:rsidR="006B690F" w:rsidRPr="00F64312">
        <w:rPr>
          <w:color w:val="auto"/>
        </w:rPr>
        <w:t xml:space="preserve">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72"/>
        <w:gridCol w:w="1926"/>
        <w:gridCol w:w="1026"/>
      </w:tblGrid>
      <w:tr w:rsidR="00AD2379" w:rsidRPr="00F64312" w:rsidTr="00C86A3F">
        <w:trPr>
          <w:trHeight w:val="233"/>
          <w:jc w:val="center"/>
        </w:trPr>
        <w:tc>
          <w:tcPr>
            <w:tcW w:w="6372"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9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C86A3F">
        <w:trPr>
          <w:jc w:val="center"/>
        </w:trPr>
        <w:tc>
          <w:tcPr>
            <w:tcW w:w="6372" w:type="dxa"/>
            <w:vAlign w:val="center"/>
          </w:tcPr>
          <w:p w:rsidR="00AD2379" w:rsidRPr="00F64312" w:rsidRDefault="00C86A3F" w:rsidP="006B690F">
            <w:pPr>
              <w:tabs>
                <w:tab w:val="left" w:pos="288"/>
                <w:tab w:val="left" w:pos="4752"/>
              </w:tabs>
              <w:jc w:val="left"/>
              <w:rPr>
                <w:color w:val="auto"/>
              </w:rPr>
            </w:pPr>
            <w:r>
              <w:rPr>
                <w:color w:val="auto"/>
              </w:rPr>
              <w:t>Chronic Low Back Pain w</w:t>
            </w:r>
            <w:r w:rsidRPr="005E2B66">
              <w:rPr>
                <w:color w:val="auto"/>
              </w:rPr>
              <w:t>ith Right S1 Radiculopathy</w:t>
            </w:r>
          </w:p>
        </w:tc>
        <w:tc>
          <w:tcPr>
            <w:tcW w:w="1926" w:type="dxa"/>
            <w:vAlign w:val="center"/>
          </w:tcPr>
          <w:p w:rsidR="00AD2379" w:rsidRPr="00C86A3F" w:rsidRDefault="00C86A3F" w:rsidP="006B690F">
            <w:pPr>
              <w:tabs>
                <w:tab w:val="left" w:pos="288"/>
                <w:tab w:val="left" w:pos="4752"/>
              </w:tabs>
              <w:rPr>
                <w:color w:val="auto"/>
              </w:rPr>
            </w:pPr>
            <w:r w:rsidRPr="00C86A3F">
              <w:rPr>
                <w:color w:val="auto"/>
              </w:rPr>
              <w:t>5293-5299-5295</w:t>
            </w:r>
          </w:p>
        </w:tc>
        <w:tc>
          <w:tcPr>
            <w:tcW w:w="1026" w:type="dxa"/>
            <w:vAlign w:val="center"/>
          </w:tcPr>
          <w:p w:rsidR="00AD2379" w:rsidRPr="00C86A3F" w:rsidRDefault="00C86A3F" w:rsidP="006B690F">
            <w:pPr>
              <w:tabs>
                <w:tab w:val="left" w:pos="288"/>
                <w:tab w:val="left" w:pos="4752"/>
              </w:tabs>
              <w:rPr>
                <w:color w:val="auto"/>
              </w:rPr>
            </w:pPr>
            <w:r>
              <w:rPr>
                <w:color w:val="auto"/>
              </w:rPr>
              <w:t>2</w:t>
            </w:r>
            <w:r w:rsidR="00AD2379" w:rsidRPr="00C86A3F">
              <w:rPr>
                <w:color w:val="auto"/>
              </w:rPr>
              <w:t>0%</w:t>
            </w:r>
          </w:p>
        </w:tc>
      </w:tr>
      <w:tr w:rsidR="00AD2379" w:rsidRPr="00F64312" w:rsidTr="00C86A3F">
        <w:tblPrEx>
          <w:tblLook w:val="0000"/>
        </w:tblPrEx>
        <w:trPr>
          <w:gridBefore w:val="1"/>
          <w:wBefore w:w="6372" w:type="dxa"/>
          <w:trHeight w:val="152"/>
          <w:jc w:val="center"/>
        </w:trPr>
        <w:tc>
          <w:tcPr>
            <w:tcW w:w="1926" w:type="dxa"/>
            <w:tcBorders>
              <w:left w:val="single" w:sz="4" w:space="0" w:color="auto"/>
            </w:tcBorders>
            <w:shd w:val="clear" w:color="auto" w:fill="D9D9D9"/>
            <w:vAlign w:val="center"/>
          </w:tcPr>
          <w:p w:rsidR="00AD2379" w:rsidRPr="00C86A3F" w:rsidRDefault="00AD2379" w:rsidP="006B690F">
            <w:pPr>
              <w:tabs>
                <w:tab w:val="left" w:pos="288"/>
                <w:tab w:val="left" w:pos="4752"/>
              </w:tabs>
              <w:rPr>
                <w:b/>
                <w:color w:val="auto"/>
              </w:rPr>
            </w:pPr>
            <w:r w:rsidRPr="00C86A3F">
              <w:rPr>
                <w:b/>
                <w:color w:val="auto"/>
              </w:rPr>
              <w:t>COMBINED</w:t>
            </w:r>
          </w:p>
        </w:tc>
        <w:tc>
          <w:tcPr>
            <w:tcW w:w="1026" w:type="dxa"/>
            <w:shd w:val="clear" w:color="auto" w:fill="D9D9D9"/>
            <w:vAlign w:val="center"/>
          </w:tcPr>
          <w:p w:rsidR="00AD2379" w:rsidRPr="00C86A3F" w:rsidRDefault="00C86A3F" w:rsidP="006B690F">
            <w:pPr>
              <w:tabs>
                <w:tab w:val="left" w:pos="288"/>
                <w:tab w:val="left" w:pos="4752"/>
              </w:tabs>
              <w:rPr>
                <w:b/>
                <w:color w:val="auto"/>
              </w:rPr>
            </w:pPr>
            <w:r>
              <w:rPr>
                <w:b/>
                <w:color w:val="auto"/>
              </w:rPr>
              <w:t>2</w:t>
            </w:r>
            <w:r w:rsidR="00AD2379" w:rsidRPr="00C86A3F">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w:t>
      </w:r>
      <w:r w:rsidRPr="005E4E26">
        <w:rPr>
          <w:color w:val="auto"/>
        </w:rPr>
        <w:t>dated 20</w:t>
      </w:r>
      <w:r w:rsidR="00334081" w:rsidRPr="005E4E26">
        <w:rPr>
          <w:color w:val="auto"/>
        </w:rPr>
        <w:t>110929</w:t>
      </w:r>
      <w:r w:rsidR="00ED7820" w:rsidRPr="005E4E26">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E924CF">
        <w:rPr>
          <w:color w:val="auto"/>
        </w:rPr>
        <w:t>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E924CF" w:rsidRDefault="00AD2379" w:rsidP="00BF0E94">
      <w:pPr>
        <w:tabs>
          <w:tab w:val="left" w:pos="0"/>
          <w:tab w:val="left" w:pos="4320"/>
        </w:tabs>
        <w:jc w:val="both"/>
        <w:rPr>
          <w:color w:val="auto"/>
        </w:rPr>
      </w:pPr>
      <w:r w:rsidRPr="00F64312">
        <w:rPr>
          <w:color w:val="auto"/>
        </w:rPr>
        <w:tab/>
        <w:t xml:space="preserve">           Physical Disability Board of Review</w:t>
      </w:r>
    </w:p>
    <w:p w:rsidR="00E924CF" w:rsidRDefault="00E924CF">
      <w:pPr>
        <w:spacing w:line="240" w:lineRule="auto"/>
        <w:jc w:val="left"/>
        <w:rPr>
          <w:color w:val="auto"/>
        </w:rPr>
      </w:pPr>
      <w:r>
        <w:rPr>
          <w:color w:val="auto"/>
        </w:rPr>
        <w:br w:type="page"/>
      </w:r>
    </w:p>
    <w:p w:rsidR="00E924CF" w:rsidRDefault="00E924CF" w:rsidP="00E924CF">
      <w:pPr>
        <w:sectPr w:rsidR="00E924CF">
          <w:pgSz w:w="12240" w:h="15840"/>
          <w:pgMar w:top="2160" w:right="1440" w:bottom="1440" w:left="1440" w:header="720" w:footer="720" w:gutter="0"/>
          <w:cols w:space="720"/>
        </w:sectPr>
      </w:pPr>
    </w:p>
    <w:p w:rsidR="00E924CF" w:rsidRDefault="00E924CF" w:rsidP="00E924CF">
      <w:pPr>
        <w:pStyle w:val="Header"/>
        <w:tabs>
          <w:tab w:val="left" w:pos="720"/>
        </w:tabs>
        <w:jc w:val="left"/>
      </w:pPr>
      <w:r>
        <w:lastRenderedPageBreak/>
        <w:t>SFMR-RB</w:t>
      </w:r>
      <w:r>
        <w:tab/>
      </w:r>
      <w:r>
        <w:tab/>
      </w:r>
      <w:r>
        <w:tab/>
      </w:r>
      <w:r>
        <w:tab/>
      </w:r>
      <w:r>
        <w:tab/>
      </w:r>
      <w:r>
        <w:tab/>
      </w:r>
      <w:r>
        <w:tab/>
      </w:r>
      <w:r>
        <w:tab/>
      </w:r>
      <w:r>
        <w:tab/>
      </w:r>
    </w:p>
    <w:p w:rsidR="00E924CF" w:rsidRDefault="00E924CF" w:rsidP="00E924CF">
      <w:pPr>
        <w:pStyle w:val="Header"/>
        <w:tabs>
          <w:tab w:val="left" w:pos="720"/>
        </w:tabs>
        <w:jc w:val="left"/>
      </w:pPr>
    </w:p>
    <w:p w:rsidR="00E924CF" w:rsidRDefault="00E924CF" w:rsidP="00E924CF">
      <w:pPr>
        <w:jc w:val="left"/>
      </w:pPr>
    </w:p>
    <w:p w:rsidR="00E924CF" w:rsidRDefault="00E924CF" w:rsidP="00E924CF">
      <w:pPr>
        <w:jc w:val="left"/>
      </w:pPr>
      <w:r>
        <w:t xml:space="preserve">MEMORANDUM FOR Commander, US Army Physical Disability Agency </w:t>
      </w:r>
    </w:p>
    <w:p w:rsidR="00E924CF" w:rsidRDefault="00E924CF" w:rsidP="00E924CF">
      <w:pPr>
        <w:jc w:val="left"/>
      </w:pPr>
      <w:r>
        <w:t xml:space="preserve">(TAPD-ZB </w:t>
      </w:r>
      <w:proofErr w:type="gramStart"/>
      <w:r>
        <w:t>/  )</w:t>
      </w:r>
      <w:proofErr w:type="gramEnd"/>
      <w:r>
        <w:t>, 2900 Crystal Drive, Suite 300, Arlington, VA  22202</w:t>
      </w:r>
    </w:p>
    <w:p w:rsidR="00E924CF" w:rsidRDefault="00E924CF" w:rsidP="00E924CF">
      <w:pPr>
        <w:jc w:val="left"/>
      </w:pPr>
    </w:p>
    <w:p w:rsidR="00E924CF" w:rsidRDefault="00E924CF" w:rsidP="00E924CF">
      <w:pPr>
        <w:ind w:right="-180"/>
        <w:jc w:val="left"/>
      </w:pPr>
      <w:r>
        <w:t>SUBJECT:  Department of Defense Physical Disability Board of Review Recommendation for XXXXXXXXXXXXXXXXXXXXXXXXXXXXXXXXXXXX, AR20120015367 (PD201100843)</w:t>
      </w:r>
    </w:p>
    <w:p w:rsidR="00E924CF" w:rsidRDefault="00E924CF" w:rsidP="00E924CF">
      <w:pPr>
        <w:pStyle w:val="Header"/>
        <w:tabs>
          <w:tab w:val="left" w:pos="720"/>
        </w:tabs>
        <w:jc w:val="left"/>
      </w:pPr>
    </w:p>
    <w:p w:rsidR="00E924CF" w:rsidRDefault="00E924CF" w:rsidP="00E924CF">
      <w:pPr>
        <w:jc w:val="left"/>
      </w:pPr>
    </w:p>
    <w:p w:rsidR="00E924CF" w:rsidRDefault="00E924CF" w:rsidP="00E924CF">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E924CF" w:rsidRDefault="00E924CF" w:rsidP="00E924CF">
      <w:pPr>
        <w:jc w:val="left"/>
      </w:pPr>
      <w:r>
        <w:t>This decision is final.  The individual concerned, counsel (if any), and any Members of Congress who have shown interest in this application have been notified of this decision by mail.</w:t>
      </w:r>
    </w:p>
    <w:p w:rsidR="00E924CF" w:rsidRDefault="00E924CF" w:rsidP="00E924CF">
      <w:pPr>
        <w:jc w:val="left"/>
      </w:pPr>
    </w:p>
    <w:p w:rsidR="00E924CF" w:rsidRDefault="00E924CF" w:rsidP="00E924CF">
      <w:pPr>
        <w:jc w:val="left"/>
      </w:pPr>
      <w:r>
        <w:t xml:space="preserve"> BY ORDER OF THE SECRETARY OF THE ARMY:</w:t>
      </w:r>
    </w:p>
    <w:p w:rsidR="00E924CF" w:rsidRDefault="00E924CF" w:rsidP="00E924CF">
      <w:pPr>
        <w:jc w:val="left"/>
      </w:pPr>
    </w:p>
    <w:p w:rsidR="00E924CF" w:rsidRDefault="00E924CF" w:rsidP="00E924CF">
      <w:pPr>
        <w:jc w:val="left"/>
      </w:pPr>
    </w:p>
    <w:p w:rsidR="00E924CF" w:rsidRDefault="00E924CF" w:rsidP="00E924CF">
      <w:pPr>
        <w:pStyle w:val="Header"/>
        <w:tabs>
          <w:tab w:val="left" w:pos="720"/>
        </w:tabs>
        <w:jc w:val="left"/>
      </w:pPr>
    </w:p>
    <w:p w:rsidR="00E924CF" w:rsidRDefault="00E924CF" w:rsidP="00E924CF">
      <w:pPr>
        <w:jc w:val="left"/>
      </w:pPr>
    </w:p>
    <w:p w:rsidR="00E924CF" w:rsidRDefault="00E924CF" w:rsidP="00E924CF">
      <w:pPr>
        <w:jc w:val="left"/>
      </w:pPr>
      <w:bookmarkStart w:id="1" w:name="OLE_LINK4"/>
      <w:bookmarkStart w:id="2" w:name="OLE_LINK3"/>
      <w:r>
        <w:t>Encl</w:t>
      </w:r>
      <w:r>
        <w:tab/>
      </w:r>
      <w:r>
        <w:tab/>
      </w:r>
      <w:r>
        <w:tab/>
      </w:r>
      <w:r>
        <w:tab/>
      </w:r>
      <w:r>
        <w:tab/>
      </w:r>
      <w:r>
        <w:tab/>
        <w:t xml:space="preserve">     XXXXXXXXXXXXXXXXXXXX</w:t>
      </w:r>
    </w:p>
    <w:p w:rsidR="00E924CF" w:rsidRDefault="00E924CF" w:rsidP="00E924CF">
      <w:pPr>
        <w:jc w:val="left"/>
      </w:pPr>
      <w:r>
        <w:tab/>
      </w:r>
      <w:r>
        <w:tab/>
      </w:r>
      <w:r>
        <w:tab/>
      </w:r>
      <w:r>
        <w:tab/>
      </w:r>
      <w:r>
        <w:tab/>
      </w:r>
      <w:r>
        <w:tab/>
        <w:t xml:space="preserve">     Deputy Assistant Secretary</w:t>
      </w:r>
    </w:p>
    <w:p w:rsidR="00E924CF" w:rsidRDefault="00E924CF" w:rsidP="00E924CF">
      <w:pPr>
        <w:jc w:val="left"/>
      </w:pPr>
      <w:r>
        <w:tab/>
      </w:r>
      <w:r>
        <w:tab/>
      </w:r>
      <w:r>
        <w:tab/>
      </w:r>
      <w:r>
        <w:tab/>
      </w:r>
      <w:r>
        <w:tab/>
      </w:r>
      <w:r>
        <w:tab/>
        <w:t xml:space="preserve">         (Army Review Boards)</w:t>
      </w:r>
      <w:bookmarkEnd w:id="1"/>
      <w:bookmarkEnd w:id="2"/>
    </w:p>
    <w:p w:rsidR="00E924CF" w:rsidRDefault="00E924CF" w:rsidP="00E924CF">
      <w:pPr>
        <w:jc w:val="left"/>
      </w:pPr>
    </w:p>
    <w:p w:rsidR="00E924CF" w:rsidRDefault="00E924CF" w:rsidP="00E924CF">
      <w:pPr>
        <w:jc w:val="left"/>
      </w:pPr>
      <w:r>
        <w:t xml:space="preserve">CF: </w:t>
      </w:r>
    </w:p>
    <w:p w:rsidR="00E924CF" w:rsidRDefault="00E924CF" w:rsidP="00E924CF">
      <w:pPr>
        <w:jc w:val="left"/>
      </w:pPr>
      <w:r>
        <w:t xml:space="preserve">(  ) </w:t>
      </w:r>
      <w:proofErr w:type="spellStart"/>
      <w:proofErr w:type="gramStart"/>
      <w:r>
        <w:t>DoD</w:t>
      </w:r>
      <w:proofErr w:type="spellEnd"/>
      <w:proofErr w:type="gramEnd"/>
      <w:r>
        <w:t xml:space="preserve"> PDBR</w:t>
      </w:r>
    </w:p>
    <w:p w:rsidR="00E924CF" w:rsidRDefault="00E924CF" w:rsidP="00E924CF">
      <w:pPr>
        <w:jc w:val="left"/>
      </w:pPr>
      <w:r>
        <w:t>(  ) DVA</w:t>
      </w:r>
    </w:p>
    <w:p w:rsidR="00E924CF" w:rsidRDefault="00E924CF" w:rsidP="00E924CF">
      <w:pPr>
        <w:jc w:val="left"/>
      </w:pPr>
    </w:p>
    <w:p w:rsidR="00AD2379" w:rsidRDefault="00AD2379"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sectPr w:rsidR="00DF3B06"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815" w:rsidRDefault="00212815">
      <w:r>
        <w:separator/>
      </w:r>
    </w:p>
  </w:endnote>
  <w:endnote w:type="continuationSeparator" w:id="0">
    <w:p w:rsidR="00212815" w:rsidRDefault="002128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E26" w:rsidRPr="00374247" w:rsidRDefault="005E4E26" w:rsidP="00726F84">
    <w:pPr>
      <w:pStyle w:val="Footer"/>
      <w:ind w:firstLine="4320"/>
      <w:rPr>
        <w:color w:val="auto"/>
      </w:rPr>
    </w:pPr>
    <w:r w:rsidRPr="00374247">
      <w:rPr>
        <w:color w:val="auto"/>
      </w:rPr>
      <w:t xml:space="preserve">   </w:t>
    </w:r>
    <w:r w:rsidR="00334BDF" w:rsidRPr="00334BDF">
      <w:fldChar w:fldCharType="begin"/>
    </w:r>
    <w:r w:rsidR="00212815">
      <w:instrText xml:space="preserve"> PAGE   \* MERGEFORMAT </w:instrText>
    </w:r>
    <w:r w:rsidR="00334BDF" w:rsidRPr="00334BDF">
      <w:fldChar w:fldCharType="separate"/>
    </w:r>
    <w:r w:rsidR="00E924CF" w:rsidRPr="00E924CF">
      <w:rPr>
        <w:noProof/>
        <w:color w:val="auto"/>
      </w:rPr>
      <w:t>6</w:t>
    </w:r>
    <w:r w:rsidR="00334BDF">
      <w:rPr>
        <w:noProof/>
        <w:color w:val="auto"/>
      </w:rPr>
      <w:fldChar w:fldCharType="end"/>
    </w:r>
    <w:r w:rsidRPr="002A0685">
      <w:rPr>
        <w:color w:val="auto"/>
      </w:rPr>
      <w:t xml:space="preserve">                                                           PD11-00843</w:t>
    </w:r>
  </w:p>
  <w:p w:rsidR="005E4E26" w:rsidRPr="00684CE6" w:rsidRDefault="005E4E26">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815" w:rsidRDefault="00212815">
      <w:r>
        <w:separator/>
      </w:r>
    </w:p>
  </w:footnote>
  <w:footnote w:type="continuationSeparator" w:id="0">
    <w:p w:rsidR="00212815" w:rsidRDefault="002128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2A"/>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66CE"/>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2E29"/>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58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3E44"/>
    <w:rsid w:val="001F6E0B"/>
    <w:rsid w:val="00200A10"/>
    <w:rsid w:val="00200AA0"/>
    <w:rsid w:val="00202325"/>
    <w:rsid w:val="00202736"/>
    <w:rsid w:val="00203652"/>
    <w:rsid w:val="00204562"/>
    <w:rsid w:val="00205AE0"/>
    <w:rsid w:val="00205B4F"/>
    <w:rsid w:val="002060B6"/>
    <w:rsid w:val="002066B5"/>
    <w:rsid w:val="00210EAC"/>
    <w:rsid w:val="00211612"/>
    <w:rsid w:val="002119B6"/>
    <w:rsid w:val="00212389"/>
    <w:rsid w:val="00212815"/>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545E"/>
    <w:rsid w:val="00246860"/>
    <w:rsid w:val="002468D9"/>
    <w:rsid w:val="00246995"/>
    <w:rsid w:val="00246DFF"/>
    <w:rsid w:val="00246E89"/>
    <w:rsid w:val="0024786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39DF"/>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0685"/>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058C"/>
    <w:rsid w:val="002E1877"/>
    <w:rsid w:val="002E1C31"/>
    <w:rsid w:val="002E1EFD"/>
    <w:rsid w:val="002E2E0F"/>
    <w:rsid w:val="002E3233"/>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3766"/>
    <w:rsid w:val="0030433B"/>
    <w:rsid w:val="00304511"/>
    <w:rsid w:val="00305856"/>
    <w:rsid w:val="00305867"/>
    <w:rsid w:val="0030678B"/>
    <w:rsid w:val="00306D16"/>
    <w:rsid w:val="0030700A"/>
    <w:rsid w:val="00307595"/>
    <w:rsid w:val="00307DA6"/>
    <w:rsid w:val="00310CD7"/>
    <w:rsid w:val="00313C3A"/>
    <w:rsid w:val="00313D7A"/>
    <w:rsid w:val="00314517"/>
    <w:rsid w:val="0031485B"/>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081"/>
    <w:rsid w:val="0033414F"/>
    <w:rsid w:val="00334514"/>
    <w:rsid w:val="00334BDF"/>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259A"/>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013E"/>
    <w:rsid w:val="003B17AC"/>
    <w:rsid w:val="003B2143"/>
    <w:rsid w:val="003B227A"/>
    <w:rsid w:val="003B3A77"/>
    <w:rsid w:val="003B4319"/>
    <w:rsid w:val="003B5854"/>
    <w:rsid w:val="003B6764"/>
    <w:rsid w:val="003B7A8B"/>
    <w:rsid w:val="003C247E"/>
    <w:rsid w:val="003C294B"/>
    <w:rsid w:val="003C34DF"/>
    <w:rsid w:val="003C3E17"/>
    <w:rsid w:val="003C5046"/>
    <w:rsid w:val="003C53E8"/>
    <w:rsid w:val="003C5B54"/>
    <w:rsid w:val="003C6068"/>
    <w:rsid w:val="003C7AEC"/>
    <w:rsid w:val="003D2BA3"/>
    <w:rsid w:val="003D316B"/>
    <w:rsid w:val="003D3C22"/>
    <w:rsid w:val="003D56A0"/>
    <w:rsid w:val="003D609F"/>
    <w:rsid w:val="003D69F5"/>
    <w:rsid w:val="003D7084"/>
    <w:rsid w:val="003D7089"/>
    <w:rsid w:val="003D7368"/>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17D1B"/>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75F"/>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1AD"/>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007"/>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3866"/>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2B66"/>
    <w:rsid w:val="005E3064"/>
    <w:rsid w:val="005E4E26"/>
    <w:rsid w:val="005E506F"/>
    <w:rsid w:val="005E54DC"/>
    <w:rsid w:val="005E65DC"/>
    <w:rsid w:val="005E6AEE"/>
    <w:rsid w:val="005E72B2"/>
    <w:rsid w:val="005E79A0"/>
    <w:rsid w:val="005F097E"/>
    <w:rsid w:val="005F1115"/>
    <w:rsid w:val="005F1AB6"/>
    <w:rsid w:val="005F21CE"/>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6B32"/>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5A1"/>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1F4E"/>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437"/>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2989"/>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1E16"/>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5DD0"/>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958"/>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07AB"/>
    <w:rsid w:val="00921CFD"/>
    <w:rsid w:val="00921F7F"/>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7DC"/>
    <w:rsid w:val="009419B4"/>
    <w:rsid w:val="00941A4C"/>
    <w:rsid w:val="00942645"/>
    <w:rsid w:val="009461E6"/>
    <w:rsid w:val="00946739"/>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8DD"/>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3367"/>
    <w:rsid w:val="00AE4624"/>
    <w:rsid w:val="00AE4B3E"/>
    <w:rsid w:val="00AE4B90"/>
    <w:rsid w:val="00AE5E14"/>
    <w:rsid w:val="00AE6115"/>
    <w:rsid w:val="00AE625B"/>
    <w:rsid w:val="00AE6E7A"/>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16A"/>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6A3F"/>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0E74"/>
    <w:rsid w:val="00D43978"/>
    <w:rsid w:val="00D43CBD"/>
    <w:rsid w:val="00D441F1"/>
    <w:rsid w:val="00D449F0"/>
    <w:rsid w:val="00D45319"/>
    <w:rsid w:val="00D462D7"/>
    <w:rsid w:val="00D46A33"/>
    <w:rsid w:val="00D5062C"/>
    <w:rsid w:val="00D50AB9"/>
    <w:rsid w:val="00D50C8C"/>
    <w:rsid w:val="00D517B2"/>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2D1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2AE9"/>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4CF"/>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685"/>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39B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4821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2452</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2012-08-21T17:51:00Z</cp:lastPrinted>
  <dcterms:created xsi:type="dcterms:W3CDTF">2012-09-12T16:26:00Z</dcterms:created>
  <dcterms:modified xsi:type="dcterms:W3CDTF">2012-09-12T16:26:00Z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