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FA5C10">
        <w:rPr>
          <w:caps/>
          <w:color w:val="auto"/>
        </w:rPr>
        <w:t xml:space="preserve">XXXXXXXXXXXXX             </w:t>
      </w:r>
      <w:r w:rsidR="00A64C2C">
        <w:rPr>
          <w:caps/>
          <w:color w:val="auto"/>
        </w:rPr>
        <w:t xml:space="preserve">                                                </w:t>
      </w:r>
      <w:r w:rsidR="00EF7C1D">
        <w:rPr>
          <w:caps/>
          <w:color w:val="auto"/>
        </w:rPr>
        <w:t xml:space="preserve">  </w:t>
      </w:r>
      <w:r w:rsidRPr="00F64312">
        <w:rPr>
          <w:caps/>
          <w:color w:val="auto"/>
        </w:rPr>
        <w:t>BRANCH OF SERVICE</w:t>
      </w:r>
      <w:r w:rsidRPr="00A64C2C">
        <w:rPr>
          <w:caps/>
          <w:color w:val="auto"/>
        </w:rPr>
        <w:t xml:space="preserve">:  </w:t>
      </w:r>
      <w:r w:rsidR="0018208F" w:rsidRPr="00A64C2C">
        <w:rPr>
          <w:caps/>
          <w:color w:val="auto"/>
        </w:rPr>
        <w:t xml:space="preserve"> </w:t>
      </w:r>
      <w:r w:rsidR="00A64C2C" w:rsidRPr="00A64C2C">
        <w:rPr>
          <w:caps/>
          <w:color w:val="auto"/>
        </w:rPr>
        <w:t xml:space="preserve">Army </w:t>
      </w:r>
    </w:p>
    <w:p w:rsidR="0095270D" w:rsidRPr="00F64312" w:rsidRDefault="0095270D" w:rsidP="00DD5558">
      <w:pPr>
        <w:tabs>
          <w:tab w:val="right" w:pos="9360"/>
        </w:tabs>
        <w:jc w:val="both"/>
        <w:rPr>
          <w:color w:val="auto"/>
        </w:rPr>
      </w:pPr>
      <w:r w:rsidRPr="00F64312">
        <w:rPr>
          <w:caps/>
          <w:color w:val="auto"/>
        </w:rPr>
        <w:t xml:space="preserve">CASE NUMBER:  </w:t>
      </w:r>
      <w:r w:rsidRPr="00A64C2C">
        <w:rPr>
          <w:caps/>
          <w:color w:val="auto"/>
        </w:rPr>
        <w:t>PD1100</w:t>
      </w:r>
      <w:r w:rsidR="00A64C2C" w:rsidRPr="00A64C2C">
        <w:rPr>
          <w:caps/>
          <w:color w:val="auto"/>
        </w:rPr>
        <w:t>839</w:t>
      </w:r>
      <w:r w:rsidR="00091E2F">
        <w:rPr>
          <w:color w:val="auto"/>
        </w:rPr>
        <w:t xml:space="preserve">                                                        </w:t>
      </w:r>
      <w:r w:rsidR="005A71DC">
        <w:rPr>
          <w:color w:val="auto"/>
        </w:rPr>
        <w:t xml:space="preserve"> </w:t>
      </w:r>
      <w:r w:rsidR="0018208F" w:rsidRPr="00F64312">
        <w:rPr>
          <w:color w:val="auto"/>
        </w:rPr>
        <w:t>SE</w:t>
      </w:r>
      <w:r w:rsidRPr="00F64312">
        <w:rPr>
          <w:color w:val="auto"/>
        </w:rPr>
        <w:t>PARATION DATE:  200</w:t>
      </w:r>
      <w:r w:rsidR="00091E2F">
        <w:rPr>
          <w:color w:val="auto"/>
        </w:rPr>
        <w:t>60331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B2296B">
        <w:rPr>
          <w:caps/>
          <w:color w:val="auto"/>
        </w:rPr>
        <w:t xml:space="preserve">0718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091E2F" w:rsidRPr="00091E2F">
        <w:rPr>
          <w:color w:val="auto"/>
        </w:rPr>
        <w:t xml:space="preserve">active duty SPC/E-4 (92A10 / Automated Logistical), medically separated for chronic low back pain </w:t>
      </w:r>
      <w:r w:rsidR="007B7644">
        <w:rPr>
          <w:color w:val="auto"/>
        </w:rPr>
        <w:t xml:space="preserve">(LBP) </w:t>
      </w:r>
      <w:r w:rsidR="00091E2F" w:rsidRPr="00091E2F">
        <w:rPr>
          <w:color w:val="auto"/>
        </w:rPr>
        <w:t>secondary to degenerative disc disease</w:t>
      </w:r>
      <w:r w:rsidR="007B7644">
        <w:rPr>
          <w:color w:val="auto"/>
        </w:rPr>
        <w:t xml:space="preserve"> (DDD)</w:t>
      </w:r>
      <w:r w:rsidR="003145DA">
        <w:rPr>
          <w:color w:val="auto"/>
        </w:rPr>
        <w:t>.</w:t>
      </w:r>
      <w:r w:rsidR="00363179">
        <w:rPr>
          <w:color w:val="auto"/>
        </w:rPr>
        <w:t xml:space="preserve">  </w:t>
      </w:r>
      <w:r w:rsidR="00F15483" w:rsidRPr="00363179">
        <w:rPr>
          <w:color w:val="auto"/>
        </w:rPr>
        <w:t>The CI did not improve adequately with treatment</w:t>
      </w:r>
      <w:r w:rsidR="003145DA" w:rsidRPr="00363179">
        <w:rPr>
          <w:color w:val="auto"/>
        </w:rPr>
        <w:t xml:space="preserve"> </w:t>
      </w:r>
      <w:r w:rsidR="00F566B7" w:rsidRPr="00F64312">
        <w:rPr>
          <w:color w:val="auto"/>
        </w:rPr>
        <w:t xml:space="preserve">to meet the physical requirements </w:t>
      </w:r>
      <w:r w:rsidR="00F566B7" w:rsidRPr="00A978B6">
        <w:rPr>
          <w:color w:val="auto"/>
        </w:rPr>
        <w:t xml:space="preserve">of </w:t>
      </w:r>
      <w:r w:rsidR="00091E2F" w:rsidRPr="00A978B6">
        <w:rPr>
          <w:color w:val="auto"/>
        </w:rPr>
        <w:t>h</w:t>
      </w:r>
      <w:r w:rsidR="00F566B7" w:rsidRPr="00A978B6">
        <w:rPr>
          <w:color w:val="auto"/>
        </w:rPr>
        <w:t>is Military Occupational Specialty (MOS)</w:t>
      </w:r>
      <w:r w:rsidR="006A0909" w:rsidRPr="00A978B6">
        <w:rPr>
          <w:color w:val="auto"/>
        </w:rPr>
        <w:t xml:space="preserve"> </w:t>
      </w:r>
      <w:r w:rsidR="00F566B7" w:rsidRPr="00A978B6">
        <w:rPr>
          <w:color w:val="auto"/>
        </w:rPr>
        <w:t>or satis</w:t>
      </w:r>
      <w:r w:rsidR="009C12A1" w:rsidRPr="00A978B6">
        <w:rPr>
          <w:color w:val="auto"/>
        </w:rPr>
        <w:t>fy physical fitness standards.</w:t>
      </w:r>
      <w:r w:rsidR="00F566B7" w:rsidRPr="00A978B6">
        <w:rPr>
          <w:color w:val="auto"/>
        </w:rPr>
        <w:t xml:space="preserve"> </w:t>
      </w:r>
      <w:r w:rsidR="009C12A1" w:rsidRPr="00A978B6">
        <w:rPr>
          <w:color w:val="auto"/>
        </w:rPr>
        <w:t xml:space="preserve"> He </w:t>
      </w:r>
      <w:r w:rsidR="00F566B7" w:rsidRPr="00A978B6">
        <w:rPr>
          <w:color w:val="auto"/>
        </w:rPr>
        <w:t xml:space="preserve">was issued a </w:t>
      </w:r>
      <w:r w:rsidR="00A978B6" w:rsidRPr="00A978B6">
        <w:rPr>
          <w:color w:val="auto"/>
        </w:rPr>
        <w:t xml:space="preserve">permanent U3 and U4 profile </w:t>
      </w:r>
      <w:r w:rsidR="00F566B7" w:rsidRPr="00A978B6">
        <w:rPr>
          <w:color w:val="auto"/>
        </w:rPr>
        <w:t>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r w:rsidR="00363179">
        <w:rPr>
          <w:color w:val="auto"/>
        </w:rPr>
        <w:t>L</w:t>
      </w:r>
      <w:r w:rsidR="00303AD7" w:rsidRPr="00A978B6">
        <w:rPr>
          <w:color w:val="auto"/>
        </w:rPr>
        <w:t>eft flexor digitorum profundus rupture with tendon transplant repair condition</w:t>
      </w:r>
      <w:r w:rsidR="00071F0D" w:rsidRPr="00A978B6">
        <w:rPr>
          <w:color w:val="auto"/>
        </w:rPr>
        <w:t>, identified</w:t>
      </w:r>
      <w:r w:rsidR="00A978B6" w:rsidRPr="00A978B6">
        <w:rPr>
          <w:color w:val="auto"/>
        </w:rPr>
        <w:t xml:space="preserve"> in the rating chart below, was</w:t>
      </w:r>
      <w:r w:rsidR="00071F0D" w:rsidRPr="00A978B6">
        <w:rPr>
          <w:color w:val="auto"/>
        </w:rPr>
        <w:t xml:space="preserve"> also identified and forwarded by the MEB</w:t>
      </w:r>
      <w:r w:rsidR="00F566B7" w:rsidRPr="00A978B6">
        <w:rPr>
          <w:color w:val="auto"/>
        </w:rPr>
        <w:t>.</w:t>
      </w:r>
      <w:r w:rsidR="00363179">
        <w:rPr>
          <w:color w:val="auto"/>
        </w:rPr>
        <w:t xml:space="preserve">  </w:t>
      </w:r>
      <w:r w:rsidRPr="00F64312">
        <w:rPr>
          <w:color w:val="auto"/>
        </w:rPr>
        <w:t xml:space="preserve">The </w:t>
      </w:r>
      <w:r w:rsidR="007B7644">
        <w:rPr>
          <w:color w:val="auto"/>
        </w:rPr>
        <w:t>Physical Evaluation Board (</w:t>
      </w:r>
      <w:r w:rsidRPr="00F64312">
        <w:rPr>
          <w:color w:val="auto"/>
        </w:rPr>
        <w:t>PEB</w:t>
      </w:r>
      <w:r w:rsidR="007B7644">
        <w:rPr>
          <w:color w:val="auto"/>
        </w:rPr>
        <w:t>)</w:t>
      </w:r>
      <w:r w:rsidRPr="00F64312">
        <w:rPr>
          <w:color w:val="auto"/>
        </w:rPr>
        <w:t xml:space="preserve"> adjudicated the </w:t>
      </w:r>
      <w:r w:rsidR="007B7644">
        <w:rPr>
          <w:color w:val="auto"/>
        </w:rPr>
        <w:t>LBP</w:t>
      </w:r>
      <w:r w:rsidR="006166CC" w:rsidRPr="00A978B6">
        <w:rPr>
          <w:color w:val="auto"/>
        </w:rPr>
        <w:t xml:space="preserve"> </w:t>
      </w:r>
      <w:r w:rsidR="008530E3" w:rsidRPr="00F64312">
        <w:rPr>
          <w:color w:val="auto"/>
        </w:rPr>
        <w:t xml:space="preserve">as unfitting, rated </w:t>
      </w:r>
      <w:r w:rsidR="006166CC">
        <w:rPr>
          <w:color w:val="000000"/>
          <w:szCs w:val="24"/>
        </w:rPr>
        <w:t>10</w:t>
      </w:r>
      <w:r w:rsidR="006166CC" w:rsidRPr="006166CC">
        <w:rPr>
          <w:color w:val="000000"/>
          <w:szCs w:val="24"/>
        </w:rPr>
        <w:t>%</w:t>
      </w:r>
      <w:r w:rsidRPr="006166CC">
        <w:rPr>
          <w:color w:val="auto"/>
        </w:rPr>
        <w:t>,</w:t>
      </w:r>
      <w:r w:rsidRPr="00F64312">
        <w:rPr>
          <w:color w:val="auto"/>
        </w:rPr>
        <w:t xml:space="preserve"> </w:t>
      </w:r>
      <w:r w:rsidR="00E46D90" w:rsidRPr="00F64312">
        <w:rPr>
          <w:color w:val="auto"/>
        </w:rPr>
        <w:t xml:space="preserve">with application of the </w:t>
      </w:r>
      <w:r w:rsidRPr="006166CC">
        <w:rPr>
          <w:color w:val="auto"/>
        </w:rPr>
        <w:t>Veteran</w:t>
      </w:r>
      <w:r w:rsidR="00BF72CA" w:rsidRPr="006166CC">
        <w:rPr>
          <w:color w:val="auto"/>
        </w:rPr>
        <w:t>’</w:t>
      </w:r>
      <w:r w:rsidRPr="006166CC">
        <w:rPr>
          <w:color w:val="auto"/>
        </w:rPr>
        <w:t>s A</w:t>
      </w:r>
      <w:r w:rsidR="00BF72CA" w:rsidRPr="006166CC">
        <w:rPr>
          <w:color w:val="auto"/>
        </w:rPr>
        <w:t>ffairs</w:t>
      </w:r>
      <w:r w:rsidRPr="006166CC">
        <w:rPr>
          <w:color w:val="auto"/>
        </w:rPr>
        <w:t xml:space="preserve"> Schedule for Rating Disabilities (VASRD)</w:t>
      </w:r>
      <w:r w:rsidR="00363179">
        <w:rPr>
          <w:color w:val="auto"/>
        </w:rPr>
        <w:t xml:space="preserve">.  The left ring finger tendon injury was determined to be not separately unfitting by the PEB.  </w:t>
      </w:r>
      <w:r w:rsidRPr="00303AD7">
        <w:rPr>
          <w:color w:val="auto"/>
        </w:rPr>
        <w:t xml:space="preserve">The CI made no appeals, and was medically separated with </w:t>
      </w:r>
      <w:r w:rsidR="00303AD7" w:rsidRPr="00303AD7">
        <w:rPr>
          <w:color w:val="auto"/>
        </w:rPr>
        <w:t>a 10</w:t>
      </w:r>
      <w:r w:rsidR="0066684A" w:rsidRPr="00303AD7">
        <w:rPr>
          <w:color w:val="auto"/>
        </w:rPr>
        <w:t xml:space="preserve">% </w:t>
      </w:r>
      <w:r w:rsidRPr="00303AD7">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3F3E16">
        <w:rPr>
          <w:color w:val="000000"/>
        </w:rPr>
        <w:t>“50% for P.T.S.D by Veterans Affairs. I never claimed it while in the Army because I didn’t know I had it.”</w:t>
      </w:r>
      <w:r w:rsidR="009843D3">
        <w:rPr>
          <w:color w:val="000000"/>
        </w:rPr>
        <w:t xml:space="preserve">  The CI submits VA award letters for PTSD and his hand injury.</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7B7644">
        <w:rPr>
          <w:color w:val="auto"/>
        </w:rPr>
        <w:t>.</w:t>
      </w:r>
      <w:r w:rsidRPr="00C566C9">
        <w:rPr>
          <w:color w:val="auto"/>
        </w:rPr>
        <w:t>”</w:t>
      </w:r>
      <w:r>
        <w:rPr>
          <w:color w:val="auto"/>
        </w:rPr>
        <w:t xml:space="preserve">  </w:t>
      </w:r>
      <w:r w:rsidRPr="009239C0">
        <w:rPr>
          <w:color w:val="auto"/>
        </w:rPr>
        <w:t>The ratings for unfitting conditions will be reviewed in all cases.</w:t>
      </w:r>
      <w:r w:rsidR="00363179">
        <w:rPr>
          <w:color w:val="auto"/>
        </w:rPr>
        <w:t xml:space="preserve">  </w:t>
      </w:r>
      <w:r w:rsidR="00363179" w:rsidRPr="00363179">
        <w:rPr>
          <w:color w:val="auto"/>
        </w:rPr>
        <w:t xml:space="preserve">The left hand condition requested for consideration and the unfitting chronic </w:t>
      </w:r>
      <w:r w:rsidR="007B7644">
        <w:rPr>
          <w:color w:val="auto"/>
        </w:rPr>
        <w:t>LBP</w:t>
      </w:r>
      <w:r w:rsidR="00363179" w:rsidRPr="00363179">
        <w:rPr>
          <w:color w:val="auto"/>
        </w:rPr>
        <w:t xml:space="preserve"> condition meet the criteria prescribed in DoDI 6040.44 for Board purview, and are accordingly addressed below.  </w:t>
      </w:r>
      <w:r w:rsidR="00FA0284" w:rsidRPr="00363179">
        <w:rPr>
          <w:color w:val="auto"/>
        </w:rPr>
        <w:t xml:space="preserve">The other requested </w:t>
      </w:r>
      <w:r w:rsidR="007B7644">
        <w:rPr>
          <w:color w:val="auto"/>
        </w:rPr>
        <w:t>posttraumatic stress disorder (</w:t>
      </w:r>
      <w:r w:rsidR="00363179" w:rsidRPr="00363179">
        <w:rPr>
          <w:color w:val="auto"/>
        </w:rPr>
        <w:t>PTSD</w:t>
      </w:r>
      <w:r w:rsidR="007B7644">
        <w:rPr>
          <w:color w:val="auto"/>
        </w:rPr>
        <w:t>)</w:t>
      </w:r>
      <w:r w:rsidR="00363179" w:rsidRPr="00363179">
        <w:rPr>
          <w:color w:val="auto"/>
        </w:rPr>
        <w:t xml:space="preserve"> </w:t>
      </w:r>
      <w:r w:rsidR="00FA0284" w:rsidRPr="00363179">
        <w:rPr>
          <w:color w:val="auto"/>
        </w:rPr>
        <w:t>condition</w:t>
      </w:r>
      <w:r w:rsidR="00DF460C" w:rsidRPr="00363179">
        <w:rPr>
          <w:color w:val="auto"/>
        </w:rPr>
        <w:t xml:space="preserve"> is</w:t>
      </w:r>
      <w:r w:rsidRPr="00363179">
        <w:rPr>
          <w:color w:val="auto"/>
        </w:rPr>
        <w:t xml:space="preserve"> not within the Board’s purview.</w:t>
      </w:r>
      <w:r w:rsidR="00FA0284" w:rsidRPr="00363179">
        <w:rPr>
          <w:color w:val="auto"/>
        </w:rPr>
        <w:t xml:space="preserve"> </w:t>
      </w:r>
      <w:r w:rsidR="00CE7A02" w:rsidRPr="00363179">
        <w:rPr>
          <w:color w:val="auto"/>
        </w:rPr>
        <w:t xml:space="preserve"> The remaining condition</w:t>
      </w:r>
      <w:r w:rsidR="00FA0284" w:rsidRPr="00363179">
        <w:rPr>
          <w:color w:val="auto"/>
        </w:rPr>
        <w:t>s</w:t>
      </w:r>
      <w:r w:rsidRPr="00363179">
        <w:rPr>
          <w:color w:val="auto"/>
        </w:rPr>
        <w:t xml:space="preserve"> rated by the </w:t>
      </w:r>
      <w:r w:rsidR="007B7644">
        <w:rPr>
          <w:color w:val="auto"/>
        </w:rPr>
        <w:t>Department of Veterans’ Affairs (D</w:t>
      </w:r>
      <w:r w:rsidRPr="00363179">
        <w:rPr>
          <w:color w:val="auto"/>
        </w:rPr>
        <w:t>VA</w:t>
      </w:r>
      <w:r w:rsidR="007B7644">
        <w:rPr>
          <w:color w:val="auto"/>
        </w:rPr>
        <w:t>)</w:t>
      </w:r>
      <w:r w:rsidRPr="00363179">
        <w:rPr>
          <w:color w:val="auto"/>
        </w:rPr>
        <w:t xml:space="preserve"> at separat</w:t>
      </w:r>
      <w:r w:rsidR="00CE7A02" w:rsidRPr="00363179">
        <w:rPr>
          <w:color w:val="auto"/>
        </w:rPr>
        <w:t xml:space="preserve">ion and listed on the </w:t>
      </w:r>
      <w:r w:rsidR="007B7644">
        <w:rPr>
          <w:color w:val="auto"/>
        </w:rPr>
        <w:t xml:space="preserve">DD </w:t>
      </w:r>
      <w:r w:rsidR="00CE7A02" w:rsidRPr="00363179">
        <w:rPr>
          <w:color w:val="auto"/>
        </w:rPr>
        <w:t xml:space="preserve">Form </w:t>
      </w:r>
      <w:r w:rsidRPr="00363179">
        <w:rPr>
          <w:color w:val="auto"/>
        </w:rPr>
        <w:t>294 are not within the Board’s purview.</w:t>
      </w:r>
      <w:r w:rsidRPr="002A3A66">
        <w:rPr>
          <w:color w:val="auto"/>
        </w:rPr>
        <w:t xml:space="preserve"> </w:t>
      </w:r>
      <w:r>
        <w:rPr>
          <w:color w:val="auto"/>
        </w:rPr>
        <w:t xml:space="preserve"> </w:t>
      </w:r>
      <w:r w:rsidRPr="00C566C9">
        <w:rPr>
          <w:color w:val="auto"/>
        </w:rPr>
        <w:t xml:space="preserve">Any </w:t>
      </w:r>
      <w:r w:rsidR="00EA28B5" w:rsidRPr="00C566C9">
        <w:rPr>
          <w:color w:val="auto"/>
        </w:rPr>
        <w:t>contention not requested in this application</w:t>
      </w:r>
      <w:r w:rsidR="00EA28B5">
        <w:rPr>
          <w:color w:val="auto"/>
        </w:rPr>
        <w:t>, or</w:t>
      </w:r>
      <w:r w:rsidR="00EA28B5" w:rsidRPr="00C566C9">
        <w:rPr>
          <w:color w:val="auto"/>
        </w:rPr>
        <w:t xml:space="preserve"> otherwise outside the Board’s defined scope of review</w:t>
      </w:r>
      <w:r w:rsidR="00EA28B5">
        <w:rPr>
          <w:color w:val="auto"/>
        </w:rPr>
        <w:t>, remains</w:t>
      </w:r>
      <w:r w:rsidRPr="00C566C9">
        <w:rPr>
          <w:color w:val="auto"/>
        </w:rPr>
        <w:t xml:space="preserve"> eligible for future consideration by </w:t>
      </w:r>
      <w:r w:rsidRPr="00EA28B5">
        <w:rPr>
          <w:color w:val="auto"/>
        </w:rPr>
        <w:t>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F732DF" w:rsidRDefault="00F732DF">
      <w:pPr>
        <w:spacing w:line="240" w:lineRule="auto"/>
        <w:jc w:val="left"/>
        <w:rPr>
          <w:color w:val="auto"/>
          <w:u w:val="single"/>
        </w:rPr>
      </w:pPr>
    </w:p>
    <w:p w:rsidR="007B7644" w:rsidRDefault="007B7644" w:rsidP="00BF0E94">
      <w:pPr>
        <w:jc w:val="left"/>
        <w:rPr>
          <w:color w:val="auto"/>
          <w:u w:val="single"/>
        </w:rPr>
      </w:pPr>
    </w:p>
    <w:p w:rsidR="007B7644" w:rsidRDefault="007B7644" w:rsidP="00BF0E94">
      <w:pPr>
        <w:jc w:val="left"/>
        <w:rPr>
          <w:color w:val="auto"/>
          <w:u w:val="single"/>
        </w:rPr>
      </w:pPr>
    </w:p>
    <w:p w:rsidR="007B7644" w:rsidRDefault="007B7644" w:rsidP="00BF0E94">
      <w:pPr>
        <w:jc w:val="left"/>
        <w:rPr>
          <w:color w:val="auto"/>
          <w:u w:val="single"/>
        </w:rPr>
      </w:pPr>
    </w:p>
    <w:p w:rsidR="007B7644" w:rsidRDefault="007B7644" w:rsidP="00BF0E94">
      <w:pPr>
        <w:jc w:val="left"/>
        <w:rPr>
          <w:color w:val="auto"/>
          <w:u w:val="single"/>
        </w:rPr>
      </w:pPr>
    </w:p>
    <w:p w:rsidR="007B7644" w:rsidRDefault="007B7644" w:rsidP="00BF0E94">
      <w:pPr>
        <w:jc w:val="left"/>
        <w:rPr>
          <w:color w:val="auto"/>
          <w:u w:val="single"/>
        </w:rPr>
      </w:pPr>
    </w:p>
    <w:p w:rsidR="007B7644" w:rsidRDefault="007B7644" w:rsidP="00BF0E94">
      <w:pPr>
        <w:jc w:val="left"/>
        <w:rPr>
          <w:color w:val="auto"/>
          <w:u w:val="single"/>
        </w:rPr>
      </w:pPr>
    </w:p>
    <w:p w:rsidR="007B7644" w:rsidRDefault="007B7644" w:rsidP="00BF0E94">
      <w:pPr>
        <w:jc w:val="left"/>
        <w:rPr>
          <w:color w:val="auto"/>
          <w:u w:val="single"/>
        </w:rPr>
      </w:pPr>
    </w:p>
    <w:p w:rsidR="007B7644" w:rsidRDefault="007B7644" w:rsidP="00BF0E94">
      <w:pPr>
        <w:jc w:val="left"/>
        <w:rPr>
          <w:color w:val="auto"/>
          <w:u w:val="single"/>
        </w:rPr>
      </w:pPr>
    </w:p>
    <w:p w:rsidR="007B7644" w:rsidRDefault="007B7644" w:rsidP="00BF0E94">
      <w:pPr>
        <w:jc w:val="left"/>
        <w:rPr>
          <w:color w:val="auto"/>
          <w:u w:val="single"/>
        </w:rPr>
      </w:pPr>
    </w:p>
    <w:p w:rsidR="007B7644" w:rsidRDefault="007B7644" w:rsidP="00BF0E94">
      <w:pPr>
        <w:jc w:val="left"/>
        <w:rPr>
          <w:color w:val="auto"/>
          <w:u w:val="single"/>
        </w:rPr>
      </w:pPr>
    </w:p>
    <w:p w:rsidR="007B7644" w:rsidRDefault="007B7644" w:rsidP="00BF0E94">
      <w:pPr>
        <w:jc w:val="left"/>
        <w:rPr>
          <w:color w:val="auto"/>
          <w:u w:val="single"/>
        </w:rPr>
      </w:pPr>
    </w:p>
    <w:p w:rsidR="007B7644" w:rsidRDefault="007B7644"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W w:w="9369" w:type="dxa"/>
        <w:jc w:val="center"/>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9"/>
        <w:gridCol w:w="1080"/>
        <w:gridCol w:w="720"/>
        <w:gridCol w:w="2606"/>
        <w:gridCol w:w="1084"/>
        <w:gridCol w:w="716"/>
        <w:gridCol w:w="994"/>
      </w:tblGrid>
      <w:tr w:rsidR="00F90376" w:rsidRPr="00F64312" w:rsidTr="00F16C45">
        <w:trPr>
          <w:trHeight w:val="170"/>
          <w:jc w:val="center"/>
        </w:trPr>
        <w:tc>
          <w:tcPr>
            <w:tcW w:w="3969" w:type="dxa"/>
            <w:gridSpan w:val="3"/>
            <w:tcBorders>
              <w:right w:val="thinThickThinSmallGap" w:sz="24" w:space="0" w:color="auto"/>
            </w:tcBorders>
            <w:shd w:val="clear" w:color="auto" w:fill="D9D9D9"/>
            <w:vAlign w:val="center"/>
          </w:tcPr>
          <w:p w:rsidR="00F90376" w:rsidRPr="00F16C45" w:rsidRDefault="00F90376" w:rsidP="00485D68">
            <w:pPr>
              <w:spacing w:line="180" w:lineRule="exact"/>
              <w:contextualSpacing/>
              <w:rPr>
                <w:b/>
                <w:color w:val="auto"/>
                <w:sz w:val="18"/>
                <w:szCs w:val="22"/>
              </w:rPr>
            </w:pPr>
            <w:r w:rsidRPr="00F16C45">
              <w:rPr>
                <w:rFonts w:cs="Times New Roman"/>
                <w:b/>
                <w:color w:val="auto"/>
                <w:sz w:val="18"/>
                <w:szCs w:val="22"/>
              </w:rPr>
              <w:t xml:space="preserve">Service PEB – Dated </w:t>
            </w:r>
            <w:r w:rsidRPr="00485D68">
              <w:rPr>
                <w:rFonts w:cs="Times New Roman"/>
                <w:b/>
                <w:color w:val="auto"/>
                <w:sz w:val="18"/>
                <w:szCs w:val="22"/>
              </w:rPr>
              <w:t>200</w:t>
            </w:r>
            <w:r w:rsidR="00485D68" w:rsidRPr="00485D68">
              <w:rPr>
                <w:rFonts w:cs="Times New Roman"/>
                <w:b/>
                <w:color w:val="auto"/>
                <w:sz w:val="18"/>
                <w:szCs w:val="22"/>
              </w:rPr>
              <w:t>60301</w:t>
            </w:r>
          </w:p>
        </w:tc>
        <w:tc>
          <w:tcPr>
            <w:tcW w:w="5400" w:type="dxa"/>
            <w:gridSpan w:val="4"/>
            <w:tcBorders>
              <w:left w:val="thinThickThinSmallGap" w:sz="24" w:space="0" w:color="auto"/>
            </w:tcBorders>
            <w:shd w:val="clear" w:color="auto" w:fill="D9D9D9"/>
            <w:vAlign w:val="center"/>
          </w:tcPr>
          <w:p w:rsidR="00F90376" w:rsidRPr="00F16C45" w:rsidRDefault="00F90376" w:rsidP="00304B36">
            <w:pPr>
              <w:spacing w:line="180" w:lineRule="exact"/>
              <w:contextualSpacing/>
              <w:rPr>
                <w:b/>
                <w:color w:val="auto"/>
                <w:sz w:val="18"/>
                <w:szCs w:val="22"/>
              </w:rPr>
            </w:pPr>
            <w:r w:rsidRPr="00F16C45">
              <w:rPr>
                <w:rFonts w:cs="Times New Roman"/>
                <w:b/>
                <w:color w:val="auto"/>
                <w:sz w:val="18"/>
                <w:szCs w:val="22"/>
              </w:rPr>
              <w:t>VA (</w:t>
            </w:r>
            <w:r w:rsidR="0024723A">
              <w:rPr>
                <w:rFonts w:cs="Times New Roman"/>
                <w:b/>
                <w:color w:val="auto"/>
                <w:sz w:val="18"/>
                <w:szCs w:val="22"/>
              </w:rPr>
              <w:t>~</w:t>
            </w:r>
            <w:r w:rsidR="00304B36">
              <w:rPr>
                <w:rFonts w:cs="Times New Roman"/>
                <w:b/>
                <w:color w:val="auto"/>
                <w:sz w:val="18"/>
                <w:szCs w:val="22"/>
              </w:rPr>
              <w:t>4</w:t>
            </w:r>
            <w:r w:rsidRPr="00F16C45">
              <w:rPr>
                <w:rFonts w:cs="Times New Roman"/>
                <w:b/>
                <w:color w:val="auto"/>
                <w:sz w:val="18"/>
                <w:szCs w:val="22"/>
              </w:rPr>
              <w:t xml:space="preserve"> Mos. </w:t>
            </w:r>
            <w:r w:rsidRPr="0024723A">
              <w:rPr>
                <w:rFonts w:cs="Times New Roman"/>
                <w:b/>
                <w:color w:val="auto"/>
                <w:sz w:val="18"/>
                <w:szCs w:val="22"/>
              </w:rPr>
              <w:t>Post-</w:t>
            </w:r>
            <w:r w:rsidRPr="00F16C45">
              <w:rPr>
                <w:rFonts w:cs="Times New Roman"/>
                <w:b/>
                <w:color w:val="auto"/>
                <w:sz w:val="18"/>
                <w:szCs w:val="22"/>
              </w:rPr>
              <w:t xml:space="preserve">Separation) – All Effective Date </w:t>
            </w:r>
            <w:r w:rsidR="0024723A" w:rsidRPr="0024723A">
              <w:rPr>
                <w:rFonts w:cs="Times New Roman"/>
                <w:b/>
                <w:color w:val="auto"/>
                <w:sz w:val="18"/>
                <w:szCs w:val="22"/>
              </w:rPr>
              <w:t>200604</w:t>
            </w:r>
            <w:r w:rsidR="00304B36">
              <w:rPr>
                <w:rFonts w:cs="Times New Roman"/>
                <w:b/>
                <w:color w:val="auto"/>
                <w:sz w:val="18"/>
                <w:szCs w:val="22"/>
              </w:rPr>
              <w:t>01</w:t>
            </w:r>
          </w:p>
        </w:tc>
      </w:tr>
      <w:tr w:rsidR="00E17EF2" w:rsidRPr="00F64312" w:rsidTr="00304B36">
        <w:trPr>
          <w:trHeight w:val="97"/>
          <w:jc w:val="center"/>
        </w:trPr>
        <w:tc>
          <w:tcPr>
            <w:tcW w:w="2169" w:type="dxa"/>
            <w:tcBorders>
              <w:bottom w:val="single" w:sz="4" w:space="0" w:color="000000"/>
              <w:right w:val="single" w:sz="4" w:space="0" w:color="auto"/>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Condition</w:t>
            </w:r>
          </w:p>
        </w:tc>
        <w:tc>
          <w:tcPr>
            <w:tcW w:w="1080" w:type="dxa"/>
            <w:tcBorders>
              <w:left w:val="single" w:sz="4" w:space="0" w:color="auto"/>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Code</w:t>
            </w:r>
          </w:p>
        </w:tc>
        <w:tc>
          <w:tcPr>
            <w:tcW w:w="720" w:type="dxa"/>
            <w:tcBorders>
              <w:bottom w:val="single" w:sz="4" w:space="0" w:color="000000"/>
              <w:right w:val="thinThickThinSmallGap" w:sz="24" w:space="0" w:color="auto"/>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Rating</w:t>
            </w:r>
          </w:p>
        </w:tc>
        <w:tc>
          <w:tcPr>
            <w:tcW w:w="2606" w:type="dxa"/>
            <w:tcBorders>
              <w:left w:val="thinThickThinSmallGap" w:sz="24" w:space="0" w:color="auto"/>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Condition</w:t>
            </w:r>
          </w:p>
        </w:tc>
        <w:tc>
          <w:tcPr>
            <w:tcW w:w="1084" w:type="dxa"/>
            <w:tcBorders>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Code</w:t>
            </w:r>
          </w:p>
        </w:tc>
        <w:tc>
          <w:tcPr>
            <w:tcW w:w="716" w:type="dxa"/>
            <w:tcBorders>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Rating</w:t>
            </w:r>
          </w:p>
        </w:tc>
        <w:tc>
          <w:tcPr>
            <w:tcW w:w="994" w:type="dxa"/>
            <w:tcBorders>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Exam</w:t>
            </w:r>
          </w:p>
        </w:tc>
      </w:tr>
      <w:tr w:rsidR="00E17EF2" w:rsidRPr="00F64312" w:rsidTr="00304B36">
        <w:trPr>
          <w:trHeight w:val="118"/>
          <w:jc w:val="center"/>
        </w:trPr>
        <w:tc>
          <w:tcPr>
            <w:tcW w:w="2169" w:type="dxa"/>
            <w:tcBorders>
              <w:right w:val="single" w:sz="4" w:space="0" w:color="auto"/>
            </w:tcBorders>
            <w:shd w:val="clear" w:color="auto" w:fill="FFFFFF"/>
            <w:vAlign w:val="center"/>
          </w:tcPr>
          <w:p w:rsidR="00F90376" w:rsidRPr="00F16C45" w:rsidRDefault="00485D68" w:rsidP="00363179">
            <w:pPr>
              <w:spacing w:line="180" w:lineRule="exact"/>
              <w:contextualSpacing/>
              <w:jc w:val="left"/>
              <w:rPr>
                <w:color w:val="auto"/>
                <w:sz w:val="18"/>
                <w:szCs w:val="22"/>
              </w:rPr>
            </w:pPr>
            <w:r w:rsidRPr="00485D68">
              <w:rPr>
                <w:color w:val="auto"/>
                <w:sz w:val="18"/>
                <w:szCs w:val="22"/>
              </w:rPr>
              <w:t xml:space="preserve">Chronic Low Back Pain </w:t>
            </w:r>
          </w:p>
        </w:tc>
        <w:tc>
          <w:tcPr>
            <w:tcW w:w="1080" w:type="dxa"/>
            <w:tcBorders>
              <w:left w:val="single" w:sz="4" w:space="0" w:color="auto"/>
            </w:tcBorders>
            <w:shd w:val="clear" w:color="auto" w:fill="FFFFFF"/>
            <w:vAlign w:val="center"/>
          </w:tcPr>
          <w:p w:rsidR="00F90376" w:rsidRPr="00F16C45" w:rsidRDefault="00485D68" w:rsidP="00F16C45">
            <w:pPr>
              <w:spacing w:line="180" w:lineRule="exact"/>
              <w:contextualSpacing/>
              <w:rPr>
                <w:color w:val="auto"/>
                <w:sz w:val="18"/>
                <w:szCs w:val="22"/>
              </w:rPr>
            </w:pPr>
            <w:r w:rsidRPr="00485D68">
              <w:rPr>
                <w:color w:val="auto"/>
                <w:sz w:val="18"/>
                <w:szCs w:val="22"/>
              </w:rPr>
              <w:t>5299-5242</w:t>
            </w:r>
          </w:p>
        </w:tc>
        <w:tc>
          <w:tcPr>
            <w:tcW w:w="720" w:type="dxa"/>
            <w:tcBorders>
              <w:right w:val="thinThickThinSmallGap" w:sz="24" w:space="0" w:color="auto"/>
            </w:tcBorders>
            <w:shd w:val="clear" w:color="auto" w:fill="FFFFFF"/>
            <w:vAlign w:val="center"/>
          </w:tcPr>
          <w:p w:rsidR="00F90376" w:rsidRPr="00F16C45" w:rsidRDefault="00485D68" w:rsidP="00F16C45">
            <w:pPr>
              <w:spacing w:line="180" w:lineRule="exact"/>
              <w:rPr>
                <w:color w:val="auto"/>
                <w:sz w:val="18"/>
                <w:szCs w:val="22"/>
              </w:rPr>
            </w:pPr>
            <w:r w:rsidRPr="00485D68">
              <w:rPr>
                <w:color w:val="auto"/>
                <w:sz w:val="18"/>
                <w:szCs w:val="22"/>
              </w:rPr>
              <w:t>10%</w:t>
            </w:r>
          </w:p>
        </w:tc>
        <w:tc>
          <w:tcPr>
            <w:tcW w:w="2606" w:type="dxa"/>
            <w:tcBorders>
              <w:left w:val="thinThickThinSmallGap" w:sz="24" w:space="0" w:color="auto"/>
            </w:tcBorders>
            <w:shd w:val="clear" w:color="auto" w:fill="FFFFFF"/>
            <w:vAlign w:val="center"/>
          </w:tcPr>
          <w:p w:rsidR="00F90376" w:rsidRPr="00F16C45" w:rsidRDefault="00485D68" w:rsidP="00F16C45">
            <w:pPr>
              <w:spacing w:line="180" w:lineRule="exact"/>
              <w:contextualSpacing/>
              <w:jc w:val="left"/>
              <w:rPr>
                <w:color w:val="auto"/>
                <w:sz w:val="18"/>
                <w:szCs w:val="22"/>
              </w:rPr>
            </w:pPr>
            <w:r w:rsidRPr="00485D68">
              <w:rPr>
                <w:color w:val="auto"/>
                <w:sz w:val="18"/>
                <w:szCs w:val="22"/>
              </w:rPr>
              <w:t>Low Back Strain</w:t>
            </w:r>
          </w:p>
        </w:tc>
        <w:tc>
          <w:tcPr>
            <w:tcW w:w="1084" w:type="dxa"/>
            <w:shd w:val="clear" w:color="auto" w:fill="FFFFFF"/>
            <w:vAlign w:val="center"/>
          </w:tcPr>
          <w:p w:rsidR="00F90376" w:rsidRPr="00F16C45" w:rsidRDefault="00485D68" w:rsidP="00F16C45">
            <w:pPr>
              <w:spacing w:line="180" w:lineRule="exact"/>
              <w:contextualSpacing/>
              <w:rPr>
                <w:color w:val="auto"/>
                <w:sz w:val="18"/>
                <w:szCs w:val="22"/>
              </w:rPr>
            </w:pPr>
            <w:r w:rsidRPr="00485D68">
              <w:rPr>
                <w:color w:val="auto"/>
                <w:sz w:val="18"/>
                <w:szCs w:val="22"/>
              </w:rPr>
              <w:t>5237</w:t>
            </w:r>
          </w:p>
        </w:tc>
        <w:tc>
          <w:tcPr>
            <w:tcW w:w="716" w:type="dxa"/>
            <w:shd w:val="clear" w:color="auto" w:fill="FFFFFF"/>
            <w:vAlign w:val="center"/>
          </w:tcPr>
          <w:p w:rsidR="00F90376" w:rsidRPr="00F16C45" w:rsidRDefault="00485D68" w:rsidP="00A31FD5">
            <w:pPr>
              <w:spacing w:line="180" w:lineRule="exact"/>
              <w:contextualSpacing/>
              <w:rPr>
                <w:color w:val="auto"/>
                <w:sz w:val="18"/>
                <w:szCs w:val="22"/>
              </w:rPr>
            </w:pPr>
            <w:r w:rsidRPr="00485D68">
              <w:rPr>
                <w:color w:val="auto"/>
                <w:sz w:val="18"/>
                <w:szCs w:val="22"/>
              </w:rPr>
              <w:t>20%</w:t>
            </w:r>
            <w:r w:rsidR="00B2296B">
              <w:rPr>
                <w:color w:val="auto"/>
                <w:sz w:val="18"/>
                <w:szCs w:val="22"/>
              </w:rPr>
              <w:t>**</w:t>
            </w:r>
          </w:p>
        </w:tc>
        <w:tc>
          <w:tcPr>
            <w:tcW w:w="994" w:type="dxa"/>
            <w:shd w:val="clear" w:color="auto" w:fill="FFFFFF"/>
            <w:vAlign w:val="center"/>
          </w:tcPr>
          <w:p w:rsidR="00F90376" w:rsidRPr="00F16C45" w:rsidRDefault="00304B36" w:rsidP="00F16C45">
            <w:pPr>
              <w:spacing w:line="180" w:lineRule="exact"/>
              <w:contextualSpacing/>
              <w:rPr>
                <w:color w:val="auto"/>
                <w:sz w:val="18"/>
                <w:szCs w:val="22"/>
              </w:rPr>
            </w:pPr>
            <w:r>
              <w:rPr>
                <w:color w:val="auto"/>
                <w:sz w:val="18"/>
                <w:szCs w:val="22"/>
              </w:rPr>
              <w:t>20060723</w:t>
            </w:r>
          </w:p>
        </w:tc>
      </w:tr>
      <w:tr w:rsidR="00485D68" w:rsidRPr="00F64312" w:rsidTr="00304B36">
        <w:trPr>
          <w:trHeight w:val="118"/>
          <w:jc w:val="center"/>
        </w:trPr>
        <w:tc>
          <w:tcPr>
            <w:tcW w:w="2169" w:type="dxa"/>
            <w:tcBorders>
              <w:right w:val="single" w:sz="4" w:space="0" w:color="auto"/>
            </w:tcBorders>
            <w:shd w:val="clear" w:color="auto" w:fill="FFFFFF"/>
            <w:vAlign w:val="center"/>
          </w:tcPr>
          <w:p w:rsidR="00485D68" w:rsidRPr="00F16C45" w:rsidRDefault="00485D68" w:rsidP="00F16C45">
            <w:pPr>
              <w:spacing w:line="180" w:lineRule="exact"/>
              <w:contextualSpacing/>
              <w:jc w:val="left"/>
              <w:rPr>
                <w:rFonts w:cs="Times New Roman"/>
                <w:color w:val="auto"/>
                <w:sz w:val="18"/>
                <w:szCs w:val="22"/>
              </w:rPr>
            </w:pPr>
            <w:r w:rsidRPr="00485D68">
              <w:rPr>
                <w:rFonts w:cs="Times New Roman"/>
                <w:color w:val="auto"/>
                <w:sz w:val="18"/>
                <w:szCs w:val="22"/>
              </w:rPr>
              <w:t xml:space="preserve">Left Flexor Digitorum Profundus </w:t>
            </w:r>
            <w:r w:rsidR="00FD5ED3" w:rsidRPr="00485D68">
              <w:rPr>
                <w:rFonts w:cs="Times New Roman"/>
                <w:color w:val="auto"/>
                <w:sz w:val="18"/>
                <w:szCs w:val="22"/>
              </w:rPr>
              <w:t>Rupture</w:t>
            </w:r>
            <w:r w:rsidRPr="00485D68">
              <w:rPr>
                <w:rFonts w:cs="Times New Roman"/>
                <w:color w:val="auto"/>
                <w:sz w:val="18"/>
                <w:szCs w:val="22"/>
              </w:rPr>
              <w:t xml:space="preserve"> with Tendon Transplant Repair</w:t>
            </w:r>
          </w:p>
        </w:tc>
        <w:tc>
          <w:tcPr>
            <w:tcW w:w="1800" w:type="dxa"/>
            <w:gridSpan w:val="2"/>
            <w:tcBorders>
              <w:left w:val="single" w:sz="4" w:space="0" w:color="auto"/>
              <w:right w:val="thinThickThinSmallGap" w:sz="24" w:space="0" w:color="auto"/>
            </w:tcBorders>
            <w:shd w:val="clear" w:color="auto" w:fill="FFFFFF"/>
            <w:vAlign w:val="center"/>
          </w:tcPr>
          <w:p w:rsidR="00485D68" w:rsidRPr="00F16C45" w:rsidRDefault="00485D68" w:rsidP="00F16C45">
            <w:pPr>
              <w:spacing w:line="180" w:lineRule="exact"/>
              <w:rPr>
                <w:rFonts w:cs="Times New Roman"/>
                <w:color w:val="auto"/>
                <w:sz w:val="18"/>
                <w:szCs w:val="22"/>
              </w:rPr>
            </w:pPr>
            <w:r w:rsidRPr="00485D68">
              <w:rPr>
                <w:rFonts w:cs="Times New Roman"/>
                <w:color w:val="auto"/>
                <w:sz w:val="18"/>
                <w:szCs w:val="22"/>
              </w:rPr>
              <w:t xml:space="preserve">Not Unfitting  </w:t>
            </w:r>
          </w:p>
        </w:tc>
        <w:tc>
          <w:tcPr>
            <w:tcW w:w="2606" w:type="dxa"/>
            <w:tcBorders>
              <w:left w:val="thinThickThinSmallGap" w:sz="24" w:space="0" w:color="auto"/>
            </w:tcBorders>
            <w:shd w:val="clear" w:color="auto" w:fill="FFFFFF"/>
            <w:vAlign w:val="center"/>
          </w:tcPr>
          <w:p w:rsidR="00485D68" w:rsidRPr="00F16C45" w:rsidRDefault="00304B36" w:rsidP="00304B36">
            <w:pPr>
              <w:spacing w:line="180" w:lineRule="exact"/>
              <w:contextualSpacing/>
              <w:jc w:val="left"/>
              <w:rPr>
                <w:rFonts w:cs="Times New Roman"/>
                <w:color w:val="auto"/>
                <w:sz w:val="18"/>
                <w:szCs w:val="22"/>
              </w:rPr>
            </w:pPr>
            <w:r>
              <w:rPr>
                <w:rFonts w:cs="Times New Roman"/>
                <w:color w:val="auto"/>
                <w:sz w:val="18"/>
                <w:szCs w:val="22"/>
              </w:rPr>
              <w:t>Residuals, Ruptured Flexor Tendon, L Ring Finger, s/p Repair</w:t>
            </w:r>
          </w:p>
        </w:tc>
        <w:tc>
          <w:tcPr>
            <w:tcW w:w="1084" w:type="dxa"/>
            <w:shd w:val="clear" w:color="auto" w:fill="FFFFFF"/>
            <w:vAlign w:val="center"/>
          </w:tcPr>
          <w:p w:rsidR="00485D68" w:rsidRPr="00F16C45" w:rsidRDefault="00304B36" w:rsidP="00F16C45">
            <w:pPr>
              <w:spacing w:line="180" w:lineRule="exact"/>
              <w:contextualSpacing/>
              <w:rPr>
                <w:rFonts w:cs="Times New Roman"/>
                <w:color w:val="auto"/>
                <w:sz w:val="18"/>
                <w:szCs w:val="22"/>
              </w:rPr>
            </w:pPr>
            <w:r>
              <w:rPr>
                <w:rFonts w:cs="Times New Roman"/>
                <w:color w:val="auto"/>
                <w:sz w:val="18"/>
                <w:szCs w:val="22"/>
              </w:rPr>
              <w:t>5230</w:t>
            </w:r>
          </w:p>
        </w:tc>
        <w:tc>
          <w:tcPr>
            <w:tcW w:w="716" w:type="dxa"/>
            <w:shd w:val="clear" w:color="auto" w:fill="FFFFFF"/>
            <w:vAlign w:val="center"/>
          </w:tcPr>
          <w:p w:rsidR="00485D68" w:rsidRPr="00F16C45" w:rsidRDefault="00485D68" w:rsidP="00F16C45">
            <w:pPr>
              <w:spacing w:line="180" w:lineRule="exact"/>
              <w:contextualSpacing/>
              <w:rPr>
                <w:rFonts w:cs="Times New Roman"/>
                <w:color w:val="auto"/>
                <w:sz w:val="18"/>
                <w:szCs w:val="22"/>
              </w:rPr>
            </w:pPr>
            <w:r w:rsidRPr="00485D68">
              <w:rPr>
                <w:rFonts w:cs="Times New Roman"/>
                <w:color w:val="auto"/>
                <w:sz w:val="18"/>
                <w:szCs w:val="22"/>
              </w:rPr>
              <w:t>0%</w:t>
            </w:r>
          </w:p>
        </w:tc>
        <w:tc>
          <w:tcPr>
            <w:tcW w:w="994" w:type="dxa"/>
            <w:shd w:val="clear" w:color="auto" w:fill="FFFFFF"/>
            <w:vAlign w:val="center"/>
          </w:tcPr>
          <w:p w:rsidR="00485D68" w:rsidRPr="00F16C45" w:rsidRDefault="00304B36" w:rsidP="00F16C45">
            <w:pPr>
              <w:spacing w:line="180" w:lineRule="exact"/>
              <w:contextualSpacing/>
              <w:rPr>
                <w:rFonts w:cs="Times New Roman"/>
                <w:color w:val="auto"/>
                <w:sz w:val="18"/>
                <w:szCs w:val="22"/>
                <w:highlight w:val="yellow"/>
              </w:rPr>
            </w:pPr>
            <w:r>
              <w:rPr>
                <w:color w:val="auto"/>
                <w:sz w:val="18"/>
                <w:szCs w:val="22"/>
              </w:rPr>
              <w:t>20060723</w:t>
            </w:r>
          </w:p>
        </w:tc>
      </w:tr>
      <w:tr w:rsidR="00A31FD5" w:rsidRPr="00F64312" w:rsidTr="004576F7">
        <w:trPr>
          <w:trHeight w:val="118"/>
          <w:jc w:val="center"/>
        </w:trPr>
        <w:tc>
          <w:tcPr>
            <w:tcW w:w="3969" w:type="dxa"/>
            <w:gridSpan w:val="3"/>
            <w:vMerge w:val="restart"/>
            <w:tcBorders>
              <w:right w:val="thinThickThinSmallGap" w:sz="24" w:space="0" w:color="auto"/>
            </w:tcBorders>
            <w:shd w:val="clear" w:color="auto" w:fill="FFFFFF"/>
            <w:vAlign w:val="center"/>
          </w:tcPr>
          <w:p w:rsidR="00A31FD5" w:rsidRPr="00485D68" w:rsidRDefault="00A31FD5" w:rsidP="00F16C45">
            <w:pPr>
              <w:spacing w:line="180" w:lineRule="exact"/>
              <w:rPr>
                <w:rFonts w:cs="Times New Roman"/>
                <w:color w:val="auto"/>
                <w:sz w:val="18"/>
                <w:szCs w:val="22"/>
              </w:rPr>
            </w:pPr>
            <w:r w:rsidRPr="00F16C45">
              <w:rPr>
                <w:color w:val="auto"/>
                <w:sz w:val="18"/>
                <w:szCs w:val="18"/>
              </w:rPr>
              <w:t>↓No Additional MEB/PEB Entries↓</w:t>
            </w:r>
          </w:p>
          <w:p w:rsidR="00A31FD5" w:rsidRDefault="00A31FD5" w:rsidP="00F16C45">
            <w:pPr>
              <w:spacing w:line="180" w:lineRule="exact"/>
              <w:contextualSpacing/>
              <w:rPr>
                <w:color w:val="auto"/>
                <w:sz w:val="18"/>
                <w:szCs w:val="18"/>
              </w:rPr>
            </w:pPr>
          </w:p>
          <w:p w:rsidR="00A31FD5" w:rsidRPr="00485D68" w:rsidRDefault="00A31FD5" w:rsidP="00F16C45">
            <w:pPr>
              <w:spacing w:line="180" w:lineRule="exact"/>
              <w:contextualSpacing/>
              <w:rPr>
                <w:rFonts w:cs="Times New Roman"/>
                <w:color w:val="auto"/>
                <w:sz w:val="18"/>
                <w:szCs w:val="22"/>
              </w:rPr>
            </w:pPr>
          </w:p>
        </w:tc>
        <w:tc>
          <w:tcPr>
            <w:tcW w:w="2606" w:type="dxa"/>
            <w:tcBorders>
              <w:left w:val="thinThickThinSmallGap" w:sz="24" w:space="0" w:color="auto"/>
            </w:tcBorders>
            <w:shd w:val="clear" w:color="auto" w:fill="FFFFFF"/>
            <w:vAlign w:val="center"/>
          </w:tcPr>
          <w:p w:rsidR="00A31FD5" w:rsidRPr="00485D68" w:rsidRDefault="00A31FD5" w:rsidP="00304B36">
            <w:pPr>
              <w:spacing w:line="180" w:lineRule="exact"/>
              <w:contextualSpacing/>
              <w:jc w:val="left"/>
              <w:rPr>
                <w:rFonts w:cs="Times New Roman"/>
                <w:color w:val="auto"/>
                <w:sz w:val="18"/>
                <w:szCs w:val="22"/>
              </w:rPr>
            </w:pPr>
            <w:r>
              <w:rPr>
                <w:rFonts w:cs="Times New Roman"/>
                <w:color w:val="auto"/>
                <w:sz w:val="18"/>
                <w:szCs w:val="22"/>
              </w:rPr>
              <w:t>Scars L Ring Finger, Forearm</w:t>
            </w:r>
          </w:p>
        </w:tc>
        <w:tc>
          <w:tcPr>
            <w:tcW w:w="1084" w:type="dxa"/>
            <w:shd w:val="clear" w:color="auto" w:fill="FFFFFF"/>
            <w:vAlign w:val="center"/>
          </w:tcPr>
          <w:p w:rsidR="00A31FD5" w:rsidRPr="00485D68" w:rsidRDefault="00A31FD5" w:rsidP="00F16C45">
            <w:pPr>
              <w:spacing w:line="180" w:lineRule="exact"/>
              <w:contextualSpacing/>
              <w:rPr>
                <w:rFonts w:cs="Times New Roman"/>
                <w:color w:val="auto"/>
                <w:sz w:val="18"/>
                <w:szCs w:val="22"/>
              </w:rPr>
            </w:pPr>
            <w:r>
              <w:rPr>
                <w:rFonts w:cs="Times New Roman"/>
                <w:color w:val="auto"/>
                <w:sz w:val="18"/>
                <w:szCs w:val="22"/>
              </w:rPr>
              <w:t>7804</w:t>
            </w:r>
          </w:p>
        </w:tc>
        <w:tc>
          <w:tcPr>
            <w:tcW w:w="716" w:type="dxa"/>
            <w:shd w:val="clear" w:color="auto" w:fill="FFFFFF"/>
            <w:vAlign w:val="center"/>
          </w:tcPr>
          <w:p w:rsidR="00A31FD5" w:rsidRPr="00485D68" w:rsidRDefault="00A31FD5" w:rsidP="00F16C45">
            <w:pPr>
              <w:spacing w:line="180" w:lineRule="exact"/>
              <w:contextualSpacing/>
              <w:rPr>
                <w:rFonts w:cs="Times New Roman"/>
                <w:color w:val="auto"/>
                <w:sz w:val="18"/>
                <w:szCs w:val="22"/>
              </w:rPr>
            </w:pPr>
            <w:r>
              <w:rPr>
                <w:rFonts w:cs="Times New Roman"/>
                <w:color w:val="auto"/>
                <w:sz w:val="18"/>
                <w:szCs w:val="22"/>
              </w:rPr>
              <w:t>10%</w:t>
            </w:r>
          </w:p>
        </w:tc>
        <w:tc>
          <w:tcPr>
            <w:tcW w:w="994" w:type="dxa"/>
            <w:shd w:val="clear" w:color="auto" w:fill="FFFFFF"/>
            <w:vAlign w:val="center"/>
          </w:tcPr>
          <w:p w:rsidR="00A31FD5" w:rsidRPr="00485D68" w:rsidRDefault="00A31FD5" w:rsidP="00F16C45">
            <w:pPr>
              <w:spacing w:line="180" w:lineRule="exact"/>
              <w:contextualSpacing/>
              <w:rPr>
                <w:rFonts w:cs="Times New Roman"/>
                <w:color w:val="auto"/>
                <w:sz w:val="18"/>
                <w:szCs w:val="22"/>
              </w:rPr>
            </w:pPr>
            <w:r>
              <w:rPr>
                <w:color w:val="auto"/>
                <w:sz w:val="18"/>
                <w:szCs w:val="22"/>
              </w:rPr>
              <w:t>20060723</w:t>
            </w:r>
          </w:p>
        </w:tc>
      </w:tr>
      <w:tr w:rsidR="00A31FD5" w:rsidRPr="00F64312" w:rsidTr="00304B36">
        <w:trPr>
          <w:trHeight w:val="118"/>
          <w:jc w:val="center"/>
        </w:trPr>
        <w:tc>
          <w:tcPr>
            <w:tcW w:w="3969" w:type="dxa"/>
            <w:gridSpan w:val="3"/>
            <w:vMerge/>
            <w:tcBorders>
              <w:right w:val="thinThickThinSmallGap" w:sz="24" w:space="0" w:color="auto"/>
            </w:tcBorders>
            <w:shd w:val="clear" w:color="auto" w:fill="FFFFFF"/>
            <w:vAlign w:val="center"/>
          </w:tcPr>
          <w:p w:rsidR="00A31FD5" w:rsidRDefault="00A31FD5" w:rsidP="00F16C45">
            <w:pPr>
              <w:spacing w:line="180" w:lineRule="exact"/>
              <w:contextualSpacing/>
              <w:rPr>
                <w:color w:val="auto"/>
                <w:sz w:val="18"/>
                <w:szCs w:val="18"/>
              </w:rPr>
            </w:pPr>
          </w:p>
        </w:tc>
        <w:tc>
          <w:tcPr>
            <w:tcW w:w="2606" w:type="dxa"/>
            <w:tcBorders>
              <w:left w:val="thinThickThinSmallGap" w:sz="24" w:space="0" w:color="auto"/>
            </w:tcBorders>
            <w:shd w:val="clear" w:color="auto" w:fill="FFFFFF"/>
            <w:vAlign w:val="center"/>
          </w:tcPr>
          <w:p w:rsidR="00A31FD5" w:rsidRDefault="00A31FD5" w:rsidP="00140883">
            <w:pPr>
              <w:spacing w:line="180" w:lineRule="exact"/>
              <w:jc w:val="left"/>
              <w:rPr>
                <w:color w:val="000000"/>
                <w:sz w:val="18"/>
                <w:szCs w:val="18"/>
              </w:rPr>
            </w:pPr>
            <w:r>
              <w:rPr>
                <w:color w:val="000000"/>
                <w:sz w:val="18"/>
                <w:szCs w:val="18"/>
              </w:rPr>
              <w:t>Donor Site Scar Left Ankle</w:t>
            </w:r>
          </w:p>
        </w:tc>
        <w:tc>
          <w:tcPr>
            <w:tcW w:w="1084" w:type="dxa"/>
            <w:shd w:val="clear" w:color="auto" w:fill="FFFFFF"/>
            <w:vAlign w:val="center"/>
          </w:tcPr>
          <w:p w:rsidR="00A31FD5" w:rsidRDefault="00A31FD5" w:rsidP="00140883">
            <w:pPr>
              <w:spacing w:line="180" w:lineRule="exact"/>
              <w:rPr>
                <w:color w:val="000000"/>
                <w:sz w:val="18"/>
                <w:szCs w:val="18"/>
              </w:rPr>
            </w:pPr>
            <w:r>
              <w:rPr>
                <w:color w:val="000000"/>
                <w:sz w:val="18"/>
                <w:szCs w:val="18"/>
              </w:rPr>
              <w:t>7804</w:t>
            </w:r>
          </w:p>
        </w:tc>
        <w:tc>
          <w:tcPr>
            <w:tcW w:w="716" w:type="dxa"/>
            <w:shd w:val="clear" w:color="auto" w:fill="FFFFFF"/>
            <w:vAlign w:val="center"/>
          </w:tcPr>
          <w:p w:rsidR="00A31FD5" w:rsidRDefault="00A31FD5" w:rsidP="00140883">
            <w:pPr>
              <w:spacing w:line="180" w:lineRule="exact"/>
              <w:rPr>
                <w:color w:val="000000"/>
                <w:sz w:val="18"/>
                <w:szCs w:val="18"/>
              </w:rPr>
            </w:pPr>
            <w:r>
              <w:rPr>
                <w:rFonts w:eastAsia="Calibri"/>
                <w:color w:val="000000"/>
                <w:sz w:val="18"/>
                <w:szCs w:val="18"/>
              </w:rPr>
              <w:t>10%</w:t>
            </w:r>
          </w:p>
        </w:tc>
        <w:tc>
          <w:tcPr>
            <w:tcW w:w="994" w:type="dxa"/>
            <w:shd w:val="clear" w:color="auto" w:fill="FFFFFF"/>
            <w:vAlign w:val="center"/>
          </w:tcPr>
          <w:p w:rsidR="00A31FD5" w:rsidRDefault="00A31FD5" w:rsidP="00140883">
            <w:pPr>
              <w:spacing w:line="180" w:lineRule="exact"/>
              <w:rPr>
                <w:color w:val="000000"/>
                <w:sz w:val="18"/>
                <w:szCs w:val="18"/>
                <w:highlight w:val="yellow"/>
              </w:rPr>
            </w:pPr>
            <w:r>
              <w:rPr>
                <w:color w:val="auto"/>
                <w:sz w:val="18"/>
                <w:szCs w:val="22"/>
              </w:rPr>
              <w:t>20060723</w:t>
            </w:r>
          </w:p>
        </w:tc>
      </w:tr>
      <w:tr w:rsidR="00A31FD5" w:rsidRPr="00F64312" w:rsidTr="00304B36">
        <w:trPr>
          <w:trHeight w:val="118"/>
          <w:jc w:val="center"/>
        </w:trPr>
        <w:tc>
          <w:tcPr>
            <w:tcW w:w="3969" w:type="dxa"/>
            <w:gridSpan w:val="3"/>
            <w:vMerge/>
            <w:tcBorders>
              <w:right w:val="thinThickThinSmallGap" w:sz="24" w:space="0" w:color="auto"/>
            </w:tcBorders>
            <w:shd w:val="clear" w:color="auto" w:fill="FFFFFF"/>
            <w:vAlign w:val="center"/>
          </w:tcPr>
          <w:p w:rsidR="00A31FD5" w:rsidRPr="00F16C45" w:rsidRDefault="00A31FD5" w:rsidP="00F16C45">
            <w:pPr>
              <w:spacing w:line="180" w:lineRule="exact"/>
              <w:contextualSpacing/>
              <w:rPr>
                <w:rFonts w:cs="Times New Roman"/>
                <w:color w:val="auto"/>
                <w:sz w:val="18"/>
                <w:szCs w:val="22"/>
              </w:rPr>
            </w:pPr>
          </w:p>
        </w:tc>
        <w:tc>
          <w:tcPr>
            <w:tcW w:w="2606" w:type="dxa"/>
            <w:tcBorders>
              <w:left w:val="thinThickThinSmallGap" w:sz="24" w:space="0" w:color="auto"/>
            </w:tcBorders>
            <w:shd w:val="clear" w:color="auto" w:fill="FFFFFF"/>
            <w:vAlign w:val="center"/>
          </w:tcPr>
          <w:p w:rsidR="00A31FD5" w:rsidRDefault="00A31FD5" w:rsidP="00485D68">
            <w:pPr>
              <w:spacing w:line="180" w:lineRule="exact"/>
              <w:jc w:val="left"/>
              <w:rPr>
                <w:color w:val="000000"/>
                <w:sz w:val="18"/>
                <w:szCs w:val="18"/>
              </w:rPr>
            </w:pPr>
            <w:r>
              <w:rPr>
                <w:rFonts w:eastAsia="Calibri"/>
                <w:color w:val="000000"/>
                <w:sz w:val="18"/>
                <w:szCs w:val="18"/>
              </w:rPr>
              <w:t>Left Knee PFS</w:t>
            </w:r>
          </w:p>
        </w:tc>
        <w:tc>
          <w:tcPr>
            <w:tcW w:w="1084" w:type="dxa"/>
            <w:shd w:val="clear" w:color="auto" w:fill="FFFFFF"/>
            <w:vAlign w:val="center"/>
          </w:tcPr>
          <w:p w:rsidR="00A31FD5" w:rsidRDefault="00A31FD5" w:rsidP="00485D68">
            <w:pPr>
              <w:spacing w:line="180" w:lineRule="exact"/>
              <w:rPr>
                <w:color w:val="000000"/>
                <w:sz w:val="18"/>
                <w:szCs w:val="18"/>
              </w:rPr>
            </w:pPr>
            <w:r>
              <w:rPr>
                <w:rFonts w:eastAsia="Calibri"/>
                <w:color w:val="000000"/>
                <w:sz w:val="18"/>
                <w:szCs w:val="18"/>
              </w:rPr>
              <w:t>5099-5024</w:t>
            </w:r>
          </w:p>
        </w:tc>
        <w:tc>
          <w:tcPr>
            <w:tcW w:w="716" w:type="dxa"/>
            <w:shd w:val="clear" w:color="auto" w:fill="FFFFFF"/>
            <w:vAlign w:val="center"/>
          </w:tcPr>
          <w:p w:rsidR="00A31FD5" w:rsidRDefault="00A31FD5" w:rsidP="00485D68">
            <w:pPr>
              <w:spacing w:line="180" w:lineRule="exact"/>
              <w:rPr>
                <w:color w:val="000000"/>
                <w:sz w:val="18"/>
                <w:szCs w:val="18"/>
              </w:rPr>
            </w:pPr>
            <w:r>
              <w:rPr>
                <w:rFonts w:eastAsia="Calibri"/>
                <w:color w:val="000000"/>
                <w:sz w:val="18"/>
                <w:szCs w:val="18"/>
              </w:rPr>
              <w:t>10%</w:t>
            </w:r>
          </w:p>
        </w:tc>
        <w:tc>
          <w:tcPr>
            <w:tcW w:w="994" w:type="dxa"/>
            <w:shd w:val="clear" w:color="auto" w:fill="FFFFFF"/>
            <w:vAlign w:val="center"/>
          </w:tcPr>
          <w:p w:rsidR="00A31FD5" w:rsidRDefault="00A31FD5" w:rsidP="00485D68">
            <w:pPr>
              <w:spacing w:line="180" w:lineRule="exact"/>
              <w:rPr>
                <w:color w:val="000000"/>
                <w:sz w:val="18"/>
                <w:szCs w:val="18"/>
              </w:rPr>
            </w:pPr>
            <w:r>
              <w:rPr>
                <w:color w:val="auto"/>
                <w:sz w:val="18"/>
                <w:szCs w:val="22"/>
              </w:rPr>
              <w:t>20060723</w:t>
            </w:r>
          </w:p>
        </w:tc>
      </w:tr>
      <w:tr w:rsidR="00A31FD5" w:rsidRPr="00F64312" w:rsidTr="00304B36">
        <w:trPr>
          <w:trHeight w:val="118"/>
          <w:jc w:val="center"/>
        </w:trPr>
        <w:tc>
          <w:tcPr>
            <w:tcW w:w="3969" w:type="dxa"/>
            <w:gridSpan w:val="3"/>
            <w:vMerge/>
            <w:tcBorders>
              <w:right w:val="thinThickThinSmallGap" w:sz="24" w:space="0" w:color="auto"/>
            </w:tcBorders>
            <w:shd w:val="clear" w:color="auto" w:fill="FFFFFF"/>
            <w:vAlign w:val="center"/>
          </w:tcPr>
          <w:p w:rsidR="00A31FD5" w:rsidRPr="00F16C45" w:rsidRDefault="00A31FD5" w:rsidP="00F16C45">
            <w:pPr>
              <w:spacing w:line="180" w:lineRule="exact"/>
              <w:contextualSpacing/>
              <w:rPr>
                <w:rFonts w:cs="Times New Roman"/>
                <w:color w:val="auto"/>
                <w:sz w:val="18"/>
                <w:szCs w:val="22"/>
              </w:rPr>
            </w:pPr>
          </w:p>
        </w:tc>
        <w:tc>
          <w:tcPr>
            <w:tcW w:w="2606" w:type="dxa"/>
            <w:tcBorders>
              <w:left w:val="thinThickThinSmallGap" w:sz="24" w:space="0" w:color="auto"/>
            </w:tcBorders>
            <w:shd w:val="clear" w:color="auto" w:fill="FFFFFF"/>
            <w:vAlign w:val="center"/>
          </w:tcPr>
          <w:p w:rsidR="00A31FD5" w:rsidRDefault="00A31FD5" w:rsidP="00485D68">
            <w:pPr>
              <w:spacing w:line="180" w:lineRule="exact"/>
              <w:jc w:val="left"/>
              <w:rPr>
                <w:color w:val="000000"/>
                <w:sz w:val="18"/>
                <w:szCs w:val="18"/>
              </w:rPr>
            </w:pPr>
            <w:r>
              <w:rPr>
                <w:rFonts w:eastAsia="Calibri"/>
                <w:color w:val="000000"/>
                <w:sz w:val="18"/>
                <w:szCs w:val="18"/>
              </w:rPr>
              <w:t>Right Knee PFS</w:t>
            </w:r>
          </w:p>
        </w:tc>
        <w:tc>
          <w:tcPr>
            <w:tcW w:w="1084" w:type="dxa"/>
            <w:shd w:val="clear" w:color="auto" w:fill="FFFFFF"/>
            <w:vAlign w:val="center"/>
          </w:tcPr>
          <w:p w:rsidR="00A31FD5" w:rsidRDefault="00A31FD5" w:rsidP="00485D68">
            <w:pPr>
              <w:spacing w:line="180" w:lineRule="exact"/>
              <w:rPr>
                <w:color w:val="000000"/>
                <w:sz w:val="18"/>
                <w:szCs w:val="18"/>
              </w:rPr>
            </w:pPr>
            <w:r>
              <w:rPr>
                <w:rFonts w:eastAsia="Calibri"/>
                <w:color w:val="000000"/>
                <w:sz w:val="18"/>
                <w:szCs w:val="18"/>
              </w:rPr>
              <w:t>5099-5024</w:t>
            </w:r>
          </w:p>
        </w:tc>
        <w:tc>
          <w:tcPr>
            <w:tcW w:w="716" w:type="dxa"/>
            <w:shd w:val="clear" w:color="auto" w:fill="FFFFFF"/>
            <w:vAlign w:val="center"/>
          </w:tcPr>
          <w:p w:rsidR="00A31FD5" w:rsidRDefault="00A31FD5" w:rsidP="00485D68">
            <w:pPr>
              <w:spacing w:line="180" w:lineRule="exact"/>
              <w:rPr>
                <w:color w:val="000000"/>
                <w:sz w:val="18"/>
                <w:szCs w:val="18"/>
              </w:rPr>
            </w:pPr>
            <w:r>
              <w:rPr>
                <w:rFonts w:eastAsia="Calibri"/>
                <w:color w:val="000000"/>
                <w:sz w:val="18"/>
                <w:szCs w:val="18"/>
              </w:rPr>
              <w:t>10%</w:t>
            </w:r>
          </w:p>
        </w:tc>
        <w:tc>
          <w:tcPr>
            <w:tcW w:w="994" w:type="dxa"/>
            <w:shd w:val="clear" w:color="auto" w:fill="FFFFFF"/>
            <w:vAlign w:val="center"/>
          </w:tcPr>
          <w:p w:rsidR="00A31FD5" w:rsidRDefault="00A31FD5" w:rsidP="00485D68">
            <w:pPr>
              <w:spacing w:line="180" w:lineRule="exact"/>
              <w:rPr>
                <w:color w:val="000000"/>
                <w:sz w:val="18"/>
                <w:szCs w:val="18"/>
                <w:highlight w:val="yellow"/>
              </w:rPr>
            </w:pPr>
            <w:r>
              <w:rPr>
                <w:color w:val="auto"/>
                <w:sz w:val="18"/>
                <w:szCs w:val="22"/>
              </w:rPr>
              <w:t>20060723</w:t>
            </w:r>
          </w:p>
        </w:tc>
      </w:tr>
      <w:tr w:rsidR="00A31FD5" w:rsidRPr="00F64312" w:rsidTr="00304B36">
        <w:trPr>
          <w:trHeight w:val="172"/>
          <w:jc w:val="center"/>
        </w:trPr>
        <w:tc>
          <w:tcPr>
            <w:tcW w:w="3969" w:type="dxa"/>
            <w:gridSpan w:val="3"/>
            <w:vMerge/>
            <w:tcBorders>
              <w:right w:val="thinThickThinSmallGap" w:sz="24" w:space="0" w:color="auto"/>
            </w:tcBorders>
            <w:shd w:val="clear" w:color="auto" w:fill="FFFFFF"/>
            <w:vAlign w:val="center"/>
          </w:tcPr>
          <w:p w:rsidR="00A31FD5" w:rsidRPr="00F16C45" w:rsidRDefault="00A31FD5" w:rsidP="00F16C45">
            <w:pPr>
              <w:spacing w:line="180" w:lineRule="exact"/>
              <w:contextualSpacing/>
              <w:rPr>
                <w:color w:val="auto"/>
                <w:sz w:val="18"/>
                <w:szCs w:val="22"/>
              </w:rPr>
            </w:pPr>
          </w:p>
        </w:tc>
        <w:tc>
          <w:tcPr>
            <w:tcW w:w="4406" w:type="dxa"/>
            <w:gridSpan w:val="3"/>
            <w:tcBorders>
              <w:left w:val="thinThickThinSmallGap" w:sz="24" w:space="0" w:color="auto"/>
            </w:tcBorders>
            <w:shd w:val="clear" w:color="auto" w:fill="FFFFFF"/>
            <w:vAlign w:val="center"/>
          </w:tcPr>
          <w:p w:rsidR="00A31FD5" w:rsidRPr="00F16C45" w:rsidRDefault="00A31FD5" w:rsidP="00304B36">
            <w:pPr>
              <w:spacing w:line="180" w:lineRule="exact"/>
              <w:contextualSpacing/>
              <w:rPr>
                <w:color w:val="auto"/>
                <w:sz w:val="18"/>
                <w:szCs w:val="22"/>
              </w:rPr>
            </w:pPr>
            <w:r>
              <w:rPr>
                <w:rFonts w:cs="Times New Roman"/>
                <w:color w:val="auto"/>
                <w:sz w:val="18"/>
                <w:szCs w:val="22"/>
              </w:rPr>
              <w:t>0% X 1</w:t>
            </w:r>
            <w:r w:rsidRPr="00F16C45">
              <w:rPr>
                <w:rFonts w:cs="Times New Roman"/>
                <w:color w:val="auto"/>
                <w:sz w:val="18"/>
                <w:szCs w:val="22"/>
              </w:rPr>
              <w:t xml:space="preserve"> </w:t>
            </w:r>
          </w:p>
        </w:tc>
        <w:tc>
          <w:tcPr>
            <w:tcW w:w="994" w:type="dxa"/>
            <w:shd w:val="clear" w:color="auto" w:fill="FFFFFF"/>
            <w:vAlign w:val="center"/>
          </w:tcPr>
          <w:p w:rsidR="00A31FD5" w:rsidRPr="00F16C45" w:rsidRDefault="00A31FD5" w:rsidP="00F16C45">
            <w:pPr>
              <w:spacing w:line="180" w:lineRule="exact"/>
              <w:contextualSpacing/>
              <w:rPr>
                <w:color w:val="auto"/>
                <w:sz w:val="18"/>
                <w:szCs w:val="22"/>
              </w:rPr>
            </w:pPr>
            <w:r>
              <w:rPr>
                <w:color w:val="auto"/>
                <w:sz w:val="18"/>
                <w:szCs w:val="22"/>
              </w:rPr>
              <w:t>20060722</w:t>
            </w:r>
          </w:p>
        </w:tc>
      </w:tr>
      <w:tr w:rsidR="00304B36" w:rsidRPr="00F64312" w:rsidTr="00F16C45">
        <w:trPr>
          <w:trHeight w:val="124"/>
          <w:jc w:val="center"/>
        </w:trPr>
        <w:tc>
          <w:tcPr>
            <w:tcW w:w="3969" w:type="dxa"/>
            <w:gridSpan w:val="3"/>
            <w:tcBorders>
              <w:right w:val="thinThickThinSmallGap" w:sz="24" w:space="0" w:color="auto"/>
            </w:tcBorders>
            <w:shd w:val="clear" w:color="auto" w:fill="D9D9D9"/>
          </w:tcPr>
          <w:p w:rsidR="00304B36" w:rsidRPr="00F16C45" w:rsidRDefault="00304B36" w:rsidP="00F16C45">
            <w:pPr>
              <w:spacing w:line="180" w:lineRule="exact"/>
              <w:contextualSpacing/>
              <w:rPr>
                <w:b/>
                <w:color w:val="auto"/>
                <w:sz w:val="18"/>
                <w:szCs w:val="22"/>
              </w:rPr>
            </w:pPr>
            <w:r w:rsidRPr="00F16C45">
              <w:rPr>
                <w:rFonts w:cs="Times New Roman"/>
                <w:b/>
                <w:color w:val="auto"/>
                <w:sz w:val="18"/>
                <w:szCs w:val="22"/>
              </w:rPr>
              <w:t xml:space="preserve">Combined:  </w:t>
            </w:r>
            <w:r>
              <w:rPr>
                <w:rFonts w:cs="Times New Roman"/>
                <w:b/>
                <w:color w:val="auto"/>
                <w:sz w:val="18"/>
                <w:szCs w:val="22"/>
              </w:rPr>
              <w:t>10</w:t>
            </w:r>
            <w:r w:rsidRPr="00F16C45">
              <w:rPr>
                <w:rFonts w:cs="Times New Roman"/>
                <w:b/>
                <w:color w:val="auto"/>
                <w:sz w:val="18"/>
                <w:szCs w:val="22"/>
              </w:rPr>
              <w:t>%</w:t>
            </w:r>
          </w:p>
        </w:tc>
        <w:tc>
          <w:tcPr>
            <w:tcW w:w="5400" w:type="dxa"/>
            <w:gridSpan w:val="4"/>
            <w:tcBorders>
              <w:left w:val="thinThickThinSmallGap" w:sz="24" w:space="0" w:color="auto"/>
            </w:tcBorders>
            <w:shd w:val="clear" w:color="auto" w:fill="D9D9D9"/>
          </w:tcPr>
          <w:p w:rsidR="00304B36" w:rsidRPr="00F16C45" w:rsidRDefault="00304B36" w:rsidP="00F16C45">
            <w:pPr>
              <w:spacing w:line="180" w:lineRule="exact"/>
              <w:contextualSpacing/>
              <w:rPr>
                <w:b/>
                <w:color w:val="auto"/>
                <w:sz w:val="18"/>
                <w:szCs w:val="22"/>
              </w:rPr>
            </w:pPr>
            <w:r w:rsidRPr="00F16C45">
              <w:rPr>
                <w:rFonts w:cs="Times New Roman"/>
                <w:b/>
                <w:color w:val="auto"/>
                <w:sz w:val="18"/>
                <w:szCs w:val="22"/>
              </w:rPr>
              <w:t xml:space="preserve">Combined:  </w:t>
            </w:r>
            <w:r>
              <w:rPr>
                <w:rFonts w:cs="Times New Roman"/>
                <w:b/>
                <w:color w:val="auto"/>
                <w:sz w:val="18"/>
                <w:szCs w:val="22"/>
              </w:rPr>
              <w:t>50</w:t>
            </w:r>
            <w:r w:rsidRPr="00F16C45">
              <w:rPr>
                <w:rFonts w:cs="Times New Roman"/>
                <w:b/>
                <w:color w:val="auto"/>
                <w:sz w:val="18"/>
                <w:szCs w:val="22"/>
              </w:rPr>
              <w:t>%</w:t>
            </w:r>
          </w:p>
        </w:tc>
      </w:tr>
    </w:tbl>
    <w:p w:rsidR="00B2296B" w:rsidRDefault="007B7644" w:rsidP="00485D68">
      <w:pPr>
        <w:pBdr>
          <w:bottom w:val="single" w:sz="12" w:space="1" w:color="auto"/>
        </w:pBdr>
        <w:tabs>
          <w:tab w:val="left" w:pos="288"/>
          <w:tab w:val="left" w:pos="4752"/>
        </w:tabs>
        <w:spacing w:line="180" w:lineRule="exact"/>
        <w:jc w:val="both"/>
        <w:rPr>
          <w:color w:val="auto"/>
          <w:sz w:val="18"/>
          <w:szCs w:val="18"/>
        </w:rPr>
      </w:pPr>
      <w:r>
        <w:rPr>
          <w:color w:val="auto"/>
          <w:sz w:val="18"/>
          <w:szCs w:val="18"/>
        </w:rPr>
        <w:t>*The CI had prior-</w:t>
      </w:r>
      <w:r w:rsidR="00A31FD5">
        <w:rPr>
          <w:color w:val="auto"/>
          <w:sz w:val="18"/>
          <w:szCs w:val="18"/>
        </w:rPr>
        <w:t>service connected ratings for back pain (10%), right and left knee patellofemoral syndrome (10% each), and residuals of left ring finger injury (0%) dating to a break in active service (1</w:t>
      </w:r>
      <w:r>
        <w:rPr>
          <w:color w:val="auto"/>
          <w:sz w:val="18"/>
          <w:szCs w:val="18"/>
        </w:rPr>
        <w:t xml:space="preserve"> </w:t>
      </w:r>
      <w:r w:rsidR="00A31FD5">
        <w:rPr>
          <w:color w:val="auto"/>
          <w:sz w:val="18"/>
          <w:szCs w:val="18"/>
        </w:rPr>
        <w:t>Dec</w:t>
      </w:r>
      <w:r>
        <w:rPr>
          <w:color w:val="auto"/>
          <w:sz w:val="18"/>
          <w:szCs w:val="18"/>
        </w:rPr>
        <w:t xml:space="preserve"> 20</w:t>
      </w:r>
      <w:r w:rsidR="00A31FD5">
        <w:rPr>
          <w:color w:val="auto"/>
          <w:sz w:val="18"/>
          <w:szCs w:val="18"/>
        </w:rPr>
        <w:t xml:space="preserve">03).  </w:t>
      </w:r>
    </w:p>
    <w:p w:rsidR="00F732DF" w:rsidRDefault="00B2296B" w:rsidP="00485D68">
      <w:pPr>
        <w:pBdr>
          <w:bottom w:val="single" w:sz="12" w:space="1" w:color="auto"/>
        </w:pBdr>
        <w:tabs>
          <w:tab w:val="left" w:pos="288"/>
          <w:tab w:val="left" w:pos="4752"/>
        </w:tabs>
        <w:spacing w:line="180" w:lineRule="exact"/>
        <w:jc w:val="both"/>
        <w:rPr>
          <w:color w:val="auto"/>
          <w:sz w:val="18"/>
          <w:szCs w:val="18"/>
        </w:rPr>
      </w:pPr>
      <w:r>
        <w:rPr>
          <w:color w:val="auto"/>
          <w:sz w:val="18"/>
          <w:szCs w:val="18"/>
        </w:rPr>
        <w:t xml:space="preserve">**The rating for low back strain was increased from 10% to 20% effective </w:t>
      </w:r>
      <w:r w:rsidR="007B7644">
        <w:rPr>
          <w:color w:val="auto"/>
          <w:sz w:val="18"/>
          <w:szCs w:val="18"/>
        </w:rPr>
        <w:t xml:space="preserve">18 April </w:t>
      </w:r>
      <w:r>
        <w:rPr>
          <w:color w:val="auto"/>
          <w:sz w:val="18"/>
          <w:szCs w:val="18"/>
        </w:rPr>
        <w:t xml:space="preserve">2006, the date the claim for an increased rating was received by the VA.  </w:t>
      </w:r>
    </w:p>
    <w:p w:rsidR="00907A5C" w:rsidRDefault="007B7644" w:rsidP="00485D68">
      <w:pPr>
        <w:pBdr>
          <w:bottom w:val="single" w:sz="12" w:space="1" w:color="auto"/>
        </w:pBdr>
        <w:tabs>
          <w:tab w:val="left" w:pos="288"/>
          <w:tab w:val="left" w:pos="4752"/>
        </w:tabs>
        <w:spacing w:line="180" w:lineRule="exact"/>
        <w:jc w:val="both"/>
        <w:rPr>
          <w:color w:val="auto"/>
          <w:sz w:val="18"/>
          <w:szCs w:val="18"/>
        </w:rPr>
      </w:pPr>
      <w:r>
        <w:rPr>
          <w:color w:val="auto"/>
          <w:sz w:val="18"/>
          <w:szCs w:val="18"/>
        </w:rPr>
        <w:t>A service-</w:t>
      </w:r>
      <w:r w:rsidR="00B2296B">
        <w:rPr>
          <w:color w:val="auto"/>
          <w:sz w:val="18"/>
          <w:szCs w:val="18"/>
        </w:rPr>
        <w:t xml:space="preserve">connected rating for PTSD was granted effective </w:t>
      </w:r>
      <w:r>
        <w:rPr>
          <w:color w:val="auto"/>
          <w:sz w:val="18"/>
          <w:szCs w:val="18"/>
        </w:rPr>
        <w:t xml:space="preserve">26 July </w:t>
      </w:r>
      <w:r w:rsidR="00B2296B">
        <w:rPr>
          <w:color w:val="auto"/>
          <w:sz w:val="18"/>
          <w:szCs w:val="18"/>
        </w:rPr>
        <w:t>2010,</w:t>
      </w:r>
      <w:r>
        <w:rPr>
          <w:color w:val="auto"/>
          <w:sz w:val="18"/>
          <w:szCs w:val="18"/>
        </w:rPr>
        <w:t xml:space="preserve"> 4</w:t>
      </w:r>
      <w:r w:rsidR="00B2296B">
        <w:rPr>
          <w:color w:val="auto"/>
          <w:sz w:val="18"/>
          <w:szCs w:val="18"/>
        </w:rPr>
        <w:t xml:space="preserve"> years after separation. </w:t>
      </w:r>
    </w:p>
    <w:p w:rsidR="00907A5C" w:rsidRDefault="00907A5C" w:rsidP="00485D68">
      <w:pPr>
        <w:pBdr>
          <w:bottom w:val="single" w:sz="12" w:space="1" w:color="auto"/>
        </w:pBdr>
        <w:tabs>
          <w:tab w:val="left" w:pos="288"/>
          <w:tab w:val="left" w:pos="4752"/>
        </w:tabs>
        <w:spacing w:line="180" w:lineRule="exact"/>
        <w:jc w:val="both"/>
        <w:rPr>
          <w:color w:val="auto"/>
          <w:sz w:val="18"/>
          <w:szCs w:val="18"/>
        </w:rPr>
      </w:pPr>
    </w:p>
    <w:p w:rsidR="00AD2379" w:rsidRPr="00F64312" w:rsidRDefault="00AD2379" w:rsidP="00165C7B">
      <w:pPr>
        <w:jc w:val="both"/>
        <w:rPr>
          <w:color w:val="auto"/>
        </w:rPr>
      </w:pPr>
    </w:p>
    <w:p w:rsidR="00363179" w:rsidRDefault="00AD2379" w:rsidP="00363179">
      <w:pPr>
        <w:jc w:val="both"/>
        <w:rPr>
          <w:rFonts w:cs="Times New Roman"/>
          <w:color w:val="auto"/>
          <w:szCs w:val="24"/>
        </w:rPr>
      </w:pPr>
      <w:r w:rsidRPr="00F64312">
        <w:rPr>
          <w:color w:val="auto"/>
          <w:u w:val="single"/>
        </w:rPr>
        <w:t>ANALYSIS SUMMARY</w:t>
      </w:r>
      <w:r w:rsidRPr="00F64312">
        <w:rPr>
          <w:color w:val="auto"/>
        </w:rPr>
        <w:t>:</w:t>
      </w:r>
      <w:r w:rsidR="00363179">
        <w:rPr>
          <w:color w:val="auto"/>
        </w:rPr>
        <w:t xml:space="preserve">  </w:t>
      </w:r>
      <w:r w:rsidR="00363179" w:rsidRPr="007C3350">
        <w:rPr>
          <w:rFonts w:cs="Times New Roman"/>
          <w:color w:val="auto"/>
          <w:szCs w:val="24"/>
        </w:rPr>
        <w:t xml:space="preserve">The Disability </w:t>
      </w:r>
      <w:r w:rsidR="007B7644">
        <w:rPr>
          <w:rFonts w:cs="Times New Roman"/>
          <w:color w:val="auto"/>
          <w:szCs w:val="24"/>
        </w:rPr>
        <w:t>Evaluation System (</w:t>
      </w:r>
      <w:r w:rsidR="00363179" w:rsidRPr="007C3350">
        <w:rPr>
          <w:rFonts w:cs="Times New Roman"/>
          <w:color w:val="auto"/>
          <w:szCs w:val="24"/>
        </w:rPr>
        <w:t>DES) is responsible for maintaining a fit and v</w:t>
      </w:r>
      <w:r w:rsidR="007B7644">
        <w:rPr>
          <w:rFonts w:cs="Times New Roman"/>
          <w:color w:val="auto"/>
          <w:szCs w:val="24"/>
        </w:rPr>
        <w:t xml:space="preserve">ital fighting force. While the </w:t>
      </w:r>
      <w:r w:rsidR="00363179"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7B7644">
        <w:rPr>
          <w:rFonts w:cs="Times New Roman"/>
          <w:color w:val="auto"/>
          <w:szCs w:val="24"/>
        </w:rPr>
        <w:t xml:space="preserve">ime of final disposition.  The </w:t>
      </w:r>
      <w:r w:rsidR="00363179"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7B7644">
        <w:rPr>
          <w:rFonts w:cs="Times New Roman"/>
          <w:color w:val="auto"/>
          <w:szCs w:val="24"/>
        </w:rPr>
        <w:t>itions determined to be service-</w:t>
      </w:r>
      <w:r w:rsidR="00363179" w:rsidRPr="007C3350">
        <w:rPr>
          <w:rFonts w:cs="Times New Roman"/>
          <w:color w:val="auto"/>
          <w:szCs w:val="24"/>
        </w:rPr>
        <w:t xml:space="preserve">connected by the </w:t>
      </w:r>
      <w:r w:rsidR="007B7644">
        <w:rPr>
          <w:rFonts w:cs="Times New Roman"/>
          <w:color w:val="auto"/>
          <w:szCs w:val="24"/>
        </w:rPr>
        <w:t>D</w:t>
      </w:r>
      <w:r w:rsidR="00363179" w:rsidRPr="007C3350">
        <w:rPr>
          <w:rFonts w:cs="Times New Roman"/>
          <w:color w:val="auto"/>
          <w:szCs w:val="24"/>
        </w:rPr>
        <w:t xml:space="preserve">VA but not determined to be unfitting by the PEB.  However the </w:t>
      </w:r>
      <w:r w:rsidR="007B7644">
        <w:rPr>
          <w:rFonts w:cs="Times New Roman"/>
          <w:color w:val="auto"/>
          <w:szCs w:val="24"/>
        </w:rPr>
        <w:t>DVA</w:t>
      </w:r>
      <w:r w:rsidR="00363179" w:rsidRPr="007C3350">
        <w:rPr>
          <w:rFonts w:cs="Times New Roman"/>
          <w:color w:val="auto"/>
          <w:szCs w:val="24"/>
        </w:rPr>
        <w:t>, operating under a different set of laws (Title 38, United States Code), is empo</w:t>
      </w:r>
      <w:r w:rsidR="007B7644">
        <w:rPr>
          <w:rFonts w:cs="Times New Roman"/>
          <w:color w:val="auto"/>
          <w:szCs w:val="24"/>
        </w:rPr>
        <w:t>wered to compensate all service-</w:t>
      </w:r>
      <w:r w:rsidR="00363179" w:rsidRPr="007C3350">
        <w:rPr>
          <w:rFonts w:cs="Times New Roman"/>
          <w:color w:val="auto"/>
          <w:szCs w:val="24"/>
        </w:rPr>
        <w:t xml:space="preserve">connected conditions and to periodically re-evaluate said conditions for the purpose of adjusting the </w:t>
      </w:r>
      <w:r w:rsidR="007B7644">
        <w:rPr>
          <w:rFonts w:cs="Times New Roman"/>
          <w:color w:val="auto"/>
          <w:szCs w:val="24"/>
        </w:rPr>
        <w:t>V</w:t>
      </w:r>
      <w:r w:rsidR="00363179" w:rsidRPr="007C3350">
        <w:rPr>
          <w:rFonts w:cs="Times New Roman"/>
          <w:color w:val="auto"/>
          <w:szCs w:val="24"/>
        </w:rPr>
        <w:t xml:space="preserve">eteran’s disability rating should </w:t>
      </w:r>
      <w:r w:rsidR="007B7644">
        <w:rPr>
          <w:rFonts w:cs="Times New Roman"/>
          <w:color w:val="auto"/>
          <w:szCs w:val="24"/>
        </w:rPr>
        <w:t>the</w:t>
      </w:r>
      <w:r w:rsidR="00363179"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AD2379" w:rsidRPr="00F64312" w:rsidRDefault="00AD2379" w:rsidP="00B22D42">
      <w:pPr>
        <w:jc w:val="both"/>
        <w:rPr>
          <w:color w:val="auto"/>
          <w:highlight w:val="yellow"/>
        </w:rPr>
      </w:pPr>
    </w:p>
    <w:p w:rsidR="007B7644" w:rsidRDefault="00ED1E93" w:rsidP="00FC6486">
      <w:pPr>
        <w:jc w:val="both"/>
        <w:rPr>
          <w:color w:val="auto"/>
          <w:szCs w:val="24"/>
        </w:rPr>
      </w:pPr>
      <w:proofErr w:type="gramStart"/>
      <w:r w:rsidRPr="005E3552">
        <w:rPr>
          <w:color w:val="auto"/>
          <w:u w:val="single"/>
        </w:rPr>
        <w:t xml:space="preserve">Chronic Low Back Pain </w:t>
      </w:r>
      <w:r w:rsidR="00AD2379" w:rsidRPr="005E3552">
        <w:rPr>
          <w:color w:val="auto"/>
          <w:u w:val="single"/>
        </w:rPr>
        <w:t>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C05B40">
        <w:rPr>
          <w:color w:val="auto"/>
        </w:rPr>
        <w:t xml:space="preserve">The CI had a history of chronic recurrent </w:t>
      </w:r>
      <w:r w:rsidR="007B7644">
        <w:rPr>
          <w:color w:val="auto"/>
        </w:rPr>
        <w:t>LBP</w:t>
      </w:r>
      <w:r w:rsidR="00C05B40">
        <w:rPr>
          <w:color w:val="auto"/>
        </w:rPr>
        <w:t xml:space="preserve"> beginning in 2002 </w:t>
      </w:r>
      <w:r w:rsidR="00E32E07">
        <w:rPr>
          <w:color w:val="auto"/>
        </w:rPr>
        <w:t xml:space="preserve">while on active duty </w:t>
      </w:r>
      <w:r w:rsidR="00C05B40">
        <w:rPr>
          <w:color w:val="auto"/>
        </w:rPr>
        <w:t xml:space="preserve">without specific injury.  The CI presented for care of recurrent </w:t>
      </w:r>
      <w:r w:rsidR="007B7644">
        <w:rPr>
          <w:color w:val="auto"/>
        </w:rPr>
        <w:t>LBP</w:t>
      </w:r>
      <w:r w:rsidR="00C05B40">
        <w:rPr>
          <w:color w:val="auto"/>
        </w:rPr>
        <w:t xml:space="preserve"> in June 2005 without specific injury associated with muscle spasm and limited motion.  A magnetic resonance imaging </w:t>
      </w:r>
      <w:r w:rsidR="007B7644">
        <w:rPr>
          <w:color w:val="auto"/>
        </w:rPr>
        <w:t>(MRI)</w:t>
      </w:r>
      <w:r w:rsidR="00C05B40">
        <w:rPr>
          <w:color w:val="auto"/>
        </w:rPr>
        <w:t xml:space="preserve"> </w:t>
      </w:r>
      <w:r w:rsidR="003145DA">
        <w:rPr>
          <w:color w:val="auto"/>
        </w:rPr>
        <w:t>o</w:t>
      </w:r>
      <w:r w:rsidR="00C05B40">
        <w:rPr>
          <w:color w:val="auto"/>
        </w:rPr>
        <w:t>n</w:t>
      </w:r>
      <w:r w:rsidR="003145DA">
        <w:rPr>
          <w:color w:val="auto"/>
        </w:rPr>
        <w:t xml:space="preserve"> 11</w:t>
      </w:r>
      <w:r w:rsidR="00C05B40">
        <w:rPr>
          <w:color w:val="auto"/>
        </w:rPr>
        <w:t xml:space="preserve"> July 2005 demonstrated a herniated disc at the L5-S1 level without nerve root compression.  A physical therapy appointment </w:t>
      </w:r>
      <w:r w:rsidR="007B7644">
        <w:rPr>
          <w:color w:val="auto"/>
        </w:rPr>
        <w:t xml:space="preserve">on </w:t>
      </w:r>
      <w:r w:rsidR="00C05B40">
        <w:rPr>
          <w:color w:val="auto"/>
        </w:rPr>
        <w:t xml:space="preserve">11 July 2005 noted absence of radicular symptoms, normal neurologic examination, and negative provocative testing for nerve root irritation.  </w:t>
      </w:r>
      <w:r w:rsidR="007B7644">
        <w:rPr>
          <w:color w:val="auto"/>
        </w:rPr>
        <w:t>At that examination, back range-of-</w:t>
      </w:r>
      <w:r w:rsidR="00C05B40">
        <w:rPr>
          <w:color w:val="auto"/>
        </w:rPr>
        <w:t xml:space="preserve">motion </w:t>
      </w:r>
      <w:r w:rsidR="007B7644">
        <w:rPr>
          <w:color w:val="auto"/>
        </w:rPr>
        <w:t xml:space="preserve">(ROM) </w:t>
      </w:r>
      <w:r w:rsidR="00C05B40">
        <w:rPr>
          <w:color w:val="auto"/>
        </w:rPr>
        <w:t xml:space="preserve">was </w:t>
      </w:r>
      <w:r w:rsidR="003145DA">
        <w:rPr>
          <w:color w:val="auto"/>
        </w:rPr>
        <w:t>recorded as “</w:t>
      </w:r>
      <w:r w:rsidR="00C05B40">
        <w:rPr>
          <w:color w:val="auto"/>
        </w:rPr>
        <w:t>normal</w:t>
      </w:r>
      <w:r w:rsidR="003145DA">
        <w:rPr>
          <w:color w:val="auto"/>
        </w:rPr>
        <w:t>”</w:t>
      </w:r>
      <w:r w:rsidR="00C05B40">
        <w:rPr>
          <w:color w:val="auto"/>
        </w:rPr>
        <w:t xml:space="preserve"> but accompanied by report of pain.</w:t>
      </w:r>
      <w:r w:rsidR="00D20404">
        <w:rPr>
          <w:color w:val="auto"/>
        </w:rPr>
        <w:t xml:space="preserve">  Back pain was reported to be worse at night and with sitting.  At a 3 October 2005 spine surgery evaluation, pain was rated at a three on the ten scale.  There was pain with motion but no muscle spasm.  Motion was limited but not </w:t>
      </w:r>
      <w:r w:rsidR="003145DA">
        <w:rPr>
          <w:color w:val="auto"/>
        </w:rPr>
        <w:t xml:space="preserve">further </w:t>
      </w:r>
      <w:r w:rsidR="00D20404">
        <w:rPr>
          <w:color w:val="auto"/>
        </w:rPr>
        <w:t>specified.  Neurologic examination was unremarka</w:t>
      </w:r>
      <w:r w:rsidR="007B7644">
        <w:rPr>
          <w:color w:val="auto"/>
        </w:rPr>
        <w:t xml:space="preserve">ble.  X-rays </w:t>
      </w:r>
      <w:r w:rsidR="00D20404">
        <w:rPr>
          <w:color w:val="auto"/>
        </w:rPr>
        <w:t xml:space="preserve">of the thoracic spine and lumbosacral spine </w:t>
      </w:r>
      <w:r w:rsidR="00426541">
        <w:rPr>
          <w:color w:val="auto"/>
        </w:rPr>
        <w:t xml:space="preserve">performed that day </w:t>
      </w:r>
      <w:r w:rsidR="00D20404">
        <w:rPr>
          <w:color w:val="auto"/>
        </w:rPr>
        <w:t>were normal</w:t>
      </w:r>
      <w:r w:rsidR="007B7644">
        <w:rPr>
          <w:color w:val="auto"/>
        </w:rPr>
        <w:t>;</w:t>
      </w:r>
      <w:r w:rsidR="00D20404">
        <w:rPr>
          <w:color w:val="auto"/>
        </w:rPr>
        <w:t xml:space="preserve"> however</w:t>
      </w:r>
      <w:r w:rsidR="007B7644">
        <w:rPr>
          <w:color w:val="auto"/>
        </w:rPr>
        <w:t>,</w:t>
      </w:r>
      <w:r w:rsidR="00D20404">
        <w:rPr>
          <w:color w:val="auto"/>
        </w:rPr>
        <w:t xml:space="preserve"> the radiologist commented that there was </w:t>
      </w:r>
      <w:r w:rsidR="00D20404">
        <w:rPr>
          <w:color w:val="auto"/>
          <w:szCs w:val="24"/>
        </w:rPr>
        <w:t xml:space="preserve">very mild thoracic scoliosis (convex to left 4 degrees) and extremely minimal lumbar rotoscoliosis (convex to left without measurable angulation). </w:t>
      </w:r>
    </w:p>
    <w:p w:rsidR="007B7644" w:rsidRDefault="007B7644" w:rsidP="00FC6486">
      <w:pPr>
        <w:jc w:val="both"/>
        <w:rPr>
          <w:color w:val="auto"/>
          <w:szCs w:val="24"/>
        </w:rPr>
      </w:pPr>
    </w:p>
    <w:p w:rsidR="007B7644" w:rsidRDefault="00426541" w:rsidP="00FC6486">
      <w:pPr>
        <w:jc w:val="both"/>
        <w:rPr>
          <w:color w:val="auto"/>
          <w:szCs w:val="24"/>
        </w:rPr>
      </w:pPr>
      <w:r>
        <w:rPr>
          <w:color w:val="auto"/>
          <w:szCs w:val="24"/>
        </w:rPr>
        <w:lastRenderedPageBreak/>
        <w:t>Upo</w:t>
      </w:r>
      <w:r w:rsidR="00D20404">
        <w:rPr>
          <w:color w:val="auto"/>
          <w:szCs w:val="24"/>
        </w:rPr>
        <w:t xml:space="preserve">n follow up with the spine surgeon </w:t>
      </w:r>
      <w:r>
        <w:rPr>
          <w:color w:val="auto"/>
          <w:szCs w:val="24"/>
        </w:rPr>
        <w:t xml:space="preserve">on </w:t>
      </w:r>
      <w:r w:rsidR="00D20404">
        <w:rPr>
          <w:color w:val="auto"/>
          <w:szCs w:val="24"/>
        </w:rPr>
        <w:t xml:space="preserve">14 October 2005, the spine surgeon stated that there was no scoliosis present.  The surgeon concluded there was no indication for surgical treatment.  At that appointment the CI reported episodic back pain </w:t>
      </w:r>
      <w:r w:rsidR="003145DA">
        <w:rPr>
          <w:color w:val="auto"/>
          <w:szCs w:val="24"/>
        </w:rPr>
        <w:t xml:space="preserve">which he </w:t>
      </w:r>
      <w:r w:rsidR="00D20404">
        <w:rPr>
          <w:color w:val="auto"/>
          <w:szCs w:val="24"/>
        </w:rPr>
        <w:t>rated seven</w:t>
      </w:r>
      <w:r w:rsidR="003145DA">
        <w:rPr>
          <w:color w:val="auto"/>
          <w:szCs w:val="24"/>
        </w:rPr>
        <w:t xml:space="preserve"> at that time</w:t>
      </w:r>
      <w:r w:rsidR="00D20404">
        <w:rPr>
          <w:color w:val="auto"/>
          <w:szCs w:val="24"/>
        </w:rPr>
        <w:t xml:space="preserve">.  Back pain was rated </w:t>
      </w:r>
      <w:r w:rsidR="003145DA">
        <w:rPr>
          <w:color w:val="auto"/>
          <w:szCs w:val="24"/>
        </w:rPr>
        <w:t xml:space="preserve">two </w:t>
      </w:r>
      <w:r w:rsidR="00D20404">
        <w:rPr>
          <w:color w:val="auto"/>
          <w:szCs w:val="24"/>
        </w:rPr>
        <w:t xml:space="preserve">at a clinic appointment on 5 October 2005, and </w:t>
      </w:r>
      <w:r w:rsidR="003145DA">
        <w:rPr>
          <w:color w:val="auto"/>
          <w:szCs w:val="24"/>
        </w:rPr>
        <w:t xml:space="preserve">three </w:t>
      </w:r>
      <w:r w:rsidR="00D20404">
        <w:rPr>
          <w:color w:val="auto"/>
          <w:szCs w:val="24"/>
        </w:rPr>
        <w:t>at a clinic appointment 18 October 2005.</w:t>
      </w:r>
      <w:r w:rsidR="00B2296B">
        <w:rPr>
          <w:color w:val="auto"/>
          <w:szCs w:val="24"/>
        </w:rPr>
        <w:t xml:space="preserve">  </w:t>
      </w:r>
      <w:r w:rsidR="00D20404">
        <w:rPr>
          <w:color w:val="auto"/>
          <w:szCs w:val="24"/>
        </w:rPr>
        <w:t xml:space="preserve">The MEB </w:t>
      </w:r>
      <w:r w:rsidR="007B7644">
        <w:rPr>
          <w:color w:val="auto"/>
          <w:szCs w:val="24"/>
        </w:rPr>
        <w:t>narrative summary (</w:t>
      </w:r>
      <w:r w:rsidR="00D20404">
        <w:rPr>
          <w:color w:val="auto"/>
          <w:szCs w:val="24"/>
        </w:rPr>
        <w:t>NARSUM</w:t>
      </w:r>
      <w:r w:rsidR="007B7644">
        <w:rPr>
          <w:color w:val="auto"/>
          <w:szCs w:val="24"/>
        </w:rPr>
        <w:t>)</w:t>
      </w:r>
      <w:r w:rsidR="00D20404">
        <w:rPr>
          <w:color w:val="auto"/>
          <w:szCs w:val="24"/>
        </w:rPr>
        <w:t xml:space="preserve"> examination</w:t>
      </w:r>
      <w:r w:rsidR="007B7644">
        <w:rPr>
          <w:color w:val="auto"/>
          <w:szCs w:val="24"/>
        </w:rPr>
        <w:t>, performed on</w:t>
      </w:r>
      <w:r w:rsidR="00D20404">
        <w:rPr>
          <w:color w:val="auto"/>
          <w:szCs w:val="24"/>
        </w:rPr>
        <w:t xml:space="preserve"> 25 January 2006 recorded CI report that his back pain interfered with performance of strenuous military duties, playing basketball or weight lifting.</w:t>
      </w:r>
      <w:r w:rsidR="00D568BE">
        <w:rPr>
          <w:color w:val="auto"/>
          <w:szCs w:val="24"/>
        </w:rPr>
        <w:t xml:space="preserve">  On examination, the thoracolumbar </w:t>
      </w:r>
      <w:r w:rsidR="007B7644">
        <w:rPr>
          <w:color w:val="auto"/>
          <w:szCs w:val="24"/>
        </w:rPr>
        <w:t>ROM</w:t>
      </w:r>
      <w:r w:rsidR="00D568BE">
        <w:rPr>
          <w:color w:val="auto"/>
          <w:szCs w:val="24"/>
        </w:rPr>
        <w:t xml:space="preserve"> was flexion 90 degrees (with minimal pain), extension 15 degrees (with pain at end range), right lateral bending 15 degrees (with pain at 15 degrees), left lateral bending 18 degrees (with pain at 18 degrees), right and left rotation 30 degrees (with minimal pain) (combined 200 degrees).  Muscle spasm was observed</w:t>
      </w:r>
      <w:r w:rsidR="007B7644">
        <w:rPr>
          <w:color w:val="auto"/>
          <w:szCs w:val="24"/>
        </w:rPr>
        <w:t>;</w:t>
      </w:r>
      <w:r w:rsidR="00D568BE">
        <w:rPr>
          <w:color w:val="auto"/>
          <w:szCs w:val="24"/>
        </w:rPr>
        <w:t xml:space="preserve"> however</w:t>
      </w:r>
      <w:r w:rsidR="007B7644">
        <w:rPr>
          <w:color w:val="auto"/>
          <w:szCs w:val="24"/>
        </w:rPr>
        <w:t>,</w:t>
      </w:r>
      <w:r w:rsidR="00D568BE">
        <w:rPr>
          <w:color w:val="auto"/>
          <w:szCs w:val="24"/>
        </w:rPr>
        <w:t xml:space="preserve"> gait was normal.  </w:t>
      </w:r>
    </w:p>
    <w:p w:rsidR="007B7644" w:rsidRDefault="007B7644" w:rsidP="00FC6486">
      <w:pPr>
        <w:jc w:val="both"/>
        <w:rPr>
          <w:color w:val="auto"/>
          <w:szCs w:val="24"/>
        </w:rPr>
      </w:pPr>
    </w:p>
    <w:p w:rsidR="00B43D42" w:rsidRDefault="00D568BE" w:rsidP="00FC6486">
      <w:pPr>
        <w:jc w:val="both"/>
        <w:rPr>
          <w:color w:val="auto"/>
          <w:szCs w:val="24"/>
        </w:rPr>
      </w:pPr>
      <w:r>
        <w:rPr>
          <w:color w:val="auto"/>
          <w:szCs w:val="24"/>
        </w:rPr>
        <w:t>Neurologic examination was normal, and provocative testing for nerve root irritation was negative.</w:t>
      </w:r>
      <w:r w:rsidR="00FC6486">
        <w:rPr>
          <w:color w:val="auto"/>
          <w:szCs w:val="24"/>
        </w:rPr>
        <w:t xml:space="preserve">  </w:t>
      </w:r>
      <w:r>
        <w:rPr>
          <w:color w:val="auto"/>
          <w:szCs w:val="24"/>
        </w:rPr>
        <w:t xml:space="preserve">The VA </w:t>
      </w:r>
      <w:r w:rsidR="007B7644">
        <w:rPr>
          <w:color w:val="auto"/>
          <w:szCs w:val="24"/>
        </w:rPr>
        <w:t>C</w:t>
      </w:r>
      <w:r>
        <w:rPr>
          <w:color w:val="auto"/>
          <w:szCs w:val="24"/>
        </w:rPr>
        <w:t xml:space="preserve">ompensation and </w:t>
      </w:r>
      <w:r w:rsidR="007B7644">
        <w:rPr>
          <w:color w:val="auto"/>
          <w:szCs w:val="24"/>
        </w:rPr>
        <w:t>Pension (C&amp;P) examination</w:t>
      </w:r>
      <w:r w:rsidR="00426541">
        <w:rPr>
          <w:color w:val="auto"/>
          <w:szCs w:val="24"/>
        </w:rPr>
        <w:t xml:space="preserve"> was</w:t>
      </w:r>
      <w:r w:rsidR="007B7644">
        <w:rPr>
          <w:color w:val="auto"/>
          <w:szCs w:val="24"/>
        </w:rPr>
        <w:t xml:space="preserve"> performed on </w:t>
      </w:r>
      <w:r>
        <w:rPr>
          <w:color w:val="auto"/>
          <w:szCs w:val="24"/>
        </w:rPr>
        <w:t xml:space="preserve">23 July 2006, </w:t>
      </w:r>
      <w:r w:rsidR="007B7644">
        <w:rPr>
          <w:color w:val="auto"/>
          <w:szCs w:val="24"/>
        </w:rPr>
        <w:t>4</w:t>
      </w:r>
      <w:r>
        <w:rPr>
          <w:color w:val="auto"/>
          <w:szCs w:val="24"/>
        </w:rPr>
        <w:t xml:space="preserve"> months after separation.  The </w:t>
      </w:r>
      <w:r w:rsidR="007B7644">
        <w:rPr>
          <w:color w:val="auto"/>
          <w:szCs w:val="24"/>
        </w:rPr>
        <w:t>ROM</w:t>
      </w:r>
      <w:r>
        <w:rPr>
          <w:color w:val="auto"/>
          <w:szCs w:val="24"/>
        </w:rPr>
        <w:t xml:space="preserve"> examination was dramatically worse (flexion 25 degrees, </w:t>
      </w:r>
      <w:r w:rsidR="00255E06">
        <w:rPr>
          <w:color w:val="auto"/>
          <w:szCs w:val="24"/>
        </w:rPr>
        <w:t>combined 235</w:t>
      </w:r>
      <w:r>
        <w:rPr>
          <w:color w:val="auto"/>
          <w:szCs w:val="24"/>
        </w:rPr>
        <w:t>) without intervening injury or change in condition.  The examiner recorded CI</w:t>
      </w:r>
      <w:r w:rsidR="00426541">
        <w:rPr>
          <w:color w:val="auto"/>
          <w:szCs w:val="24"/>
        </w:rPr>
        <w:t>’s</w:t>
      </w:r>
      <w:r>
        <w:rPr>
          <w:color w:val="auto"/>
          <w:szCs w:val="24"/>
        </w:rPr>
        <w:t xml:space="preserve"> report of chronic </w:t>
      </w:r>
      <w:r w:rsidR="007B7644">
        <w:rPr>
          <w:color w:val="auto"/>
          <w:szCs w:val="24"/>
        </w:rPr>
        <w:t>LBP</w:t>
      </w:r>
      <w:r>
        <w:rPr>
          <w:color w:val="auto"/>
          <w:szCs w:val="24"/>
        </w:rPr>
        <w:t xml:space="preserve"> for </w:t>
      </w:r>
      <w:r w:rsidR="007B7644">
        <w:rPr>
          <w:color w:val="auto"/>
          <w:szCs w:val="24"/>
        </w:rPr>
        <w:t>5</w:t>
      </w:r>
      <w:r>
        <w:rPr>
          <w:color w:val="auto"/>
          <w:szCs w:val="24"/>
        </w:rPr>
        <w:t xml:space="preserve"> years without </w:t>
      </w:r>
      <w:r w:rsidR="00255E06">
        <w:rPr>
          <w:color w:val="auto"/>
          <w:szCs w:val="24"/>
        </w:rPr>
        <w:t>change (</w:t>
      </w:r>
      <w:r>
        <w:rPr>
          <w:color w:val="auto"/>
          <w:szCs w:val="24"/>
        </w:rPr>
        <w:t>“the pain remains essentially unchanged”).</w:t>
      </w:r>
      <w:r w:rsidR="00587AA7">
        <w:rPr>
          <w:color w:val="auto"/>
          <w:szCs w:val="24"/>
        </w:rPr>
        <w:t xml:space="preserve">  There is no mention of muscle spasm or abnormal gait.  X-ray on that date was reported as normal.</w:t>
      </w:r>
      <w:r w:rsidR="00B2296B">
        <w:rPr>
          <w:color w:val="auto"/>
          <w:szCs w:val="24"/>
        </w:rPr>
        <w:t xml:space="preserve">  </w:t>
      </w:r>
      <w:r w:rsidR="00587AA7">
        <w:rPr>
          <w:color w:val="auto"/>
          <w:szCs w:val="24"/>
        </w:rPr>
        <w:t xml:space="preserve">A C&amp;P examination performed </w:t>
      </w:r>
      <w:r w:rsidR="007B7644">
        <w:rPr>
          <w:color w:val="auto"/>
          <w:szCs w:val="24"/>
        </w:rPr>
        <w:t xml:space="preserve">on </w:t>
      </w:r>
      <w:r w:rsidR="00587AA7">
        <w:rPr>
          <w:color w:val="auto"/>
          <w:szCs w:val="24"/>
        </w:rPr>
        <w:t xml:space="preserve">12 May 2007, 13 months after separation, documented complaint of worsening back pain.  At that examination, there was no deformity of the spine and </w:t>
      </w:r>
      <w:r w:rsidR="007B7644">
        <w:rPr>
          <w:color w:val="auto"/>
          <w:szCs w:val="24"/>
        </w:rPr>
        <w:t>ROM</w:t>
      </w:r>
      <w:r w:rsidR="00587AA7">
        <w:rPr>
          <w:color w:val="auto"/>
          <w:szCs w:val="24"/>
        </w:rPr>
        <w:t xml:space="preserve"> was similar to the MEB NARSUM examination (flexion 85 degrees with pain at end range; extension 10 degrees without pain; lateral bending 25 degrees bilaterally without pain, and rotation 30 degrees bilaterally with mild pain and end range).  Gait and neurologic examinations were normal.  An X-ray performed </w:t>
      </w:r>
      <w:r w:rsidR="00426541">
        <w:rPr>
          <w:color w:val="auto"/>
          <w:szCs w:val="24"/>
        </w:rPr>
        <w:t xml:space="preserve">on </w:t>
      </w:r>
      <w:r w:rsidR="00587AA7">
        <w:rPr>
          <w:color w:val="auto"/>
          <w:szCs w:val="24"/>
        </w:rPr>
        <w:t>12 May 2007 was again normal.</w:t>
      </w:r>
      <w:r w:rsidR="00FC6486">
        <w:rPr>
          <w:color w:val="auto"/>
          <w:szCs w:val="24"/>
        </w:rPr>
        <w:t xml:space="preserve">  </w:t>
      </w:r>
    </w:p>
    <w:p w:rsidR="00B43D42" w:rsidRDefault="00B43D42" w:rsidP="00FC6486">
      <w:pPr>
        <w:jc w:val="both"/>
        <w:rPr>
          <w:color w:val="auto"/>
          <w:szCs w:val="24"/>
        </w:rPr>
      </w:pPr>
    </w:p>
    <w:p w:rsidR="007B7644" w:rsidRDefault="00FC6486" w:rsidP="00B43D42">
      <w:pPr>
        <w:jc w:val="both"/>
        <w:rPr>
          <w:color w:val="auto"/>
        </w:rPr>
      </w:pPr>
      <w:r w:rsidRPr="00F64312">
        <w:rPr>
          <w:rFonts w:cs="Times New Roman"/>
          <w:color w:val="auto"/>
        </w:rPr>
        <w:t>The Board directs attention to its rating recommendation based on the above evidence.</w:t>
      </w:r>
      <w:r w:rsidR="00B43D42">
        <w:rPr>
          <w:rFonts w:cs="Times New Roman"/>
          <w:color w:val="auto"/>
        </w:rPr>
        <w:t xml:space="preserve">  </w:t>
      </w:r>
      <w:r>
        <w:rPr>
          <w:color w:val="auto"/>
        </w:rPr>
        <w:t xml:space="preserve">The PEB rating of 10% was consistent with the MEB </w:t>
      </w:r>
      <w:r w:rsidR="007B7644">
        <w:rPr>
          <w:color w:val="auto"/>
        </w:rPr>
        <w:t>ROM</w:t>
      </w:r>
      <w:r>
        <w:rPr>
          <w:color w:val="auto"/>
        </w:rPr>
        <w:t xml:space="preserve"> examination and was in accordance with the general rating formula for diseases and injuries of the spine.</w:t>
      </w:r>
      <w:r w:rsidR="00B2296B">
        <w:rPr>
          <w:color w:val="auto"/>
        </w:rPr>
        <w:t xml:space="preserve">  </w:t>
      </w:r>
      <w:r>
        <w:rPr>
          <w:color w:val="auto"/>
        </w:rPr>
        <w:t xml:space="preserve">The Board considered whether the presence of muscle spasm was severe enough to support the 20% rating.  Muscle spasm or guarding, when severe enough to result in an abnormal gait or abnormal spinal contour warrants a rating of 20%.  The Board noted that muscle spasm was noted to be present on some examinations but was not associated with abnormal gait or abnormal spinal contour.  The X-rays performed </w:t>
      </w:r>
      <w:r w:rsidR="007B7644">
        <w:rPr>
          <w:color w:val="auto"/>
        </w:rPr>
        <w:t xml:space="preserve">on </w:t>
      </w:r>
      <w:r>
        <w:rPr>
          <w:color w:val="auto"/>
        </w:rPr>
        <w:t>3 October 2005</w:t>
      </w:r>
      <w:r w:rsidR="007B7644">
        <w:rPr>
          <w:color w:val="auto"/>
        </w:rPr>
        <w:t>,</w:t>
      </w:r>
      <w:r>
        <w:rPr>
          <w:color w:val="auto"/>
        </w:rPr>
        <w:t xml:space="preserve"> were interpreted by the radiologist to show some abnormal contour</w:t>
      </w:r>
      <w:r w:rsidR="007B7644">
        <w:rPr>
          <w:color w:val="auto"/>
        </w:rPr>
        <w:t>;</w:t>
      </w:r>
      <w:r>
        <w:rPr>
          <w:color w:val="auto"/>
        </w:rPr>
        <w:t xml:space="preserve"> however</w:t>
      </w:r>
      <w:r w:rsidR="007B7644">
        <w:rPr>
          <w:color w:val="auto"/>
        </w:rPr>
        <w:t>,</w:t>
      </w:r>
      <w:r>
        <w:rPr>
          <w:color w:val="auto"/>
        </w:rPr>
        <w:t xml:space="preserve"> on that same date, examination by the spine surgeon specifically noted there was no muscle spasm.  The NARSUM examination noted muscle spasm with normal gait.  </w:t>
      </w:r>
    </w:p>
    <w:p w:rsidR="007B7644" w:rsidRDefault="007B7644" w:rsidP="00B43D42">
      <w:pPr>
        <w:jc w:val="both"/>
        <w:rPr>
          <w:color w:val="auto"/>
        </w:rPr>
      </w:pPr>
    </w:p>
    <w:p w:rsidR="00FC6486" w:rsidRPr="00F64312" w:rsidRDefault="00FC6486" w:rsidP="00B43D42">
      <w:pPr>
        <w:jc w:val="both"/>
        <w:rPr>
          <w:rFonts w:eastAsia="Calibri" w:cs="Times New Roman"/>
          <w:color w:val="auto"/>
          <w:szCs w:val="24"/>
        </w:rPr>
      </w:pPr>
      <w:r>
        <w:rPr>
          <w:color w:val="auto"/>
        </w:rPr>
        <w:t>Board members concluded the preponderance of evidence of the MEB NARSUM and service treatment records most nearly approximated the 10% rating IAW §4.71a.</w:t>
      </w:r>
      <w:r w:rsidR="00B2296B">
        <w:rPr>
          <w:color w:val="auto"/>
        </w:rPr>
        <w:t xml:space="preserve">  </w:t>
      </w:r>
      <w:r>
        <w:rPr>
          <w:color w:val="auto"/>
        </w:rPr>
        <w:t xml:space="preserve">The Board also </w:t>
      </w:r>
      <w:r w:rsidRPr="0027021D">
        <w:rPr>
          <w:color w:val="auto"/>
          <w:szCs w:val="24"/>
        </w:rPr>
        <w:t xml:space="preserve">considered the VA examination </w:t>
      </w:r>
      <w:r w:rsidR="007B7644">
        <w:rPr>
          <w:color w:val="auto"/>
          <w:szCs w:val="24"/>
        </w:rPr>
        <w:t>after separation ROM</w:t>
      </w:r>
      <w:r>
        <w:rPr>
          <w:color w:val="auto"/>
          <w:szCs w:val="24"/>
        </w:rPr>
        <w:t xml:space="preserve"> upon which the VA based its 20% rating.  The Board noted that there was no explanation for the dramatic reduction in </w:t>
      </w:r>
      <w:r w:rsidR="007B7644">
        <w:rPr>
          <w:color w:val="auto"/>
          <w:szCs w:val="24"/>
        </w:rPr>
        <w:t>ROM</w:t>
      </w:r>
      <w:r>
        <w:rPr>
          <w:color w:val="auto"/>
          <w:szCs w:val="24"/>
        </w:rPr>
        <w:t xml:space="preserve">, </w:t>
      </w:r>
      <w:r w:rsidR="00B43D42">
        <w:rPr>
          <w:color w:val="auto"/>
          <w:szCs w:val="24"/>
        </w:rPr>
        <w:t xml:space="preserve">and that the CI reported his back pain condition to be stable for several years.  A repeat examination </w:t>
      </w:r>
      <w:r w:rsidR="007B7644">
        <w:rPr>
          <w:color w:val="auto"/>
          <w:szCs w:val="24"/>
        </w:rPr>
        <w:t>9</w:t>
      </w:r>
      <w:r w:rsidR="00B43D42">
        <w:rPr>
          <w:color w:val="auto"/>
          <w:szCs w:val="24"/>
        </w:rPr>
        <w:t xml:space="preserve"> months later demonstrated an improved </w:t>
      </w:r>
      <w:r w:rsidR="007B7644">
        <w:rPr>
          <w:color w:val="auto"/>
          <w:szCs w:val="24"/>
        </w:rPr>
        <w:t>ROM</w:t>
      </w:r>
      <w:r w:rsidR="00B43D42">
        <w:rPr>
          <w:color w:val="auto"/>
          <w:szCs w:val="24"/>
        </w:rPr>
        <w:t xml:space="preserve"> that was consistent with the MEB NARSUM examination despite the CI report of worsening back pain.  </w:t>
      </w:r>
      <w:r w:rsidRPr="008D7C97">
        <w:rPr>
          <w:color w:val="auto"/>
          <w:szCs w:val="24"/>
        </w:rPr>
        <w:t xml:space="preserve">Upon deliberation the Board agreed in this case that the </w:t>
      </w:r>
      <w:r>
        <w:rPr>
          <w:color w:val="auto"/>
          <w:szCs w:val="24"/>
        </w:rPr>
        <w:t xml:space="preserve">MEB </w:t>
      </w:r>
      <w:r w:rsidRPr="008D7C97">
        <w:rPr>
          <w:color w:val="auto"/>
          <w:szCs w:val="24"/>
        </w:rPr>
        <w:t>examination</w:t>
      </w:r>
      <w:r>
        <w:rPr>
          <w:color w:val="auto"/>
          <w:szCs w:val="24"/>
        </w:rPr>
        <w:t>s</w:t>
      </w:r>
      <w:r w:rsidRPr="008D7C97">
        <w:rPr>
          <w:color w:val="auto"/>
          <w:szCs w:val="24"/>
        </w:rPr>
        <w:t xml:space="preserve"> and outpatient notes were more reflective of the anticipated severity based on the clinical pathology</w:t>
      </w:r>
      <w:r w:rsidR="00B43D42">
        <w:rPr>
          <w:color w:val="auto"/>
          <w:szCs w:val="24"/>
        </w:rPr>
        <w:t xml:space="preserve">.  </w:t>
      </w:r>
      <w:r w:rsidRPr="003A30F4">
        <w:rPr>
          <w:color w:val="auto"/>
        </w:rPr>
        <w:t xml:space="preserve">There was no evidence of incapacitating episodes due to intervertebral disc disease that would meet the criteria for a minimum rating under the alternative formula for incapacitating episodes due to intervertebral disease.  There was no evidence of ratable peripheral nerve impairment in this case. </w:t>
      </w:r>
      <w:r>
        <w:rPr>
          <w:color w:val="auto"/>
        </w:rPr>
        <w:t xml:space="preserve"> </w:t>
      </w:r>
      <w:r w:rsidRPr="003A30F4">
        <w:rPr>
          <w:color w:val="auto"/>
        </w:rPr>
        <w:t xml:space="preserve">After due deliberation, considering all of the evidence and mindful of VASRD §4.3 (reasonable doubt), the Board </w:t>
      </w:r>
      <w:r w:rsidRPr="003A30F4">
        <w:rPr>
          <w:color w:val="auto"/>
        </w:rPr>
        <w:lastRenderedPageBreak/>
        <w:t>concluded that there was insufficient</w:t>
      </w:r>
      <w:r w:rsidRPr="00F64312">
        <w:rPr>
          <w:rFonts w:eastAsia="Calibri" w:cs="Times New Roman"/>
          <w:color w:val="auto"/>
          <w:szCs w:val="24"/>
        </w:rPr>
        <w:t xml:space="preserve"> cause to recommend a change in the PEB adjudication for the</w:t>
      </w:r>
      <w:r>
        <w:rPr>
          <w:rFonts w:eastAsia="Calibri" w:cs="Times New Roman"/>
          <w:color w:val="auto"/>
          <w:szCs w:val="24"/>
        </w:rPr>
        <w:t xml:space="preserve"> chronic back pain </w:t>
      </w:r>
      <w:r w:rsidRPr="00F64312">
        <w:rPr>
          <w:rFonts w:eastAsia="Calibri" w:cs="Times New Roman"/>
          <w:color w:val="auto"/>
          <w:szCs w:val="24"/>
        </w:rPr>
        <w:t xml:space="preserve">condition.  </w:t>
      </w:r>
    </w:p>
    <w:p w:rsidR="00AD7DF1" w:rsidRDefault="00AD7DF1" w:rsidP="003863E9">
      <w:pPr>
        <w:jc w:val="both"/>
        <w:rPr>
          <w:rFonts w:eastAsia="HiddenHorzOCR"/>
          <w:color w:val="auto"/>
          <w:u w:val="single"/>
        </w:rPr>
      </w:pPr>
    </w:p>
    <w:p w:rsidR="003863E9" w:rsidRPr="00792790"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792790">
        <w:rPr>
          <w:rFonts w:eastAsia="Calibri" w:cs="Times New Roman"/>
          <w:color w:val="auto"/>
          <w:szCs w:val="24"/>
        </w:rPr>
        <w:t xml:space="preserve">The contended condition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w:t>
      </w:r>
      <w:r w:rsidR="00B43D42">
        <w:rPr>
          <w:rFonts w:eastAsia="Calibri" w:cs="Times New Roman"/>
          <w:color w:val="auto"/>
          <w:szCs w:val="24"/>
        </w:rPr>
        <w:t xml:space="preserve">as left ring finger tendon injury (left flexor digitorum profundus tendon).  </w:t>
      </w:r>
      <w:r w:rsidR="003863E9" w:rsidRPr="00792790">
        <w:rPr>
          <w:rFonts w:eastAsia="Calibri" w:cs="Times New Roman"/>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363179">
        <w:rPr>
          <w:rFonts w:eastAsia="Calibri" w:cs="Times New Roman"/>
          <w:color w:val="auto"/>
          <w:szCs w:val="24"/>
        </w:rPr>
        <w:t xml:space="preserve">  </w:t>
      </w:r>
      <w:r w:rsidR="00B43D42">
        <w:rPr>
          <w:rFonts w:eastAsia="Calibri" w:cs="Times New Roman"/>
          <w:color w:val="auto"/>
          <w:szCs w:val="24"/>
        </w:rPr>
        <w:t xml:space="preserve">The CI injured his left ring finger in 2001 resulting in rupture of the left ring finger digitorum profundus tendon.  Initial surgery in 2001 was not completely successful and he underwent additional surgery in </w:t>
      </w:r>
      <w:r w:rsidR="007B7644">
        <w:rPr>
          <w:rFonts w:eastAsia="Calibri" w:cs="Times New Roman"/>
          <w:color w:val="auto"/>
          <w:szCs w:val="24"/>
        </w:rPr>
        <w:t xml:space="preserve">     </w:t>
      </w:r>
      <w:r w:rsidR="00B43D42">
        <w:rPr>
          <w:rFonts w:eastAsia="Calibri" w:cs="Times New Roman"/>
          <w:color w:val="auto"/>
          <w:szCs w:val="24"/>
        </w:rPr>
        <w:t xml:space="preserve">August 2005 and December 2005 (a staged tendon grafting procedure).  The CI underwent MEB shortly after the second surgery and was still undergoing rehabilitation.  </w:t>
      </w:r>
      <w:r w:rsidR="00AD7DF1">
        <w:rPr>
          <w:rFonts w:eastAsia="Calibri" w:cs="Times New Roman"/>
          <w:color w:val="auto"/>
          <w:szCs w:val="24"/>
        </w:rPr>
        <w:t xml:space="preserve">The final clinical evaluation following recovery from the December 2005 surgery is a 20 January 2006 occupational therapy appointment.  The therapist noted a good outcome, with no pain and no reported restrictions from the surgeons.  Grip strength was grossly “good” and left ring finger active </w:t>
      </w:r>
      <w:r w:rsidR="007B7644">
        <w:rPr>
          <w:rFonts w:eastAsia="Calibri" w:cs="Times New Roman"/>
          <w:color w:val="auto"/>
          <w:szCs w:val="24"/>
        </w:rPr>
        <w:t>ROM</w:t>
      </w:r>
      <w:r w:rsidR="00AD7DF1">
        <w:rPr>
          <w:rFonts w:eastAsia="Calibri" w:cs="Times New Roman"/>
          <w:color w:val="auto"/>
          <w:szCs w:val="24"/>
        </w:rPr>
        <w:t xml:space="preserve"> was very good (the same as the normal right ring finger except for motion at the distal interphalangeal joint which flexed 58 degrees compared to 80 degrees on the right side).  Based on this report, the PEB determined the left ring finger condition was not unfitting for military service.  The </w:t>
      </w:r>
      <w:r w:rsidR="00AD7DF1">
        <w:rPr>
          <w:color w:val="auto"/>
          <w:szCs w:val="24"/>
        </w:rPr>
        <w:t xml:space="preserve">23 July 2006 VA C&amp;P examination documented poor motion at the distal interphalangeal joint which was fixed at 45 degrees, with normal motion in the remainder of the left ring finger at the proximal interphalangeal joint and the metacarpophalangeal joint without pain or weakness.  The VA adjudicated a 0% rating based on this examination.  The VA granted a 10% rating for residual scar however surgical scars are not considered unfitting for continued military service </w:t>
      </w:r>
      <w:r w:rsidR="00AD7DF1" w:rsidRPr="00AD7DF1">
        <w:rPr>
          <w:color w:val="auto"/>
          <w:szCs w:val="24"/>
        </w:rPr>
        <w:t>unless their presence imposes a direct limitation on fitness.</w:t>
      </w:r>
      <w:r w:rsidR="00363179">
        <w:rPr>
          <w:color w:val="auto"/>
          <w:szCs w:val="24"/>
        </w:rPr>
        <w:t xml:space="preserve">  In this case there was not such evidence.  </w:t>
      </w:r>
      <w:r w:rsidR="003863E9" w:rsidRPr="00AD7DF1">
        <w:rPr>
          <w:color w:val="auto"/>
          <w:szCs w:val="24"/>
        </w:rPr>
        <w:t>After due deliberation in consideration of the preponderance</w:t>
      </w:r>
      <w:r w:rsidR="003863E9" w:rsidRPr="00792790">
        <w:rPr>
          <w:rFonts w:eastAsia="Calibri" w:cs="Times New Roman"/>
          <w:color w:val="auto"/>
          <w:szCs w:val="24"/>
        </w:rPr>
        <w:t xml:space="preserve"> of the evidence, the Board concluded that there was insufficient cause to recommend a change in the PEB fitness determination for the contended condition</w:t>
      </w:r>
      <w:r w:rsidR="00AD7DF1">
        <w:rPr>
          <w:rFonts w:eastAsia="Calibri" w:cs="Times New Roman"/>
          <w:color w:val="auto"/>
          <w:szCs w:val="24"/>
        </w:rPr>
        <w:t xml:space="preserve"> left ring finger</w:t>
      </w:r>
      <w:r w:rsidR="003863E9" w:rsidRPr="00792790">
        <w:rPr>
          <w:rFonts w:eastAsia="Calibri" w:cs="Times New Roman"/>
          <w:color w:val="auto"/>
          <w:szCs w:val="24"/>
        </w:rPr>
        <w:t>;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B2296B" w:rsidRDefault="00AD2379" w:rsidP="00417BED">
      <w:pPr>
        <w:jc w:val="both"/>
        <w:rPr>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B2296B">
        <w:rPr>
          <w:color w:val="auto"/>
        </w:rPr>
        <w:t>.</w:t>
      </w:r>
      <w:r w:rsidR="00B2296B" w:rsidRPr="00B2296B">
        <w:rPr>
          <w:color w:val="auto"/>
        </w:rPr>
        <w:t xml:space="preserve">  </w:t>
      </w:r>
      <w:r w:rsidRPr="00B2296B">
        <w:rPr>
          <w:color w:val="auto"/>
        </w:rPr>
        <w:t>The Board did not surmise from the record or PEB ruling in this case that any prerogatives outside the VASRD were exercised.</w:t>
      </w:r>
      <w:r w:rsidR="006B690F" w:rsidRPr="00B2296B">
        <w:rPr>
          <w:color w:val="auto"/>
        </w:rPr>
        <w:t xml:space="preserve">  </w:t>
      </w:r>
      <w:r w:rsidR="00560F12" w:rsidRPr="00B2296B">
        <w:rPr>
          <w:color w:val="auto"/>
        </w:rPr>
        <w:t xml:space="preserve">In the matter of the </w:t>
      </w:r>
      <w:r w:rsidR="00A31FD5" w:rsidRPr="00B2296B">
        <w:rPr>
          <w:color w:val="auto"/>
        </w:rPr>
        <w:t xml:space="preserve">chronic </w:t>
      </w:r>
      <w:r w:rsidR="007B7644">
        <w:rPr>
          <w:color w:val="auto"/>
        </w:rPr>
        <w:t>LBP</w:t>
      </w:r>
      <w:r w:rsidR="00A31FD5" w:rsidRPr="00B2296B">
        <w:rPr>
          <w:color w:val="auto"/>
        </w:rPr>
        <w:t xml:space="preserve"> </w:t>
      </w:r>
      <w:r w:rsidR="00560F12" w:rsidRPr="00B2296B">
        <w:rPr>
          <w:color w:val="auto"/>
        </w:rPr>
        <w:t>condition and IAW VASRD §4.71a, the Board unanimously recommends no change in the PEB adjudication.</w:t>
      </w:r>
      <w:r w:rsidR="006B690F" w:rsidRPr="00B2296B">
        <w:rPr>
          <w:color w:val="auto"/>
        </w:rPr>
        <w:t xml:space="preserve">  </w:t>
      </w:r>
      <w:r w:rsidR="00560F12" w:rsidRPr="00B2296B">
        <w:rPr>
          <w:color w:val="auto"/>
        </w:rPr>
        <w:t>In the matter of the contended</w:t>
      </w:r>
      <w:r w:rsidR="00A31FD5" w:rsidRPr="00B2296B">
        <w:rPr>
          <w:color w:val="auto"/>
        </w:rPr>
        <w:t xml:space="preserve"> left ring finger tendon rupture status post repair, </w:t>
      </w:r>
      <w:r w:rsidR="00560F12" w:rsidRPr="00B2296B">
        <w:rPr>
          <w:color w:val="auto"/>
        </w:rPr>
        <w:t xml:space="preserve">the Board unanimously </w:t>
      </w:r>
      <w:r w:rsidR="00417BED" w:rsidRPr="00B2296B">
        <w:rPr>
          <w:color w:val="auto"/>
        </w:rPr>
        <w:t>recommends no change from the PEB determination as not unfitting.</w:t>
      </w:r>
      <w:r w:rsidR="00165C7B" w:rsidRPr="00B2296B">
        <w:rPr>
          <w:color w:val="auto"/>
        </w:rPr>
        <w:t xml:space="preserve">  </w:t>
      </w:r>
      <w:r w:rsidR="00417BED" w:rsidRPr="00B2296B">
        <w:rPr>
          <w:color w:val="auto"/>
        </w:rPr>
        <w:t>There were no other conditions within the Board’s scope of review for consideration.</w:t>
      </w:r>
      <w:r w:rsidR="00165C7B" w:rsidRPr="00B2296B">
        <w:rPr>
          <w:color w:val="auto"/>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A31FD5" w:rsidP="006B690F">
            <w:pPr>
              <w:tabs>
                <w:tab w:val="left" w:pos="288"/>
                <w:tab w:val="left" w:pos="4752"/>
              </w:tabs>
              <w:jc w:val="left"/>
              <w:rPr>
                <w:color w:val="auto"/>
              </w:rPr>
            </w:pPr>
            <w:r>
              <w:rPr>
                <w:color w:val="auto"/>
              </w:rPr>
              <w:t>Chronic Low Back Pain Secondary to Degenerative Disc Disease</w:t>
            </w:r>
          </w:p>
        </w:tc>
        <w:tc>
          <w:tcPr>
            <w:tcW w:w="1530" w:type="dxa"/>
            <w:vAlign w:val="center"/>
          </w:tcPr>
          <w:p w:rsidR="00AD2379" w:rsidRPr="00836E18" w:rsidRDefault="00A31FD5" w:rsidP="006B690F">
            <w:pPr>
              <w:tabs>
                <w:tab w:val="left" w:pos="288"/>
                <w:tab w:val="left" w:pos="4752"/>
              </w:tabs>
              <w:rPr>
                <w:color w:val="auto"/>
              </w:rPr>
            </w:pPr>
            <w:r w:rsidRPr="00836E18">
              <w:rPr>
                <w:color w:val="auto"/>
              </w:rPr>
              <w:t>5299-5242</w:t>
            </w:r>
          </w:p>
        </w:tc>
        <w:tc>
          <w:tcPr>
            <w:tcW w:w="1026" w:type="dxa"/>
            <w:vAlign w:val="center"/>
          </w:tcPr>
          <w:p w:rsidR="00AD2379" w:rsidRPr="00836E18" w:rsidRDefault="00A31FD5" w:rsidP="00A31FD5">
            <w:pPr>
              <w:tabs>
                <w:tab w:val="left" w:pos="288"/>
                <w:tab w:val="left" w:pos="4752"/>
              </w:tabs>
              <w:rPr>
                <w:color w:val="auto"/>
              </w:rPr>
            </w:pPr>
            <w:r w:rsidRPr="00836E18">
              <w:rPr>
                <w:color w:val="auto"/>
              </w:rPr>
              <w:t>1</w:t>
            </w:r>
            <w:r w:rsidR="00AD2379" w:rsidRPr="00836E18">
              <w:rPr>
                <w:color w:val="auto"/>
              </w:rPr>
              <w:t>0%</w:t>
            </w:r>
          </w:p>
        </w:tc>
      </w:tr>
      <w:tr w:rsidR="00A31FD5" w:rsidRPr="00F64312" w:rsidTr="006B690F">
        <w:trPr>
          <w:jc w:val="center"/>
        </w:trPr>
        <w:tc>
          <w:tcPr>
            <w:tcW w:w="6768" w:type="dxa"/>
            <w:vAlign w:val="center"/>
          </w:tcPr>
          <w:p w:rsidR="00A31FD5" w:rsidRPr="00F64312" w:rsidRDefault="00836E18" w:rsidP="006B690F">
            <w:pPr>
              <w:tabs>
                <w:tab w:val="left" w:pos="288"/>
                <w:tab w:val="left" w:pos="4752"/>
              </w:tabs>
              <w:jc w:val="left"/>
              <w:rPr>
                <w:color w:val="auto"/>
              </w:rPr>
            </w:pPr>
            <w:r>
              <w:rPr>
                <w:color w:val="auto"/>
              </w:rPr>
              <w:t>Left Ring Finger Flexor Digitorum Profundus Injury</w:t>
            </w:r>
          </w:p>
        </w:tc>
        <w:tc>
          <w:tcPr>
            <w:tcW w:w="1530" w:type="dxa"/>
            <w:vAlign w:val="center"/>
          </w:tcPr>
          <w:p w:rsidR="00A31FD5" w:rsidRPr="00836E18" w:rsidRDefault="00A31FD5" w:rsidP="006B690F">
            <w:pPr>
              <w:tabs>
                <w:tab w:val="left" w:pos="288"/>
                <w:tab w:val="left" w:pos="4752"/>
              </w:tabs>
              <w:rPr>
                <w:color w:val="auto"/>
              </w:rPr>
            </w:pPr>
            <w:r w:rsidRPr="00836E18">
              <w:rPr>
                <w:color w:val="auto"/>
              </w:rPr>
              <w:t>Not Unfitting</w:t>
            </w:r>
          </w:p>
        </w:tc>
        <w:tc>
          <w:tcPr>
            <w:tcW w:w="1026" w:type="dxa"/>
            <w:vAlign w:val="center"/>
          </w:tcPr>
          <w:p w:rsidR="00A31FD5" w:rsidRPr="00836E18" w:rsidRDefault="00A31FD5" w:rsidP="006B690F">
            <w:pPr>
              <w:tabs>
                <w:tab w:val="left" w:pos="288"/>
                <w:tab w:val="left" w:pos="4752"/>
              </w:tabs>
              <w:rPr>
                <w:color w:val="auto"/>
              </w:rPr>
            </w:pPr>
            <w:r w:rsidRPr="00836E18">
              <w:rPr>
                <w:color w:val="auto"/>
              </w:rPr>
              <w:t>--</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836E18" w:rsidRDefault="00AD2379" w:rsidP="006B690F">
            <w:pPr>
              <w:tabs>
                <w:tab w:val="left" w:pos="288"/>
                <w:tab w:val="left" w:pos="4752"/>
              </w:tabs>
              <w:rPr>
                <w:b/>
                <w:color w:val="auto"/>
              </w:rPr>
            </w:pPr>
            <w:r w:rsidRPr="00836E18">
              <w:rPr>
                <w:b/>
                <w:color w:val="auto"/>
              </w:rPr>
              <w:t>COMBINED</w:t>
            </w:r>
          </w:p>
        </w:tc>
        <w:tc>
          <w:tcPr>
            <w:tcW w:w="1026" w:type="dxa"/>
            <w:shd w:val="clear" w:color="auto" w:fill="D9D9D9"/>
            <w:vAlign w:val="center"/>
          </w:tcPr>
          <w:p w:rsidR="00AD2379" w:rsidRPr="00836E18" w:rsidRDefault="00A31FD5" w:rsidP="00A31FD5">
            <w:pPr>
              <w:tabs>
                <w:tab w:val="left" w:pos="288"/>
                <w:tab w:val="left" w:pos="4752"/>
              </w:tabs>
              <w:rPr>
                <w:b/>
                <w:color w:val="auto"/>
              </w:rPr>
            </w:pPr>
            <w:r w:rsidRPr="00836E18">
              <w:rPr>
                <w:b/>
                <w:color w:val="auto"/>
              </w:rPr>
              <w:t>1</w:t>
            </w:r>
            <w:r w:rsidR="00AD2379" w:rsidRPr="00836E18">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24723A">
        <w:rPr>
          <w:color w:val="auto"/>
        </w:rPr>
        <w:t>20</w:t>
      </w:r>
      <w:r w:rsidR="00F732DF">
        <w:rPr>
          <w:color w:val="auto"/>
        </w:rPr>
        <w:t>11</w:t>
      </w:r>
      <w:r w:rsidR="0024723A" w:rsidRPr="0024723A">
        <w:rPr>
          <w:color w:val="auto"/>
        </w:rPr>
        <w:t>0</w:t>
      </w:r>
      <w:r w:rsidR="00F732DF">
        <w:rPr>
          <w:color w:val="auto"/>
        </w:rPr>
        <w:t>9</w:t>
      </w:r>
      <w:r w:rsidR="0024723A" w:rsidRPr="0024723A">
        <w:rPr>
          <w:color w:val="auto"/>
        </w:rPr>
        <w:t>3</w:t>
      </w:r>
      <w:r w:rsidR="00F732DF">
        <w:rPr>
          <w:color w:val="auto"/>
        </w:rPr>
        <w:t>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bookmarkStart w:id="0" w:name="_GoBack"/>
      <w:bookmarkEnd w:id="0"/>
    </w:p>
    <w:p w:rsidR="00AD2379" w:rsidRPr="00F64312" w:rsidRDefault="00AD2379" w:rsidP="006B690F">
      <w:pPr>
        <w:tabs>
          <w:tab w:val="left" w:pos="0"/>
          <w:tab w:val="left" w:pos="4320"/>
        </w:tabs>
        <w:jc w:val="both"/>
        <w:rPr>
          <w:color w:val="auto"/>
        </w:rPr>
      </w:pPr>
      <w:r w:rsidRPr="00F64312">
        <w:rPr>
          <w:color w:val="auto"/>
        </w:rPr>
        <w:tab/>
        <w:t xml:space="preserve">           </w:t>
      </w:r>
      <w:r w:rsidR="00FA5C10">
        <w:rPr>
          <w:color w:val="auto"/>
        </w:rPr>
        <w:t>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FA5C10" w:rsidRDefault="00AD2379" w:rsidP="007B7644">
      <w:pPr>
        <w:tabs>
          <w:tab w:val="left" w:pos="0"/>
          <w:tab w:val="left" w:pos="4320"/>
        </w:tabs>
        <w:jc w:val="both"/>
        <w:rPr>
          <w:color w:val="auto"/>
        </w:rPr>
      </w:pPr>
      <w:r w:rsidRPr="00F64312">
        <w:rPr>
          <w:color w:val="auto"/>
        </w:rPr>
        <w:tab/>
        <w:t xml:space="preserve">           Physical Disability Board of Review</w:t>
      </w:r>
    </w:p>
    <w:p w:rsidR="00FA5C10" w:rsidRDefault="00FA5C10">
      <w:pPr>
        <w:spacing w:line="240" w:lineRule="auto"/>
        <w:jc w:val="left"/>
        <w:rPr>
          <w:color w:val="auto"/>
        </w:rPr>
      </w:pPr>
      <w:r>
        <w:rPr>
          <w:color w:val="auto"/>
        </w:rPr>
        <w:br w:type="page"/>
      </w:r>
    </w:p>
    <w:p w:rsidR="00FA5C10" w:rsidRDefault="00FA5C10" w:rsidP="00FA5C10">
      <w:pPr>
        <w:sectPr w:rsidR="00FA5C10">
          <w:pgSz w:w="12240" w:h="15840"/>
          <w:pgMar w:top="2160" w:right="1440" w:bottom="1440" w:left="1440" w:header="720" w:footer="720" w:gutter="0"/>
          <w:cols w:space="720"/>
        </w:sectPr>
      </w:pPr>
    </w:p>
    <w:p w:rsidR="00FA5C10" w:rsidRDefault="00FA5C10" w:rsidP="00FA5C10">
      <w:pPr>
        <w:pStyle w:val="Header"/>
        <w:tabs>
          <w:tab w:val="left" w:pos="720"/>
        </w:tabs>
        <w:jc w:val="left"/>
      </w:pPr>
      <w:r>
        <w:lastRenderedPageBreak/>
        <w:t>SFMR-RB</w:t>
      </w:r>
      <w:r>
        <w:tab/>
      </w:r>
      <w:r>
        <w:tab/>
      </w:r>
      <w:r>
        <w:tab/>
      </w:r>
      <w:r>
        <w:tab/>
      </w:r>
      <w:r>
        <w:tab/>
      </w:r>
      <w:r>
        <w:tab/>
      </w:r>
      <w:r>
        <w:tab/>
      </w:r>
      <w:r>
        <w:tab/>
      </w:r>
      <w:r>
        <w:tab/>
      </w:r>
    </w:p>
    <w:p w:rsidR="00FA5C10" w:rsidRDefault="00FA5C10" w:rsidP="00FA5C10">
      <w:pPr>
        <w:pStyle w:val="Header"/>
        <w:tabs>
          <w:tab w:val="left" w:pos="720"/>
        </w:tabs>
        <w:jc w:val="left"/>
      </w:pPr>
    </w:p>
    <w:p w:rsidR="00FA5C10" w:rsidRDefault="00FA5C10" w:rsidP="00FA5C10">
      <w:pPr>
        <w:jc w:val="left"/>
      </w:pPr>
    </w:p>
    <w:p w:rsidR="00FA5C10" w:rsidRDefault="00FA5C10" w:rsidP="00FA5C10">
      <w:pPr>
        <w:jc w:val="left"/>
      </w:pPr>
      <w:r>
        <w:t xml:space="preserve">MEMORANDUM FOR Commander, US Army Physical Disability Agency </w:t>
      </w:r>
    </w:p>
    <w:p w:rsidR="00FA5C10" w:rsidRDefault="00FA5C10" w:rsidP="00FA5C10">
      <w:pPr>
        <w:jc w:val="left"/>
      </w:pPr>
      <w:r>
        <w:t xml:space="preserve">(TAPD-ZB </w:t>
      </w:r>
      <w:proofErr w:type="gramStart"/>
      <w:r>
        <w:t>/  )</w:t>
      </w:r>
      <w:proofErr w:type="gramEnd"/>
      <w:r>
        <w:t>, 2900 Crystal Drive, Suite 300, Arlington, VA  22202</w:t>
      </w:r>
    </w:p>
    <w:p w:rsidR="00FA5C10" w:rsidRDefault="00FA5C10" w:rsidP="00FA5C10">
      <w:pPr>
        <w:jc w:val="left"/>
      </w:pPr>
    </w:p>
    <w:p w:rsidR="00FA5C10" w:rsidRDefault="00FA5C10" w:rsidP="00FA5C10">
      <w:pPr>
        <w:ind w:right="-180"/>
        <w:jc w:val="left"/>
      </w:pPr>
      <w:r>
        <w:t>SUBJECT:  Department of Defense Physical Disability Board of Review Recommendation for XXXXXXXXXXXXXXXXXXXXXXXXXXX, AR20120013386 (PD201100839)</w:t>
      </w:r>
    </w:p>
    <w:p w:rsidR="00FA5C10" w:rsidRDefault="00FA5C10" w:rsidP="00FA5C10">
      <w:pPr>
        <w:pStyle w:val="Header"/>
        <w:tabs>
          <w:tab w:val="left" w:pos="720"/>
        </w:tabs>
        <w:jc w:val="left"/>
      </w:pPr>
    </w:p>
    <w:p w:rsidR="00FA5C10" w:rsidRDefault="00FA5C10" w:rsidP="00FA5C10">
      <w:pPr>
        <w:jc w:val="left"/>
      </w:pPr>
    </w:p>
    <w:p w:rsidR="00FA5C10" w:rsidRDefault="00FA5C10" w:rsidP="00FA5C10">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FA5C10" w:rsidRDefault="00FA5C10" w:rsidP="00FA5C10">
      <w:pPr>
        <w:jc w:val="left"/>
      </w:pPr>
      <w:r>
        <w:t>This decision is final.  The individual concerned, counsel (if any), and any Members of Congress who have shown interest in this application have been notified of this decision by mail.</w:t>
      </w:r>
    </w:p>
    <w:p w:rsidR="00FA5C10" w:rsidRDefault="00FA5C10" w:rsidP="00FA5C10">
      <w:pPr>
        <w:jc w:val="left"/>
      </w:pPr>
    </w:p>
    <w:p w:rsidR="00FA5C10" w:rsidRDefault="00FA5C10" w:rsidP="00FA5C10">
      <w:pPr>
        <w:jc w:val="left"/>
      </w:pPr>
      <w:r>
        <w:t xml:space="preserve"> BY ORDER OF THE SECRETARY OF THE ARMY:</w:t>
      </w:r>
    </w:p>
    <w:p w:rsidR="00FA5C10" w:rsidRDefault="00FA5C10" w:rsidP="00FA5C10">
      <w:pPr>
        <w:jc w:val="left"/>
      </w:pPr>
    </w:p>
    <w:p w:rsidR="00FA5C10" w:rsidRDefault="00FA5C10" w:rsidP="00FA5C10">
      <w:pPr>
        <w:jc w:val="left"/>
      </w:pPr>
    </w:p>
    <w:p w:rsidR="00FA5C10" w:rsidRDefault="00FA5C10" w:rsidP="00FA5C10">
      <w:pPr>
        <w:pStyle w:val="Header"/>
        <w:tabs>
          <w:tab w:val="left" w:pos="720"/>
        </w:tabs>
        <w:jc w:val="left"/>
      </w:pPr>
    </w:p>
    <w:p w:rsidR="00FA5C10" w:rsidRDefault="00FA5C10" w:rsidP="00FA5C10">
      <w:pPr>
        <w:jc w:val="left"/>
      </w:pPr>
    </w:p>
    <w:p w:rsidR="00FA5C10" w:rsidRDefault="00FA5C10" w:rsidP="00FA5C10">
      <w:pPr>
        <w:jc w:val="left"/>
      </w:pPr>
      <w:bookmarkStart w:id="1" w:name="OLE_LINK4"/>
      <w:bookmarkStart w:id="2" w:name="OLE_LINK3"/>
      <w:r>
        <w:t>Encl</w:t>
      </w:r>
      <w:r>
        <w:tab/>
      </w:r>
      <w:r>
        <w:tab/>
      </w:r>
      <w:r>
        <w:tab/>
      </w:r>
      <w:r>
        <w:tab/>
      </w:r>
      <w:r>
        <w:tab/>
      </w:r>
      <w:r>
        <w:tab/>
        <w:t xml:space="preserve">     XXXXXXXXXXXXXXXXXXXXX</w:t>
      </w:r>
    </w:p>
    <w:p w:rsidR="00FA5C10" w:rsidRDefault="00FA5C10" w:rsidP="00FA5C10">
      <w:pPr>
        <w:jc w:val="left"/>
      </w:pPr>
      <w:r>
        <w:tab/>
      </w:r>
      <w:r>
        <w:tab/>
      </w:r>
      <w:r>
        <w:tab/>
      </w:r>
      <w:r>
        <w:tab/>
      </w:r>
      <w:r>
        <w:tab/>
      </w:r>
      <w:r>
        <w:tab/>
        <w:t xml:space="preserve">     Deputy Assistant Secretary</w:t>
      </w:r>
    </w:p>
    <w:p w:rsidR="00FA5C10" w:rsidRDefault="00FA5C10" w:rsidP="00FA5C10">
      <w:pPr>
        <w:jc w:val="left"/>
      </w:pPr>
      <w:r>
        <w:tab/>
      </w:r>
      <w:r>
        <w:tab/>
      </w:r>
      <w:r>
        <w:tab/>
      </w:r>
      <w:r>
        <w:tab/>
      </w:r>
      <w:r>
        <w:tab/>
      </w:r>
      <w:r>
        <w:tab/>
        <w:t xml:space="preserve">         (Army Review Boards)</w:t>
      </w:r>
      <w:bookmarkEnd w:id="1"/>
      <w:bookmarkEnd w:id="2"/>
    </w:p>
    <w:p w:rsidR="00FA5C10" w:rsidRDefault="00FA5C10" w:rsidP="00FA5C10">
      <w:pPr>
        <w:jc w:val="left"/>
      </w:pPr>
    </w:p>
    <w:p w:rsidR="00FA5C10" w:rsidRDefault="00FA5C10" w:rsidP="00FA5C10">
      <w:pPr>
        <w:jc w:val="left"/>
      </w:pPr>
      <w:r>
        <w:t xml:space="preserve">CF: </w:t>
      </w:r>
    </w:p>
    <w:p w:rsidR="00FA5C10" w:rsidRDefault="00FA5C10" w:rsidP="00FA5C10">
      <w:pPr>
        <w:jc w:val="left"/>
      </w:pPr>
      <w:r>
        <w:t xml:space="preserve">(  ) </w:t>
      </w:r>
      <w:proofErr w:type="spellStart"/>
      <w:proofErr w:type="gramStart"/>
      <w:r>
        <w:t>DoD</w:t>
      </w:r>
      <w:proofErr w:type="spellEnd"/>
      <w:proofErr w:type="gramEnd"/>
      <w:r>
        <w:t xml:space="preserve"> PDBR</w:t>
      </w:r>
    </w:p>
    <w:p w:rsidR="00FA5C10" w:rsidRDefault="00FA5C10" w:rsidP="00FA5C10">
      <w:pPr>
        <w:jc w:val="left"/>
      </w:pPr>
      <w:r>
        <w:t>(  ) DVA</w:t>
      </w:r>
    </w:p>
    <w:p w:rsidR="00FA5C10" w:rsidRDefault="00FA5C10" w:rsidP="00FA5C10">
      <w:pPr>
        <w:jc w:val="left"/>
      </w:pPr>
    </w:p>
    <w:p w:rsidR="00B2296B" w:rsidRDefault="00B2296B" w:rsidP="00FA5C10">
      <w:pPr>
        <w:tabs>
          <w:tab w:val="left" w:pos="0"/>
          <w:tab w:val="left" w:pos="4320"/>
        </w:tabs>
        <w:jc w:val="left"/>
        <w:rPr>
          <w:color w:val="auto"/>
        </w:rPr>
      </w:pPr>
    </w:p>
    <w:sectPr w:rsidR="00B2296B" w:rsidSect="007B7644">
      <w:footerReference w:type="default" r:id="rId8"/>
      <w:footnotePr>
        <w:numRestart w:val="eachSect"/>
      </w:footnotePr>
      <w:pgSz w:w="12240" w:h="15840" w:code="1"/>
      <w:pgMar w:top="1440" w:right="1440" w:bottom="1440" w:left="1440" w:header="288"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015" w:rsidRDefault="00E91015">
      <w:r>
        <w:separator/>
      </w:r>
    </w:p>
  </w:endnote>
  <w:endnote w:type="continuationSeparator" w:id="0">
    <w:p w:rsidR="00E91015" w:rsidRDefault="00E910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BE" w:rsidRPr="00374247" w:rsidRDefault="00C715BE" w:rsidP="00726F84">
    <w:pPr>
      <w:pStyle w:val="Footer"/>
      <w:ind w:firstLine="4320"/>
      <w:rPr>
        <w:color w:val="auto"/>
      </w:rPr>
    </w:pPr>
    <w:r w:rsidRPr="00374247">
      <w:rPr>
        <w:color w:val="auto"/>
      </w:rPr>
      <w:t xml:space="preserve">   </w:t>
    </w:r>
    <w:r w:rsidR="00DC0A15" w:rsidRPr="00DC0A15">
      <w:fldChar w:fldCharType="begin"/>
    </w:r>
    <w:r w:rsidR="00E91015">
      <w:instrText xml:space="preserve"> PAGE   \* MERGEFORMAT </w:instrText>
    </w:r>
    <w:r w:rsidR="00DC0A15" w:rsidRPr="00DC0A15">
      <w:fldChar w:fldCharType="separate"/>
    </w:r>
    <w:r w:rsidR="00FA5C10" w:rsidRPr="00FA5C10">
      <w:rPr>
        <w:noProof/>
        <w:color w:val="auto"/>
      </w:rPr>
      <w:t>6</w:t>
    </w:r>
    <w:r w:rsidR="00DC0A15">
      <w:rPr>
        <w:noProof/>
        <w:color w:val="auto"/>
      </w:rPr>
      <w:fldChar w:fldCharType="end"/>
    </w:r>
    <w:r w:rsidRPr="00374247">
      <w:rPr>
        <w:color w:val="auto"/>
      </w:rPr>
      <w:t xml:space="preserve">                                                           </w:t>
    </w:r>
    <w:r w:rsidRPr="005E3552">
      <w:rPr>
        <w:color w:val="auto"/>
      </w:rPr>
      <w:t>PD1100839</w:t>
    </w:r>
  </w:p>
  <w:p w:rsidR="00C715BE" w:rsidRPr="00684CE6" w:rsidRDefault="00C715B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015" w:rsidRDefault="00E91015">
      <w:r>
        <w:separator/>
      </w:r>
    </w:p>
  </w:footnote>
  <w:footnote w:type="continuationSeparator" w:id="0">
    <w:p w:rsidR="00E91015" w:rsidRDefault="00E91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1638"/>
    <w:rsid w:val="00091E2F"/>
    <w:rsid w:val="00092619"/>
    <w:rsid w:val="00092987"/>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69A"/>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57234"/>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031"/>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1355"/>
    <w:rsid w:val="001B20E6"/>
    <w:rsid w:val="001B4C0B"/>
    <w:rsid w:val="001B4D12"/>
    <w:rsid w:val="001B4EC2"/>
    <w:rsid w:val="001B5B59"/>
    <w:rsid w:val="001B60E0"/>
    <w:rsid w:val="001B755A"/>
    <w:rsid w:val="001B7C8C"/>
    <w:rsid w:val="001B7D91"/>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4723A"/>
    <w:rsid w:val="0025183C"/>
    <w:rsid w:val="00251FED"/>
    <w:rsid w:val="00252351"/>
    <w:rsid w:val="002528EC"/>
    <w:rsid w:val="00252A84"/>
    <w:rsid w:val="00253EAA"/>
    <w:rsid w:val="00255049"/>
    <w:rsid w:val="00255E06"/>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0108"/>
    <w:rsid w:val="002A233F"/>
    <w:rsid w:val="002A3237"/>
    <w:rsid w:val="002A4119"/>
    <w:rsid w:val="002A58B7"/>
    <w:rsid w:val="002A5943"/>
    <w:rsid w:val="002A5C3C"/>
    <w:rsid w:val="002A685E"/>
    <w:rsid w:val="002A72C7"/>
    <w:rsid w:val="002B0204"/>
    <w:rsid w:val="002B03B2"/>
    <w:rsid w:val="002B0749"/>
    <w:rsid w:val="002B0763"/>
    <w:rsid w:val="002B1D52"/>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3AD7"/>
    <w:rsid w:val="0030433B"/>
    <w:rsid w:val="00304511"/>
    <w:rsid w:val="00304B36"/>
    <w:rsid w:val="00305856"/>
    <w:rsid w:val="00305867"/>
    <w:rsid w:val="0030678B"/>
    <w:rsid w:val="00306D16"/>
    <w:rsid w:val="0030700A"/>
    <w:rsid w:val="00307595"/>
    <w:rsid w:val="00307DA6"/>
    <w:rsid w:val="00310CD7"/>
    <w:rsid w:val="00313C3A"/>
    <w:rsid w:val="00313D7A"/>
    <w:rsid w:val="00313FE4"/>
    <w:rsid w:val="00314517"/>
    <w:rsid w:val="003145DA"/>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BC7"/>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79"/>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3E16"/>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541"/>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855"/>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6B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5D68"/>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4D16"/>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AA7"/>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1DC"/>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3D15"/>
    <w:rsid w:val="005D4548"/>
    <w:rsid w:val="005D4A74"/>
    <w:rsid w:val="005D519F"/>
    <w:rsid w:val="005D5E91"/>
    <w:rsid w:val="005D67EF"/>
    <w:rsid w:val="005E1416"/>
    <w:rsid w:val="005E3064"/>
    <w:rsid w:val="005E3552"/>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40FD"/>
    <w:rsid w:val="00615641"/>
    <w:rsid w:val="00615A66"/>
    <w:rsid w:val="006166CC"/>
    <w:rsid w:val="00616959"/>
    <w:rsid w:val="0062036E"/>
    <w:rsid w:val="006211D0"/>
    <w:rsid w:val="00621595"/>
    <w:rsid w:val="0062359D"/>
    <w:rsid w:val="006235F5"/>
    <w:rsid w:val="00623634"/>
    <w:rsid w:val="00624D0C"/>
    <w:rsid w:val="00625498"/>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3CF4"/>
    <w:rsid w:val="00664296"/>
    <w:rsid w:val="00664427"/>
    <w:rsid w:val="00664840"/>
    <w:rsid w:val="006649CD"/>
    <w:rsid w:val="00665D75"/>
    <w:rsid w:val="0066684A"/>
    <w:rsid w:val="006708E3"/>
    <w:rsid w:val="00670DDC"/>
    <w:rsid w:val="00671389"/>
    <w:rsid w:val="00671EB4"/>
    <w:rsid w:val="00673CDC"/>
    <w:rsid w:val="0067443B"/>
    <w:rsid w:val="006755E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5C2E"/>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3CB"/>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58"/>
    <w:rsid w:val="007A28E4"/>
    <w:rsid w:val="007A3BB3"/>
    <w:rsid w:val="007A3F91"/>
    <w:rsid w:val="007A3F9C"/>
    <w:rsid w:val="007A5AD1"/>
    <w:rsid w:val="007A5B7B"/>
    <w:rsid w:val="007A65A9"/>
    <w:rsid w:val="007A7FD8"/>
    <w:rsid w:val="007B007D"/>
    <w:rsid w:val="007B0128"/>
    <w:rsid w:val="007B0635"/>
    <w:rsid w:val="007B0A06"/>
    <w:rsid w:val="007B0B24"/>
    <w:rsid w:val="007B0F8B"/>
    <w:rsid w:val="007B1C83"/>
    <w:rsid w:val="007B4181"/>
    <w:rsid w:val="007B5746"/>
    <w:rsid w:val="007B58AB"/>
    <w:rsid w:val="007B5C5C"/>
    <w:rsid w:val="007B6CE0"/>
    <w:rsid w:val="007B7644"/>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CE4"/>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6E18"/>
    <w:rsid w:val="00837465"/>
    <w:rsid w:val="0084002E"/>
    <w:rsid w:val="00840159"/>
    <w:rsid w:val="00840621"/>
    <w:rsid w:val="00841243"/>
    <w:rsid w:val="00841457"/>
    <w:rsid w:val="0084297D"/>
    <w:rsid w:val="00842BAA"/>
    <w:rsid w:val="00842D8F"/>
    <w:rsid w:val="00842FCB"/>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0C7"/>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D4A"/>
    <w:rsid w:val="008A7F7E"/>
    <w:rsid w:val="008B04DB"/>
    <w:rsid w:val="008B09B4"/>
    <w:rsid w:val="008B148D"/>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52EC"/>
    <w:rsid w:val="008E744D"/>
    <w:rsid w:val="008F1E08"/>
    <w:rsid w:val="008F30F4"/>
    <w:rsid w:val="008F345A"/>
    <w:rsid w:val="008F58E1"/>
    <w:rsid w:val="008F6E05"/>
    <w:rsid w:val="008F6FC8"/>
    <w:rsid w:val="009001FA"/>
    <w:rsid w:val="0090045D"/>
    <w:rsid w:val="00900906"/>
    <w:rsid w:val="00900D8F"/>
    <w:rsid w:val="00901229"/>
    <w:rsid w:val="009014E3"/>
    <w:rsid w:val="009020ED"/>
    <w:rsid w:val="009026E8"/>
    <w:rsid w:val="00902FDD"/>
    <w:rsid w:val="009052FD"/>
    <w:rsid w:val="00905EA6"/>
    <w:rsid w:val="00905EEF"/>
    <w:rsid w:val="00906919"/>
    <w:rsid w:val="00906EB7"/>
    <w:rsid w:val="00907A5C"/>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0E9"/>
    <w:rsid w:val="0098222D"/>
    <w:rsid w:val="009842F3"/>
    <w:rsid w:val="009843D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043B"/>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D5"/>
    <w:rsid w:val="00A31FE2"/>
    <w:rsid w:val="00A32743"/>
    <w:rsid w:val="00A361A2"/>
    <w:rsid w:val="00A36444"/>
    <w:rsid w:val="00A36CD4"/>
    <w:rsid w:val="00A40356"/>
    <w:rsid w:val="00A40FFB"/>
    <w:rsid w:val="00A41468"/>
    <w:rsid w:val="00A414A9"/>
    <w:rsid w:val="00A433C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10B"/>
    <w:rsid w:val="00A63DF3"/>
    <w:rsid w:val="00A64C2C"/>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8B6"/>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DF1"/>
    <w:rsid w:val="00AD7F8F"/>
    <w:rsid w:val="00AE0BF9"/>
    <w:rsid w:val="00AE0CFB"/>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96B"/>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3D4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0DE"/>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017B"/>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B40"/>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1AB0"/>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5B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2C77"/>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7A02"/>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404"/>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5AE7"/>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568BE"/>
    <w:rsid w:val="00D60483"/>
    <w:rsid w:val="00D61ABB"/>
    <w:rsid w:val="00D62D5C"/>
    <w:rsid w:val="00D63577"/>
    <w:rsid w:val="00D63619"/>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A15"/>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1B1B"/>
    <w:rsid w:val="00DE3555"/>
    <w:rsid w:val="00DE3AAD"/>
    <w:rsid w:val="00DE598A"/>
    <w:rsid w:val="00DE5A80"/>
    <w:rsid w:val="00DE5EB5"/>
    <w:rsid w:val="00DE6952"/>
    <w:rsid w:val="00DE6FBE"/>
    <w:rsid w:val="00DE7A7D"/>
    <w:rsid w:val="00DE7E74"/>
    <w:rsid w:val="00DF071B"/>
    <w:rsid w:val="00DF391B"/>
    <w:rsid w:val="00DF3B06"/>
    <w:rsid w:val="00DF460C"/>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17EF2"/>
    <w:rsid w:val="00E202F4"/>
    <w:rsid w:val="00E207C3"/>
    <w:rsid w:val="00E20C7C"/>
    <w:rsid w:val="00E20CB9"/>
    <w:rsid w:val="00E212DF"/>
    <w:rsid w:val="00E21386"/>
    <w:rsid w:val="00E2421B"/>
    <w:rsid w:val="00E242AF"/>
    <w:rsid w:val="00E24849"/>
    <w:rsid w:val="00E2536E"/>
    <w:rsid w:val="00E25A99"/>
    <w:rsid w:val="00E25B8A"/>
    <w:rsid w:val="00E25EF8"/>
    <w:rsid w:val="00E2632B"/>
    <w:rsid w:val="00E26D48"/>
    <w:rsid w:val="00E26F75"/>
    <w:rsid w:val="00E27423"/>
    <w:rsid w:val="00E3077F"/>
    <w:rsid w:val="00E30DFC"/>
    <w:rsid w:val="00E322F7"/>
    <w:rsid w:val="00E32E0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1015"/>
    <w:rsid w:val="00E9265E"/>
    <w:rsid w:val="00E956DB"/>
    <w:rsid w:val="00E957D7"/>
    <w:rsid w:val="00E9763D"/>
    <w:rsid w:val="00EA00A4"/>
    <w:rsid w:val="00EA1177"/>
    <w:rsid w:val="00EA118B"/>
    <w:rsid w:val="00EA11B6"/>
    <w:rsid w:val="00EA2181"/>
    <w:rsid w:val="00EA28B5"/>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1E93"/>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EF7C1D"/>
    <w:rsid w:val="00F0044B"/>
    <w:rsid w:val="00F00E60"/>
    <w:rsid w:val="00F020E5"/>
    <w:rsid w:val="00F02F9F"/>
    <w:rsid w:val="00F03525"/>
    <w:rsid w:val="00F039A8"/>
    <w:rsid w:val="00F0424D"/>
    <w:rsid w:val="00F04957"/>
    <w:rsid w:val="00F053F0"/>
    <w:rsid w:val="00F05807"/>
    <w:rsid w:val="00F059C1"/>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6C4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85C"/>
    <w:rsid w:val="00F67E31"/>
    <w:rsid w:val="00F70B44"/>
    <w:rsid w:val="00F71436"/>
    <w:rsid w:val="00F718A8"/>
    <w:rsid w:val="00F7207E"/>
    <w:rsid w:val="00F72183"/>
    <w:rsid w:val="00F732DF"/>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284"/>
    <w:rsid w:val="00FA0C8F"/>
    <w:rsid w:val="00FA24F2"/>
    <w:rsid w:val="00FA2DEF"/>
    <w:rsid w:val="00FA2F7B"/>
    <w:rsid w:val="00FA3C90"/>
    <w:rsid w:val="00FA3C97"/>
    <w:rsid w:val="00FA3D30"/>
    <w:rsid w:val="00FA4B49"/>
    <w:rsid w:val="00FA54F8"/>
    <w:rsid w:val="00FA5C10"/>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6486"/>
    <w:rsid w:val="00FC78FB"/>
    <w:rsid w:val="00FC7DBC"/>
    <w:rsid w:val="00FD076A"/>
    <w:rsid w:val="00FD0AA0"/>
    <w:rsid w:val="00FD1D5A"/>
    <w:rsid w:val="00FD4B85"/>
    <w:rsid w:val="00FD5059"/>
    <w:rsid w:val="00FD554D"/>
    <w:rsid w:val="00FD5BCC"/>
    <w:rsid w:val="00FD5EB4"/>
    <w:rsid w:val="00FD5EB8"/>
    <w:rsid w:val="00FD5ED3"/>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FC648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66736">
      <w:bodyDiv w:val="1"/>
      <w:marLeft w:val="0"/>
      <w:marRight w:val="0"/>
      <w:marTop w:val="0"/>
      <w:marBottom w:val="0"/>
      <w:divBdr>
        <w:top w:val="none" w:sz="0" w:space="0" w:color="auto"/>
        <w:left w:val="none" w:sz="0" w:space="0" w:color="auto"/>
        <w:bottom w:val="none" w:sz="0" w:space="0" w:color="auto"/>
        <w:right w:val="none" w:sz="0" w:space="0" w:color="auto"/>
      </w:divBdr>
    </w:div>
    <w:div w:id="167867237">
      <w:bodyDiv w:val="1"/>
      <w:marLeft w:val="0"/>
      <w:marRight w:val="0"/>
      <w:marTop w:val="0"/>
      <w:marBottom w:val="0"/>
      <w:divBdr>
        <w:top w:val="none" w:sz="0" w:space="0" w:color="auto"/>
        <w:left w:val="none" w:sz="0" w:space="0" w:color="auto"/>
        <w:bottom w:val="none" w:sz="0" w:space="0" w:color="auto"/>
        <w:right w:val="none" w:sz="0" w:space="0" w:color="auto"/>
      </w:divBdr>
    </w:div>
    <w:div w:id="565535078">
      <w:bodyDiv w:val="1"/>
      <w:marLeft w:val="0"/>
      <w:marRight w:val="0"/>
      <w:marTop w:val="0"/>
      <w:marBottom w:val="0"/>
      <w:divBdr>
        <w:top w:val="none" w:sz="0" w:space="0" w:color="auto"/>
        <w:left w:val="none" w:sz="0" w:space="0" w:color="auto"/>
        <w:bottom w:val="none" w:sz="0" w:space="0" w:color="auto"/>
        <w:right w:val="none" w:sz="0" w:space="0" w:color="auto"/>
      </w:divBdr>
    </w:div>
    <w:div w:id="991131401">
      <w:bodyDiv w:val="1"/>
      <w:marLeft w:val="0"/>
      <w:marRight w:val="0"/>
      <w:marTop w:val="0"/>
      <w:marBottom w:val="0"/>
      <w:divBdr>
        <w:top w:val="none" w:sz="0" w:space="0" w:color="auto"/>
        <w:left w:val="none" w:sz="0" w:space="0" w:color="auto"/>
        <w:bottom w:val="none" w:sz="0" w:space="0" w:color="auto"/>
        <w:right w:val="none" w:sz="0" w:space="0" w:color="auto"/>
      </w:divBdr>
    </w:div>
    <w:div w:id="1631472361">
      <w:bodyDiv w:val="1"/>
      <w:marLeft w:val="0"/>
      <w:marRight w:val="0"/>
      <w:marTop w:val="0"/>
      <w:marBottom w:val="0"/>
      <w:divBdr>
        <w:top w:val="none" w:sz="0" w:space="0" w:color="auto"/>
        <w:left w:val="none" w:sz="0" w:space="0" w:color="auto"/>
        <w:bottom w:val="none" w:sz="0" w:space="0" w:color="auto"/>
        <w:right w:val="none" w:sz="0" w:space="0" w:color="auto"/>
      </w:divBdr>
    </w:div>
    <w:div w:id="200083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4FA2-7B2F-4D85-96F2-57ADFD37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2012-07-24T12:29:00Z</cp:lastPrinted>
  <dcterms:created xsi:type="dcterms:W3CDTF">2012-08-06T19:15:00Z</dcterms:created>
  <dcterms:modified xsi:type="dcterms:W3CDTF">2012-08-06T19:15:00Z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