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1F29F9" w:rsidRDefault="00F629C0" w:rsidP="003C53E8">
      <w:pPr>
        <w:tabs>
          <w:tab w:val="left" w:pos="288"/>
          <w:tab w:val="left" w:pos="4752"/>
          <w:tab w:val="left" w:pos="6390"/>
          <w:tab w:val="left" w:pos="9270"/>
        </w:tabs>
        <w:jc w:val="both"/>
        <w:rPr>
          <w:caps/>
          <w:color w:val="000000"/>
        </w:rPr>
      </w:pPr>
      <w:r w:rsidRPr="001F29F9">
        <w:rPr>
          <w:caps/>
          <w:color w:val="000000"/>
        </w:rPr>
        <w:t xml:space="preserve">NAME:  </w:t>
      </w:r>
      <w:r w:rsidR="000C74CE">
        <w:rPr>
          <w:caps/>
          <w:color w:val="000000"/>
        </w:rPr>
        <w:t>XXXXXXXXXX</w:t>
      </w:r>
      <w:r w:rsidR="00245AF6">
        <w:rPr>
          <w:caps/>
          <w:color w:val="000000"/>
        </w:rPr>
        <w:t xml:space="preserve">                </w:t>
      </w:r>
      <w:r w:rsidR="00392365">
        <w:rPr>
          <w:caps/>
          <w:color w:val="000000"/>
        </w:rPr>
        <w:tab/>
        <w:t xml:space="preserve">                             </w:t>
      </w:r>
      <w:r w:rsidR="00154A56">
        <w:rPr>
          <w:caps/>
          <w:color w:val="000000"/>
        </w:rPr>
        <w:t xml:space="preserve">  </w:t>
      </w:r>
      <w:r w:rsidR="00392365">
        <w:rPr>
          <w:caps/>
          <w:color w:val="000000"/>
        </w:rPr>
        <w:t xml:space="preserve"> </w:t>
      </w:r>
      <w:r w:rsidRPr="001F29F9">
        <w:rPr>
          <w:caps/>
          <w:color w:val="000000"/>
        </w:rPr>
        <w:t>BRANCH OF SERVICE</w:t>
      </w:r>
      <w:r w:rsidRPr="00023D69">
        <w:rPr>
          <w:caps/>
          <w:color w:val="000000"/>
        </w:rPr>
        <w:t xml:space="preserve">: </w:t>
      </w:r>
      <w:r w:rsidR="004C24C5" w:rsidRPr="00023D69">
        <w:rPr>
          <w:caps/>
          <w:color w:val="000000"/>
        </w:rPr>
        <w:t xml:space="preserve"> </w:t>
      </w:r>
      <w:r w:rsidR="00332DE3" w:rsidRPr="00023D69">
        <w:rPr>
          <w:caps/>
          <w:color w:val="000000"/>
        </w:rPr>
        <w:t>Army</w:t>
      </w:r>
    </w:p>
    <w:p w:rsidR="00DE3AAD" w:rsidRPr="001F29F9" w:rsidRDefault="00012733" w:rsidP="0068098E">
      <w:pPr>
        <w:tabs>
          <w:tab w:val="left" w:pos="288"/>
          <w:tab w:val="left" w:pos="4166"/>
          <w:tab w:val="left" w:pos="4752"/>
          <w:tab w:val="left" w:pos="5130"/>
          <w:tab w:val="left" w:pos="9270"/>
        </w:tabs>
        <w:jc w:val="both"/>
        <w:rPr>
          <w:caps/>
          <w:color w:val="000000"/>
        </w:rPr>
      </w:pPr>
      <w:r w:rsidRPr="001F29F9">
        <w:rPr>
          <w:caps/>
          <w:color w:val="000000"/>
        </w:rPr>
        <w:t>C</w:t>
      </w:r>
      <w:r w:rsidR="00DE3AAD" w:rsidRPr="001F29F9">
        <w:rPr>
          <w:caps/>
          <w:color w:val="000000"/>
        </w:rPr>
        <w:t>ASE NUMBER:  PD</w:t>
      </w:r>
      <w:r w:rsidR="008F58E1" w:rsidRPr="001F29F9">
        <w:rPr>
          <w:caps/>
          <w:color w:val="000000"/>
        </w:rPr>
        <w:t>11</w:t>
      </w:r>
      <w:r w:rsidR="00CA0ACA">
        <w:rPr>
          <w:caps/>
          <w:color w:val="000000"/>
        </w:rPr>
        <w:t>00832</w:t>
      </w:r>
      <w:r w:rsidR="00DE3AAD" w:rsidRPr="001F29F9">
        <w:rPr>
          <w:color w:val="000000"/>
        </w:rPr>
        <w:t xml:space="preserve"> </w:t>
      </w:r>
      <w:r w:rsidR="00DE3AAD" w:rsidRPr="001F29F9">
        <w:rPr>
          <w:color w:val="000000"/>
        </w:rPr>
        <w:tab/>
      </w:r>
      <w:r w:rsidR="0068098E" w:rsidRPr="001F29F9">
        <w:rPr>
          <w:color w:val="000000"/>
        </w:rPr>
        <w:tab/>
      </w:r>
      <w:r w:rsidR="00DE3AAD" w:rsidRPr="001F29F9">
        <w:rPr>
          <w:color w:val="000000"/>
        </w:rPr>
        <w:t xml:space="preserve">         </w:t>
      </w:r>
      <w:r w:rsidR="00E0346A" w:rsidRPr="001F29F9">
        <w:rPr>
          <w:color w:val="000000"/>
        </w:rPr>
        <w:t xml:space="preserve">                    </w:t>
      </w:r>
      <w:r w:rsidR="00392365">
        <w:rPr>
          <w:color w:val="000000"/>
        </w:rPr>
        <w:t xml:space="preserve"> </w:t>
      </w:r>
      <w:r w:rsidR="00DE3AAD" w:rsidRPr="001F29F9">
        <w:rPr>
          <w:color w:val="000000"/>
        </w:rPr>
        <w:t>SEPARATION DATE:  200</w:t>
      </w:r>
      <w:r w:rsidR="000718AB">
        <w:rPr>
          <w:color w:val="000000"/>
        </w:rPr>
        <w:t>61127</w:t>
      </w:r>
    </w:p>
    <w:p w:rsidR="003C53E8" w:rsidRDefault="004F3639" w:rsidP="00392365">
      <w:pPr>
        <w:tabs>
          <w:tab w:val="left" w:pos="288"/>
          <w:tab w:val="left" w:pos="5130"/>
        </w:tabs>
        <w:jc w:val="both"/>
        <w:rPr>
          <w:color w:val="000000"/>
        </w:rPr>
      </w:pPr>
      <w:r w:rsidRPr="001F29F9">
        <w:rPr>
          <w:caps/>
          <w:color w:val="000000"/>
        </w:rPr>
        <w:t>BOARD DATE:  201</w:t>
      </w:r>
      <w:r w:rsidR="00392365" w:rsidRPr="00E953D0">
        <w:rPr>
          <w:caps/>
          <w:color w:val="000000"/>
        </w:rPr>
        <w:t>2</w:t>
      </w:r>
      <w:r w:rsidR="002D2695" w:rsidRPr="00E953D0">
        <w:rPr>
          <w:caps/>
          <w:color w:val="000000"/>
        </w:rPr>
        <w:t>0511</w:t>
      </w:r>
      <w:r w:rsidR="00392365">
        <w:rPr>
          <w:caps/>
          <w:color w:val="000000"/>
        </w:rPr>
        <w:t xml:space="preserve"> </w:t>
      </w:r>
      <w:r w:rsidR="002D2695">
        <w:rPr>
          <w:caps/>
          <w:color w:val="000000"/>
        </w:rPr>
        <w:t xml:space="preserve"> </w:t>
      </w:r>
    </w:p>
    <w:p w:rsidR="00392365" w:rsidRPr="001F29F9" w:rsidRDefault="00392365" w:rsidP="00392365">
      <w:pPr>
        <w:pBdr>
          <w:bottom w:val="single" w:sz="12" w:space="1" w:color="auto"/>
        </w:pBdr>
        <w:tabs>
          <w:tab w:val="left" w:pos="288"/>
          <w:tab w:val="left" w:pos="4752"/>
        </w:tabs>
        <w:jc w:val="both"/>
        <w:rPr>
          <w:color w:val="000000"/>
        </w:rPr>
      </w:pPr>
    </w:p>
    <w:p w:rsidR="00392365" w:rsidRPr="001F29F9" w:rsidRDefault="00392365" w:rsidP="00392365">
      <w:pPr>
        <w:tabs>
          <w:tab w:val="left" w:pos="288"/>
          <w:tab w:val="left" w:pos="4752"/>
        </w:tabs>
        <w:jc w:val="both"/>
        <w:rPr>
          <w:color w:val="000000"/>
        </w:rPr>
      </w:pPr>
    </w:p>
    <w:p w:rsidR="00FD61EB" w:rsidRDefault="00FB0E80" w:rsidP="00FD61EB">
      <w:pPr>
        <w:tabs>
          <w:tab w:val="left" w:pos="288"/>
          <w:tab w:val="left" w:pos="4752"/>
        </w:tabs>
        <w:jc w:val="both"/>
        <w:rPr>
          <w:color w:val="000000"/>
          <w:szCs w:val="24"/>
        </w:rPr>
      </w:pPr>
      <w:r w:rsidRPr="001F29F9">
        <w:rPr>
          <w:color w:val="000000"/>
          <w:u w:val="single"/>
        </w:rPr>
        <w:t>SUMMARY OF CASE</w:t>
      </w:r>
      <w:r w:rsidRPr="001F29F9">
        <w:rPr>
          <w:color w:val="000000"/>
        </w:rPr>
        <w:t xml:space="preserve">:  </w:t>
      </w:r>
      <w:r w:rsidR="009759C2" w:rsidRPr="001F29F9">
        <w:rPr>
          <w:color w:val="000000"/>
        </w:rPr>
        <w:t>Data extracted from the available evidence of record reflects that this covered individual (CI)</w:t>
      </w:r>
      <w:r w:rsidR="00570754" w:rsidRPr="001F29F9">
        <w:rPr>
          <w:color w:val="000000"/>
        </w:rPr>
        <w:t xml:space="preserve"> </w:t>
      </w:r>
      <w:r w:rsidR="002C6E5B" w:rsidRPr="001F29F9">
        <w:rPr>
          <w:color w:val="000000"/>
          <w:szCs w:val="24"/>
        </w:rPr>
        <w:t xml:space="preserve">was </w:t>
      </w:r>
      <w:r w:rsidR="00E322F7" w:rsidRPr="001F29F9">
        <w:rPr>
          <w:color w:val="000000"/>
          <w:szCs w:val="24"/>
        </w:rPr>
        <w:t xml:space="preserve">a </w:t>
      </w:r>
      <w:r w:rsidR="00245AF6" w:rsidRPr="004E7D55">
        <w:rPr>
          <w:color w:val="000000"/>
          <w:szCs w:val="24"/>
        </w:rPr>
        <w:t xml:space="preserve">National Guard </w:t>
      </w:r>
      <w:r w:rsidR="00661BA2" w:rsidRPr="004E7D55">
        <w:rPr>
          <w:color w:val="000000"/>
          <w:szCs w:val="24"/>
        </w:rPr>
        <w:t>S</w:t>
      </w:r>
      <w:r w:rsidR="000718AB" w:rsidRPr="004E7D55">
        <w:rPr>
          <w:color w:val="000000"/>
          <w:szCs w:val="24"/>
        </w:rPr>
        <w:t>FC</w:t>
      </w:r>
      <w:r w:rsidR="00661BA2" w:rsidRPr="004E7D55">
        <w:rPr>
          <w:color w:val="000000"/>
          <w:szCs w:val="24"/>
        </w:rPr>
        <w:t>/E-</w:t>
      </w:r>
      <w:r w:rsidR="000718AB" w:rsidRPr="004E7D55">
        <w:rPr>
          <w:color w:val="000000"/>
          <w:szCs w:val="24"/>
        </w:rPr>
        <w:t>7</w:t>
      </w:r>
      <w:r w:rsidR="00705C40" w:rsidRPr="004E7D55">
        <w:rPr>
          <w:color w:val="000000"/>
          <w:szCs w:val="24"/>
        </w:rPr>
        <w:t xml:space="preserve"> (</w:t>
      </w:r>
      <w:r w:rsidR="009E3C31" w:rsidRPr="004E7D55">
        <w:rPr>
          <w:color w:val="000000"/>
          <w:szCs w:val="24"/>
        </w:rPr>
        <w:t>62B40</w:t>
      </w:r>
      <w:r w:rsidR="00C75F3D" w:rsidRPr="004E7D55">
        <w:rPr>
          <w:color w:val="000000"/>
          <w:szCs w:val="24"/>
        </w:rPr>
        <w:t xml:space="preserve"> / </w:t>
      </w:r>
      <w:r w:rsidR="002D5969" w:rsidRPr="004E7D55">
        <w:rPr>
          <w:color w:val="000000"/>
          <w:szCs w:val="24"/>
        </w:rPr>
        <w:t>Heavy Equipment Repair Technician</w:t>
      </w:r>
      <w:r w:rsidR="00E322F7" w:rsidRPr="004E7D55">
        <w:rPr>
          <w:color w:val="000000"/>
          <w:szCs w:val="24"/>
        </w:rPr>
        <w:t>)</w:t>
      </w:r>
      <w:r w:rsidR="00C75F3D" w:rsidRPr="004E7D55">
        <w:rPr>
          <w:color w:val="000000"/>
          <w:szCs w:val="24"/>
        </w:rPr>
        <w:t xml:space="preserve">, </w:t>
      </w:r>
      <w:r w:rsidR="002C6E5B" w:rsidRPr="004E7D55">
        <w:rPr>
          <w:color w:val="000000"/>
          <w:szCs w:val="24"/>
        </w:rPr>
        <w:t xml:space="preserve">medically separated for </w:t>
      </w:r>
      <w:r w:rsidR="0090228D" w:rsidRPr="004E7D55">
        <w:rPr>
          <w:color w:val="000000"/>
          <w:szCs w:val="24"/>
        </w:rPr>
        <w:t>chronic right knee pain and left knee pain.</w:t>
      </w:r>
      <w:r w:rsidR="00FD61EB" w:rsidRPr="004E7D55">
        <w:rPr>
          <w:color w:val="000000"/>
          <w:szCs w:val="24"/>
        </w:rPr>
        <w:t xml:space="preserve">  </w:t>
      </w:r>
      <w:r w:rsidR="00B0575F" w:rsidRPr="004E7D55">
        <w:rPr>
          <w:color w:val="000000"/>
          <w:szCs w:val="24"/>
        </w:rPr>
        <w:t xml:space="preserve">The CI had onset of pain in August 2004 when he sustained an injury during an alert in OIF.  He completed his deployment and </w:t>
      </w:r>
      <w:r w:rsidR="00107759" w:rsidRPr="004E7D55">
        <w:rPr>
          <w:color w:val="000000"/>
          <w:szCs w:val="24"/>
        </w:rPr>
        <w:t xml:space="preserve">was treated by various conservative modalities without improvement. </w:t>
      </w:r>
      <w:r w:rsidR="00392365" w:rsidRPr="004E7D55">
        <w:rPr>
          <w:color w:val="000000"/>
          <w:szCs w:val="24"/>
        </w:rPr>
        <w:t xml:space="preserve"> </w:t>
      </w:r>
      <w:r w:rsidR="00B0575F" w:rsidRPr="004E7D55">
        <w:rPr>
          <w:color w:val="000000"/>
          <w:szCs w:val="24"/>
        </w:rPr>
        <w:t>Evaluation indicated bilater</w:t>
      </w:r>
      <w:r w:rsidR="0076425E" w:rsidRPr="004E7D55">
        <w:rPr>
          <w:color w:val="000000"/>
          <w:szCs w:val="24"/>
        </w:rPr>
        <w:t>al</w:t>
      </w:r>
      <w:r w:rsidR="00B0575F" w:rsidRPr="004E7D55">
        <w:rPr>
          <w:color w:val="000000"/>
          <w:szCs w:val="24"/>
        </w:rPr>
        <w:t xml:space="preserve"> knee </w:t>
      </w:r>
      <w:r w:rsidR="0076425E" w:rsidRPr="004E7D55">
        <w:rPr>
          <w:color w:val="000000"/>
          <w:szCs w:val="24"/>
        </w:rPr>
        <w:t xml:space="preserve">degenerative changed (DJD) with meniscal tears on both knees and an anterior cruciate ligament </w:t>
      </w:r>
      <w:r w:rsidR="006E0B93" w:rsidRPr="004E7D55">
        <w:rPr>
          <w:color w:val="000000"/>
          <w:szCs w:val="24"/>
        </w:rPr>
        <w:t xml:space="preserve">(ACL) </w:t>
      </w:r>
      <w:r w:rsidR="0076425E" w:rsidRPr="004E7D55">
        <w:rPr>
          <w:color w:val="000000"/>
          <w:szCs w:val="24"/>
        </w:rPr>
        <w:t xml:space="preserve">partial tear on the right.  </w:t>
      </w:r>
      <w:r w:rsidR="00B0575F" w:rsidRPr="004E7D55">
        <w:rPr>
          <w:color w:val="000000"/>
          <w:szCs w:val="24"/>
        </w:rPr>
        <w:t>The CI</w:t>
      </w:r>
      <w:r w:rsidR="00107759" w:rsidRPr="004E7D55">
        <w:rPr>
          <w:color w:val="000000"/>
          <w:szCs w:val="24"/>
        </w:rPr>
        <w:t xml:space="preserve"> underwent surgical interventions </w:t>
      </w:r>
      <w:r w:rsidR="00B0575F" w:rsidRPr="004E7D55">
        <w:rPr>
          <w:color w:val="000000"/>
          <w:szCs w:val="24"/>
        </w:rPr>
        <w:t xml:space="preserve">on </w:t>
      </w:r>
      <w:r w:rsidR="0076425E" w:rsidRPr="004E7D55">
        <w:rPr>
          <w:color w:val="000000"/>
          <w:szCs w:val="24"/>
        </w:rPr>
        <w:t>both knees (right in April 2005, left in November 2005)</w:t>
      </w:r>
      <w:r w:rsidR="00107759" w:rsidRPr="004E7D55">
        <w:rPr>
          <w:color w:val="000000"/>
          <w:szCs w:val="24"/>
        </w:rPr>
        <w:t xml:space="preserve">. </w:t>
      </w:r>
      <w:r w:rsidR="00392365" w:rsidRPr="004E7D55">
        <w:rPr>
          <w:color w:val="000000"/>
          <w:szCs w:val="24"/>
        </w:rPr>
        <w:t xml:space="preserve"> </w:t>
      </w:r>
      <w:r w:rsidR="001D5B06" w:rsidRPr="004E7D55">
        <w:rPr>
          <w:color w:val="000000"/>
          <w:szCs w:val="24"/>
        </w:rPr>
        <w:t>Despite surgery and extensive physical therapy, h</w:t>
      </w:r>
      <w:r w:rsidR="00FD61EB" w:rsidRPr="004E7D55">
        <w:rPr>
          <w:color w:val="000000"/>
          <w:szCs w:val="24"/>
        </w:rPr>
        <w:t xml:space="preserve">e did not respond adequately to treatment and was unable to perform within his Military Occupational Specialty (MOS) or meet physical fitness standards.  He was issued a permanent L3 profile and underwent a Medical Evaluation Board (MEB).  “Right knee degenerative joint disease and left knee medial meniscus tear” were forwarded to the Physical Evaluation Board (PEB) as medically unacceptable IAW AR 40-501.  No other conditions appeared on the MEB’s submission. </w:t>
      </w:r>
      <w:r w:rsidR="00E953D0" w:rsidRPr="004E7D55">
        <w:rPr>
          <w:color w:val="000000"/>
          <w:szCs w:val="24"/>
        </w:rPr>
        <w:t xml:space="preserve"> </w:t>
      </w:r>
      <w:r w:rsidR="00FD61EB" w:rsidRPr="004E7D55">
        <w:rPr>
          <w:color w:val="000000"/>
          <w:szCs w:val="24"/>
        </w:rPr>
        <w:t xml:space="preserve">The Informal PEB (IPEB) adjudicated the right knee pain condition </w:t>
      </w:r>
      <w:r w:rsidR="00A82D06" w:rsidRPr="004E7D55">
        <w:rPr>
          <w:color w:val="000000"/>
          <w:szCs w:val="24"/>
        </w:rPr>
        <w:t xml:space="preserve">unfitting at 20% </w:t>
      </w:r>
      <w:r w:rsidR="00FD61EB" w:rsidRPr="004E7D55">
        <w:rPr>
          <w:color w:val="000000"/>
          <w:szCs w:val="24"/>
        </w:rPr>
        <w:t xml:space="preserve">and </w:t>
      </w:r>
      <w:r w:rsidR="00A82D06" w:rsidRPr="004E7D55">
        <w:rPr>
          <w:color w:val="000000"/>
          <w:szCs w:val="24"/>
        </w:rPr>
        <w:t xml:space="preserve">the </w:t>
      </w:r>
      <w:r w:rsidR="00FD61EB" w:rsidRPr="004E7D55">
        <w:rPr>
          <w:color w:val="000000"/>
          <w:szCs w:val="24"/>
        </w:rPr>
        <w:t>left knee pain condition as unfitting rated 0%; with application of the Veterans Administration Schedule for Rating Disabilities (</w:t>
      </w:r>
      <w:r w:rsidR="00FD61EB" w:rsidRPr="004E7D55">
        <w:rPr>
          <w:color w:val="auto"/>
          <w:szCs w:val="24"/>
        </w:rPr>
        <w:t>VASRD)</w:t>
      </w:r>
      <w:r w:rsidR="00A82D06" w:rsidRPr="004E7D55">
        <w:rPr>
          <w:color w:val="auto"/>
          <w:szCs w:val="24"/>
        </w:rPr>
        <w:t xml:space="preserve"> and possible application of the US Army Physical Disability (USAPDA) Pain Policy. </w:t>
      </w:r>
      <w:r w:rsidR="0018700C" w:rsidRPr="004E7D55">
        <w:rPr>
          <w:color w:val="auto"/>
        </w:rPr>
        <w:t xml:space="preserve"> </w:t>
      </w:r>
      <w:r w:rsidR="0018700C" w:rsidRPr="004E7D55">
        <w:rPr>
          <w:color w:val="auto"/>
          <w:szCs w:val="24"/>
        </w:rPr>
        <w:t>The</w:t>
      </w:r>
      <w:r w:rsidR="0018700C" w:rsidRPr="004E7D55">
        <w:rPr>
          <w:color w:val="000000"/>
          <w:szCs w:val="24"/>
        </w:rPr>
        <w:t xml:space="preserve"> CI appealed to a Formal PEB (FPEB)</w:t>
      </w:r>
      <w:r w:rsidR="006D4943" w:rsidRPr="004E7D55">
        <w:rPr>
          <w:color w:val="000000"/>
          <w:szCs w:val="24"/>
        </w:rPr>
        <w:t xml:space="preserve">, </w:t>
      </w:r>
      <w:r w:rsidR="0018700C" w:rsidRPr="004E7D55">
        <w:rPr>
          <w:color w:val="000000"/>
          <w:szCs w:val="24"/>
        </w:rPr>
        <w:t xml:space="preserve">which </w:t>
      </w:r>
      <w:r w:rsidR="00A82D06" w:rsidRPr="004E7D55">
        <w:rPr>
          <w:color w:val="000000"/>
          <w:szCs w:val="24"/>
        </w:rPr>
        <w:t>changed</w:t>
      </w:r>
      <w:r w:rsidR="0018700C" w:rsidRPr="004E7D55">
        <w:rPr>
          <w:color w:val="000000"/>
          <w:szCs w:val="24"/>
        </w:rPr>
        <w:t xml:space="preserve"> the IPEB findings</w:t>
      </w:r>
      <w:r w:rsidR="00A82D06" w:rsidRPr="004E7D55">
        <w:rPr>
          <w:color w:val="000000"/>
          <w:szCs w:val="24"/>
        </w:rPr>
        <w:t xml:space="preserve"> to unfit for each knee at 10% for each knee (combined 20%)</w:t>
      </w:r>
      <w:r w:rsidR="006E0B93" w:rsidRPr="004E7D55">
        <w:rPr>
          <w:color w:val="000000"/>
          <w:szCs w:val="24"/>
        </w:rPr>
        <w:t>, each being “existed prior to service (EPTS) and was not permanently aggravated by service, but was compensable IAW 10 USC 1207a</w:t>
      </w:r>
      <w:r w:rsidR="00A82D06" w:rsidRPr="004E7D55">
        <w:rPr>
          <w:color w:val="000000"/>
          <w:szCs w:val="24"/>
        </w:rPr>
        <w:t>.  The CI rebutted</w:t>
      </w:r>
      <w:r w:rsidR="00A82D06">
        <w:rPr>
          <w:color w:val="000000"/>
          <w:szCs w:val="24"/>
        </w:rPr>
        <w:t xml:space="preserve"> the FPEB determination</w:t>
      </w:r>
      <w:r w:rsidR="006B7512">
        <w:rPr>
          <w:color w:val="000000"/>
          <w:szCs w:val="24"/>
        </w:rPr>
        <w:t xml:space="preserve">.  The </w:t>
      </w:r>
      <w:r w:rsidR="00A82D06">
        <w:rPr>
          <w:color w:val="000000"/>
          <w:szCs w:val="24"/>
        </w:rPr>
        <w:t xml:space="preserve">formal hearing </w:t>
      </w:r>
      <w:r w:rsidR="006E0B93">
        <w:rPr>
          <w:color w:val="000000"/>
          <w:szCs w:val="24"/>
        </w:rPr>
        <w:t xml:space="preserve">EPTS </w:t>
      </w:r>
      <w:r w:rsidR="00A82D06">
        <w:rPr>
          <w:color w:val="000000"/>
          <w:szCs w:val="24"/>
        </w:rPr>
        <w:t>determination</w:t>
      </w:r>
      <w:r w:rsidR="006E0B93">
        <w:rPr>
          <w:color w:val="000000"/>
          <w:szCs w:val="24"/>
        </w:rPr>
        <w:t>s and ratings</w:t>
      </w:r>
      <w:r w:rsidR="006B7512">
        <w:rPr>
          <w:color w:val="000000"/>
          <w:szCs w:val="24"/>
        </w:rPr>
        <w:t xml:space="preserve"> were upheld and t</w:t>
      </w:r>
      <w:r w:rsidR="00A82D06">
        <w:rPr>
          <w:color w:val="000000"/>
          <w:szCs w:val="24"/>
        </w:rPr>
        <w:t xml:space="preserve">he CI </w:t>
      </w:r>
      <w:r w:rsidR="0018700C" w:rsidRPr="0018700C">
        <w:rPr>
          <w:color w:val="000000"/>
          <w:szCs w:val="24"/>
        </w:rPr>
        <w:t xml:space="preserve">was </w:t>
      </w:r>
      <w:r w:rsidR="006E0B93">
        <w:rPr>
          <w:color w:val="000000"/>
          <w:szCs w:val="24"/>
        </w:rPr>
        <w:t>subsequently</w:t>
      </w:r>
      <w:r w:rsidR="00A82D06">
        <w:rPr>
          <w:color w:val="000000"/>
          <w:szCs w:val="24"/>
        </w:rPr>
        <w:t xml:space="preserve"> </w:t>
      </w:r>
      <w:r w:rsidR="0018700C" w:rsidRPr="0018700C">
        <w:rPr>
          <w:color w:val="000000"/>
          <w:szCs w:val="24"/>
        </w:rPr>
        <w:t xml:space="preserve">medically separated with a 20% combined disability rating.  </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ED5284" w:rsidRPr="000718AB" w:rsidRDefault="002C6E5B" w:rsidP="000718AB">
      <w:pPr>
        <w:tabs>
          <w:tab w:val="left" w:pos="288"/>
          <w:tab w:val="left" w:pos="4752"/>
        </w:tabs>
        <w:jc w:val="both"/>
        <w:rPr>
          <w:color w:val="auto"/>
        </w:rPr>
      </w:pPr>
      <w:r w:rsidRPr="001F29F9">
        <w:rPr>
          <w:color w:val="000000"/>
          <w:u w:val="single"/>
        </w:rPr>
        <w:t>CI CONTENTION</w:t>
      </w:r>
      <w:r w:rsidRPr="001F29F9">
        <w:rPr>
          <w:color w:val="000000"/>
        </w:rPr>
        <w:t>:</w:t>
      </w:r>
      <w:r w:rsidR="00392365">
        <w:rPr>
          <w:color w:val="auto"/>
        </w:rPr>
        <w:t xml:space="preserve">  </w:t>
      </w:r>
      <w:r w:rsidR="000718AB">
        <w:rPr>
          <w:color w:val="auto"/>
        </w:rPr>
        <w:t>“During my M.E.B evaluation,</w:t>
      </w:r>
      <w:r w:rsidR="000718AB" w:rsidRPr="000718AB">
        <w:rPr>
          <w:color w:val="auto"/>
        </w:rPr>
        <w:t xml:space="preserve"> I feel the rating was not properly evaluated and rated</w:t>
      </w:r>
      <w:r w:rsidR="000718AB">
        <w:rPr>
          <w:color w:val="auto"/>
        </w:rPr>
        <w:t>”</w:t>
      </w:r>
      <w:r w:rsidR="000718AB" w:rsidRPr="000718AB">
        <w:rPr>
          <w:color w:val="auto"/>
        </w:rPr>
        <w:t>.</w:t>
      </w:r>
      <w:r w:rsidR="000718AB">
        <w:rPr>
          <w:color w:val="auto"/>
        </w:rPr>
        <w:t xml:space="preserve">  </w:t>
      </w:r>
    </w:p>
    <w:p w:rsidR="00023D69" w:rsidRPr="001F29F9" w:rsidRDefault="00023D69" w:rsidP="00BF0E94">
      <w:pPr>
        <w:pBdr>
          <w:bottom w:val="single" w:sz="12" w:space="1" w:color="auto"/>
        </w:pBdr>
        <w:tabs>
          <w:tab w:val="left" w:pos="288"/>
          <w:tab w:val="left" w:pos="4752"/>
        </w:tabs>
        <w:jc w:val="both"/>
        <w:rPr>
          <w:color w:val="000000"/>
        </w:rPr>
      </w:pPr>
    </w:p>
    <w:p w:rsidR="00E953D0" w:rsidRDefault="00E953D0" w:rsidP="00153C57">
      <w:pPr>
        <w:jc w:val="both"/>
        <w:rPr>
          <w:color w:val="auto"/>
          <w:u w:val="single"/>
        </w:rPr>
      </w:pPr>
    </w:p>
    <w:p w:rsidR="00153C57" w:rsidRPr="00F64312" w:rsidRDefault="00153C57" w:rsidP="00153C57">
      <w:pPr>
        <w:jc w:val="both"/>
        <w:rPr>
          <w:color w:val="auto"/>
        </w:rPr>
      </w:pPr>
      <w:r w:rsidRPr="00F64312">
        <w:rPr>
          <w:color w:val="auto"/>
          <w:u w:val="single"/>
        </w:rPr>
        <w:t>SCOPE OF REVIEW</w:t>
      </w:r>
      <w:r w:rsidRPr="00F64312">
        <w:rPr>
          <w:color w:val="auto"/>
        </w:rPr>
        <w:t>:  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w:t>
      </w:r>
      <w:r>
        <w:rPr>
          <w:color w:val="auto"/>
        </w:rPr>
        <w:t>.</w:t>
      </w:r>
      <w:r w:rsidRPr="00F64312">
        <w:rPr>
          <w:color w:val="auto"/>
        </w:rPr>
        <w:t xml:space="preserve">”  Any conditions or contention not requested in this application, or otherwise outside the Board’s defined scope of review, remain eligible for </w:t>
      </w:r>
      <w:r w:rsidRPr="00A970CE">
        <w:rPr>
          <w:color w:val="auto"/>
        </w:rPr>
        <w:t>future consideration by the Army Board for the Correction of Military Records (</w:t>
      </w:r>
      <w:r w:rsidR="006B7512">
        <w:rPr>
          <w:color w:val="auto"/>
        </w:rPr>
        <w:t>A</w:t>
      </w:r>
      <w:r w:rsidRPr="00A970CE">
        <w:rPr>
          <w:color w:val="auto"/>
        </w:rPr>
        <w:t>BCMR).</w:t>
      </w:r>
      <w:r w:rsidRPr="00F64312">
        <w:rPr>
          <w:color w:val="auto"/>
        </w:rPr>
        <w:t xml:space="preserve">  </w:t>
      </w:r>
    </w:p>
    <w:p w:rsidR="00153C57" w:rsidRPr="00F64312" w:rsidRDefault="00153C57" w:rsidP="00153C57">
      <w:pPr>
        <w:pBdr>
          <w:bottom w:val="single" w:sz="12" w:space="1" w:color="auto"/>
        </w:pBdr>
        <w:tabs>
          <w:tab w:val="left" w:pos="288"/>
          <w:tab w:val="left" w:pos="4752"/>
        </w:tabs>
        <w:jc w:val="both"/>
        <w:rPr>
          <w:color w:val="auto"/>
        </w:rPr>
      </w:pPr>
    </w:p>
    <w:p w:rsidR="00153C57" w:rsidRPr="00F64312" w:rsidRDefault="00153C57" w:rsidP="00153C57">
      <w:pPr>
        <w:tabs>
          <w:tab w:val="left" w:pos="288"/>
          <w:tab w:val="left" w:pos="4752"/>
        </w:tabs>
        <w:jc w:val="both"/>
        <w:rPr>
          <w:color w:val="auto"/>
        </w:rPr>
      </w:pPr>
    </w:p>
    <w:p w:rsidR="001537D8" w:rsidRPr="00392365" w:rsidRDefault="006E433F" w:rsidP="00BF0E94">
      <w:pPr>
        <w:jc w:val="left"/>
        <w:rPr>
          <w:color w:val="auto"/>
        </w:rPr>
      </w:pPr>
      <w:r>
        <w:rPr>
          <w:color w:val="000000"/>
          <w:u w:val="single"/>
        </w:rPr>
        <w:br w:type="page"/>
      </w:r>
      <w:r w:rsidR="007F0AB7" w:rsidRPr="001F29F9">
        <w:rPr>
          <w:color w:val="000000"/>
          <w:u w:val="single"/>
        </w:rPr>
        <w:lastRenderedPageBreak/>
        <w:t>R</w:t>
      </w:r>
      <w:r w:rsidR="002C6E5B" w:rsidRPr="001F29F9">
        <w:rPr>
          <w:color w:val="000000"/>
          <w:u w:val="single"/>
        </w:rPr>
        <w:t>ATING COMPARISON</w:t>
      </w:r>
      <w:r w:rsidR="002C6E5B" w:rsidRPr="001F29F9">
        <w:rPr>
          <w:color w:val="000000"/>
        </w:rPr>
        <w:t>:</w:t>
      </w:r>
    </w:p>
    <w:p w:rsidR="0025485E" w:rsidRPr="00392365" w:rsidRDefault="0025485E" w:rsidP="00392365">
      <w:pPr>
        <w:jc w:val="both"/>
        <w:rPr>
          <w:color w:val="auto"/>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630"/>
        <w:gridCol w:w="720"/>
        <w:gridCol w:w="2322"/>
        <w:gridCol w:w="1080"/>
        <w:gridCol w:w="828"/>
        <w:gridCol w:w="990"/>
      </w:tblGrid>
      <w:tr w:rsidR="0025485E" w:rsidRPr="00392365" w:rsidTr="00F74A4A">
        <w:trPr>
          <w:trHeight w:val="233"/>
          <w:jc w:val="center"/>
        </w:trPr>
        <w:tc>
          <w:tcPr>
            <w:tcW w:w="4158" w:type="dxa"/>
            <w:gridSpan w:val="3"/>
            <w:tcBorders>
              <w:right w:val="thinThickThinSmallGap" w:sz="24" w:space="0" w:color="auto"/>
            </w:tcBorders>
            <w:shd w:val="clear" w:color="auto" w:fill="D9D9D9"/>
            <w:vAlign w:val="center"/>
          </w:tcPr>
          <w:p w:rsidR="0025485E" w:rsidRPr="00392365" w:rsidRDefault="0025485E" w:rsidP="00F74A4A">
            <w:pPr>
              <w:contextualSpacing/>
              <w:rPr>
                <w:rFonts w:eastAsia="Calibri"/>
                <w:b/>
                <w:color w:val="auto"/>
                <w:sz w:val="18"/>
                <w:szCs w:val="18"/>
              </w:rPr>
            </w:pPr>
            <w:r w:rsidRPr="00A970CE">
              <w:rPr>
                <w:rFonts w:eastAsia="Calibri"/>
                <w:b/>
                <w:color w:val="auto"/>
                <w:sz w:val="18"/>
                <w:szCs w:val="18"/>
              </w:rPr>
              <w:t xml:space="preserve">Service </w:t>
            </w:r>
            <w:r w:rsidR="0090228D" w:rsidRPr="00A970CE">
              <w:rPr>
                <w:rFonts w:eastAsia="Calibri"/>
                <w:b/>
                <w:color w:val="auto"/>
                <w:sz w:val="18"/>
                <w:szCs w:val="18"/>
              </w:rPr>
              <w:t>F</w:t>
            </w:r>
            <w:r w:rsidRPr="00A970CE">
              <w:rPr>
                <w:rFonts w:eastAsia="Calibri"/>
                <w:b/>
                <w:color w:val="auto"/>
                <w:sz w:val="18"/>
                <w:szCs w:val="18"/>
              </w:rPr>
              <w:t>PEB –</w:t>
            </w:r>
            <w:r w:rsidRPr="00392365">
              <w:rPr>
                <w:rFonts w:eastAsia="Calibri"/>
                <w:b/>
                <w:color w:val="auto"/>
                <w:sz w:val="18"/>
                <w:szCs w:val="18"/>
              </w:rPr>
              <w:t xml:space="preserve"> Dated 200</w:t>
            </w:r>
            <w:r w:rsidR="0090228D" w:rsidRPr="00392365">
              <w:rPr>
                <w:rFonts w:eastAsia="Calibri"/>
                <w:b/>
                <w:color w:val="auto"/>
                <w:sz w:val="18"/>
                <w:szCs w:val="18"/>
              </w:rPr>
              <w:t>60809</w:t>
            </w:r>
          </w:p>
        </w:tc>
        <w:tc>
          <w:tcPr>
            <w:tcW w:w="5220" w:type="dxa"/>
            <w:gridSpan w:val="4"/>
            <w:tcBorders>
              <w:left w:val="thinThickThinSmallGap" w:sz="24" w:space="0" w:color="auto"/>
            </w:tcBorders>
            <w:shd w:val="clear" w:color="auto" w:fill="D9D9D9"/>
            <w:vAlign w:val="center"/>
          </w:tcPr>
          <w:p w:rsidR="0025485E" w:rsidRPr="00392365" w:rsidRDefault="0025485E" w:rsidP="00F74A4A">
            <w:pPr>
              <w:contextualSpacing/>
              <w:rPr>
                <w:rFonts w:eastAsia="Calibri"/>
                <w:b/>
                <w:color w:val="auto"/>
                <w:sz w:val="18"/>
                <w:szCs w:val="18"/>
              </w:rPr>
            </w:pPr>
            <w:r w:rsidRPr="00392365">
              <w:rPr>
                <w:rFonts w:eastAsia="Calibri"/>
                <w:b/>
                <w:color w:val="auto"/>
                <w:sz w:val="18"/>
                <w:szCs w:val="18"/>
              </w:rPr>
              <w:t>VA (</w:t>
            </w:r>
            <w:r w:rsidR="002D5969" w:rsidRPr="00392365">
              <w:rPr>
                <w:rFonts w:eastAsia="Calibri"/>
                <w:b/>
                <w:color w:val="auto"/>
                <w:sz w:val="18"/>
                <w:szCs w:val="18"/>
              </w:rPr>
              <w:t>4</w:t>
            </w:r>
            <w:r w:rsidRPr="00392365">
              <w:rPr>
                <w:rFonts w:eastAsia="Calibri"/>
                <w:b/>
                <w:color w:val="auto"/>
                <w:sz w:val="18"/>
                <w:szCs w:val="18"/>
              </w:rPr>
              <w:t xml:space="preserve"> Mo</w:t>
            </w:r>
            <w:r w:rsidR="002D5969" w:rsidRPr="00392365">
              <w:rPr>
                <w:rFonts w:eastAsia="Calibri"/>
                <w:b/>
                <w:color w:val="auto"/>
                <w:sz w:val="18"/>
                <w:szCs w:val="18"/>
              </w:rPr>
              <w:t>s</w:t>
            </w:r>
            <w:r w:rsidRPr="00392365">
              <w:rPr>
                <w:rFonts w:eastAsia="Calibri"/>
                <w:b/>
                <w:color w:val="auto"/>
                <w:sz w:val="18"/>
                <w:szCs w:val="18"/>
              </w:rPr>
              <w:t xml:space="preserve">. After Separation) – All Effective Date </w:t>
            </w:r>
            <w:r w:rsidR="00B97FD4" w:rsidRPr="00392365">
              <w:rPr>
                <w:rFonts w:eastAsia="Calibri"/>
                <w:b/>
                <w:color w:val="auto"/>
                <w:sz w:val="18"/>
                <w:szCs w:val="18"/>
              </w:rPr>
              <w:t>20061128</w:t>
            </w:r>
          </w:p>
        </w:tc>
      </w:tr>
      <w:tr w:rsidR="0025485E" w:rsidRPr="00392365" w:rsidTr="00A82D06">
        <w:trPr>
          <w:trHeight w:val="278"/>
          <w:jc w:val="center"/>
        </w:trPr>
        <w:tc>
          <w:tcPr>
            <w:tcW w:w="2808" w:type="dxa"/>
            <w:tcBorders>
              <w:bottom w:val="single" w:sz="4" w:space="0" w:color="000000"/>
              <w:right w:val="single" w:sz="4" w:space="0" w:color="auto"/>
            </w:tcBorders>
            <w:shd w:val="clear" w:color="auto" w:fill="D9D9D9"/>
            <w:vAlign w:val="center"/>
          </w:tcPr>
          <w:p w:rsidR="0025485E" w:rsidRPr="00392365" w:rsidRDefault="0025485E" w:rsidP="00F74A4A">
            <w:pPr>
              <w:contextualSpacing/>
              <w:rPr>
                <w:rFonts w:eastAsia="Calibri"/>
                <w:b/>
                <w:color w:val="auto"/>
                <w:sz w:val="18"/>
                <w:szCs w:val="18"/>
              </w:rPr>
            </w:pPr>
            <w:r w:rsidRPr="00392365">
              <w:rPr>
                <w:rFonts w:eastAsia="Calibri"/>
                <w:b/>
                <w:color w:val="auto"/>
                <w:sz w:val="18"/>
                <w:szCs w:val="18"/>
              </w:rPr>
              <w:t>Condition</w:t>
            </w:r>
          </w:p>
        </w:tc>
        <w:tc>
          <w:tcPr>
            <w:tcW w:w="630" w:type="dxa"/>
            <w:tcBorders>
              <w:left w:val="single" w:sz="4" w:space="0" w:color="auto"/>
              <w:bottom w:val="single" w:sz="4" w:space="0" w:color="000000"/>
            </w:tcBorders>
            <w:shd w:val="clear" w:color="auto" w:fill="D9D9D9"/>
            <w:vAlign w:val="center"/>
          </w:tcPr>
          <w:p w:rsidR="0025485E" w:rsidRPr="00392365" w:rsidRDefault="0025485E" w:rsidP="00F74A4A">
            <w:pPr>
              <w:contextualSpacing/>
              <w:rPr>
                <w:rFonts w:eastAsia="Calibri"/>
                <w:b/>
                <w:color w:val="auto"/>
                <w:sz w:val="18"/>
                <w:szCs w:val="18"/>
              </w:rPr>
            </w:pPr>
            <w:r w:rsidRPr="00392365">
              <w:rPr>
                <w:rFonts w:eastAsia="Calibri"/>
                <w:b/>
                <w:color w:val="auto"/>
                <w:sz w:val="18"/>
                <w:szCs w:val="18"/>
              </w:rPr>
              <w:t>Code</w:t>
            </w:r>
          </w:p>
        </w:tc>
        <w:tc>
          <w:tcPr>
            <w:tcW w:w="720" w:type="dxa"/>
            <w:tcBorders>
              <w:bottom w:val="single" w:sz="4" w:space="0" w:color="000000"/>
              <w:right w:val="thinThickThinSmallGap" w:sz="24" w:space="0" w:color="auto"/>
            </w:tcBorders>
            <w:shd w:val="clear" w:color="auto" w:fill="D9D9D9"/>
            <w:vAlign w:val="center"/>
          </w:tcPr>
          <w:p w:rsidR="0025485E" w:rsidRPr="00392365" w:rsidRDefault="0025485E" w:rsidP="00F74A4A">
            <w:pPr>
              <w:contextualSpacing/>
              <w:rPr>
                <w:rFonts w:eastAsia="Calibri"/>
                <w:b/>
                <w:color w:val="auto"/>
                <w:sz w:val="18"/>
                <w:szCs w:val="18"/>
              </w:rPr>
            </w:pPr>
            <w:r w:rsidRPr="00392365">
              <w:rPr>
                <w:rFonts w:eastAsia="Calibri"/>
                <w:b/>
                <w:color w:val="auto"/>
                <w:sz w:val="18"/>
                <w:szCs w:val="18"/>
              </w:rPr>
              <w:t>Rating</w:t>
            </w:r>
          </w:p>
        </w:tc>
        <w:tc>
          <w:tcPr>
            <w:tcW w:w="2322" w:type="dxa"/>
            <w:tcBorders>
              <w:left w:val="thinThickThinSmallGap" w:sz="24" w:space="0" w:color="auto"/>
              <w:bottom w:val="single" w:sz="4" w:space="0" w:color="000000"/>
            </w:tcBorders>
            <w:shd w:val="clear" w:color="auto" w:fill="D9D9D9"/>
            <w:vAlign w:val="center"/>
          </w:tcPr>
          <w:p w:rsidR="0025485E" w:rsidRPr="00392365" w:rsidRDefault="0025485E" w:rsidP="00F74A4A">
            <w:pPr>
              <w:contextualSpacing/>
              <w:rPr>
                <w:rFonts w:eastAsia="Calibri"/>
                <w:b/>
                <w:color w:val="auto"/>
                <w:sz w:val="18"/>
                <w:szCs w:val="18"/>
              </w:rPr>
            </w:pPr>
            <w:r w:rsidRPr="00392365">
              <w:rPr>
                <w:rFonts w:eastAsia="Calibri"/>
                <w:b/>
                <w:color w:val="auto"/>
                <w:sz w:val="18"/>
                <w:szCs w:val="18"/>
              </w:rPr>
              <w:t>Condition</w:t>
            </w:r>
          </w:p>
        </w:tc>
        <w:tc>
          <w:tcPr>
            <w:tcW w:w="1080" w:type="dxa"/>
            <w:tcBorders>
              <w:bottom w:val="single" w:sz="4" w:space="0" w:color="000000"/>
            </w:tcBorders>
            <w:shd w:val="clear" w:color="auto" w:fill="D9D9D9"/>
            <w:vAlign w:val="center"/>
          </w:tcPr>
          <w:p w:rsidR="0025485E" w:rsidRPr="00392365" w:rsidRDefault="0025485E" w:rsidP="00F74A4A">
            <w:pPr>
              <w:contextualSpacing/>
              <w:rPr>
                <w:rFonts w:eastAsia="Calibri"/>
                <w:b/>
                <w:color w:val="auto"/>
                <w:sz w:val="18"/>
                <w:szCs w:val="18"/>
              </w:rPr>
            </w:pPr>
            <w:r w:rsidRPr="00392365">
              <w:rPr>
                <w:rFonts w:eastAsia="Calibri"/>
                <w:b/>
                <w:color w:val="auto"/>
                <w:sz w:val="18"/>
                <w:szCs w:val="18"/>
              </w:rPr>
              <w:t>Code</w:t>
            </w:r>
          </w:p>
        </w:tc>
        <w:tc>
          <w:tcPr>
            <w:tcW w:w="828" w:type="dxa"/>
            <w:tcBorders>
              <w:bottom w:val="single" w:sz="4" w:space="0" w:color="000000"/>
            </w:tcBorders>
            <w:shd w:val="clear" w:color="auto" w:fill="D9D9D9"/>
            <w:vAlign w:val="center"/>
          </w:tcPr>
          <w:p w:rsidR="0025485E" w:rsidRPr="00392365" w:rsidRDefault="0025485E" w:rsidP="00F74A4A">
            <w:pPr>
              <w:contextualSpacing/>
              <w:rPr>
                <w:rFonts w:eastAsia="Calibri"/>
                <w:b/>
                <w:color w:val="auto"/>
                <w:sz w:val="18"/>
                <w:szCs w:val="18"/>
              </w:rPr>
            </w:pPr>
            <w:r w:rsidRPr="00392365">
              <w:rPr>
                <w:rFonts w:eastAsia="Calibri"/>
                <w:b/>
                <w:color w:val="auto"/>
                <w:sz w:val="18"/>
                <w:szCs w:val="18"/>
              </w:rPr>
              <w:t>Rating</w:t>
            </w:r>
          </w:p>
        </w:tc>
        <w:tc>
          <w:tcPr>
            <w:tcW w:w="990" w:type="dxa"/>
            <w:tcBorders>
              <w:bottom w:val="single" w:sz="4" w:space="0" w:color="000000"/>
            </w:tcBorders>
            <w:shd w:val="clear" w:color="auto" w:fill="D9D9D9"/>
            <w:vAlign w:val="center"/>
          </w:tcPr>
          <w:p w:rsidR="0025485E" w:rsidRPr="00392365" w:rsidRDefault="0025485E" w:rsidP="00F74A4A">
            <w:pPr>
              <w:contextualSpacing/>
              <w:rPr>
                <w:rFonts w:eastAsia="Calibri"/>
                <w:b/>
                <w:color w:val="auto"/>
                <w:sz w:val="18"/>
                <w:szCs w:val="18"/>
              </w:rPr>
            </w:pPr>
            <w:r w:rsidRPr="00392365">
              <w:rPr>
                <w:rFonts w:eastAsia="Calibri"/>
                <w:b/>
                <w:color w:val="auto"/>
                <w:sz w:val="18"/>
                <w:szCs w:val="18"/>
              </w:rPr>
              <w:t>Exam</w:t>
            </w:r>
          </w:p>
        </w:tc>
      </w:tr>
      <w:tr w:rsidR="00B97FD4" w:rsidRPr="00392365" w:rsidTr="00A82D06">
        <w:trPr>
          <w:trHeight w:val="287"/>
          <w:jc w:val="center"/>
        </w:trPr>
        <w:tc>
          <w:tcPr>
            <w:tcW w:w="2808" w:type="dxa"/>
            <w:tcBorders>
              <w:right w:val="single" w:sz="4" w:space="0" w:color="auto"/>
            </w:tcBorders>
            <w:shd w:val="clear" w:color="auto" w:fill="FFFFFF"/>
            <w:vAlign w:val="center"/>
          </w:tcPr>
          <w:p w:rsidR="00B97FD4" w:rsidRPr="00392365" w:rsidRDefault="00B97FD4" w:rsidP="00A82D06">
            <w:pPr>
              <w:spacing w:line="180" w:lineRule="exact"/>
              <w:contextualSpacing/>
              <w:jc w:val="left"/>
              <w:rPr>
                <w:color w:val="auto"/>
                <w:sz w:val="18"/>
                <w:szCs w:val="18"/>
              </w:rPr>
            </w:pPr>
            <w:r w:rsidRPr="00392365">
              <w:rPr>
                <w:color w:val="auto"/>
                <w:sz w:val="18"/>
                <w:szCs w:val="18"/>
              </w:rPr>
              <w:t>Chronic Right Knee Pain</w:t>
            </w:r>
            <w:r w:rsidR="00B0575F">
              <w:rPr>
                <w:color w:val="auto"/>
                <w:sz w:val="18"/>
                <w:szCs w:val="18"/>
              </w:rPr>
              <w:t xml:space="preserve"> …</w:t>
            </w:r>
          </w:p>
        </w:tc>
        <w:tc>
          <w:tcPr>
            <w:tcW w:w="630" w:type="dxa"/>
            <w:tcBorders>
              <w:left w:val="single" w:sz="4" w:space="0" w:color="auto"/>
            </w:tcBorders>
            <w:shd w:val="clear" w:color="auto" w:fill="FFFFFF"/>
            <w:vAlign w:val="center"/>
          </w:tcPr>
          <w:p w:rsidR="00B97FD4" w:rsidRPr="00392365" w:rsidRDefault="00B97FD4" w:rsidP="00F74A4A">
            <w:pPr>
              <w:spacing w:line="180" w:lineRule="exact"/>
              <w:contextualSpacing/>
              <w:rPr>
                <w:color w:val="auto"/>
                <w:sz w:val="18"/>
                <w:szCs w:val="18"/>
              </w:rPr>
            </w:pPr>
            <w:r w:rsidRPr="00392365">
              <w:rPr>
                <w:color w:val="auto"/>
                <w:sz w:val="18"/>
                <w:szCs w:val="18"/>
              </w:rPr>
              <w:t>5003</w:t>
            </w:r>
          </w:p>
        </w:tc>
        <w:tc>
          <w:tcPr>
            <w:tcW w:w="720" w:type="dxa"/>
            <w:tcBorders>
              <w:right w:val="thinThickThinSmallGap" w:sz="24" w:space="0" w:color="auto"/>
            </w:tcBorders>
            <w:shd w:val="clear" w:color="auto" w:fill="FFFFFF"/>
            <w:vAlign w:val="center"/>
          </w:tcPr>
          <w:p w:rsidR="00B97FD4" w:rsidRPr="00392365" w:rsidRDefault="00B97FD4" w:rsidP="00F74A4A">
            <w:pPr>
              <w:spacing w:line="180" w:lineRule="exact"/>
              <w:rPr>
                <w:color w:val="auto"/>
                <w:sz w:val="18"/>
                <w:szCs w:val="18"/>
              </w:rPr>
            </w:pPr>
            <w:r w:rsidRPr="00392365">
              <w:rPr>
                <w:color w:val="auto"/>
                <w:sz w:val="18"/>
                <w:szCs w:val="18"/>
              </w:rPr>
              <w:t>10%</w:t>
            </w:r>
          </w:p>
        </w:tc>
        <w:tc>
          <w:tcPr>
            <w:tcW w:w="2322" w:type="dxa"/>
            <w:tcBorders>
              <w:left w:val="thinThickThinSmallGap" w:sz="24" w:space="0" w:color="auto"/>
            </w:tcBorders>
            <w:shd w:val="clear" w:color="auto" w:fill="FFFFFF"/>
            <w:vAlign w:val="center"/>
          </w:tcPr>
          <w:p w:rsidR="00B97FD4" w:rsidRPr="00392365" w:rsidRDefault="00B97FD4" w:rsidP="00F74A4A">
            <w:pPr>
              <w:spacing w:line="180" w:lineRule="exact"/>
              <w:contextualSpacing/>
              <w:jc w:val="left"/>
              <w:rPr>
                <w:color w:val="auto"/>
                <w:sz w:val="18"/>
                <w:szCs w:val="18"/>
              </w:rPr>
            </w:pPr>
            <w:r w:rsidRPr="00392365">
              <w:rPr>
                <w:color w:val="auto"/>
                <w:sz w:val="18"/>
                <w:szCs w:val="18"/>
              </w:rPr>
              <w:t>Right Knee</w:t>
            </w:r>
            <w:r w:rsidR="00B0575F">
              <w:rPr>
                <w:color w:val="auto"/>
                <w:sz w:val="18"/>
                <w:szCs w:val="18"/>
              </w:rPr>
              <w:t>, DJD</w:t>
            </w:r>
          </w:p>
        </w:tc>
        <w:tc>
          <w:tcPr>
            <w:tcW w:w="1080" w:type="dxa"/>
            <w:shd w:val="clear" w:color="auto" w:fill="FFFFFF"/>
            <w:vAlign w:val="center"/>
          </w:tcPr>
          <w:p w:rsidR="00B97FD4" w:rsidRPr="00392365" w:rsidRDefault="00B97FD4" w:rsidP="00F74A4A">
            <w:pPr>
              <w:spacing w:line="180" w:lineRule="exact"/>
              <w:contextualSpacing/>
              <w:rPr>
                <w:color w:val="auto"/>
                <w:sz w:val="18"/>
                <w:szCs w:val="18"/>
              </w:rPr>
            </w:pPr>
            <w:r w:rsidRPr="00392365">
              <w:rPr>
                <w:color w:val="auto"/>
                <w:sz w:val="18"/>
                <w:szCs w:val="18"/>
              </w:rPr>
              <w:t>5010</w:t>
            </w:r>
          </w:p>
        </w:tc>
        <w:tc>
          <w:tcPr>
            <w:tcW w:w="828" w:type="dxa"/>
            <w:shd w:val="clear" w:color="auto" w:fill="FFFFFF"/>
            <w:vAlign w:val="center"/>
          </w:tcPr>
          <w:p w:rsidR="00B97FD4" w:rsidRPr="00392365" w:rsidRDefault="00B97FD4" w:rsidP="00F74A4A">
            <w:pPr>
              <w:spacing w:line="180" w:lineRule="exact"/>
              <w:contextualSpacing/>
              <w:rPr>
                <w:color w:val="auto"/>
                <w:sz w:val="18"/>
                <w:szCs w:val="18"/>
              </w:rPr>
            </w:pPr>
            <w:r w:rsidRPr="00392365">
              <w:rPr>
                <w:color w:val="auto"/>
                <w:sz w:val="18"/>
                <w:szCs w:val="18"/>
              </w:rPr>
              <w:t>10%</w:t>
            </w:r>
          </w:p>
        </w:tc>
        <w:tc>
          <w:tcPr>
            <w:tcW w:w="990" w:type="dxa"/>
            <w:shd w:val="clear" w:color="auto" w:fill="FFFFFF"/>
            <w:vAlign w:val="center"/>
          </w:tcPr>
          <w:p w:rsidR="00B97FD4" w:rsidRPr="00392365" w:rsidRDefault="002D5969" w:rsidP="00F74A4A">
            <w:pPr>
              <w:spacing w:line="180" w:lineRule="exact"/>
              <w:contextualSpacing/>
              <w:rPr>
                <w:color w:val="auto"/>
                <w:sz w:val="18"/>
                <w:szCs w:val="18"/>
              </w:rPr>
            </w:pPr>
            <w:r w:rsidRPr="00392365">
              <w:rPr>
                <w:color w:val="auto"/>
                <w:sz w:val="18"/>
                <w:szCs w:val="18"/>
              </w:rPr>
              <w:t>20070302</w:t>
            </w:r>
          </w:p>
        </w:tc>
      </w:tr>
      <w:tr w:rsidR="00B97FD4" w:rsidRPr="00392365" w:rsidTr="00A82D06">
        <w:trPr>
          <w:trHeight w:val="287"/>
          <w:jc w:val="center"/>
        </w:trPr>
        <w:tc>
          <w:tcPr>
            <w:tcW w:w="2808" w:type="dxa"/>
            <w:tcBorders>
              <w:right w:val="single" w:sz="4" w:space="0" w:color="auto"/>
            </w:tcBorders>
            <w:shd w:val="clear" w:color="auto" w:fill="FFFFFF"/>
            <w:vAlign w:val="center"/>
          </w:tcPr>
          <w:p w:rsidR="00B97FD4" w:rsidRPr="00392365" w:rsidRDefault="00B97FD4" w:rsidP="00A82D06">
            <w:pPr>
              <w:spacing w:line="180" w:lineRule="exact"/>
              <w:contextualSpacing/>
              <w:jc w:val="left"/>
              <w:rPr>
                <w:color w:val="auto"/>
                <w:sz w:val="18"/>
                <w:szCs w:val="18"/>
              </w:rPr>
            </w:pPr>
            <w:r w:rsidRPr="00392365">
              <w:rPr>
                <w:color w:val="auto"/>
                <w:sz w:val="18"/>
                <w:szCs w:val="18"/>
              </w:rPr>
              <w:t>Left Knee Pain</w:t>
            </w:r>
            <w:r w:rsidR="00B0575F">
              <w:rPr>
                <w:color w:val="auto"/>
                <w:sz w:val="18"/>
                <w:szCs w:val="18"/>
              </w:rPr>
              <w:t xml:space="preserve"> …</w:t>
            </w:r>
          </w:p>
        </w:tc>
        <w:tc>
          <w:tcPr>
            <w:tcW w:w="630" w:type="dxa"/>
            <w:tcBorders>
              <w:left w:val="single" w:sz="4" w:space="0" w:color="auto"/>
            </w:tcBorders>
            <w:shd w:val="clear" w:color="auto" w:fill="FFFFFF"/>
            <w:vAlign w:val="center"/>
          </w:tcPr>
          <w:p w:rsidR="00B97FD4" w:rsidRPr="00392365" w:rsidRDefault="00B97FD4" w:rsidP="00F74A4A">
            <w:pPr>
              <w:spacing w:line="180" w:lineRule="exact"/>
              <w:contextualSpacing/>
              <w:rPr>
                <w:color w:val="auto"/>
                <w:sz w:val="18"/>
                <w:szCs w:val="18"/>
              </w:rPr>
            </w:pPr>
            <w:r w:rsidRPr="00392365">
              <w:rPr>
                <w:color w:val="auto"/>
                <w:sz w:val="18"/>
                <w:szCs w:val="18"/>
              </w:rPr>
              <w:t>5003</w:t>
            </w:r>
          </w:p>
        </w:tc>
        <w:tc>
          <w:tcPr>
            <w:tcW w:w="720" w:type="dxa"/>
            <w:tcBorders>
              <w:right w:val="thinThickThinSmallGap" w:sz="24" w:space="0" w:color="auto"/>
            </w:tcBorders>
            <w:shd w:val="clear" w:color="auto" w:fill="FFFFFF"/>
            <w:vAlign w:val="center"/>
          </w:tcPr>
          <w:p w:rsidR="00B97FD4" w:rsidRPr="00392365" w:rsidRDefault="00B97FD4" w:rsidP="00F74A4A">
            <w:pPr>
              <w:spacing w:line="180" w:lineRule="exact"/>
              <w:rPr>
                <w:color w:val="auto"/>
                <w:sz w:val="18"/>
                <w:szCs w:val="18"/>
              </w:rPr>
            </w:pPr>
            <w:r w:rsidRPr="00392365">
              <w:rPr>
                <w:color w:val="auto"/>
                <w:sz w:val="18"/>
                <w:szCs w:val="18"/>
              </w:rPr>
              <w:t>10%</w:t>
            </w:r>
          </w:p>
        </w:tc>
        <w:tc>
          <w:tcPr>
            <w:tcW w:w="2322" w:type="dxa"/>
            <w:tcBorders>
              <w:left w:val="thinThickThinSmallGap" w:sz="24" w:space="0" w:color="auto"/>
              <w:right w:val="single" w:sz="4" w:space="0" w:color="auto"/>
            </w:tcBorders>
            <w:shd w:val="clear" w:color="auto" w:fill="FFFFFF"/>
            <w:vAlign w:val="center"/>
          </w:tcPr>
          <w:p w:rsidR="00B97FD4" w:rsidRPr="00392365" w:rsidRDefault="00B97FD4" w:rsidP="00F74A4A">
            <w:pPr>
              <w:spacing w:line="180" w:lineRule="exact"/>
              <w:contextualSpacing/>
              <w:jc w:val="left"/>
              <w:rPr>
                <w:color w:val="auto"/>
                <w:sz w:val="18"/>
                <w:szCs w:val="18"/>
              </w:rPr>
            </w:pPr>
            <w:r w:rsidRPr="00392365">
              <w:rPr>
                <w:color w:val="auto"/>
                <w:sz w:val="18"/>
                <w:szCs w:val="18"/>
              </w:rPr>
              <w:t>Left Knee</w:t>
            </w:r>
            <w:r w:rsidR="00B0575F">
              <w:rPr>
                <w:color w:val="auto"/>
                <w:sz w:val="18"/>
                <w:szCs w:val="18"/>
              </w:rPr>
              <w:t>, DJD</w:t>
            </w:r>
          </w:p>
        </w:tc>
        <w:tc>
          <w:tcPr>
            <w:tcW w:w="1080" w:type="dxa"/>
            <w:tcBorders>
              <w:left w:val="single" w:sz="4" w:space="0" w:color="auto"/>
            </w:tcBorders>
            <w:shd w:val="clear" w:color="auto" w:fill="FFFFFF"/>
            <w:vAlign w:val="center"/>
          </w:tcPr>
          <w:p w:rsidR="00B97FD4" w:rsidRPr="00392365" w:rsidRDefault="00B97FD4" w:rsidP="00F74A4A">
            <w:pPr>
              <w:spacing w:line="180" w:lineRule="exact"/>
              <w:contextualSpacing/>
              <w:rPr>
                <w:color w:val="auto"/>
                <w:sz w:val="18"/>
                <w:szCs w:val="18"/>
              </w:rPr>
            </w:pPr>
            <w:r w:rsidRPr="00392365">
              <w:rPr>
                <w:color w:val="auto"/>
                <w:sz w:val="18"/>
                <w:szCs w:val="18"/>
              </w:rPr>
              <w:t>5010</w:t>
            </w:r>
          </w:p>
        </w:tc>
        <w:tc>
          <w:tcPr>
            <w:tcW w:w="828" w:type="dxa"/>
            <w:shd w:val="clear" w:color="auto" w:fill="FFFFFF"/>
            <w:vAlign w:val="center"/>
          </w:tcPr>
          <w:p w:rsidR="00B97FD4" w:rsidRPr="00392365" w:rsidRDefault="00B97FD4" w:rsidP="00F74A4A">
            <w:pPr>
              <w:spacing w:line="180" w:lineRule="exact"/>
              <w:contextualSpacing/>
              <w:rPr>
                <w:color w:val="auto"/>
                <w:sz w:val="18"/>
                <w:szCs w:val="18"/>
              </w:rPr>
            </w:pPr>
            <w:r w:rsidRPr="00392365">
              <w:rPr>
                <w:color w:val="auto"/>
                <w:sz w:val="18"/>
                <w:szCs w:val="18"/>
              </w:rPr>
              <w:t>10%</w:t>
            </w:r>
          </w:p>
        </w:tc>
        <w:tc>
          <w:tcPr>
            <w:tcW w:w="990" w:type="dxa"/>
            <w:shd w:val="clear" w:color="auto" w:fill="FFFFFF"/>
            <w:vAlign w:val="center"/>
          </w:tcPr>
          <w:p w:rsidR="00B97FD4" w:rsidRPr="00392365" w:rsidRDefault="002D5969" w:rsidP="00F74A4A">
            <w:pPr>
              <w:spacing w:line="180" w:lineRule="exact"/>
              <w:contextualSpacing/>
              <w:rPr>
                <w:color w:val="auto"/>
                <w:sz w:val="18"/>
                <w:szCs w:val="18"/>
              </w:rPr>
            </w:pPr>
            <w:r w:rsidRPr="00392365">
              <w:rPr>
                <w:color w:val="auto"/>
                <w:sz w:val="18"/>
                <w:szCs w:val="18"/>
              </w:rPr>
              <w:t>20070302</w:t>
            </w:r>
          </w:p>
        </w:tc>
      </w:tr>
      <w:tr w:rsidR="00392365" w:rsidRPr="00392365" w:rsidTr="00D54960">
        <w:trPr>
          <w:trHeight w:val="287"/>
          <w:jc w:val="center"/>
        </w:trPr>
        <w:tc>
          <w:tcPr>
            <w:tcW w:w="4158" w:type="dxa"/>
            <w:gridSpan w:val="3"/>
            <w:vMerge w:val="restart"/>
            <w:tcBorders>
              <w:right w:val="thinThickThinSmallGap" w:sz="24" w:space="0" w:color="auto"/>
            </w:tcBorders>
            <w:shd w:val="clear" w:color="auto" w:fill="FFFFFF"/>
            <w:vAlign w:val="center"/>
          </w:tcPr>
          <w:p w:rsidR="00392365" w:rsidRPr="00392365" w:rsidRDefault="00392365" w:rsidP="00A82D06">
            <w:pPr>
              <w:spacing w:line="180" w:lineRule="exact"/>
              <w:contextualSpacing/>
              <w:rPr>
                <w:color w:val="auto"/>
                <w:sz w:val="18"/>
                <w:szCs w:val="18"/>
                <w:highlight w:val="yellow"/>
              </w:rPr>
            </w:pPr>
            <w:r w:rsidRPr="00392365">
              <w:rPr>
                <w:rFonts w:eastAsia="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vAlign w:val="center"/>
          </w:tcPr>
          <w:p w:rsidR="00392365" w:rsidRPr="00392365" w:rsidRDefault="00392365" w:rsidP="00F74A4A">
            <w:pPr>
              <w:spacing w:line="180" w:lineRule="exact"/>
              <w:contextualSpacing/>
              <w:jc w:val="left"/>
              <w:rPr>
                <w:color w:val="auto"/>
                <w:sz w:val="18"/>
                <w:szCs w:val="18"/>
              </w:rPr>
            </w:pPr>
            <w:r w:rsidRPr="00392365">
              <w:rPr>
                <w:color w:val="auto"/>
                <w:sz w:val="18"/>
                <w:szCs w:val="18"/>
              </w:rPr>
              <w:t>Obstructive Sleep Apnea</w:t>
            </w:r>
          </w:p>
        </w:tc>
        <w:tc>
          <w:tcPr>
            <w:tcW w:w="1080" w:type="dxa"/>
            <w:tcBorders>
              <w:left w:val="single" w:sz="4" w:space="0" w:color="auto"/>
            </w:tcBorders>
            <w:shd w:val="clear" w:color="auto" w:fill="FFFFFF"/>
            <w:vAlign w:val="center"/>
          </w:tcPr>
          <w:p w:rsidR="00392365" w:rsidRPr="00392365" w:rsidRDefault="00392365" w:rsidP="00F74A4A">
            <w:pPr>
              <w:spacing w:line="180" w:lineRule="exact"/>
              <w:contextualSpacing/>
              <w:rPr>
                <w:color w:val="auto"/>
                <w:sz w:val="18"/>
                <w:szCs w:val="18"/>
              </w:rPr>
            </w:pPr>
            <w:r w:rsidRPr="00392365">
              <w:rPr>
                <w:color w:val="auto"/>
                <w:sz w:val="18"/>
                <w:szCs w:val="18"/>
              </w:rPr>
              <w:t>6847</w:t>
            </w:r>
          </w:p>
        </w:tc>
        <w:tc>
          <w:tcPr>
            <w:tcW w:w="828" w:type="dxa"/>
            <w:shd w:val="clear" w:color="auto" w:fill="FFFFFF"/>
            <w:vAlign w:val="center"/>
          </w:tcPr>
          <w:p w:rsidR="00392365" w:rsidRPr="00392365" w:rsidRDefault="00392365" w:rsidP="00F74A4A">
            <w:pPr>
              <w:spacing w:line="180" w:lineRule="exact"/>
              <w:contextualSpacing/>
              <w:rPr>
                <w:color w:val="auto"/>
                <w:sz w:val="18"/>
                <w:szCs w:val="18"/>
              </w:rPr>
            </w:pPr>
            <w:r w:rsidRPr="00392365">
              <w:rPr>
                <w:color w:val="auto"/>
                <w:sz w:val="18"/>
                <w:szCs w:val="18"/>
              </w:rPr>
              <w:t>30%*</w:t>
            </w:r>
          </w:p>
        </w:tc>
        <w:tc>
          <w:tcPr>
            <w:tcW w:w="990" w:type="dxa"/>
            <w:shd w:val="clear" w:color="auto" w:fill="FFFFFF"/>
            <w:vAlign w:val="center"/>
          </w:tcPr>
          <w:p w:rsidR="00392365" w:rsidRPr="00392365" w:rsidRDefault="00392365" w:rsidP="00F74A4A">
            <w:pPr>
              <w:spacing w:line="180" w:lineRule="exact"/>
              <w:contextualSpacing/>
              <w:rPr>
                <w:color w:val="auto"/>
                <w:sz w:val="18"/>
                <w:szCs w:val="18"/>
              </w:rPr>
            </w:pPr>
            <w:r w:rsidRPr="00392365">
              <w:rPr>
                <w:color w:val="auto"/>
                <w:sz w:val="18"/>
                <w:szCs w:val="18"/>
              </w:rPr>
              <w:t>20070702</w:t>
            </w:r>
          </w:p>
        </w:tc>
      </w:tr>
      <w:tr w:rsidR="00392365" w:rsidRPr="00392365" w:rsidTr="00D54960">
        <w:trPr>
          <w:trHeight w:val="287"/>
          <w:jc w:val="center"/>
        </w:trPr>
        <w:tc>
          <w:tcPr>
            <w:tcW w:w="4158" w:type="dxa"/>
            <w:gridSpan w:val="3"/>
            <w:vMerge/>
            <w:tcBorders>
              <w:right w:val="thinThickThinSmallGap" w:sz="24" w:space="0" w:color="auto"/>
            </w:tcBorders>
            <w:shd w:val="clear" w:color="auto" w:fill="FFFFFF"/>
            <w:vAlign w:val="center"/>
          </w:tcPr>
          <w:p w:rsidR="00392365" w:rsidRPr="00392365" w:rsidRDefault="00392365" w:rsidP="00F74A4A">
            <w:pPr>
              <w:spacing w:line="180" w:lineRule="exact"/>
              <w:contextualSpacing/>
              <w:rPr>
                <w:color w:val="auto"/>
                <w:sz w:val="18"/>
                <w:szCs w:val="18"/>
                <w:highlight w:val="yellow"/>
              </w:rPr>
            </w:pPr>
          </w:p>
        </w:tc>
        <w:tc>
          <w:tcPr>
            <w:tcW w:w="2322" w:type="dxa"/>
            <w:tcBorders>
              <w:left w:val="thinThickThinSmallGap" w:sz="24" w:space="0" w:color="auto"/>
              <w:right w:val="single" w:sz="4" w:space="0" w:color="auto"/>
            </w:tcBorders>
            <w:shd w:val="clear" w:color="auto" w:fill="FFFFFF"/>
            <w:vAlign w:val="center"/>
          </w:tcPr>
          <w:p w:rsidR="00392365" w:rsidRPr="00392365" w:rsidRDefault="00392365" w:rsidP="00F74A4A">
            <w:pPr>
              <w:spacing w:line="180" w:lineRule="exact"/>
              <w:contextualSpacing/>
              <w:jc w:val="left"/>
              <w:rPr>
                <w:color w:val="auto"/>
                <w:sz w:val="18"/>
                <w:szCs w:val="18"/>
              </w:rPr>
            </w:pPr>
            <w:r w:rsidRPr="00392365">
              <w:rPr>
                <w:color w:val="auto"/>
                <w:sz w:val="18"/>
                <w:szCs w:val="18"/>
              </w:rPr>
              <w:t>PTSD</w:t>
            </w:r>
          </w:p>
        </w:tc>
        <w:tc>
          <w:tcPr>
            <w:tcW w:w="1080" w:type="dxa"/>
            <w:tcBorders>
              <w:left w:val="single" w:sz="4" w:space="0" w:color="auto"/>
            </w:tcBorders>
            <w:shd w:val="clear" w:color="auto" w:fill="FFFFFF"/>
            <w:vAlign w:val="center"/>
          </w:tcPr>
          <w:p w:rsidR="00392365" w:rsidRPr="00392365" w:rsidRDefault="00392365" w:rsidP="00F74A4A">
            <w:pPr>
              <w:spacing w:line="180" w:lineRule="exact"/>
              <w:contextualSpacing/>
              <w:rPr>
                <w:color w:val="auto"/>
                <w:sz w:val="18"/>
                <w:szCs w:val="18"/>
              </w:rPr>
            </w:pPr>
            <w:r w:rsidRPr="00392365">
              <w:rPr>
                <w:color w:val="auto"/>
                <w:sz w:val="18"/>
                <w:szCs w:val="18"/>
              </w:rPr>
              <w:t>9411</w:t>
            </w:r>
          </w:p>
        </w:tc>
        <w:tc>
          <w:tcPr>
            <w:tcW w:w="828" w:type="dxa"/>
            <w:shd w:val="clear" w:color="auto" w:fill="FFFFFF"/>
            <w:vAlign w:val="center"/>
          </w:tcPr>
          <w:p w:rsidR="00392365" w:rsidRPr="00392365" w:rsidRDefault="00392365" w:rsidP="00F74A4A">
            <w:pPr>
              <w:spacing w:line="180" w:lineRule="exact"/>
              <w:contextualSpacing/>
              <w:rPr>
                <w:color w:val="auto"/>
                <w:sz w:val="18"/>
                <w:szCs w:val="18"/>
              </w:rPr>
            </w:pPr>
            <w:r w:rsidRPr="00392365">
              <w:rPr>
                <w:color w:val="auto"/>
                <w:sz w:val="18"/>
                <w:szCs w:val="18"/>
              </w:rPr>
              <w:t>30%</w:t>
            </w:r>
          </w:p>
        </w:tc>
        <w:tc>
          <w:tcPr>
            <w:tcW w:w="990" w:type="dxa"/>
            <w:shd w:val="clear" w:color="auto" w:fill="FFFFFF"/>
            <w:vAlign w:val="center"/>
          </w:tcPr>
          <w:p w:rsidR="00392365" w:rsidRPr="00392365" w:rsidRDefault="00392365" w:rsidP="00F74A4A">
            <w:pPr>
              <w:spacing w:line="180" w:lineRule="exact"/>
              <w:contextualSpacing/>
              <w:rPr>
                <w:color w:val="auto"/>
                <w:sz w:val="18"/>
                <w:szCs w:val="18"/>
              </w:rPr>
            </w:pPr>
            <w:r w:rsidRPr="00392365">
              <w:rPr>
                <w:color w:val="auto"/>
                <w:sz w:val="18"/>
                <w:szCs w:val="18"/>
              </w:rPr>
              <w:t>20070306</w:t>
            </w:r>
          </w:p>
        </w:tc>
      </w:tr>
      <w:tr w:rsidR="00392365" w:rsidRPr="00392365" w:rsidTr="00D54960">
        <w:trPr>
          <w:trHeight w:val="287"/>
          <w:jc w:val="center"/>
        </w:trPr>
        <w:tc>
          <w:tcPr>
            <w:tcW w:w="4158" w:type="dxa"/>
            <w:gridSpan w:val="3"/>
            <w:vMerge/>
            <w:tcBorders>
              <w:right w:val="thinThickThinSmallGap" w:sz="24" w:space="0" w:color="auto"/>
            </w:tcBorders>
            <w:shd w:val="clear" w:color="auto" w:fill="FFFFFF"/>
            <w:vAlign w:val="center"/>
          </w:tcPr>
          <w:p w:rsidR="00392365" w:rsidRPr="00392365" w:rsidRDefault="00392365" w:rsidP="00F74A4A">
            <w:pPr>
              <w:spacing w:line="180" w:lineRule="exact"/>
              <w:contextualSpacing/>
              <w:rPr>
                <w:color w:val="auto"/>
                <w:sz w:val="18"/>
                <w:szCs w:val="18"/>
              </w:rPr>
            </w:pPr>
          </w:p>
        </w:tc>
        <w:tc>
          <w:tcPr>
            <w:tcW w:w="4230" w:type="dxa"/>
            <w:gridSpan w:val="3"/>
            <w:tcBorders>
              <w:left w:val="thinThickThinSmallGap" w:sz="24" w:space="0" w:color="auto"/>
            </w:tcBorders>
            <w:shd w:val="clear" w:color="auto" w:fill="FFFFFF"/>
            <w:vAlign w:val="center"/>
          </w:tcPr>
          <w:p w:rsidR="00392365" w:rsidRPr="00392365" w:rsidRDefault="00392365" w:rsidP="00F74A4A">
            <w:pPr>
              <w:spacing w:line="180" w:lineRule="exact"/>
              <w:contextualSpacing/>
              <w:rPr>
                <w:color w:val="auto"/>
                <w:sz w:val="18"/>
                <w:szCs w:val="18"/>
              </w:rPr>
            </w:pPr>
            <w:r w:rsidRPr="00392365">
              <w:rPr>
                <w:rFonts w:eastAsia="Calibri"/>
                <w:color w:val="auto"/>
                <w:sz w:val="18"/>
                <w:szCs w:val="18"/>
              </w:rPr>
              <w:t>0% x 0/Not Service Connected x 2</w:t>
            </w:r>
          </w:p>
        </w:tc>
        <w:tc>
          <w:tcPr>
            <w:tcW w:w="990" w:type="dxa"/>
            <w:shd w:val="clear" w:color="auto" w:fill="FFFFFF"/>
            <w:vAlign w:val="center"/>
          </w:tcPr>
          <w:p w:rsidR="00392365" w:rsidRPr="00392365" w:rsidRDefault="00392365" w:rsidP="00F74A4A">
            <w:pPr>
              <w:spacing w:line="180" w:lineRule="exact"/>
              <w:contextualSpacing/>
              <w:rPr>
                <w:color w:val="auto"/>
                <w:sz w:val="18"/>
                <w:szCs w:val="18"/>
                <w:highlight w:val="yellow"/>
              </w:rPr>
            </w:pPr>
            <w:r w:rsidRPr="00392365">
              <w:rPr>
                <w:color w:val="auto"/>
                <w:sz w:val="18"/>
                <w:szCs w:val="18"/>
              </w:rPr>
              <w:t>20070302</w:t>
            </w:r>
          </w:p>
        </w:tc>
      </w:tr>
      <w:tr w:rsidR="00B97FD4" w:rsidRPr="00392365" w:rsidTr="00F74A4A">
        <w:trPr>
          <w:trHeight w:val="242"/>
          <w:jc w:val="center"/>
        </w:trPr>
        <w:tc>
          <w:tcPr>
            <w:tcW w:w="4158" w:type="dxa"/>
            <w:gridSpan w:val="3"/>
            <w:tcBorders>
              <w:right w:val="thinThickThinSmallGap" w:sz="24" w:space="0" w:color="auto"/>
            </w:tcBorders>
            <w:shd w:val="clear" w:color="auto" w:fill="D9D9D9"/>
            <w:vAlign w:val="center"/>
          </w:tcPr>
          <w:p w:rsidR="00B97FD4" w:rsidRPr="00392365" w:rsidRDefault="00B97FD4" w:rsidP="00F74A4A">
            <w:pPr>
              <w:contextualSpacing/>
              <w:rPr>
                <w:rFonts w:eastAsia="Calibri"/>
                <w:b/>
                <w:color w:val="auto"/>
                <w:sz w:val="18"/>
                <w:szCs w:val="18"/>
              </w:rPr>
            </w:pPr>
            <w:r w:rsidRPr="00392365">
              <w:rPr>
                <w:rFonts w:eastAsia="Calibri"/>
                <w:b/>
                <w:color w:val="auto"/>
                <w:sz w:val="18"/>
                <w:szCs w:val="18"/>
              </w:rPr>
              <w:t>Combined:  20%</w:t>
            </w:r>
          </w:p>
        </w:tc>
        <w:tc>
          <w:tcPr>
            <w:tcW w:w="5220" w:type="dxa"/>
            <w:gridSpan w:val="4"/>
            <w:tcBorders>
              <w:left w:val="thinThickThinSmallGap" w:sz="24" w:space="0" w:color="auto"/>
            </w:tcBorders>
            <w:shd w:val="clear" w:color="auto" w:fill="D9D9D9"/>
            <w:vAlign w:val="center"/>
          </w:tcPr>
          <w:p w:rsidR="00B97FD4" w:rsidRPr="00392365" w:rsidRDefault="00B97FD4" w:rsidP="00392365">
            <w:pPr>
              <w:contextualSpacing/>
              <w:rPr>
                <w:rFonts w:eastAsia="Calibri"/>
                <w:b/>
                <w:color w:val="auto"/>
                <w:sz w:val="18"/>
                <w:szCs w:val="18"/>
              </w:rPr>
            </w:pPr>
            <w:r w:rsidRPr="00392365">
              <w:rPr>
                <w:rFonts w:eastAsia="Calibri"/>
                <w:b/>
                <w:color w:val="auto"/>
                <w:sz w:val="18"/>
                <w:szCs w:val="18"/>
              </w:rPr>
              <w:t>Combined:  60%</w:t>
            </w:r>
          </w:p>
        </w:tc>
      </w:tr>
    </w:tbl>
    <w:p w:rsidR="0025485E" w:rsidRPr="00392365" w:rsidRDefault="0025485E" w:rsidP="00392365">
      <w:pPr>
        <w:pBdr>
          <w:bottom w:val="single" w:sz="12" w:space="1" w:color="auto"/>
        </w:pBdr>
        <w:tabs>
          <w:tab w:val="left" w:pos="288"/>
          <w:tab w:val="left" w:pos="4752"/>
        </w:tabs>
        <w:spacing w:line="180" w:lineRule="exact"/>
        <w:jc w:val="both"/>
        <w:rPr>
          <w:color w:val="auto"/>
          <w:sz w:val="18"/>
          <w:szCs w:val="18"/>
        </w:rPr>
      </w:pPr>
      <w:r w:rsidRPr="00392365">
        <w:rPr>
          <w:color w:val="auto"/>
          <w:sz w:val="18"/>
          <w:szCs w:val="18"/>
        </w:rPr>
        <w:t xml:space="preserve">* </w:t>
      </w:r>
      <w:r w:rsidR="00B97FD4" w:rsidRPr="00392365">
        <w:rPr>
          <w:color w:val="auto"/>
          <w:sz w:val="18"/>
          <w:szCs w:val="18"/>
        </w:rPr>
        <w:t xml:space="preserve">Added </w:t>
      </w:r>
      <w:r w:rsidR="00B0575F">
        <w:rPr>
          <w:color w:val="auto"/>
          <w:sz w:val="18"/>
          <w:szCs w:val="18"/>
        </w:rPr>
        <w:t xml:space="preserve">OSA </w:t>
      </w:r>
      <w:r w:rsidR="00B97FD4" w:rsidRPr="00392365">
        <w:rPr>
          <w:color w:val="auto"/>
          <w:sz w:val="18"/>
          <w:szCs w:val="18"/>
        </w:rPr>
        <w:t>6847 at 30% on VARD dated 20070827.  Increased 6847 to 50% effective 20070925 on VARD dated 20080126</w:t>
      </w:r>
      <w:r w:rsidR="00B0575F">
        <w:rPr>
          <w:color w:val="auto"/>
          <w:sz w:val="18"/>
          <w:szCs w:val="18"/>
        </w:rPr>
        <w:t xml:space="preserve"> (combined 70%)</w:t>
      </w:r>
      <w:r w:rsidR="00B97FD4" w:rsidRPr="00392365">
        <w:rPr>
          <w:color w:val="auto"/>
          <w:sz w:val="18"/>
          <w:szCs w:val="18"/>
        </w:rPr>
        <w:t>.</w:t>
      </w:r>
      <w:r w:rsidR="00392365" w:rsidRPr="00392365">
        <w:rPr>
          <w:color w:val="auto"/>
          <w:sz w:val="18"/>
          <w:szCs w:val="18"/>
        </w:rPr>
        <w:t xml:space="preserve"> </w:t>
      </w:r>
      <w:r w:rsidR="00A970CE">
        <w:rPr>
          <w:color w:val="auto"/>
          <w:sz w:val="18"/>
          <w:szCs w:val="18"/>
        </w:rPr>
        <w:t xml:space="preserve"> </w:t>
      </w:r>
    </w:p>
    <w:p w:rsidR="000718AB" w:rsidRDefault="000718AB" w:rsidP="00A97CD9">
      <w:pPr>
        <w:pBdr>
          <w:bottom w:val="single" w:sz="12" w:space="1" w:color="auto"/>
        </w:pBdr>
        <w:tabs>
          <w:tab w:val="left" w:pos="288"/>
          <w:tab w:val="left" w:pos="4752"/>
        </w:tabs>
        <w:jc w:val="both"/>
        <w:rPr>
          <w:color w:val="000000"/>
          <w:szCs w:val="24"/>
        </w:rPr>
      </w:pPr>
    </w:p>
    <w:p w:rsidR="00D730BC" w:rsidRDefault="00D730BC" w:rsidP="00023D69">
      <w:pPr>
        <w:jc w:val="left"/>
        <w:rPr>
          <w:b/>
          <w:color w:val="000000"/>
          <w:u w:val="single"/>
        </w:rPr>
      </w:pPr>
    </w:p>
    <w:p w:rsidR="00B505E9" w:rsidRPr="00B505E9" w:rsidRDefault="002C6E5B" w:rsidP="00392365">
      <w:pPr>
        <w:jc w:val="both"/>
        <w:rPr>
          <w:color w:val="000000"/>
          <w:szCs w:val="24"/>
        </w:rPr>
      </w:pPr>
      <w:r w:rsidRPr="001F29F9">
        <w:rPr>
          <w:color w:val="000000"/>
          <w:szCs w:val="24"/>
          <w:u w:val="single"/>
        </w:rPr>
        <w:t>ANALYSIS SUMMARY</w:t>
      </w:r>
      <w:r w:rsidRPr="001F29F9">
        <w:rPr>
          <w:color w:val="000000"/>
          <w:szCs w:val="24"/>
        </w:rPr>
        <w:t>:</w:t>
      </w:r>
      <w:r w:rsidR="00B505E9">
        <w:rPr>
          <w:color w:val="000000"/>
          <w:szCs w:val="24"/>
        </w:rPr>
        <w:t xml:space="preserve">  </w:t>
      </w:r>
      <w:r w:rsidR="00290B82" w:rsidRPr="00290B82">
        <w:rPr>
          <w:color w:val="000000"/>
          <w:szCs w:val="24"/>
        </w:rPr>
        <w:t>The Board acknowledges the sentiment expr</w:t>
      </w:r>
      <w:r w:rsidR="00290B82">
        <w:rPr>
          <w:color w:val="000000"/>
          <w:szCs w:val="24"/>
        </w:rPr>
        <w:t xml:space="preserve">essed in the CI’s application, </w:t>
      </w:r>
      <w:r w:rsidR="00290B82" w:rsidRPr="00290B82">
        <w:rPr>
          <w:color w:val="000000"/>
          <w:szCs w:val="24"/>
        </w:rPr>
        <w:t>that</w:t>
      </w:r>
      <w:r w:rsidR="00290B82" w:rsidRPr="00290B82">
        <w:rPr>
          <w:color w:val="auto"/>
        </w:rPr>
        <w:t xml:space="preserve"> </w:t>
      </w:r>
      <w:r w:rsidR="00290B82" w:rsidRPr="000718AB">
        <w:rPr>
          <w:color w:val="auto"/>
        </w:rPr>
        <w:t>the rating was not properly evaluated and rated</w:t>
      </w:r>
      <w:r w:rsidR="00290B82" w:rsidRPr="00290B82">
        <w:rPr>
          <w:color w:val="000000"/>
          <w:szCs w:val="24"/>
        </w:rPr>
        <w:t>.</w:t>
      </w:r>
      <w:r w:rsidR="00290B82" w:rsidRPr="00290B82">
        <w:t xml:space="preserve"> </w:t>
      </w:r>
      <w:r w:rsidR="00290B82">
        <w:t xml:space="preserve"> </w:t>
      </w:r>
      <w:r w:rsidR="00290B82" w:rsidRPr="00290B82">
        <w:rPr>
          <w:color w:val="000000"/>
          <w:szCs w:val="24"/>
        </w:rPr>
        <w:t xml:space="preserve">It is a fact, however, that the DES has neither the role nor the authority to compensate service members for anticipated future severity or potential complications of conditions resulting in medical separation. </w:t>
      </w:r>
      <w:r w:rsidR="00290B82">
        <w:rPr>
          <w:color w:val="000000"/>
          <w:szCs w:val="24"/>
        </w:rPr>
        <w:t xml:space="preserve"> </w:t>
      </w:r>
      <w:r w:rsidR="00290B82" w:rsidRPr="00290B82">
        <w:rPr>
          <w:color w:val="000000"/>
          <w:szCs w:val="24"/>
        </w:rPr>
        <w:t xml:space="preserve">This role and authority is granted by Congress to the </w:t>
      </w:r>
      <w:r w:rsidR="006B7512">
        <w:rPr>
          <w:color w:val="000000"/>
          <w:szCs w:val="24"/>
        </w:rPr>
        <w:t xml:space="preserve">Department of </w:t>
      </w:r>
      <w:r w:rsidR="00290B82" w:rsidRPr="00290B82">
        <w:rPr>
          <w:color w:val="000000"/>
          <w:szCs w:val="24"/>
        </w:rPr>
        <w:t>Veterans</w:t>
      </w:r>
      <w:r w:rsidR="006B7512">
        <w:rPr>
          <w:color w:val="000000"/>
          <w:szCs w:val="24"/>
        </w:rPr>
        <w:t>'</w:t>
      </w:r>
      <w:r w:rsidR="00290B82" w:rsidRPr="00290B82">
        <w:rPr>
          <w:color w:val="000000"/>
          <w:szCs w:val="24"/>
        </w:rPr>
        <w:t xml:space="preserve"> A</w:t>
      </w:r>
      <w:r w:rsidR="006B7512">
        <w:rPr>
          <w:color w:val="000000"/>
          <w:szCs w:val="24"/>
        </w:rPr>
        <w:t>ffairs</w:t>
      </w:r>
      <w:r w:rsidR="00290B82" w:rsidRPr="00290B82">
        <w:rPr>
          <w:color w:val="000000"/>
          <w:szCs w:val="24"/>
        </w:rPr>
        <w:t>.</w:t>
      </w:r>
      <w:r w:rsidR="00290B82" w:rsidRPr="00290B82">
        <w:t xml:space="preserve"> </w:t>
      </w:r>
      <w:r w:rsidR="00290B82">
        <w:t xml:space="preserve"> </w:t>
      </w:r>
      <w:r w:rsidR="00290B82" w:rsidRPr="00290B82">
        <w:rPr>
          <w:color w:val="000000"/>
          <w:szCs w:val="24"/>
        </w:rPr>
        <w:t xml:space="preserve">The Board utilizes </w:t>
      </w:r>
      <w:r w:rsidR="006B7512">
        <w:rPr>
          <w:color w:val="000000"/>
          <w:szCs w:val="24"/>
        </w:rPr>
        <w:t>D</w:t>
      </w:r>
      <w:r w:rsidR="00290B82" w:rsidRPr="00290B82">
        <w:rPr>
          <w:color w:val="000000"/>
          <w:szCs w:val="24"/>
        </w:rPr>
        <w:t xml:space="preserve">VA evidence proximal to separation in arriving at its recommendations; and, DoDI 6040.44 defines a 12-month interval for special consideration to post-separation evidence. </w:t>
      </w:r>
      <w:r w:rsidR="00290B82">
        <w:rPr>
          <w:color w:val="000000"/>
          <w:szCs w:val="24"/>
        </w:rPr>
        <w:t xml:space="preserve"> </w:t>
      </w:r>
      <w:r w:rsidR="00290B82" w:rsidRPr="00290B82">
        <w:rPr>
          <w:color w:val="000000"/>
          <w:szCs w:val="24"/>
        </w:rPr>
        <w:t xml:space="preserve">The Board’s authority as defined in DoDI 6040.44, however, resides in evaluating the fairness of DES fitness determinations and rating decisions for disability at the time of separation. </w:t>
      </w:r>
      <w:r w:rsidR="00290B82">
        <w:rPr>
          <w:color w:val="000000"/>
          <w:szCs w:val="24"/>
        </w:rPr>
        <w:t xml:space="preserve"> </w:t>
      </w:r>
      <w:r w:rsidR="00290B82" w:rsidRPr="00290B82">
        <w:rPr>
          <w:color w:val="000000"/>
          <w:szCs w:val="24"/>
        </w:rPr>
        <w:t>Post-separation evidence therefore is probative only to the extent that it reasonably reflects the disability and fitness implications at the time of separation</w:t>
      </w:r>
      <w:r w:rsidR="00290B82">
        <w:rPr>
          <w:color w:val="000000"/>
          <w:szCs w:val="24"/>
        </w:rPr>
        <w:t xml:space="preserve">.  </w:t>
      </w:r>
    </w:p>
    <w:p w:rsidR="004C60A3" w:rsidRDefault="004C60A3" w:rsidP="00BF0E94">
      <w:pPr>
        <w:jc w:val="left"/>
        <w:rPr>
          <w:color w:val="000000"/>
          <w:szCs w:val="24"/>
          <w:u w:val="single"/>
        </w:rPr>
      </w:pPr>
    </w:p>
    <w:p w:rsidR="006E433F" w:rsidRDefault="00C8043C" w:rsidP="004E7D55">
      <w:pPr>
        <w:jc w:val="both"/>
        <w:rPr>
          <w:rFonts w:cs="Times New Roman"/>
          <w:color w:val="auto"/>
          <w:szCs w:val="24"/>
        </w:rPr>
      </w:pPr>
      <w:r w:rsidRPr="000102A3">
        <w:rPr>
          <w:color w:val="000000"/>
          <w:szCs w:val="24"/>
          <w:u w:val="single"/>
        </w:rPr>
        <w:t xml:space="preserve">Chronic Right </w:t>
      </w:r>
      <w:r w:rsidR="00107759">
        <w:rPr>
          <w:color w:val="000000"/>
          <w:szCs w:val="24"/>
          <w:u w:val="single"/>
        </w:rPr>
        <w:t xml:space="preserve">and left </w:t>
      </w:r>
      <w:r w:rsidRPr="000102A3">
        <w:rPr>
          <w:color w:val="000000"/>
          <w:szCs w:val="24"/>
          <w:u w:val="single"/>
        </w:rPr>
        <w:t xml:space="preserve">Knee Pain </w:t>
      </w:r>
      <w:r w:rsidR="003F2EEE" w:rsidRPr="000102A3">
        <w:rPr>
          <w:color w:val="000000"/>
          <w:szCs w:val="24"/>
          <w:u w:val="single"/>
        </w:rPr>
        <w:t>Condition</w:t>
      </w:r>
      <w:r w:rsidR="00392365">
        <w:rPr>
          <w:color w:val="000000"/>
          <w:szCs w:val="24"/>
        </w:rPr>
        <w:t xml:space="preserve">.  </w:t>
      </w:r>
      <w:r w:rsidR="00030A06">
        <w:rPr>
          <w:color w:val="000000"/>
          <w:szCs w:val="24"/>
        </w:rPr>
        <w:t xml:space="preserve">The </w:t>
      </w:r>
      <w:r w:rsidR="00030A06">
        <w:rPr>
          <w:color w:val="auto"/>
          <w:szCs w:val="24"/>
        </w:rPr>
        <w:t>F</w:t>
      </w:r>
      <w:r w:rsidR="00030A06" w:rsidRPr="00030A06">
        <w:rPr>
          <w:color w:val="auto"/>
          <w:szCs w:val="24"/>
        </w:rPr>
        <w:t xml:space="preserve">PEB determined the CI’s left and right knee conditions were both </w:t>
      </w:r>
      <w:r w:rsidR="00030A06">
        <w:rPr>
          <w:color w:val="auto"/>
          <w:szCs w:val="24"/>
        </w:rPr>
        <w:t>unfitting and ratable</w:t>
      </w:r>
      <w:r w:rsidR="00030A06" w:rsidRPr="00030A06">
        <w:rPr>
          <w:color w:val="auto"/>
          <w:szCs w:val="18"/>
        </w:rPr>
        <w:t>.  There was no deduction made for any EPTS component</w:t>
      </w:r>
      <w:r w:rsidR="00030A06">
        <w:rPr>
          <w:color w:val="auto"/>
          <w:szCs w:val="18"/>
        </w:rPr>
        <w:t xml:space="preserve">, and the Board will not deduct for any EPTS component.  </w:t>
      </w:r>
      <w:r w:rsidR="00107759">
        <w:rPr>
          <w:color w:val="000000"/>
          <w:szCs w:val="24"/>
        </w:rPr>
        <w:t xml:space="preserve">The CI initially complained of knee pain in </w:t>
      </w:r>
      <w:r w:rsidR="00107759" w:rsidRPr="004E7D55">
        <w:rPr>
          <w:color w:val="000000"/>
          <w:szCs w:val="24"/>
        </w:rPr>
        <w:t>August of 2004 when he sustained an injury during his deployment to Iraq while running during a mortar alert.  He was able to complete his tour</w:t>
      </w:r>
      <w:r w:rsidR="008E367E" w:rsidRPr="004E7D55">
        <w:rPr>
          <w:color w:val="000000"/>
          <w:szCs w:val="24"/>
        </w:rPr>
        <w:t xml:space="preserve">.  Post-deployment </w:t>
      </w:r>
      <w:r w:rsidR="00107759" w:rsidRPr="004E7D55">
        <w:rPr>
          <w:color w:val="000000"/>
          <w:szCs w:val="24"/>
        </w:rPr>
        <w:t>imagery demonstrated a medial meniscus tear on the left as well as tri</w:t>
      </w:r>
      <w:r w:rsidR="004E7D55" w:rsidRPr="004E7D55">
        <w:rPr>
          <w:color w:val="000000"/>
          <w:szCs w:val="24"/>
        </w:rPr>
        <w:t>-</w:t>
      </w:r>
      <w:r w:rsidR="00107759" w:rsidRPr="004E7D55">
        <w:rPr>
          <w:color w:val="000000"/>
          <w:szCs w:val="24"/>
        </w:rPr>
        <w:t xml:space="preserve">compartmental degenerative changes with a complex degenerative tear of the posterior horn of the medial meniscus on the right.  In April 2005, he underwent right knee arthroscopy that revealed chondromalacia and a </w:t>
      </w:r>
      <w:r w:rsidR="008E367E" w:rsidRPr="004E7D55">
        <w:rPr>
          <w:color w:val="000000"/>
          <w:szCs w:val="24"/>
        </w:rPr>
        <w:t xml:space="preserve">partially </w:t>
      </w:r>
      <w:r w:rsidR="00107759" w:rsidRPr="004E7D55">
        <w:rPr>
          <w:color w:val="000000"/>
          <w:szCs w:val="24"/>
        </w:rPr>
        <w:t xml:space="preserve">torn </w:t>
      </w:r>
      <w:r w:rsidR="008E367E" w:rsidRPr="004E7D55">
        <w:rPr>
          <w:color w:val="000000"/>
          <w:szCs w:val="24"/>
        </w:rPr>
        <w:t xml:space="preserve">anterior </w:t>
      </w:r>
      <w:r w:rsidR="00107759" w:rsidRPr="004E7D55">
        <w:rPr>
          <w:color w:val="000000"/>
          <w:szCs w:val="24"/>
        </w:rPr>
        <w:t xml:space="preserve">cruciate ligament </w:t>
      </w:r>
      <w:r w:rsidR="008E367E" w:rsidRPr="004E7D55">
        <w:rPr>
          <w:color w:val="000000"/>
          <w:szCs w:val="24"/>
        </w:rPr>
        <w:t xml:space="preserve">(ACL) </w:t>
      </w:r>
      <w:r w:rsidR="00107759" w:rsidRPr="004E7D55">
        <w:rPr>
          <w:color w:val="000000"/>
          <w:szCs w:val="24"/>
        </w:rPr>
        <w:t>and medial meniscus</w:t>
      </w:r>
      <w:r w:rsidR="00CC0104" w:rsidRPr="004E7D55">
        <w:rPr>
          <w:color w:val="000000"/>
          <w:szCs w:val="24"/>
        </w:rPr>
        <w:t xml:space="preserve"> tear</w:t>
      </w:r>
      <w:r w:rsidR="00107759" w:rsidRPr="004E7D55">
        <w:rPr>
          <w:color w:val="000000"/>
          <w:szCs w:val="24"/>
        </w:rPr>
        <w:t xml:space="preserve">.  In November 2005, he underwent a </w:t>
      </w:r>
      <w:proofErr w:type="spellStart"/>
      <w:r w:rsidR="00107759" w:rsidRPr="004E7D55">
        <w:rPr>
          <w:color w:val="000000"/>
          <w:szCs w:val="24"/>
        </w:rPr>
        <w:t>microfracture</w:t>
      </w:r>
      <w:proofErr w:type="spellEnd"/>
      <w:r w:rsidR="00107759" w:rsidRPr="004E7D55">
        <w:rPr>
          <w:color w:val="000000"/>
          <w:szCs w:val="24"/>
        </w:rPr>
        <w:t xml:space="preserve"> of the medial femoral </w:t>
      </w:r>
      <w:proofErr w:type="spellStart"/>
      <w:r w:rsidR="00107759" w:rsidRPr="004E7D55">
        <w:rPr>
          <w:color w:val="000000"/>
          <w:szCs w:val="24"/>
        </w:rPr>
        <w:t>condyle</w:t>
      </w:r>
      <w:proofErr w:type="spellEnd"/>
      <w:r w:rsidR="00107759" w:rsidRPr="004E7D55">
        <w:rPr>
          <w:color w:val="000000"/>
          <w:szCs w:val="24"/>
        </w:rPr>
        <w:t xml:space="preserve"> and debridement of the left knee.  </w:t>
      </w:r>
      <w:r w:rsidR="008E367E" w:rsidRPr="004E7D55">
        <w:rPr>
          <w:color w:val="000000"/>
          <w:szCs w:val="24"/>
        </w:rPr>
        <w:t xml:space="preserve">The FPEB disability description summarized the NARSUM findings, and the Board focused on rating each knee IAW the VASRD at the date of separation.  </w:t>
      </w:r>
      <w:r w:rsidR="00F851B9" w:rsidRPr="004E7D55">
        <w:rPr>
          <w:color w:val="000000"/>
          <w:szCs w:val="24"/>
        </w:rPr>
        <w:t xml:space="preserve">There </w:t>
      </w:r>
      <w:proofErr w:type="gramStart"/>
      <w:r w:rsidR="00F851B9" w:rsidRPr="004E7D55">
        <w:rPr>
          <w:color w:val="000000"/>
          <w:szCs w:val="24"/>
        </w:rPr>
        <w:t>were</w:t>
      </w:r>
      <w:proofErr w:type="gramEnd"/>
      <w:r w:rsidR="00F851B9" w:rsidRPr="004E7D55">
        <w:rPr>
          <w:color w:val="000000"/>
          <w:szCs w:val="24"/>
        </w:rPr>
        <w:t xml:space="preserve"> </w:t>
      </w:r>
      <w:r w:rsidR="009D0EA9" w:rsidRPr="004E7D55">
        <w:rPr>
          <w:color w:val="000000"/>
          <w:szCs w:val="24"/>
        </w:rPr>
        <w:t>multiple</w:t>
      </w:r>
      <w:r w:rsidR="000102A3" w:rsidRPr="004E7D55">
        <w:rPr>
          <w:color w:val="000000"/>
          <w:szCs w:val="24"/>
        </w:rPr>
        <w:t xml:space="preserve"> goniometric range of motion (ROM) evaluations in evidence, with</w:t>
      </w:r>
      <w:r w:rsidR="000102A3" w:rsidRPr="00B63D73">
        <w:rPr>
          <w:color w:val="000000"/>
          <w:szCs w:val="24"/>
        </w:rPr>
        <w:t xml:space="preserve"> documentation of additional ratable criteria, which the Board weighed in arriving at its rating recommendation</w:t>
      </w:r>
      <w:r w:rsidR="009D0EA9">
        <w:rPr>
          <w:color w:val="000000"/>
          <w:szCs w:val="24"/>
        </w:rPr>
        <w:t xml:space="preserve"> which are summarized in the chart below</w:t>
      </w:r>
      <w:r w:rsidR="000102A3" w:rsidRPr="00B63D73">
        <w:rPr>
          <w:rFonts w:cs="Times New Roman"/>
          <w:color w:val="auto"/>
          <w:szCs w:val="24"/>
        </w:rPr>
        <w:t>.</w:t>
      </w:r>
      <w:r w:rsidR="00CA768C">
        <w:rPr>
          <w:rFonts w:cs="Times New Roman"/>
          <w:color w:val="auto"/>
          <w:szCs w:val="24"/>
        </w:rPr>
        <w:t xml:space="preserve">  </w:t>
      </w:r>
    </w:p>
    <w:p w:rsidR="000102A3" w:rsidRDefault="006E433F" w:rsidP="004E7D55">
      <w:pPr>
        <w:jc w:val="both"/>
        <w:rPr>
          <w:rFonts w:cs="Times New Roman"/>
          <w:color w:val="auto"/>
          <w:szCs w:val="24"/>
        </w:rPr>
      </w:pPr>
      <w:r>
        <w:rPr>
          <w:rFonts w:cs="Times New Roman"/>
          <w:color w:val="auto"/>
          <w:szCs w:val="24"/>
        </w:rPr>
        <w:br w:type="page"/>
      </w:r>
    </w:p>
    <w:tbl>
      <w:tblPr>
        <w:tblW w:w="10154" w:type="dxa"/>
        <w:jc w:val="center"/>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5"/>
        <w:gridCol w:w="895"/>
        <w:gridCol w:w="98"/>
        <w:gridCol w:w="797"/>
        <w:gridCol w:w="632"/>
        <w:gridCol w:w="630"/>
        <w:gridCol w:w="630"/>
        <w:gridCol w:w="630"/>
        <w:gridCol w:w="1800"/>
        <w:gridCol w:w="1080"/>
        <w:gridCol w:w="1117"/>
      </w:tblGrid>
      <w:tr w:rsidR="009D0EA9" w:rsidRPr="00F74A4A" w:rsidTr="00781729">
        <w:trPr>
          <w:jc w:val="center"/>
        </w:trPr>
        <w:tc>
          <w:tcPr>
            <w:tcW w:w="1845" w:type="dxa"/>
            <w:vMerge w:val="restart"/>
            <w:shd w:val="clear" w:color="auto" w:fill="D9D9D9"/>
            <w:vAlign w:val="center"/>
          </w:tcPr>
          <w:p w:rsidR="009D0EA9" w:rsidRPr="00A467F5" w:rsidRDefault="006E433F" w:rsidP="00926B80">
            <w:pPr>
              <w:spacing w:line="180" w:lineRule="exact"/>
              <w:contextualSpacing/>
              <w:rPr>
                <w:rFonts w:eastAsia="Calibri"/>
                <w:color w:val="000000"/>
                <w:sz w:val="18"/>
                <w:szCs w:val="18"/>
              </w:rPr>
            </w:pPr>
            <w:r>
              <w:rPr>
                <w:rFonts w:cs="Times New Roman"/>
                <w:color w:val="auto"/>
                <w:szCs w:val="24"/>
              </w:rPr>
              <w:br w:type="page"/>
            </w:r>
            <w:r w:rsidR="009D0EA9" w:rsidRPr="00A467F5">
              <w:rPr>
                <w:rFonts w:eastAsia="Calibri"/>
                <w:color w:val="000000"/>
                <w:sz w:val="18"/>
                <w:szCs w:val="18"/>
              </w:rPr>
              <w:t>ROM – Knees</w:t>
            </w:r>
          </w:p>
        </w:tc>
        <w:tc>
          <w:tcPr>
            <w:tcW w:w="1790" w:type="dxa"/>
            <w:gridSpan w:val="3"/>
            <w:shd w:val="clear" w:color="auto" w:fill="D9D9D9"/>
            <w:vAlign w:val="center"/>
          </w:tcPr>
          <w:p w:rsidR="009D0EA9" w:rsidRPr="00A467F5" w:rsidRDefault="009D0EA9" w:rsidP="00781729">
            <w:pPr>
              <w:spacing w:line="180" w:lineRule="exact"/>
              <w:contextualSpacing/>
              <w:rPr>
                <w:rFonts w:eastAsia="Calibri"/>
                <w:color w:val="000000"/>
                <w:sz w:val="18"/>
                <w:szCs w:val="18"/>
              </w:rPr>
            </w:pPr>
            <w:r w:rsidRPr="00A467F5">
              <w:rPr>
                <w:rFonts w:eastAsia="Calibri"/>
                <w:color w:val="000000"/>
                <w:sz w:val="18"/>
                <w:szCs w:val="18"/>
              </w:rPr>
              <w:t>MEB ~8 Mo. Pre-Sep</w:t>
            </w:r>
          </w:p>
        </w:tc>
        <w:tc>
          <w:tcPr>
            <w:tcW w:w="1262" w:type="dxa"/>
            <w:gridSpan w:val="2"/>
            <w:shd w:val="clear" w:color="auto" w:fill="D9D9D9"/>
            <w:vAlign w:val="center"/>
          </w:tcPr>
          <w:p w:rsidR="009D0EA9" w:rsidRPr="00A467F5" w:rsidRDefault="009D0EA9" w:rsidP="00781729">
            <w:pPr>
              <w:spacing w:line="180" w:lineRule="exact"/>
              <w:contextualSpacing/>
              <w:rPr>
                <w:rFonts w:eastAsia="Calibri"/>
                <w:color w:val="000000"/>
                <w:sz w:val="18"/>
                <w:szCs w:val="18"/>
              </w:rPr>
            </w:pPr>
            <w:r w:rsidRPr="00A467F5">
              <w:rPr>
                <w:rFonts w:eastAsia="Calibri"/>
                <w:color w:val="000000"/>
                <w:sz w:val="18"/>
                <w:szCs w:val="18"/>
              </w:rPr>
              <w:t>PT ~7 Mo. Pre-Sep</w:t>
            </w:r>
          </w:p>
        </w:tc>
        <w:tc>
          <w:tcPr>
            <w:tcW w:w="1260" w:type="dxa"/>
            <w:gridSpan w:val="2"/>
            <w:shd w:val="clear" w:color="auto" w:fill="D9D9D9"/>
            <w:vAlign w:val="center"/>
          </w:tcPr>
          <w:p w:rsidR="009D0EA9" w:rsidRPr="00A467F5" w:rsidRDefault="009D0EA9" w:rsidP="00781729">
            <w:pPr>
              <w:spacing w:line="180" w:lineRule="exact"/>
              <w:contextualSpacing/>
              <w:rPr>
                <w:rFonts w:eastAsia="Calibri"/>
                <w:color w:val="000000"/>
                <w:sz w:val="18"/>
                <w:szCs w:val="18"/>
              </w:rPr>
            </w:pPr>
            <w:r w:rsidRPr="00A467F5">
              <w:rPr>
                <w:rFonts w:eastAsia="Calibri"/>
                <w:color w:val="000000"/>
                <w:sz w:val="18"/>
                <w:szCs w:val="18"/>
              </w:rPr>
              <w:t>PT ~4 Mo. Pre-Sep</w:t>
            </w:r>
          </w:p>
        </w:tc>
        <w:tc>
          <w:tcPr>
            <w:tcW w:w="1800" w:type="dxa"/>
            <w:shd w:val="clear" w:color="auto" w:fill="D9D9D9"/>
            <w:vAlign w:val="center"/>
          </w:tcPr>
          <w:p w:rsidR="009D0EA9" w:rsidRPr="00A467F5" w:rsidRDefault="009D0EA9" w:rsidP="00781729">
            <w:pPr>
              <w:spacing w:line="180" w:lineRule="exact"/>
              <w:contextualSpacing/>
              <w:rPr>
                <w:rFonts w:eastAsia="Calibri"/>
                <w:color w:val="000000"/>
                <w:sz w:val="18"/>
                <w:szCs w:val="18"/>
              </w:rPr>
            </w:pPr>
            <w:r w:rsidRPr="00A467F5">
              <w:rPr>
                <w:rFonts w:eastAsia="Calibri"/>
                <w:color w:val="000000"/>
                <w:sz w:val="18"/>
                <w:szCs w:val="18"/>
              </w:rPr>
              <w:t>Ortho ~2 Mo. Pre-Sep</w:t>
            </w:r>
          </w:p>
        </w:tc>
        <w:tc>
          <w:tcPr>
            <w:tcW w:w="2197" w:type="dxa"/>
            <w:gridSpan w:val="2"/>
            <w:shd w:val="clear" w:color="auto" w:fill="D9D9D9"/>
            <w:vAlign w:val="center"/>
          </w:tcPr>
          <w:p w:rsidR="009D0EA9" w:rsidRPr="00A467F5" w:rsidRDefault="009D0EA9" w:rsidP="00781729">
            <w:pPr>
              <w:spacing w:line="180" w:lineRule="exact"/>
              <w:contextualSpacing/>
              <w:rPr>
                <w:rFonts w:eastAsia="Calibri"/>
                <w:color w:val="000000"/>
                <w:sz w:val="18"/>
                <w:szCs w:val="18"/>
              </w:rPr>
            </w:pPr>
            <w:r w:rsidRPr="00A467F5">
              <w:rPr>
                <w:rFonts w:eastAsia="Calibri"/>
                <w:color w:val="000000"/>
                <w:sz w:val="18"/>
                <w:szCs w:val="18"/>
              </w:rPr>
              <w:t>VA C&amp;P ~4 Mo. Post-Sep</w:t>
            </w:r>
          </w:p>
        </w:tc>
      </w:tr>
      <w:tr w:rsidR="009D0EA9" w:rsidRPr="00F74A4A" w:rsidTr="00781729">
        <w:trPr>
          <w:jc w:val="center"/>
        </w:trPr>
        <w:tc>
          <w:tcPr>
            <w:tcW w:w="1845" w:type="dxa"/>
            <w:vMerge/>
            <w:shd w:val="clear" w:color="auto" w:fill="D9D9D9"/>
            <w:vAlign w:val="center"/>
          </w:tcPr>
          <w:p w:rsidR="009D0EA9" w:rsidRPr="00A467F5" w:rsidRDefault="009D0EA9" w:rsidP="006E0B93">
            <w:pPr>
              <w:spacing w:line="180" w:lineRule="exact"/>
              <w:contextualSpacing/>
              <w:rPr>
                <w:rFonts w:eastAsia="Calibri"/>
                <w:color w:val="000000"/>
                <w:sz w:val="18"/>
                <w:szCs w:val="18"/>
              </w:rPr>
            </w:pPr>
          </w:p>
        </w:tc>
        <w:tc>
          <w:tcPr>
            <w:tcW w:w="993" w:type="dxa"/>
            <w:gridSpan w:val="2"/>
            <w:shd w:val="clear" w:color="auto" w:fill="D9D9D9"/>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Left</w:t>
            </w:r>
          </w:p>
        </w:tc>
        <w:tc>
          <w:tcPr>
            <w:tcW w:w="797" w:type="dxa"/>
            <w:shd w:val="clear" w:color="auto" w:fill="D9D9D9"/>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Right</w:t>
            </w:r>
          </w:p>
        </w:tc>
        <w:tc>
          <w:tcPr>
            <w:tcW w:w="632" w:type="dxa"/>
            <w:shd w:val="clear" w:color="auto" w:fill="D9D9D9"/>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Left</w:t>
            </w:r>
          </w:p>
        </w:tc>
        <w:tc>
          <w:tcPr>
            <w:tcW w:w="630" w:type="dxa"/>
            <w:shd w:val="clear" w:color="auto" w:fill="D9D9D9"/>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Right</w:t>
            </w:r>
          </w:p>
        </w:tc>
        <w:tc>
          <w:tcPr>
            <w:tcW w:w="630" w:type="dxa"/>
            <w:shd w:val="clear" w:color="auto" w:fill="D9D9D9"/>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Left</w:t>
            </w:r>
          </w:p>
        </w:tc>
        <w:tc>
          <w:tcPr>
            <w:tcW w:w="630" w:type="dxa"/>
            <w:shd w:val="clear" w:color="auto" w:fill="D9D9D9"/>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Right</w:t>
            </w:r>
          </w:p>
        </w:tc>
        <w:tc>
          <w:tcPr>
            <w:tcW w:w="1800" w:type="dxa"/>
            <w:shd w:val="clear" w:color="auto" w:fill="D9D9D9"/>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Right (only)</w:t>
            </w:r>
          </w:p>
        </w:tc>
        <w:tc>
          <w:tcPr>
            <w:tcW w:w="1080" w:type="dxa"/>
            <w:shd w:val="clear" w:color="auto" w:fill="D9D9D9"/>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Left</w:t>
            </w:r>
          </w:p>
        </w:tc>
        <w:tc>
          <w:tcPr>
            <w:tcW w:w="1117" w:type="dxa"/>
            <w:shd w:val="clear" w:color="auto" w:fill="D9D9D9"/>
            <w:vAlign w:val="center"/>
          </w:tcPr>
          <w:p w:rsidR="009D0EA9" w:rsidRPr="00781729" w:rsidRDefault="009D0EA9" w:rsidP="00481D61">
            <w:pPr>
              <w:spacing w:line="180" w:lineRule="exact"/>
              <w:contextualSpacing/>
              <w:rPr>
                <w:rFonts w:eastAsia="Calibri"/>
                <w:color w:val="000000"/>
                <w:sz w:val="18"/>
                <w:szCs w:val="18"/>
              </w:rPr>
            </w:pPr>
            <w:r w:rsidRPr="00781729">
              <w:rPr>
                <w:rFonts w:eastAsia="Calibri"/>
                <w:color w:val="000000"/>
                <w:sz w:val="18"/>
                <w:szCs w:val="18"/>
              </w:rPr>
              <w:t>Right</w:t>
            </w:r>
          </w:p>
        </w:tc>
      </w:tr>
      <w:tr w:rsidR="009D0EA9" w:rsidRPr="00F74A4A" w:rsidTr="00781729">
        <w:trPr>
          <w:jc w:val="center"/>
        </w:trPr>
        <w:tc>
          <w:tcPr>
            <w:tcW w:w="1845" w:type="dxa"/>
            <w:vAlign w:val="center"/>
          </w:tcPr>
          <w:p w:rsidR="009D0EA9" w:rsidRPr="00A467F5" w:rsidRDefault="009D0EA9" w:rsidP="006E0B93">
            <w:pPr>
              <w:spacing w:line="180" w:lineRule="exact"/>
              <w:contextualSpacing/>
              <w:rPr>
                <w:rFonts w:eastAsia="Calibri"/>
                <w:color w:val="000000"/>
                <w:sz w:val="18"/>
                <w:szCs w:val="18"/>
              </w:rPr>
            </w:pPr>
            <w:r w:rsidRPr="00A467F5">
              <w:rPr>
                <w:rFonts w:eastAsia="Calibri"/>
                <w:color w:val="000000"/>
                <w:sz w:val="18"/>
                <w:szCs w:val="18"/>
              </w:rPr>
              <w:t>Flexion (140⁰ normal)</w:t>
            </w:r>
          </w:p>
        </w:tc>
        <w:tc>
          <w:tcPr>
            <w:tcW w:w="993" w:type="dxa"/>
            <w:gridSpan w:val="2"/>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110⁰</w:t>
            </w:r>
          </w:p>
        </w:tc>
        <w:tc>
          <w:tcPr>
            <w:tcW w:w="797" w:type="dxa"/>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100⁰</w:t>
            </w:r>
          </w:p>
        </w:tc>
        <w:tc>
          <w:tcPr>
            <w:tcW w:w="632" w:type="dxa"/>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116⁰</w:t>
            </w:r>
          </w:p>
        </w:tc>
        <w:tc>
          <w:tcPr>
            <w:tcW w:w="630" w:type="dxa"/>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120⁰</w:t>
            </w:r>
          </w:p>
        </w:tc>
        <w:tc>
          <w:tcPr>
            <w:tcW w:w="630" w:type="dxa"/>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121⁰</w:t>
            </w:r>
          </w:p>
        </w:tc>
        <w:tc>
          <w:tcPr>
            <w:tcW w:w="630" w:type="dxa"/>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108⁰</w:t>
            </w:r>
          </w:p>
        </w:tc>
        <w:tc>
          <w:tcPr>
            <w:tcW w:w="1800" w:type="dxa"/>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120⁰+</w:t>
            </w:r>
          </w:p>
        </w:tc>
        <w:tc>
          <w:tcPr>
            <w:tcW w:w="1080" w:type="dxa"/>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140⁰</w:t>
            </w:r>
          </w:p>
        </w:tc>
        <w:tc>
          <w:tcPr>
            <w:tcW w:w="1117" w:type="dxa"/>
            <w:vAlign w:val="center"/>
          </w:tcPr>
          <w:p w:rsidR="009D0EA9" w:rsidRPr="00781729" w:rsidRDefault="009D0EA9" w:rsidP="00481D61">
            <w:pPr>
              <w:spacing w:line="180" w:lineRule="exact"/>
              <w:contextualSpacing/>
              <w:rPr>
                <w:rFonts w:eastAsia="Calibri"/>
                <w:color w:val="000000"/>
                <w:sz w:val="18"/>
                <w:szCs w:val="18"/>
              </w:rPr>
            </w:pPr>
            <w:r w:rsidRPr="00781729">
              <w:rPr>
                <w:rFonts w:eastAsia="Calibri"/>
                <w:color w:val="000000"/>
                <w:sz w:val="18"/>
                <w:szCs w:val="18"/>
              </w:rPr>
              <w:t>140⁰</w:t>
            </w:r>
          </w:p>
        </w:tc>
      </w:tr>
      <w:tr w:rsidR="009D0EA9" w:rsidRPr="00F74A4A" w:rsidTr="00781729">
        <w:trPr>
          <w:jc w:val="center"/>
        </w:trPr>
        <w:tc>
          <w:tcPr>
            <w:tcW w:w="1845" w:type="dxa"/>
            <w:tcBorders>
              <w:bottom w:val="single" w:sz="4" w:space="0" w:color="auto"/>
            </w:tcBorders>
            <w:vAlign w:val="center"/>
          </w:tcPr>
          <w:p w:rsidR="009D0EA9" w:rsidRPr="00A467F5" w:rsidRDefault="009D0EA9" w:rsidP="006E0B93">
            <w:pPr>
              <w:spacing w:line="180" w:lineRule="exact"/>
              <w:contextualSpacing/>
              <w:rPr>
                <w:rFonts w:eastAsia="Calibri"/>
                <w:color w:val="000000"/>
                <w:sz w:val="18"/>
                <w:szCs w:val="18"/>
              </w:rPr>
            </w:pPr>
            <w:r w:rsidRPr="00A467F5">
              <w:rPr>
                <w:rFonts w:eastAsia="Calibri"/>
                <w:color w:val="000000"/>
                <w:sz w:val="18"/>
                <w:szCs w:val="18"/>
              </w:rPr>
              <w:t>Extension (0⁰ normal)</w:t>
            </w:r>
          </w:p>
        </w:tc>
        <w:tc>
          <w:tcPr>
            <w:tcW w:w="1790" w:type="dxa"/>
            <w:gridSpan w:val="3"/>
            <w:tcBorders>
              <w:bottom w:val="single" w:sz="4" w:space="0" w:color="auto"/>
            </w:tcBorders>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“full”</w:t>
            </w:r>
          </w:p>
        </w:tc>
        <w:tc>
          <w:tcPr>
            <w:tcW w:w="632" w:type="dxa"/>
            <w:tcBorders>
              <w:bottom w:val="single" w:sz="4" w:space="0" w:color="auto"/>
            </w:tcBorders>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-15⁰</w:t>
            </w:r>
          </w:p>
        </w:tc>
        <w:tc>
          <w:tcPr>
            <w:tcW w:w="630" w:type="dxa"/>
            <w:tcBorders>
              <w:bottom w:val="single" w:sz="4" w:space="0" w:color="auto"/>
            </w:tcBorders>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0⁰</w:t>
            </w:r>
          </w:p>
        </w:tc>
        <w:tc>
          <w:tcPr>
            <w:tcW w:w="630" w:type="dxa"/>
            <w:tcBorders>
              <w:bottom w:val="single" w:sz="4" w:space="0" w:color="auto"/>
            </w:tcBorders>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0⁰</w:t>
            </w:r>
          </w:p>
        </w:tc>
        <w:tc>
          <w:tcPr>
            <w:tcW w:w="630" w:type="dxa"/>
            <w:tcBorders>
              <w:bottom w:val="single" w:sz="4" w:space="0" w:color="auto"/>
            </w:tcBorders>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0⁰</w:t>
            </w:r>
          </w:p>
        </w:tc>
        <w:tc>
          <w:tcPr>
            <w:tcW w:w="1800" w:type="dxa"/>
            <w:tcBorders>
              <w:bottom w:val="single" w:sz="4" w:space="0" w:color="auto"/>
            </w:tcBorders>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0-5⁰</w:t>
            </w:r>
          </w:p>
        </w:tc>
        <w:tc>
          <w:tcPr>
            <w:tcW w:w="1080" w:type="dxa"/>
            <w:tcBorders>
              <w:bottom w:val="single" w:sz="4" w:space="0" w:color="auto"/>
            </w:tcBorders>
            <w:vAlign w:val="center"/>
          </w:tcPr>
          <w:p w:rsidR="009D0EA9" w:rsidRPr="00A467F5" w:rsidRDefault="009D0EA9" w:rsidP="00481D61">
            <w:pPr>
              <w:spacing w:line="180" w:lineRule="exact"/>
              <w:contextualSpacing/>
              <w:rPr>
                <w:rFonts w:eastAsia="Calibri"/>
                <w:color w:val="000000"/>
                <w:sz w:val="18"/>
                <w:szCs w:val="18"/>
              </w:rPr>
            </w:pPr>
            <w:r w:rsidRPr="00A467F5">
              <w:rPr>
                <w:rFonts w:eastAsia="Calibri"/>
                <w:color w:val="000000"/>
                <w:sz w:val="18"/>
                <w:szCs w:val="18"/>
              </w:rPr>
              <w:t>0⁰</w:t>
            </w:r>
          </w:p>
        </w:tc>
        <w:tc>
          <w:tcPr>
            <w:tcW w:w="1117" w:type="dxa"/>
            <w:tcBorders>
              <w:bottom w:val="single" w:sz="4" w:space="0" w:color="auto"/>
            </w:tcBorders>
            <w:vAlign w:val="center"/>
          </w:tcPr>
          <w:p w:rsidR="009D0EA9" w:rsidRPr="00781729" w:rsidRDefault="009D0EA9" w:rsidP="00481D61">
            <w:pPr>
              <w:spacing w:line="180" w:lineRule="exact"/>
              <w:contextualSpacing/>
              <w:rPr>
                <w:rFonts w:eastAsia="Calibri"/>
                <w:color w:val="000000"/>
                <w:sz w:val="18"/>
                <w:szCs w:val="18"/>
              </w:rPr>
            </w:pPr>
            <w:r w:rsidRPr="00781729">
              <w:rPr>
                <w:rFonts w:eastAsia="Calibri"/>
                <w:color w:val="000000"/>
                <w:sz w:val="18"/>
                <w:szCs w:val="18"/>
              </w:rPr>
              <w:t>0⁰</w:t>
            </w:r>
          </w:p>
        </w:tc>
      </w:tr>
      <w:tr w:rsidR="009D0EA9" w:rsidRPr="00F74A4A" w:rsidTr="00781729">
        <w:trPr>
          <w:jc w:val="center"/>
        </w:trPr>
        <w:tc>
          <w:tcPr>
            <w:tcW w:w="1845" w:type="dxa"/>
            <w:tcBorders>
              <w:top w:val="single" w:sz="4" w:space="0" w:color="auto"/>
              <w:left w:val="single" w:sz="4" w:space="0" w:color="auto"/>
              <w:bottom w:val="single" w:sz="4" w:space="0" w:color="auto"/>
              <w:right w:val="single" w:sz="4" w:space="0" w:color="auto"/>
            </w:tcBorders>
            <w:vAlign w:val="center"/>
          </w:tcPr>
          <w:p w:rsidR="009D0EA9" w:rsidRPr="00A467F5" w:rsidRDefault="009D0EA9" w:rsidP="006E0B93">
            <w:pPr>
              <w:tabs>
                <w:tab w:val="left" w:pos="288"/>
                <w:tab w:val="left" w:pos="4752"/>
              </w:tabs>
              <w:spacing w:line="180" w:lineRule="exact"/>
              <w:rPr>
                <w:rFonts w:eastAsia="Calibri"/>
                <w:color w:val="000000"/>
                <w:sz w:val="18"/>
                <w:szCs w:val="18"/>
              </w:rPr>
            </w:pPr>
            <w:r w:rsidRPr="00A467F5">
              <w:rPr>
                <w:rFonts w:eastAsia="Calibri"/>
                <w:color w:val="000000"/>
                <w:sz w:val="18"/>
                <w:szCs w:val="18"/>
              </w:rPr>
              <w:t>Comment:  Surgeries</w:t>
            </w:r>
          </w:p>
          <w:p w:rsidR="009D0EA9" w:rsidRPr="00A467F5" w:rsidRDefault="009D0EA9" w:rsidP="006E0B93">
            <w:pPr>
              <w:tabs>
                <w:tab w:val="left" w:pos="288"/>
                <w:tab w:val="left" w:pos="4752"/>
              </w:tabs>
              <w:spacing w:line="180" w:lineRule="exact"/>
              <w:rPr>
                <w:rFonts w:eastAsia="Calibri"/>
                <w:color w:val="000000"/>
                <w:sz w:val="18"/>
                <w:szCs w:val="18"/>
              </w:rPr>
            </w:pPr>
            <w:r w:rsidRPr="00A467F5">
              <w:rPr>
                <w:rFonts w:eastAsia="Calibri"/>
                <w:color w:val="000000"/>
                <w:sz w:val="18"/>
                <w:szCs w:val="18"/>
              </w:rPr>
              <w:t>R. 042005</w:t>
            </w:r>
          </w:p>
          <w:p w:rsidR="009D0EA9" w:rsidRPr="00A467F5" w:rsidRDefault="009D0EA9" w:rsidP="00455DC5">
            <w:pPr>
              <w:tabs>
                <w:tab w:val="left" w:pos="288"/>
                <w:tab w:val="left" w:pos="4752"/>
              </w:tabs>
              <w:spacing w:line="180" w:lineRule="exact"/>
              <w:rPr>
                <w:rFonts w:eastAsia="Calibri"/>
                <w:color w:val="000000"/>
                <w:sz w:val="18"/>
                <w:szCs w:val="18"/>
              </w:rPr>
            </w:pPr>
            <w:r w:rsidRPr="00A467F5">
              <w:rPr>
                <w:rFonts w:eastAsia="Calibri"/>
                <w:color w:val="000000"/>
                <w:sz w:val="18"/>
                <w:szCs w:val="18"/>
              </w:rPr>
              <w:t xml:space="preserve">L. 112005 </w:t>
            </w:r>
          </w:p>
        </w:tc>
        <w:tc>
          <w:tcPr>
            <w:tcW w:w="1790" w:type="dxa"/>
            <w:gridSpan w:val="3"/>
            <w:tcBorders>
              <w:top w:val="single" w:sz="4" w:space="0" w:color="auto"/>
              <w:left w:val="single" w:sz="4" w:space="0" w:color="auto"/>
              <w:bottom w:val="single" w:sz="4" w:space="0" w:color="auto"/>
              <w:right w:val="single" w:sz="4" w:space="0" w:color="auto"/>
            </w:tcBorders>
            <w:vAlign w:val="center"/>
          </w:tcPr>
          <w:p w:rsidR="009D0EA9" w:rsidRPr="00A467F5" w:rsidRDefault="009D0EA9" w:rsidP="001C51C9">
            <w:pPr>
              <w:tabs>
                <w:tab w:val="left" w:pos="288"/>
                <w:tab w:val="left" w:pos="4752"/>
              </w:tabs>
              <w:spacing w:line="180" w:lineRule="exact"/>
              <w:jc w:val="left"/>
              <w:rPr>
                <w:rFonts w:eastAsia="Calibri"/>
                <w:color w:val="000000"/>
                <w:sz w:val="18"/>
                <w:szCs w:val="18"/>
              </w:rPr>
            </w:pPr>
            <w:r w:rsidRPr="00A467F5">
              <w:rPr>
                <w:rFonts w:eastAsia="Calibri"/>
                <w:color w:val="000000"/>
                <w:sz w:val="18"/>
                <w:szCs w:val="18"/>
              </w:rPr>
              <w:t xml:space="preserve">Walked with a cane with mild </w:t>
            </w:r>
            <w:proofErr w:type="spellStart"/>
            <w:r w:rsidRPr="00A467F5">
              <w:rPr>
                <w:rFonts w:eastAsia="Calibri"/>
                <w:color w:val="000000"/>
                <w:sz w:val="18"/>
                <w:szCs w:val="18"/>
              </w:rPr>
              <w:t>antalgia</w:t>
            </w:r>
            <w:proofErr w:type="spellEnd"/>
            <w:r w:rsidRPr="00A467F5">
              <w:rPr>
                <w:rFonts w:eastAsia="Calibri"/>
                <w:color w:val="000000"/>
                <w:sz w:val="18"/>
                <w:szCs w:val="18"/>
              </w:rPr>
              <w:t xml:space="preserve">, left greater than right; maintained full extension; flexion limited due to stiffness; trace effusion bilaterally; 2B </w:t>
            </w:r>
            <w:proofErr w:type="spellStart"/>
            <w:r w:rsidRPr="00A467F5">
              <w:rPr>
                <w:rFonts w:eastAsia="Calibri"/>
                <w:color w:val="000000"/>
                <w:sz w:val="18"/>
                <w:szCs w:val="18"/>
              </w:rPr>
              <w:t>Lachman’s</w:t>
            </w:r>
            <w:proofErr w:type="spellEnd"/>
            <w:r w:rsidRPr="00A467F5">
              <w:rPr>
                <w:rFonts w:eastAsia="Calibri"/>
                <w:color w:val="000000"/>
                <w:sz w:val="18"/>
                <w:szCs w:val="18"/>
              </w:rPr>
              <w:t xml:space="preserve"> on R., 1A on L.; stable to </w:t>
            </w:r>
            <w:proofErr w:type="spellStart"/>
            <w:r w:rsidRPr="00A467F5">
              <w:rPr>
                <w:rFonts w:eastAsia="Calibri"/>
                <w:color w:val="000000"/>
                <w:sz w:val="18"/>
                <w:szCs w:val="18"/>
              </w:rPr>
              <w:t>varus</w:t>
            </w:r>
            <w:proofErr w:type="spellEnd"/>
            <w:r w:rsidRPr="00A467F5">
              <w:rPr>
                <w:rFonts w:eastAsia="Calibri"/>
                <w:color w:val="000000"/>
                <w:sz w:val="18"/>
                <w:szCs w:val="18"/>
              </w:rPr>
              <w:t xml:space="preserve"> and val</w:t>
            </w:r>
            <w:r w:rsidR="001C51C9" w:rsidRPr="00A467F5">
              <w:rPr>
                <w:rFonts w:eastAsia="Calibri"/>
                <w:color w:val="000000"/>
                <w:sz w:val="18"/>
                <w:szCs w:val="18"/>
              </w:rPr>
              <w:t>g</w:t>
            </w:r>
            <w:r w:rsidRPr="00A467F5">
              <w:rPr>
                <w:rFonts w:eastAsia="Calibri"/>
                <w:color w:val="000000"/>
                <w:sz w:val="18"/>
                <w:szCs w:val="18"/>
              </w:rPr>
              <w:t xml:space="preserve">us </w:t>
            </w:r>
          </w:p>
        </w:tc>
        <w:tc>
          <w:tcPr>
            <w:tcW w:w="1262" w:type="dxa"/>
            <w:gridSpan w:val="2"/>
            <w:tcBorders>
              <w:top w:val="single" w:sz="4" w:space="0" w:color="auto"/>
              <w:left w:val="single" w:sz="4" w:space="0" w:color="auto"/>
              <w:bottom w:val="single" w:sz="4" w:space="0" w:color="auto"/>
              <w:right w:val="single" w:sz="4" w:space="0" w:color="auto"/>
            </w:tcBorders>
          </w:tcPr>
          <w:p w:rsidR="009D0EA9" w:rsidRPr="00A467F5" w:rsidRDefault="009D0EA9" w:rsidP="006E0B93">
            <w:pPr>
              <w:tabs>
                <w:tab w:val="left" w:pos="288"/>
                <w:tab w:val="left" w:pos="4752"/>
              </w:tabs>
              <w:spacing w:line="180" w:lineRule="exact"/>
              <w:jc w:val="left"/>
              <w:rPr>
                <w:rFonts w:eastAsia="Calibri"/>
                <w:b/>
                <w:color w:val="000000"/>
                <w:sz w:val="18"/>
                <w:szCs w:val="18"/>
              </w:rPr>
            </w:pPr>
            <w:r w:rsidRPr="00A467F5">
              <w:rPr>
                <w:rFonts w:eastAsia="Calibri"/>
                <w:b/>
                <w:color w:val="000000"/>
                <w:sz w:val="18"/>
                <w:szCs w:val="18"/>
              </w:rPr>
              <w:t>ROM-only</w:t>
            </w:r>
          </w:p>
        </w:tc>
        <w:tc>
          <w:tcPr>
            <w:tcW w:w="1260" w:type="dxa"/>
            <w:gridSpan w:val="2"/>
            <w:tcBorders>
              <w:top w:val="single" w:sz="4" w:space="0" w:color="auto"/>
              <w:left w:val="single" w:sz="4" w:space="0" w:color="auto"/>
              <w:bottom w:val="single" w:sz="4" w:space="0" w:color="auto"/>
              <w:right w:val="single" w:sz="4" w:space="0" w:color="auto"/>
            </w:tcBorders>
          </w:tcPr>
          <w:p w:rsidR="009D0EA9" w:rsidRPr="00A467F5" w:rsidRDefault="009D0EA9" w:rsidP="006E0B93">
            <w:pPr>
              <w:tabs>
                <w:tab w:val="left" w:pos="288"/>
                <w:tab w:val="left" w:pos="4752"/>
              </w:tabs>
              <w:spacing w:line="180" w:lineRule="exact"/>
              <w:jc w:val="left"/>
              <w:rPr>
                <w:rFonts w:eastAsia="Calibri"/>
                <w:b/>
                <w:color w:val="000000"/>
                <w:sz w:val="18"/>
                <w:szCs w:val="18"/>
              </w:rPr>
            </w:pPr>
            <w:r w:rsidRPr="00A467F5">
              <w:rPr>
                <w:rFonts w:eastAsia="Calibri"/>
                <w:b/>
                <w:color w:val="000000"/>
                <w:sz w:val="18"/>
                <w:szCs w:val="18"/>
              </w:rPr>
              <w:t>ROM-only</w:t>
            </w:r>
          </w:p>
        </w:tc>
        <w:tc>
          <w:tcPr>
            <w:tcW w:w="1800" w:type="dxa"/>
            <w:tcBorders>
              <w:top w:val="single" w:sz="4" w:space="0" w:color="auto"/>
              <w:left w:val="single" w:sz="4" w:space="0" w:color="auto"/>
              <w:bottom w:val="single" w:sz="4" w:space="0" w:color="auto"/>
              <w:right w:val="single" w:sz="4" w:space="0" w:color="auto"/>
            </w:tcBorders>
          </w:tcPr>
          <w:p w:rsidR="009D0EA9" w:rsidRPr="00A467F5" w:rsidRDefault="009D0EA9" w:rsidP="009D0EA9">
            <w:pPr>
              <w:tabs>
                <w:tab w:val="left" w:pos="288"/>
                <w:tab w:val="left" w:pos="4752"/>
              </w:tabs>
              <w:spacing w:line="180" w:lineRule="exact"/>
              <w:jc w:val="left"/>
              <w:rPr>
                <w:rFonts w:eastAsia="Calibri"/>
                <w:color w:val="000000"/>
                <w:sz w:val="18"/>
                <w:szCs w:val="18"/>
              </w:rPr>
            </w:pPr>
            <w:r w:rsidRPr="00A467F5">
              <w:rPr>
                <w:rFonts w:eastAsia="Calibri"/>
                <w:color w:val="000000"/>
                <w:sz w:val="18"/>
                <w:szCs w:val="18"/>
              </w:rPr>
              <w:t>stable to A/P V/V; trace effusion; +crepitus; +tenderness joint lines; “</w:t>
            </w:r>
            <w:proofErr w:type="spellStart"/>
            <w:r w:rsidRPr="00A467F5">
              <w:rPr>
                <w:rFonts w:eastAsia="Calibri"/>
                <w:color w:val="000000"/>
                <w:sz w:val="18"/>
                <w:szCs w:val="18"/>
              </w:rPr>
              <w:t>endstage</w:t>
            </w:r>
            <w:proofErr w:type="spellEnd"/>
            <w:r w:rsidRPr="00A467F5">
              <w:rPr>
                <w:rFonts w:eastAsia="Calibri"/>
                <w:color w:val="000000"/>
                <w:sz w:val="18"/>
                <w:szCs w:val="18"/>
              </w:rPr>
              <w:t xml:space="preserve"> DJD scheduled tentatively for right knee replacement”</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9D0EA9" w:rsidRPr="00781729" w:rsidRDefault="009D0EA9" w:rsidP="00781729">
            <w:pPr>
              <w:tabs>
                <w:tab w:val="left" w:pos="288"/>
                <w:tab w:val="left" w:pos="4752"/>
              </w:tabs>
              <w:spacing w:line="180" w:lineRule="exact"/>
              <w:jc w:val="left"/>
              <w:rPr>
                <w:rFonts w:eastAsia="Calibri"/>
                <w:color w:val="000000"/>
                <w:sz w:val="18"/>
                <w:szCs w:val="18"/>
              </w:rPr>
            </w:pPr>
            <w:r w:rsidRPr="00781729">
              <w:rPr>
                <w:rFonts w:eastAsia="Calibri"/>
                <w:color w:val="000000"/>
                <w:sz w:val="18"/>
                <w:szCs w:val="18"/>
              </w:rPr>
              <w:t>Gait</w:t>
            </w:r>
            <w:r w:rsidR="00781729" w:rsidRPr="00781729">
              <w:rPr>
                <w:rFonts w:eastAsia="Calibri"/>
                <w:color w:val="000000"/>
                <w:sz w:val="18"/>
                <w:szCs w:val="18"/>
              </w:rPr>
              <w:t>/</w:t>
            </w:r>
            <w:r w:rsidRPr="00781729">
              <w:rPr>
                <w:rFonts w:eastAsia="Calibri"/>
                <w:color w:val="000000"/>
                <w:sz w:val="18"/>
                <w:szCs w:val="18"/>
              </w:rPr>
              <w:t xml:space="preserve">posture normal; no use of ambulatory device; </w:t>
            </w:r>
            <w:r w:rsidR="00781729" w:rsidRPr="00781729">
              <w:rPr>
                <w:rFonts w:eastAsia="Calibri"/>
                <w:color w:val="000000"/>
                <w:sz w:val="18"/>
                <w:szCs w:val="18"/>
              </w:rPr>
              <w:t>+</w:t>
            </w:r>
            <w:r w:rsidRPr="00781729">
              <w:rPr>
                <w:rFonts w:eastAsia="Calibri"/>
                <w:color w:val="000000"/>
                <w:sz w:val="18"/>
                <w:szCs w:val="18"/>
              </w:rPr>
              <w:t xml:space="preserve"> bilateral patellar crepitus; no decrease ROM after repetition (DeLuca); “Anterior and posterior cruciate ligaments, medial and lateral collateral ligaments and medial and lateral jo</w:t>
            </w:r>
            <w:r w:rsidR="00781729" w:rsidRPr="00781729">
              <w:rPr>
                <w:rFonts w:eastAsia="Calibri"/>
                <w:color w:val="000000"/>
                <w:sz w:val="18"/>
                <w:szCs w:val="18"/>
              </w:rPr>
              <w:t>int lines (menisci) were normal</w:t>
            </w:r>
            <w:r w:rsidRPr="00781729">
              <w:rPr>
                <w:rFonts w:eastAsia="Calibri"/>
                <w:color w:val="000000"/>
                <w:sz w:val="18"/>
                <w:szCs w:val="18"/>
              </w:rPr>
              <w:t>”</w:t>
            </w:r>
          </w:p>
        </w:tc>
      </w:tr>
      <w:tr w:rsidR="009D0EA9" w:rsidRPr="00F74A4A" w:rsidTr="00781729">
        <w:trPr>
          <w:jc w:val="center"/>
        </w:trPr>
        <w:tc>
          <w:tcPr>
            <w:tcW w:w="1845" w:type="dxa"/>
            <w:tcBorders>
              <w:top w:val="single" w:sz="4" w:space="0" w:color="auto"/>
              <w:left w:val="single" w:sz="4" w:space="0" w:color="auto"/>
              <w:bottom w:val="single" w:sz="4" w:space="0" w:color="auto"/>
              <w:right w:val="single" w:sz="4" w:space="0" w:color="auto"/>
            </w:tcBorders>
            <w:vAlign w:val="center"/>
          </w:tcPr>
          <w:p w:rsidR="009D0EA9" w:rsidRPr="00A467F5" w:rsidRDefault="009D0EA9" w:rsidP="00481D61">
            <w:pPr>
              <w:tabs>
                <w:tab w:val="left" w:pos="288"/>
                <w:tab w:val="left" w:pos="4752"/>
              </w:tabs>
              <w:spacing w:line="180" w:lineRule="exact"/>
              <w:rPr>
                <w:rFonts w:eastAsia="Calibri"/>
                <w:color w:val="000000"/>
                <w:sz w:val="18"/>
                <w:szCs w:val="18"/>
              </w:rPr>
            </w:pPr>
            <w:r w:rsidRPr="00A467F5">
              <w:rPr>
                <w:rFonts w:eastAsia="Calibri"/>
                <w:color w:val="000000"/>
                <w:sz w:val="18"/>
                <w:szCs w:val="18"/>
              </w:rPr>
              <w:t>§4.71a Rating*</w:t>
            </w:r>
          </w:p>
        </w:tc>
        <w:tc>
          <w:tcPr>
            <w:tcW w:w="895" w:type="dxa"/>
            <w:tcBorders>
              <w:top w:val="single" w:sz="4" w:space="0" w:color="auto"/>
              <w:left w:val="single" w:sz="4" w:space="0" w:color="auto"/>
              <w:bottom w:val="single" w:sz="4" w:space="0" w:color="auto"/>
              <w:right w:val="single" w:sz="4" w:space="0" w:color="auto"/>
            </w:tcBorders>
            <w:vAlign w:val="center"/>
          </w:tcPr>
          <w:p w:rsidR="009D0EA9" w:rsidRPr="00A467F5" w:rsidRDefault="009D0EA9" w:rsidP="00481D61">
            <w:pPr>
              <w:tabs>
                <w:tab w:val="left" w:pos="288"/>
                <w:tab w:val="left" w:pos="4752"/>
              </w:tabs>
              <w:spacing w:line="180" w:lineRule="exact"/>
              <w:rPr>
                <w:rFonts w:eastAsia="Calibri"/>
                <w:color w:val="000000"/>
                <w:sz w:val="18"/>
                <w:szCs w:val="18"/>
              </w:rPr>
            </w:pPr>
            <w:r w:rsidRPr="00A467F5">
              <w:rPr>
                <w:rFonts w:eastAsia="Calibri"/>
                <w:color w:val="000000"/>
                <w:sz w:val="18"/>
                <w:szCs w:val="18"/>
              </w:rPr>
              <w:t>10%</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9D0EA9" w:rsidRPr="00A467F5" w:rsidRDefault="009D0EA9" w:rsidP="00481D61">
            <w:pPr>
              <w:tabs>
                <w:tab w:val="left" w:pos="288"/>
                <w:tab w:val="left" w:pos="4752"/>
              </w:tabs>
              <w:spacing w:line="180" w:lineRule="exact"/>
              <w:rPr>
                <w:rFonts w:eastAsia="Calibri"/>
                <w:color w:val="000000"/>
                <w:sz w:val="18"/>
                <w:szCs w:val="18"/>
              </w:rPr>
            </w:pPr>
            <w:r w:rsidRPr="00A467F5">
              <w:rPr>
                <w:rFonts w:eastAsia="Calibri"/>
                <w:color w:val="000000"/>
                <w:sz w:val="18"/>
                <w:szCs w:val="18"/>
              </w:rPr>
              <w:t>20%</w:t>
            </w:r>
          </w:p>
        </w:tc>
        <w:tc>
          <w:tcPr>
            <w:tcW w:w="632" w:type="dxa"/>
            <w:tcBorders>
              <w:top w:val="single" w:sz="4" w:space="0" w:color="auto"/>
              <w:left w:val="single" w:sz="4" w:space="0" w:color="auto"/>
              <w:bottom w:val="single" w:sz="4" w:space="0" w:color="auto"/>
              <w:right w:val="single" w:sz="4" w:space="0" w:color="auto"/>
            </w:tcBorders>
            <w:vAlign w:val="center"/>
          </w:tcPr>
          <w:p w:rsidR="009D0EA9" w:rsidRPr="00A467F5" w:rsidRDefault="009D0EA9" w:rsidP="00481D61">
            <w:pPr>
              <w:tabs>
                <w:tab w:val="left" w:pos="288"/>
                <w:tab w:val="left" w:pos="4752"/>
              </w:tabs>
              <w:spacing w:line="180" w:lineRule="exact"/>
              <w:rPr>
                <w:rFonts w:eastAsia="Calibri"/>
                <w:color w:val="000000"/>
                <w:sz w:val="18"/>
                <w:szCs w:val="18"/>
              </w:rPr>
            </w:pPr>
            <w:r w:rsidRPr="00A467F5">
              <w:rPr>
                <w:rFonts w:eastAsia="Calibri"/>
                <w:color w:val="000000"/>
                <w:sz w:val="18"/>
                <w:szCs w:val="18"/>
              </w:rPr>
              <w:t>20%</w:t>
            </w:r>
          </w:p>
        </w:tc>
        <w:tc>
          <w:tcPr>
            <w:tcW w:w="630" w:type="dxa"/>
            <w:tcBorders>
              <w:top w:val="single" w:sz="4" w:space="0" w:color="auto"/>
              <w:left w:val="single" w:sz="4" w:space="0" w:color="auto"/>
              <w:bottom w:val="single" w:sz="4" w:space="0" w:color="auto"/>
              <w:right w:val="single" w:sz="4" w:space="0" w:color="auto"/>
            </w:tcBorders>
            <w:vAlign w:val="center"/>
          </w:tcPr>
          <w:p w:rsidR="009D0EA9" w:rsidRPr="00A467F5" w:rsidRDefault="009D0EA9" w:rsidP="00481D61">
            <w:pPr>
              <w:tabs>
                <w:tab w:val="left" w:pos="288"/>
                <w:tab w:val="left" w:pos="4752"/>
              </w:tabs>
              <w:spacing w:line="180" w:lineRule="exact"/>
              <w:rPr>
                <w:rFonts w:eastAsia="Calibri"/>
                <w:color w:val="000000"/>
                <w:sz w:val="18"/>
                <w:szCs w:val="18"/>
              </w:rPr>
            </w:pPr>
            <w:r w:rsidRPr="00A467F5">
              <w:rPr>
                <w:rFonts w:eastAsia="Calibri"/>
                <w:color w:val="000000"/>
                <w:sz w:val="18"/>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rsidR="009D0EA9" w:rsidRPr="00A467F5" w:rsidRDefault="009D0EA9" w:rsidP="00481D61">
            <w:pPr>
              <w:tabs>
                <w:tab w:val="left" w:pos="288"/>
                <w:tab w:val="left" w:pos="4752"/>
              </w:tabs>
              <w:spacing w:line="180" w:lineRule="exact"/>
              <w:rPr>
                <w:rFonts w:eastAsia="Calibri"/>
                <w:color w:val="000000"/>
                <w:sz w:val="18"/>
                <w:szCs w:val="18"/>
              </w:rPr>
            </w:pPr>
            <w:r w:rsidRPr="00A467F5">
              <w:rPr>
                <w:rFonts w:eastAsia="Calibri"/>
                <w:color w:val="000000"/>
                <w:sz w:val="18"/>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rsidR="009D0EA9" w:rsidRPr="00A467F5" w:rsidRDefault="009D0EA9" w:rsidP="00481D61">
            <w:pPr>
              <w:tabs>
                <w:tab w:val="left" w:pos="288"/>
                <w:tab w:val="left" w:pos="4752"/>
              </w:tabs>
              <w:spacing w:line="180" w:lineRule="exact"/>
              <w:rPr>
                <w:rFonts w:eastAsia="Calibri"/>
                <w:color w:val="000000"/>
                <w:sz w:val="18"/>
                <w:szCs w:val="18"/>
              </w:rPr>
            </w:pPr>
            <w:r w:rsidRPr="00A467F5">
              <w:rPr>
                <w:rFonts w:eastAsia="Calibri"/>
                <w:color w:val="000000"/>
                <w:sz w:val="18"/>
                <w:szCs w:val="18"/>
              </w:rPr>
              <w:t>10%</w:t>
            </w:r>
          </w:p>
        </w:tc>
        <w:tc>
          <w:tcPr>
            <w:tcW w:w="1800" w:type="dxa"/>
            <w:tcBorders>
              <w:top w:val="single" w:sz="4" w:space="0" w:color="auto"/>
              <w:left w:val="single" w:sz="4" w:space="0" w:color="auto"/>
              <w:bottom w:val="single" w:sz="4" w:space="0" w:color="auto"/>
              <w:right w:val="single" w:sz="4" w:space="0" w:color="auto"/>
            </w:tcBorders>
            <w:vAlign w:val="center"/>
          </w:tcPr>
          <w:p w:rsidR="009D0EA9" w:rsidRPr="00A467F5" w:rsidRDefault="009D0EA9" w:rsidP="00481D61">
            <w:pPr>
              <w:tabs>
                <w:tab w:val="left" w:pos="288"/>
                <w:tab w:val="left" w:pos="4752"/>
              </w:tabs>
              <w:spacing w:line="180" w:lineRule="exact"/>
              <w:rPr>
                <w:rFonts w:eastAsia="Calibri"/>
                <w:color w:val="000000"/>
                <w:sz w:val="18"/>
                <w:szCs w:val="18"/>
              </w:rPr>
            </w:pPr>
            <w:r w:rsidRPr="00A467F5">
              <w:rPr>
                <w:rFonts w:eastAsia="Calibri"/>
                <w:color w:val="000000"/>
                <w:sz w:val="18"/>
                <w:szCs w:val="18"/>
              </w:rPr>
              <w:t>10</w:t>
            </w:r>
            <w:r w:rsidRPr="00984820">
              <w:rPr>
                <w:rFonts w:eastAsia="Calibri"/>
                <w:color w:val="000000"/>
                <w:sz w:val="18"/>
                <w:szCs w:val="18"/>
              </w:rPr>
              <w:t>%</w:t>
            </w:r>
            <w:r w:rsidR="0075371F" w:rsidRPr="00984820">
              <w:rPr>
                <w:rFonts w:eastAsia="Calibri"/>
                <w:color w:val="000000"/>
                <w:sz w:val="18"/>
                <w:szCs w:val="18"/>
              </w:rPr>
              <w:t>-20%</w:t>
            </w:r>
            <w:r w:rsidR="001452D2" w:rsidRPr="00984820">
              <w:rPr>
                <w:rFonts w:eastAsia="Calibri"/>
                <w:color w:val="000000"/>
                <w:sz w:val="18"/>
                <w:szCs w:val="18"/>
              </w:rPr>
              <w:t xml:space="preserve"> (PEB 10%)</w:t>
            </w:r>
          </w:p>
        </w:tc>
        <w:tc>
          <w:tcPr>
            <w:tcW w:w="1080" w:type="dxa"/>
            <w:tcBorders>
              <w:top w:val="single" w:sz="4" w:space="0" w:color="auto"/>
              <w:left w:val="single" w:sz="4" w:space="0" w:color="auto"/>
              <w:bottom w:val="single" w:sz="4" w:space="0" w:color="auto"/>
              <w:right w:val="single" w:sz="4" w:space="0" w:color="auto"/>
            </w:tcBorders>
            <w:vAlign w:val="center"/>
          </w:tcPr>
          <w:p w:rsidR="009D0EA9" w:rsidRPr="00A467F5" w:rsidRDefault="009D0EA9" w:rsidP="00481D61">
            <w:pPr>
              <w:tabs>
                <w:tab w:val="left" w:pos="288"/>
                <w:tab w:val="left" w:pos="4752"/>
              </w:tabs>
              <w:spacing w:line="180" w:lineRule="exact"/>
              <w:rPr>
                <w:rFonts w:eastAsia="Calibri"/>
                <w:color w:val="000000"/>
                <w:sz w:val="18"/>
                <w:szCs w:val="18"/>
              </w:rPr>
            </w:pPr>
            <w:r w:rsidRPr="00A467F5">
              <w:rPr>
                <w:rFonts w:eastAsia="Calibri"/>
                <w:color w:val="000000"/>
                <w:sz w:val="18"/>
                <w:szCs w:val="18"/>
              </w:rPr>
              <w:t>10%</w:t>
            </w:r>
          </w:p>
        </w:tc>
        <w:tc>
          <w:tcPr>
            <w:tcW w:w="1117" w:type="dxa"/>
            <w:tcBorders>
              <w:top w:val="single" w:sz="4" w:space="0" w:color="auto"/>
              <w:left w:val="single" w:sz="4" w:space="0" w:color="auto"/>
              <w:bottom w:val="single" w:sz="4" w:space="0" w:color="auto"/>
              <w:right w:val="single" w:sz="4" w:space="0" w:color="auto"/>
            </w:tcBorders>
            <w:vAlign w:val="center"/>
          </w:tcPr>
          <w:p w:rsidR="009D0EA9" w:rsidRPr="00F74A4A" w:rsidRDefault="009D0EA9" w:rsidP="00481D61">
            <w:pPr>
              <w:tabs>
                <w:tab w:val="left" w:pos="288"/>
                <w:tab w:val="left" w:pos="4752"/>
              </w:tabs>
              <w:spacing w:line="180" w:lineRule="exact"/>
              <w:rPr>
                <w:rFonts w:eastAsia="Calibri"/>
                <w:color w:val="000000"/>
                <w:sz w:val="18"/>
                <w:szCs w:val="18"/>
              </w:rPr>
            </w:pPr>
            <w:r>
              <w:rPr>
                <w:rFonts w:eastAsia="Calibri"/>
                <w:color w:val="000000"/>
                <w:sz w:val="18"/>
                <w:szCs w:val="18"/>
              </w:rPr>
              <w:t>10%</w:t>
            </w:r>
          </w:p>
        </w:tc>
      </w:tr>
    </w:tbl>
    <w:p w:rsidR="007721B7" w:rsidRDefault="007721B7" w:rsidP="00BF0E94">
      <w:pPr>
        <w:jc w:val="left"/>
        <w:rPr>
          <w:color w:val="000000"/>
          <w:szCs w:val="24"/>
        </w:rPr>
      </w:pPr>
    </w:p>
    <w:p w:rsidR="00781729" w:rsidRDefault="00FC0A4E" w:rsidP="008E367E">
      <w:pPr>
        <w:autoSpaceDE w:val="0"/>
        <w:autoSpaceDN w:val="0"/>
        <w:adjustRightInd w:val="0"/>
        <w:jc w:val="both"/>
        <w:rPr>
          <w:color w:val="000000"/>
          <w:szCs w:val="24"/>
        </w:rPr>
      </w:pPr>
      <w:r>
        <w:rPr>
          <w:color w:val="000000"/>
          <w:szCs w:val="24"/>
        </w:rPr>
        <w:t xml:space="preserve">A physiatrist evaluation 2 months </w:t>
      </w:r>
      <w:r w:rsidR="006B7512">
        <w:rPr>
          <w:color w:val="000000"/>
          <w:szCs w:val="24"/>
        </w:rPr>
        <w:t xml:space="preserve">after </w:t>
      </w:r>
      <w:r>
        <w:rPr>
          <w:color w:val="000000"/>
          <w:szCs w:val="24"/>
        </w:rPr>
        <w:t xml:space="preserve">separation did not provide knee ROMs, but indicated continuing care with knee </w:t>
      </w:r>
      <w:proofErr w:type="spellStart"/>
      <w:r>
        <w:rPr>
          <w:color w:val="000000"/>
          <w:szCs w:val="24"/>
        </w:rPr>
        <w:t>Synvic</w:t>
      </w:r>
      <w:proofErr w:type="spellEnd"/>
      <w:r>
        <w:rPr>
          <w:color w:val="000000"/>
          <w:szCs w:val="24"/>
        </w:rPr>
        <w:t xml:space="preserve"> injections x5 and steroid injections, use of narcotic pain medication, bilateral knee bracing and use of a cane.  </w:t>
      </w:r>
    </w:p>
    <w:p w:rsidR="00781729" w:rsidRDefault="00781729" w:rsidP="008E367E">
      <w:pPr>
        <w:autoSpaceDE w:val="0"/>
        <w:autoSpaceDN w:val="0"/>
        <w:adjustRightInd w:val="0"/>
        <w:jc w:val="both"/>
        <w:rPr>
          <w:color w:val="000000"/>
          <w:szCs w:val="24"/>
        </w:rPr>
      </w:pPr>
    </w:p>
    <w:p w:rsidR="00D77316" w:rsidRDefault="00781729" w:rsidP="008E367E">
      <w:pPr>
        <w:autoSpaceDE w:val="0"/>
        <w:autoSpaceDN w:val="0"/>
        <w:adjustRightInd w:val="0"/>
        <w:jc w:val="both"/>
        <w:rPr>
          <w:color w:val="000000"/>
          <w:szCs w:val="24"/>
        </w:rPr>
      </w:pPr>
      <w:r>
        <w:rPr>
          <w:rFonts w:cs="Times New Roman"/>
          <w:color w:val="auto"/>
        </w:rPr>
        <w:t>The Board directs attention to its rating recommendation based on the above evidence.</w:t>
      </w:r>
      <w:r>
        <w:rPr>
          <w:color w:val="000000"/>
          <w:szCs w:val="24"/>
        </w:rPr>
        <w:t xml:space="preserve">  </w:t>
      </w:r>
      <w:r w:rsidR="00773804">
        <w:rPr>
          <w:color w:val="000000"/>
          <w:szCs w:val="24"/>
        </w:rPr>
        <w:t xml:space="preserve">The FPEB and VA each coded the individual knees at 10% using the criteria for arthritis (5003), with the VA indicating a traumatic onset by using code 5010.  </w:t>
      </w:r>
      <w:r w:rsidR="008E367E">
        <w:rPr>
          <w:color w:val="000000"/>
          <w:szCs w:val="24"/>
        </w:rPr>
        <w:t xml:space="preserve">There was no evidence of incapacitating episodes for either knee.  There was no significant complaint of instability, locking </w:t>
      </w:r>
      <w:r w:rsidR="008E367E" w:rsidRPr="006E433F">
        <w:rPr>
          <w:color w:val="000000"/>
          <w:szCs w:val="24"/>
        </w:rPr>
        <w:t xml:space="preserve">or give way for either knee.  Both knees had significant DJD, crepitus and meniscal </w:t>
      </w:r>
      <w:r w:rsidR="00CA768C" w:rsidRPr="006E433F">
        <w:rPr>
          <w:color w:val="000000"/>
          <w:szCs w:val="24"/>
        </w:rPr>
        <w:t>repair.  The right knee was subjectively more symptomatic, had a partial ACL tear</w:t>
      </w:r>
      <w:r w:rsidRPr="006E433F">
        <w:rPr>
          <w:color w:val="000000"/>
          <w:szCs w:val="24"/>
        </w:rPr>
        <w:t>, meniscus repair,</w:t>
      </w:r>
      <w:r w:rsidR="00CA768C" w:rsidRPr="006E433F">
        <w:rPr>
          <w:color w:val="000000"/>
          <w:szCs w:val="24"/>
        </w:rPr>
        <w:t xml:space="preserve"> and was diagnosed as in “</w:t>
      </w:r>
      <w:proofErr w:type="spellStart"/>
      <w:r w:rsidR="00CA768C" w:rsidRPr="006E433F">
        <w:rPr>
          <w:color w:val="000000"/>
          <w:szCs w:val="24"/>
        </w:rPr>
        <w:t>endstage</w:t>
      </w:r>
      <w:proofErr w:type="spellEnd"/>
      <w:r w:rsidR="00CA768C" w:rsidRPr="006E433F">
        <w:rPr>
          <w:color w:val="000000"/>
          <w:szCs w:val="24"/>
        </w:rPr>
        <w:t xml:space="preserve"> DJD” with likely future need for a total knee replacement.  Multiple in-service exams documented trace effusion of each knee, and only one exam </w:t>
      </w:r>
      <w:r w:rsidR="00D77316" w:rsidRPr="006E433F">
        <w:rPr>
          <w:color w:val="000000"/>
          <w:szCs w:val="24"/>
        </w:rPr>
        <w:t xml:space="preserve">(PT ~7 Mo. Pre-Sep) </w:t>
      </w:r>
      <w:r w:rsidR="00CA768C" w:rsidRPr="006E433F">
        <w:rPr>
          <w:color w:val="000000"/>
          <w:szCs w:val="24"/>
        </w:rPr>
        <w:t xml:space="preserve">indicated ROM limited </w:t>
      </w:r>
      <w:r w:rsidR="00D77316" w:rsidRPr="006E433F">
        <w:rPr>
          <w:color w:val="000000"/>
          <w:szCs w:val="24"/>
        </w:rPr>
        <w:t xml:space="preserve">to a degree </w:t>
      </w:r>
      <w:r w:rsidR="00CA768C" w:rsidRPr="006E433F">
        <w:rPr>
          <w:color w:val="000000"/>
          <w:szCs w:val="24"/>
        </w:rPr>
        <w:t xml:space="preserve">that would have been compensable under the specific knee ROM codes.  The left knee extension </w:t>
      </w:r>
      <w:r w:rsidR="00D77316" w:rsidRPr="006E433F">
        <w:rPr>
          <w:color w:val="000000"/>
          <w:szCs w:val="24"/>
        </w:rPr>
        <w:t>of -15 degrees was</w:t>
      </w:r>
      <w:r w:rsidR="00D77316">
        <w:rPr>
          <w:color w:val="000000"/>
          <w:szCs w:val="24"/>
        </w:rPr>
        <w:t xml:space="preserve"> </w:t>
      </w:r>
      <w:r w:rsidR="00CA768C">
        <w:rPr>
          <w:color w:val="000000"/>
          <w:szCs w:val="24"/>
        </w:rPr>
        <w:t xml:space="preserve">compensable under the </w:t>
      </w:r>
      <w:r w:rsidR="00CA768C" w:rsidRPr="00CA768C">
        <w:rPr>
          <w:color w:val="000000"/>
          <w:szCs w:val="24"/>
        </w:rPr>
        <w:t xml:space="preserve">5261 </w:t>
      </w:r>
      <w:r w:rsidR="00CA768C">
        <w:rPr>
          <w:color w:val="000000"/>
          <w:szCs w:val="24"/>
        </w:rPr>
        <w:t>(</w:t>
      </w:r>
      <w:r w:rsidR="00CA768C" w:rsidRPr="00CA768C">
        <w:rPr>
          <w:color w:val="000000"/>
          <w:szCs w:val="24"/>
        </w:rPr>
        <w:t>Leg, limitation of extension</w:t>
      </w:r>
      <w:r w:rsidR="00CA768C">
        <w:rPr>
          <w:color w:val="000000"/>
          <w:szCs w:val="24"/>
        </w:rPr>
        <w:t xml:space="preserve">) criteria, </w:t>
      </w:r>
      <w:r w:rsidR="00D77316">
        <w:rPr>
          <w:color w:val="000000"/>
          <w:szCs w:val="24"/>
        </w:rPr>
        <w:t xml:space="preserve">however, </w:t>
      </w:r>
      <w:r w:rsidR="00CA768C">
        <w:rPr>
          <w:color w:val="000000"/>
          <w:szCs w:val="24"/>
        </w:rPr>
        <w:t xml:space="preserve">that exam was preceded and followed by exams documenting full extension of the left </w:t>
      </w:r>
      <w:r w:rsidR="00D77316">
        <w:rPr>
          <w:color w:val="000000"/>
          <w:szCs w:val="24"/>
        </w:rPr>
        <w:t xml:space="preserve">knee </w:t>
      </w:r>
      <w:r w:rsidR="00CA768C">
        <w:rPr>
          <w:color w:val="000000"/>
          <w:szCs w:val="24"/>
        </w:rPr>
        <w:t xml:space="preserve">as charted above.  </w:t>
      </w:r>
    </w:p>
    <w:p w:rsidR="00D77316" w:rsidRDefault="00D77316" w:rsidP="008E367E">
      <w:pPr>
        <w:autoSpaceDE w:val="0"/>
        <w:autoSpaceDN w:val="0"/>
        <w:adjustRightInd w:val="0"/>
        <w:jc w:val="both"/>
        <w:rPr>
          <w:color w:val="000000"/>
          <w:szCs w:val="24"/>
        </w:rPr>
      </w:pPr>
    </w:p>
    <w:p w:rsidR="006B51BA" w:rsidRDefault="00D77316" w:rsidP="004A76AA">
      <w:pPr>
        <w:autoSpaceDE w:val="0"/>
        <w:autoSpaceDN w:val="0"/>
        <w:adjustRightInd w:val="0"/>
        <w:jc w:val="both"/>
        <w:rPr>
          <w:color w:val="000000"/>
          <w:szCs w:val="24"/>
        </w:rPr>
      </w:pPr>
      <w:r>
        <w:rPr>
          <w:color w:val="000000"/>
          <w:szCs w:val="24"/>
        </w:rPr>
        <w:t>The NARSUM exam,</w:t>
      </w:r>
      <w:r w:rsidR="006B7512">
        <w:rPr>
          <w:color w:val="000000"/>
          <w:szCs w:val="24"/>
        </w:rPr>
        <w:t xml:space="preserve"> performed 8</w:t>
      </w:r>
      <w:r>
        <w:rPr>
          <w:color w:val="000000"/>
          <w:szCs w:val="24"/>
        </w:rPr>
        <w:t xml:space="preserve"> months pr</w:t>
      </w:r>
      <w:r w:rsidR="006B7512">
        <w:rPr>
          <w:color w:val="000000"/>
          <w:szCs w:val="24"/>
        </w:rPr>
        <w:t xml:space="preserve">ior to </w:t>
      </w:r>
      <w:r>
        <w:rPr>
          <w:color w:val="000000"/>
          <w:szCs w:val="24"/>
        </w:rPr>
        <w:t xml:space="preserve">separation, was potentially ratable at 20% for the right knee based on the antalgic gait, effusion, and 2B </w:t>
      </w:r>
      <w:proofErr w:type="spellStart"/>
      <w:r>
        <w:rPr>
          <w:color w:val="000000"/>
          <w:szCs w:val="24"/>
        </w:rPr>
        <w:t>Lachman’s</w:t>
      </w:r>
      <w:proofErr w:type="spellEnd"/>
      <w:r>
        <w:rPr>
          <w:color w:val="000000"/>
          <w:szCs w:val="24"/>
        </w:rPr>
        <w:t xml:space="preserve"> test, with coding analogous to either 5257 (</w:t>
      </w:r>
      <w:r w:rsidRPr="00E84A49">
        <w:rPr>
          <w:color w:val="000000"/>
          <w:szCs w:val="24"/>
        </w:rPr>
        <w:t>Knee, other impairmen</w:t>
      </w:r>
      <w:r w:rsidRPr="00773804">
        <w:rPr>
          <w:color w:val="000000"/>
          <w:szCs w:val="24"/>
        </w:rPr>
        <w:t xml:space="preserve">t, moderate), or 5258 </w:t>
      </w:r>
      <w:r w:rsidR="00773804" w:rsidRPr="00773804">
        <w:rPr>
          <w:color w:val="000000"/>
          <w:szCs w:val="24"/>
        </w:rPr>
        <w:t>Cartilage, semilunar, dislocated, with frequent episodes of</w:t>
      </w:r>
      <w:r w:rsidR="00773804">
        <w:rPr>
          <w:color w:val="000000"/>
          <w:szCs w:val="24"/>
        </w:rPr>
        <w:t xml:space="preserve"> </w:t>
      </w:r>
      <w:r w:rsidR="00773804" w:rsidRPr="00773804">
        <w:rPr>
          <w:color w:val="000000"/>
          <w:szCs w:val="24"/>
        </w:rPr>
        <w:t xml:space="preserve">pain, and effusion into the joint </w:t>
      </w:r>
      <w:r w:rsidR="00773804">
        <w:rPr>
          <w:color w:val="000000"/>
          <w:szCs w:val="24"/>
        </w:rPr>
        <w:t>(absent “locking”).  H</w:t>
      </w:r>
      <w:r>
        <w:rPr>
          <w:color w:val="000000"/>
          <w:szCs w:val="24"/>
        </w:rPr>
        <w:t xml:space="preserve">owever, the orthopedic exam </w:t>
      </w:r>
      <w:r w:rsidR="006B7512">
        <w:rPr>
          <w:color w:val="000000"/>
          <w:szCs w:val="24"/>
        </w:rPr>
        <w:t>performed 2</w:t>
      </w:r>
      <w:r>
        <w:rPr>
          <w:color w:val="000000"/>
          <w:szCs w:val="24"/>
        </w:rPr>
        <w:t xml:space="preserve"> months pr</w:t>
      </w:r>
      <w:r w:rsidR="006B7512">
        <w:rPr>
          <w:color w:val="000000"/>
          <w:szCs w:val="24"/>
        </w:rPr>
        <w:t xml:space="preserve">ior to </w:t>
      </w:r>
      <w:r>
        <w:rPr>
          <w:color w:val="000000"/>
          <w:szCs w:val="24"/>
        </w:rPr>
        <w:t xml:space="preserve">separation and the VA exam </w:t>
      </w:r>
      <w:r w:rsidR="006B7512">
        <w:rPr>
          <w:color w:val="000000"/>
          <w:szCs w:val="24"/>
        </w:rPr>
        <w:t>performed 4</w:t>
      </w:r>
      <w:r>
        <w:rPr>
          <w:color w:val="000000"/>
          <w:szCs w:val="24"/>
        </w:rPr>
        <w:t xml:space="preserve"> months after-separation found no objective evidence of instability</w:t>
      </w:r>
      <w:r w:rsidR="00773804">
        <w:rPr>
          <w:color w:val="000000"/>
          <w:szCs w:val="24"/>
        </w:rPr>
        <w:t>; the VA exam also indicated no effusion or tenderness</w:t>
      </w:r>
      <w:r>
        <w:rPr>
          <w:color w:val="000000"/>
          <w:szCs w:val="24"/>
        </w:rPr>
        <w:t xml:space="preserve">.  </w:t>
      </w:r>
      <w:r w:rsidR="00481D61">
        <w:rPr>
          <w:color w:val="000000"/>
          <w:szCs w:val="24"/>
        </w:rPr>
        <w:t xml:space="preserve">The VA C&amp;P exam did not have a complete history, did not mention meniscal surgery or ACL tear or make comment on MRI or surgical evaluations of the knee.  </w:t>
      </w:r>
      <w:r w:rsidR="006B51BA">
        <w:rPr>
          <w:color w:val="000000"/>
          <w:szCs w:val="24"/>
        </w:rPr>
        <w:t>The VA exam was as an outlier and appeared “</w:t>
      </w:r>
      <w:proofErr w:type="spellStart"/>
      <w:r w:rsidR="006B51BA">
        <w:rPr>
          <w:color w:val="000000"/>
          <w:szCs w:val="24"/>
        </w:rPr>
        <w:t>boilerplated</w:t>
      </w:r>
      <w:proofErr w:type="spellEnd"/>
      <w:r w:rsidR="006B51BA">
        <w:rPr>
          <w:color w:val="000000"/>
          <w:szCs w:val="24"/>
        </w:rPr>
        <w:t xml:space="preserve">”, and was assigned lowered probative value.  </w:t>
      </w:r>
    </w:p>
    <w:p w:rsidR="006B51BA" w:rsidRDefault="006B51BA" w:rsidP="004A76AA">
      <w:pPr>
        <w:autoSpaceDE w:val="0"/>
        <w:autoSpaceDN w:val="0"/>
        <w:adjustRightInd w:val="0"/>
        <w:jc w:val="both"/>
        <w:rPr>
          <w:color w:val="000000"/>
          <w:szCs w:val="24"/>
        </w:rPr>
      </w:pPr>
    </w:p>
    <w:p w:rsidR="006B51BA" w:rsidRDefault="006B51BA" w:rsidP="006B7512">
      <w:pPr>
        <w:autoSpaceDE w:val="0"/>
        <w:autoSpaceDN w:val="0"/>
        <w:adjustRightInd w:val="0"/>
        <w:jc w:val="both"/>
        <w:rPr>
          <w:color w:val="000000"/>
          <w:szCs w:val="24"/>
        </w:rPr>
      </w:pPr>
      <w:r w:rsidRPr="006B51BA">
        <w:rPr>
          <w:color w:val="000000"/>
          <w:szCs w:val="24"/>
          <w:u w:val="single"/>
        </w:rPr>
        <w:t>Left Knee</w:t>
      </w:r>
      <w:r>
        <w:rPr>
          <w:color w:val="000000"/>
          <w:szCs w:val="24"/>
        </w:rPr>
        <w:t xml:space="preserve">:  With regards to the left knee, the Board considered that the preponderance of the record supported the 10% rating for the left knee for limited motion.  </w:t>
      </w:r>
      <w:r w:rsidRPr="000106B3">
        <w:rPr>
          <w:rFonts w:eastAsia="Calibri" w:cs="Times New Roman"/>
          <w:color w:val="auto"/>
          <w:szCs w:val="24"/>
        </w:rPr>
        <w:t>After due deliberation, considering all of the evidence, the Board concluded that there was insufficient cause to recommend a change in the PEB adjudication for the left knee</w:t>
      </w:r>
      <w:r>
        <w:rPr>
          <w:rFonts w:eastAsia="Calibri" w:cs="Times New Roman"/>
          <w:color w:val="auto"/>
          <w:szCs w:val="24"/>
        </w:rPr>
        <w:t xml:space="preserve"> conditions.  </w:t>
      </w:r>
    </w:p>
    <w:p w:rsidR="006B51BA" w:rsidRDefault="006B51BA" w:rsidP="004A76AA">
      <w:pPr>
        <w:autoSpaceDE w:val="0"/>
        <w:autoSpaceDN w:val="0"/>
        <w:adjustRightInd w:val="0"/>
        <w:jc w:val="both"/>
        <w:rPr>
          <w:color w:val="000000"/>
          <w:szCs w:val="24"/>
        </w:rPr>
      </w:pPr>
    </w:p>
    <w:p w:rsidR="003F4B98" w:rsidRPr="00921D33" w:rsidRDefault="006B51BA" w:rsidP="006B7512">
      <w:pPr>
        <w:autoSpaceDE w:val="0"/>
        <w:autoSpaceDN w:val="0"/>
        <w:adjustRightInd w:val="0"/>
        <w:jc w:val="both"/>
        <w:rPr>
          <w:color w:val="000000"/>
          <w:szCs w:val="24"/>
        </w:rPr>
      </w:pPr>
      <w:r>
        <w:rPr>
          <w:color w:val="000000"/>
          <w:szCs w:val="24"/>
          <w:u w:val="single"/>
        </w:rPr>
        <w:t>Right</w:t>
      </w:r>
      <w:r w:rsidRPr="006B51BA">
        <w:rPr>
          <w:color w:val="000000"/>
          <w:szCs w:val="24"/>
          <w:u w:val="single"/>
        </w:rPr>
        <w:t xml:space="preserve"> Knee</w:t>
      </w:r>
      <w:r>
        <w:rPr>
          <w:color w:val="000000"/>
          <w:szCs w:val="24"/>
        </w:rPr>
        <w:t xml:space="preserve">:  With regards to the right knee, </w:t>
      </w:r>
      <w:r w:rsidR="00921D33">
        <w:rPr>
          <w:color w:val="000000"/>
          <w:szCs w:val="24"/>
        </w:rPr>
        <w:t>the Board considered that the preponderance of the evidence indicated that the right knee had degenerative arthritis and pain-limited motion sufficient to meet the 10% criteria under code 5003.  T</w:t>
      </w:r>
      <w:r>
        <w:rPr>
          <w:color w:val="000000"/>
          <w:szCs w:val="24"/>
        </w:rPr>
        <w:t xml:space="preserve">he Board deliberated at length concerning the possibility of </w:t>
      </w:r>
      <w:r w:rsidR="00921D33">
        <w:rPr>
          <w:color w:val="000000"/>
          <w:szCs w:val="24"/>
        </w:rPr>
        <w:t xml:space="preserve">alternative coding and/or </w:t>
      </w:r>
      <w:r>
        <w:rPr>
          <w:color w:val="000000"/>
          <w:szCs w:val="24"/>
        </w:rPr>
        <w:t>dual rating</w:t>
      </w:r>
      <w:r w:rsidR="00921D33">
        <w:rPr>
          <w:color w:val="000000"/>
          <w:szCs w:val="24"/>
        </w:rPr>
        <w:t xml:space="preserve"> the right knee</w:t>
      </w:r>
      <w:r>
        <w:rPr>
          <w:color w:val="000000"/>
          <w:szCs w:val="24"/>
        </w:rPr>
        <w:t xml:space="preserve">, the highest probative value exam, and weighting of symptoms.  </w:t>
      </w:r>
      <w:r w:rsidR="004A76AA">
        <w:rPr>
          <w:color w:val="000000"/>
          <w:szCs w:val="24"/>
        </w:rPr>
        <w:t xml:space="preserve">The Board determined that the orthopedic </w:t>
      </w:r>
      <w:r w:rsidR="004A76AA">
        <w:rPr>
          <w:color w:val="000000"/>
          <w:szCs w:val="24"/>
        </w:rPr>
        <w:lastRenderedPageBreak/>
        <w:t xml:space="preserve">exam, </w:t>
      </w:r>
      <w:r w:rsidR="006B7512">
        <w:rPr>
          <w:color w:val="000000"/>
          <w:szCs w:val="24"/>
        </w:rPr>
        <w:t xml:space="preserve">dated </w:t>
      </w:r>
      <w:r>
        <w:rPr>
          <w:color w:val="000000"/>
          <w:szCs w:val="24"/>
        </w:rPr>
        <w:t>2</w:t>
      </w:r>
      <w:r w:rsidR="004A76AA">
        <w:rPr>
          <w:color w:val="000000"/>
          <w:szCs w:val="24"/>
        </w:rPr>
        <w:t>-months pr</w:t>
      </w:r>
      <w:r w:rsidR="006B7512">
        <w:rPr>
          <w:color w:val="000000"/>
          <w:szCs w:val="24"/>
        </w:rPr>
        <w:t xml:space="preserve">ior to </w:t>
      </w:r>
      <w:r w:rsidR="004A76AA">
        <w:rPr>
          <w:color w:val="000000"/>
          <w:szCs w:val="24"/>
        </w:rPr>
        <w:t xml:space="preserve">separation, had the highest probative value for rating the right knee at the time of separation.  </w:t>
      </w:r>
      <w:r w:rsidR="003F4B98" w:rsidRPr="000106B3">
        <w:rPr>
          <w:color w:val="auto"/>
        </w:rPr>
        <w:t xml:space="preserve">The Board considered </w:t>
      </w:r>
      <w:r w:rsidR="003F4B98" w:rsidRPr="000106B3">
        <w:rPr>
          <w:color w:val="000000"/>
          <w:szCs w:val="24"/>
        </w:rPr>
        <w:t xml:space="preserve">the right knee meniscal damage/repair, </w:t>
      </w:r>
      <w:r w:rsidR="003F4B98">
        <w:rPr>
          <w:color w:val="000000"/>
          <w:szCs w:val="24"/>
        </w:rPr>
        <w:t xml:space="preserve">joint line tenderness, </w:t>
      </w:r>
      <w:r w:rsidR="003F4B98" w:rsidRPr="000106B3">
        <w:rPr>
          <w:color w:val="000000"/>
          <w:szCs w:val="24"/>
        </w:rPr>
        <w:t xml:space="preserve">ACL </w:t>
      </w:r>
      <w:r w:rsidR="003F4B98">
        <w:rPr>
          <w:color w:val="000000"/>
          <w:szCs w:val="24"/>
        </w:rPr>
        <w:t xml:space="preserve">partial </w:t>
      </w:r>
      <w:r w:rsidR="003F4B98" w:rsidRPr="000106B3">
        <w:rPr>
          <w:color w:val="000000"/>
          <w:szCs w:val="24"/>
        </w:rPr>
        <w:t>tear, effusion, antalgic gait with use of a cane</w:t>
      </w:r>
      <w:r w:rsidR="003F4B98">
        <w:rPr>
          <w:color w:val="000000"/>
          <w:szCs w:val="24"/>
        </w:rPr>
        <w:t>,</w:t>
      </w:r>
      <w:r w:rsidR="003F4B98" w:rsidRPr="000106B3">
        <w:rPr>
          <w:color w:val="000000"/>
          <w:szCs w:val="24"/>
        </w:rPr>
        <w:t xml:space="preserve"> and pain</w:t>
      </w:r>
      <w:r w:rsidR="003F4B98">
        <w:rPr>
          <w:color w:val="000000"/>
          <w:szCs w:val="24"/>
        </w:rPr>
        <w:t>-limited motion</w:t>
      </w:r>
      <w:r w:rsidR="003F4B98" w:rsidRPr="000106B3">
        <w:rPr>
          <w:color w:val="000000"/>
          <w:szCs w:val="24"/>
        </w:rPr>
        <w:t xml:space="preserve"> with end stage DJD</w:t>
      </w:r>
      <w:r w:rsidR="003F4B98">
        <w:rPr>
          <w:color w:val="000000"/>
          <w:szCs w:val="24"/>
        </w:rPr>
        <w:t xml:space="preserve">.  </w:t>
      </w:r>
      <w:r w:rsidR="003F4B98" w:rsidRPr="000106B3">
        <w:rPr>
          <w:color w:val="auto"/>
        </w:rPr>
        <w:t>The Board also considered the tenants of §4.40 (functional loss)</w:t>
      </w:r>
      <w:r w:rsidR="003F4B98">
        <w:rPr>
          <w:color w:val="auto"/>
        </w:rPr>
        <w:t xml:space="preserve">, </w:t>
      </w:r>
      <w:r w:rsidR="003F4B98" w:rsidRPr="000106B3">
        <w:rPr>
          <w:color w:val="auto"/>
        </w:rPr>
        <w:t>§</w:t>
      </w:r>
      <w:r w:rsidR="003F4B98" w:rsidRPr="003F4B98">
        <w:rPr>
          <w:color w:val="auto"/>
        </w:rPr>
        <w:t xml:space="preserve">4.14 </w:t>
      </w:r>
      <w:r w:rsidR="003F4B98">
        <w:rPr>
          <w:color w:val="auto"/>
        </w:rPr>
        <w:t>(a</w:t>
      </w:r>
      <w:r w:rsidR="003F4B98" w:rsidRPr="003F4B98">
        <w:rPr>
          <w:color w:val="auto"/>
        </w:rPr>
        <w:t>voidance of pyramiding</w:t>
      </w:r>
      <w:r w:rsidR="003F4B98">
        <w:rPr>
          <w:color w:val="auto"/>
        </w:rPr>
        <w:t>)</w:t>
      </w:r>
      <w:r w:rsidR="003F4B98" w:rsidRPr="000106B3">
        <w:rPr>
          <w:color w:val="auto"/>
        </w:rPr>
        <w:t xml:space="preserve"> and the potential overlap between the knee codes for arthritis, meniscal</w:t>
      </w:r>
      <w:r w:rsidR="003F4B98">
        <w:rPr>
          <w:color w:val="auto"/>
        </w:rPr>
        <w:t xml:space="preserve"> </w:t>
      </w:r>
      <w:r w:rsidR="003F4B98" w:rsidRPr="00921D33">
        <w:rPr>
          <w:color w:val="000000"/>
          <w:szCs w:val="24"/>
        </w:rPr>
        <w:t xml:space="preserve">symptoms, and ligament injury for dual coding of the knee.  </w:t>
      </w:r>
      <w:r w:rsidR="004A76AA">
        <w:rPr>
          <w:color w:val="000000"/>
          <w:szCs w:val="24"/>
        </w:rPr>
        <w:t xml:space="preserve">The Board </w:t>
      </w:r>
      <w:r w:rsidR="003F4B98">
        <w:rPr>
          <w:color w:val="000000"/>
          <w:szCs w:val="24"/>
        </w:rPr>
        <w:t xml:space="preserve">adjudged </w:t>
      </w:r>
      <w:r w:rsidR="004A76AA">
        <w:rPr>
          <w:color w:val="000000"/>
          <w:szCs w:val="24"/>
        </w:rPr>
        <w:t xml:space="preserve">that there was </w:t>
      </w:r>
      <w:r>
        <w:rPr>
          <w:color w:val="000000"/>
          <w:szCs w:val="24"/>
        </w:rPr>
        <w:t xml:space="preserve">insufficient documentation of </w:t>
      </w:r>
      <w:r w:rsidR="004A76AA">
        <w:rPr>
          <w:color w:val="000000"/>
          <w:szCs w:val="24"/>
        </w:rPr>
        <w:t xml:space="preserve">instability or subluxation of the knee for dual coding under code </w:t>
      </w:r>
      <w:r w:rsidR="004A76AA" w:rsidRPr="004A76AA">
        <w:rPr>
          <w:color w:val="000000"/>
          <w:szCs w:val="24"/>
        </w:rPr>
        <w:t>5257</w:t>
      </w:r>
      <w:r>
        <w:rPr>
          <w:color w:val="000000"/>
          <w:szCs w:val="24"/>
        </w:rPr>
        <w:t xml:space="preserve"> (</w:t>
      </w:r>
      <w:r w:rsidRPr="006B51BA">
        <w:rPr>
          <w:color w:val="000000"/>
          <w:szCs w:val="24"/>
        </w:rPr>
        <w:t>Knee, other impairment of:</w:t>
      </w:r>
      <w:r>
        <w:rPr>
          <w:color w:val="000000"/>
          <w:szCs w:val="24"/>
        </w:rPr>
        <w:t xml:space="preserve">  </w:t>
      </w:r>
      <w:r w:rsidRPr="006B51BA">
        <w:rPr>
          <w:color w:val="000000"/>
          <w:szCs w:val="24"/>
        </w:rPr>
        <w:t>Recurrent subluxation or lateral instability</w:t>
      </w:r>
      <w:r>
        <w:rPr>
          <w:color w:val="000000"/>
          <w:szCs w:val="24"/>
        </w:rPr>
        <w:t>)</w:t>
      </w:r>
      <w:r w:rsidR="003F4B98">
        <w:rPr>
          <w:color w:val="000000"/>
          <w:szCs w:val="24"/>
        </w:rPr>
        <w:t xml:space="preserve">, and insufficient evidence for a 20% rating under code </w:t>
      </w:r>
      <w:r w:rsidR="003F4B98" w:rsidRPr="003F4B98">
        <w:rPr>
          <w:color w:val="000000"/>
          <w:szCs w:val="24"/>
        </w:rPr>
        <w:t xml:space="preserve">5258 </w:t>
      </w:r>
      <w:r w:rsidR="003F4B98">
        <w:rPr>
          <w:color w:val="000000"/>
          <w:szCs w:val="24"/>
        </w:rPr>
        <w:t>(</w:t>
      </w:r>
      <w:r w:rsidR="003F4B98" w:rsidRPr="003F4B98">
        <w:rPr>
          <w:color w:val="000000"/>
          <w:szCs w:val="24"/>
        </w:rPr>
        <w:t>Cartilage, semilunar, dislocated, with frequent episodes of</w:t>
      </w:r>
      <w:r w:rsidR="003F4B98">
        <w:rPr>
          <w:color w:val="000000"/>
          <w:szCs w:val="24"/>
        </w:rPr>
        <w:t xml:space="preserve"> </w:t>
      </w:r>
      <w:r w:rsidR="003F4B98" w:rsidRPr="003F4B98">
        <w:rPr>
          <w:color w:val="000000"/>
          <w:szCs w:val="24"/>
        </w:rPr>
        <w:t>“locking,” pain, and effusion into the joint</w:t>
      </w:r>
      <w:r w:rsidR="003F4B98">
        <w:rPr>
          <w:color w:val="000000"/>
          <w:szCs w:val="24"/>
        </w:rPr>
        <w:t xml:space="preserve">).  </w:t>
      </w:r>
      <w:r w:rsidR="00921D33" w:rsidRPr="00921D33">
        <w:rPr>
          <w:color w:val="000000"/>
          <w:szCs w:val="24"/>
        </w:rPr>
        <w:t>The Board majority adjudged that the right knee symptoms and findings were not sufficient to warrant additionally disability coding and rating under 5259 (Cartilage, semilunar, removal of, symptomatic).  There was no other coding or rating scheme to higher that a 10% rating for the right knee.</w:t>
      </w:r>
      <w:r w:rsidR="00921D33">
        <w:rPr>
          <w:color w:val="000000"/>
          <w:szCs w:val="24"/>
        </w:rPr>
        <w:t xml:space="preserve">  </w:t>
      </w:r>
      <w:r w:rsidR="000106B3" w:rsidRPr="00921D33">
        <w:rPr>
          <w:color w:val="000000"/>
          <w:szCs w:val="24"/>
        </w:rPr>
        <w:t xml:space="preserve">After due deliberation, considering all of the evidence, the Board </w:t>
      </w:r>
      <w:r w:rsidRPr="00921D33">
        <w:rPr>
          <w:color w:val="000000"/>
          <w:szCs w:val="24"/>
        </w:rPr>
        <w:t xml:space="preserve">majority </w:t>
      </w:r>
      <w:r w:rsidR="000106B3" w:rsidRPr="00921D33">
        <w:rPr>
          <w:color w:val="000000"/>
          <w:szCs w:val="24"/>
        </w:rPr>
        <w:t>concluded that there was insufficient cause to recommend a change in the PEB</w:t>
      </w:r>
      <w:r w:rsidR="003F4B98" w:rsidRPr="00921D33">
        <w:rPr>
          <w:color w:val="000000"/>
          <w:szCs w:val="24"/>
        </w:rPr>
        <w:t>’s 10%</w:t>
      </w:r>
      <w:r w:rsidR="000106B3" w:rsidRPr="00921D33">
        <w:rPr>
          <w:color w:val="000000"/>
          <w:szCs w:val="24"/>
        </w:rPr>
        <w:t xml:space="preserve"> adjudication for the </w:t>
      </w:r>
      <w:r w:rsidR="003F4B98" w:rsidRPr="00921D33">
        <w:rPr>
          <w:color w:val="000000"/>
          <w:szCs w:val="24"/>
        </w:rPr>
        <w:t>right</w:t>
      </w:r>
      <w:r w:rsidR="000106B3" w:rsidRPr="00921D33">
        <w:rPr>
          <w:color w:val="000000"/>
          <w:szCs w:val="24"/>
        </w:rPr>
        <w:t xml:space="preserve"> knee condition.  </w:t>
      </w:r>
    </w:p>
    <w:p w:rsidR="001031F4" w:rsidRPr="001F29F9" w:rsidRDefault="001031F4"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6E0B93" w:rsidRPr="003C53E8" w:rsidRDefault="00C56FC8" w:rsidP="003C53E8">
      <w:pPr>
        <w:jc w:val="both"/>
        <w:rPr>
          <w:rFonts w:eastAsia="Calibri" w:cs="Times New Roman"/>
          <w:color w:val="auto"/>
          <w:szCs w:val="24"/>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eastAsia="Calibri" w:cs="Times New Roman"/>
          <w:color w:val="auto"/>
          <w:szCs w:val="24"/>
        </w:rPr>
        <w:t xml:space="preserve">. </w:t>
      </w:r>
      <w:r w:rsidR="006E0B93">
        <w:rPr>
          <w:rFonts w:eastAsia="Calibri" w:cs="Times New Roman"/>
          <w:color w:val="auto"/>
          <w:szCs w:val="24"/>
        </w:rPr>
        <w:t xml:space="preserve"> </w:t>
      </w:r>
      <w:r w:rsidR="00D54960">
        <w:rPr>
          <w:rFonts w:eastAsia="Calibri" w:cs="Times New Roman"/>
          <w:color w:val="auto"/>
          <w:szCs w:val="24"/>
        </w:rPr>
        <w:t xml:space="preserve">In the </w:t>
      </w:r>
      <w:r w:rsidR="00D54960" w:rsidRPr="00A467F5">
        <w:rPr>
          <w:rFonts w:eastAsia="Calibri" w:cs="Times New Roman"/>
          <w:color w:val="auto"/>
          <w:szCs w:val="24"/>
        </w:rPr>
        <w:t>matter of the left knee condition and IAW VASRD §</w:t>
      </w:r>
      <w:r w:rsidR="00D54960" w:rsidRPr="004E7D55">
        <w:rPr>
          <w:rFonts w:eastAsia="Calibri" w:cs="Times New Roman"/>
          <w:color w:val="auto"/>
          <w:szCs w:val="24"/>
        </w:rPr>
        <w:t xml:space="preserve">4.71a, the Board </w:t>
      </w:r>
      <w:r w:rsidR="00A467F5" w:rsidRPr="004E7D55">
        <w:rPr>
          <w:rFonts w:eastAsia="Calibri" w:cs="Times New Roman"/>
          <w:color w:val="auto"/>
          <w:szCs w:val="24"/>
        </w:rPr>
        <w:t xml:space="preserve">unanimously </w:t>
      </w:r>
      <w:r w:rsidR="00D54960" w:rsidRPr="004E7D55">
        <w:rPr>
          <w:rFonts w:eastAsia="Calibri" w:cs="Times New Roman"/>
          <w:color w:val="auto"/>
          <w:szCs w:val="24"/>
        </w:rPr>
        <w:t>recommends no change in the PEB adjudication.</w:t>
      </w:r>
      <w:r w:rsidR="00D54960">
        <w:rPr>
          <w:rFonts w:eastAsia="Calibri" w:cs="Times New Roman"/>
          <w:color w:val="auto"/>
          <w:szCs w:val="24"/>
        </w:rPr>
        <w:t xml:space="preserve">  In the matter of </w:t>
      </w:r>
      <w:r w:rsidR="00D54960" w:rsidRPr="004E7D55">
        <w:rPr>
          <w:rFonts w:eastAsia="Calibri" w:cs="Times New Roman"/>
          <w:color w:val="auto"/>
          <w:szCs w:val="24"/>
        </w:rPr>
        <w:t xml:space="preserve">the right knee condition and IAW VASRD §4.71a, the Board </w:t>
      </w:r>
      <w:r w:rsidR="00A467F5" w:rsidRPr="004E7D55">
        <w:rPr>
          <w:rFonts w:eastAsia="Calibri" w:cs="Times New Roman"/>
          <w:color w:val="auto"/>
          <w:szCs w:val="24"/>
        </w:rPr>
        <w:t>by a simple majority</w:t>
      </w:r>
      <w:r w:rsidR="00D54960" w:rsidRPr="004E7D55">
        <w:rPr>
          <w:rFonts w:eastAsia="Calibri" w:cs="Times New Roman"/>
          <w:color w:val="auto"/>
          <w:szCs w:val="24"/>
        </w:rPr>
        <w:t xml:space="preserve"> recomm</w:t>
      </w:r>
      <w:r w:rsidR="00D54960" w:rsidRPr="00D54960">
        <w:rPr>
          <w:rFonts w:eastAsia="Calibri" w:cs="Times New Roman"/>
          <w:color w:val="auto"/>
          <w:szCs w:val="24"/>
        </w:rPr>
        <w:t>ends no change in the PEB adjudic</w:t>
      </w:r>
      <w:r w:rsidR="00D54960">
        <w:rPr>
          <w:rFonts w:eastAsia="Calibri" w:cs="Times New Roman"/>
          <w:color w:val="auto"/>
          <w:szCs w:val="24"/>
        </w:rPr>
        <w:t xml:space="preserve">ation.  </w:t>
      </w:r>
      <w:r w:rsidR="00A467F5">
        <w:rPr>
          <w:rFonts w:eastAsia="Calibri" w:cs="Times New Roman"/>
          <w:color w:val="auto"/>
          <w:szCs w:val="24"/>
        </w:rPr>
        <w:t xml:space="preserve">The single voter of dissent (who recommended </w:t>
      </w:r>
      <w:r w:rsidR="00AD3126">
        <w:rPr>
          <w:rFonts w:eastAsia="Calibri" w:cs="Times New Roman"/>
          <w:color w:val="auto"/>
          <w:szCs w:val="24"/>
        </w:rPr>
        <w:t>right knee rating at 20%</w:t>
      </w:r>
      <w:r w:rsidR="00A467F5">
        <w:rPr>
          <w:rFonts w:eastAsia="Calibri" w:cs="Times New Roman"/>
          <w:color w:val="auto"/>
          <w:szCs w:val="24"/>
        </w:rPr>
        <w:t xml:space="preserve">) </w:t>
      </w:r>
      <w:r w:rsidR="00AD3126">
        <w:rPr>
          <w:rFonts w:eastAsia="Calibri" w:cs="Times New Roman"/>
          <w:color w:val="auto"/>
          <w:szCs w:val="24"/>
        </w:rPr>
        <w:t>did not elect to submit a</w:t>
      </w:r>
      <w:r w:rsidR="00A467F5">
        <w:rPr>
          <w:rFonts w:eastAsia="Calibri" w:cs="Times New Roman"/>
          <w:color w:val="auto"/>
          <w:szCs w:val="24"/>
        </w:rPr>
        <w:t xml:space="preserve"> minority opinion.  </w:t>
      </w:r>
      <w:r w:rsidR="00D54960">
        <w:rPr>
          <w:rFonts w:eastAsia="Calibri" w:cs="Times New Roman"/>
          <w:color w:val="auto"/>
          <w:szCs w:val="24"/>
        </w:rPr>
        <w:t xml:space="preserve">There were no other conditions within the Board’s scope of review for consideration.  </w:t>
      </w:r>
    </w:p>
    <w:p w:rsidR="00F1737C" w:rsidRPr="001F29F9" w:rsidRDefault="00F1737C"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A467F5" w:rsidRPr="004E7D55" w:rsidRDefault="00C56FC8" w:rsidP="00A467F5">
      <w:pPr>
        <w:jc w:val="both"/>
        <w:rPr>
          <w:color w:val="000000"/>
          <w:szCs w:val="24"/>
        </w:rPr>
      </w:pPr>
      <w:r w:rsidRPr="001F29F9">
        <w:rPr>
          <w:color w:val="000000"/>
          <w:szCs w:val="24"/>
          <w:u w:val="single"/>
        </w:rPr>
        <w:t>RECOMMENDATION</w:t>
      </w:r>
      <w:r w:rsidRPr="001F29F9">
        <w:rPr>
          <w:color w:val="000000"/>
          <w:szCs w:val="24"/>
        </w:rPr>
        <w:t>:</w:t>
      </w:r>
      <w:r w:rsidR="006E0B93">
        <w:rPr>
          <w:color w:val="000000"/>
          <w:szCs w:val="24"/>
        </w:rPr>
        <w:t xml:space="preserve">  </w:t>
      </w:r>
      <w:r w:rsidR="00A467F5" w:rsidRPr="004E7D55">
        <w:rPr>
          <w:color w:val="000000"/>
          <w:szCs w:val="24"/>
        </w:rPr>
        <w:t xml:space="preserve">The Board, therefore, recommends that there be no recharacterization of the CI’s disability and separation determination, as follows: </w:t>
      </w:r>
      <w:r w:rsidR="004E7D55" w:rsidRPr="004E7D55">
        <w:rPr>
          <w:color w:val="000000"/>
          <w:szCs w:val="24"/>
        </w:rPr>
        <w:t xml:space="preserve"> </w:t>
      </w:r>
    </w:p>
    <w:p w:rsidR="00A467F5" w:rsidRPr="004E7D55" w:rsidRDefault="00A467F5" w:rsidP="00A467F5">
      <w:pPr>
        <w:jc w:val="both"/>
        <w:rPr>
          <w:color w:val="00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A467F5" w:rsidRPr="004E7D55" w:rsidTr="00294FC5">
        <w:trPr>
          <w:trHeight w:val="233"/>
          <w:jc w:val="center"/>
        </w:trPr>
        <w:tc>
          <w:tcPr>
            <w:tcW w:w="6768" w:type="dxa"/>
            <w:gridSpan w:val="2"/>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467F5" w:rsidRPr="004E7D55" w:rsidRDefault="00A467F5" w:rsidP="00294FC5">
            <w:pPr>
              <w:tabs>
                <w:tab w:val="left" w:pos="288"/>
                <w:tab w:val="left" w:pos="4752"/>
              </w:tabs>
              <w:rPr>
                <w:b/>
                <w:color w:val="auto"/>
              </w:rPr>
            </w:pPr>
            <w:r w:rsidRPr="004E7D55">
              <w:rPr>
                <w:b/>
                <w:color w:val="auto"/>
              </w:rPr>
              <w:t>UNFITTING CONDITION</w:t>
            </w:r>
          </w:p>
        </w:tc>
        <w:tc>
          <w:tcPr>
            <w:tcW w:w="153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467F5" w:rsidRPr="004E7D55" w:rsidRDefault="00A467F5" w:rsidP="00294FC5">
            <w:pPr>
              <w:tabs>
                <w:tab w:val="left" w:pos="288"/>
                <w:tab w:val="left" w:pos="4752"/>
              </w:tabs>
              <w:rPr>
                <w:b/>
                <w:color w:val="auto"/>
              </w:rPr>
            </w:pPr>
            <w:r w:rsidRPr="004E7D55">
              <w:rPr>
                <w:b/>
                <w:color w:val="auto"/>
              </w:rPr>
              <w:t>VASRD CODE</w:t>
            </w:r>
          </w:p>
        </w:tc>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67F5" w:rsidRPr="004E7D55" w:rsidRDefault="00A467F5" w:rsidP="00294FC5">
            <w:pPr>
              <w:tabs>
                <w:tab w:val="left" w:pos="288"/>
                <w:tab w:val="left" w:pos="4752"/>
              </w:tabs>
              <w:rPr>
                <w:b/>
                <w:color w:val="auto"/>
              </w:rPr>
            </w:pPr>
            <w:r w:rsidRPr="004E7D55">
              <w:rPr>
                <w:b/>
                <w:color w:val="auto"/>
              </w:rPr>
              <w:t>RATING</w:t>
            </w:r>
          </w:p>
        </w:tc>
      </w:tr>
      <w:tr w:rsidR="00A467F5" w:rsidRPr="004E7D55" w:rsidTr="00294FC5">
        <w:trPr>
          <w:jc w:val="center"/>
        </w:trPr>
        <w:tc>
          <w:tcPr>
            <w:tcW w:w="6768" w:type="dxa"/>
            <w:gridSpan w:val="2"/>
            <w:tcBorders>
              <w:top w:val="single" w:sz="4" w:space="0" w:color="000000"/>
              <w:left w:val="single" w:sz="4" w:space="0" w:color="000000"/>
              <w:bottom w:val="single" w:sz="4" w:space="0" w:color="000000"/>
              <w:right w:val="single" w:sz="4" w:space="0" w:color="auto"/>
            </w:tcBorders>
            <w:vAlign w:val="center"/>
            <w:hideMark/>
          </w:tcPr>
          <w:p w:rsidR="00A467F5" w:rsidRPr="004E7D55" w:rsidRDefault="00A467F5" w:rsidP="00294FC5">
            <w:pPr>
              <w:tabs>
                <w:tab w:val="left" w:pos="288"/>
                <w:tab w:val="left" w:pos="4752"/>
              </w:tabs>
              <w:jc w:val="left"/>
              <w:rPr>
                <w:color w:val="000000"/>
                <w:szCs w:val="24"/>
              </w:rPr>
            </w:pPr>
            <w:r w:rsidRPr="004E7D55">
              <w:rPr>
                <w:color w:val="000000"/>
                <w:szCs w:val="24"/>
              </w:rPr>
              <w:t>Right knee condition</w:t>
            </w:r>
          </w:p>
        </w:tc>
        <w:tc>
          <w:tcPr>
            <w:tcW w:w="1530" w:type="dxa"/>
            <w:tcBorders>
              <w:top w:val="single" w:sz="4" w:space="0" w:color="000000"/>
              <w:left w:val="single" w:sz="4" w:space="0" w:color="auto"/>
              <w:bottom w:val="single" w:sz="4" w:space="0" w:color="000000"/>
              <w:right w:val="single" w:sz="4" w:space="0" w:color="000000"/>
            </w:tcBorders>
            <w:vAlign w:val="center"/>
            <w:hideMark/>
          </w:tcPr>
          <w:p w:rsidR="00A467F5" w:rsidRPr="004E7D55" w:rsidRDefault="00A467F5" w:rsidP="00294FC5">
            <w:pPr>
              <w:tabs>
                <w:tab w:val="left" w:pos="288"/>
                <w:tab w:val="left" w:pos="4752"/>
              </w:tabs>
              <w:rPr>
                <w:color w:val="000000"/>
                <w:szCs w:val="24"/>
              </w:rPr>
            </w:pPr>
            <w:r w:rsidRPr="004E7D55">
              <w:rPr>
                <w:color w:val="000000"/>
                <w:szCs w:val="24"/>
              </w:rPr>
              <w:t>5003</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A467F5" w:rsidRPr="004E7D55" w:rsidRDefault="00A467F5" w:rsidP="00294FC5">
            <w:pPr>
              <w:tabs>
                <w:tab w:val="left" w:pos="288"/>
                <w:tab w:val="left" w:pos="4752"/>
              </w:tabs>
              <w:rPr>
                <w:color w:val="000000"/>
                <w:szCs w:val="24"/>
              </w:rPr>
            </w:pPr>
            <w:r w:rsidRPr="004E7D55">
              <w:rPr>
                <w:color w:val="000000"/>
                <w:szCs w:val="24"/>
              </w:rPr>
              <w:t>10%</w:t>
            </w:r>
          </w:p>
        </w:tc>
      </w:tr>
      <w:tr w:rsidR="00A467F5" w:rsidRPr="004E7D55" w:rsidTr="00294FC5">
        <w:trPr>
          <w:jc w:val="center"/>
        </w:trPr>
        <w:tc>
          <w:tcPr>
            <w:tcW w:w="6768" w:type="dxa"/>
            <w:gridSpan w:val="2"/>
            <w:tcBorders>
              <w:top w:val="single" w:sz="4" w:space="0" w:color="000000"/>
              <w:left w:val="single" w:sz="4" w:space="0" w:color="000000"/>
              <w:bottom w:val="single" w:sz="4" w:space="0" w:color="000000"/>
              <w:right w:val="single" w:sz="4" w:space="0" w:color="auto"/>
            </w:tcBorders>
            <w:vAlign w:val="center"/>
            <w:hideMark/>
          </w:tcPr>
          <w:p w:rsidR="00A467F5" w:rsidRPr="004E7D55" w:rsidRDefault="00A467F5" w:rsidP="00294FC5">
            <w:pPr>
              <w:tabs>
                <w:tab w:val="left" w:pos="288"/>
                <w:tab w:val="left" w:pos="4752"/>
              </w:tabs>
              <w:jc w:val="left"/>
              <w:rPr>
                <w:color w:val="000000"/>
                <w:szCs w:val="24"/>
              </w:rPr>
            </w:pPr>
            <w:r w:rsidRPr="004E7D55">
              <w:rPr>
                <w:color w:val="000000"/>
                <w:szCs w:val="24"/>
              </w:rPr>
              <w:t>Left knee condition</w:t>
            </w:r>
          </w:p>
        </w:tc>
        <w:tc>
          <w:tcPr>
            <w:tcW w:w="1530" w:type="dxa"/>
            <w:tcBorders>
              <w:top w:val="single" w:sz="4" w:space="0" w:color="000000"/>
              <w:left w:val="single" w:sz="4" w:space="0" w:color="auto"/>
              <w:bottom w:val="single" w:sz="4" w:space="0" w:color="000000"/>
              <w:right w:val="single" w:sz="4" w:space="0" w:color="000000"/>
            </w:tcBorders>
            <w:vAlign w:val="center"/>
            <w:hideMark/>
          </w:tcPr>
          <w:p w:rsidR="00A467F5" w:rsidRPr="004E7D55" w:rsidRDefault="00A467F5" w:rsidP="00294FC5">
            <w:pPr>
              <w:tabs>
                <w:tab w:val="left" w:pos="288"/>
                <w:tab w:val="left" w:pos="4752"/>
              </w:tabs>
              <w:rPr>
                <w:color w:val="000000"/>
                <w:szCs w:val="24"/>
              </w:rPr>
            </w:pPr>
            <w:r w:rsidRPr="004E7D55">
              <w:rPr>
                <w:color w:val="000000"/>
                <w:szCs w:val="24"/>
              </w:rPr>
              <w:t>5003</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A467F5" w:rsidRPr="004E7D55" w:rsidRDefault="00A467F5" w:rsidP="00294FC5">
            <w:pPr>
              <w:tabs>
                <w:tab w:val="left" w:pos="288"/>
                <w:tab w:val="left" w:pos="4752"/>
              </w:tabs>
              <w:rPr>
                <w:color w:val="000000"/>
                <w:szCs w:val="24"/>
              </w:rPr>
            </w:pPr>
            <w:r w:rsidRPr="004E7D55">
              <w:rPr>
                <w:color w:val="000000"/>
                <w:szCs w:val="24"/>
              </w:rPr>
              <w:t>10%</w:t>
            </w:r>
          </w:p>
        </w:tc>
      </w:tr>
      <w:tr w:rsidR="00A467F5" w:rsidRPr="004E7D55" w:rsidTr="00294FC5">
        <w:trPr>
          <w:gridBefore w:val="1"/>
          <w:wBefore w:w="6048" w:type="dxa"/>
          <w:trHeight w:val="152"/>
          <w:jc w:val="center"/>
        </w:trPr>
        <w:tc>
          <w:tcPr>
            <w:tcW w:w="2250" w:type="dxa"/>
            <w:gridSpan w:val="2"/>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467F5" w:rsidRPr="004E7D55" w:rsidRDefault="00A467F5" w:rsidP="00294FC5">
            <w:pPr>
              <w:tabs>
                <w:tab w:val="left" w:pos="288"/>
                <w:tab w:val="left" w:pos="4752"/>
              </w:tabs>
              <w:rPr>
                <w:b/>
                <w:color w:val="auto"/>
              </w:rPr>
            </w:pPr>
            <w:r w:rsidRPr="004E7D55">
              <w:rPr>
                <w:b/>
                <w:color w:val="auto"/>
              </w:rPr>
              <w:t>COMBINED (w/ BLF)</w:t>
            </w:r>
          </w:p>
        </w:tc>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67F5" w:rsidRPr="004E7D55" w:rsidRDefault="00A467F5" w:rsidP="00294FC5">
            <w:pPr>
              <w:tabs>
                <w:tab w:val="left" w:pos="288"/>
                <w:tab w:val="left" w:pos="4752"/>
              </w:tabs>
              <w:rPr>
                <w:b/>
                <w:color w:val="000000"/>
                <w:szCs w:val="24"/>
              </w:rPr>
            </w:pPr>
            <w:r w:rsidRPr="004E7D55">
              <w:rPr>
                <w:b/>
                <w:color w:val="auto"/>
              </w:rPr>
              <w:t>20%</w:t>
            </w:r>
          </w:p>
        </w:tc>
      </w:tr>
    </w:tbl>
    <w:p w:rsidR="004E7D55" w:rsidRPr="004E7D55" w:rsidRDefault="004E7D55" w:rsidP="004E7D55">
      <w:pPr>
        <w:pBdr>
          <w:bottom w:val="single" w:sz="12" w:space="1" w:color="auto"/>
        </w:pBdr>
        <w:tabs>
          <w:tab w:val="left" w:pos="288"/>
          <w:tab w:val="left" w:pos="4752"/>
        </w:tabs>
        <w:jc w:val="both"/>
        <w:rPr>
          <w:color w:val="000000"/>
        </w:rPr>
      </w:pPr>
    </w:p>
    <w:p w:rsidR="004E7D55" w:rsidRPr="004E7D55" w:rsidRDefault="004E7D55" w:rsidP="004E7D55">
      <w:pPr>
        <w:jc w:val="left"/>
        <w:rPr>
          <w:color w:val="000000"/>
          <w:szCs w:val="24"/>
        </w:rPr>
      </w:pPr>
    </w:p>
    <w:p w:rsidR="00D91DA6" w:rsidRPr="001F29F9" w:rsidRDefault="00FB1725" w:rsidP="00392365">
      <w:pPr>
        <w:tabs>
          <w:tab w:val="left" w:pos="288"/>
          <w:tab w:val="left" w:pos="4752"/>
        </w:tabs>
        <w:jc w:val="both"/>
        <w:rPr>
          <w:color w:val="000000"/>
        </w:rPr>
      </w:pPr>
      <w:r w:rsidRPr="004E7D55">
        <w:rPr>
          <w:color w:val="000000"/>
        </w:rPr>
        <w:t>The following documentary evidence was considered</w:t>
      </w:r>
      <w:r w:rsidRPr="001F29F9">
        <w:rPr>
          <w:color w:val="000000"/>
        </w:rPr>
        <w:t>:</w:t>
      </w:r>
    </w:p>
    <w:p w:rsidR="00EB5EFD" w:rsidRPr="001F29F9" w:rsidRDefault="00EB5EFD" w:rsidP="00392365">
      <w:pPr>
        <w:tabs>
          <w:tab w:val="left" w:pos="288"/>
          <w:tab w:val="left" w:pos="4752"/>
        </w:tabs>
        <w:jc w:val="both"/>
        <w:rPr>
          <w:color w:val="000000"/>
        </w:rPr>
      </w:pPr>
    </w:p>
    <w:p w:rsidR="00114F20" w:rsidRPr="001F29F9" w:rsidRDefault="00FB1725" w:rsidP="00392365">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w:t>
      </w:r>
      <w:r w:rsidRPr="001F29F9">
        <w:rPr>
          <w:color w:val="000000"/>
          <w:szCs w:val="24"/>
        </w:rPr>
        <w:t>dated 20</w:t>
      </w:r>
      <w:r w:rsidR="001215DF" w:rsidRPr="001F29F9">
        <w:rPr>
          <w:color w:val="000000"/>
          <w:szCs w:val="24"/>
        </w:rPr>
        <w:t>1</w:t>
      </w:r>
      <w:r w:rsidR="000718AB">
        <w:rPr>
          <w:color w:val="000000"/>
          <w:szCs w:val="24"/>
        </w:rPr>
        <w:t>10801</w:t>
      </w:r>
      <w:r w:rsidRPr="001F29F9">
        <w:rPr>
          <w:color w:val="000000"/>
        </w:rPr>
        <w:t>, w/atchs.</w:t>
      </w:r>
    </w:p>
    <w:p w:rsidR="00114F20" w:rsidRPr="001F29F9" w:rsidRDefault="00FB1725" w:rsidP="00392365">
      <w:pPr>
        <w:tabs>
          <w:tab w:val="left" w:pos="288"/>
          <w:tab w:val="left" w:pos="4752"/>
        </w:tabs>
        <w:jc w:val="both"/>
        <w:rPr>
          <w:color w:val="000000"/>
        </w:rPr>
      </w:pPr>
      <w:r w:rsidRPr="001F29F9">
        <w:rPr>
          <w:color w:val="000000"/>
        </w:rPr>
        <w:t xml:space="preserve">Exhibit B.  </w:t>
      </w:r>
      <w:proofErr w:type="gramStart"/>
      <w:r w:rsidRPr="001F29F9">
        <w:rPr>
          <w:color w:val="000000"/>
        </w:rPr>
        <w:t>Service Treatment Record.</w:t>
      </w:r>
      <w:proofErr w:type="gramEnd"/>
    </w:p>
    <w:p w:rsidR="00114F20" w:rsidRPr="001F29F9" w:rsidRDefault="00FB1725" w:rsidP="00392365">
      <w:pPr>
        <w:tabs>
          <w:tab w:val="left" w:pos="288"/>
          <w:tab w:val="left" w:pos="4752"/>
        </w:tabs>
        <w:jc w:val="both"/>
        <w:rPr>
          <w:color w:val="000000"/>
        </w:rPr>
      </w:pPr>
      <w:r w:rsidRPr="001F29F9">
        <w:rPr>
          <w:color w:val="000000"/>
        </w:rPr>
        <w:t xml:space="preserve">Exhibit C.  </w:t>
      </w:r>
      <w:proofErr w:type="gramStart"/>
      <w:r w:rsidRPr="001F29F9">
        <w:rPr>
          <w:color w:val="000000"/>
        </w:rPr>
        <w:t>Department of Veterans Affairs Treatment Record.</w:t>
      </w:r>
      <w:proofErr w:type="gramEnd"/>
    </w:p>
    <w:p w:rsidR="00D91DA6" w:rsidRPr="001F29F9" w:rsidRDefault="00D91DA6" w:rsidP="00392365">
      <w:pPr>
        <w:tabs>
          <w:tab w:val="left" w:pos="288"/>
          <w:tab w:val="left" w:pos="4752"/>
        </w:tabs>
        <w:jc w:val="both"/>
        <w:rPr>
          <w:color w:val="000000"/>
        </w:rPr>
      </w:pPr>
    </w:p>
    <w:p w:rsidR="00114F20" w:rsidRPr="001F29F9" w:rsidRDefault="00114F20" w:rsidP="00392365">
      <w:pPr>
        <w:tabs>
          <w:tab w:val="left" w:pos="288"/>
          <w:tab w:val="left" w:pos="4752"/>
        </w:tabs>
        <w:jc w:val="both"/>
        <w:rPr>
          <w:color w:val="000000"/>
        </w:rPr>
      </w:pPr>
    </w:p>
    <w:p w:rsidR="00114F20" w:rsidRPr="001F29F9" w:rsidRDefault="00114F20" w:rsidP="00392365">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0C74CE">
        <w:rPr>
          <w:color w:val="000000"/>
          <w:szCs w:val="24"/>
        </w:rPr>
        <w:t>XXXXXXXXXXXXXX</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0C74CE" w:rsidRDefault="002F195B" w:rsidP="00BF0E9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0C74CE" w:rsidRDefault="000C74CE" w:rsidP="000C74CE">
      <w:pPr>
        <w:pStyle w:val="Header"/>
        <w:tabs>
          <w:tab w:val="left" w:pos="720"/>
        </w:tabs>
        <w:jc w:val="left"/>
      </w:pPr>
      <w:r>
        <w:rPr>
          <w:color w:val="000000"/>
          <w:szCs w:val="24"/>
        </w:rPr>
        <w:br w:type="page"/>
      </w:r>
      <w:r>
        <w:lastRenderedPageBreak/>
        <w:t>SFMR-RB</w:t>
      </w:r>
      <w:r>
        <w:tab/>
      </w:r>
      <w:r>
        <w:tab/>
      </w:r>
      <w:r>
        <w:tab/>
      </w:r>
      <w:r>
        <w:tab/>
      </w:r>
      <w:r>
        <w:tab/>
      </w:r>
      <w:r>
        <w:tab/>
      </w:r>
      <w:r>
        <w:tab/>
      </w:r>
      <w:r>
        <w:tab/>
      </w:r>
      <w:r>
        <w:tab/>
      </w:r>
    </w:p>
    <w:p w:rsidR="000C74CE" w:rsidRDefault="000C74CE" w:rsidP="000C74CE">
      <w:pPr>
        <w:pStyle w:val="Header"/>
        <w:tabs>
          <w:tab w:val="left" w:pos="720"/>
        </w:tabs>
        <w:jc w:val="left"/>
      </w:pPr>
    </w:p>
    <w:p w:rsidR="000C74CE" w:rsidRDefault="000C74CE" w:rsidP="000C74CE">
      <w:pPr>
        <w:jc w:val="left"/>
      </w:pPr>
    </w:p>
    <w:p w:rsidR="000C74CE" w:rsidRDefault="000C74CE" w:rsidP="000C74CE">
      <w:pPr>
        <w:jc w:val="left"/>
      </w:pPr>
      <w:r>
        <w:t xml:space="preserve">MEMORANDUM FOR Commander, US Army Physical Disability Agency </w:t>
      </w:r>
    </w:p>
    <w:p w:rsidR="000C74CE" w:rsidRDefault="000C74CE" w:rsidP="000C74CE">
      <w:pPr>
        <w:jc w:val="left"/>
      </w:pPr>
      <w:r>
        <w:t xml:space="preserve">(TAPD-ZB </w:t>
      </w:r>
      <w:proofErr w:type="gramStart"/>
      <w:r>
        <w:t>/  )</w:t>
      </w:r>
      <w:proofErr w:type="gramEnd"/>
      <w:r>
        <w:t>, 2900 Crystal Drive, Suite 300, Arlington, VA  22202</w:t>
      </w:r>
    </w:p>
    <w:p w:rsidR="000C74CE" w:rsidRDefault="000C74CE" w:rsidP="000C74CE">
      <w:pPr>
        <w:jc w:val="left"/>
      </w:pPr>
    </w:p>
    <w:p w:rsidR="000C74CE" w:rsidRDefault="000C74CE" w:rsidP="000C74CE">
      <w:pPr>
        <w:ind w:right="-180"/>
        <w:jc w:val="left"/>
      </w:pPr>
      <w:r>
        <w:t>SUBJECT:  Department of Defense Physical Disability Board of Review Recommendation for XXXXXXXXXXXXX, AR20120010146 (PD201100832)</w:t>
      </w:r>
    </w:p>
    <w:p w:rsidR="000C74CE" w:rsidRDefault="000C74CE" w:rsidP="000C74CE">
      <w:pPr>
        <w:pStyle w:val="Header"/>
        <w:tabs>
          <w:tab w:val="left" w:pos="720"/>
        </w:tabs>
        <w:jc w:val="left"/>
      </w:pPr>
    </w:p>
    <w:p w:rsidR="000C74CE" w:rsidRDefault="000C74CE" w:rsidP="000C74CE">
      <w:pPr>
        <w:jc w:val="left"/>
      </w:pPr>
    </w:p>
    <w:p w:rsidR="000C74CE" w:rsidRDefault="000C74CE" w:rsidP="000C74C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0C74CE" w:rsidRDefault="000C74CE" w:rsidP="000C74CE">
      <w:pPr>
        <w:jc w:val="left"/>
      </w:pPr>
      <w:r>
        <w:t>This decision is final.  The individual concerned, counsel (if any), and any Members of Congress who have shown interest in this application have been notified of this decision by mail.</w:t>
      </w:r>
    </w:p>
    <w:p w:rsidR="000C74CE" w:rsidRDefault="000C74CE" w:rsidP="000C74CE">
      <w:pPr>
        <w:jc w:val="left"/>
      </w:pPr>
    </w:p>
    <w:p w:rsidR="000C74CE" w:rsidRDefault="000C74CE" w:rsidP="000C74CE">
      <w:pPr>
        <w:jc w:val="left"/>
      </w:pPr>
      <w:r>
        <w:t>BY ORDER OF THE SECRETARY OF THE ARMY:</w:t>
      </w:r>
    </w:p>
    <w:p w:rsidR="000C74CE" w:rsidRDefault="000C74CE" w:rsidP="000C74CE">
      <w:pPr>
        <w:jc w:val="left"/>
      </w:pPr>
    </w:p>
    <w:p w:rsidR="000C74CE" w:rsidRDefault="000C74CE" w:rsidP="000C74CE">
      <w:pPr>
        <w:jc w:val="left"/>
      </w:pPr>
    </w:p>
    <w:p w:rsidR="000C74CE" w:rsidRDefault="000C74CE" w:rsidP="000C74CE">
      <w:pPr>
        <w:pStyle w:val="Header"/>
        <w:tabs>
          <w:tab w:val="left" w:pos="720"/>
        </w:tabs>
        <w:jc w:val="left"/>
      </w:pPr>
    </w:p>
    <w:p w:rsidR="000C74CE" w:rsidRDefault="000C74CE" w:rsidP="000C74CE">
      <w:pPr>
        <w:jc w:val="left"/>
      </w:pPr>
    </w:p>
    <w:p w:rsidR="000C74CE" w:rsidRDefault="000C74CE" w:rsidP="000C74CE">
      <w:pPr>
        <w:jc w:val="left"/>
      </w:pPr>
      <w:bookmarkStart w:id="0" w:name="OLE_LINK4"/>
      <w:bookmarkStart w:id="1" w:name="OLE_LINK3"/>
      <w:r>
        <w:t>Encl</w:t>
      </w:r>
      <w:r>
        <w:tab/>
      </w:r>
      <w:r>
        <w:tab/>
      </w:r>
      <w:r>
        <w:tab/>
      </w:r>
      <w:r>
        <w:tab/>
      </w:r>
      <w:r>
        <w:tab/>
      </w:r>
      <w:r>
        <w:tab/>
        <w:t xml:space="preserve">     XXXXXXXXXXXXXX</w:t>
      </w:r>
    </w:p>
    <w:p w:rsidR="000C74CE" w:rsidRDefault="000C74CE" w:rsidP="000C74CE">
      <w:pPr>
        <w:jc w:val="left"/>
      </w:pPr>
      <w:r>
        <w:tab/>
      </w:r>
      <w:r>
        <w:tab/>
      </w:r>
      <w:r>
        <w:tab/>
      </w:r>
      <w:r>
        <w:tab/>
      </w:r>
      <w:r>
        <w:tab/>
      </w:r>
      <w:r>
        <w:tab/>
        <w:t xml:space="preserve">     Deputy Assistant Secretary</w:t>
      </w:r>
    </w:p>
    <w:p w:rsidR="000C74CE" w:rsidRDefault="000C74CE" w:rsidP="000C74CE">
      <w:pPr>
        <w:jc w:val="left"/>
      </w:pPr>
      <w:r>
        <w:tab/>
      </w:r>
      <w:r>
        <w:tab/>
      </w:r>
      <w:r>
        <w:tab/>
      </w:r>
      <w:r>
        <w:tab/>
      </w:r>
      <w:r>
        <w:tab/>
      </w:r>
      <w:r>
        <w:tab/>
        <w:t xml:space="preserve">         (Army Review Boards)</w:t>
      </w:r>
      <w:bookmarkEnd w:id="0"/>
      <w:bookmarkEnd w:id="1"/>
    </w:p>
    <w:p w:rsidR="000C74CE" w:rsidRDefault="000C74CE" w:rsidP="000C74CE">
      <w:pPr>
        <w:jc w:val="left"/>
      </w:pPr>
    </w:p>
    <w:p w:rsidR="000C74CE" w:rsidRDefault="000C74CE" w:rsidP="000C74CE">
      <w:pPr>
        <w:jc w:val="left"/>
      </w:pPr>
      <w:r>
        <w:t xml:space="preserve">CF: </w:t>
      </w:r>
    </w:p>
    <w:p w:rsidR="000C74CE" w:rsidRDefault="000C74CE" w:rsidP="000C74CE">
      <w:pPr>
        <w:jc w:val="left"/>
      </w:pPr>
      <w:r>
        <w:t xml:space="preserve">(  ) </w:t>
      </w:r>
      <w:proofErr w:type="spellStart"/>
      <w:proofErr w:type="gramStart"/>
      <w:r>
        <w:t>DoD</w:t>
      </w:r>
      <w:proofErr w:type="spellEnd"/>
      <w:proofErr w:type="gramEnd"/>
      <w:r>
        <w:t xml:space="preserve"> PDBR</w:t>
      </w:r>
    </w:p>
    <w:p w:rsidR="000C74CE" w:rsidRDefault="000C74CE" w:rsidP="000C74CE">
      <w:pPr>
        <w:jc w:val="left"/>
      </w:pPr>
      <w:r>
        <w:t>(  ) DVA</w:t>
      </w:r>
    </w:p>
    <w:p w:rsidR="000C74CE" w:rsidRDefault="000C74CE" w:rsidP="000C74CE"/>
    <w:p w:rsidR="004E7D55" w:rsidRDefault="004E7D55" w:rsidP="00BF0E94">
      <w:pPr>
        <w:tabs>
          <w:tab w:val="left" w:pos="0"/>
          <w:tab w:val="left" w:pos="4320"/>
        </w:tabs>
        <w:jc w:val="both"/>
        <w:rPr>
          <w:color w:val="000000"/>
          <w:szCs w:val="24"/>
        </w:rPr>
      </w:pPr>
    </w:p>
    <w:sectPr w:rsidR="004E7D55"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5E" w:rsidRDefault="002E3F5E">
      <w:r>
        <w:separator/>
      </w:r>
    </w:p>
  </w:endnote>
  <w:endnote w:type="continuationSeparator" w:id="0">
    <w:p w:rsidR="002E3F5E" w:rsidRDefault="002E3F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60" w:rsidRPr="00374247" w:rsidRDefault="00D54960" w:rsidP="00374247">
    <w:pPr>
      <w:pStyle w:val="Footer"/>
      <w:ind w:firstLine="4320"/>
      <w:rPr>
        <w:color w:val="auto"/>
        <w:szCs w:val="24"/>
      </w:rPr>
    </w:pPr>
    <w:r w:rsidRPr="00374247">
      <w:rPr>
        <w:color w:val="auto"/>
        <w:szCs w:val="24"/>
      </w:rPr>
      <w:t xml:space="preserve">   </w:t>
    </w:r>
    <w:r w:rsidRPr="00374247">
      <w:rPr>
        <w:color w:val="auto"/>
        <w:szCs w:val="24"/>
      </w:rPr>
      <w:fldChar w:fldCharType="begin"/>
    </w:r>
    <w:r w:rsidRPr="00374247">
      <w:rPr>
        <w:color w:val="auto"/>
        <w:szCs w:val="24"/>
      </w:rPr>
      <w:instrText xml:space="preserve"> PAGE   \* MERGEFORMAT </w:instrText>
    </w:r>
    <w:r w:rsidRPr="00374247">
      <w:rPr>
        <w:color w:val="auto"/>
        <w:szCs w:val="24"/>
      </w:rPr>
      <w:fldChar w:fldCharType="separate"/>
    </w:r>
    <w:r w:rsidR="000C74CE" w:rsidRPr="000C74CE">
      <w:rPr>
        <w:noProof/>
        <w:color w:val="auto"/>
      </w:rPr>
      <w:t>2</w:t>
    </w:r>
    <w:r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100832</w:t>
    </w:r>
  </w:p>
  <w:p w:rsidR="00D54960" w:rsidRPr="00684CE6" w:rsidRDefault="00D5496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5E" w:rsidRDefault="002E3F5E">
      <w:r>
        <w:separator/>
      </w:r>
    </w:p>
  </w:footnote>
  <w:footnote w:type="continuationSeparator" w:id="0">
    <w:p w:rsidR="002E3F5E" w:rsidRDefault="002E3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56E53"/>
    <w:multiLevelType w:val="hybridMultilevel"/>
    <w:tmpl w:val="7FBE3410"/>
    <w:lvl w:ilvl="0" w:tplc="8C9A6016">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07D1B"/>
    <w:multiLevelType w:val="hybridMultilevel"/>
    <w:tmpl w:val="EEC46B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2"/>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3"/>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2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41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2A3"/>
    <w:rsid w:val="000106B3"/>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3D69"/>
    <w:rsid w:val="00024002"/>
    <w:rsid w:val="00024DE7"/>
    <w:rsid w:val="00026092"/>
    <w:rsid w:val="00030776"/>
    <w:rsid w:val="00030A0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18AB"/>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5472"/>
    <w:rsid w:val="000C06F6"/>
    <w:rsid w:val="000C15F8"/>
    <w:rsid w:val="000C1D34"/>
    <w:rsid w:val="000C2362"/>
    <w:rsid w:val="000C2FA8"/>
    <w:rsid w:val="000C3C13"/>
    <w:rsid w:val="000C4D5F"/>
    <w:rsid w:val="000C53F9"/>
    <w:rsid w:val="000C5813"/>
    <w:rsid w:val="000C714C"/>
    <w:rsid w:val="000C7161"/>
    <w:rsid w:val="000C74CE"/>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696C"/>
    <w:rsid w:val="000D7D55"/>
    <w:rsid w:val="000E0993"/>
    <w:rsid w:val="000E2286"/>
    <w:rsid w:val="000E2E50"/>
    <w:rsid w:val="000E37E0"/>
    <w:rsid w:val="000E3F20"/>
    <w:rsid w:val="000E4C25"/>
    <w:rsid w:val="000E4CBF"/>
    <w:rsid w:val="000E5577"/>
    <w:rsid w:val="000E7034"/>
    <w:rsid w:val="000F02BE"/>
    <w:rsid w:val="000F05AA"/>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759"/>
    <w:rsid w:val="001078DB"/>
    <w:rsid w:val="001079FA"/>
    <w:rsid w:val="00107EC5"/>
    <w:rsid w:val="001103CD"/>
    <w:rsid w:val="0011101B"/>
    <w:rsid w:val="00113B7F"/>
    <w:rsid w:val="00113D2A"/>
    <w:rsid w:val="00114F20"/>
    <w:rsid w:val="0011590B"/>
    <w:rsid w:val="001211AF"/>
    <w:rsid w:val="001215DF"/>
    <w:rsid w:val="001219DF"/>
    <w:rsid w:val="0012220B"/>
    <w:rsid w:val="001224CF"/>
    <w:rsid w:val="00122ABE"/>
    <w:rsid w:val="001231DC"/>
    <w:rsid w:val="0012453A"/>
    <w:rsid w:val="0012489B"/>
    <w:rsid w:val="001272AE"/>
    <w:rsid w:val="00130756"/>
    <w:rsid w:val="001315DD"/>
    <w:rsid w:val="0013525F"/>
    <w:rsid w:val="00135385"/>
    <w:rsid w:val="00136204"/>
    <w:rsid w:val="001364D1"/>
    <w:rsid w:val="001374C7"/>
    <w:rsid w:val="00140FA4"/>
    <w:rsid w:val="00141B68"/>
    <w:rsid w:val="00141BC9"/>
    <w:rsid w:val="001421FD"/>
    <w:rsid w:val="001425C8"/>
    <w:rsid w:val="00142EBA"/>
    <w:rsid w:val="00143B79"/>
    <w:rsid w:val="001452D2"/>
    <w:rsid w:val="00145965"/>
    <w:rsid w:val="00150B8A"/>
    <w:rsid w:val="00150DCB"/>
    <w:rsid w:val="00151912"/>
    <w:rsid w:val="00153740"/>
    <w:rsid w:val="001537D8"/>
    <w:rsid w:val="00153C57"/>
    <w:rsid w:val="00153D88"/>
    <w:rsid w:val="001541C5"/>
    <w:rsid w:val="00154A56"/>
    <w:rsid w:val="0015623F"/>
    <w:rsid w:val="00156585"/>
    <w:rsid w:val="00156BA9"/>
    <w:rsid w:val="001604EA"/>
    <w:rsid w:val="00161642"/>
    <w:rsid w:val="00161761"/>
    <w:rsid w:val="001640E6"/>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1DD8"/>
    <w:rsid w:val="00182A4C"/>
    <w:rsid w:val="00183F77"/>
    <w:rsid w:val="00183FB3"/>
    <w:rsid w:val="001844D8"/>
    <w:rsid w:val="00185DA8"/>
    <w:rsid w:val="00185ECB"/>
    <w:rsid w:val="001865E0"/>
    <w:rsid w:val="0018700C"/>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1C9"/>
    <w:rsid w:val="001C5BDA"/>
    <w:rsid w:val="001C5CFC"/>
    <w:rsid w:val="001C7231"/>
    <w:rsid w:val="001C7418"/>
    <w:rsid w:val="001C7EBE"/>
    <w:rsid w:val="001D0051"/>
    <w:rsid w:val="001D150B"/>
    <w:rsid w:val="001D169A"/>
    <w:rsid w:val="001D2224"/>
    <w:rsid w:val="001D31AA"/>
    <w:rsid w:val="001D37B9"/>
    <w:rsid w:val="001D3DC0"/>
    <w:rsid w:val="001D4F88"/>
    <w:rsid w:val="001D5B06"/>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382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AF6"/>
    <w:rsid w:val="00246860"/>
    <w:rsid w:val="002468D9"/>
    <w:rsid w:val="00246995"/>
    <w:rsid w:val="00246DFF"/>
    <w:rsid w:val="00246E89"/>
    <w:rsid w:val="0025183C"/>
    <w:rsid w:val="00252351"/>
    <w:rsid w:val="002528EC"/>
    <w:rsid w:val="00253EAA"/>
    <w:rsid w:val="0025485E"/>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0B82"/>
    <w:rsid w:val="00292397"/>
    <w:rsid w:val="00292AB2"/>
    <w:rsid w:val="00292B82"/>
    <w:rsid w:val="00293DB6"/>
    <w:rsid w:val="00293FE8"/>
    <w:rsid w:val="00294437"/>
    <w:rsid w:val="00294FC5"/>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28FF"/>
    <w:rsid w:val="002C34F6"/>
    <w:rsid w:val="002C3B6D"/>
    <w:rsid w:val="002C3F59"/>
    <w:rsid w:val="002C5D9D"/>
    <w:rsid w:val="002C5F10"/>
    <w:rsid w:val="002C6E5B"/>
    <w:rsid w:val="002D08F3"/>
    <w:rsid w:val="002D18B4"/>
    <w:rsid w:val="002D2058"/>
    <w:rsid w:val="002D231A"/>
    <w:rsid w:val="002D2695"/>
    <w:rsid w:val="002D5330"/>
    <w:rsid w:val="002D5969"/>
    <w:rsid w:val="002D5F57"/>
    <w:rsid w:val="002D73D4"/>
    <w:rsid w:val="002D7787"/>
    <w:rsid w:val="002E1877"/>
    <w:rsid w:val="002E1C31"/>
    <w:rsid w:val="002E2E0F"/>
    <w:rsid w:val="002E333A"/>
    <w:rsid w:val="002E3474"/>
    <w:rsid w:val="002E3F5E"/>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0D0A"/>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6CC"/>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365"/>
    <w:rsid w:val="00393651"/>
    <w:rsid w:val="00393D7D"/>
    <w:rsid w:val="00394926"/>
    <w:rsid w:val="00394FF9"/>
    <w:rsid w:val="00395651"/>
    <w:rsid w:val="00395E12"/>
    <w:rsid w:val="003962A8"/>
    <w:rsid w:val="00396779"/>
    <w:rsid w:val="00397362"/>
    <w:rsid w:val="00397BC8"/>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B98"/>
    <w:rsid w:val="003F5124"/>
    <w:rsid w:val="003F58B0"/>
    <w:rsid w:val="003F63A4"/>
    <w:rsid w:val="003F776F"/>
    <w:rsid w:val="004007E9"/>
    <w:rsid w:val="00400810"/>
    <w:rsid w:val="00401825"/>
    <w:rsid w:val="00401BBC"/>
    <w:rsid w:val="004026FC"/>
    <w:rsid w:val="00403BFB"/>
    <w:rsid w:val="00404B45"/>
    <w:rsid w:val="00404E91"/>
    <w:rsid w:val="00405BCF"/>
    <w:rsid w:val="00406463"/>
    <w:rsid w:val="004068E0"/>
    <w:rsid w:val="00406CC5"/>
    <w:rsid w:val="00406FCA"/>
    <w:rsid w:val="004074A4"/>
    <w:rsid w:val="004101B2"/>
    <w:rsid w:val="004123D7"/>
    <w:rsid w:val="00412658"/>
    <w:rsid w:val="004129DA"/>
    <w:rsid w:val="00415EA4"/>
    <w:rsid w:val="0041604B"/>
    <w:rsid w:val="004168B7"/>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C5"/>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595"/>
    <w:rsid w:val="00480D4A"/>
    <w:rsid w:val="004811EB"/>
    <w:rsid w:val="00481D61"/>
    <w:rsid w:val="00481DA1"/>
    <w:rsid w:val="00483A2B"/>
    <w:rsid w:val="00484212"/>
    <w:rsid w:val="004848C3"/>
    <w:rsid w:val="00484BA9"/>
    <w:rsid w:val="0048599A"/>
    <w:rsid w:val="00486818"/>
    <w:rsid w:val="0049255F"/>
    <w:rsid w:val="0049427E"/>
    <w:rsid w:val="0049445D"/>
    <w:rsid w:val="00494D39"/>
    <w:rsid w:val="00495350"/>
    <w:rsid w:val="00495E3C"/>
    <w:rsid w:val="00496041"/>
    <w:rsid w:val="00497156"/>
    <w:rsid w:val="004A0C79"/>
    <w:rsid w:val="004A24D2"/>
    <w:rsid w:val="004A3214"/>
    <w:rsid w:val="004A4136"/>
    <w:rsid w:val="004A417B"/>
    <w:rsid w:val="004A4378"/>
    <w:rsid w:val="004A712D"/>
    <w:rsid w:val="004A76AA"/>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622"/>
    <w:rsid w:val="004C47D5"/>
    <w:rsid w:val="004C4CAF"/>
    <w:rsid w:val="004C5E33"/>
    <w:rsid w:val="004C60A3"/>
    <w:rsid w:val="004C6CDA"/>
    <w:rsid w:val="004D10D4"/>
    <w:rsid w:val="004D16BD"/>
    <w:rsid w:val="004D281A"/>
    <w:rsid w:val="004D2AAB"/>
    <w:rsid w:val="004D3C7F"/>
    <w:rsid w:val="004D42CB"/>
    <w:rsid w:val="004D6E90"/>
    <w:rsid w:val="004D6F2B"/>
    <w:rsid w:val="004E0248"/>
    <w:rsid w:val="004E21A3"/>
    <w:rsid w:val="004E32EA"/>
    <w:rsid w:val="004E3517"/>
    <w:rsid w:val="004E6866"/>
    <w:rsid w:val="004E7D55"/>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0C14"/>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5F17"/>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AE4"/>
    <w:rsid w:val="005C62C2"/>
    <w:rsid w:val="005D0AC4"/>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560"/>
    <w:rsid w:val="005F67A9"/>
    <w:rsid w:val="005F6B6D"/>
    <w:rsid w:val="005F73CA"/>
    <w:rsid w:val="006008F8"/>
    <w:rsid w:val="006036C2"/>
    <w:rsid w:val="00605AAB"/>
    <w:rsid w:val="00606BEB"/>
    <w:rsid w:val="0061014A"/>
    <w:rsid w:val="0061054B"/>
    <w:rsid w:val="006110FB"/>
    <w:rsid w:val="00611F62"/>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094E"/>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1BA"/>
    <w:rsid w:val="006B53C4"/>
    <w:rsid w:val="006B586B"/>
    <w:rsid w:val="006B5923"/>
    <w:rsid w:val="006B67D9"/>
    <w:rsid w:val="006B6C14"/>
    <w:rsid w:val="006B7159"/>
    <w:rsid w:val="006B715E"/>
    <w:rsid w:val="006B7512"/>
    <w:rsid w:val="006C1D6E"/>
    <w:rsid w:val="006C2EF6"/>
    <w:rsid w:val="006C3A68"/>
    <w:rsid w:val="006C3B08"/>
    <w:rsid w:val="006C6AB1"/>
    <w:rsid w:val="006C6E6B"/>
    <w:rsid w:val="006C73D4"/>
    <w:rsid w:val="006D145F"/>
    <w:rsid w:val="006D2000"/>
    <w:rsid w:val="006D2D39"/>
    <w:rsid w:val="006D2F31"/>
    <w:rsid w:val="006D2F51"/>
    <w:rsid w:val="006D4250"/>
    <w:rsid w:val="006D4943"/>
    <w:rsid w:val="006D4E0E"/>
    <w:rsid w:val="006D5861"/>
    <w:rsid w:val="006D5CE2"/>
    <w:rsid w:val="006D7854"/>
    <w:rsid w:val="006E06D1"/>
    <w:rsid w:val="006E0B93"/>
    <w:rsid w:val="006E122E"/>
    <w:rsid w:val="006E1313"/>
    <w:rsid w:val="006E2DC8"/>
    <w:rsid w:val="006E37E8"/>
    <w:rsid w:val="006E433F"/>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71F"/>
    <w:rsid w:val="007539DB"/>
    <w:rsid w:val="0076100C"/>
    <w:rsid w:val="007612A5"/>
    <w:rsid w:val="00763CAE"/>
    <w:rsid w:val="00763F95"/>
    <w:rsid w:val="0076425E"/>
    <w:rsid w:val="007651ED"/>
    <w:rsid w:val="00766C87"/>
    <w:rsid w:val="00771043"/>
    <w:rsid w:val="007721B7"/>
    <w:rsid w:val="0077272B"/>
    <w:rsid w:val="00773804"/>
    <w:rsid w:val="00773AF7"/>
    <w:rsid w:val="00774FFD"/>
    <w:rsid w:val="00780378"/>
    <w:rsid w:val="0078085E"/>
    <w:rsid w:val="00781729"/>
    <w:rsid w:val="007818ED"/>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692F"/>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2E93"/>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160"/>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67E"/>
    <w:rsid w:val="008E38B0"/>
    <w:rsid w:val="008E3C90"/>
    <w:rsid w:val="008E4A60"/>
    <w:rsid w:val="008E6046"/>
    <w:rsid w:val="008E744D"/>
    <w:rsid w:val="008F1E08"/>
    <w:rsid w:val="008F30F4"/>
    <w:rsid w:val="008F58E1"/>
    <w:rsid w:val="008F6E05"/>
    <w:rsid w:val="008F6FC8"/>
    <w:rsid w:val="0090045D"/>
    <w:rsid w:val="00900906"/>
    <w:rsid w:val="00900D8F"/>
    <w:rsid w:val="00901229"/>
    <w:rsid w:val="009014E3"/>
    <w:rsid w:val="009020ED"/>
    <w:rsid w:val="0090228D"/>
    <w:rsid w:val="009026E8"/>
    <w:rsid w:val="00902FDD"/>
    <w:rsid w:val="00905EEF"/>
    <w:rsid w:val="00906EB7"/>
    <w:rsid w:val="00907FE6"/>
    <w:rsid w:val="009102BF"/>
    <w:rsid w:val="00911490"/>
    <w:rsid w:val="009115F2"/>
    <w:rsid w:val="00911B11"/>
    <w:rsid w:val="00914ADB"/>
    <w:rsid w:val="00917182"/>
    <w:rsid w:val="00920251"/>
    <w:rsid w:val="00921CFD"/>
    <w:rsid w:val="00921D33"/>
    <w:rsid w:val="00923B25"/>
    <w:rsid w:val="0092402E"/>
    <w:rsid w:val="009259BA"/>
    <w:rsid w:val="00926B80"/>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BAA"/>
    <w:rsid w:val="00955E45"/>
    <w:rsid w:val="00956219"/>
    <w:rsid w:val="009576BC"/>
    <w:rsid w:val="00957899"/>
    <w:rsid w:val="00957927"/>
    <w:rsid w:val="00960357"/>
    <w:rsid w:val="0096168C"/>
    <w:rsid w:val="00961840"/>
    <w:rsid w:val="009625E3"/>
    <w:rsid w:val="00962F2D"/>
    <w:rsid w:val="00963A7A"/>
    <w:rsid w:val="00965000"/>
    <w:rsid w:val="00966AFE"/>
    <w:rsid w:val="00967241"/>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820"/>
    <w:rsid w:val="00984EBF"/>
    <w:rsid w:val="00985097"/>
    <w:rsid w:val="00985099"/>
    <w:rsid w:val="00985D32"/>
    <w:rsid w:val="00986514"/>
    <w:rsid w:val="00986FCC"/>
    <w:rsid w:val="00990FD6"/>
    <w:rsid w:val="009935C3"/>
    <w:rsid w:val="0099421F"/>
    <w:rsid w:val="00994FC8"/>
    <w:rsid w:val="0099620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749"/>
    <w:rsid w:val="009D0EA9"/>
    <w:rsid w:val="009D1ADE"/>
    <w:rsid w:val="009D297C"/>
    <w:rsid w:val="009D3652"/>
    <w:rsid w:val="009D37CA"/>
    <w:rsid w:val="009D4229"/>
    <w:rsid w:val="009D4268"/>
    <w:rsid w:val="009D5DE9"/>
    <w:rsid w:val="009E09D0"/>
    <w:rsid w:val="009E1181"/>
    <w:rsid w:val="009E1283"/>
    <w:rsid w:val="009E3A7F"/>
    <w:rsid w:val="009E3C31"/>
    <w:rsid w:val="009E488B"/>
    <w:rsid w:val="009E4C9B"/>
    <w:rsid w:val="009E4DFC"/>
    <w:rsid w:val="009E5789"/>
    <w:rsid w:val="009E57B1"/>
    <w:rsid w:val="009E6379"/>
    <w:rsid w:val="009F01BA"/>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4A1C"/>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67F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4BE"/>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2D06"/>
    <w:rsid w:val="00A838E8"/>
    <w:rsid w:val="00A83C15"/>
    <w:rsid w:val="00A84EC4"/>
    <w:rsid w:val="00A86CB6"/>
    <w:rsid w:val="00A90D55"/>
    <w:rsid w:val="00A9225E"/>
    <w:rsid w:val="00A944D8"/>
    <w:rsid w:val="00A959E7"/>
    <w:rsid w:val="00A95BBA"/>
    <w:rsid w:val="00A961EE"/>
    <w:rsid w:val="00A96559"/>
    <w:rsid w:val="00A970CE"/>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126"/>
    <w:rsid w:val="00AD3496"/>
    <w:rsid w:val="00AD426A"/>
    <w:rsid w:val="00AD49A1"/>
    <w:rsid w:val="00AD5771"/>
    <w:rsid w:val="00AD6870"/>
    <w:rsid w:val="00AD68C5"/>
    <w:rsid w:val="00AD7F8F"/>
    <w:rsid w:val="00AE0BF9"/>
    <w:rsid w:val="00AE1273"/>
    <w:rsid w:val="00AE18C5"/>
    <w:rsid w:val="00AE23E9"/>
    <w:rsid w:val="00AE2540"/>
    <w:rsid w:val="00AE2CF4"/>
    <w:rsid w:val="00AE2D29"/>
    <w:rsid w:val="00AE2EEC"/>
    <w:rsid w:val="00AE2F15"/>
    <w:rsid w:val="00AE4624"/>
    <w:rsid w:val="00AE474F"/>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575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3D73"/>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3DD"/>
    <w:rsid w:val="00B7793B"/>
    <w:rsid w:val="00B77EE7"/>
    <w:rsid w:val="00B80EDD"/>
    <w:rsid w:val="00B812BD"/>
    <w:rsid w:val="00B81964"/>
    <w:rsid w:val="00B82277"/>
    <w:rsid w:val="00B83F87"/>
    <w:rsid w:val="00B8478F"/>
    <w:rsid w:val="00B84F93"/>
    <w:rsid w:val="00B91676"/>
    <w:rsid w:val="00B9322B"/>
    <w:rsid w:val="00B93515"/>
    <w:rsid w:val="00B93640"/>
    <w:rsid w:val="00B955D5"/>
    <w:rsid w:val="00B95833"/>
    <w:rsid w:val="00B9793D"/>
    <w:rsid w:val="00B97FD4"/>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5475"/>
    <w:rsid w:val="00BB6064"/>
    <w:rsid w:val="00BB65CE"/>
    <w:rsid w:val="00BB7012"/>
    <w:rsid w:val="00BC09D1"/>
    <w:rsid w:val="00BC1CF3"/>
    <w:rsid w:val="00BC2BE0"/>
    <w:rsid w:val="00BC3573"/>
    <w:rsid w:val="00BC5860"/>
    <w:rsid w:val="00BC5F22"/>
    <w:rsid w:val="00BC7F82"/>
    <w:rsid w:val="00BD1844"/>
    <w:rsid w:val="00BD2A49"/>
    <w:rsid w:val="00BD3683"/>
    <w:rsid w:val="00BD40AB"/>
    <w:rsid w:val="00BD40DE"/>
    <w:rsid w:val="00BD4DB2"/>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E70D0"/>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01A"/>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893"/>
    <w:rsid w:val="00C60F23"/>
    <w:rsid w:val="00C6170B"/>
    <w:rsid w:val="00C62985"/>
    <w:rsid w:val="00C62EB2"/>
    <w:rsid w:val="00C63431"/>
    <w:rsid w:val="00C64C87"/>
    <w:rsid w:val="00C65414"/>
    <w:rsid w:val="00C665FE"/>
    <w:rsid w:val="00C71BEC"/>
    <w:rsid w:val="00C73942"/>
    <w:rsid w:val="00C73A83"/>
    <w:rsid w:val="00C74D3A"/>
    <w:rsid w:val="00C75F3D"/>
    <w:rsid w:val="00C8043C"/>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0ACA"/>
    <w:rsid w:val="00CA1228"/>
    <w:rsid w:val="00CA1C73"/>
    <w:rsid w:val="00CA282D"/>
    <w:rsid w:val="00CA3F73"/>
    <w:rsid w:val="00CA4670"/>
    <w:rsid w:val="00CA5F89"/>
    <w:rsid w:val="00CA6B1A"/>
    <w:rsid w:val="00CA768C"/>
    <w:rsid w:val="00CB1B18"/>
    <w:rsid w:val="00CB20DC"/>
    <w:rsid w:val="00CB23DC"/>
    <w:rsid w:val="00CB2487"/>
    <w:rsid w:val="00CB28E2"/>
    <w:rsid w:val="00CB2F20"/>
    <w:rsid w:val="00CB3395"/>
    <w:rsid w:val="00CB5801"/>
    <w:rsid w:val="00CB758D"/>
    <w:rsid w:val="00CB7A3E"/>
    <w:rsid w:val="00CB7FF7"/>
    <w:rsid w:val="00CC0104"/>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5D7E"/>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AB5"/>
    <w:rsid w:val="00D3654A"/>
    <w:rsid w:val="00D3662E"/>
    <w:rsid w:val="00D36DC5"/>
    <w:rsid w:val="00D373F1"/>
    <w:rsid w:val="00D37567"/>
    <w:rsid w:val="00D40B1F"/>
    <w:rsid w:val="00D40D75"/>
    <w:rsid w:val="00D43978"/>
    <w:rsid w:val="00D43CBD"/>
    <w:rsid w:val="00D449F0"/>
    <w:rsid w:val="00D455CD"/>
    <w:rsid w:val="00D462D7"/>
    <w:rsid w:val="00D46A33"/>
    <w:rsid w:val="00D5062C"/>
    <w:rsid w:val="00D50C8C"/>
    <w:rsid w:val="00D52393"/>
    <w:rsid w:val="00D523E4"/>
    <w:rsid w:val="00D5279D"/>
    <w:rsid w:val="00D52A1B"/>
    <w:rsid w:val="00D52AA7"/>
    <w:rsid w:val="00D52FCC"/>
    <w:rsid w:val="00D53F14"/>
    <w:rsid w:val="00D54960"/>
    <w:rsid w:val="00D54BE4"/>
    <w:rsid w:val="00D54DDB"/>
    <w:rsid w:val="00D554BC"/>
    <w:rsid w:val="00D560DC"/>
    <w:rsid w:val="00D56602"/>
    <w:rsid w:val="00D60483"/>
    <w:rsid w:val="00D61ABB"/>
    <w:rsid w:val="00D62D5C"/>
    <w:rsid w:val="00D63577"/>
    <w:rsid w:val="00D67FD7"/>
    <w:rsid w:val="00D704E4"/>
    <w:rsid w:val="00D72410"/>
    <w:rsid w:val="00D730BC"/>
    <w:rsid w:val="00D73D53"/>
    <w:rsid w:val="00D7402C"/>
    <w:rsid w:val="00D7408A"/>
    <w:rsid w:val="00D74261"/>
    <w:rsid w:val="00D7441B"/>
    <w:rsid w:val="00D75589"/>
    <w:rsid w:val="00D76AB2"/>
    <w:rsid w:val="00D77316"/>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2B6F"/>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A49"/>
    <w:rsid w:val="00E84DDA"/>
    <w:rsid w:val="00E8608F"/>
    <w:rsid w:val="00E86C1D"/>
    <w:rsid w:val="00E90703"/>
    <w:rsid w:val="00E90A62"/>
    <w:rsid w:val="00E9265E"/>
    <w:rsid w:val="00E953D0"/>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5F98"/>
    <w:rsid w:val="00EB679F"/>
    <w:rsid w:val="00EB76E4"/>
    <w:rsid w:val="00EC09A6"/>
    <w:rsid w:val="00EC0E65"/>
    <w:rsid w:val="00EC1251"/>
    <w:rsid w:val="00EC2938"/>
    <w:rsid w:val="00EC337D"/>
    <w:rsid w:val="00EC38EF"/>
    <w:rsid w:val="00EC50C9"/>
    <w:rsid w:val="00EC58B4"/>
    <w:rsid w:val="00EC5BB2"/>
    <w:rsid w:val="00EC75AF"/>
    <w:rsid w:val="00ED12F0"/>
    <w:rsid w:val="00ED1329"/>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37E"/>
    <w:rsid w:val="00EE6FE0"/>
    <w:rsid w:val="00EE704A"/>
    <w:rsid w:val="00EE7840"/>
    <w:rsid w:val="00EF113B"/>
    <w:rsid w:val="00EF1AC7"/>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571DA"/>
    <w:rsid w:val="00F606D5"/>
    <w:rsid w:val="00F611B3"/>
    <w:rsid w:val="00F6196E"/>
    <w:rsid w:val="00F61CCC"/>
    <w:rsid w:val="00F624DD"/>
    <w:rsid w:val="00F629C0"/>
    <w:rsid w:val="00F63FC7"/>
    <w:rsid w:val="00F65E1F"/>
    <w:rsid w:val="00F65ED5"/>
    <w:rsid w:val="00F6608B"/>
    <w:rsid w:val="00F6636A"/>
    <w:rsid w:val="00F66687"/>
    <w:rsid w:val="00F667C5"/>
    <w:rsid w:val="00F67E31"/>
    <w:rsid w:val="00F70B44"/>
    <w:rsid w:val="00F71436"/>
    <w:rsid w:val="00F718A8"/>
    <w:rsid w:val="00F7207E"/>
    <w:rsid w:val="00F72183"/>
    <w:rsid w:val="00F73FF8"/>
    <w:rsid w:val="00F74A4A"/>
    <w:rsid w:val="00F75C12"/>
    <w:rsid w:val="00F76D01"/>
    <w:rsid w:val="00F80B43"/>
    <w:rsid w:val="00F80C97"/>
    <w:rsid w:val="00F81C35"/>
    <w:rsid w:val="00F82981"/>
    <w:rsid w:val="00F8311F"/>
    <w:rsid w:val="00F83248"/>
    <w:rsid w:val="00F83376"/>
    <w:rsid w:val="00F851B9"/>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4E"/>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1EB"/>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0C74CE"/>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84840682">
      <w:bodyDiv w:val="1"/>
      <w:marLeft w:val="0"/>
      <w:marRight w:val="0"/>
      <w:marTop w:val="0"/>
      <w:marBottom w:val="0"/>
      <w:divBdr>
        <w:top w:val="none" w:sz="0" w:space="0" w:color="auto"/>
        <w:left w:val="none" w:sz="0" w:space="0" w:color="auto"/>
        <w:bottom w:val="none" w:sz="0" w:space="0" w:color="auto"/>
        <w:right w:val="none" w:sz="0" w:space="0" w:color="auto"/>
      </w:divBdr>
    </w:div>
    <w:div w:id="44141701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25235606">
      <w:bodyDiv w:val="1"/>
      <w:marLeft w:val="0"/>
      <w:marRight w:val="0"/>
      <w:marTop w:val="0"/>
      <w:marBottom w:val="0"/>
      <w:divBdr>
        <w:top w:val="none" w:sz="0" w:space="0" w:color="auto"/>
        <w:left w:val="none" w:sz="0" w:space="0" w:color="auto"/>
        <w:bottom w:val="none" w:sz="0" w:space="0" w:color="auto"/>
        <w:right w:val="none" w:sz="0" w:space="0" w:color="auto"/>
      </w:divBdr>
    </w:div>
    <w:div w:id="732771955">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79116960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69837277">
      <w:bodyDiv w:val="1"/>
      <w:marLeft w:val="0"/>
      <w:marRight w:val="0"/>
      <w:marTop w:val="0"/>
      <w:marBottom w:val="0"/>
      <w:divBdr>
        <w:top w:val="none" w:sz="0" w:space="0" w:color="auto"/>
        <w:left w:val="none" w:sz="0" w:space="0" w:color="auto"/>
        <w:bottom w:val="none" w:sz="0" w:space="0" w:color="auto"/>
        <w:right w:val="none" w:sz="0" w:space="0" w:color="auto"/>
      </w:divBdr>
    </w:div>
    <w:div w:id="1410732568">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30608180">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1165801">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780879296">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85256204">
      <w:bodyDiv w:val="1"/>
      <w:marLeft w:val="0"/>
      <w:marRight w:val="0"/>
      <w:marTop w:val="0"/>
      <w:marBottom w:val="0"/>
      <w:divBdr>
        <w:top w:val="none" w:sz="0" w:space="0" w:color="auto"/>
        <w:left w:val="none" w:sz="0" w:space="0" w:color="auto"/>
        <w:bottom w:val="none" w:sz="0" w:space="0" w:color="auto"/>
        <w:right w:val="none" w:sz="0" w:space="0" w:color="auto"/>
      </w:divBdr>
      <w:divsChild>
        <w:div w:id="305355325">
          <w:marLeft w:val="0"/>
          <w:marRight w:val="0"/>
          <w:marTop w:val="0"/>
          <w:marBottom w:val="0"/>
          <w:divBdr>
            <w:top w:val="none" w:sz="0" w:space="0" w:color="auto"/>
            <w:left w:val="none" w:sz="0" w:space="0" w:color="auto"/>
            <w:bottom w:val="none" w:sz="0" w:space="0" w:color="auto"/>
            <w:right w:val="none" w:sz="0" w:space="0" w:color="auto"/>
          </w:divBdr>
          <w:divsChild>
            <w:div w:id="2102604937">
              <w:marLeft w:val="0"/>
              <w:marRight w:val="0"/>
              <w:marTop w:val="0"/>
              <w:marBottom w:val="360"/>
              <w:divBdr>
                <w:top w:val="none" w:sz="0" w:space="0" w:color="auto"/>
                <w:left w:val="none" w:sz="0" w:space="0" w:color="auto"/>
                <w:bottom w:val="none" w:sz="0" w:space="0" w:color="auto"/>
                <w:right w:val="none" w:sz="0" w:space="0" w:color="auto"/>
              </w:divBdr>
              <w:divsChild>
                <w:div w:id="1381590260">
                  <w:marLeft w:val="0"/>
                  <w:marRight w:val="0"/>
                  <w:marTop w:val="0"/>
                  <w:marBottom w:val="0"/>
                  <w:divBdr>
                    <w:top w:val="none" w:sz="0" w:space="0" w:color="auto"/>
                    <w:left w:val="none" w:sz="0" w:space="0" w:color="auto"/>
                    <w:bottom w:val="none" w:sz="0" w:space="0" w:color="auto"/>
                    <w:right w:val="none" w:sz="0" w:space="0" w:color="auto"/>
                  </w:divBdr>
                  <w:divsChild>
                    <w:div w:id="655497436">
                      <w:marLeft w:val="0"/>
                      <w:marRight w:val="0"/>
                      <w:marTop w:val="0"/>
                      <w:marBottom w:val="0"/>
                      <w:divBdr>
                        <w:top w:val="none" w:sz="0" w:space="0" w:color="auto"/>
                        <w:left w:val="none" w:sz="0" w:space="0" w:color="auto"/>
                        <w:bottom w:val="none" w:sz="0" w:space="0" w:color="auto"/>
                        <w:right w:val="none" w:sz="0" w:space="0" w:color="auto"/>
                      </w:divBdr>
                      <w:divsChild>
                        <w:div w:id="666399192">
                          <w:marLeft w:val="0"/>
                          <w:marRight w:val="0"/>
                          <w:marTop w:val="0"/>
                          <w:marBottom w:val="0"/>
                          <w:divBdr>
                            <w:top w:val="none" w:sz="0" w:space="0" w:color="auto"/>
                            <w:left w:val="none" w:sz="0" w:space="0" w:color="auto"/>
                            <w:bottom w:val="none" w:sz="0" w:space="0" w:color="auto"/>
                            <w:right w:val="none" w:sz="0" w:space="0" w:color="auto"/>
                          </w:divBdr>
                          <w:divsChild>
                            <w:div w:id="710151093">
                              <w:marLeft w:val="0"/>
                              <w:marRight w:val="0"/>
                              <w:marTop w:val="0"/>
                              <w:marBottom w:val="360"/>
                              <w:divBdr>
                                <w:top w:val="none" w:sz="0" w:space="0" w:color="auto"/>
                                <w:left w:val="none" w:sz="0" w:space="0" w:color="auto"/>
                                <w:bottom w:val="none" w:sz="0" w:space="0" w:color="auto"/>
                                <w:right w:val="none" w:sz="0" w:space="0" w:color="auto"/>
                              </w:divBdr>
                              <w:divsChild>
                                <w:div w:id="1479881165">
                                  <w:marLeft w:val="0"/>
                                  <w:marRight w:val="0"/>
                                  <w:marTop w:val="0"/>
                                  <w:marBottom w:val="0"/>
                                  <w:divBdr>
                                    <w:top w:val="none" w:sz="0" w:space="0" w:color="auto"/>
                                    <w:left w:val="none" w:sz="0" w:space="0" w:color="auto"/>
                                    <w:bottom w:val="none" w:sz="0" w:space="0" w:color="auto"/>
                                    <w:right w:val="none" w:sz="0" w:space="0" w:color="auto"/>
                                  </w:divBdr>
                                  <w:divsChild>
                                    <w:div w:id="1956205626">
                                      <w:marLeft w:val="0"/>
                                      <w:marRight w:val="0"/>
                                      <w:marTop w:val="0"/>
                                      <w:marBottom w:val="0"/>
                                      <w:divBdr>
                                        <w:top w:val="none" w:sz="0" w:space="0" w:color="auto"/>
                                        <w:left w:val="none" w:sz="0" w:space="0" w:color="auto"/>
                                        <w:bottom w:val="none" w:sz="0" w:space="0" w:color="auto"/>
                                        <w:right w:val="none" w:sz="0" w:space="0" w:color="auto"/>
                                      </w:divBdr>
                                      <w:divsChild>
                                        <w:div w:id="1716469717">
                                          <w:marLeft w:val="0"/>
                                          <w:marRight w:val="0"/>
                                          <w:marTop w:val="0"/>
                                          <w:marBottom w:val="0"/>
                                          <w:divBdr>
                                            <w:top w:val="none" w:sz="0" w:space="0" w:color="auto"/>
                                            <w:left w:val="none" w:sz="0" w:space="0" w:color="auto"/>
                                            <w:bottom w:val="none" w:sz="0" w:space="0" w:color="auto"/>
                                            <w:right w:val="none" w:sz="0" w:space="0" w:color="auto"/>
                                          </w:divBdr>
                                          <w:divsChild>
                                            <w:div w:id="962735116">
                                              <w:marLeft w:val="0"/>
                                              <w:marRight w:val="0"/>
                                              <w:marTop w:val="0"/>
                                              <w:marBottom w:val="0"/>
                                              <w:divBdr>
                                                <w:top w:val="none" w:sz="0" w:space="0" w:color="auto"/>
                                                <w:left w:val="none" w:sz="0" w:space="0" w:color="auto"/>
                                                <w:bottom w:val="none" w:sz="0" w:space="0" w:color="auto"/>
                                                <w:right w:val="none" w:sz="0" w:space="0" w:color="auto"/>
                                              </w:divBdr>
                                              <w:divsChild>
                                                <w:div w:id="573124336">
                                                  <w:marLeft w:val="0"/>
                                                  <w:marRight w:val="0"/>
                                                  <w:marTop w:val="0"/>
                                                  <w:marBottom w:val="0"/>
                                                  <w:divBdr>
                                                    <w:top w:val="none" w:sz="0" w:space="0" w:color="auto"/>
                                                    <w:left w:val="none" w:sz="0" w:space="0" w:color="auto"/>
                                                    <w:bottom w:val="none" w:sz="0" w:space="0" w:color="auto"/>
                                                    <w:right w:val="none" w:sz="0" w:space="0" w:color="auto"/>
                                                  </w:divBdr>
                                                  <w:divsChild>
                                                    <w:div w:id="1164123619">
                                                      <w:marLeft w:val="0"/>
                                                      <w:marRight w:val="0"/>
                                                      <w:marTop w:val="0"/>
                                                      <w:marBottom w:val="360"/>
                                                      <w:divBdr>
                                                        <w:top w:val="none" w:sz="0" w:space="0" w:color="auto"/>
                                                        <w:left w:val="none" w:sz="0" w:space="0" w:color="auto"/>
                                                        <w:bottom w:val="none" w:sz="0" w:space="0" w:color="auto"/>
                                                        <w:right w:val="none" w:sz="0" w:space="0" w:color="auto"/>
                                                      </w:divBdr>
                                                      <w:divsChild>
                                                        <w:div w:id="277374224">
                                                          <w:marLeft w:val="0"/>
                                                          <w:marRight w:val="0"/>
                                                          <w:marTop w:val="0"/>
                                                          <w:marBottom w:val="0"/>
                                                          <w:divBdr>
                                                            <w:top w:val="none" w:sz="0" w:space="0" w:color="auto"/>
                                                            <w:left w:val="none" w:sz="0" w:space="0" w:color="auto"/>
                                                            <w:bottom w:val="none" w:sz="0" w:space="0" w:color="auto"/>
                                                            <w:right w:val="none" w:sz="0" w:space="0" w:color="auto"/>
                                                          </w:divBdr>
                                                          <w:divsChild>
                                                            <w:div w:id="32309338">
                                                              <w:marLeft w:val="0"/>
                                                              <w:marRight w:val="0"/>
                                                              <w:marTop w:val="0"/>
                                                              <w:marBottom w:val="0"/>
                                                              <w:divBdr>
                                                                <w:top w:val="none" w:sz="0" w:space="0" w:color="auto"/>
                                                                <w:left w:val="none" w:sz="0" w:space="0" w:color="auto"/>
                                                                <w:bottom w:val="none" w:sz="0" w:space="0" w:color="auto"/>
                                                                <w:right w:val="none" w:sz="0" w:space="0" w:color="auto"/>
                                                              </w:divBdr>
                                                              <w:divsChild>
                                                                <w:div w:id="172500004">
                                                                  <w:marLeft w:val="0"/>
                                                                  <w:marRight w:val="0"/>
                                                                  <w:marTop w:val="0"/>
                                                                  <w:marBottom w:val="0"/>
                                                                  <w:divBdr>
                                                                    <w:top w:val="none" w:sz="0" w:space="0" w:color="auto"/>
                                                                    <w:left w:val="none" w:sz="0" w:space="0" w:color="auto"/>
                                                                    <w:bottom w:val="none" w:sz="0" w:space="0" w:color="auto"/>
                                                                    <w:right w:val="none" w:sz="0" w:space="0" w:color="auto"/>
                                                                  </w:divBdr>
                                                                  <w:divsChild>
                                                                    <w:div w:id="227614842">
                                                                      <w:marLeft w:val="0"/>
                                                                      <w:marRight w:val="0"/>
                                                                      <w:marTop w:val="0"/>
                                                                      <w:marBottom w:val="0"/>
                                                                      <w:divBdr>
                                                                        <w:top w:val="none" w:sz="0" w:space="0" w:color="auto"/>
                                                                        <w:left w:val="none" w:sz="0" w:space="0" w:color="auto"/>
                                                                        <w:bottom w:val="none" w:sz="0" w:space="0" w:color="auto"/>
                                                                        <w:right w:val="none" w:sz="0" w:space="0" w:color="auto"/>
                                                                      </w:divBdr>
                                                                    </w:div>
                                                                    <w:div w:id="6967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615089">
      <w:bodyDiv w:val="1"/>
      <w:marLeft w:val="0"/>
      <w:marRight w:val="0"/>
      <w:marTop w:val="0"/>
      <w:marBottom w:val="0"/>
      <w:divBdr>
        <w:top w:val="none" w:sz="0" w:space="0" w:color="auto"/>
        <w:left w:val="none" w:sz="0" w:space="0" w:color="auto"/>
        <w:bottom w:val="none" w:sz="0" w:space="0" w:color="auto"/>
        <w:right w:val="none" w:sz="0" w:space="0" w:color="auto"/>
      </w:divBdr>
      <w:divsChild>
        <w:div w:id="887112525">
          <w:marLeft w:val="0"/>
          <w:marRight w:val="0"/>
          <w:marTop w:val="0"/>
          <w:marBottom w:val="0"/>
          <w:divBdr>
            <w:top w:val="none" w:sz="0" w:space="0" w:color="auto"/>
            <w:left w:val="none" w:sz="0" w:space="0" w:color="auto"/>
            <w:bottom w:val="none" w:sz="0" w:space="0" w:color="auto"/>
            <w:right w:val="none" w:sz="0" w:space="0" w:color="auto"/>
          </w:divBdr>
          <w:divsChild>
            <w:div w:id="1958370886">
              <w:marLeft w:val="0"/>
              <w:marRight w:val="0"/>
              <w:marTop w:val="0"/>
              <w:marBottom w:val="360"/>
              <w:divBdr>
                <w:top w:val="none" w:sz="0" w:space="0" w:color="auto"/>
                <w:left w:val="none" w:sz="0" w:space="0" w:color="auto"/>
                <w:bottom w:val="none" w:sz="0" w:space="0" w:color="auto"/>
                <w:right w:val="none" w:sz="0" w:space="0" w:color="auto"/>
              </w:divBdr>
              <w:divsChild>
                <w:div w:id="1482112975">
                  <w:marLeft w:val="0"/>
                  <w:marRight w:val="0"/>
                  <w:marTop w:val="0"/>
                  <w:marBottom w:val="0"/>
                  <w:divBdr>
                    <w:top w:val="none" w:sz="0" w:space="0" w:color="auto"/>
                    <w:left w:val="none" w:sz="0" w:space="0" w:color="auto"/>
                    <w:bottom w:val="none" w:sz="0" w:space="0" w:color="auto"/>
                    <w:right w:val="none" w:sz="0" w:space="0" w:color="auto"/>
                  </w:divBdr>
                  <w:divsChild>
                    <w:div w:id="20680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224A-CD40-4F64-9BDA-19B3AAAA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2012-05-24T17:36:00Z</cp:lastPrinted>
  <dcterms:created xsi:type="dcterms:W3CDTF">2012-06-27T20:01:00Z</dcterms:created>
  <dcterms:modified xsi:type="dcterms:W3CDTF">2012-06-27T20:01:00Z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