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0920A8">
        <w:rPr>
          <w:caps/>
          <w:color w:val="000000" w:themeColor="text1"/>
        </w:rPr>
        <w:t>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D33E07">
        <w:rPr>
          <w:caps/>
          <w:color w:val="000000" w:themeColor="text1"/>
        </w:rPr>
        <w:tab/>
        <w:t xml:space="preserve">                          </w:t>
      </w:r>
      <w:r w:rsidR="00E33B56">
        <w:rPr>
          <w:caps/>
          <w:color w:val="000000" w:themeColor="text1"/>
        </w:rPr>
        <w:t xml:space="preserve">    </w:t>
      </w:r>
      <w:r w:rsidR="00D33E07">
        <w:rPr>
          <w:caps/>
          <w:color w:val="000000" w:themeColor="text1"/>
        </w:rPr>
        <w:t xml:space="preserve">  </w:t>
      </w:r>
      <w:r w:rsidRPr="001F29F9">
        <w:rPr>
          <w:caps/>
          <w:color w:val="000000" w:themeColor="text1"/>
        </w:rPr>
        <w:t>BRANCH OF SERVICE</w:t>
      </w:r>
      <w:r w:rsidRPr="00BE354B">
        <w:rPr>
          <w:caps/>
          <w:color w:val="000000" w:themeColor="text1"/>
        </w:rPr>
        <w:t xml:space="preserve">: </w:t>
      </w:r>
      <w:r w:rsidR="004C24C5" w:rsidRPr="00BE354B">
        <w:rPr>
          <w:caps/>
          <w:color w:val="000000" w:themeColor="text1"/>
        </w:rPr>
        <w:t xml:space="preserve"> </w:t>
      </w:r>
      <w:r w:rsidR="00332DE3" w:rsidRPr="00BE354B">
        <w:rPr>
          <w:caps/>
          <w:color w:val="000000" w:themeColor="text1"/>
        </w:rPr>
        <w:t>Army</w:t>
      </w:r>
    </w:p>
    <w:p w:rsidR="00DE3AAD" w:rsidRPr="00923383"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CC7A82">
        <w:rPr>
          <w:caps/>
          <w:color w:val="000000" w:themeColor="text1"/>
        </w:rPr>
        <w:t>00830</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781004">
        <w:rPr>
          <w:color w:val="000000" w:themeColor="text1"/>
        </w:rPr>
        <w:t xml:space="preserve"> </w:t>
      </w:r>
      <w:r w:rsidR="00DE3AAD" w:rsidRPr="001F29F9">
        <w:rPr>
          <w:color w:val="000000" w:themeColor="text1"/>
        </w:rPr>
        <w:t>SEPARATION DATE</w:t>
      </w:r>
      <w:r w:rsidR="00DE3AAD" w:rsidRPr="00923383">
        <w:rPr>
          <w:color w:val="000000" w:themeColor="text1"/>
        </w:rPr>
        <w:t>:  200</w:t>
      </w:r>
      <w:r w:rsidR="00CC7A82" w:rsidRPr="00923383">
        <w:rPr>
          <w:color w:val="000000" w:themeColor="text1"/>
        </w:rPr>
        <w:t>30702</w:t>
      </w:r>
    </w:p>
    <w:p w:rsidR="003B2143" w:rsidRPr="001F29F9" w:rsidRDefault="004F3639" w:rsidP="00BF0E94">
      <w:pPr>
        <w:tabs>
          <w:tab w:val="left" w:pos="288"/>
          <w:tab w:val="left" w:pos="5130"/>
        </w:tabs>
        <w:jc w:val="both"/>
        <w:rPr>
          <w:color w:val="000000" w:themeColor="text1"/>
        </w:rPr>
      </w:pPr>
      <w:r w:rsidRPr="00923383">
        <w:rPr>
          <w:caps/>
          <w:color w:val="000000" w:themeColor="text1"/>
        </w:rPr>
        <w:t>BOARD DATE:  201</w:t>
      </w:r>
      <w:r w:rsidR="00781004" w:rsidRPr="00923383">
        <w:rPr>
          <w:caps/>
          <w:color w:val="000000" w:themeColor="text1"/>
        </w:rPr>
        <w:t>2</w:t>
      </w:r>
      <w:r w:rsidR="001E5299" w:rsidRPr="00923383">
        <w:rPr>
          <w:caps/>
          <w:color w:val="000000" w:themeColor="text1"/>
        </w:rPr>
        <w:t>0524</w:t>
      </w:r>
      <w:r w:rsidR="00923383">
        <w:rPr>
          <w:caps/>
          <w:color w:val="000000" w:themeColor="text1"/>
        </w:rPr>
        <w:t xml:space="preserve">  </w:t>
      </w:r>
    </w:p>
    <w:p w:rsidR="00781004" w:rsidRPr="001F29F9" w:rsidRDefault="00781004" w:rsidP="00781004">
      <w:pPr>
        <w:pBdr>
          <w:bottom w:val="single" w:sz="12" w:space="1" w:color="auto"/>
        </w:pBdr>
        <w:tabs>
          <w:tab w:val="left" w:pos="288"/>
          <w:tab w:val="left" w:pos="4752"/>
        </w:tabs>
        <w:jc w:val="both"/>
        <w:rPr>
          <w:color w:val="000000" w:themeColor="text1"/>
        </w:rPr>
      </w:pPr>
    </w:p>
    <w:p w:rsidR="00781004" w:rsidRPr="001F29F9" w:rsidRDefault="00781004" w:rsidP="00781004">
      <w:pPr>
        <w:tabs>
          <w:tab w:val="left" w:pos="288"/>
          <w:tab w:val="left" w:pos="4752"/>
        </w:tabs>
        <w:jc w:val="both"/>
        <w:rPr>
          <w:color w:val="000000" w:themeColor="text1"/>
        </w:rPr>
      </w:pPr>
    </w:p>
    <w:p w:rsidR="00F75A16" w:rsidRPr="00923383" w:rsidRDefault="00FB0E80" w:rsidP="00F75A16">
      <w:pPr>
        <w:tabs>
          <w:tab w:val="left" w:pos="288"/>
          <w:tab w:val="left" w:pos="4752"/>
        </w:tabs>
        <w:jc w:val="both"/>
        <w:rPr>
          <w:color w:val="auto"/>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BE354B">
        <w:rPr>
          <w:color w:val="000000" w:themeColor="text1"/>
          <w:szCs w:val="24"/>
        </w:rPr>
        <w:t>SSG</w:t>
      </w:r>
      <w:r w:rsidR="00661BA2" w:rsidRPr="001F29F9">
        <w:rPr>
          <w:color w:val="000000" w:themeColor="text1"/>
          <w:szCs w:val="24"/>
        </w:rPr>
        <w:t>/E-</w:t>
      </w:r>
      <w:r w:rsidR="00BE354B">
        <w:rPr>
          <w:color w:val="000000" w:themeColor="text1"/>
          <w:szCs w:val="24"/>
        </w:rPr>
        <w:t>6</w:t>
      </w:r>
      <w:r w:rsidR="00705C40" w:rsidRPr="001F29F9">
        <w:rPr>
          <w:color w:val="000000" w:themeColor="text1"/>
          <w:szCs w:val="24"/>
        </w:rPr>
        <w:t xml:space="preserve"> (</w:t>
      </w:r>
      <w:r w:rsidR="00BE354B">
        <w:rPr>
          <w:color w:val="000000" w:themeColor="text1"/>
          <w:szCs w:val="24"/>
        </w:rPr>
        <w:t>96B30</w:t>
      </w:r>
      <w:r w:rsidR="009C32A6">
        <w:rPr>
          <w:color w:val="000000" w:themeColor="text1"/>
          <w:szCs w:val="24"/>
        </w:rPr>
        <w:t>/</w:t>
      </w:r>
      <w:r w:rsidR="00BE354B">
        <w:rPr>
          <w:color w:val="000000" w:themeColor="text1"/>
          <w:szCs w:val="24"/>
        </w:rPr>
        <w:t>Intelligence Analyst</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BE354B">
        <w:rPr>
          <w:color w:val="000000" w:themeColor="text1"/>
          <w:szCs w:val="24"/>
        </w:rPr>
        <w:t xml:space="preserve">chronic neck pain and </w:t>
      </w:r>
      <w:r w:rsidR="00BE354B" w:rsidRPr="00923383">
        <w:rPr>
          <w:color w:val="auto"/>
          <w:szCs w:val="24"/>
        </w:rPr>
        <w:t>associated headaches due to cervical spondylosis.</w:t>
      </w:r>
      <w:r w:rsidR="00677BA1" w:rsidRPr="00923383">
        <w:rPr>
          <w:color w:val="auto"/>
          <w:szCs w:val="24"/>
        </w:rPr>
        <w:t xml:space="preserve">  His neck pain and headaches started in approximately 1998 with no history of trauma and gradually increased.  He was not a surgical candidate and did not respond adequately to conservative management to perform within his military </w:t>
      </w:r>
      <w:r w:rsidR="00677BA1" w:rsidRPr="00370DCA">
        <w:rPr>
          <w:color w:val="auto"/>
          <w:szCs w:val="24"/>
        </w:rPr>
        <w:t xml:space="preserve">occupational specialty (MOS) or meet physical fitness standards.  He was </w:t>
      </w:r>
      <w:r w:rsidR="00F75A16" w:rsidRPr="00370DCA">
        <w:rPr>
          <w:color w:val="auto"/>
          <w:szCs w:val="24"/>
        </w:rPr>
        <w:t xml:space="preserve">consequently </w:t>
      </w:r>
      <w:r w:rsidR="00677BA1" w:rsidRPr="00370DCA">
        <w:rPr>
          <w:color w:val="auto"/>
          <w:szCs w:val="24"/>
        </w:rPr>
        <w:t xml:space="preserve">issued a permanent </w:t>
      </w:r>
      <w:r w:rsidR="00F75A16" w:rsidRPr="00370DCA">
        <w:rPr>
          <w:color w:val="auto"/>
          <w:szCs w:val="24"/>
        </w:rPr>
        <w:t>U</w:t>
      </w:r>
      <w:r w:rsidR="00677BA1" w:rsidRPr="00370DCA">
        <w:rPr>
          <w:color w:val="auto"/>
          <w:szCs w:val="24"/>
        </w:rPr>
        <w:t xml:space="preserve">3 profile and </w:t>
      </w:r>
      <w:r w:rsidR="00F75A16" w:rsidRPr="00370DCA">
        <w:rPr>
          <w:color w:val="auto"/>
          <w:szCs w:val="24"/>
        </w:rPr>
        <w:t xml:space="preserve">a temporary L2 profile and </w:t>
      </w:r>
      <w:r w:rsidR="00677BA1" w:rsidRPr="00370DCA">
        <w:rPr>
          <w:color w:val="auto"/>
          <w:szCs w:val="24"/>
        </w:rPr>
        <w:t>underwent a Medical Evaluation Board (MEB).</w:t>
      </w:r>
      <w:r w:rsidR="00F75A16" w:rsidRPr="00370DCA">
        <w:rPr>
          <w:color w:val="auto"/>
          <w:szCs w:val="24"/>
        </w:rPr>
        <w:t xml:space="preserve">  “Cervical spondylosis with</w:t>
      </w:r>
      <w:r w:rsidR="00F75A16" w:rsidRPr="00923383">
        <w:rPr>
          <w:color w:val="auto"/>
          <w:szCs w:val="24"/>
        </w:rPr>
        <w:t xml:space="preserve"> neck pain and headaches and idiopathic chronic daily headaches” were forwarded to the Physical Evaluation Board (PEB) as medically unacceptable IAW AR 40-501. </w:t>
      </w:r>
      <w:r w:rsidR="00044C2C" w:rsidRPr="00923383">
        <w:rPr>
          <w:color w:val="auto"/>
          <w:szCs w:val="24"/>
        </w:rPr>
        <w:t xml:space="preserve"> </w:t>
      </w:r>
      <w:r w:rsidR="00F75A16" w:rsidRPr="00923383">
        <w:rPr>
          <w:color w:val="auto"/>
          <w:szCs w:val="24"/>
        </w:rPr>
        <w:t xml:space="preserve">No other conditions appeared on the MEB’s submission.  The PEB adjudicated the chronic neck pain and headaches due to spondylosis conditions as </w:t>
      </w:r>
      <w:r w:rsidR="00044C2C" w:rsidRPr="00923383">
        <w:rPr>
          <w:color w:val="auto"/>
          <w:szCs w:val="24"/>
        </w:rPr>
        <w:t xml:space="preserve">a single </w:t>
      </w:r>
      <w:r w:rsidR="00F75A16" w:rsidRPr="00923383">
        <w:rPr>
          <w:color w:val="auto"/>
          <w:szCs w:val="24"/>
        </w:rPr>
        <w:t>unfitting</w:t>
      </w:r>
      <w:r w:rsidR="00044C2C" w:rsidRPr="00923383">
        <w:rPr>
          <w:color w:val="auto"/>
          <w:szCs w:val="24"/>
        </w:rPr>
        <w:t xml:space="preserve"> condition</w:t>
      </w:r>
      <w:r w:rsidR="00F75A16" w:rsidRPr="00923383">
        <w:rPr>
          <w:color w:val="auto"/>
          <w:szCs w:val="24"/>
        </w:rPr>
        <w:t xml:space="preserve">, rated 20% with </w:t>
      </w:r>
      <w:r w:rsidR="00044C2C" w:rsidRPr="00923383">
        <w:rPr>
          <w:color w:val="auto"/>
          <w:szCs w:val="24"/>
        </w:rPr>
        <w:t xml:space="preserve">specified </w:t>
      </w:r>
      <w:r w:rsidR="00F75A16" w:rsidRPr="00923383">
        <w:rPr>
          <w:color w:val="auto"/>
          <w:szCs w:val="24"/>
        </w:rPr>
        <w:t>application of the US Army Physical Disability Agency (USAPDA) pain policy.</w:t>
      </w:r>
      <w:r w:rsidR="003A1211" w:rsidRPr="00923383">
        <w:rPr>
          <w:color w:val="auto"/>
        </w:rPr>
        <w:t xml:space="preserve"> </w:t>
      </w:r>
      <w:r w:rsidR="00044C2C" w:rsidRPr="00923383">
        <w:rPr>
          <w:color w:val="auto"/>
        </w:rPr>
        <w:t xml:space="preserve"> </w:t>
      </w:r>
      <w:r w:rsidR="003A1211" w:rsidRPr="00923383">
        <w:rPr>
          <w:color w:val="auto"/>
        </w:rPr>
        <w:t>The CI made no appeals, and was medically separated with a 20% combined disability rating.</w:t>
      </w:r>
      <w:r w:rsidR="00044C2C" w:rsidRPr="00923383">
        <w:rPr>
          <w:color w:val="auto"/>
        </w:rPr>
        <w:t xml:space="preserve">  </w:t>
      </w:r>
    </w:p>
    <w:p w:rsidR="004174F0" w:rsidRPr="00923383" w:rsidRDefault="004174F0" w:rsidP="00BF0E94">
      <w:pPr>
        <w:pBdr>
          <w:bottom w:val="single" w:sz="12" w:space="1" w:color="auto"/>
        </w:pBdr>
        <w:tabs>
          <w:tab w:val="left" w:pos="288"/>
          <w:tab w:val="left" w:pos="4752"/>
        </w:tabs>
        <w:jc w:val="both"/>
        <w:rPr>
          <w:color w:val="auto"/>
        </w:rPr>
      </w:pPr>
    </w:p>
    <w:p w:rsidR="004174F0" w:rsidRPr="00923383" w:rsidRDefault="004174F0" w:rsidP="00BF0E94">
      <w:pPr>
        <w:tabs>
          <w:tab w:val="left" w:pos="288"/>
          <w:tab w:val="left" w:pos="4752"/>
        </w:tabs>
        <w:jc w:val="both"/>
        <w:rPr>
          <w:color w:val="auto"/>
        </w:rPr>
      </w:pPr>
    </w:p>
    <w:p w:rsidR="00ED5284" w:rsidRPr="00923383" w:rsidRDefault="002C6E5B" w:rsidP="00BF0E94">
      <w:pPr>
        <w:tabs>
          <w:tab w:val="left" w:pos="288"/>
          <w:tab w:val="left" w:pos="4752"/>
        </w:tabs>
        <w:jc w:val="both"/>
        <w:rPr>
          <w:rFonts w:eastAsiaTheme="minorHAnsi"/>
          <w:color w:val="auto"/>
          <w:szCs w:val="24"/>
        </w:rPr>
      </w:pPr>
      <w:r w:rsidRPr="00923383">
        <w:rPr>
          <w:color w:val="auto"/>
          <w:u w:val="single"/>
        </w:rPr>
        <w:t>CI CONTENTION</w:t>
      </w:r>
      <w:r w:rsidRPr="00923383">
        <w:rPr>
          <w:color w:val="auto"/>
        </w:rPr>
        <w:t>:</w:t>
      </w:r>
      <w:r w:rsidR="00CC7A82" w:rsidRPr="00923383">
        <w:rPr>
          <w:color w:val="auto"/>
        </w:rPr>
        <w:t xml:space="preserve">  “The condition has not got [sic] better. </w:t>
      </w:r>
      <w:r w:rsidR="005A0BE0" w:rsidRPr="00923383">
        <w:rPr>
          <w:color w:val="auto"/>
        </w:rPr>
        <w:t xml:space="preserve"> </w:t>
      </w:r>
      <w:proofErr w:type="gramStart"/>
      <w:r w:rsidR="00CC7A82" w:rsidRPr="00923383">
        <w:rPr>
          <w:color w:val="auto"/>
        </w:rPr>
        <w:t>But has gotten worse and unmanageable [sic].</w:t>
      </w:r>
      <w:proofErr w:type="gramEnd"/>
      <w:r w:rsidR="00CC7A82" w:rsidRPr="00923383">
        <w:rPr>
          <w:color w:val="auto"/>
        </w:rPr>
        <w:t xml:space="preserve">  The Headaches [sic] are getting increasingly stronger every day and are there 24 hrs a day.  </w:t>
      </w:r>
      <w:proofErr w:type="gramStart"/>
      <w:r w:rsidR="00CC7A82" w:rsidRPr="00923383">
        <w:rPr>
          <w:color w:val="auto"/>
        </w:rPr>
        <w:t>my</w:t>
      </w:r>
      <w:proofErr w:type="gramEnd"/>
      <w:r w:rsidR="00CC7A82" w:rsidRPr="00923383">
        <w:rPr>
          <w:color w:val="auto"/>
        </w:rPr>
        <w:t xml:space="preserve"> [sic] neck is getting more difficult to turn.  </w:t>
      </w:r>
      <w:proofErr w:type="gramStart"/>
      <w:r w:rsidR="005A0BE0" w:rsidRPr="00923383">
        <w:rPr>
          <w:color w:val="auto"/>
        </w:rPr>
        <w:t>m</w:t>
      </w:r>
      <w:r w:rsidR="00CC7A82" w:rsidRPr="00923383">
        <w:rPr>
          <w:color w:val="auto"/>
        </w:rPr>
        <w:t>y</w:t>
      </w:r>
      <w:proofErr w:type="gramEnd"/>
      <w:r w:rsidR="00CC7A82" w:rsidRPr="00923383">
        <w:rPr>
          <w:color w:val="auto"/>
        </w:rPr>
        <w:t xml:space="preserve"> Right [sic] arm has been getting weaker over time due to the pressure in my neck.  I have tried thru the VA to get surgery but the doctor in Seattle said I was not a good candidate for surgery.  At time</w:t>
      </w:r>
      <w:r w:rsidR="005A0BE0" w:rsidRPr="00923383">
        <w:rPr>
          <w:color w:val="auto"/>
        </w:rPr>
        <w:t>s</w:t>
      </w:r>
      <w:r w:rsidR="00CC7A82" w:rsidRPr="00923383">
        <w:rPr>
          <w:color w:val="auto"/>
        </w:rPr>
        <w:t xml:space="preserve"> the pain is so intense that I am unable to focus my </w:t>
      </w:r>
      <w:proofErr w:type="gramStart"/>
      <w:r w:rsidR="00CC7A82" w:rsidRPr="00923383">
        <w:rPr>
          <w:color w:val="auto"/>
        </w:rPr>
        <w:t>eye’s</w:t>
      </w:r>
      <w:proofErr w:type="gramEnd"/>
      <w:r w:rsidR="00CC7A82" w:rsidRPr="00923383">
        <w:rPr>
          <w:color w:val="auto"/>
        </w:rPr>
        <w:t xml:space="preserve"> [sic] on any thing [sic].  My life has changed considerable [sic] due to the neck pain and headaches.  The pain is there all the time, [sic] the medication just dulls it so getting thru the day is bearable.”  </w:t>
      </w:r>
    </w:p>
    <w:p w:rsidR="005A0BE0" w:rsidRPr="00923383" w:rsidRDefault="005A0BE0" w:rsidP="005A0BE0">
      <w:pPr>
        <w:pBdr>
          <w:bottom w:val="single" w:sz="12" w:space="1" w:color="auto"/>
        </w:pBdr>
        <w:tabs>
          <w:tab w:val="left" w:pos="288"/>
          <w:tab w:val="left" w:pos="4752"/>
        </w:tabs>
        <w:jc w:val="both"/>
        <w:rPr>
          <w:color w:val="auto"/>
        </w:rPr>
      </w:pPr>
    </w:p>
    <w:p w:rsidR="005A0BE0" w:rsidRPr="00923383" w:rsidRDefault="005A0BE0" w:rsidP="005A0BE0">
      <w:pPr>
        <w:tabs>
          <w:tab w:val="left" w:pos="288"/>
          <w:tab w:val="left" w:pos="4752"/>
        </w:tabs>
        <w:jc w:val="both"/>
        <w:rPr>
          <w:color w:val="auto"/>
        </w:rPr>
      </w:pPr>
    </w:p>
    <w:p w:rsidR="005A0BE0" w:rsidRDefault="005A0BE0" w:rsidP="005A0BE0">
      <w:pPr>
        <w:jc w:val="both"/>
        <w:rPr>
          <w:color w:val="auto"/>
        </w:rPr>
      </w:pPr>
      <w:r w:rsidRPr="00923383">
        <w:rPr>
          <w:color w:val="auto"/>
          <w:u w:val="single"/>
        </w:rPr>
        <w:t>SCOPE OF REVIEW</w:t>
      </w:r>
      <w:r w:rsidRPr="00923383">
        <w:rPr>
          <w:color w:val="auto"/>
        </w:rPr>
        <w:t xml:space="preserve">: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to be unfitting by the PEB.”  </w:t>
      </w:r>
      <w:r w:rsidR="00044C2C" w:rsidRPr="00923383">
        <w:rPr>
          <w:color w:val="auto"/>
        </w:rPr>
        <w:t xml:space="preserve">The neck and headache conditions, as requested for consideration meet the criteria prescribed in DoDI 6040.44 for Board purview; and, are addressed below as parts of the CI’s unfitting conditions.  The right arm condition is not within the Board’s purview, except as it relates to the rating for the unfitting neck condition.  </w:t>
      </w:r>
      <w:r w:rsidRPr="00923383">
        <w:rPr>
          <w:color w:val="auto"/>
        </w:rPr>
        <w:t>Any conditions or contention not requested in this application, or otherwise outside the Board’s defined scope of review, remain eligible</w:t>
      </w:r>
      <w:r w:rsidRPr="00F64312">
        <w:rPr>
          <w:color w:val="auto"/>
        </w:rPr>
        <w:t xml:space="preserve"> for future consideration by </w:t>
      </w:r>
      <w:r w:rsidRPr="005A0BE0">
        <w:rPr>
          <w:color w:val="auto"/>
        </w:rPr>
        <w:t>the Army Board for the Correction of Military Records (ABCMR).</w:t>
      </w:r>
      <w:r>
        <w:rPr>
          <w:color w:val="auto"/>
        </w:rPr>
        <w:t xml:space="preserve">  </w:t>
      </w:r>
    </w:p>
    <w:p w:rsidR="005A0BE0" w:rsidRPr="00F64312" w:rsidRDefault="005A0BE0" w:rsidP="005A0BE0">
      <w:pPr>
        <w:pBdr>
          <w:bottom w:val="single" w:sz="12" w:space="1" w:color="auto"/>
        </w:pBdr>
        <w:tabs>
          <w:tab w:val="left" w:pos="288"/>
          <w:tab w:val="left" w:pos="4752"/>
        </w:tabs>
        <w:jc w:val="both"/>
        <w:rPr>
          <w:color w:val="auto"/>
        </w:rPr>
      </w:pPr>
    </w:p>
    <w:p w:rsidR="005A0BE0" w:rsidRPr="00F64312" w:rsidRDefault="005A0BE0" w:rsidP="005A0BE0">
      <w:pPr>
        <w:jc w:val="both"/>
        <w:rPr>
          <w:color w:val="auto"/>
          <w:u w:val="single"/>
        </w:rPr>
      </w:pPr>
    </w:p>
    <w:p w:rsidR="005A0BE0" w:rsidRDefault="005A0BE0">
      <w:pPr>
        <w:rPr>
          <w:color w:val="000000" w:themeColor="text1"/>
          <w:u w:val="single"/>
        </w:rPr>
      </w:pPr>
      <w:r>
        <w:rPr>
          <w:color w:val="000000" w:themeColor="text1"/>
          <w:u w:val="single"/>
        </w:rPr>
        <w:br w:type="page"/>
      </w:r>
    </w:p>
    <w:p w:rsidR="001537D8" w:rsidRPr="00370DCA" w:rsidRDefault="007F0AB7" w:rsidP="00BF0E94">
      <w:pPr>
        <w:jc w:val="left"/>
        <w:rPr>
          <w:color w:val="auto"/>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r w:rsidR="006F0FCC">
        <w:rPr>
          <w:color w:val="000000" w:themeColor="text1"/>
        </w:rPr>
        <w:t xml:space="preserve">  </w:t>
      </w:r>
    </w:p>
    <w:p w:rsidR="002151AB" w:rsidRPr="00370DCA" w:rsidRDefault="002151AB" w:rsidP="00FE7C22">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370DCA" w:rsidTr="00781004">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370DCA" w:rsidRDefault="00B731E4" w:rsidP="00781004">
            <w:pPr>
              <w:contextualSpacing/>
              <w:rPr>
                <w:rFonts w:ascii="Calibri" w:hAnsi="Calibri" w:cs="Calibri"/>
                <w:b/>
                <w:color w:val="auto"/>
                <w:sz w:val="18"/>
                <w:szCs w:val="18"/>
              </w:rPr>
            </w:pPr>
            <w:r w:rsidRPr="00370DCA">
              <w:rPr>
                <w:rFonts w:ascii="Calibri" w:hAnsi="Calibri" w:cs="Calibri"/>
                <w:b/>
                <w:color w:val="auto"/>
                <w:sz w:val="18"/>
                <w:szCs w:val="18"/>
              </w:rPr>
              <w:t>Service PEB – Dated 200</w:t>
            </w:r>
            <w:r w:rsidR="00BE354B" w:rsidRPr="00370DCA">
              <w:rPr>
                <w:rFonts w:ascii="Calibri" w:hAnsi="Calibri" w:cs="Calibri"/>
                <w:b/>
                <w:color w:val="auto"/>
                <w:sz w:val="18"/>
                <w:szCs w:val="18"/>
              </w:rPr>
              <w:t>30505</w:t>
            </w:r>
          </w:p>
        </w:tc>
        <w:tc>
          <w:tcPr>
            <w:tcW w:w="5220" w:type="dxa"/>
            <w:gridSpan w:val="4"/>
            <w:tcBorders>
              <w:left w:val="thinThickThinSmallGap" w:sz="24" w:space="0" w:color="auto"/>
            </w:tcBorders>
            <w:shd w:val="clear" w:color="auto" w:fill="D9D9D9" w:themeFill="background1" w:themeFillShade="D9"/>
            <w:vAlign w:val="center"/>
          </w:tcPr>
          <w:p w:rsidR="002B4E22" w:rsidRPr="00370DCA" w:rsidRDefault="002B4E22" w:rsidP="00781004">
            <w:pPr>
              <w:contextualSpacing/>
              <w:rPr>
                <w:rFonts w:ascii="Calibri" w:hAnsi="Calibri" w:cs="Calibri"/>
                <w:b/>
                <w:color w:val="auto"/>
                <w:sz w:val="18"/>
                <w:szCs w:val="18"/>
              </w:rPr>
            </w:pPr>
            <w:r w:rsidRPr="00370DCA">
              <w:rPr>
                <w:rFonts w:ascii="Calibri" w:hAnsi="Calibri" w:cs="Calibri"/>
                <w:b/>
                <w:color w:val="auto"/>
                <w:sz w:val="18"/>
                <w:szCs w:val="18"/>
              </w:rPr>
              <w:t>VA (</w:t>
            </w:r>
            <w:r w:rsidR="009C344F" w:rsidRPr="00370DCA">
              <w:rPr>
                <w:rFonts w:ascii="Calibri" w:hAnsi="Calibri" w:cs="Calibri"/>
                <w:b/>
                <w:color w:val="auto"/>
                <w:sz w:val="18"/>
                <w:szCs w:val="18"/>
              </w:rPr>
              <w:t>1</w:t>
            </w:r>
            <w:r w:rsidR="0079154B" w:rsidRPr="00370DCA">
              <w:rPr>
                <w:rFonts w:ascii="Calibri" w:hAnsi="Calibri" w:cs="Calibri"/>
                <w:b/>
                <w:color w:val="auto"/>
                <w:sz w:val="18"/>
                <w:szCs w:val="18"/>
              </w:rPr>
              <w:t xml:space="preserve"> </w:t>
            </w:r>
            <w:r w:rsidRPr="00370DCA">
              <w:rPr>
                <w:rFonts w:ascii="Calibri" w:hAnsi="Calibri" w:cs="Calibri"/>
                <w:b/>
                <w:color w:val="auto"/>
                <w:sz w:val="18"/>
                <w:szCs w:val="18"/>
              </w:rPr>
              <w:t>Mo. Pr</w:t>
            </w:r>
            <w:r w:rsidR="007272F1" w:rsidRPr="00370DCA">
              <w:rPr>
                <w:rFonts w:ascii="Calibri" w:hAnsi="Calibri" w:cs="Calibri"/>
                <w:b/>
                <w:color w:val="auto"/>
                <w:sz w:val="18"/>
                <w:szCs w:val="18"/>
              </w:rPr>
              <w:t>e</w:t>
            </w:r>
            <w:r w:rsidR="009C344F" w:rsidRPr="00370DCA">
              <w:rPr>
                <w:rFonts w:ascii="Calibri" w:hAnsi="Calibri" w:cs="Calibri"/>
                <w:b/>
                <w:color w:val="auto"/>
                <w:sz w:val="18"/>
                <w:szCs w:val="18"/>
              </w:rPr>
              <w:t>-</w:t>
            </w:r>
            <w:r w:rsidRPr="00370DCA">
              <w:rPr>
                <w:rFonts w:ascii="Calibri" w:hAnsi="Calibri" w:cs="Calibri"/>
                <w:b/>
                <w:color w:val="auto"/>
                <w:sz w:val="18"/>
                <w:szCs w:val="18"/>
              </w:rPr>
              <w:t xml:space="preserve">Separation) – All Effective </w:t>
            </w:r>
            <w:r w:rsidR="00CC7A82" w:rsidRPr="00370DCA">
              <w:rPr>
                <w:rFonts w:ascii="Calibri" w:hAnsi="Calibri" w:cs="Calibri"/>
                <w:b/>
                <w:color w:val="auto"/>
                <w:sz w:val="18"/>
                <w:szCs w:val="18"/>
              </w:rPr>
              <w:t>20030703</w:t>
            </w:r>
          </w:p>
        </w:tc>
      </w:tr>
      <w:tr w:rsidR="002B4E22" w:rsidRPr="00370DCA" w:rsidTr="00781004">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370DCA" w:rsidRDefault="002B4E22" w:rsidP="00781004">
            <w:pPr>
              <w:contextualSpacing/>
              <w:rPr>
                <w:rFonts w:ascii="Calibri" w:hAnsi="Calibri" w:cs="Calibri"/>
                <w:b/>
                <w:color w:val="auto"/>
                <w:sz w:val="18"/>
                <w:szCs w:val="18"/>
              </w:rPr>
            </w:pPr>
            <w:r w:rsidRPr="00370DCA">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370DCA" w:rsidRDefault="002B4E22" w:rsidP="00781004">
            <w:pPr>
              <w:contextualSpacing/>
              <w:rPr>
                <w:rFonts w:ascii="Calibri" w:hAnsi="Calibri" w:cs="Calibri"/>
                <w:b/>
                <w:color w:val="auto"/>
                <w:sz w:val="18"/>
                <w:szCs w:val="18"/>
              </w:rPr>
            </w:pPr>
            <w:r w:rsidRPr="00370DCA">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370DCA" w:rsidRDefault="002B4E22" w:rsidP="00781004">
            <w:pPr>
              <w:contextualSpacing/>
              <w:rPr>
                <w:rFonts w:ascii="Calibri" w:hAnsi="Calibri" w:cs="Calibri"/>
                <w:b/>
                <w:color w:val="auto"/>
                <w:sz w:val="18"/>
                <w:szCs w:val="18"/>
              </w:rPr>
            </w:pPr>
            <w:r w:rsidRPr="00370DCA">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70DCA" w:rsidRDefault="002B4E22" w:rsidP="00781004">
            <w:pPr>
              <w:contextualSpacing/>
              <w:rPr>
                <w:rFonts w:ascii="Calibri" w:hAnsi="Calibri" w:cs="Calibri"/>
                <w:b/>
                <w:color w:val="auto"/>
                <w:sz w:val="18"/>
                <w:szCs w:val="18"/>
              </w:rPr>
            </w:pPr>
            <w:r w:rsidRPr="00370DCA">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370DCA" w:rsidRDefault="002B4E22" w:rsidP="00781004">
            <w:pPr>
              <w:contextualSpacing/>
              <w:rPr>
                <w:rFonts w:ascii="Calibri" w:hAnsi="Calibri" w:cs="Calibri"/>
                <w:b/>
                <w:color w:val="auto"/>
                <w:sz w:val="18"/>
                <w:szCs w:val="18"/>
              </w:rPr>
            </w:pPr>
            <w:r w:rsidRPr="00370DCA">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370DCA" w:rsidRDefault="002B4E22" w:rsidP="00781004">
            <w:pPr>
              <w:contextualSpacing/>
              <w:rPr>
                <w:rFonts w:ascii="Calibri" w:hAnsi="Calibri" w:cs="Calibri"/>
                <w:b/>
                <w:color w:val="auto"/>
                <w:sz w:val="18"/>
                <w:szCs w:val="18"/>
              </w:rPr>
            </w:pPr>
            <w:r w:rsidRPr="00370DCA">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370DCA" w:rsidRDefault="002B4E22" w:rsidP="00781004">
            <w:pPr>
              <w:contextualSpacing/>
              <w:rPr>
                <w:rFonts w:ascii="Calibri" w:hAnsi="Calibri" w:cs="Calibri"/>
                <w:b/>
                <w:color w:val="auto"/>
                <w:sz w:val="18"/>
                <w:szCs w:val="18"/>
              </w:rPr>
            </w:pPr>
            <w:r w:rsidRPr="00370DCA">
              <w:rPr>
                <w:rFonts w:ascii="Calibri" w:hAnsi="Calibri" w:cs="Calibri"/>
                <w:b/>
                <w:color w:val="auto"/>
                <w:sz w:val="18"/>
                <w:szCs w:val="18"/>
              </w:rPr>
              <w:t>Exam</w:t>
            </w:r>
          </w:p>
        </w:tc>
      </w:tr>
      <w:tr w:rsidR="005A0BE0" w:rsidRPr="00370DCA" w:rsidTr="006F0FCC">
        <w:trPr>
          <w:trHeight w:val="269"/>
          <w:jc w:val="center"/>
        </w:trPr>
        <w:tc>
          <w:tcPr>
            <w:tcW w:w="2178" w:type="dxa"/>
            <w:vMerge w:val="restart"/>
            <w:tcBorders>
              <w:right w:val="single" w:sz="4" w:space="0" w:color="auto"/>
            </w:tcBorders>
            <w:shd w:val="clear" w:color="auto" w:fill="FFFFFF" w:themeFill="background1"/>
            <w:vAlign w:val="center"/>
          </w:tcPr>
          <w:p w:rsidR="005A0BE0" w:rsidRPr="00370DCA" w:rsidRDefault="005A0BE0" w:rsidP="00781004">
            <w:pPr>
              <w:spacing w:line="180" w:lineRule="exact"/>
              <w:contextualSpacing/>
              <w:jc w:val="left"/>
              <w:rPr>
                <w:rFonts w:cs="Calibri"/>
                <w:color w:val="auto"/>
                <w:sz w:val="18"/>
                <w:szCs w:val="18"/>
              </w:rPr>
            </w:pPr>
            <w:r w:rsidRPr="00370DCA">
              <w:rPr>
                <w:rFonts w:ascii="Calibri" w:eastAsia="Times New Roman" w:hAnsi="Calibri" w:cs="Calibri"/>
                <w:color w:val="auto"/>
                <w:sz w:val="18"/>
                <w:szCs w:val="18"/>
              </w:rPr>
              <w:t>Chronic Neck Pain/Headaches Due to Spondylosis</w:t>
            </w:r>
          </w:p>
        </w:tc>
        <w:tc>
          <w:tcPr>
            <w:tcW w:w="1080" w:type="dxa"/>
            <w:vMerge w:val="restart"/>
            <w:tcBorders>
              <w:left w:val="single" w:sz="4" w:space="0" w:color="auto"/>
            </w:tcBorders>
            <w:shd w:val="clear" w:color="auto" w:fill="FFFFFF" w:themeFill="background1"/>
            <w:vAlign w:val="center"/>
          </w:tcPr>
          <w:p w:rsidR="005A0BE0" w:rsidRPr="00370DCA" w:rsidRDefault="005A0BE0" w:rsidP="00781004">
            <w:pPr>
              <w:spacing w:line="180" w:lineRule="exact"/>
              <w:contextualSpacing/>
              <w:rPr>
                <w:rFonts w:cs="Calibri"/>
                <w:color w:val="auto"/>
                <w:sz w:val="18"/>
                <w:szCs w:val="18"/>
              </w:rPr>
            </w:pPr>
            <w:r w:rsidRPr="00370DCA">
              <w:rPr>
                <w:rFonts w:ascii="Calibri" w:eastAsia="Times New Roman" w:hAnsi="Calibri" w:cs="Calibri"/>
                <w:color w:val="auto"/>
                <w:sz w:val="18"/>
                <w:szCs w:val="18"/>
              </w:rPr>
              <w:t>5099-5003</w:t>
            </w:r>
          </w:p>
        </w:tc>
        <w:tc>
          <w:tcPr>
            <w:tcW w:w="900" w:type="dxa"/>
            <w:vMerge w:val="restart"/>
            <w:tcBorders>
              <w:right w:val="thinThickThinSmallGap" w:sz="24" w:space="0" w:color="auto"/>
            </w:tcBorders>
            <w:shd w:val="clear" w:color="auto" w:fill="FFFFFF" w:themeFill="background1"/>
            <w:vAlign w:val="center"/>
          </w:tcPr>
          <w:p w:rsidR="005A0BE0" w:rsidRPr="00370DCA" w:rsidRDefault="005A0BE0" w:rsidP="00781004">
            <w:pPr>
              <w:spacing w:line="180" w:lineRule="exact"/>
              <w:rPr>
                <w:rFonts w:cs="Calibri"/>
                <w:color w:val="auto"/>
                <w:sz w:val="18"/>
                <w:szCs w:val="18"/>
              </w:rPr>
            </w:pPr>
            <w:r w:rsidRPr="00370DCA">
              <w:rPr>
                <w:rFonts w:ascii="Calibri" w:eastAsia="Times New Roman" w:hAnsi="Calibri" w:cs="Calibri"/>
                <w:color w:val="auto"/>
                <w:sz w:val="18"/>
                <w:szCs w:val="18"/>
              </w:rPr>
              <w:t>20%</w:t>
            </w:r>
          </w:p>
        </w:tc>
        <w:tc>
          <w:tcPr>
            <w:tcW w:w="2322" w:type="dxa"/>
            <w:tcBorders>
              <w:left w:val="thinThickThinSmallGap" w:sz="24" w:space="0" w:color="auto"/>
              <w:bottom w:val="single" w:sz="4" w:space="0" w:color="auto"/>
            </w:tcBorders>
            <w:shd w:val="clear" w:color="auto" w:fill="FFFFFF" w:themeFill="background1"/>
            <w:vAlign w:val="center"/>
          </w:tcPr>
          <w:p w:rsidR="005A0BE0" w:rsidRPr="00370DCA" w:rsidRDefault="005A0BE0" w:rsidP="003E576D">
            <w:pPr>
              <w:spacing w:line="180" w:lineRule="exact"/>
              <w:contextualSpacing/>
              <w:jc w:val="left"/>
              <w:rPr>
                <w:rFonts w:cs="Calibri"/>
                <w:color w:val="auto"/>
                <w:sz w:val="18"/>
                <w:szCs w:val="18"/>
              </w:rPr>
            </w:pPr>
            <w:r w:rsidRPr="00370DCA">
              <w:rPr>
                <w:rFonts w:cs="Calibri"/>
                <w:color w:val="auto"/>
                <w:sz w:val="18"/>
                <w:szCs w:val="18"/>
              </w:rPr>
              <w:t>Cervical Spine HNP w</w:t>
            </w:r>
            <w:r w:rsidR="003E576D" w:rsidRPr="00370DCA">
              <w:rPr>
                <w:rFonts w:cs="Calibri"/>
                <w:color w:val="auto"/>
                <w:sz w:val="18"/>
                <w:szCs w:val="18"/>
              </w:rPr>
              <w:t xml:space="preserve">/ DJD </w:t>
            </w:r>
          </w:p>
        </w:tc>
        <w:tc>
          <w:tcPr>
            <w:tcW w:w="1080" w:type="dxa"/>
            <w:tcBorders>
              <w:bottom w:val="single" w:sz="4" w:space="0" w:color="auto"/>
            </w:tcBorders>
            <w:shd w:val="clear" w:color="auto" w:fill="FFFFFF" w:themeFill="background1"/>
            <w:vAlign w:val="center"/>
          </w:tcPr>
          <w:p w:rsidR="005A0BE0" w:rsidRPr="00370DCA" w:rsidRDefault="005A0BE0" w:rsidP="00D6627C">
            <w:pPr>
              <w:spacing w:line="180" w:lineRule="exact"/>
              <w:contextualSpacing/>
              <w:rPr>
                <w:rFonts w:cs="Calibri"/>
                <w:color w:val="auto"/>
                <w:sz w:val="18"/>
                <w:szCs w:val="18"/>
              </w:rPr>
            </w:pPr>
            <w:r w:rsidRPr="00370DCA">
              <w:rPr>
                <w:rFonts w:cs="Calibri"/>
                <w:color w:val="auto"/>
                <w:sz w:val="18"/>
                <w:szCs w:val="18"/>
              </w:rPr>
              <w:t>5293-5290</w:t>
            </w:r>
          </w:p>
        </w:tc>
        <w:tc>
          <w:tcPr>
            <w:tcW w:w="828" w:type="dxa"/>
            <w:tcBorders>
              <w:bottom w:val="single" w:sz="4" w:space="0" w:color="auto"/>
            </w:tcBorders>
            <w:shd w:val="clear" w:color="auto" w:fill="FFFFFF" w:themeFill="background1"/>
            <w:vAlign w:val="center"/>
          </w:tcPr>
          <w:p w:rsidR="005A0BE0" w:rsidRPr="00370DCA" w:rsidRDefault="005A0BE0" w:rsidP="00D6627C">
            <w:pPr>
              <w:spacing w:line="180" w:lineRule="exact"/>
              <w:contextualSpacing/>
              <w:rPr>
                <w:rFonts w:cs="Calibri"/>
                <w:color w:val="auto"/>
                <w:sz w:val="18"/>
                <w:szCs w:val="18"/>
              </w:rPr>
            </w:pPr>
            <w:r w:rsidRPr="00370DCA">
              <w:rPr>
                <w:rFonts w:cs="Calibri"/>
                <w:color w:val="auto"/>
                <w:sz w:val="18"/>
                <w:szCs w:val="18"/>
              </w:rPr>
              <w:t>10%</w:t>
            </w:r>
          </w:p>
        </w:tc>
        <w:tc>
          <w:tcPr>
            <w:tcW w:w="990" w:type="dxa"/>
            <w:tcBorders>
              <w:bottom w:val="single" w:sz="4" w:space="0" w:color="auto"/>
            </w:tcBorders>
            <w:shd w:val="clear" w:color="auto" w:fill="FFFFFF" w:themeFill="background1"/>
            <w:vAlign w:val="center"/>
          </w:tcPr>
          <w:p w:rsidR="005A0BE0" w:rsidRPr="00370DCA" w:rsidRDefault="005A0BE0" w:rsidP="00D6627C">
            <w:pPr>
              <w:spacing w:line="180" w:lineRule="exact"/>
              <w:contextualSpacing/>
              <w:rPr>
                <w:rFonts w:cs="Calibri"/>
                <w:color w:val="auto"/>
                <w:sz w:val="18"/>
                <w:szCs w:val="18"/>
              </w:rPr>
            </w:pPr>
            <w:r w:rsidRPr="00370DCA">
              <w:rPr>
                <w:rFonts w:ascii="Calibri" w:eastAsia="Times New Roman" w:hAnsi="Calibri" w:cs="Calibri"/>
                <w:color w:val="auto"/>
                <w:sz w:val="18"/>
                <w:szCs w:val="18"/>
              </w:rPr>
              <w:t>20030605</w:t>
            </w:r>
          </w:p>
        </w:tc>
      </w:tr>
      <w:tr w:rsidR="005A0BE0" w:rsidRPr="00370DCA" w:rsidTr="006F0FCC">
        <w:trPr>
          <w:trHeight w:val="359"/>
          <w:jc w:val="center"/>
        </w:trPr>
        <w:tc>
          <w:tcPr>
            <w:tcW w:w="2178" w:type="dxa"/>
            <w:vMerge/>
            <w:tcBorders>
              <w:right w:val="single" w:sz="4" w:space="0" w:color="auto"/>
            </w:tcBorders>
            <w:shd w:val="clear" w:color="auto" w:fill="FFFFFF" w:themeFill="background1"/>
            <w:vAlign w:val="center"/>
          </w:tcPr>
          <w:p w:rsidR="005A0BE0" w:rsidRPr="00370DCA" w:rsidRDefault="005A0BE0" w:rsidP="00781004">
            <w:pPr>
              <w:spacing w:line="180" w:lineRule="exact"/>
              <w:contextualSpacing/>
              <w:jc w:val="left"/>
              <w:rPr>
                <w:rFonts w:ascii="Calibri" w:eastAsia="Times New Roman" w:hAnsi="Calibri" w:cs="Calibri"/>
                <w:color w:val="auto"/>
                <w:sz w:val="18"/>
                <w:szCs w:val="18"/>
              </w:rPr>
            </w:pPr>
          </w:p>
        </w:tc>
        <w:tc>
          <w:tcPr>
            <w:tcW w:w="1080" w:type="dxa"/>
            <w:vMerge/>
            <w:tcBorders>
              <w:left w:val="single" w:sz="4" w:space="0" w:color="auto"/>
            </w:tcBorders>
            <w:shd w:val="clear" w:color="auto" w:fill="FFFFFF" w:themeFill="background1"/>
            <w:vAlign w:val="center"/>
          </w:tcPr>
          <w:p w:rsidR="005A0BE0" w:rsidRPr="00370DCA" w:rsidRDefault="005A0BE0" w:rsidP="00781004">
            <w:pPr>
              <w:spacing w:line="180" w:lineRule="exact"/>
              <w:contextualSpacing/>
              <w:rPr>
                <w:rFonts w:ascii="Calibri" w:eastAsia="Times New Roman" w:hAnsi="Calibri"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5A0BE0" w:rsidRPr="00370DCA" w:rsidRDefault="005A0BE0" w:rsidP="00781004">
            <w:pPr>
              <w:spacing w:line="180" w:lineRule="exact"/>
              <w:rPr>
                <w:rFonts w:ascii="Calibri" w:eastAsia="Times New Roman" w:hAnsi="Calibri" w:cs="Calibri"/>
                <w:color w:val="auto"/>
                <w:sz w:val="18"/>
                <w:szCs w:val="18"/>
              </w:rPr>
            </w:pPr>
          </w:p>
        </w:tc>
        <w:tc>
          <w:tcPr>
            <w:tcW w:w="2322" w:type="dxa"/>
            <w:tcBorders>
              <w:left w:val="thinThickThinSmallGap" w:sz="24" w:space="0" w:color="auto"/>
              <w:bottom w:val="single" w:sz="4" w:space="0" w:color="auto"/>
            </w:tcBorders>
            <w:shd w:val="clear" w:color="auto" w:fill="FFFFFF" w:themeFill="background1"/>
            <w:vAlign w:val="center"/>
          </w:tcPr>
          <w:p w:rsidR="005A0BE0" w:rsidRPr="00370DCA" w:rsidRDefault="005A0BE0" w:rsidP="003E576D">
            <w:pPr>
              <w:spacing w:line="180" w:lineRule="exact"/>
              <w:contextualSpacing/>
              <w:jc w:val="left"/>
              <w:rPr>
                <w:rFonts w:ascii="Calibri" w:eastAsia="Times New Roman" w:hAnsi="Calibri" w:cs="Calibri"/>
                <w:color w:val="auto"/>
                <w:sz w:val="18"/>
                <w:szCs w:val="18"/>
              </w:rPr>
            </w:pPr>
            <w:r w:rsidRPr="00370DCA">
              <w:rPr>
                <w:rFonts w:ascii="Calibri" w:eastAsia="Times New Roman" w:hAnsi="Calibri" w:cs="Calibri"/>
                <w:color w:val="auto"/>
                <w:sz w:val="18"/>
                <w:szCs w:val="18"/>
              </w:rPr>
              <w:t>Headache Secondary to Cervical HNP</w:t>
            </w:r>
            <w:r w:rsidR="003E576D" w:rsidRPr="00370DCA">
              <w:rPr>
                <w:rFonts w:ascii="Calibri" w:eastAsia="Times New Roman" w:hAnsi="Calibri" w:cs="Calibri"/>
                <w:color w:val="auto"/>
                <w:sz w:val="18"/>
                <w:szCs w:val="18"/>
              </w:rPr>
              <w:t xml:space="preserve"> … </w:t>
            </w:r>
          </w:p>
        </w:tc>
        <w:tc>
          <w:tcPr>
            <w:tcW w:w="1080" w:type="dxa"/>
            <w:tcBorders>
              <w:bottom w:val="single" w:sz="4" w:space="0" w:color="auto"/>
            </w:tcBorders>
            <w:shd w:val="clear" w:color="auto" w:fill="FFFFFF" w:themeFill="background1"/>
            <w:vAlign w:val="center"/>
          </w:tcPr>
          <w:p w:rsidR="005A0BE0" w:rsidRPr="00370DCA" w:rsidRDefault="005A0BE0"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8199-8100</w:t>
            </w:r>
          </w:p>
        </w:tc>
        <w:tc>
          <w:tcPr>
            <w:tcW w:w="828" w:type="dxa"/>
            <w:tcBorders>
              <w:bottom w:val="single" w:sz="4" w:space="0" w:color="auto"/>
            </w:tcBorders>
            <w:shd w:val="clear" w:color="auto" w:fill="FFFFFF" w:themeFill="background1"/>
            <w:vAlign w:val="center"/>
          </w:tcPr>
          <w:p w:rsidR="005A0BE0" w:rsidRPr="00370DCA" w:rsidRDefault="005A0BE0"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30%</w:t>
            </w:r>
          </w:p>
        </w:tc>
        <w:tc>
          <w:tcPr>
            <w:tcW w:w="990" w:type="dxa"/>
            <w:tcBorders>
              <w:bottom w:val="single" w:sz="4" w:space="0" w:color="auto"/>
            </w:tcBorders>
            <w:shd w:val="clear" w:color="auto" w:fill="FFFFFF" w:themeFill="background1"/>
            <w:vAlign w:val="center"/>
          </w:tcPr>
          <w:p w:rsidR="005A0BE0" w:rsidRPr="00370DCA" w:rsidRDefault="005A0BE0"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20030605</w:t>
            </w:r>
          </w:p>
        </w:tc>
      </w:tr>
      <w:tr w:rsidR="00781004" w:rsidRPr="00370DCA" w:rsidTr="00D6627C">
        <w:trPr>
          <w:trHeight w:val="106"/>
          <w:jc w:val="center"/>
        </w:trPr>
        <w:tc>
          <w:tcPr>
            <w:tcW w:w="4158" w:type="dxa"/>
            <w:gridSpan w:val="3"/>
            <w:vMerge w:val="restart"/>
            <w:tcBorders>
              <w:right w:val="thinThickThinSmallGap" w:sz="24" w:space="0" w:color="auto"/>
            </w:tcBorders>
            <w:shd w:val="clear" w:color="auto" w:fill="FFFFFF" w:themeFill="background1"/>
            <w:vAlign w:val="center"/>
          </w:tcPr>
          <w:p w:rsidR="00781004" w:rsidRPr="00370DCA" w:rsidRDefault="00781004" w:rsidP="00781004">
            <w:pPr>
              <w:spacing w:line="180" w:lineRule="exact"/>
              <w:rPr>
                <w:rFonts w:ascii="Calibri" w:eastAsia="Times New Roman" w:hAnsi="Calibri" w:cs="Calibri"/>
                <w:color w:val="auto"/>
                <w:sz w:val="18"/>
                <w:szCs w:val="18"/>
              </w:rPr>
            </w:pPr>
            <w:r w:rsidRPr="00370DCA">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jc w:val="left"/>
              <w:rPr>
                <w:rFonts w:ascii="Calibri" w:eastAsia="Times New Roman" w:hAnsi="Calibri" w:cs="Calibri"/>
                <w:color w:val="auto"/>
                <w:sz w:val="18"/>
                <w:szCs w:val="18"/>
              </w:rPr>
            </w:pPr>
            <w:r w:rsidRPr="00370DCA">
              <w:rPr>
                <w:rFonts w:ascii="Calibri" w:eastAsia="Times New Roman" w:hAnsi="Calibri" w:cs="Calibri"/>
                <w:color w:val="auto"/>
                <w:sz w:val="18"/>
                <w:szCs w:val="18"/>
              </w:rPr>
              <w:t>Right Knee Patellofemoral Pain Syndrome</w:t>
            </w:r>
            <w:r w:rsidR="006F0FCC" w:rsidRPr="00370DCA">
              <w:rPr>
                <w:rFonts w:ascii="Calibri" w:eastAsia="Times New Roman" w:hAnsi="Calibri" w:cs="Calibri"/>
                <w:color w:val="auto"/>
                <w:sz w:val="18"/>
                <w:szCs w:val="18"/>
              </w:rPr>
              <w:t xml:space="preserve"> (PFS)</w:t>
            </w:r>
          </w:p>
        </w:tc>
        <w:tc>
          <w:tcPr>
            <w:tcW w:w="1080" w:type="dxa"/>
            <w:tcBorders>
              <w:left w:val="single" w:sz="4" w:space="0" w:color="auto"/>
            </w:tcBorders>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5299-5024</w:t>
            </w:r>
          </w:p>
        </w:tc>
        <w:tc>
          <w:tcPr>
            <w:tcW w:w="828" w:type="dxa"/>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10%</w:t>
            </w:r>
          </w:p>
        </w:tc>
        <w:tc>
          <w:tcPr>
            <w:tcW w:w="990" w:type="dxa"/>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20030605</w:t>
            </w:r>
          </w:p>
        </w:tc>
      </w:tr>
      <w:tr w:rsidR="006F0FCC" w:rsidRPr="00370DCA" w:rsidTr="00D6627C">
        <w:trPr>
          <w:trHeight w:val="106"/>
          <w:jc w:val="center"/>
        </w:trPr>
        <w:tc>
          <w:tcPr>
            <w:tcW w:w="4158" w:type="dxa"/>
            <w:gridSpan w:val="3"/>
            <w:vMerge/>
            <w:tcBorders>
              <w:right w:val="thinThickThinSmallGap" w:sz="24" w:space="0" w:color="auto"/>
            </w:tcBorders>
            <w:shd w:val="clear" w:color="auto" w:fill="FFFFFF" w:themeFill="background1"/>
            <w:vAlign w:val="center"/>
          </w:tcPr>
          <w:p w:rsidR="006F0FCC" w:rsidRPr="00370DCA" w:rsidRDefault="006F0FCC" w:rsidP="00781004">
            <w:pPr>
              <w:spacing w:line="180" w:lineRule="exact"/>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6F0FCC" w:rsidRPr="00370DCA" w:rsidRDefault="006F0FCC" w:rsidP="00D6627C">
            <w:pPr>
              <w:spacing w:line="180" w:lineRule="exact"/>
              <w:contextualSpacing/>
              <w:jc w:val="left"/>
              <w:rPr>
                <w:rFonts w:ascii="Calibri" w:eastAsia="Times New Roman" w:hAnsi="Calibri" w:cs="Calibri"/>
                <w:color w:val="auto"/>
                <w:sz w:val="18"/>
                <w:szCs w:val="18"/>
              </w:rPr>
            </w:pPr>
            <w:r w:rsidRPr="00370DCA">
              <w:rPr>
                <w:rFonts w:ascii="Calibri" w:eastAsia="Times New Roman" w:hAnsi="Calibri" w:cs="Calibri"/>
                <w:color w:val="auto"/>
                <w:sz w:val="18"/>
                <w:szCs w:val="18"/>
              </w:rPr>
              <w:t>Left Knee PFS</w:t>
            </w:r>
          </w:p>
        </w:tc>
        <w:tc>
          <w:tcPr>
            <w:tcW w:w="1080" w:type="dxa"/>
            <w:tcBorders>
              <w:left w:val="single" w:sz="4" w:space="0" w:color="auto"/>
            </w:tcBorders>
            <w:shd w:val="clear" w:color="auto" w:fill="FFFFFF" w:themeFill="background1"/>
            <w:vAlign w:val="center"/>
          </w:tcPr>
          <w:p w:rsidR="006F0FCC" w:rsidRPr="00370DCA" w:rsidRDefault="006F0FCC" w:rsidP="00D6627C">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5299-5024</w:t>
            </w:r>
          </w:p>
        </w:tc>
        <w:tc>
          <w:tcPr>
            <w:tcW w:w="828" w:type="dxa"/>
            <w:shd w:val="clear" w:color="auto" w:fill="FFFFFF" w:themeFill="background1"/>
            <w:vAlign w:val="center"/>
          </w:tcPr>
          <w:p w:rsidR="006F0FCC" w:rsidRPr="00370DCA" w:rsidRDefault="006F0FCC" w:rsidP="00D6627C">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10%</w:t>
            </w:r>
          </w:p>
        </w:tc>
        <w:tc>
          <w:tcPr>
            <w:tcW w:w="990" w:type="dxa"/>
            <w:shd w:val="clear" w:color="auto" w:fill="FFFFFF" w:themeFill="background1"/>
            <w:vAlign w:val="center"/>
          </w:tcPr>
          <w:p w:rsidR="006F0FCC" w:rsidRPr="00370DCA" w:rsidRDefault="006F0FCC" w:rsidP="00D6627C">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20030605</w:t>
            </w:r>
          </w:p>
        </w:tc>
      </w:tr>
      <w:tr w:rsidR="00781004" w:rsidRPr="00370DCA" w:rsidTr="00D6627C">
        <w:trPr>
          <w:trHeight w:val="97"/>
          <w:jc w:val="center"/>
        </w:trPr>
        <w:tc>
          <w:tcPr>
            <w:tcW w:w="4158" w:type="dxa"/>
            <w:gridSpan w:val="3"/>
            <w:vMerge/>
            <w:tcBorders>
              <w:right w:val="thinThickThinSmallGap" w:sz="24" w:space="0" w:color="auto"/>
            </w:tcBorders>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jc w:val="left"/>
              <w:rPr>
                <w:rFonts w:ascii="Calibri" w:eastAsia="Times New Roman" w:hAnsi="Calibri" w:cs="Calibri"/>
                <w:color w:val="auto"/>
                <w:sz w:val="18"/>
                <w:szCs w:val="18"/>
              </w:rPr>
            </w:pPr>
            <w:r w:rsidRPr="00370DCA">
              <w:rPr>
                <w:rFonts w:ascii="Calibri" w:eastAsia="Times New Roman" w:hAnsi="Calibri" w:cs="Calibri"/>
                <w:color w:val="auto"/>
                <w:sz w:val="18"/>
                <w:szCs w:val="18"/>
              </w:rPr>
              <w:t>Right Elbow Epicondylitis</w:t>
            </w:r>
          </w:p>
        </w:tc>
        <w:tc>
          <w:tcPr>
            <w:tcW w:w="1080" w:type="dxa"/>
            <w:tcBorders>
              <w:left w:val="single" w:sz="4" w:space="0" w:color="auto"/>
            </w:tcBorders>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5206-5024</w:t>
            </w:r>
          </w:p>
        </w:tc>
        <w:tc>
          <w:tcPr>
            <w:tcW w:w="828" w:type="dxa"/>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10%</w:t>
            </w:r>
          </w:p>
        </w:tc>
        <w:tc>
          <w:tcPr>
            <w:tcW w:w="990" w:type="dxa"/>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20030605</w:t>
            </w:r>
          </w:p>
        </w:tc>
      </w:tr>
      <w:tr w:rsidR="00781004" w:rsidRPr="00370DCA" w:rsidTr="00D6627C">
        <w:trPr>
          <w:trHeight w:val="70"/>
          <w:jc w:val="center"/>
        </w:trPr>
        <w:tc>
          <w:tcPr>
            <w:tcW w:w="4158" w:type="dxa"/>
            <w:gridSpan w:val="3"/>
            <w:vMerge/>
            <w:tcBorders>
              <w:right w:val="thinThickThinSmallGap" w:sz="24" w:space="0" w:color="auto"/>
            </w:tcBorders>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jc w:val="left"/>
              <w:rPr>
                <w:rFonts w:ascii="Calibri" w:eastAsia="Times New Roman" w:hAnsi="Calibri" w:cs="Calibri"/>
                <w:color w:val="auto"/>
                <w:sz w:val="18"/>
                <w:szCs w:val="18"/>
              </w:rPr>
            </w:pPr>
            <w:r w:rsidRPr="00370DCA">
              <w:rPr>
                <w:rFonts w:ascii="Calibri" w:eastAsia="Times New Roman" w:hAnsi="Calibri" w:cs="Calibri"/>
                <w:color w:val="auto"/>
                <w:sz w:val="18"/>
                <w:szCs w:val="18"/>
              </w:rPr>
              <w:t>Left Shoulder Tendonitis</w:t>
            </w:r>
          </w:p>
        </w:tc>
        <w:tc>
          <w:tcPr>
            <w:tcW w:w="1080" w:type="dxa"/>
            <w:tcBorders>
              <w:left w:val="single" w:sz="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5203-5024</w:t>
            </w:r>
          </w:p>
        </w:tc>
        <w:tc>
          <w:tcPr>
            <w:tcW w:w="828" w:type="dxa"/>
            <w:tcBorders>
              <w:left w:val="single" w:sz="4" w:space="0" w:color="auto"/>
            </w:tcBorders>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10%</w:t>
            </w:r>
          </w:p>
        </w:tc>
        <w:tc>
          <w:tcPr>
            <w:tcW w:w="990" w:type="dxa"/>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r w:rsidRPr="00370DCA">
              <w:rPr>
                <w:rFonts w:ascii="Calibri" w:eastAsia="Times New Roman" w:hAnsi="Calibri" w:cs="Calibri"/>
                <w:color w:val="auto"/>
                <w:sz w:val="18"/>
                <w:szCs w:val="18"/>
              </w:rPr>
              <w:t>20030605</w:t>
            </w:r>
          </w:p>
        </w:tc>
      </w:tr>
      <w:tr w:rsidR="00781004" w:rsidRPr="00370DCA" w:rsidTr="00D6627C">
        <w:trPr>
          <w:trHeight w:val="70"/>
          <w:jc w:val="center"/>
        </w:trPr>
        <w:tc>
          <w:tcPr>
            <w:tcW w:w="4158" w:type="dxa"/>
            <w:gridSpan w:val="3"/>
            <w:vMerge/>
            <w:tcBorders>
              <w:right w:val="thinThickThinSmallGap" w:sz="24" w:space="0" w:color="auto"/>
            </w:tcBorders>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jc w:val="left"/>
              <w:rPr>
                <w:rFonts w:cs="Calibri"/>
                <w:color w:val="auto"/>
                <w:sz w:val="18"/>
                <w:szCs w:val="18"/>
              </w:rPr>
            </w:pPr>
            <w:r w:rsidRPr="00370DCA">
              <w:rPr>
                <w:rFonts w:cs="Calibri"/>
                <w:color w:val="auto"/>
                <w:sz w:val="18"/>
                <w:szCs w:val="18"/>
              </w:rPr>
              <w:t>Right Ankle Strain</w:t>
            </w:r>
          </w:p>
        </w:tc>
        <w:tc>
          <w:tcPr>
            <w:tcW w:w="1080" w:type="dxa"/>
            <w:tcBorders>
              <w:left w:val="single" w:sz="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r w:rsidRPr="00370DCA">
              <w:rPr>
                <w:rFonts w:cs="Calibri"/>
                <w:color w:val="auto"/>
                <w:sz w:val="18"/>
                <w:szCs w:val="18"/>
              </w:rPr>
              <w:t>5271</w:t>
            </w:r>
          </w:p>
        </w:tc>
        <w:tc>
          <w:tcPr>
            <w:tcW w:w="828" w:type="dxa"/>
            <w:tcBorders>
              <w:left w:val="single" w:sz="4" w:space="0" w:color="auto"/>
            </w:tcBorders>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r w:rsidRPr="00370DCA">
              <w:rPr>
                <w:rFonts w:cs="Calibri"/>
                <w:color w:val="auto"/>
                <w:sz w:val="18"/>
                <w:szCs w:val="18"/>
              </w:rPr>
              <w:t>10%</w:t>
            </w:r>
          </w:p>
        </w:tc>
        <w:tc>
          <w:tcPr>
            <w:tcW w:w="990" w:type="dxa"/>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r w:rsidRPr="00370DCA">
              <w:rPr>
                <w:rFonts w:ascii="Calibri" w:eastAsia="Times New Roman" w:hAnsi="Calibri" w:cs="Calibri"/>
                <w:color w:val="auto"/>
                <w:sz w:val="18"/>
                <w:szCs w:val="18"/>
              </w:rPr>
              <w:t>20030605</w:t>
            </w:r>
          </w:p>
        </w:tc>
      </w:tr>
      <w:tr w:rsidR="00781004" w:rsidRPr="00370DCA" w:rsidTr="00D6627C">
        <w:trPr>
          <w:trHeight w:val="70"/>
          <w:jc w:val="center"/>
        </w:trPr>
        <w:tc>
          <w:tcPr>
            <w:tcW w:w="4158" w:type="dxa"/>
            <w:gridSpan w:val="3"/>
            <w:vMerge/>
            <w:tcBorders>
              <w:right w:val="thinThickThinSmallGap" w:sz="24" w:space="0" w:color="auto"/>
            </w:tcBorders>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jc w:val="left"/>
              <w:rPr>
                <w:rFonts w:cs="Calibri"/>
                <w:color w:val="auto"/>
                <w:sz w:val="18"/>
                <w:szCs w:val="18"/>
              </w:rPr>
            </w:pPr>
            <w:r w:rsidRPr="00370DCA">
              <w:rPr>
                <w:rFonts w:cs="Calibri"/>
                <w:color w:val="auto"/>
                <w:sz w:val="18"/>
                <w:szCs w:val="18"/>
              </w:rPr>
              <w:t>Left Ankle Strain</w:t>
            </w:r>
          </w:p>
        </w:tc>
        <w:tc>
          <w:tcPr>
            <w:tcW w:w="1080" w:type="dxa"/>
            <w:tcBorders>
              <w:left w:val="single" w:sz="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r w:rsidRPr="00370DCA">
              <w:rPr>
                <w:rFonts w:cs="Calibri"/>
                <w:color w:val="auto"/>
                <w:sz w:val="18"/>
                <w:szCs w:val="18"/>
              </w:rPr>
              <w:t>5271</w:t>
            </w:r>
          </w:p>
        </w:tc>
        <w:tc>
          <w:tcPr>
            <w:tcW w:w="828" w:type="dxa"/>
            <w:tcBorders>
              <w:left w:val="single" w:sz="4" w:space="0" w:color="auto"/>
            </w:tcBorders>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r w:rsidRPr="00370DCA">
              <w:rPr>
                <w:rFonts w:cs="Calibri"/>
                <w:color w:val="auto"/>
                <w:sz w:val="18"/>
                <w:szCs w:val="18"/>
              </w:rPr>
              <w:t>10%</w:t>
            </w:r>
          </w:p>
        </w:tc>
        <w:tc>
          <w:tcPr>
            <w:tcW w:w="990" w:type="dxa"/>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r w:rsidRPr="00370DCA">
              <w:rPr>
                <w:rFonts w:ascii="Calibri" w:eastAsia="Times New Roman" w:hAnsi="Calibri" w:cs="Calibri"/>
                <w:color w:val="auto"/>
                <w:sz w:val="18"/>
                <w:szCs w:val="18"/>
              </w:rPr>
              <w:t>20030605</w:t>
            </w:r>
          </w:p>
        </w:tc>
      </w:tr>
      <w:tr w:rsidR="00781004" w:rsidRPr="00370DCA" w:rsidTr="00D6627C">
        <w:trPr>
          <w:trHeight w:val="70"/>
          <w:jc w:val="center"/>
        </w:trPr>
        <w:tc>
          <w:tcPr>
            <w:tcW w:w="4158" w:type="dxa"/>
            <w:gridSpan w:val="3"/>
            <w:vMerge/>
            <w:tcBorders>
              <w:right w:val="thinThickThinSmallGap" w:sz="24" w:space="0" w:color="auto"/>
            </w:tcBorders>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jc w:val="left"/>
              <w:rPr>
                <w:rFonts w:cs="Calibri"/>
                <w:color w:val="auto"/>
                <w:sz w:val="18"/>
                <w:szCs w:val="18"/>
              </w:rPr>
            </w:pPr>
            <w:r w:rsidRPr="00370DCA">
              <w:rPr>
                <w:rFonts w:cs="Calibri"/>
                <w:color w:val="auto"/>
                <w:sz w:val="18"/>
                <w:szCs w:val="18"/>
              </w:rPr>
              <w:t>Low Back Strain</w:t>
            </w:r>
          </w:p>
        </w:tc>
        <w:tc>
          <w:tcPr>
            <w:tcW w:w="1080" w:type="dxa"/>
            <w:tcBorders>
              <w:left w:val="single" w:sz="4" w:space="0" w:color="auto"/>
              <w:right w:val="single" w:sz="4" w:space="0" w:color="auto"/>
            </w:tcBorders>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r w:rsidRPr="00370DCA">
              <w:rPr>
                <w:rFonts w:cs="Calibri"/>
                <w:color w:val="auto"/>
                <w:sz w:val="18"/>
                <w:szCs w:val="18"/>
              </w:rPr>
              <w:t>5295</w:t>
            </w:r>
          </w:p>
        </w:tc>
        <w:tc>
          <w:tcPr>
            <w:tcW w:w="828" w:type="dxa"/>
            <w:tcBorders>
              <w:left w:val="single" w:sz="4" w:space="0" w:color="auto"/>
            </w:tcBorders>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r w:rsidRPr="00370DCA">
              <w:rPr>
                <w:rFonts w:cs="Calibri"/>
                <w:color w:val="auto"/>
                <w:sz w:val="18"/>
                <w:szCs w:val="18"/>
              </w:rPr>
              <w:t>10%</w:t>
            </w:r>
          </w:p>
        </w:tc>
        <w:tc>
          <w:tcPr>
            <w:tcW w:w="990" w:type="dxa"/>
            <w:shd w:val="clear" w:color="auto" w:fill="FFFFFF" w:themeFill="background1"/>
            <w:vAlign w:val="center"/>
          </w:tcPr>
          <w:p w:rsidR="00781004" w:rsidRPr="00370DCA" w:rsidRDefault="00781004" w:rsidP="00781004">
            <w:pPr>
              <w:spacing w:line="180" w:lineRule="exact"/>
              <w:contextualSpacing/>
              <w:rPr>
                <w:rFonts w:cs="Calibri"/>
                <w:color w:val="auto"/>
                <w:sz w:val="18"/>
                <w:szCs w:val="18"/>
              </w:rPr>
            </w:pPr>
            <w:r w:rsidRPr="00370DCA">
              <w:rPr>
                <w:rFonts w:ascii="Calibri" w:eastAsia="Times New Roman" w:hAnsi="Calibri" w:cs="Calibri"/>
                <w:color w:val="auto"/>
                <w:sz w:val="18"/>
                <w:szCs w:val="18"/>
              </w:rPr>
              <w:t>20030605</w:t>
            </w:r>
          </w:p>
        </w:tc>
      </w:tr>
      <w:tr w:rsidR="00781004" w:rsidRPr="00370DCA" w:rsidTr="00D6627C">
        <w:trPr>
          <w:trHeight w:val="160"/>
          <w:jc w:val="center"/>
        </w:trPr>
        <w:tc>
          <w:tcPr>
            <w:tcW w:w="4158" w:type="dxa"/>
            <w:gridSpan w:val="3"/>
            <w:vMerge/>
            <w:tcBorders>
              <w:right w:val="thinThickThinSmallGap" w:sz="24" w:space="0" w:color="auto"/>
            </w:tcBorders>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781004" w:rsidRPr="00370DCA" w:rsidRDefault="00FB5B1B" w:rsidP="00781004">
            <w:pPr>
              <w:spacing w:line="180" w:lineRule="exact"/>
              <w:contextualSpacing/>
              <w:rPr>
                <w:rFonts w:ascii="Calibri" w:eastAsia="Times New Roman" w:hAnsi="Calibri" w:cs="Calibri"/>
                <w:color w:val="auto"/>
                <w:sz w:val="18"/>
                <w:szCs w:val="18"/>
              </w:rPr>
            </w:pPr>
            <w:r>
              <w:rPr>
                <w:rFonts w:ascii="Calibri" w:hAnsi="Calibri" w:cs="Calibri"/>
                <w:color w:val="auto"/>
                <w:sz w:val="18"/>
                <w:szCs w:val="18"/>
              </w:rPr>
              <w:t>0% x 1/Not Service-</w:t>
            </w:r>
            <w:r w:rsidR="00781004" w:rsidRPr="00370DCA">
              <w:rPr>
                <w:rFonts w:ascii="Calibri" w:hAnsi="Calibri" w:cs="Calibri"/>
                <w:color w:val="auto"/>
                <w:sz w:val="18"/>
                <w:szCs w:val="18"/>
              </w:rPr>
              <w:t>Connected x 0</w:t>
            </w:r>
          </w:p>
        </w:tc>
        <w:tc>
          <w:tcPr>
            <w:tcW w:w="990" w:type="dxa"/>
            <w:shd w:val="clear" w:color="auto" w:fill="FFFFFF" w:themeFill="background1"/>
            <w:vAlign w:val="center"/>
          </w:tcPr>
          <w:p w:rsidR="00781004" w:rsidRPr="00370DCA" w:rsidRDefault="00781004" w:rsidP="00781004">
            <w:pPr>
              <w:spacing w:line="180" w:lineRule="exact"/>
              <w:contextualSpacing/>
              <w:rPr>
                <w:rFonts w:ascii="Calibri" w:eastAsia="Times New Roman" w:hAnsi="Calibri" w:cs="Calibri"/>
                <w:color w:val="auto"/>
                <w:sz w:val="18"/>
                <w:szCs w:val="18"/>
              </w:rPr>
            </w:pPr>
          </w:p>
        </w:tc>
      </w:tr>
      <w:tr w:rsidR="007A65A9" w:rsidRPr="00370DCA" w:rsidTr="00781004">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370DCA" w:rsidRDefault="007A65A9" w:rsidP="00781004">
            <w:pPr>
              <w:contextualSpacing/>
              <w:rPr>
                <w:rFonts w:ascii="Calibri" w:hAnsi="Calibri" w:cs="Calibri"/>
                <w:b/>
                <w:color w:val="auto"/>
                <w:sz w:val="18"/>
                <w:szCs w:val="18"/>
              </w:rPr>
            </w:pPr>
            <w:r w:rsidRPr="00370DCA">
              <w:rPr>
                <w:rFonts w:ascii="Calibri" w:hAnsi="Calibri" w:cs="Calibri"/>
                <w:b/>
                <w:color w:val="auto"/>
                <w:sz w:val="18"/>
                <w:szCs w:val="18"/>
              </w:rPr>
              <w:t xml:space="preserve">Combined: </w:t>
            </w:r>
            <w:r w:rsidR="00781004" w:rsidRPr="00370DCA">
              <w:rPr>
                <w:rFonts w:ascii="Calibri" w:hAnsi="Calibri" w:cs="Calibri"/>
                <w:b/>
                <w:color w:val="auto"/>
                <w:sz w:val="18"/>
                <w:szCs w:val="18"/>
              </w:rPr>
              <w:t xml:space="preserve"> </w:t>
            </w:r>
            <w:r w:rsidR="009C344F" w:rsidRPr="00370DCA">
              <w:rPr>
                <w:rFonts w:ascii="Calibri" w:hAnsi="Calibri" w:cs="Calibri"/>
                <w:b/>
                <w:color w:val="auto"/>
                <w:sz w:val="18"/>
                <w:szCs w:val="18"/>
              </w:rPr>
              <w:t>20</w:t>
            </w:r>
            <w:r w:rsidRPr="00370DCA">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370DCA" w:rsidRDefault="007A65A9" w:rsidP="00781004">
            <w:pPr>
              <w:contextualSpacing/>
              <w:rPr>
                <w:rFonts w:ascii="Calibri" w:hAnsi="Calibri" w:cs="Calibri"/>
                <w:b/>
                <w:color w:val="auto"/>
                <w:sz w:val="18"/>
                <w:szCs w:val="18"/>
              </w:rPr>
            </w:pPr>
            <w:r w:rsidRPr="00370DCA">
              <w:rPr>
                <w:rFonts w:ascii="Calibri" w:hAnsi="Calibri" w:cs="Calibri"/>
                <w:b/>
                <w:color w:val="auto"/>
                <w:sz w:val="18"/>
                <w:szCs w:val="18"/>
              </w:rPr>
              <w:t xml:space="preserve">Combined:  </w:t>
            </w:r>
            <w:r w:rsidR="009C344F" w:rsidRPr="00370DCA">
              <w:rPr>
                <w:rFonts w:ascii="Calibri" w:hAnsi="Calibri" w:cs="Calibri"/>
                <w:b/>
                <w:color w:val="auto"/>
                <w:sz w:val="18"/>
                <w:szCs w:val="18"/>
              </w:rPr>
              <w:t>7</w:t>
            </w:r>
            <w:r w:rsidR="006F0F9C" w:rsidRPr="00370DCA">
              <w:rPr>
                <w:rFonts w:ascii="Calibri" w:hAnsi="Calibri" w:cs="Calibri"/>
                <w:b/>
                <w:color w:val="auto"/>
                <w:sz w:val="18"/>
                <w:szCs w:val="18"/>
              </w:rPr>
              <w:t>0</w:t>
            </w:r>
            <w:r w:rsidRPr="00370DCA">
              <w:rPr>
                <w:rFonts w:ascii="Calibri" w:hAnsi="Calibri" w:cs="Calibri"/>
                <w:b/>
                <w:color w:val="auto"/>
                <w:sz w:val="18"/>
                <w:szCs w:val="18"/>
              </w:rPr>
              <w:t>%</w:t>
            </w:r>
          </w:p>
        </w:tc>
      </w:tr>
    </w:tbl>
    <w:p w:rsidR="00781004" w:rsidRPr="00370DCA" w:rsidRDefault="00781004" w:rsidP="00A97CD9">
      <w:pPr>
        <w:pBdr>
          <w:bottom w:val="single" w:sz="12" w:space="1" w:color="auto"/>
        </w:pBdr>
        <w:tabs>
          <w:tab w:val="left" w:pos="288"/>
          <w:tab w:val="left" w:pos="4752"/>
        </w:tabs>
        <w:jc w:val="both"/>
        <w:rPr>
          <w:color w:val="auto"/>
          <w:szCs w:val="24"/>
        </w:rPr>
      </w:pPr>
    </w:p>
    <w:p w:rsidR="009369A6" w:rsidRPr="00370DCA" w:rsidRDefault="009369A6" w:rsidP="00781004">
      <w:pPr>
        <w:jc w:val="both"/>
        <w:rPr>
          <w:color w:val="auto"/>
          <w:szCs w:val="24"/>
          <w:u w:val="single"/>
        </w:rPr>
      </w:pPr>
    </w:p>
    <w:p w:rsidR="00B505E9" w:rsidRPr="00B505E9" w:rsidRDefault="002C6E5B" w:rsidP="001E07BD">
      <w:pPr>
        <w:jc w:val="both"/>
        <w:rPr>
          <w:color w:val="000000" w:themeColor="text1"/>
          <w:szCs w:val="24"/>
        </w:rPr>
      </w:pPr>
      <w:r w:rsidRPr="001E5299">
        <w:rPr>
          <w:color w:val="auto"/>
          <w:szCs w:val="24"/>
          <w:u w:val="single"/>
        </w:rPr>
        <w:t>ANALYSIS SUMMARY</w:t>
      </w:r>
      <w:r w:rsidRPr="001E5299">
        <w:rPr>
          <w:color w:val="auto"/>
          <w:szCs w:val="24"/>
        </w:rPr>
        <w:t>:</w:t>
      </w:r>
      <w:r w:rsidR="00B505E9" w:rsidRPr="001E5299">
        <w:rPr>
          <w:color w:val="auto"/>
          <w:szCs w:val="24"/>
        </w:rPr>
        <w:t xml:space="preserve">  </w:t>
      </w:r>
      <w:r w:rsidR="001E07BD" w:rsidRPr="001E5299">
        <w:rPr>
          <w:color w:val="auto"/>
          <w:szCs w:val="24"/>
        </w:rPr>
        <w:t>The Board acknowledges the sentiment expressed in the C</w:t>
      </w:r>
      <w:r w:rsidR="001E07BD" w:rsidRPr="001E07BD">
        <w:rPr>
          <w:color w:val="000000" w:themeColor="text1"/>
          <w:szCs w:val="24"/>
        </w:rPr>
        <w:t xml:space="preserve">I’s application, that the gravity of his condition and predictable consequences merit consideration for a higher separation </w:t>
      </w:r>
      <w:r w:rsidR="001E07BD" w:rsidRPr="00781004">
        <w:rPr>
          <w:color w:val="auto"/>
          <w:szCs w:val="24"/>
        </w:rPr>
        <w:t>rating.</w:t>
      </w:r>
      <w:r w:rsidR="001E07BD" w:rsidRPr="00781004">
        <w:rPr>
          <w:color w:val="auto"/>
        </w:rPr>
        <w:t xml:space="preserve">  </w:t>
      </w:r>
      <w:r w:rsidR="001E07BD" w:rsidRPr="00781004">
        <w:rPr>
          <w:color w:val="auto"/>
          <w:szCs w:val="24"/>
        </w:rPr>
        <w:t>It is a f</w:t>
      </w:r>
      <w:r w:rsidR="001E07BD" w:rsidRPr="001E07BD">
        <w:rPr>
          <w:color w:val="000000" w:themeColor="text1"/>
          <w:szCs w:val="24"/>
        </w:rPr>
        <w:t xml:space="preserve">act, however, that the </w:t>
      </w:r>
      <w:r w:rsidR="00FB5B1B">
        <w:rPr>
          <w:color w:val="000000" w:themeColor="text1"/>
          <w:szCs w:val="24"/>
        </w:rPr>
        <w:t>Disability Evaluation System (</w:t>
      </w:r>
      <w:r w:rsidR="001E07BD" w:rsidRPr="001E07BD">
        <w:rPr>
          <w:color w:val="000000" w:themeColor="text1"/>
          <w:szCs w:val="24"/>
        </w:rPr>
        <w:t>DES</w:t>
      </w:r>
      <w:r w:rsidR="00FB5B1B">
        <w:rPr>
          <w:color w:val="000000" w:themeColor="text1"/>
          <w:szCs w:val="24"/>
        </w:rPr>
        <w:t>)</w:t>
      </w:r>
      <w:r w:rsidR="001E07BD" w:rsidRPr="001E07BD">
        <w:rPr>
          <w:color w:val="000000" w:themeColor="text1"/>
          <w:szCs w:val="24"/>
        </w:rPr>
        <w:t xml:space="preserve"> has neither the role nor the authority to compensate service members for anticipated future severity or potential complications of conditions resulting </w:t>
      </w:r>
      <w:r w:rsidR="001E07BD" w:rsidRPr="00781004">
        <w:rPr>
          <w:color w:val="auto"/>
          <w:szCs w:val="24"/>
        </w:rPr>
        <w:t xml:space="preserve">in medical separation.  This role and authority is granted by Congress to the </w:t>
      </w:r>
      <w:r w:rsidR="00FB5B1B">
        <w:rPr>
          <w:color w:val="auto"/>
          <w:szCs w:val="24"/>
        </w:rPr>
        <w:t xml:space="preserve">Department of </w:t>
      </w:r>
      <w:r w:rsidR="001E07BD" w:rsidRPr="00781004">
        <w:rPr>
          <w:color w:val="auto"/>
          <w:szCs w:val="24"/>
        </w:rPr>
        <w:t>Veterans</w:t>
      </w:r>
      <w:r w:rsidR="00FB5B1B">
        <w:rPr>
          <w:color w:val="auto"/>
          <w:szCs w:val="24"/>
        </w:rPr>
        <w:t>’</w:t>
      </w:r>
      <w:r w:rsidR="001E07BD" w:rsidRPr="00781004">
        <w:rPr>
          <w:color w:val="auto"/>
          <w:szCs w:val="24"/>
        </w:rPr>
        <w:t xml:space="preserve"> </w:t>
      </w:r>
      <w:r w:rsidR="00FB5B1B">
        <w:rPr>
          <w:color w:val="auto"/>
          <w:szCs w:val="24"/>
        </w:rPr>
        <w:t>Affairs (DVA)</w:t>
      </w:r>
      <w:r w:rsidR="001E07BD" w:rsidRPr="00781004">
        <w:rPr>
          <w:color w:val="auto"/>
          <w:szCs w:val="24"/>
        </w:rPr>
        <w:t>.</w:t>
      </w:r>
      <w:r w:rsidR="001E07BD" w:rsidRPr="00781004">
        <w:rPr>
          <w:color w:val="auto"/>
        </w:rPr>
        <w:t xml:space="preserve">  </w:t>
      </w:r>
      <w:r w:rsidR="001E07BD" w:rsidRPr="00781004">
        <w:rPr>
          <w:color w:val="auto"/>
          <w:szCs w:val="24"/>
        </w:rPr>
        <w:t xml:space="preserve">The Board utilizes </w:t>
      </w:r>
      <w:r w:rsidR="00FB5B1B">
        <w:rPr>
          <w:color w:val="auto"/>
          <w:szCs w:val="24"/>
        </w:rPr>
        <w:t>D</w:t>
      </w:r>
      <w:r w:rsidR="001E07BD" w:rsidRPr="00781004">
        <w:rPr>
          <w:color w:val="auto"/>
          <w:szCs w:val="24"/>
        </w:rPr>
        <w:t>VA evidence proximal to separation in arriving at its recommendations; and, DoDI 6040</w:t>
      </w:r>
      <w:r w:rsidR="001E07BD" w:rsidRPr="001E07BD">
        <w:rPr>
          <w:color w:val="000000" w:themeColor="text1"/>
          <w:szCs w:val="24"/>
        </w:rPr>
        <w:t xml:space="preserve">.44 defines a 12-month interval for special consideration to post-separation evidence. </w:t>
      </w:r>
      <w:r w:rsidR="001E07BD">
        <w:rPr>
          <w:color w:val="000000" w:themeColor="text1"/>
          <w:szCs w:val="24"/>
        </w:rPr>
        <w:t xml:space="preserve"> </w:t>
      </w:r>
      <w:r w:rsidR="001E07BD" w:rsidRPr="001E07BD">
        <w:rPr>
          <w:color w:val="000000" w:themeColor="text1"/>
          <w:szCs w:val="24"/>
        </w:rPr>
        <w:t xml:space="preserve">The Board’s authority as defined in DoDI 6040.44, however, resides in evaluating the fairness of DES fitness determinations and rating decisions for disability at the time of separation. </w:t>
      </w:r>
      <w:r w:rsidR="001E07BD">
        <w:rPr>
          <w:color w:val="000000" w:themeColor="text1"/>
          <w:szCs w:val="24"/>
        </w:rPr>
        <w:t xml:space="preserve"> </w:t>
      </w:r>
      <w:r w:rsidR="001E07BD" w:rsidRPr="001E07BD">
        <w:rPr>
          <w:color w:val="000000" w:themeColor="text1"/>
          <w:szCs w:val="24"/>
        </w:rPr>
        <w:t>Post-separation evidence therefore is probative only to the extent that it reasonably reflects the disability and fitness implications at the time of separation.</w:t>
      </w:r>
      <w:r w:rsidR="00781004">
        <w:rPr>
          <w:color w:val="000000" w:themeColor="text1"/>
          <w:szCs w:val="24"/>
        </w:rPr>
        <w:t xml:space="preserve">  </w:t>
      </w:r>
    </w:p>
    <w:p w:rsidR="004C60A3" w:rsidRPr="00406DA1" w:rsidRDefault="004C60A3" w:rsidP="00406DA1">
      <w:pPr>
        <w:jc w:val="both"/>
        <w:rPr>
          <w:color w:val="auto"/>
          <w:szCs w:val="24"/>
        </w:rPr>
      </w:pPr>
    </w:p>
    <w:p w:rsidR="00406DA1" w:rsidRDefault="00406DA1" w:rsidP="00B52D0F">
      <w:pPr>
        <w:jc w:val="both"/>
        <w:rPr>
          <w:color w:val="auto"/>
          <w:szCs w:val="24"/>
        </w:rPr>
      </w:pPr>
      <w:r w:rsidRPr="00406DA1">
        <w:rPr>
          <w:color w:val="auto"/>
          <w:szCs w:val="24"/>
        </w:rPr>
        <w:t>The 2003 Veterans’ Administration Schedule for Rating Disabilities (VASRD) coding and rating standards for the spine, which were in effect at the time of separation, were changed to the c</w:t>
      </w:r>
      <w:r w:rsidR="00FB5B1B">
        <w:rPr>
          <w:color w:val="auto"/>
          <w:szCs w:val="24"/>
        </w:rPr>
        <w:t>urrent §4.71a rating standards o</w:t>
      </w:r>
      <w:r w:rsidRPr="00406DA1">
        <w:rPr>
          <w:color w:val="auto"/>
          <w:szCs w:val="24"/>
        </w:rPr>
        <w:t xml:space="preserve">n </w:t>
      </w:r>
      <w:r w:rsidR="00FB5B1B">
        <w:rPr>
          <w:color w:val="auto"/>
          <w:szCs w:val="24"/>
        </w:rPr>
        <w:t xml:space="preserve">26 September </w:t>
      </w:r>
      <w:r w:rsidRPr="00406DA1">
        <w:rPr>
          <w:color w:val="auto"/>
          <w:szCs w:val="24"/>
        </w:rPr>
        <w:t>2003.  The 2003 stan</w:t>
      </w:r>
      <w:r w:rsidR="00FB5B1B">
        <w:rPr>
          <w:color w:val="auto"/>
          <w:szCs w:val="24"/>
        </w:rPr>
        <w:t>dards for rating based on range-of-</w:t>
      </w:r>
      <w:r w:rsidRPr="00406DA1">
        <w:rPr>
          <w:color w:val="auto"/>
          <w:szCs w:val="24"/>
        </w:rPr>
        <w:t xml:space="preserve">motion (ROM) impairment were subject to the rater’s opinion regarding degree of severity, whereas the current standards specify rating thresholds in degrees of ROM impairment.  </w:t>
      </w:r>
      <w:r w:rsidR="00B52D0F">
        <w:rPr>
          <w:color w:val="auto"/>
          <w:szCs w:val="24"/>
        </w:rPr>
        <w:t>The older spine criteria also does not have the current “</w:t>
      </w:r>
      <w:r w:rsidR="00FB5B1B">
        <w:rPr>
          <w:color w:val="auto"/>
          <w:szCs w:val="24"/>
        </w:rPr>
        <w:t>g</w:t>
      </w:r>
      <w:r w:rsidR="00B52D0F" w:rsidRPr="00B52D0F">
        <w:rPr>
          <w:color w:val="auto"/>
          <w:szCs w:val="24"/>
        </w:rPr>
        <w:t xml:space="preserve">eneral </w:t>
      </w:r>
      <w:r w:rsidR="00FB5B1B">
        <w:rPr>
          <w:color w:val="auto"/>
          <w:szCs w:val="24"/>
        </w:rPr>
        <w:t>r</w:t>
      </w:r>
      <w:r w:rsidR="00B52D0F" w:rsidRPr="00B52D0F">
        <w:rPr>
          <w:color w:val="auto"/>
          <w:szCs w:val="24"/>
        </w:rPr>
        <w:t xml:space="preserve">ating </w:t>
      </w:r>
      <w:r w:rsidR="00FB5B1B">
        <w:rPr>
          <w:color w:val="auto"/>
          <w:szCs w:val="24"/>
        </w:rPr>
        <w:t>f</w:t>
      </w:r>
      <w:r w:rsidR="00B52D0F" w:rsidRPr="00B52D0F">
        <w:rPr>
          <w:color w:val="auto"/>
          <w:szCs w:val="24"/>
        </w:rPr>
        <w:t xml:space="preserve">ormula for </w:t>
      </w:r>
      <w:r w:rsidR="00FB5B1B">
        <w:rPr>
          <w:color w:val="auto"/>
          <w:szCs w:val="24"/>
        </w:rPr>
        <w:t>d</w:t>
      </w:r>
      <w:r w:rsidR="00B52D0F" w:rsidRPr="00B52D0F">
        <w:rPr>
          <w:color w:val="auto"/>
          <w:szCs w:val="24"/>
        </w:rPr>
        <w:t xml:space="preserve">iseases and </w:t>
      </w:r>
      <w:r w:rsidR="00FB5B1B">
        <w:rPr>
          <w:color w:val="auto"/>
          <w:szCs w:val="24"/>
        </w:rPr>
        <w:t>i</w:t>
      </w:r>
      <w:r w:rsidR="00B52D0F" w:rsidRPr="00B52D0F">
        <w:rPr>
          <w:color w:val="auto"/>
          <w:szCs w:val="24"/>
        </w:rPr>
        <w:t xml:space="preserve">njuries of the </w:t>
      </w:r>
      <w:r w:rsidR="00FB5B1B">
        <w:rPr>
          <w:color w:val="auto"/>
          <w:szCs w:val="24"/>
        </w:rPr>
        <w:t>s</w:t>
      </w:r>
      <w:r w:rsidR="00B52D0F" w:rsidRPr="00B52D0F">
        <w:rPr>
          <w:color w:val="auto"/>
          <w:szCs w:val="24"/>
        </w:rPr>
        <w:t>pine</w:t>
      </w:r>
      <w:r w:rsidR="00B52D0F">
        <w:rPr>
          <w:color w:val="auto"/>
          <w:szCs w:val="24"/>
        </w:rPr>
        <w:t>” nor the indicator that spine rating is “</w:t>
      </w:r>
      <w:r w:rsidR="0095541C">
        <w:rPr>
          <w:color w:val="auto"/>
          <w:szCs w:val="24"/>
        </w:rPr>
        <w:t>w</w:t>
      </w:r>
      <w:r w:rsidR="00B52D0F" w:rsidRPr="00B52D0F">
        <w:rPr>
          <w:color w:val="auto"/>
          <w:szCs w:val="24"/>
        </w:rPr>
        <w:t>ith or without symptoms such as pain (whether or not it radiates), stiffness, or aching in the area of the spine affected by residuals of injury or disease</w:t>
      </w:r>
      <w:r w:rsidR="00B52D0F">
        <w:rPr>
          <w:color w:val="auto"/>
          <w:szCs w:val="24"/>
        </w:rPr>
        <w:t xml:space="preserve">”.  </w:t>
      </w:r>
      <w:r w:rsidR="00B52D0F" w:rsidRPr="00406DA1">
        <w:rPr>
          <w:color w:val="auto"/>
          <w:szCs w:val="24"/>
        </w:rPr>
        <w:t>For the reader’s convenience, the 2003 rating codes under discussion in this case are excerpted below.</w:t>
      </w:r>
      <w:r w:rsidR="00B52D0F">
        <w:rPr>
          <w:color w:val="auto"/>
          <w:szCs w:val="24"/>
        </w:rPr>
        <w:t xml:space="preserve">  </w:t>
      </w:r>
    </w:p>
    <w:p w:rsidR="00B52D0F" w:rsidRDefault="00B52D0F" w:rsidP="00B52D0F">
      <w:pPr>
        <w:jc w:val="both"/>
        <w:rPr>
          <w:color w:val="000000" w:themeColor="text1"/>
          <w:szCs w:val="24"/>
        </w:rPr>
      </w:pP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t>5290 Spine, limitation of motion of, cervical:</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Severe........................................................</w:t>
      </w:r>
      <w:proofErr w:type="gramEnd"/>
      <w:r w:rsidRPr="00AC2770">
        <w:rPr>
          <w:rFonts w:ascii="Courier New" w:hAnsi="Courier New" w:cs="Courier New"/>
          <w:color w:val="000000" w:themeColor="text1"/>
          <w:sz w:val="18"/>
        </w:rPr>
        <w:t xml:space="preserve"> 30</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t>Moderate...................................................... 20</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t>Slight........................................................ 10</w:t>
      </w:r>
    </w:p>
    <w:p w:rsidR="00370DCA" w:rsidRDefault="00370DCA" w:rsidP="00AC2770">
      <w:pPr>
        <w:autoSpaceDE w:val="0"/>
        <w:autoSpaceDN w:val="0"/>
        <w:adjustRightInd w:val="0"/>
        <w:spacing w:line="180" w:lineRule="exact"/>
        <w:ind w:left="288" w:right="288"/>
        <w:jc w:val="left"/>
        <w:rPr>
          <w:rFonts w:ascii="Courier New" w:hAnsi="Courier New" w:cs="Courier New"/>
          <w:color w:val="000000" w:themeColor="text1"/>
          <w:sz w:val="18"/>
        </w:rPr>
      </w:pP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t>5293 Intervertebral disc syndrome:</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t>Evaluate intervertebral disc syndrome (preoperatively or</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postoperatively</w:t>
      </w:r>
      <w:proofErr w:type="gramEnd"/>
      <w:r w:rsidRPr="00AC2770">
        <w:rPr>
          <w:rFonts w:ascii="Courier New" w:hAnsi="Courier New" w:cs="Courier New"/>
          <w:color w:val="000000" w:themeColor="text1"/>
          <w:sz w:val="18"/>
        </w:rPr>
        <w:t>) either on the total duration of</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incapacitating</w:t>
      </w:r>
      <w:proofErr w:type="gramEnd"/>
      <w:r w:rsidRPr="00AC2770">
        <w:rPr>
          <w:rFonts w:ascii="Courier New" w:hAnsi="Courier New" w:cs="Courier New"/>
          <w:color w:val="000000" w:themeColor="text1"/>
          <w:sz w:val="18"/>
        </w:rPr>
        <w:t xml:space="preserve"> episodes over the past 12 months or by</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combining</w:t>
      </w:r>
      <w:proofErr w:type="gramEnd"/>
      <w:r w:rsidRPr="00AC2770">
        <w:rPr>
          <w:rFonts w:ascii="Courier New" w:hAnsi="Courier New" w:cs="Courier New"/>
          <w:color w:val="000000" w:themeColor="text1"/>
          <w:sz w:val="18"/>
        </w:rPr>
        <w:t xml:space="preserve"> under Sec. 4.25 separate evaluations of its</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chronic</w:t>
      </w:r>
      <w:proofErr w:type="gramEnd"/>
      <w:r w:rsidRPr="00AC2770">
        <w:rPr>
          <w:rFonts w:ascii="Courier New" w:hAnsi="Courier New" w:cs="Courier New"/>
          <w:color w:val="000000" w:themeColor="text1"/>
          <w:sz w:val="18"/>
        </w:rPr>
        <w:t xml:space="preserve"> orthopedic and neurologic manifestations along with</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evaluations</w:t>
      </w:r>
      <w:proofErr w:type="gramEnd"/>
      <w:r w:rsidRPr="00AC2770">
        <w:rPr>
          <w:rFonts w:ascii="Courier New" w:hAnsi="Courier New" w:cs="Courier New"/>
          <w:color w:val="000000" w:themeColor="text1"/>
          <w:sz w:val="18"/>
        </w:rPr>
        <w:t xml:space="preserve"> for all other disabilities, whichever method</w:t>
      </w:r>
    </w:p>
    <w:p w:rsidR="00406DA1" w:rsidRPr="00AC2770" w:rsidRDefault="00406DA1" w:rsidP="00AC2770">
      <w:pPr>
        <w:autoSpaceDE w:val="0"/>
        <w:autoSpaceDN w:val="0"/>
        <w:adjustRightInd w:val="0"/>
        <w:spacing w:line="180" w:lineRule="exact"/>
        <w:ind w:left="288"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results</w:t>
      </w:r>
      <w:proofErr w:type="gramEnd"/>
      <w:r w:rsidRPr="00AC2770">
        <w:rPr>
          <w:rFonts w:ascii="Courier New" w:hAnsi="Courier New" w:cs="Courier New"/>
          <w:color w:val="000000" w:themeColor="text1"/>
          <w:sz w:val="18"/>
        </w:rPr>
        <w:t xml:space="preserve"> in the higher evaluation.</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lastRenderedPageBreak/>
        <w:t>With incapacitating episodes having a total duration of at 60</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least</w:t>
      </w:r>
      <w:proofErr w:type="gramEnd"/>
      <w:r w:rsidRPr="00AC2770">
        <w:rPr>
          <w:rFonts w:ascii="Courier New" w:hAnsi="Courier New" w:cs="Courier New"/>
          <w:color w:val="000000" w:themeColor="text1"/>
          <w:sz w:val="18"/>
        </w:rPr>
        <w:t xml:space="preserve"> </w:t>
      </w:r>
      <w:r w:rsidR="00FB5B1B">
        <w:rPr>
          <w:rFonts w:ascii="Courier New" w:hAnsi="Courier New" w:cs="Courier New"/>
          <w:color w:val="000000" w:themeColor="text1"/>
          <w:sz w:val="18"/>
        </w:rPr>
        <w:t xml:space="preserve">6 </w:t>
      </w:r>
      <w:r w:rsidRPr="00AC2770">
        <w:rPr>
          <w:rFonts w:ascii="Courier New" w:hAnsi="Courier New" w:cs="Courier New"/>
          <w:color w:val="000000" w:themeColor="text1"/>
          <w:sz w:val="18"/>
        </w:rPr>
        <w:t>weeks during the past 12 months....................</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t>With incapacitating episodes having a total duration of at 40</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least</w:t>
      </w:r>
      <w:proofErr w:type="gramEnd"/>
      <w:r w:rsidRPr="00AC2770">
        <w:rPr>
          <w:rFonts w:ascii="Courier New" w:hAnsi="Courier New" w:cs="Courier New"/>
          <w:color w:val="000000" w:themeColor="text1"/>
          <w:sz w:val="18"/>
        </w:rPr>
        <w:t xml:space="preserve"> four weeks but less than </w:t>
      </w:r>
      <w:r w:rsidR="00FB5B1B">
        <w:rPr>
          <w:rFonts w:ascii="Courier New" w:hAnsi="Courier New" w:cs="Courier New"/>
          <w:color w:val="000000" w:themeColor="text1"/>
          <w:sz w:val="18"/>
        </w:rPr>
        <w:t>6</w:t>
      </w:r>
      <w:r w:rsidRPr="00AC2770">
        <w:rPr>
          <w:rFonts w:ascii="Courier New" w:hAnsi="Courier New" w:cs="Courier New"/>
          <w:color w:val="000000" w:themeColor="text1"/>
          <w:sz w:val="18"/>
        </w:rPr>
        <w:t xml:space="preserve"> weeks during the past 12</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months</w:t>
      </w:r>
      <w:proofErr w:type="gramEnd"/>
      <w:r w:rsidRPr="00AC2770">
        <w:rPr>
          <w:rFonts w:ascii="Courier New" w:hAnsi="Courier New" w:cs="Courier New"/>
          <w:color w:val="000000" w:themeColor="text1"/>
          <w:sz w:val="18"/>
        </w:rPr>
        <w:t>.......................................................</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t>With incapacitating episodes having a total duration of at 20</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least</w:t>
      </w:r>
      <w:proofErr w:type="gramEnd"/>
      <w:r w:rsidRPr="00AC2770">
        <w:rPr>
          <w:rFonts w:ascii="Courier New" w:hAnsi="Courier New" w:cs="Courier New"/>
          <w:color w:val="000000" w:themeColor="text1"/>
          <w:sz w:val="18"/>
        </w:rPr>
        <w:t xml:space="preserve"> </w:t>
      </w:r>
      <w:r w:rsidR="00FB5B1B">
        <w:rPr>
          <w:rFonts w:ascii="Courier New" w:hAnsi="Courier New" w:cs="Courier New"/>
          <w:color w:val="000000" w:themeColor="text1"/>
          <w:sz w:val="18"/>
        </w:rPr>
        <w:t>2</w:t>
      </w:r>
      <w:r w:rsidRPr="00AC2770">
        <w:rPr>
          <w:rFonts w:ascii="Courier New" w:hAnsi="Courier New" w:cs="Courier New"/>
          <w:color w:val="000000" w:themeColor="text1"/>
          <w:sz w:val="18"/>
        </w:rPr>
        <w:t xml:space="preserve"> weeks but less than </w:t>
      </w:r>
      <w:r w:rsidR="00FB5B1B">
        <w:rPr>
          <w:rFonts w:ascii="Courier New" w:hAnsi="Courier New" w:cs="Courier New"/>
          <w:color w:val="000000" w:themeColor="text1"/>
          <w:sz w:val="18"/>
        </w:rPr>
        <w:t>4</w:t>
      </w:r>
      <w:r w:rsidRPr="00AC2770">
        <w:rPr>
          <w:rFonts w:ascii="Courier New" w:hAnsi="Courier New" w:cs="Courier New"/>
          <w:color w:val="000000" w:themeColor="text1"/>
          <w:sz w:val="18"/>
        </w:rPr>
        <w:t xml:space="preserve"> weeks during the past 12</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months</w:t>
      </w:r>
      <w:proofErr w:type="gramEnd"/>
      <w:r w:rsidRPr="00AC2770">
        <w:rPr>
          <w:rFonts w:ascii="Courier New" w:hAnsi="Courier New" w:cs="Courier New"/>
          <w:color w:val="000000" w:themeColor="text1"/>
          <w:sz w:val="18"/>
        </w:rPr>
        <w:t>.......................................................</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t>With incapacitating episodes having a total duration of at 10</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least</w:t>
      </w:r>
      <w:proofErr w:type="gramEnd"/>
      <w:r w:rsidRPr="00AC2770">
        <w:rPr>
          <w:rFonts w:ascii="Courier New" w:hAnsi="Courier New" w:cs="Courier New"/>
          <w:color w:val="000000" w:themeColor="text1"/>
          <w:sz w:val="18"/>
        </w:rPr>
        <w:t xml:space="preserve"> </w:t>
      </w:r>
      <w:r w:rsidR="00FB5B1B">
        <w:rPr>
          <w:rFonts w:ascii="Courier New" w:hAnsi="Courier New" w:cs="Courier New"/>
          <w:color w:val="000000" w:themeColor="text1"/>
          <w:sz w:val="18"/>
        </w:rPr>
        <w:t>a</w:t>
      </w:r>
      <w:r w:rsidRPr="00AC2770">
        <w:rPr>
          <w:rFonts w:ascii="Courier New" w:hAnsi="Courier New" w:cs="Courier New"/>
          <w:color w:val="000000" w:themeColor="text1"/>
          <w:sz w:val="18"/>
        </w:rPr>
        <w:t xml:space="preserve"> week but less than </w:t>
      </w:r>
      <w:r w:rsidR="00FB5B1B">
        <w:rPr>
          <w:rFonts w:ascii="Courier New" w:hAnsi="Courier New" w:cs="Courier New"/>
          <w:color w:val="000000" w:themeColor="text1"/>
          <w:sz w:val="18"/>
        </w:rPr>
        <w:t>2</w:t>
      </w:r>
      <w:r w:rsidRPr="00AC2770">
        <w:rPr>
          <w:rFonts w:ascii="Courier New" w:hAnsi="Courier New" w:cs="Courier New"/>
          <w:color w:val="000000" w:themeColor="text1"/>
          <w:sz w:val="18"/>
        </w:rPr>
        <w:t xml:space="preserve"> weeks during the past 12</w:t>
      </w:r>
    </w:p>
    <w:p w:rsidR="00406DA1" w:rsidRPr="00AC2770" w:rsidRDefault="00406DA1" w:rsidP="00AC2770">
      <w:pPr>
        <w:autoSpaceDE w:val="0"/>
        <w:autoSpaceDN w:val="0"/>
        <w:adjustRightInd w:val="0"/>
        <w:spacing w:line="180" w:lineRule="exact"/>
        <w:ind w:left="72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months</w:t>
      </w:r>
      <w:proofErr w:type="gramEnd"/>
      <w:r w:rsidRPr="00AC2770">
        <w:rPr>
          <w:rFonts w:ascii="Courier New" w:hAnsi="Courier New" w:cs="Courier New"/>
          <w:color w:val="000000" w:themeColor="text1"/>
          <w:sz w:val="18"/>
        </w:rPr>
        <w:t>.......................................................</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r w:rsidRPr="00AC2770">
        <w:rPr>
          <w:rFonts w:ascii="Courier New" w:hAnsi="Courier New" w:cs="Courier New"/>
          <w:color w:val="000000" w:themeColor="text1"/>
          <w:sz w:val="18"/>
        </w:rPr>
        <w:t xml:space="preserve">Note (1): For </w:t>
      </w:r>
      <w:r w:rsidRPr="00370DCA">
        <w:rPr>
          <w:rFonts w:ascii="Courier New" w:hAnsi="Courier New" w:cs="Courier New"/>
          <w:color w:val="000000" w:themeColor="text1"/>
          <w:sz w:val="18"/>
        </w:rPr>
        <w:t>purposes of evaluations under 5293, an</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incapacitating</w:t>
      </w:r>
      <w:proofErr w:type="gramEnd"/>
      <w:r w:rsidRPr="00370DCA">
        <w:rPr>
          <w:rFonts w:ascii="Courier New" w:hAnsi="Courier New" w:cs="Courier New"/>
          <w:color w:val="000000" w:themeColor="text1"/>
          <w:sz w:val="18"/>
        </w:rPr>
        <w:t xml:space="preserve"> episode is a period of acute signs and</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symptoms</w:t>
      </w:r>
      <w:proofErr w:type="gramEnd"/>
      <w:r w:rsidRPr="00370DCA">
        <w:rPr>
          <w:rFonts w:ascii="Courier New" w:hAnsi="Courier New" w:cs="Courier New"/>
          <w:color w:val="000000" w:themeColor="text1"/>
          <w:sz w:val="18"/>
        </w:rPr>
        <w:t xml:space="preserve"> due to intervertebral disc syndrome that requires</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bed</w:t>
      </w:r>
      <w:proofErr w:type="gramEnd"/>
      <w:r w:rsidRPr="00370DCA">
        <w:rPr>
          <w:rFonts w:ascii="Courier New" w:hAnsi="Courier New" w:cs="Courier New"/>
          <w:color w:val="000000" w:themeColor="text1"/>
          <w:sz w:val="18"/>
        </w:rPr>
        <w:t xml:space="preserve"> rest prescribed by a physician and treatment by a</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physician</w:t>
      </w:r>
      <w:proofErr w:type="gramEnd"/>
      <w:r w:rsidRPr="00370DCA">
        <w:rPr>
          <w:rFonts w:ascii="Courier New" w:hAnsi="Courier New" w:cs="Courier New"/>
          <w:color w:val="000000" w:themeColor="text1"/>
          <w:sz w:val="18"/>
        </w:rPr>
        <w:t>. ``Chronic orthopedic and neurologic</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manifestations</w:t>
      </w:r>
      <w:proofErr w:type="gramEnd"/>
      <w:r w:rsidRPr="00370DCA">
        <w:rPr>
          <w:rFonts w:ascii="Courier New" w:hAnsi="Courier New" w:cs="Courier New"/>
          <w:color w:val="000000" w:themeColor="text1"/>
          <w:sz w:val="18"/>
        </w:rPr>
        <w:t>'' means orthopedic and neurologic signs and</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symptoms</w:t>
      </w:r>
      <w:proofErr w:type="gramEnd"/>
      <w:r w:rsidRPr="00370DCA">
        <w:rPr>
          <w:rFonts w:ascii="Courier New" w:hAnsi="Courier New" w:cs="Courier New"/>
          <w:color w:val="000000" w:themeColor="text1"/>
          <w:sz w:val="18"/>
        </w:rPr>
        <w:t xml:space="preserve"> resulting from intervertebral disc syndrome that are</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present</w:t>
      </w:r>
      <w:proofErr w:type="gramEnd"/>
      <w:r w:rsidRPr="00370DCA">
        <w:rPr>
          <w:rFonts w:ascii="Courier New" w:hAnsi="Courier New" w:cs="Courier New"/>
          <w:color w:val="000000" w:themeColor="text1"/>
          <w:sz w:val="18"/>
        </w:rPr>
        <w:t xml:space="preserve"> constantly, or nearly so..</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r w:rsidRPr="00370DCA">
        <w:rPr>
          <w:rFonts w:ascii="Courier New" w:hAnsi="Courier New" w:cs="Courier New"/>
          <w:color w:val="000000" w:themeColor="text1"/>
          <w:sz w:val="18"/>
        </w:rPr>
        <w:t>Note (2): When evaluating on the basis of chronic</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manifestations</w:t>
      </w:r>
      <w:proofErr w:type="gramEnd"/>
      <w:r w:rsidRPr="00370DCA">
        <w:rPr>
          <w:rFonts w:ascii="Courier New" w:hAnsi="Courier New" w:cs="Courier New"/>
          <w:color w:val="000000" w:themeColor="text1"/>
          <w:sz w:val="18"/>
        </w:rPr>
        <w:t>, evaluate orthopedic disabilities using</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evaluation</w:t>
      </w:r>
      <w:proofErr w:type="gramEnd"/>
      <w:r w:rsidRPr="00370DCA">
        <w:rPr>
          <w:rFonts w:ascii="Courier New" w:hAnsi="Courier New" w:cs="Courier New"/>
          <w:color w:val="000000" w:themeColor="text1"/>
          <w:sz w:val="18"/>
        </w:rPr>
        <w:t xml:space="preserve"> criteria for the most appropriate orthopedic</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diagnostic</w:t>
      </w:r>
      <w:proofErr w:type="gramEnd"/>
      <w:r w:rsidRPr="00370DCA">
        <w:rPr>
          <w:rFonts w:ascii="Courier New" w:hAnsi="Courier New" w:cs="Courier New"/>
          <w:color w:val="000000" w:themeColor="text1"/>
          <w:sz w:val="18"/>
        </w:rPr>
        <w:t xml:space="preserve"> code or codes. Evaluate neurologic disabilities</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separately</w:t>
      </w:r>
      <w:proofErr w:type="gramEnd"/>
      <w:r w:rsidRPr="00370DCA">
        <w:rPr>
          <w:rFonts w:ascii="Courier New" w:hAnsi="Courier New" w:cs="Courier New"/>
          <w:color w:val="000000" w:themeColor="text1"/>
          <w:sz w:val="18"/>
        </w:rPr>
        <w:t xml:space="preserve"> using evaluation criteria for the most appropriate</w:t>
      </w:r>
    </w:p>
    <w:p w:rsidR="00406DA1" w:rsidRPr="00370DCA"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370DCA">
        <w:rPr>
          <w:rFonts w:ascii="Courier New" w:hAnsi="Courier New" w:cs="Courier New"/>
          <w:color w:val="000000" w:themeColor="text1"/>
          <w:sz w:val="18"/>
        </w:rPr>
        <w:t>neurologic</w:t>
      </w:r>
      <w:proofErr w:type="gramEnd"/>
      <w:r w:rsidRPr="00370DCA">
        <w:rPr>
          <w:rFonts w:ascii="Courier New" w:hAnsi="Courier New" w:cs="Courier New"/>
          <w:color w:val="000000" w:themeColor="text1"/>
          <w:sz w:val="18"/>
        </w:rPr>
        <w:t xml:space="preserve"> diagnostic code or codes..</w:t>
      </w:r>
    </w:p>
    <w:p w:rsidR="00406DA1" w:rsidRPr="00AC2770"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r w:rsidRPr="00370DCA">
        <w:rPr>
          <w:rFonts w:ascii="Courier New" w:hAnsi="Courier New" w:cs="Courier New"/>
          <w:color w:val="000000" w:themeColor="text1"/>
          <w:sz w:val="18"/>
        </w:rPr>
        <w:t>Note (3): If intervertebral disc syndrome</w:t>
      </w:r>
      <w:r w:rsidRPr="00AC2770">
        <w:rPr>
          <w:rFonts w:ascii="Courier New" w:hAnsi="Courier New" w:cs="Courier New"/>
          <w:color w:val="000000" w:themeColor="text1"/>
          <w:sz w:val="18"/>
        </w:rPr>
        <w:t xml:space="preserve"> is present in more</w:t>
      </w:r>
    </w:p>
    <w:p w:rsidR="00406DA1" w:rsidRPr="00AC2770"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than</w:t>
      </w:r>
      <w:proofErr w:type="gramEnd"/>
      <w:r w:rsidRPr="00AC2770">
        <w:rPr>
          <w:rFonts w:ascii="Courier New" w:hAnsi="Courier New" w:cs="Courier New"/>
          <w:color w:val="000000" w:themeColor="text1"/>
          <w:sz w:val="18"/>
        </w:rPr>
        <w:t xml:space="preserve"> one spinal segment, provided that the effects in each</w:t>
      </w:r>
    </w:p>
    <w:p w:rsidR="00406DA1" w:rsidRPr="00AC2770"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spinal</w:t>
      </w:r>
      <w:proofErr w:type="gramEnd"/>
      <w:r w:rsidRPr="00AC2770">
        <w:rPr>
          <w:rFonts w:ascii="Courier New" w:hAnsi="Courier New" w:cs="Courier New"/>
          <w:color w:val="000000" w:themeColor="text1"/>
          <w:sz w:val="18"/>
        </w:rPr>
        <w:t xml:space="preserve"> segment are clearly distinct, evaluate each segment on</w:t>
      </w:r>
    </w:p>
    <w:p w:rsidR="00406DA1" w:rsidRPr="00AC2770"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the</w:t>
      </w:r>
      <w:proofErr w:type="gramEnd"/>
      <w:r w:rsidRPr="00AC2770">
        <w:rPr>
          <w:rFonts w:ascii="Courier New" w:hAnsi="Courier New" w:cs="Courier New"/>
          <w:color w:val="000000" w:themeColor="text1"/>
          <w:sz w:val="18"/>
        </w:rPr>
        <w:t xml:space="preserve"> basis of chronic orthopedic and neurologic manifestations</w:t>
      </w:r>
    </w:p>
    <w:p w:rsidR="00406DA1" w:rsidRPr="00AC2770"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or</w:t>
      </w:r>
      <w:proofErr w:type="gramEnd"/>
      <w:r w:rsidRPr="00AC2770">
        <w:rPr>
          <w:rFonts w:ascii="Courier New" w:hAnsi="Courier New" w:cs="Courier New"/>
          <w:color w:val="000000" w:themeColor="text1"/>
          <w:sz w:val="18"/>
        </w:rPr>
        <w:t xml:space="preserve"> incapacitating episodes, whichever method results in a</w:t>
      </w:r>
    </w:p>
    <w:p w:rsidR="00406DA1" w:rsidRPr="00AC2770" w:rsidRDefault="00406DA1" w:rsidP="00AC2770">
      <w:pPr>
        <w:autoSpaceDE w:val="0"/>
        <w:autoSpaceDN w:val="0"/>
        <w:adjustRightInd w:val="0"/>
        <w:spacing w:line="180" w:lineRule="exact"/>
        <w:ind w:left="1440" w:right="288"/>
        <w:jc w:val="left"/>
        <w:rPr>
          <w:rFonts w:ascii="Courier New" w:hAnsi="Courier New" w:cs="Courier New"/>
          <w:color w:val="000000" w:themeColor="text1"/>
          <w:sz w:val="18"/>
        </w:rPr>
      </w:pPr>
      <w:proofErr w:type="gramStart"/>
      <w:r w:rsidRPr="00AC2770">
        <w:rPr>
          <w:rFonts w:ascii="Courier New" w:hAnsi="Courier New" w:cs="Courier New"/>
          <w:color w:val="000000" w:themeColor="text1"/>
          <w:sz w:val="18"/>
        </w:rPr>
        <w:t>higher</w:t>
      </w:r>
      <w:proofErr w:type="gramEnd"/>
      <w:r w:rsidRPr="00AC2770">
        <w:rPr>
          <w:rFonts w:ascii="Courier New" w:hAnsi="Courier New" w:cs="Courier New"/>
          <w:color w:val="000000" w:themeColor="text1"/>
          <w:sz w:val="18"/>
        </w:rPr>
        <w:t xml:space="preserve"> evaluation for that segment..</w:t>
      </w:r>
    </w:p>
    <w:p w:rsidR="00406DA1" w:rsidRDefault="00406DA1" w:rsidP="00BF0E94">
      <w:pPr>
        <w:jc w:val="left"/>
        <w:rPr>
          <w:color w:val="000000" w:themeColor="text1"/>
          <w:szCs w:val="24"/>
        </w:rPr>
      </w:pPr>
    </w:p>
    <w:p w:rsidR="000074EF" w:rsidRDefault="003A1211" w:rsidP="00860129">
      <w:pPr>
        <w:jc w:val="both"/>
        <w:rPr>
          <w:color w:val="auto"/>
          <w:szCs w:val="24"/>
        </w:rPr>
      </w:pPr>
      <w:proofErr w:type="gramStart"/>
      <w:r w:rsidRPr="003A1211">
        <w:rPr>
          <w:color w:val="000000" w:themeColor="text1"/>
          <w:szCs w:val="24"/>
          <w:u w:val="single"/>
        </w:rPr>
        <w:t xml:space="preserve">Chronic Neck Pain and </w:t>
      </w:r>
      <w:r>
        <w:rPr>
          <w:color w:val="000000" w:themeColor="text1"/>
          <w:szCs w:val="24"/>
          <w:u w:val="single"/>
        </w:rPr>
        <w:t>A</w:t>
      </w:r>
      <w:r w:rsidRPr="003A1211">
        <w:rPr>
          <w:color w:val="000000" w:themeColor="text1"/>
          <w:szCs w:val="24"/>
          <w:u w:val="single"/>
        </w:rPr>
        <w:t xml:space="preserve">ssociated </w:t>
      </w:r>
      <w:r w:rsidR="006D0BBB" w:rsidRPr="003A1211">
        <w:rPr>
          <w:color w:val="000000" w:themeColor="text1"/>
          <w:szCs w:val="24"/>
          <w:u w:val="single"/>
        </w:rPr>
        <w:t>Headaches Due</w:t>
      </w:r>
      <w:r w:rsidRPr="003A1211">
        <w:rPr>
          <w:color w:val="000000" w:themeColor="text1"/>
          <w:szCs w:val="24"/>
          <w:u w:val="single"/>
        </w:rPr>
        <w:t xml:space="preserve"> to Spondylosis</w:t>
      </w:r>
      <w:r>
        <w:rPr>
          <w:color w:val="000000" w:themeColor="text1"/>
          <w:szCs w:val="24"/>
          <w:u w:val="single"/>
        </w:rPr>
        <w:t xml:space="preserve"> </w:t>
      </w:r>
      <w:r w:rsidR="003F2EEE" w:rsidRPr="009E057C">
        <w:rPr>
          <w:color w:val="000000" w:themeColor="text1"/>
          <w:szCs w:val="24"/>
          <w:u w:val="single"/>
        </w:rPr>
        <w:t>Condition</w:t>
      </w:r>
      <w:r w:rsidR="003F2EEE" w:rsidRPr="009E057C">
        <w:rPr>
          <w:color w:val="000000" w:themeColor="text1"/>
          <w:szCs w:val="24"/>
        </w:rPr>
        <w:t>.</w:t>
      </w:r>
      <w:proofErr w:type="gramEnd"/>
      <w:r w:rsidR="003F2EEE" w:rsidRPr="009E057C">
        <w:rPr>
          <w:color w:val="000000" w:themeColor="text1"/>
          <w:szCs w:val="24"/>
        </w:rPr>
        <w:t xml:space="preserve">  </w:t>
      </w:r>
      <w:r w:rsidR="004B34D2" w:rsidRPr="00B81CE4">
        <w:rPr>
          <w:color w:val="000000" w:themeColor="text1"/>
          <w:szCs w:val="24"/>
        </w:rPr>
        <w:t xml:space="preserve">The PEB rated </w:t>
      </w:r>
      <w:r w:rsidR="00FB5B1B">
        <w:rPr>
          <w:color w:val="000000" w:themeColor="text1"/>
          <w:szCs w:val="24"/>
        </w:rPr>
        <w:t>c</w:t>
      </w:r>
      <w:r w:rsidR="004B34D2" w:rsidRPr="00B81CE4">
        <w:rPr>
          <w:color w:val="000000" w:themeColor="text1"/>
          <w:szCs w:val="24"/>
        </w:rPr>
        <w:t xml:space="preserve">hronic </w:t>
      </w:r>
      <w:r w:rsidR="00FB5B1B">
        <w:rPr>
          <w:color w:val="000000" w:themeColor="text1"/>
          <w:szCs w:val="24"/>
        </w:rPr>
        <w:t>neck p</w:t>
      </w:r>
      <w:r w:rsidR="004B34D2" w:rsidRPr="00B81CE4">
        <w:rPr>
          <w:color w:val="000000" w:themeColor="text1"/>
          <w:szCs w:val="24"/>
        </w:rPr>
        <w:t>ain/</w:t>
      </w:r>
      <w:r w:rsidR="00FB5B1B">
        <w:rPr>
          <w:color w:val="000000" w:themeColor="text1"/>
          <w:szCs w:val="24"/>
        </w:rPr>
        <w:t>h</w:t>
      </w:r>
      <w:r w:rsidR="004B34D2" w:rsidRPr="00B81CE4">
        <w:rPr>
          <w:color w:val="000000" w:themeColor="text1"/>
          <w:szCs w:val="24"/>
        </w:rPr>
        <w:t>eadaches under the single analogous 5003 (degenerative arthritis) code.  This coding approach was countenanced by the USAPDA pain policy</w:t>
      </w:r>
      <w:r w:rsidR="00B81CE4">
        <w:rPr>
          <w:color w:val="000000" w:themeColor="text1"/>
          <w:szCs w:val="24"/>
        </w:rPr>
        <w:t xml:space="preserve"> and AR 635-40;</w:t>
      </w:r>
      <w:r w:rsidR="004B34D2" w:rsidRPr="00B81CE4">
        <w:rPr>
          <w:color w:val="000000" w:themeColor="text1"/>
          <w:szCs w:val="24"/>
        </w:rPr>
        <w:t xml:space="preserve"> </w:t>
      </w:r>
      <w:r w:rsidR="00B81CE4">
        <w:rPr>
          <w:color w:val="000000" w:themeColor="text1"/>
          <w:szCs w:val="24"/>
        </w:rPr>
        <w:t xml:space="preserve">however, </w:t>
      </w:r>
      <w:r w:rsidR="004B34D2" w:rsidRPr="00B81CE4">
        <w:rPr>
          <w:color w:val="000000" w:themeColor="text1"/>
          <w:szCs w:val="24"/>
        </w:rPr>
        <w:t xml:space="preserve">IAW DoDI 6040.44 the Board must apply only VASRD guidance to its recommendation.  The Board must therefore apply separate codes and ratings in its recommendations if compensable ratings for each condition are achieved IAW VASRD §4.71a. </w:t>
      </w:r>
      <w:proofErr w:type="gramStart"/>
      <w:r w:rsidR="004B34D2" w:rsidRPr="00B81CE4">
        <w:rPr>
          <w:color w:val="000000" w:themeColor="text1"/>
          <w:szCs w:val="24"/>
        </w:rPr>
        <w:t>and</w:t>
      </w:r>
      <w:proofErr w:type="gramEnd"/>
      <w:r w:rsidR="004B34D2" w:rsidRPr="00B81CE4">
        <w:rPr>
          <w:color w:val="000000" w:themeColor="text1"/>
          <w:szCs w:val="24"/>
        </w:rPr>
        <w:t xml:space="preserve"> §4.124a.  If the Board judges that two or more separate ratings are warranted in </w:t>
      </w:r>
      <w:r w:rsidR="004B34D2" w:rsidRPr="00E104C2">
        <w:rPr>
          <w:color w:val="000000" w:themeColor="text1"/>
          <w:szCs w:val="24"/>
        </w:rPr>
        <w:t xml:space="preserve">such cases, however, it must satisfy the requirement that each “unbundled” condition was unfitting in and of itself.  </w:t>
      </w:r>
      <w:r w:rsidR="000074EF" w:rsidRPr="00E104C2">
        <w:rPr>
          <w:color w:val="000000" w:themeColor="text1"/>
          <w:szCs w:val="24"/>
        </w:rPr>
        <w:t xml:space="preserve">Not uncommonly this approach by the PEB reflects its judgment that the constellation of conditions was unfitting; and, that there was no need for separate fitness adjudications, not a judgment that each condition was independently unfitting.  Thus the Board must exercise the prerogative of separate fitness recommendations in this circumstance, with the caveat that its recommendations may not produce a lower combined rating than that of the PEB.  </w:t>
      </w:r>
      <w:r w:rsidR="00BF7569" w:rsidRPr="00E104C2">
        <w:rPr>
          <w:color w:val="auto"/>
          <w:szCs w:val="24"/>
        </w:rPr>
        <w:t>Since the VA provided separate ratings for each condition in this case, the Board will evaluate separate fitness evaluations and separate ratings as follows; a cervical spine condition and</w:t>
      </w:r>
      <w:r w:rsidR="00BF7569" w:rsidRPr="00370DCA">
        <w:rPr>
          <w:color w:val="auto"/>
          <w:szCs w:val="24"/>
        </w:rPr>
        <w:t xml:space="preserve"> a headache condition.  </w:t>
      </w:r>
    </w:p>
    <w:p w:rsidR="000074EF" w:rsidRDefault="000074EF" w:rsidP="00860129">
      <w:pPr>
        <w:jc w:val="both"/>
        <w:rPr>
          <w:color w:val="auto"/>
          <w:szCs w:val="24"/>
        </w:rPr>
      </w:pPr>
    </w:p>
    <w:p w:rsidR="006C53DC" w:rsidRPr="00AC2770" w:rsidRDefault="00243158" w:rsidP="00436C0F">
      <w:pPr>
        <w:jc w:val="both"/>
        <w:rPr>
          <w:color w:val="auto"/>
          <w:szCs w:val="24"/>
        </w:rPr>
      </w:pPr>
      <w:r w:rsidRPr="00243158">
        <w:rPr>
          <w:color w:val="000000" w:themeColor="text1"/>
          <w:szCs w:val="24"/>
          <w:u w:val="single"/>
        </w:rPr>
        <w:t>Neck Condition</w:t>
      </w:r>
      <w:r>
        <w:rPr>
          <w:color w:val="000000" w:themeColor="text1"/>
          <w:szCs w:val="24"/>
        </w:rPr>
        <w:t xml:space="preserve">:  </w:t>
      </w:r>
      <w:r w:rsidR="00BF7569">
        <w:rPr>
          <w:color w:val="000000" w:themeColor="text1"/>
          <w:szCs w:val="24"/>
        </w:rPr>
        <w:t xml:space="preserve">There was clear and convincing evidence from the initial MEB, </w:t>
      </w:r>
      <w:r w:rsidR="00FB5B1B">
        <w:rPr>
          <w:color w:val="000000" w:themeColor="text1"/>
          <w:szCs w:val="24"/>
        </w:rPr>
        <w:t>c</w:t>
      </w:r>
      <w:r w:rsidR="00BF7569">
        <w:rPr>
          <w:color w:val="000000" w:themeColor="text1"/>
          <w:szCs w:val="24"/>
        </w:rPr>
        <w:t>ommander</w:t>
      </w:r>
      <w:r w:rsidR="00FB5B1B">
        <w:rPr>
          <w:color w:val="000000" w:themeColor="text1"/>
          <w:szCs w:val="24"/>
        </w:rPr>
        <w:t>’</w:t>
      </w:r>
      <w:r w:rsidR="00BF7569">
        <w:rPr>
          <w:color w:val="000000" w:themeColor="text1"/>
          <w:szCs w:val="24"/>
        </w:rPr>
        <w:t xml:space="preserve">s statement, and PEB disability description that neck pain was the principle duty-limiting condition.  </w:t>
      </w:r>
      <w:r w:rsidR="006C53DC" w:rsidRPr="006C53DC">
        <w:rPr>
          <w:color w:val="000000" w:themeColor="text1"/>
          <w:szCs w:val="24"/>
        </w:rPr>
        <w:t>There w</w:t>
      </w:r>
      <w:r w:rsidR="00406DA1">
        <w:rPr>
          <w:color w:val="000000" w:themeColor="text1"/>
          <w:szCs w:val="24"/>
        </w:rPr>
        <w:t>ere t</w:t>
      </w:r>
      <w:r w:rsidR="00D6627C">
        <w:rPr>
          <w:color w:val="000000" w:themeColor="text1"/>
          <w:szCs w:val="24"/>
        </w:rPr>
        <w:t>wo</w:t>
      </w:r>
      <w:r w:rsidR="00406DA1">
        <w:rPr>
          <w:color w:val="000000" w:themeColor="text1"/>
          <w:szCs w:val="24"/>
        </w:rPr>
        <w:t xml:space="preserve"> cervical spine exams, including </w:t>
      </w:r>
      <w:r w:rsidR="006C53DC" w:rsidRPr="006C53DC">
        <w:rPr>
          <w:color w:val="000000" w:themeColor="text1"/>
          <w:szCs w:val="24"/>
        </w:rPr>
        <w:t xml:space="preserve">one goniometric </w:t>
      </w:r>
      <w:r w:rsidR="00FB5B1B">
        <w:rPr>
          <w:color w:val="000000" w:themeColor="text1"/>
          <w:szCs w:val="24"/>
        </w:rPr>
        <w:t>ROM</w:t>
      </w:r>
      <w:r w:rsidR="006C53DC" w:rsidRPr="006C53DC">
        <w:rPr>
          <w:color w:val="000000" w:themeColor="text1"/>
          <w:szCs w:val="24"/>
        </w:rPr>
        <w:t xml:space="preserve"> evaluation in evidence, with documentation of additional ratable criteria, which the Board weighed in arriving at its rating recommendation</w:t>
      </w:r>
      <w:r w:rsidR="00CC6653" w:rsidRPr="00F64312">
        <w:rPr>
          <w:color w:val="auto"/>
          <w:szCs w:val="24"/>
        </w:rPr>
        <w:t xml:space="preserve">; as summarized in the chart </w:t>
      </w:r>
      <w:r w:rsidR="00CC6653" w:rsidRPr="00AC2770">
        <w:rPr>
          <w:color w:val="auto"/>
          <w:szCs w:val="24"/>
        </w:rPr>
        <w:t xml:space="preserve">below.  </w:t>
      </w:r>
    </w:p>
    <w:p w:rsidR="00370DCA" w:rsidRDefault="00370DCA">
      <w:pPr>
        <w:rPr>
          <w:color w:val="000000" w:themeColor="text1"/>
          <w:szCs w:val="24"/>
        </w:rPr>
      </w:pPr>
      <w:r>
        <w:rPr>
          <w:color w:val="000000" w:themeColor="text1"/>
          <w:szCs w:val="24"/>
        </w:rPr>
        <w:br w:type="page"/>
      </w:r>
    </w:p>
    <w:p w:rsidR="006C53DC" w:rsidRPr="00370DCA" w:rsidRDefault="006C53DC" w:rsidP="00406DA1">
      <w:pPr>
        <w:jc w:val="both"/>
        <w:rPr>
          <w:color w:val="auto"/>
          <w:szCs w:val="24"/>
        </w:rPr>
      </w:pPr>
    </w:p>
    <w:tbl>
      <w:tblPr>
        <w:tblW w:w="0" w:type="auto"/>
        <w:jc w:val="center"/>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880"/>
        <w:gridCol w:w="2980"/>
        <w:gridCol w:w="2710"/>
      </w:tblGrid>
      <w:tr w:rsidR="000F4C21" w:rsidRPr="00370DCA" w:rsidTr="00370DCA">
        <w:trPr>
          <w:jc w:val="center"/>
        </w:trPr>
        <w:tc>
          <w:tcPr>
            <w:tcW w:w="16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F4C21" w:rsidRPr="00370DCA" w:rsidRDefault="000F4C21" w:rsidP="00370DCA">
            <w:pPr>
              <w:spacing w:line="180" w:lineRule="exact"/>
              <w:contextualSpacing/>
              <w:rPr>
                <w:rFonts w:eastAsia="Calibri" w:cs="Calibri"/>
                <w:b/>
                <w:color w:val="auto"/>
                <w:sz w:val="18"/>
                <w:szCs w:val="18"/>
              </w:rPr>
            </w:pPr>
            <w:r w:rsidRPr="00370DCA">
              <w:rPr>
                <w:rFonts w:eastAsia="Calibri" w:cs="Calibri"/>
                <w:color w:val="auto"/>
                <w:sz w:val="18"/>
                <w:szCs w:val="18"/>
              </w:rPr>
              <w:t>Cervical ROM</w:t>
            </w:r>
          </w:p>
        </w:tc>
        <w:tc>
          <w:tcPr>
            <w:tcW w:w="18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MEB ~13 Mo. Pre-Sep</w:t>
            </w:r>
          </w:p>
        </w:tc>
        <w:tc>
          <w:tcPr>
            <w:tcW w:w="29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MEB ~</w:t>
            </w:r>
            <w:r w:rsidR="00D6627C" w:rsidRPr="00370DCA">
              <w:rPr>
                <w:rFonts w:eastAsia="Calibri" w:cs="Calibri"/>
                <w:color w:val="auto"/>
                <w:sz w:val="18"/>
                <w:szCs w:val="18"/>
              </w:rPr>
              <w:t>6</w:t>
            </w:r>
            <w:r w:rsidRPr="00370DCA">
              <w:rPr>
                <w:rFonts w:eastAsia="Calibri" w:cs="Calibri"/>
                <w:color w:val="auto"/>
                <w:sz w:val="18"/>
                <w:szCs w:val="18"/>
              </w:rPr>
              <w:t xml:space="preserve"> Mo. Pre-Sep</w:t>
            </w:r>
          </w:p>
        </w:tc>
        <w:tc>
          <w:tcPr>
            <w:tcW w:w="27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VA</w:t>
            </w:r>
            <w:r w:rsidRPr="00370DCA">
              <w:rPr>
                <w:rFonts w:eastAsia="Cambria" w:cs="Calibri"/>
                <w:color w:val="auto"/>
                <w:sz w:val="18"/>
                <w:szCs w:val="18"/>
              </w:rPr>
              <w:t xml:space="preserve"> C&amp;P </w:t>
            </w:r>
            <w:r w:rsidRPr="00370DCA">
              <w:rPr>
                <w:rFonts w:eastAsia="Calibri" w:cs="Calibri"/>
                <w:color w:val="auto"/>
                <w:sz w:val="18"/>
                <w:szCs w:val="18"/>
              </w:rPr>
              <w:t>~1 Mo. Pre-Sep</w:t>
            </w:r>
          </w:p>
        </w:tc>
      </w:tr>
      <w:tr w:rsidR="000F4C21" w:rsidRPr="00370DCA" w:rsidTr="00370DCA">
        <w:trPr>
          <w:jc w:val="center"/>
        </w:trPr>
        <w:tc>
          <w:tcPr>
            <w:tcW w:w="1630" w:type="dxa"/>
            <w:tcBorders>
              <w:top w:val="single" w:sz="4" w:space="0" w:color="000000"/>
              <w:left w:val="single" w:sz="4" w:space="0" w:color="000000"/>
              <w:bottom w:val="single" w:sz="4" w:space="0" w:color="000000"/>
              <w:right w:val="single" w:sz="4" w:space="0" w:color="000000"/>
            </w:tcBorders>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Flex (45⁰ Normal)</w:t>
            </w:r>
          </w:p>
        </w:tc>
        <w:tc>
          <w:tcPr>
            <w:tcW w:w="1880" w:type="dxa"/>
            <w:vMerge w:val="restart"/>
            <w:tcBorders>
              <w:top w:val="single" w:sz="4" w:space="0" w:color="000000"/>
              <w:left w:val="single" w:sz="4" w:space="0" w:color="000000"/>
              <w:right w:val="single" w:sz="4" w:space="0" w:color="000000"/>
            </w:tcBorders>
            <w:vAlign w:val="center"/>
          </w:tcPr>
          <w:p w:rsidR="000F4C21" w:rsidRPr="00370DCA" w:rsidRDefault="00406DA1" w:rsidP="00370DCA">
            <w:pPr>
              <w:spacing w:line="180" w:lineRule="exact"/>
              <w:contextualSpacing/>
              <w:rPr>
                <w:rFonts w:eastAsia="Calibri" w:cs="Calibri"/>
                <w:color w:val="auto"/>
                <w:sz w:val="18"/>
                <w:szCs w:val="18"/>
              </w:rPr>
            </w:pPr>
            <w:r w:rsidRPr="00370DCA">
              <w:rPr>
                <w:rFonts w:eastAsia="Calibri" w:cs="Calibri"/>
                <w:color w:val="auto"/>
                <w:sz w:val="18"/>
                <w:szCs w:val="18"/>
              </w:rPr>
              <w:t>“full range of motion”</w:t>
            </w:r>
          </w:p>
        </w:tc>
        <w:tc>
          <w:tcPr>
            <w:tcW w:w="2980" w:type="dxa"/>
            <w:vMerge w:val="restart"/>
            <w:tcBorders>
              <w:top w:val="single" w:sz="4" w:space="0" w:color="000000"/>
              <w:left w:val="single" w:sz="4" w:space="0" w:color="000000"/>
              <w:right w:val="single" w:sz="4" w:space="0" w:color="000000"/>
            </w:tcBorders>
            <w:vAlign w:val="center"/>
          </w:tcPr>
          <w:p w:rsidR="000F4C21" w:rsidRPr="00370DCA" w:rsidRDefault="00406DA1" w:rsidP="00370DCA">
            <w:pPr>
              <w:spacing w:line="180" w:lineRule="exact"/>
              <w:rPr>
                <w:rFonts w:eastAsia="Calibri" w:cs="Calibri"/>
                <w:color w:val="auto"/>
                <w:sz w:val="18"/>
                <w:szCs w:val="18"/>
              </w:rPr>
            </w:pPr>
            <w:r w:rsidRPr="00370DCA">
              <w:rPr>
                <w:rFonts w:eastAsia="Calibri" w:cs="Calibri"/>
                <w:color w:val="auto"/>
                <w:sz w:val="18"/>
                <w:szCs w:val="18"/>
              </w:rPr>
              <w:t>“neck has decreased range of motion”</w:t>
            </w:r>
          </w:p>
        </w:tc>
        <w:tc>
          <w:tcPr>
            <w:tcW w:w="2710" w:type="dxa"/>
            <w:tcBorders>
              <w:top w:val="single" w:sz="4" w:space="0" w:color="000000"/>
              <w:left w:val="single" w:sz="4" w:space="0" w:color="000000"/>
              <w:bottom w:val="single" w:sz="4" w:space="0" w:color="000000"/>
              <w:right w:val="single" w:sz="4" w:space="0" w:color="000000"/>
            </w:tcBorders>
            <w:vAlign w:val="center"/>
          </w:tcPr>
          <w:p w:rsidR="000F4C21" w:rsidRPr="00370DCA" w:rsidRDefault="00406DA1" w:rsidP="00370DCA">
            <w:pPr>
              <w:spacing w:line="180" w:lineRule="exact"/>
              <w:contextualSpacing/>
              <w:rPr>
                <w:rFonts w:eastAsia="Calibri" w:cs="Calibri"/>
                <w:color w:val="auto"/>
                <w:sz w:val="18"/>
                <w:szCs w:val="18"/>
              </w:rPr>
            </w:pPr>
            <w:r w:rsidRPr="00370DCA">
              <w:rPr>
                <w:rFonts w:eastAsia="Calibri" w:cs="Calibri"/>
                <w:color w:val="auto"/>
                <w:sz w:val="18"/>
                <w:szCs w:val="18"/>
              </w:rPr>
              <w:t>40</w:t>
            </w:r>
            <w:r w:rsidR="000F4C21" w:rsidRPr="00370DCA">
              <w:rPr>
                <w:rFonts w:eastAsia="Calibri" w:cs="Calibri"/>
                <w:color w:val="auto"/>
                <w:sz w:val="18"/>
                <w:szCs w:val="18"/>
              </w:rPr>
              <w:t>⁰</w:t>
            </w:r>
          </w:p>
        </w:tc>
      </w:tr>
      <w:tr w:rsidR="000F4C21" w:rsidRPr="00370DCA" w:rsidTr="00370DCA">
        <w:trPr>
          <w:jc w:val="center"/>
        </w:trPr>
        <w:tc>
          <w:tcPr>
            <w:tcW w:w="1630" w:type="dxa"/>
            <w:tcBorders>
              <w:top w:val="single" w:sz="4" w:space="0" w:color="000000"/>
              <w:left w:val="single" w:sz="4" w:space="0" w:color="000000"/>
              <w:bottom w:val="single" w:sz="4" w:space="0" w:color="000000"/>
              <w:right w:val="single" w:sz="4" w:space="0" w:color="000000"/>
            </w:tcBorders>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Ext (0-45)</w:t>
            </w:r>
          </w:p>
        </w:tc>
        <w:tc>
          <w:tcPr>
            <w:tcW w:w="1880" w:type="dxa"/>
            <w:vMerge/>
            <w:tcBorders>
              <w:left w:val="single" w:sz="4" w:space="0" w:color="000000"/>
              <w:right w:val="single" w:sz="4" w:space="0" w:color="000000"/>
            </w:tcBorders>
            <w:vAlign w:val="center"/>
          </w:tcPr>
          <w:p w:rsidR="000F4C21" w:rsidRPr="00370DCA" w:rsidRDefault="000F4C21" w:rsidP="00370DCA">
            <w:pPr>
              <w:spacing w:line="180" w:lineRule="exact"/>
              <w:contextualSpacing/>
              <w:rPr>
                <w:rFonts w:eastAsia="Calibri" w:cs="Calibri"/>
                <w:color w:val="auto"/>
                <w:sz w:val="18"/>
                <w:szCs w:val="18"/>
              </w:rPr>
            </w:pPr>
          </w:p>
        </w:tc>
        <w:tc>
          <w:tcPr>
            <w:tcW w:w="2980" w:type="dxa"/>
            <w:vMerge/>
            <w:tcBorders>
              <w:left w:val="single" w:sz="4" w:space="0" w:color="000000"/>
              <w:right w:val="single" w:sz="4" w:space="0" w:color="000000"/>
            </w:tcBorders>
            <w:vAlign w:val="center"/>
          </w:tcPr>
          <w:p w:rsidR="000F4C21" w:rsidRPr="00370DCA" w:rsidRDefault="000F4C21" w:rsidP="00370DCA">
            <w:pPr>
              <w:spacing w:line="180" w:lineRule="exact"/>
              <w:rPr>
                <w:rFonts w:eastAsia="Calibri" w:cs="Calibri"/>
                <w:color w:val="auto"/>
                <w:sz w:val="18"/>
                <w:szCs w:val="18"/>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0F4C21" w:rsidRPr="00370DCA" w:rsidRDefault="00D6627C" w:rsidP="00370DCA">
            <w:pPr>
              <w:spacing w:line="180" w:lineRule="exact"/>
              <w:contextualSpacing/>
              <w:rPr>
                <w:rFonts w:eastAsia="Calibri" w:cs="Calibri"/>
                <w:color w:val="auto"/>
                <w:sz w:val="18"/>
                <w:szCs w:val="18"/>
              </w:rPr>
            </w:pPr>
            <w:r w:rsidRPr="00370DCA">
              <w:rPr>
                <w:rFonts w:eastAsia="Calibri" w:cs="Calibri"/>
                <w:color w:val="auto"/>
                <w:sz w:val="18"/>
                <w:szCs w:val="18"/>
              </w:rPr>
              <w:t>45</w:t>
            </w:r>
            <w:r w:rsidR="000F4C21" w:rsidRPr="00370DCA">
              <w:rPr>
                <w:rFonts w:eastAsia="Calibri" w:cs="Calibri"/>
                <w:color w:val="auto"/>
                <w:sz w:val="18"/>
                <w:szCs w:val="18"/>
              </w:rPr>
              <w:t>⁰</w:t>
            </w:r>
          </w:p>
        </w:tc>
      </w:tr>
      <w:tr w:rsidR="000F4C21" w:rsidRPr="00370DCA" w:rsidTr="00370DCA">
        <w:trPr>
          <w:jc w:val="center"/>
        </w:trPr>
        <w:tc>
          <w:tcPr>
            <w:tcW w:w="1630" w:type="dxa"/>
            <w:tcBorders>
              <w:top w:val="single" w:sz="4" w:space="0" w:color="000000"/>
              <w:left w:val="single" w:sz="4" w:space="0" w:color="000000"/>
              <w:bottom w:val="single" w:sz="4" w:space="0" w:color="000000"/>
              <w:right w:val="single" w:sz="4" w:space="0" w:color="000000"/>
            </w:tcBorders>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R Lat Flex (0-45)</w:t>
            </w:r>
          </w:p>
        </w:tc>
        <w:tc>
          <w:tcPr>
            <w:tcW w:w="1880" w:type="dxa"/>
            <w:vMerge/>
            <w:tcBorders>
              <w:left w:val="single" w:sz="4" w:space="0" w:color="000000"/>
              <w:right w:val="single" w:sz="4" w:space="0" w:color="000000"/>
            </w:tcBorders>
            <w:vAlign w:val="center"/>
          </w:tcPr>
          <w:p w:rsidR="000F4C21" w:rsidRPr="00370DCA" w:rsidRDefault="000F4C21" w:rsidP="00370DCA">
            <w:pPr>
              <w:spacing w:line="180" w:lineRule="exact"/>
              <w:contextualSpacing/>
              <w:rPr>
                <w:rFonts w:eastAsia="Calibri" w:cs="Calibri"/>
                <w:color w:val="auto"/>
                <w:sz w:val="18"/>
                <w:szCs w:val="18"/>
              </w:rPr>
            </w:pPr>
          </w:p>
        </w:tc>
        <w:tc>
          <w:tcPr>
            <w:tcW w:w="2980" w:type="dxa"/>
            <w:vMerge/>
            <w:tcBorders>
              <w:left w:val="single" w:sz="4" w:space="0" w:color="000000"/>
              <w:right w:val="single" w:sz="4" w:space="0" w:color="000000"/>
            </w:tcBorders>
            <w:vAlign w:val="center"/>
          </w:tcPr>
          <w:p w:rsidR="000F4C21" w:rsidRPr="00370DCA" w:rsidRDefault="000F4C21" w:rsidP="00370DCA">
            <w:pPr>
              <w:spacing w:line="180" w:lineRule="exact"/>
              <w:rPr>
                <w:rFonts w:eastAsia="Calibri" w:cs="Calibri"/>
                <w:color w:val="auto"/>
                <w:sz w:val="18"/>
                <w:szCs w:val="18"/>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0F4C21" w:rsidRPr="00370DCA" w:rsidRDefault="00D6627C" w:rsidP="00370DCA">
            <w:pPr>
              <w:spacing w:line="180" w:lineRule="exact"/>
              <w:contextualSpacing/>
              <w:rPr>
                <w:rFonts w:eastAsia="Calibri" w:cs="Calibri"/>
                <w:color w:val="auto"/>
                <w:sz w:val="18"/>
                <w:szCs w:val="18"/>
              </w:rPr>
            </w:pPr>
            <w:r w:rsidRPr="00370DCA">
              <w:rPr>
                <w:rFonts w:eastAsia="Calibri" w:cs="Calibri"/>
                <w:color w:val="auto"/>
                <w:sz w:val="18"/>
                <w:szCs w:val="18"/>
              </w:rPr>
              <w:t>25</w:t>
            </w:r>
            <w:r w:rsidR="000F4C21" w:rsidRPr="00370DCA">
              <w:rPr>
                <w:rFonts w:eastAsia="Calibri" w:cs="Calibri"/>
                <w:color w:val="auto"/>
                <w:sz w:val="18"/>
                <w:szCs w:val="18"/>
              </w:rPr>
              <w:t>⁰</w:t>
            </w:r>
          </w:p>
        </w:tc>
      </w:tr>
      <w:tr w:rsidR="000F4C21" w:rsidRPr="00370DCA" w:rsidTr="00370DCA">
        <w:trPr>
          <w:jc w:val="center"/>
        </w:trPr>
        <w:tc>
          <w:tcPr>
            <w:tcW w:w="1630" w:type="dxa"/>
            <w:tcBorders>
              <w:top w:val="single" w:sz="4" w:space="0" w:color="000000"/>
              <w:left w:val="single" w:sz="4" w:space="0" w:color="000000"/>
              <w:bottom w:val="single" w:sz="4" w:space="0" w:color="000000"/>
              <w:right w:val="single" w:sz="4" w:space="0" w:color="000000"/>
            </w:tcBorders>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L Lat Flex (0-45)</w:t>
            </w:r>
          </w:p>
        </w:tc>
        <w:tc>
          <w:tcPr>
            <w:tcW w:w="1880" w:type="dxa"/>
            <w:vMerge/>
            <w:tcBorders>
              <w:left w:val="single" w:sz="4" w:space="0" w:color="000000"/>
              <w:right w:val="single" w:sz="4" w:space="0" w:color="000000"/>
            </w:tcBorders>
            <w:vAlign w:val="center"/>
          </w:tcPr>
          <w:p w:rsidR="000F4C21" w:rsidRPr="00370DCA" w:rsidRDefault="000F4C21" w:rsidP="00370DCA">
            <w:pPr>
              <w:spacing w:line="180" w:lineRule="exact"/>
              <w:contextualSpacing/>
              <w:rPr>
                <w:rFonts w:eastAsia="Calibri" w:cs="Calibri"/>
                <w:color w:val="auto"/>
                <w:sz w:val="18"/>
                <w:szCs w:val="18"/>
              </w:rPr>
            </w:pPr>
          </w:p>
        </w:tc>
        <w:tc>
          <w:tcPr>
            <w:tcW w:w="2980" w:type="dxa"/>
            <w:vMerge/>
            <w:tcBorders>
              <w:left w:val="single" w:sz="4" w:space="0" w:color="000000"/>
              <w:right w:val="single" w:sz="4" w:space="0" w:color="000000"/>
            </w:tcBorders>
            <w:vAlign w:val="center"/>
          </w:tcPr>
          <w:p w:rsidR="000F4C21" w:rsidRPr="00370DCA" w:rsidRDefault="000F4C21" w:rsidP="00370DCA">
            <w:pPr>
              <w:spacing w:line="180" w:lineRule="exact"/>
              <w:rPr>
                <w:rFonts w:eastAsia="Calibri" w:cs="Calibri"/>
                <w:color w:val="auto"/>
                <w:sz w:val="18"/>
                <w:szCs w:val="18"/>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0F4C21" w:rsidRPr="00370DCA" w:rsidRDefault="00D6627C" w:rsidP="00370DCA">
            <w:pPr>
              <w:spacing w:line="180" w:lineRule="exact"/>
              <w:contextualSpacing/>
              <w:rPr>
                <w:rFonts w:eastAsia="Calibri" w:cs="Calibri"/>
                <w:color w:val="auto"/>
                <w:sz w:val="18"/>
                <w:szCs w:val="18"/>
              </w:rPr>
            </w:pPr>
            <w:r w:rsidRPr="00370DCA">
              <w:rPr>
                <w:rFonts w:eastAsia="Calibri" w:cs="Calibri"/>
                <w:color w:val="auto"/>
                <w:sz w:val="18"/>
                <w:szCs w:val="18"/>
              </w:rPr>
              <w:t>25</w:t>
            </w:r>
            <w:r w:rsidR="000F4C21" w:rsidRPr="00370DCA">
              <w:rPr>
                <w:rFonts w:eastAsia="Calibri" w:cs="Calibri"/>
                <w:color w:val="auto"/>
                <w:sz w:val="18"/>
                <w:szCs w:val="18"/>
              </w:rPr>
              <w:t>⁰</w:t>
            </w:r>
          </w:p>
        </w:tc>
      </w:tr>
      <w:tr w:rsidR="000F4C21" w:rsidRPr="00370DCA" w:rsidTr="00370DCA">
        <w:trPr>
          <w:jc w:val="center"/>
        </w:trPr>
        <w:tc>
          <w:tcPr>
            <w:tcW w:w="1630" w:type="dxa"/>
            <w:tcBorders>
              <w:top w:val="single" w:sz="4" w:space="0" w:color="000000"/>
              <w:left w:val="single" w:sz="4" w:space="0" w:color="000000"/>
              <w:bottom w:val="single" w:sz="4" w:space="0" w:color="000000"/>
              <w:right w:val="single" w:sz="4" w:space="0" w:color="000000"/>
            </w:tcBorders>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R Rotation (0-80)</w:t>
            </w:r>
          </w:p>
        </w:tc>
        <w:tc>
          <w:tcPr>
            <w:tcW w:w="1880" w:type="dxa"/>
            <w:vMerge/>
            <w:tcBorders>
              <w:left w:val="single" w:sz="4" w:space="0" w:color="000000"/>
              <w:right w:val="single" w:sz="4" w:space="0" w:color="000000"/>
            </w:tcBorders>
            <w:vAlign w:val="center"/>
          </w:tcPr>
          <w:p w:rsidR="000F4C21" w:rsidRPr="00370DCA" w:rsidRDefault="000F4C21" w:rsidP="00370DCA">
            <w:pPr>
              <w:spacing w:line="180" w:lineRule="exact"/>
              <w:contextualSpacing/>
              <w:rPr>
                <w:rFonts w:eastAsia="Calibri" w:cs="Calibri"/>
                <w:color w:val="auto"/>
                <w:sz w:val="18"/>
                <w:szCs w:val="18"/>
              </w:rPr>
            </w:pPr>
          </w:p>
        </w:tc>
        <w:tc>
          <w:tcPr>
            <w:tcW w:w="2980" w:type="dxa"/>
            <w:vMerge/>
            <w:tcBorders>
              <w:left w:val="single" w:sz="4" w:space="0" w:color="000000"/>
              <w:right w:val="single" w:sz="4" w:space="0" w:color="000000"/>
            </w:tcBorders>
            <w:vAlign w:val="center"/>
          </w:tcPr>
          <w:p w:rsidR="000F4C21" w:rsidRPr="00370DCA" w:rsidRDefault="000F4C21" w:rsidP="00370DCA">
            <w:pPr>
              <w:spacing w:line="180" w:lineRule="exact"/>
              <w:rPr>
                <w:rFonts w:eastAsia="Calibri" w:cs="Calibri"/>
                <w:color w:val="auto"/>
                <w:sz w:val="18"/>
                <w:szCs w:val="18"/>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0F4C21" w:rsidRPr="00370DCA" w:rsidRDefault="00D6627C" w:rsidP="00370DCA">
            <w:pPr>
              <w:spacing w:line="180" w:lineRule="exact"/>
              <w:contextualSpacing/>
              <w:rPr>
                <w:rFonts w:eastAsia="Calibri" w:cs="Calibri"/>
                <w:color w:val="auto"/>
                <w:sz w:val="18"/>
                <w:szCs w:val="18"/>
              </w:rPr>
            </w:pPr>
            <w:r w:rsidRPr="00370DCA">
              <w:rPr>
                <w:rFonts w:eastAsia="Calibri" w:cs="Calibri"/>
                <w:color w:val="auto"/>
                <w:sz w:val="18"/>
                <w:szCs w:val="18"/>
              </w:rPr>
              <w:t>55</w:t>
            </w:r>
            <w:r w:rsidR="000F4C21" w:rsidRPr="00370DCA">
              <w:rPr>
                <w:rFonts w:eastAsia="Calibri" w:cs="Calibri"/>
                <w:color w:val="auto"/>
                <w:sz w:val="18"/>
                <w:szCs w:val="18"/>
              </w:rPr>
              <w:t>⁰</w:t>
            </w:r>
          </w:p>
        </w:tc>
      </w:tr>
      <w:tr w:rsidR="000F4C21" w:rsidRPr="00370DCA" w:rsidTr="00370DCA">
        <w:trPr>
          <w:jc w:val="center"/>
        </w:trPr>
        <w:tc>
          <w:tcPr>
            <w:tcW w:w="1630" w:type="dxa"/>
            <w:tcBorders>
              <w:top w:val="single" w:sz="4" w:space="0" w:color="000000"/>
              <w:left w:val="single" w:sz="4" w:space="0" w:color="000000"/>
              <w:bottom w:val="single" w:sz="4" w:space="0" w:color="000000"/>
              <w:right w:val="single" w:sz="4" w:space="0" w:color="000000"/>
            </w:tcBorders>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L Rotation (0-80)</w:t>
            </w:r>
          </w:p>
        </w:tc>
        <w:tc>
          <w:tcPr>
            <w:tcW w:w="1880" w:type="dxa"/>
            <w:vMerge/>
            <w:tcBorders>
              <w:left w:val="single" w:sz="4" w:space="0" w:color="000000"/>
              <w:right w:val="single" w:sz="4" w:space="0" w:color="000000"/>
            </w:tcBorders>
            <w:vAlign w:val="center"/>
          </w:tcPr>
          <w:p w:rsidR="000F4C21" w:rsidRPr="00370DCA" w:rsidRDefault="000F4C21" w:rsidP="00370DCA">
            <w:pPr>
              <w:spacing w:line="180" w:lineRule="exact"/>
              <w:contextualSpacing/>
              <w:rPr>
                <w:rFonts w:eastAsia="Calibri" w:cs="Calibri"/>
                <w:color w:val="auto"/>
                <w:sz w:val="18"/>
                <w:szCs w:val="18"/>
              </w:rPr>
            </w:pPr>
          </w:p>
        </w:tc>
        <w:tc>
          <w:tcPr>
            <w:tcW w:w="2980" w:type="dxa"/>
            <w:vMerge/>
            <w:tcBorders>
              <w:left w:val="single" w:sz="4" w:space="0" w:color="000000"/>
              <w:right w:val="single" w:sz="4" w:space="0" w:color="000000"/>
            </w:tcBorders>
            <w:vAlign w:val="center"/>
          </w:tcPr>
          <w:p w:rsidR="000F4C21" w:rsidRPr="00370DCA" w:rsidRDefault="000F4C21" w:rsidP="00370DCA">
            <w:pPr>
              <w:spacing w:line="180" w:lineRule="exact"/>
              <w:rPr>
                <w:rFonts w:eastAsia="Calibri" w:cs="Calibri"/>
                <w:color w:val="auto"/>
                <w:sz w:val="18"/>
                <w:szCs w:val="18"/>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0F4C21" w:rsidRPr="00370DCA" w:rsidRDefault="00D6627C" w:rsidP="00370DCA">
            <w:pPr>
              <w:spacing w:line="180" w:lineRule="exact"/>
              <w:contextualSpacing/>
              <w:rPr>
                <w:rFonts w:eastAsia="Calibri" w:cs="Calibri"/>
                <w:color w:val="auto"/>
                <w:sz w:val="18"/>
                <w:szCs w:val="18"/>
              </w:rPr>
            </w:pPr>
            <w:r w:rsidRPr="00370DCA">
              <w:rPr>
                <w:rFonts w:eastAsia="Calibri" w:cs="Calibri"/>
                <w:color w:val="auto"/>
                <w:sz w:val="18"/>
                <w:szCs w:val="18"/>
              </w:rPr>
              <w:t>55</w:t>
            </w:r>
            <w:r w:rsidR="000F4C21" w:rsidRPr="00370DCA">
              <w:rPr>
                <w:rFonts w:eastAsia="Calibri" w:cs="Calibri"/>
                <w:color w:val="auto"/>
                <w:sz w:val="18"/>
                <w:szCs w:val="18"/>
              </w:rPr>
              <w:t>⁰</w:t>
            </w:r>
          </w:p>
        </w:tc>
      </w:tr>
      <w:tr w:rsidR="000F4C21" w:rsidRPr="00370DCA" w:rsidTr="00370DCA">
        <w:trPr>
          <w:jc w:val="center"/>
        </w:trPr>
        <w:tc>
          <w:tcPr>
            <w:tcW w:w="1630" w:type="dxa"/>
            <w:tcBorders>
              <w:top w:val="single" w:sz="4" w:space="0" w:color="000000"/>
              <w:left w:val="single" w:sz="4" w:space="0" w:color="000000"/>
              <w:bottom w:val="single" w:sz="4" w:space="0" w:color="000000"/>
              <w:right w:val="single" w:sz="4" w:space="0" w:color="000000"/>
            </w:tcBorders>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COMBINED (340⁰)</w:t>
            </w:r>
          </w:p>
        </w:tc>
        <w:tc>
          <w:tcPr>
            <w:tcW w:w="1880" w:type="dxa"/>
            <w:vMerge/>
            <w:tcBorders>
              <w:left w:val="single" w:sz="4" w:space="0" w:color="000000"/>
              <w:bottom w:val="single" w:sz="4" w:space="0" w:color="000000"/>
              <w:right w:val="single" w:sz="4" w:space="0" w:color="000000"/>
            </w:tcBorders>
            <w:vAlign w:val="center"/>
          </w:tcPr>
          <w:p w:rsidR="000F4C21" w:rsidRPr="00370DCA" w:rsidRDefault="000F4C21" w:rsidP="00370DCA">
            <w:pPr>
              <w:spacing w:line="180" w:lineRule="exact"/>
              <w:contextualSpacing/>
              <w:rPr>
                <w:rFonts w:eastAsia="Calibri" w:cs="Calibri"/>
                <w:color w:val="auto"/>
                <w:sz w:val="18"/>
                <w:szCs w:val="18"/>
              </w:rPr>
            </w:pPr>
          </w:p>
        </w:tc>
        <w:tc>
          <w:tcPr>
            <w:tcW w:w="2980" w:type="dxa"/>
            <w:vMerge/>
            <w:tcBorders>
              <w:left w:val="single" w:sz="4" w:space="0" w:color="000000"/>
              <w:bottom w:val="single" w:sz="4" w:space="0" w:color="000000"/>
              <w:right w:val="single" w:sz="4" w:space="0" w:color="000000"/>
            </w:tcBorders>
            <w:vAlign w:val="center"/>
          </w:tcPr>
          <w:p w:rsidR="000F4C21" w:rsidRPr="00370DCA" w:rsidRDefault="000F4C21" w:rsidP="00370DCA">
            <w:pPr>
              <w:spacing w:line="180" w:lineRule="exact"/>
              <w:rPr>
                <w:rFonts w:cs="Calibri"/>
                <w:color w:val="auto"/>
                <w:sz w:val="18"/>
                <w:szCs w:val="18"/>
              </w:rPr>
            </w:pPr>
          </w:p>
        </w:tc>
        <w:tc>
          <w:tcPr>
            <w:tcW w:w="2710" w:type="dxa"/>
            <w:tcBorders>
              <w:top w:val="single" w:sz="4" w:space="0" w:color="000000"/>
              <w:left w:val="single" w:sz="4" w:space="0" w:color="000000"/>
              <w:bottom w:val="single" w:sz="4" w:space="0" w:color="000000"/>
              <w:right w:val="single" w:sz="4" w:space="0" w:color="000000"/>
            </w:tcBorders>
            <w:vAlign w:val="center"/>
          </w:tcPr>
          <w:p w:rsidR="000F4C21" w:rsidRPr="00370DCA" w:rsidRDefault="00D6627C" w:rsidP="00370DCA">
            <w:pPr>
              <w:spacing w:line="180" w:lineRule="exact"/>
              <w:rPr>
                <w:rFonts w:cs="Calibri"/>
                <w:color w:val="auto"/>
                <w:sz w:val="18"/>
                <w:szCs w:val="18"/>
              </w:rPr>
            </w:pPr>
            <w:r w:rsidRPr="00370DCA">
              <w:rPr>
                <w:rFonts w:eastAsia="Calibri" w:cs="Calibri"/>
                <w:color w:val="auto"/>
                <w:sz w:val="18"/>
                <w:szCs w:val="18"/>
              </w:rPr>
              <w:t>245</w:t>
            </w:r>
            <w:r w:rsidR="000F4C21" w:rsidRPr="00370DCA">
              <w:rPr>
                <w:rFonts w:eastAsia="Calibri" w:cs="Calibri"/>
                <w:color w:val="auto"/>
                <w:sz w:val="18"/>
                <w:szCs w:val="18"/>
              </w:rPr>
              <w:t>⁰</w:t>
            </w:r>
          </w:p>
        </w:tc>
      </w:tr>
      <w:tr w:rsidR="000F4C21" w:rsidRPr="00370DCA" w:rsidTr="00370DCA">
        <w:trPr>
          <w:jc w:val="center"/>
        </w:trPr>
        <w:tc>
          <w:tcPr>
            <w:tcW w:w="1630" w:type="dxa"/>
            <w:tcBorders>
              <w:top w:val="single" w:sz="4" w:space="0" w:color="000000"/>
              <w:left w:val="single" w:sz="4" w:space="0" w:color="000000"/>
              <w:bottom w:val="single" w:sz="4" w:space="0" w:color="auto"/>
              <w:right w:val="single" w:sz="4" w:space="0" w:color="000000"/>
            </w:tcBorders>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Comment</w:t>
            </w:r>
          </w:p>
        </w:tc>
        <w:tc>
          <w:tcPr>
            <w:tcW w:w="1880" w:type="dxa"/>
            <w:tcBorders>
              <w:top w:val="single" w:sz="4" w:space="0" w:color="000000"/>
              <w:left w:val="single" w:sz="4" w:space="0" w:color="000000"/>
              <w:bottom w:val="single" w:sz="4" w:space="0" w:color="auto"/>
              <w:right w:val="single" w:sz="4" w:space="0" w:color="000000"/>
            </w:tcBorders>
            <w:vAlign w:val="center"/>
          </w:tcPr>
          <w:p w:rsidR="000F4C21" w:rsidRPr="00370DCA" w:rsidRDefault="00406DA1" w:rsidP="00370DCA">
            <w:pPr>
              <w:spacing w:line="180" w:lineRule="exact"/>
              <w:contextualSpacing/>
              <w:jc w:val="left"/>
              <w:rPr>
                <w:rFonts w:eastAsia="Calibri" w:cs="Calibri"/>
                <w:color w:val="auto"/>
                <w:sz w:val="18"/>
                <w:szCs w:val="18"/>
              </w:rPr>
            </w:pPr>
            <w:r w:rsidRPr="00370DCA">
              <w:rPr>
                <w:rFonts w:eastAsia="Calibri" w:cs="Calibri"/>
                <w:color w:val="auto"/>
                <w:sz w:val="18"/>
                <w:szCs w:val="18"/>
              </w:rPr>
              <w:t xml:space="preserve">“minimal </w:t>
            </w:r>
            <w:proofErr w:type="spellStart"/>
            <w:r w:rsidRPr="00370DCA">
              <w:rPr>
                <w:rFonts w:eastAsia="Calibri" w:cs="Calibri"/>
                <w:color w:val="auto"/>
                <w:sz w:val="18"/>
                <w:szCs w:val="18"/>
              </w:rPr>
              <w:t>myofascial</w:t>
            </w:r>
            <w:proofErr w:type="spellEnd"/>
            <w:r w:rsidRPr="00370DCA">
              <w:rPr>
                <w:rFonts w:eastAsia="Calibri" w:cs="Calibri"/>
                <w:color w:val="auto"/>
                <w:sz w:val="18"/>
                <w:szCs w:val="18"/>
              </w:rPr>
              <w:t xml:space="preserve"> tenderness; motor 5/5; sensory intact; reflexes 2+ throughout; gait normal</w:t>
            </w:r>
          </w:p>
        </w:tc>
        <w:tc>
          <w:tcPr>
            <w:tcW w:w="2980" w:type="dxa"/>
            <w:tcBorders>
              <w:top w:val="single" w:sz="4" w:space="0" w:color="000000"/>
              <w:left w:val="single" w:sz="4" w:space="0" w:color="000000"/>
              <w:bottom w:val="single" w:sz="4" w:space="0" w:color="auto"/>
              <w:right w:val="single" w:sz="4" w:space="0" w:color="000000"/>
            </w:tcBorders>
            <w:vAlign w:val="center"/>
          </w:tcPr>
          <w:p w:rsidR="000F4C21" w:rsidRPr="00370DCA" w:rsidRDefault="00A93C4D" w:rsidP="00370DCA">
            <w:pPr>
              <w:spacing w:line="180" w:lineRule="exact"/>
              <w:contextualSpacing/>
              <w:jc w:val="left"/>
              <w:rPr>
                <w:rFonts w:eastAsia="Calibri" w:cs="Calibri"/>
                <w:color w:val="auto"/>
                <w:sz w:val="18"/>
                <w:szCs w:val="18"/>
              </w:rPr>
            </w:pPr>
            <w:r w:rsidRPr="00370DCA">
              <w:rPr>
                <w:rFonts w:eastAsia="Calibri" w:cs="Calibri"/>
                <w:color w:val="auto"/>
                <w:sz w:val="18"/>
                <w:szCs w:val="18"/>
              </w:rPr>
              <w:t>L</w:t>
            </w:r>
            <w:r w:rsidR="00D6627C" w:rsidRPr="00370DCA">
              <w:rPr>
                <w:rFonts w:eastAsia="Calibri" w:cs="Calibri"/>
                <w:color w:val="auto"/>
                <w:sz w:val="18"/>
                <w:szCs w:val="18"/>
              </w:rPr>
              <w:t>eft deltoid</w:t>
            </w:r>
            <w:r w:rsidR="00923383" w:rsidRPr="00370DCA">
              <w:rPr>
                <w:rFonts w:eastAsia="Calibri" w:cs="Calibri"/>
                <w:color w:val="auto"/>
                <w:sz w:val="18"/>
                <w:szCs w:val="18"/>
              </w:rPr>
              <w:t xml:space="preserve"> </w:t>
            </w:r>
            <w:r w:rsidRPr="00370DCA">
              <w:rPr>
                <w:rFonts w:eastAsia="Calibri" w:cs="Calibri"/>
                <w:color w:val="auto"/>
                <w:sz w:val="18"/>
                <w:szCs w:val="18"/>
              </w:rPr>
              <w:t>&amp;</w:t>
            </w:r>
            <w:r w:rsidR="00D6627C" w:rsidRPr="00370DCA">
              <w:rPr>
                <w:rFonts w:eastAsia="Calibri" w:cs="Calibri"/>
                <w:color w:val="auto"/>
                <w:sz w:val="18"/>
                <w:szCs w:val="18"/>
              </w:rPr>
              <w:t xml:space="preserve"> biceps</w:t>
            </w:r>
            <w:r w:rsidRPr="00370DCA">
              <w:rPr>
                <w:rFonts w:eastAsia="Calibri" w:cs="Calibri"/>
                <w:color w:val="auto"/>
                <w:sz w:val="18"/>
                <w:szCs w:val="18"/>
              </w:rPr>
              <w:t xml:space="preserve"> </w:t>
            </w:r>
            <w:r w:rsidR="00D6627C" w:rsidRPr="00370DCA">
              <w:rPr>
                <w:rFonts w:eastAsia="Calibri" w:cs="Calibri"/>
                <w:color w:val="auto"/>
                <w:sz w:val="18"/>
                <w:szCs w:val="18"/>
              </w:rPr>
              <w:t>weakness relative to the right side 4/5</w:t>
            </w:r>
            <w:r w:rsidRPr="00370DCA">
              <w:rPr>
                <w:rFonts w:eastAsia="Calibri" w:cs="Calibri"/>
                <w:color w:val="auto"/>
                <w:sz w:val="18"/>
                <w:szCs w:val="18"/>
              </w:rPr>
              <w:t xml:space="preserve">; </w:t>
            </w:r>
            <w:r w:rsidR="00D6627C" w:rsidRPr="00370DCA">
              <w:rPr>
                <w:rFonts w:eastAsia="Calibri" w:cs="Calibri"/>
                <w:color w:val="auto"/>
                <w:sz w:val="18"/>
                <w:szCs w:val="18"/>
              </w:rPr>
              <w:t>decreased sensation to touch</w:t>
            </w:r>
            <w:r w:rsidRPr="00370DCA">
              <w:rPr>
                <w:rFonts w:eastAsia="Calibri" w:cs="Calibri"/>
                <w:color w:val="auto"/>
                <w:sz w:val="18"/>
                <w:szCs w:val="18"/>
              </w:rPr>
              <w:t xml:space="preserve"> </w:t>
            </w:r>
            <w:r w:rsidR="00D6627C" w:rsidRPr="00370DCA">
              <w:rPr>
                <w:rFonts w:eastAsia="Calibri" w:cs="Calibri"/>
                <w:color w:val="auto"/>
                <w:sz w:val="18"/>
                <w:szCs w:val="18"/>
              </w:rPr>
              <w:t>and pin prick throughout the right side of his face, arm as well as leg</w:t>
            </w:r>
            <w:r w:rsidRPr="00370DCA">
              <w:rPr>
                <w:rFonts w:eastAsia="Calibri" w:cs="Calibri"/>
                <w:color w:val="auto"/>
                <w:sz w:val="18"/>
                <w:szCs w:val="18"/>
              </w:rPr>
              <w:t>; “(radiculopathy) exam findings did not correlate with … MRI”</w:t>
            </w:r>
            <w:r w:rsidR="00544D72" w:rsidRPr="00370DCA">
              <w:rPr>
                <w:rFonts w:eastAsia="Calibri" w:cs="Calibri"/>
                <w:color w:val="auto"/>
                <w:sz w:val="18"/>
                <w:szCs w:val="18"/>
              </w:rPr>
              <w:t xml:space="preserve"> (see text)</w:t>
            </w:r>
          </w:p>
        </w:tc>
        <w:tc>
          <w:tcPr>
            <w:tcW w:w="2710" w:type="dxa"/>
            <w:tcBorders>
              <w:top w:val="single" w:sz="4" w:space="0" w:color="000000"/>
              <w:left w:val="single" w:sz="4" w:space="0" w:color="000000"/>
              <w:bottom w:val="single" w:sz="4" w:space="0" w:color="auto"/>
              <w:right w:val="single" w:sz="4" w:space="0" w:color="000000"/>
            </w:tcBorders>
            <w:vAlign w:val="center"/>
          </w:tcPr>
          <w:p w:rsidR="000F4C21" w:rsidRPr="00370DCA" w:rsidRDefault="00D6627C" w:rsidP="00370DCA">
            <w:pPr>
              <w:spacing w:line="180" w:lineRule="exact"/>
              <w:contextualSpacing/>
              <w:jc w:val="left"/>
              <w:rPr>
                <w:rFonts w:eastAsia="Calibri" w:cs="Calibri"/>
                <w:color w:val="auto"/>
                <w:sz w:val="18"/>
                <w:szCs w:val="18"/>
              </w:rPr>
            </w:pPr>
            <w:r w:rsidRPr="00370DCA">
              <w:rPr>
                <w:rFonts w:eastAsia="Calibri" w:cs="Calibri"/>
                <w:color w:val="auto"/>
                <w:sz w:val="18"/>
                <w:szCs w:val="18"/>
              </w:rPr>
              <w:t>Normal contour; reflexes +2; sensation intact; gait normal</w:t>
            </w:r>
            <w:r w:rsidR="00183611" w:rsidRPr="00370DCA">
              <w:rPr>
                <w:rFonts w:eastAsia="Calibri" w:cs="Calibri"/>
                <w:color w:val="auto"/>
                <w:sz w:val="18"/>
                <w:szCs w:val="18"/>
              </w:rPr>
              <w:t>; weaker throughout ROM when resistance applied; fatigability and pain increase with repetitive use</w:t>
            </w:r>
          </w:p>
        </w:tc>
      </w:tr>
      <w:tr w:rsidR="000F4C21" w:rsidRPr="00370DCA" w:rsidTr="00370DCA">
        <w:trPr>
          <w:jc w:val="center"/>
        </w:trPr>
        <w:tc>
          <w:tcPr>
            <w:tcW w:w="1630" w:type="dxa"/>
            <w:tcBorders>
              <w:top w:val="single" w:sz="4" w:space="0" w:color="000000"/>
              <w:left w:val="single" w:sz="4" w:space="0" w:color="000000"/>
              <w:bottom w:val="single" w:sz="4" w:space="0" w:color="auto"/>
              <w:right w:val="single" w:sz="4" w:space="0" w:color="000000"/>
            </w:tcBorders>
            <w:vAlign w:val="center"/>
            <w:hideMark/>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§4.71a Rating</w:t>
            </w:r>
          </w:p>
        </w:tc>
        <w:tc>
          <w:tcPr>
            <w:tcW w:w="1880" w:type="dxa"/>
            <w:tcBorders>
              <w:top w:val="single" w:sz="4" w:space="0" w:color="000000"/>
              <w:left w:val="single" w:sz="4" w:space="0" w:color="000000"/>
              <w:bottom w:val="single" w:sz="4" w:space="0" w:color="auto"/>
              <w:right w:val="single" w:sz="4" w:space="0" w:color="000000"/>
            </w:tcBorders>
            <w:vAlign w:val="center"/>
          </w:tcPr>
          <w:p w:rsidR="000F4C21" w:rsidRPr="00370DCA" w:rsidRDefault="00406DA1" w:rsidP="00370DCA">
            <w:pPr>
              <w:spacing w:line="180" w:lineRule="exact"/>
              <w:contextualSpacing/>
              <w:rPr>
                <w:rFonts w:eastAsia="Calibri" w:cs="Calibri"/>
                <w:color w:val="auto"/>
                <w:sz w:val="18"/>
                <w:szCs w:val="18"/>
              </w:rPr>
            </w:pPr>
            <w:r w:rsidRPr="00370DCA">
              <w:rPr>
                <w:rFonts w:eastAsia="Calibri" w:cs="Calibri"/>
                <w:color w:val="auto"/>
                <w:sz w:val="18"/>
                <w:szCs w:val="18"/>
              </w:rPr>
              <w:t>1</w:t>
            </w:r>
            <w:r w:rsidR="000F4C21" w:rsidRPr="00370DCA">
              <w:rPr>
                <w:rFonts w:eastAsia="Calibri" w:cs="Calibri"/>
                <w:color w:val="auto"/>
                <w:sz w:val="18"/>
                <w:szCs w:val="18"/>
              </w:rPr>
              <w:t>0%</w:t>
            </w:r>
          </w:p>
        </w:tc>
        <w:tc>
          <w:tcPr>
            <w:tcW w:w="2980" w:type="dxa"/>
            <w:tcBorders>
              <w:top w:val="single" w:sz="4" w:space="0" w:color="000000"/>
              <w:left w:val="single" w:sz="4" w:space="0" w:color="000000"/>
              <w:bottom w:val="single" w:sz="4" w:space="0" w:color="auto"/>
              <w:right w:val="single" w:sz="4" w:space="0" w:color="000000"/>
            </w:tcBorders>
            <w:vAlign w:val="center"/>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10%</w:t>
            </w:r>
          </w:p>
        </w:tc>
        <w:tc>
          <w:tcPr>
            <w:tcW w:w="2710" w:type="dxa"/>
            <w:tcBorders>
              <w:top w:val="single" w:sz="4" w:space="0" w:color="000000"/>
              <w:left w:val="single" w:sz="4" w:space="0" w:color="000000"/>
              <w:bottom w:val="single" w:sz="4" w:space="0" w:color="auto"/>
              <w:right w:val="single" w:sz="4" w:space="0" w:color="000000"/>
            </w:tcBorders>
            <w:vAlign w:val="center"/>
          </w:tcPr>
          <w:p w:rsidR="000F4C21" w:rsidRPr="00370DCA" w:rsidRDefault="000F4C21" w:rsidP="00370DCA">
            <w:pPr>
              <w:spacing w:line="180" w:lineRule="exact"/>
              <w:contextualSpacing/>
              <w:rPr>
                <w:rFonts w:eastAsia="Calibri" w:cs="Calibri"/>
                <w:color w:val="auto"/>
                <w:sz w:val="18"/>
                <w:szCs w:val="18"/>
              </w:rPr>
            </w:pPr>
            <w:r w:rsidRPr="00370DCA">
              <w:rPr>
                <w:rFonts w:eastAsia="Calibri" w:cs="Calibri"/>
                <w:color w:val="auto"/>
                <w:sz w:val="18"/>
                <w:szCs w:val="18"/>
              </w:rPr>
              <w:t>10%</w:t>
            </w:r>
          </w:p>
        </w:tc>
      </w:tr>
    </w:tbl>
    <w:p w:rsidR="00D6627C" w:rsidRPr="00370DCA" w:rsidRDefault="00D6627C" w:rsidP="00D6627C">
      <w:pPr>
        <w:jc w:val="left"/>
        <w:rPr>
          <w:color w:val="auto"/>
          <w:szCs w:val="24"/>
        </w:rPr>
      </w:pPr>
    </w:p>
    <w:p w:rsidR="00183611" w:rsidRPr="00972258" w:rsidRDefault="00FB5B1B" w:rsidP="00243158">
      <w:pPr>
        <w:jc w:val="both"/>
        <w:rPr>
          <w:color w:val="000000" w:themeColor="text1"/>
          <w:szCs w:val="24"/>
        </w:rPr>
      </w:pPr>
      <w:r>
        <w:rPr>
          <w:color w:val="000000" w:themeColor="text1"/>
          <w:szCs w:val="24"/>
        </w:rPr>
        <w:t>Magnetic resonance imaging (</w:t>
      </w:r>
      <w:r w:rsidR="00243158" w:rsidRPr="00370DCA">
        <w:rPr>
          <w:color w:val="000000" w:themeColor="text1"/>
          <w:szCs w:val="24"/>
        </w:rPr>
        <w:t>MRI</w:t>
      </w:r>
      <w:r>
        <w:rPr>
          <w:color w:val="000000" w:themeColor="text1"/>
          <w:szCs w:val="24"/>
        </w:rPr>
        <w:t>)</w:t>
      </w:r>
      <w:r w:rsidR="00243158" w:rsidRPr="00370DCA">
        <w:rPr>
          <w:color w:val="000000" w:themeColor="text1"/>
          <w:szCs w:val="24"/>
        </w:rPr>
        <w:t xml:space="preserve"> of the cervical spine showed </w:t>
      </w:r>
      <w:r w:rsidR="00CC6653" w:rsidRPr="00370DCA">
        <w:rPr>
          <w:color w:val="000000" w:themeColor="text1"/>
          <w:szCs w:val="24"/>
        </w:rPr>
        <w:t xml:space="preserve">some degenerative changes and </w:t>
      </w:r>
      <w:r w:rsidR="00243158" w:rsidRPr="00370DCA">
        <w:rPr>
          <w:color w:val="000000" w:themeColor="text1"/>
          <w:szCs w:val="24"/>
        </w:rPr>
        <w:t xml:space="preserve">multi-level herniated nucleus </w:t>
      </w:r>
      <w:proofErr w:type="spellStart"/>
      <w:r w:rsidR="00243158" w:rsidRPr="00370DCA">
        <w:rPr>
          <w:color w:val="000000" w:themeColor="text1"/>
          <w:szCs w:val="24"/>
        </w:rPr>
        <w:t>pulposis</w:t>
      </w:r>
      <w:proofErr w:type="spellEnd"/>
      <w:r w:rsidR="00243158" w:rsidRPr="00370DCA">
        <w:rPr>
          <w:color w:val="000000" w:themeColor="text1"/>
          <w:szCs w:val="24"/>
        </w:rPr>
        <w:t xml:space="preserve"> (HNP) with mild spinal stenosis; C5-6 HNP extended into the right neural foramen with some cord compression and some narrowing of the right</w:t>
      </w:r>
      <w:r w:rsidR="00243158" w:rsidRPr="00617121">
        <w:rPr>
          <w:color w:val="000000" w:themeColor="text1"/>
          <w:szCs w:val="24"/>
        </w:rPr>
        <w:t xml:space="preserve"> neural foramen.</w:t>
      </w:r>
      <w:r w:rsidR="00243158">
        <w:rPr>
          <w:color w:val="000000" w:themeColor="text1"/>
          <w:szCs w:val="24"/>
        </w:rPr>
        <w:t xml:space="preserve">  </w:t>
      </w:r>
      <w:r w:rsidR="000A4C87">
        <w:rPr>
          <w:color w:val="000000" w:themeColor="text1"/>
          <w:szCs w:val="24"/>
        </w:rPr>
        <w:t xml:space="preserve">The </w:t>
      </w:r>
      <w:r>
        <w:rPr>
          <w:color w:val="000000" w:themeColor="text1"/>
          <w:szCs w:val="24"/>
        </w:rPr>
        <w:t>narrative summary (</w:t>
      </w:r>
      <w:r w:rsidR="000A4C87">
        <w:rPr>
          <w:color w:val="000000" w:themeColor="text1"/>
          <w:szCs w:val="24"/>
        </w:rPr>
        <w:t>NARSUM</w:t>
      </w:r>
      <w:r>
        <w:rPr>
          <w:color w:val="000000" w:themeColor="text1"/>
          <w:szCs w:val="24"/>
        </w:rPr>
        <w:t>)</w:t>
      </w:r>
      <w:r w:rsidR="00243158">
        <w:rPr>
          <w:color w:val="000000" w:themeColor="text1"/>
          <w:szCs w:val="24"/>
        </w:rPr>
        <w:t>,</w:t>
      </w:r>
      <w:r w:rsidR="000A4C87">
        <w:rPr>
          <w:color w:val="000000" w:themeColor="text1"/>
          <w:szCs w:val="24"/>
        </w:rPr>
        <w:t xml:space="preserve"> </w:t>
      </w:r>
      <w:r>
        <w:rPr>
          <w:color w:val="000000" w:themeColor="text1"/>
          <w:szCs w:val="24"/>
        </w:rPr>
        <w:t>6</w:t>
      </w:r>
      <w:r w:rsidR="00A93C4D">
        <w:rPr>
          <w:color w:val="000000" w:themeColor="text1"/>
          <w:szCs w:val="24"/>
        </w:rPr>
        <w:t xml:space="preserve"> months prior to separation</w:t>
      </w:r>
      <w:r w:rsidR="00243158">
        <w:rPr>
          <w:color w:val="000000" w:themeColor="text1"/>
          <w:szCs w:val="24"/>
        </w:rPr>
        <w:t>,</w:t>
      </w:r>
      <w:r w:rsidR="00A93C4D">
        <w:rPr>
          <w:color w:val="000000" w:themeColor="text1"/>
          <w:szCs w:val="24"/>
        </w:rPr>
        <w:t xml:space="preserve"> and the VA exam</w:t>
      </w:r>
      <w:r w:rsidR="00243158">
        <w:rPr>
          <w:color w:val="000000" w:themeColor="text1"/>
          <w:szCs w:val="24"/>
        </w:rPr>
        <w:t>,</w:t>
      </w:r>
      <w:r w:rsidR="00A93C4D">
        <w:rPr>
          <w:color w:val="000000" w:themeColor="text1"/>
          <w:szCs w:val="24"/>
        </w:rPr>
        <w:t xml:space="preserve"> </w:t>
      </w:r>
      <w:r>
        <w:rPr>
          <w:color w:val="000000" w:themeColor="text1"/>
          <w:szCs w:val="24"/>
        </w:rPr>
        <w:t>a</w:t>
      </w:r>
      <w:r w:rsidR="00A93C4D">
        <w:rPr>
          <w:color w:val="000000" w:themeColor="text1"/>
          <w:szCs w:val="24"/>
        </w:rPr>
        <w:t xml:space="preserve"> month prior to </w:t>
      </w:r>
      <w:proofErr w:type="gramStart"/>
      <w:r w:rsidR="00A93C4D">
        <w:rPr>
          <w:color w:val="000000" w:themeColor="text1"/>
          <w:szCs w:val="24"/>
        </w:rPr>
        <w:t>separation</w:t>
      </w:r>
      <w:r w:rsidR="00243158">
        <w:rPr>
          <w:color w:val="000000" w:themeColor="text1"/>
          <w:szCs w:val="24"/>
        </w:rPr>
        <w:t>,</w:t>
      </w:r>
      <w:proofErr w:type="gramEnd"/>
      <w:r w:rsidR="00A93C4D">
        <w:rPr>
          <w:color w:val="000000" w:themeColor="text1"/>
          <w:szCs w:val="24"/>
        </w:rPr>
        <w:t xml:space="preserve"> indicated slight decreased cervical ROMs.  </w:t>
      </w:r>
      <w:r w:rsidR="00243158">
        <w:rPr>
          <w:color w:val="000000" w:themeColor="text1"/>
          <w:szCs w:val="24"/>
        </w:rPr>
        <w:t xml:space="preserve">The NARSUM indicated upper extremity weakness </w:t>
      </w:r>
      <w:r w:rsidR="00243158" w:rsidRPr="00972258">
        <w:rPr>
          <w:color w:val="000000" w:themeColor="text1"/>
          <w:szCs w:val="24"/>
        </w:rPr>
        <w:t>and sensory decrease which did not correlate with MRI findings</w:t>
      </w:r>
      <w:r w:rsidR="00183611" w:rsidRPr="00972258">
        <w:rPr>
          <w:color w:val="000000" w:themeColor="text1"/>
          <w:szCs w:val="24"/>
        </w:rPr>
        <w:t xml:space="preserve">.  The VA examiner </w:t>
      </w:r>
      <w:r w:rsidR="00183611" w:rsidRPr="00370DCA">
        <w:rPr>
          <w:color w:val="000000" w:themeColor="text1"/>
          <w:szCs w:val="24"/>
        </w:rPr>
        <w:t xml:space="preserve">stated </w:t>
      </w:r>
      <w:r w:rsidR="0095541C">
        <w:rPr>
          <w:color w:val="000000" w:themeColor="text1"/>
          <w:szCs w:val="24"/>
        </w:rPr>
        <w:t>that “a</w:t>
      </w:r>
      <w:r w:rsidR="00183611" w:rsidRPr="00370DCA">
        <w:rPr>
          <w:color w:val="000000" w:themeColor="text1"/>
          <w:szCs w:val="24"/>
        </w:rPr>
        <w:t xml:space="preserve">ll the joints in the neck and back below were weaker throughout </w:t>
      </w:r>
      <w:r>
        <w:rPr>
          <w:color w:val="000000" w:themeColor="text1"/>
          <w:szCs w:val="24"/>
        </w:rPr>
        <w:t>ROM</w:t>
      </w:r>
      <w:r w:rsidR="00183611" w:rsidRPr="00370DCA">
        <w:rPr>
          <w:color w:val="000000" w:themeColor="text1"/>
          <w:szCs w:val="24"/>
        </w:rPr>
        <w:t xml:space="preserve"> when resistance was applied.  Fatigability was noted with repetitive use.  The pain was noted to increase throughout range of motion with repetitive use.”</w:t>
      </w:r>
      <w:r w:rsidR="00183611" w:rsidRPr="00972258">
        <w:rPr>
          <w:color w:val="000000" w:themeColor="text1"/>
          <w:szCs w:val="24"/>
        </w:rPr>
        <w:t xml:space="preserve">  </w:t>
      </w:r>
    </w:p>
    <w:p w:rsidR="00183611" w:rsidRPr="00972258" w:rsidRDefault="00183611" w:rsidP="00243158">
      <w:pPr>
        <w:jc w:val="both"/>
        <w:rPr>
          <w:color w:val="000000" w:themeColor="text1"/>
          <w:szCs w:val="24"/>
        </w:rPr>
      </w:pPr>
    </w:p>
    <w:p w:rsidR="00AC2770" w:rsidRPr="00370DCA" w:rsidRDefault="00CC6653" w:rsidP="00CC6653">
      <w:pPr>
        <w:jc w:val="both"/>
        <w:rPr>
          <w:color w:val="auto"/>
          <w:szCs w:val="24"/>
        </w:rPr>
      </w:pPr>
      <w:r w:rsidRPr="00972258">
        <w:rPr>
          <w:color w:val="auto"/>
          <w:szCs w:val="24"/>
        </w:rPr>
        <w:t>There w</w:t>
      </w:r>
      <w:r w:rsidR="00183611" w:rsidRPr="00972258">
        <w:rPr>
          <w:color w:val="auto"/>
          <w:szCs w:val="24"/>
        </w:rPr>
        <w:t>ere</w:t>
      </w:r>
      <w:r w:rsidRPr="00972258">
        <w:rPr>
          <w:color w:val="auto"/>
          <w:szCs w:val="24"/>
        </w:rPr>
        <w:t xml:space="preserve"> daily pain and activity </w:t>
      </w:r>
      <w:r w:rsidRPr="00370DCA">
        <w:rPr>
          <w:color w:val="auto"/>
          <w:szCs w:val="24"/>
        </w:rPr>
        <w:t xml:space="preserve">limitations; but, there was no evidence of </w:t>
      </w:r>
      <w:r w:rsidR="00FB5B1B">
        <w:rPr>
          <w:color w:val="auto"/>
          <w:szCs w:val="24"/>
        </w:rPr>
        <w:t>“</w:t>
      </w:r>
      <w:r w:rsidR="00AC2770" w:rsidRPr="00370DCA">
        <w:rPr>
          <w:color w:val="auto"/>
          <w:szCs w:val="24"/>
        </w:rPr>
        <w:t>incapacitating episodes</w:t>
      </w:r>
      <w:r w:rsidR="00FB5B1B">
        <w:rPr>
          <w:color w:val="auto"/>
          <w:szCs w:val="24"/>
        </w:rPr>
        <w:t>”</w:t>
      </w:r>
      <w:r w:rsidRPr="00370DCA">
        <w:rPr>
          <w:color w:val="auto"/>
          <w:szCs w:val="24"/>
        </w:rPr>
        <w:t xml:space="preserve"> (as defined by 5293</w:t>
      </w:r>
      <w:r w:rsidR="00183611" w:rsidRPr="00370DCA">
        <w:rPr>
          <w:color w:val="auto"/>
          <w:szCs w:val="24"/>
        </w:rPr>
        <w:t xml:space="preserve"> </w:t>
      </w:r>
      <w:r w:rsidR="00544D72" w:rsidRPr="00370DCA">
        <w:rPr>
          <w:color w:val="auto"/>
          <w:szCs w:val="24"/>
        </w:rPr>
        <w:t xml:space="preserve">as </w:t>
      </w:r>
      <w:r w:rsidR="00183611" w:rsidRPr="00370DCA">
        <w:rPr>
          <w:color w:val="000000" w:themeColor="text1"/>
          <w:szCs w:val="24"/>
        </w:rPr>
        <w:t xml:space="preserve">bed rest </w:t>
      </w:r>
      <w:r w:rsidR="00183611" w:rsidRPr="00370DCA">
        <w:rPr>
          <w:color w:val="auto"/>
          <w:szCs w:val="24"/>
        </w:rPr>
        <w:t>prescribed by a physician</w:t>
      </w:r>
      <w:r w:rsidRPr="00370DCA">
        <w:rPr>
          <w:color w:val="auto"/>
          <w:szCs w:val="24"/>
        </w:rPr>
        <w:t>)</w:t>
      </w:r>
      <w:r w:rsidR="00183611" w:rsidRPr="00370DCA">
        <w:rPr>
          <w:color w:val="auto"/>
          <w:szCs w:val="24"/>
        </w:rPr>
        <w:t xml:space="preserve">.  There was </w:t>
      </w:r>
      <w:r w:rsidR="00972258" w:rsidRPr="00370DCA">
        <w:rPr>
          <w:color w:val="auto"/>
          <w:szCs w:val="24"/>
        </w:rPr>
        <w:t xml:space="preserve">significant </w:t>
      </w:r>
      <w:r w:rsidR="00183611" w:rsidRPr="00370DCA">
        <w:rPr>
          <w:color w:val="auto"/>
          <w:szCs w:val="24"/>
        </w:rPr>
        <w:t>overlap between the</w:t>
      </w:r>
      <w:r w:rsidR="00183611" w:rsidRPr="00972258">
        <w:rPr>
          <w:color w:val="auto"/>
          <w:szCs w:val="24"/>
        </w:rPr>
        <w:t xml:space="preserve"> neck and headache conditions regarding </w:t>
      </w:r>
      <w:r w:rsidRPr="00972258">
        <w:rPr>
          <w:color w:val="auto"/>
          <w:szCs w:val="24"/>
        </w:rPr>
        <w:t>disrupti</w:t>
      </w:r>
      <w:r w:rsidR="00183611" w:rsidRPr="00972258">
        <w:rPr>
          <w:color w:val="auto"/>
          <w:szCs w:val="24"/>
        </w:rPr>
        <w:t>on</w:t>
      </w:r>
      <w:r w:rsidRPr="00972258">
        <w:rPr>
          <w:color w:val="auto"/>
          <w:szCs w:val="24"/>
        </w:rPr>
        <w:t xml:space="preserve"> to daily activities, require</w:t>
      </w:r>
      <w:r w:rsidR="00183611" w:rsidRPr="00972258">
        <w:rPr>
          <w:color w:val="auto"/>
          <w:szCs w:val="24"/>
        </w:rPr>
        <w:t xml:space="preserve">ment for </w:t>
      </w:r>
      <w:r w:rsidRPr="00972258">
        <w:rPr>
          <w:color w:val="auto"/>
          <w:szCs w:val="24"/>
        </w:rPr>
        <w:t xml:space="preserve">urgent medical attention </w:t>
      </w:r>
      <w:r w:rsidR="00183611" w:rsidRPr="00972258">
        <w:rPr>
          <w:color w:val="auto"/>
          <w:szCs w:val="24"/>
        </w:rPr>
        <w:t xml:space="preserve">and </w:t>
      </w:r>
      <w:r w:rsidRPr="00972258">
        <w:rPr>
          <w:color w:val="auto"/>
          <w:szCs w:val="24"/>
        </w:rPr>
        <w:t>loss</w:t>
      </w:r>
      <w:r w:rsidR="00183611" w:rsidRPr="00972258">
        <w:rPr>
          <w:color w:val="auto"/>
          <w:szCs w:val="24"/>
        </w:rPr>
        <w:t xml:space="preserve"> of duty time</w:t>
      </w:r>
      <w:r w:rsidRPr="00972258">
        <w:rPr>
          <w:color w:val="auto"/>
          <w:szCs w:val="24"/>
        </w:rPr>
        <w:t xml:space="preserve">.  The </w:t>
      </w:r>
      <w:r w:rsidR="00972258" w:rsidRPr="00972258">
        <w:rPr>
          <w:color w:val="auto"/>
          <w:szCs w:val="24"/>
        </w:rPr>
        <w:t xml:space="preserve">spine rating criteria do not address the headache criteria which are discussed below.  </w:t>
      </w:r>
      <w:r w:rsidR="00B52D0F">
        <w:rPr>
          <w:color w:val="auto"/>
          <w:szCs w:val="24"/>
        </w:rPr>
        <w:t xml:space="preserve">There was slight evidence of the CI seeking medical care with duty restrictions, but no clear periods of prescribed bed rest, and certainly not equating to </w:t>
      </w:r>
      <w:r w:rsidR="00FB5B1B">
        <w:rPr>
          <w:color w:val="auto"/>
          <w:szCs w:val="24"/>
        </w:rPr>
        <w:t>2</w:t>
      </w:r>
      <w:r w:rsidR="00B52D0F">
        <w:rPr>
          <w:color w:val="auto"/>
          <w:szCs w:val="24"/>
        </w:rPr>
        <w:t xml:space="preserve"> weeks in the last year.  </w:t>
      </w:r>
      <w:r w:rsidR="00972258" w:rsidRPr="00972258">
        <w:rPr>
          <w:color w:val="auto"/>
          <w:szCs w:val="24"/>
        </w:rPr>
        <w:t xml:space="preserve">The </w:t>
      </w:r>
      <w:r w:rsidRPr="00972258">
        <w:rPr>
          <w:color w:val="auto"/>
          <w:szCs w:val="24"/>
        </w:rPr>
        <w:t xml:space="preserve">Board therefore could not find evidentiary justification for recommending a </w:t>
      </w:r>
      <w:r w:rsidR="00183611" w:rsidRPr="00972258">
        <w:rPr>
          <w:color w:val="auto"/>
          <w:szCs w:val="24"/>
        </w:rPr>
        <w:t xml:space="preserve">cervical spine </w:t>
      </w:r>
      <w:r w:rsidRPr="00972258">
        <w:rPr>
          <w:color w:val="auto"/>
          <w:szCs w:val="24"/>
        </w:rPr>
        <w:t xml:space="preserve">rating </w:t>
      </w:r>
      <w:r w:rsidR="00B52D0F">
        <w:rPr>
          <w:color w:val="auto"/>
          <w:szCs w:val="24"/>
        </w:rPr>
        <w:t xml:space="preserve">greater than 10% </w:t>
      </w:r>
      <w:r w:rsidRPr="00972258">
        <w:rPr>
          <w:color w:val="auto"/>
          <w:szCs w:val="24"/>
        </w:rPr>
        <w:t>under the 5293 c</w:t>
      </w:r>
      <w:r w:rsidR="003D789B">
        <w:rPr>
          <w:color w:val="auto"/>
          <w:szCs w:val="24"/>
        </w:rPr>
        <w:t>riteria</w:t>
      </w:r>
      <w:r w:rsidRPr="00972258">
        <w:rPr>
          <w:color w:val="auto"/>
          <w:szCs w:val="24"/>
        </w:rPr>
        <w:t>.</w:t>
      </w:r>
      <w:r w:rsidRPr="00436C0F">
        <w:rPr>
          <w:color w:val="auto"/>
          <w:szCs w:val="24"/>
        </w:rPr>
        <w:t xml:space="preserve"> </w:t>
      </w:r>
      <w:r w:rsidR="00436C0F">
        <w:rPr>
          <w:color w:val="auto"/>
          <w:szCs w:val="24"/>
        </w:rPr>
        <w:t xml:space="preserve"> </w:t>
      </w:r>
      <w:r w:rsidR="00370DCA">
        <w:rPr>
          <w:color w:val="auto"/>
          <w:szCs w:val="24"/>
        </w:rPr>
        <w:t xml:space="preserve">Any peripheral nerve rating is outside of the scope of the Board as noted above.  </w:t>
      </w:r>
      <w:r w:rsidR="003D789B">
        <w:rPr>
          <w:rFonts w:eastAsia="Calibri" w:cs="Times New Roman"/>
          <w:color w:val="auto"/>
          <w:szCs w:val="24"/>
        </w:rPr>
        <w:t>The preponderance of the record indicated slight pain-limited cervical ROM and t</w:t>
      </w:r>
      <w:r w:rsidRPr="00436C0F">
        <w:rPr>
          <w:rFonts w:eastAsia="Calibri" w:cs="Times New Roman"/>
          <w:color w:val="auto"/>
          <w:szCs w:val="24"/>
        </w:rPr>
        <w:t>he VA</w:t>
      </w:r>
      <w:r w:rsidR="003D789B">
        <w:rPr>
          <w:rFonts w:eastAsia="Calibri" w:cs="Times New Roman"/>
          <w:color w:val="auto"/>
          <w:szCs w:val="24"/>
        </w:rPr>
        <w:t>’s</w:t>
      </w:r>
      <w:r w:rsidRPr="00436C0F">
        <w:rPr>
          <w:rFonts w:eastAsia="Calibri" w:cs="Times New Roman"/>
          <w:color w:val="auto"/>
          <w:szCs w:val="24"/>
        </w:rPr>
        <w:t xml:space="preserve"> 10% rating and </w:t>
      </w:r>
      <w:r w:rsidRPr="00370DCA">
        <w:rPr>
          <w:rFonts w:eastAsia="Calibri" w:cs="Times New Roman"/>
          <w:color w:val="auto"/>
          <w:szCs w:val="24"/>
        </w:rPr>
        <w:t xml:space="preserve">coding of 5293-5290 best portrayed the CI’s neck disability with intervertebral disc syndrome and </w:t>
      </w:r>
      <w:r w:rsidR="003D789B" w:rsidRPr="00370DCA">
        <w:rPr>
          <w:rFonts w:eastAsia="Calibri" w:cs="Times New Roman"/>
          <w:color w:val="auto"/>
          <w:szCs w:val="24"/>
        </w:rPr>
        <w:t xml:space="preserve">rating </w:t>
      </w:r>
      <w:r w:rsidRPr="00370DCA">
        <w:rPr>
          <w:rFonts w:eastAsia="Calibri" w:cs="Times New Roman"/>
          <w:color w:val="auto"/>
          <w:szCs w:val="24"/>
        </w:rPr>
        <w:t>criteria of slight limited</w:t>
      </w:r>
      <w:r w:rsidRPr="00CC6653">
        <w:rPr>
          <w:rFonts w:eastAsia="Calibri" w:cs="Times New Roman"/>
          <w:color w:val="auto"/>
          <w:szCs w:val="24"/>
        </w:rPr>
        <w:t xml:space="preserve"> motion.  </w:t>
      </w:r>
    </w:p>
    <w:p w:rsidR="00AC2770" w:rsidRDefault="00AC2770" w:rsidP="00CC6653">
      <w:pPr>
        <w:jc w:val="both"/>
        <w:rPr>
          <w:rFonts w:eastAsia="Calibri" w:cs="Times New Roman"/>
          <w:color w:val="auto"/>
          <w:szCs w:val="24"/>
        </w:rPr>
      </w:pPr>
    </w:p>
    <w:p w:rsidR="00370DCA" w:rsidRPr="00F12F07" w:rsidRDefault="00952383" w:rsidP="000074EF">
      <w:pPr>
        <w:jc w:val="both"/>
        <w:rPr>
          <w:color w:val="auto"/>
          <w:szCs w:val="24"/>
        </w:rPr>
      </w:pPr>
      <w:r w:rsidRPr="003D789B">
        <w:rPr>
          <w:color w:val="000000" w:themeColor="text1"/>
          <w:szCs w:val="24"/>
          <w:u w:val="single"/>
        </w:rPr>
        <w:t>Headaches</w:t>
      </w:r>
      <w:r w:rsidRPr="00EC7B32">
        <w:rPr>
          <w:color w:val="auto"/>
          <w:szCs w:val="24"/>
        </w:rPr>
        <w:t xml:space="preserve">:  </w:t>
      </w:r>
      <w:r w:rsidR="00DF6EBE" w:rsidRPr="00EC7B32">
        <w:rPr>
          <w:color w:val="auto"/>
          <w:szCs w:val="24"/>
        </w:rPr>
        <w:t xml:space="preserve">The Board first considered if headaches, having been de-coupled from the combined PEB adjudication, remained independently unfitting as established above.  </w:t>
      </w:r>
      <w:r w:rsidR="00370DCA" w:rsidRPr="003D789B">
        <w:rPr>
          <w:color w:val="000000" w:themeColor="text1"/>
          <w:szCs w:val="24"/>
        </w:rPr>
        <w:t>The first MEB</w:t>
      </w:r>
      <w:r w:rsidR="00370DCA" w:rsidRPr="00B81CE4">
        <w:rPr>
          <w:color w:val="000000" w:themeColor="text1"/>
          <w:szCs w:val="24"/>
        </w:rPr>
        <w:t xml:space="preserve"> did not include headache </w:t>
      </w:r>
      <w:r w:rsidR="00370DCA">
        <w:rPr>
          <w:color w:val="000000" w:themeColor="text1"/>
          <w:szCs w:val="24"/>
        </w:rPr>
        <w:t>(</w:t>
      </w:r>
      <w:r w:rsidR="00370DCA" w:rsidRPr="00B81CE4">
        <w:rPr>
          <w:color w:val="000000" w:themeColor="text1"/>
          <w:szCs w:val="24"/>
        </w:rPr>
        <w:t>or potential surgical correction of the cervical spine</w:t>
      </w:r>
      <w:r w:rsidR="00370DCA">
        <w:rPr>
          <w:color w:val="000000" w:themeColor="text1"/>
          <w:szCs w:val="24"/>
        </w:rPr>
        <w:t>)</w:t>
      </w:r>
      <w:r w:rsidR="00370DCA" w:rsidRPr="00B81CE4">
        <w:rPr>
          <w:color w:val="000000" w:themeColor="text1"/>
          <w:szCs w:val="24"/>
        </w:rPr>
        <w:t xml:space="preserve"> which the </w:t>
      </w:r>
      <w:r w:rsidR="00370DCA" w:rsidRPr="00F12F07">
        <w:rPr>
          <w:color w:val="000000" w:themeColor="text1"/>
          <w:szCs w:val="24"/>
        </w:rPr>
        <w:t xml:space="preserve">second MEB specifically considered.  The final MEB listed </w:t>
      </w:r>
      <w:r w:rsidR="00370DCA" w:rsidRPr="00F12F07">
        <w:rPr>
          <w:color w:val="auto"/>
          <w:szCs w:val="24"/>
        </w:rPr>
        <w:t xml:space="preserve">a separate diagnosis of idiopathic daily headache </w:t>
      </w:r>
      <w:r w:rsidR="00370DCA" w:rsidRPr="00F12F07">
        <w:rPr>
          <w:color w:val="000000" w:themeColor="text1"/>
          <w:szCs w:val="24"/>
        </w:rPr>
        <w:t>as medically unacceptable IAW AR 40-501.</w:t>
      </w:r>
      <w:r w:rsidR="00370DCA">
        <w:rPr>
          <w:color w:val="000000" w:themeColor="text1"/>
          <w:szCs w:val="24"/>
        </w:rPr>
        <w:t xml:space="preserve">  The CI had a temporary P2 profile added that included headaches</w:t>
      </w:r>
      <w:r w:rsidR="00F12F07">
        <w:rPr>
          <w:color w:val="000000" w:themeColor="text1"/>
          <w:szCs w:val="24"/>
        </w:rPr>
        <w:t>, but with fewer restrictions than the permanent U3 profile</w:t>
      </w:r>
      <w:r w:rsidR="00370DCA">
        <w:rPr>
          <w:color w:val="000000" w:themeColor="text1"/>
          <w:szCs w:val="24"/>
        </w:rPr>
        <w:t xml:space="preserve">.  </w:t>
      </w:r>
      <w:r w:rsidR="00370DCA" w:rsidRPr="00F64312">
        <w:rPr>
          <w:color w:val="auto"/>
          <w:szCs w:val="24"/>
        </w:rPr>
        <w:t>At the MEB exam, the CI reported</w:t>
      </w:r>
      <w:r w:rsidR="00370DCA">
        <w:rPr>
          <w:color w:val="auto"/>
          <w:szCs w:val="24"/>
        </w:rPr>
        <w:t xml:space="preserve"> increasingly severe headaches</w:t>
      </w:r>
      <w:r w:rsidR="00370DCA" w:rsidRPr="00F64312">
        <w:rPr>
          <w:color w:val="auto"/>
          <w:szCs w:val="24"/>
        </w:rPr>
        <w:t xml:space="preserve"> </w:t>
      </w:r>
      <w:r w:rsidR="00370DCA">
        <w:rPr>
          <w:color w:val="auto"/>
          <w:szCs w:val="24"/>
        </w:rPr>
        <w:t xml:space="preserve">over </w:t>
      </w:r>
      <w:r w:rsidR="00FB5B1B">
        <w:rPr>
          <w:color w:val="auto"/>
          <w:szCs w:val="24"/>
        </w:rPr>
        <w:t>5</w:t>
      </w:r>
      <w:r w:rsidR="00370DCA">
        <w:rPr>
          <w:color w:val="auto"/>
          <w:szCs w:val="24"/>
        </w:rPr>
        <w:t xml:space="preserve"> years.  </w:t>
      </w:r>
      <w:r w:rsidR="00370DCA">
        <w:rPr>
          <w:color w:val="000000" w:themeColor="text1"/>
          <w:szCs w:val="24"/>
        </w:rPr>
        <w:t xml:space="preserve">Headaches were “usually an </w:t>
      </w:r>
      <w:r w:rsidR="00370DCA" w:rsidRPr="005867CE">
        <w:rPr>
          <w:color w:val="auto"/>
          <w:szCs w:val="24"/>
        </w:rPr>
        <w:t xml:space="preserve">aching sensation rated 4/10, sometimes with shooting sensation forward to the </w:t>
      </w:r>
      <w:r w:rsidR="00370DCA" w:rsidRPr="00F12F07">
        <w:rPr>
          <w:color w:val="auto"/>
          <w:szCs w:val="24"/>
        </w:rPr>
        <w:t xml:space="preserve">forehead.  It is present 24 hours/day, </w:t>
      </w:r>
      <w:r w:rsidR="00FB5B1B">
        <w:rPr>
          <w:color w:val="auto"/>
          <w:szCs w:val="24"/>
        </w:rPr>
        <w:t>7</w:t>
      </w:r>
      <w:r w:rsidR="00370DCA" w:rsidRPr="00F12F07">
        <w:rPr>
          <w:color w:val="auto"/>
          <w:szCs w:val="24"/>
        </w:rPr>
        <w:t xml:space="preserve"> days a week and can go up to 10/10.”  Medications included </w:t>
      </w:r>
      <w:proofErr w:type="spellStart"/>
      <w:r w:rsidR="00370DCA" w:rsidRPr="00F12F07">
        <w:rPr>
          <w:color w:val="auto"/>
          <w:szCs w:val="24"/>
        </w:rPr>
        <w:t>Fioricet</w:t>
      </w:r>
      <w:proofErr w:type="spellEnd"/>
      <w:r w:rsidR="00370DCA" w:rsidRPr="00F12F07">
        <w:rPr>
          <w:color w:val="auto"/>
          <w:szCs w:val="24"/>
        </w:rPr>
        <w:t xml:space="preserve"> (Acetaminophen, </w:t>
      </w:r>
      <w:proofErr w:type="spellStart"/>
      <w:r w:rsidR="00FB5B1B">
        <w:rPr>
          <w:color w:val="auto"/>
          <w:szCs w:val="24"/>
        </w:rPr>
        <w:t>B</w:t>
      </w:r>
      <w:r w:rsidR="00370DCA" w:rsidRPr="00F12F07">
        <w:rPr>
          <w:color w:val="auto"/>
          <w:szCs w:val="24"/>
        </w:rPr>
        <w:t>utalbital</w:t>
      </w:r>
      <w:proofErr w:type="spellEnd"/>
      <w:r w:rsidR="00370DCA" w:rsidRPr="00F12F07">
        <w:rPr>
          <w:color w:val="auto"/>
          <w:szCs w:val="24"/>
        </w:rPr>
        <w:t xml:space="preserve"> [barbiturate], and caffeine) and Naproxen.  Prior treatments had included multiple occipital and supratrochlear nerve injections.  The exam</w:t>
      </w:r>
      <w:r w:rsidR="00370DCA">
        <w:rPr>
          <w:color w:val="auto"/>
          <w:szCs w:val="24"/>
        </w:rPr>
        <w:t xml:space="preserve"> findings are charted above in the neck section and of note included l</w:t>
      </w:r>
      <w:r w:rsidR="00370DCA" w:rsidRPr="005867CE">
        <w:rPr>
          <w:color w:val="auto"/>
          <w:szCs w:val="24"/>
        </w:rPr>
        <w:t>eft deltoid</w:t>
      </w:r>
      <w:r w:rsidR="00370DCA">
        <w:rPr>
          <w:color w:val="auto"/>
          <w:szCs w:val="24"/>
        </w:rPr>
        <w:t xml:space="preserve"> and </w:t>
      </w:r>
      <w:r w:rsidR="00370DCA" w:rsidRPr="005867CE">
        <w:rPr>
          <w:color w:val="auto"/>
          <w:szCs w:val="24"/>
        </w:rPr>
        <w:t>biceps weakness relative to the right side 4/5</w:t>
      </w:r>
      <w:r w:rsidR="00370DCA">
        <w:rPr>
          <w:color w:val="auto"/>
          <w:szCs w:val="24"/>
        </w:rPr>
        <w:t xml:space="preserve"> and “</w:t>
      </w:r>
      <w:r w:rsidR="00370DCA" w:rsidRPr="00D54651">
        <w:rPr>
          <w:color w:val="auto"/>
          <w:szCs w:val="24"/>
        </w:rPr>
        <w:t>decreased sensation to touch</w:t>
      </w:r>
      <w:r w:rsidR="00370DCA">
        <w:rPr>
          <w:color w:val="auto"/>
          <w:szCs w:val="24"/>
        </w:rPr>
        <w:t xml:space="preserve"> </w:t>
      </w:r>
      <w:r w:rsidR="00370DCA" w:rsidRPr="00D54651">
        <w:rPr>
          <w:color w:val="auto"/>
          <w:szCs w:val="24"/>
        </w:rPr>
        <w:t xml:space="preserve">and pin prick </w:t>
      </w:r>
      <w:r w:rsidR="00370DCA" w:rsidRPr="00D54651">
        <w:rPr>
          <w:color w:val="auto"/>
          <w:szCs w:val="24"/>
        </w:rPr>
        <w:lastRenderedPageBreak/>
        <w:t>throughout the right side of his face, arm as well as leg.</w:t>
      </w:r>
      <w:r w:rsidR="00370DCA">
        <w:rPr>
          <w:color w:val="auto"/>
          <w:szCs w:val="24"/>
        </w:rPr>
        <w:t xml:space="preserve">”  Attributing these symptoms to migraine-like headaches would be mere speculation. </w:t>
      </w:r>
      <w:r w:rsidR="00370DCA" w:rsidRPr="00D54651">
        <w:rPr>
          <w:color w:val="auto"/>
          <w:szCs w:val="24"/>
        </w:rPr>
        <w:t xml:space="preserve"> </w:t>
      </w:r>
      <w:r w:rsidR="00370DCA">
        <w:rPr>
          <w:color w:val="000000" w:themeColor="text1"/>
          <w:szCs w:val="24"/>
        </w:rPr>
        <w:t xml:space="preserve">The neurologist stated the CI “clearly has headaches, at least in part due </w:t>
      </w:r>
      <w:r w:rsidR="00370DCA" w:rsidRPr="00F12F07">
        <w:rPr>
          <w:color w:val="000000" w:themeColor="text1"/>
          <w:szCs w:val="24"/>
        </w:rPr>
        <w:t>to greater occipital neuralgia. There is a question of cervical radiculopathy.  However, findings on physical examination did not correlate with findings with the lesion as seen on the MRI.”  The CI was started</w:t>
      </w:r>
      <w:r w:rsidR="00370DCA" w:rsidRPr="00D54651">
        <w:rPr>
          <w:color w:val="000000" w:themeColor="text1"/>
          <w:szCs w:val="24"/>
        </w:rPr>
        <w:t xml:space="preserve"> on </w:t>
      </w:r>
      <w:proofErr w:type="spellStart"/>
      <w:r w:rsidR="00370DCA" w:rsidRPr="00D54651">
        <w:rPr>
          <w:color w:val="000000" w:themeColor="text1"/>
          <w:szCs w:val="24"/>
        </w:rPr>
        <w:t>Neurontin</w:t>
      </w:r>
      <w:proofErr w:type="spellEnd"/>
      <w:r w:rsidR="00370DCA">
        <w:rPr>
          <w:color w:val="000000" w:themeColor="text1"/>
          <w:szCs w:val="24"/>
        </w:rPr>
        <w:t xml:space="preserve"> (</w:t>
      </w:r>
      <w:proofErr w:type="spellStart"/>
      <w:r w:rsidR="00FB5B1B">
        <w:rPr>
          <w:color w:val="000000" w:themeColor="text1"/>
          <w:szCs w:val="24"/>
        </w:rPr>
        <w:t>G</w:t>
      </w:r>
      <w:r w:rsidR="00370DCA" w:rsidRPr="006B223D">
        <w:rPr>
          <w:color w:val="000000" w:themeColor="text1"/>
          <w:szCs w:val="24"/>
        </w:rPr>
        <w:t>abapentin</w:t>
      </w:r>
      <w:proofErr w:type="spellEnd"/>
      <w:r w:rsidR="00370DCA">
        <w:rPr>
          <w:color w:val="000000" w:themeColor="text1"/>
          <w:szCs w:val="24"/>
        </w:rPr>
        <w:t>—for nerve conditions),</w:t>
      </w:r>
      <w:r w:rsidR="00370DCA" w:rsidRPr="00D54651">
        <w:rPr>
          <w:color w:val="000000" w:themeColor="text1"/>
          <w:szCs w:val="24"/>
        </w:rPr>
        <w:t xml:space="preserve"> surgical traction </w:t>
      </w:r>
      <w:r w:rsidR="00370DCA">
        <w:rPr>
          <w:color w:val="000000" w:themeColor="text1"/>
          <w:szCs w:val="24"/>
        </w:rPr>
        <w:t>and scheduled for additional injections.  The addendum indicated “</w:t>
      </w:r>
      <w:r w:rsidR="00370DCA" w:rsidRPr="00F12F07">
        <w:rPr>
          <w:color w:val="000000" w:themeColor="text1"/>
          <w:szCs w:val="24"/>
        </w:rPr>
        <w:t>The patient failed greater occipital nerve injections.  Therefore, he most likely has idiopathic chronic daily headaches, possibly</w:t>
      </w:r>
      <w:r w:rsidR="00370DCA" w:rsidRPr="00D54651">
        <w:rPr>
          <w:color w:val="000000" w:themeColor="text1"/>
          <w:szCs w:val="24"/>
        </w:rPr>
        <w:t xml:space="preserve"> due in part to his neck pain.</w:t>
      </w:r>
      <w:r w:rsidR="00370DCA">
        <w:rPr>
          <w:color w:val="000000" w:themeColor="text1"/>
          <w:szCs w:val="24"/>
        </w:rPr>
        <w:t xml:space="preserve">  </w:t>
      </w:r>
      <w:r w:rsidR="008D51C8">
        <w:rPr>
          <w:color w:val="000000" w:themeColor="text1"/>
          <w:szCs w:val="24"/>
        </w:rPr>
        <w:t xml:space="preserve">The CI had five headache treatment notes in the year prior to separation including two injections, one profile request, and two for medication.  </w:t>
      </w:r>
      <w:r w:rsidR="000074EF">
        <w:rPr>
          <w:color w:val="000000" w:themeColor="text1"/>
          <w:szCs w:val="24"/>
        </w:rPr>
        <w:t xml:space="preserve">Notes did mention intractable pain, and the memo from the spouse to the MEB regarding pain (neck versus headache was not specified) were noted.  </w:t>
      </w:r>
      <w:r w:rsidR="008D51C8">
        <w:rPr>
          <w:color w:val="000000" w:themeColor="text1"/>
          <w:szCs w:val="24"/>
        </w:rPr>
        <w:t xml:space="preserve">There was no evidence of </w:t>
      </w:r>
      <w:r w:rsidR="00FE5178">
        <w:rPr>
          <w:color w:val="000000" w:themeColor="text1"/>
          <w:szCs w:val="24"/>
        </w:rPr>
        <w:t>specific “</w:t>
      </w:r>
      <w:r w:rsidR="00FE5178" w:rsidRPr="00FE5178">
        <w:rPr>
          <w:color w:val="000000" w:themeColor="text1"/>
          <w:szCs w:val="24"/>
        </w:rPr>
        <w:t>characteristic prostrating attacks</w:t>
      </w:r>
      <w:r w:rsidR="00FE5178">
        <w:rPr>
          <w:color w:val="000000" w:themeColor="text1"/>
          <w:szCs w:val="24"/>
        </w:rPr>
        <w:t>” from the headaches</w:t>
      </w:r>
      <w:r w:rsidR="008D51C8">
        <w:rPr>
          <w:color w:val="000000" w:themeColor="text1"/>
          <w:szCs w:val="24"/>
        </w:rPr>
        <w:t xml:space="preserve">.  </w:t>
      </w:r>
    </w:p>
    <w:p w:rsidR="00370DCA" w:rsidRDefault="00370DCA" w:rsidP="00370DCA">
      <w:pPr>
        <w:jc w:val="both"/>
        <w:rPr>
          <w:color w:val="000000" w:themeColor="text1"/>
          <w:szCs w:val="24"/>
        </w:rPr>
      </w:pPr>
    </w:p>
    <w:p w:rsidR="008D51C8" w:rsidRDefault="008D51C8" w:rsidP="008D51C8">
      <w:pPr>
        <w:jc w:val="both"/>
        <w:rPr>
          <w:color w:val="000000" w:themeColor="text1"/>
          <w:szCs w:val="24"/>
        </w:rPr>
      </w:pPr>
      <w:r w:rsidRPr="00F12F07">
        <w:rPr>
          <w:color w:val="000000" w:themeColor="text1"/>
          <w:szCs w:val="24"/>
        </w:rPr>
        <w:t xml:space="preserve">The commander’s statement did not mention the headache condition and duty limitations </w:t>
      </w:r>
      <w:r>
        <w:rPr>
          <w:color w:val="000000" w:themeColor="text1"/>
          <w:szCs w:val="24"/>
        </w:rPr>
        <w:t>of</w:t>
      </w:r>
      <w:r w:rsidRPr="00F12F07">
        <w:rPr>
          <w:color w:val="000000" w:themeColor="text1"/>
          <w:szCs w:val="24"/>
        </w:rPr>
        <w:t xml:space="preserve"> wearing military equipment</w:t>
      </w:r>
      <w:r>
        <w:rPr>
          <w:color w:val="000000" w:themeColor="text1"/>
          <w:szCs w:val="24"/>
        </w:rPr>
        <w:t>,</w:t>
      </w:r>
      <w:r w:rsidRPr="00F12F07">
        <w:rPr>
          <w:color w:val="000000" w:themeColor="text1"/>
          <w:szCs w:val="24"/>
        </w:rPr>
        <w:t xml:space="preserve"> load bearing equipment (LBE), </w:t>
      </w:r>
      <w:proofErr w:type="spellStart"/>
      <w:r w:rsidRPr="00F12F07">
        <w:rPr>
          <w:color w:val="000000" w:themeColor="text1"/>
          <w:szCs w:val="24"/>
        </w:rPr>
        <w:t>kevlar</w:t>
      </w:r>
      <w:proofErr w:type="spellEnd"/>
      <w:r w:rsidRPr="00F12F07">
        <w:rPr>
          <w:color w:val="000000" w:themeColor="text1"/>
          <w:szCs w:val="24"/>
        </w:rPr>
        <w:t xml:space="preserve"> or rucksack</w:t>
      </w:r>
      <w:r>
        <w:rPr>
          <w:color w:val="000000" w:themeColor="text1"/>
          <w:szCs w:val="24"/>
        </w:rPr>
        <w:t xml:space="preserve">; </w:t>
      </w:r>
      <w:r w:rsidRPr="00F12F07">
        <w:rPr>
          <w:color w:val="000000" w:themeColor="text1"/>
          <w:szCs w:val="24"/>
        </w:rPr>
        <w:t>closely mirrored the U3 profile which did not include the headache condition.</w:t>
      </w:r>
      <w:r>
        <w:rPr>
          <w:color w:val="000000" w:themeColor="text1"/>
          <w:szCs w:val="24"/>
        </w:rPr>
        <w:t xml:space="preserve">  T</w:t>
      </w:r>
      <w:r w:rsidRPr="00F12F07">
        <w:rPr>
          <w:color w:val="000000" w:themeColor="text1"/>
          <w:szCs w:val="24"/>
        </w:rPr>
        <w:t xml:space="preserve">he commander stated the CI “has continued to maintain his motivation and contribute to the battalion's daily mission within the limited capacity of duties that he can execute. </w:t>
      </w:r>
      <w:r>
        <w:rPr>
          <w:color w:val="000000" w:themeColor="text1"/>
          <w:szCs w:val="24"/>
        </w:rPr>
        <w:t xml:space="preserve"> </w:t>
      </w:r>
      <w:r w:rsidRPr="008D51C8">
        <w:rPr>
          <w:color w:val="000000" w:themeColor="text1"/>
          <w:szCs w:val="24"/>
        </w:rPr>
        <w:t>However, I feel that due to his physical limitation,</w:t>
      </w:r>
      <w:r>
        <w:rPr>
          <w:color w:val="000000" w:themeColor="text1"/>
          <w:szCs w:val="24"/>
        </w:rPr>
        <w:t xml:space="preserve"> </w:t>
      </w:r>
      <w:r w:rsidRPr="008D51C8">
        <w:rPr>
          <w:color w:val="000000" w:themeColor="text1"/>
          <w:szCs w:val="24"/>
        </w:rPr>
        <w:t>he can no longer serve in a unit with the potential to deploy to any training or contingency</w:t>
      </w:r>
      <w:r>
        <w:rPr>
          <w:color w:val="000000" w:themeColor="text1"/>
          <w:szCs w:val="24"/>
        </w:rPr>
        <w:t xml:space="preserve"> </w:t>
      </w:r>
      <w:r w:rsidRPr="008D51C8">
        <w:rPr>
          <w:color w:val="000000" w:themeColor="text1"/>
          <w:szCs w:val="24"/>
        </w:rPr>
        <w:t>operation.</w:t>
      </w:r>
      <w:r>
        <w:rPr>
          <w:color w:val="000000" w:themeColor="text1"/>
          <w:szCs w:val="24"/>
        </w:rPr>
        <w:t xml:space="preserve">”  There was no indication of functional </w:t>
      </w:r>
      <w:r w:rsidRPr="00F12F07">
        <w:rPr>
          <w:color w:val="000000" w:themeColor="text1"/>
          <w:szCs w:val="24"/>
        </w:rPr>
        <w:t xml:space="preserve">impairment in </w:t>
      </w:r>
      <w:r>
        <w:rPr>
          <w:color w:val="000000" w:themeColor="text1"/>
          <w:szCs w:val="24"/>
        </w:rPr>
        <w:t xml:space="preserve">MOS </w:t>
      </w:r>
      <w:r w:rsidRPr="00F12F07">
        <w:rPr>
          <w:color w:val="000000" w:themeColor="text1"/>
          <w:szCs w:val="24"/>
        </w:rPr>
        <w:t xml:space="preserve">garrison </w:t>
      </w:r>
      <w:r>
        <w:rPr>
          <w:color w:val="000000" w:themeColor="text1"/>
          <w:szCs w:val="24"/>
        </w:rPr>
        <w:t xml:space="preserve">duties.  </w:t>
      </w:r>
    </w:p>
    <w:p w:rsidR="008D51C8" w:rsidRDefault="008D51C8" w:rsidP="00370DCA">
      <w:pPr>
        <w:jc w:val="both"/>
        <w:rPr>
          <w:color w:val="000000" w:themeColor="text1"/>
          <w:szCs w:val="24"/>
        </w:rPr>
      </w:pPr>
    </w:p>
    <w:p w:rsidR="00370DCA" w:rsidRPr="008D51C8" w:rsidRDefault="00370DCA" w:rsidP="00FE5178">
      <w:pPr>
        <w:jc w:val="both"/>
        <w:rPr>
          <w:color w:val="000000" w:themeColor="text1"/>
          <w:szCs w:val="24"/>
        </w:rPr>
      </w:pPr>
      <w:r w:rsidRPr="00F64312">
        <w:rPr>
          <w:color w:val="auto"/>
          <w:szCs w:val="24"/>
        </w:rPr>
        <w:t>At the VA Compensation and Pension (C&amp;P) exam</w:t>
      </w:r>
      <w:r w:rsidRPr="00F12F07">
        <w:rPr>
          <w:color w:val="auto"/>
          <w:szCs w:val="24"/>
        </w:rPr>
        <w:t xml:space="preserve">, </w:t>
      </w:r>
      <w:r w:rsidR="00FB5B1B">
        <w:rPr>
          <w:color w:val="auto"/>
          <w:szCs w:val="24"/>
        </w:rPr>
        <w:t xml:space="preserve">a </w:t>
      </w:r>
      <w:r w:rsidRPr="00F12F07">
        <w:rPr>
          <w:color w:val="auto"/>
          <w:szCs w:val="24"/>
        </w:rPr>
        <w:t>month prior to separation, the CI reported headaches that started with his neck pain in 1997 without trauma.  “The (CI) states he has headaches everyday with nausea and blurred vision.  The headache will last all day long and he rates it as 6-10/10 pain.  The headache involves the entire head.  The (CI) states it affects his daily activities and occupation because it make</w:t>
      </w:r>
      <w:r w:rsidR="00B02C21">
        <w:rPr>
          <w:color w:val="auto"/>
          <w:szCs w:val="24"/>
        </w:rPr>
        <w:t xml:space="preserve">s it difficult to concentrate. </w:t>
      </w:r>
      <w:r w:rsidRPr="00F12F07">
        <w:rPr>
          <w:color w:val="auto"/>
          <w:szCs w:val="24"/>
        </w:rPr>
        <w:t xml:space="preserve">The veteran currently is treated with Zoloft, </w:t>
      </w:r>
      <w:proofErr w:type="spellStart"/>
      <w:r w:rsidR="00FB5B1B">
        <w:rPr>
          <w:color w:val="auto"/>
          <w:szCs w:val="24"/>
        </w:rPr>
        <w:t>G</w:t>
      </w:r>
      <w:r w:rsidRPr="00F12F07">
        <w:rPr>
          <w:color w:val="auto"/>
          <w:szCs w:val="24"/>
        </w:rPr>
        <w:t>abapentin</w:t>
      </w:r>
      <w:proofErr w:type="spellEnd"/>
      <w:r w:rsidRPr="00F12F07">
        <w:rPr>
          <w:color w:val="auto"/>
          <w:szCs w:val="24"/>
        </w:rPr>
        <w:t xml:space="preserve"> (</w:t>
      </w:r>
      <w:proofErr w:type="spellStart"/>
      <w:r w:rsidRPr="00F12F07">
        <w:rPr>
          <w:color w:val="000000" w:themeColor="text1"/>
          <w:szCs w:val="24"/>
        </w:rPr>
        <w:t>Neurontin</w:t>
      </w:r>
      <w:proofErr w:type="spellEnd"/>
      <w:r w:rsidRPr="00F12F07">
        <w:rPr>
          <w:color w:val="000000" w:themeColor="text1"/>
          <w:szCs w:val="24"/>
        </w:rPr>
        <w:t>)</w:t>
      </w:r>
      <w:r w:rsidRPr="00F12F07">
        <w:rPr>
          <w:color w:val="auto"/>
          <w:szCs w:val="24"/>
        </w:rPr>
        <w:t xml:space="preserve">, and </w:t>
      </w:r>
      <w:proofErr w:type="spellStart"/>
      <w:r w:rsidRPr="00F12F07">
        <w:rPr>
          <w:color w:val="auto"/>
          <w:szCs w:val="24"/>
        </w:rPr>
        <w:t>Fioricet</w:t>
      </w:r>
      <w:proofErr w:type="spellEnd"/>
      <w:r w:rsidRPr="00F12F07">
        <w:rPr>
          <w:color w:val="auto"/>
          <w:szCs w:val="24"/>
        </w:rPr>
        <w:t xml:space="preserve">, which decreases the headache to 6/10 for approximately 3 hours.”  The CI’s only medication side effect was drowsiness.  As noted in the cervical section above the exam indicated </w:t>
      </w:r>
      <w:r w:rsidRPr="00F12F07">
        <w:rPr>
          <w:color w:val="000000" w:themeColor="text1"/>
          <w:szCs w:val="24"/>
        </w:rPr>
        <w:t>“</w:t>
      </w:r>
      <w:r w:rsidR="00FB5B1B">
        <w:rPr>
          <w:color w:val="000000" w:themeColor="text1"/>
          <w:szCs w:val="24"/>
        </w:rPr>
        <w:t>a</w:t>
      </w:r>
      <w:r w:rsidRPr="00F12F07">
        <w:rPr>
          <w:color w:val="000000" w:themeColor="text1"/>
          <w:szCs w:val="24"/>
        </w:rPr>
        <w:t xml:space="preserve">ll the joints in the neck and back below were weaker throughout </w:t>
      </w:r>
      <w:r w:rsidR="00FB5B1B">
        <w:rPr>
          <w:color w:val="000000" w:themeColor="text1"/>
          <w:szCs w:val="24"/>
        </w:rPr>
        <w:t>ROM</w:t>
      </w:r>
      <w:r w:rsidRPr="00F12F07">
        <w:rPr>
          <w:color w:val="000000" w:themeColor="text1"/>
          <w:szCs w:val="24"/>
        </w:rPr>
        <w:t xml:space="preserve"> when resistance was applied.  Fatigability was noted with repetitive use.  The pain was noted to increase throughout </w:t>
      </w:r>
      <w:r w:rsidR="00FB5B1B">
        <w:rPr>
          <w:color w:val="000000" w:themeColor="text1"/>
          <w:szCs w:val="24"/>
        </w:rPr>
        <w:t>ROM</w:t>
      </w:r>
      <w:r w:rsidRPr="00F12F07">
        <w:rPr>
          <w:color w:val="000000" w:themeColor="text1"/>
          <w:szCs w:val="24"/>
        </w:rPr>
        <w:t xml:space="preserve"> with repetitive use.”  The diagnosis</w:t>
      </w:r>
      <w:r>
        <w:rPr>
          <w:color w:val="000000" w:themeColor="text1"/>
          <w:szCs w:val="24"/>
        </w:rPr>
        <w:t xml:space="preserve"> was “</w:t>
      </w:r>
      <w:r w:rsidR="00FB5B1B">
        <w:rPr>
          <w:color w:val="000000" w:themeColor="text1"/>
          <w:szCs w:val="24"/>
        </w:rPr>
        <w:t>h</w:t>
      </w:r>
      <w:r w:rsidRPr="00C35921">
        <w:rPr>
          <w:color w:val="000000" w:themeColor="text1"/>
          <w:szCs w:val="24"/>
        </w:rPr>
        <w:t xml:space="preserve">eadache secondary to cervical herniated nucleus </w:t>
      </w:r>
      <w:r w:rsidR="00F12F07" w:rsidRPr="00C35921">
        <w:rPr>
          <w:color w:val="000000" w:themeColor="text1"/>
          <w:szCs w:val="24"/>
        </w:rPr>
        <w:t>pulpous</w:t>
      </w:r>
      <w:r w:rsidRPr="00C35921">
        <w:rPr>
          <w:color w:val="000000" w:themeColor="text1"/>
          <w:szCs w:val="24"/>
        </w:rPr>
        <w:t>.</w:t>
      </w:r>
      <w:r>
        <w:rPr>
          <w:color w:val="000000" w:themeColor="text1"/>
          <w:szCs w:val="24"/>
        </w:rPr>
        <w:t>”  The VA rated this exam at 30%, analogous to migraine headaches (8199-8100</w:t>
      </w:r>
      <w:r w:rsidR="008D51C8">
        <w:rPr>
          <w:color w:val="000000" w:themeColor="text1"/>
          <w:szCs w:val="24"/>
        </w:rPr>
        <w:t xml:space="preserve"> - w</w:t>
      </w:r>
      <w:r w:rsidR="008D51C8" w:rsidRPr="008D51C8">
        <w:rPr>
          <w:color w:val="000000" w:themeColor="text1"/>
          <w:szCs w:val="24"/>
        </w:rPr>
        <w:t>ith characteristic prostrating attacks occurring on an average once a month over last several months</w:t>
      </w:r>
      <w:r>
        <w:rPr>
          <w:color w:val="000000" w:themeColor="text1"/>
          <w:szCs w:val="24"/>
        </w:rPr>
        <w:t>).</w:t>
      </w:r>
      <w:r w:rsidR="00F12F07">
        <w:rPr>
          <w:color w:val="000000" w:themeColor="text1"/>
          <w:szCs w:val="24"/>
        </w:rPr>
        <w:t xml:space="preserve">  </w:t>
      </w:r>
    </w:p>
    <w:p w:rsidR="00370DCA" w:rsidRPr="00F12F07" w:rsidRDefault="00370DCA" w:rsidP="008D51C8">
      <w:pPr>
        <w:jc w:val="both"/>
        <w:rPr>
          <w:color w:val="000000" w:themeColor="text1"/>
          <w:szCs w:val="24"/>
        </w:rPr>
      </w:pPr>
    </w:p>
    <w:p w:rsidR="00FE5178" w:rsidRPr="00E104C2" w:rsidRDefault="00FE5178" w:rsidP="00327ADE">
      <w:pPr>
        <w:jc w:val="both"/>
        <w:rPr>
          <w:color w:val="auto"/>
          <w:szCs w:val="24"/>
        </w:rPr>
      </w:pPr>
      <w:r>
        <w:rPr>
          <w:color w:val="000000" w:themeColor="text1"/>
          <w:szCs w:val="24"/>
        </w:rPr>
        <w:t xml:space="preserve">The Board had prolonged deliberation regarding the headache details from the entire record and the evidentiary standard for the </w:t>
      </w:r>
      <w:r w:rsidRPr="00B81CE4">
        <w:rPr>
          <w:color w:val="000000" w:themeColor="text1"/>
          <w:szCs w:val="24"/>
        </w:rPr>
        <w:t xml:space="preserve">“unbundled” </w:t>
      </w:r>
      <w:r>
        <w:rPr>
          <w:color w:val="000000" w:themeColor="text1"/>
          <w:szCs w:val="24"/>
        </w:rPr>
        <w:t xml:space="preserve">headache condition to be considered unfitting and separately compensable.  </w:t>
      </w:r>
      <w:r w:rsidR="000074EF">
        <w:rPr>
          <w:color w:val="auto"/>
          <w:szCs w:val="24"/>
        </w:rPr>
        <w:t>T</w:t>
      </w:r>
      <w:r w:rsidR="000074EF" w:rsidRPr="00370DCA">
        <w:rPr>
          <w:color w:val="auto"/>
          <w:szCs w:val="24"/>
        </w:rPr>
        <w:t xml:space="preserve">he </w:t>
      </w:r>
      <w:r w:rsidR="000074EF">
        <w:rPr>
          <w:color w:val="auto"/>
          <w:szCs w:val="24"/>
        </w:rPr>
        <w:t xml:space="preserve">Board discussed the </w:t>
      </w:r>
      <w:r w:rsidR="000074EF" w:rsidRPr="00370DCA">
        <w:rPr>
          <w:color w:val="auto"/>
          <w:szCs w:val="24"/>
        </w:rPr>
        <w:t>differences in definitions for “incapacitating episodes” for 5293, intervertebral disc syndrome (§4.71a; spine) and “prostrating attacks</w:t>
      </w:r>
      <w:r w:rsidR="000074EF" w:rsidRPr="00E104C2">
        <w:rPr>
          <w:color w:val="auto"/>
          <w:szCs w:val="24"/>
        </w:rPr>
        <w:t xml:space="preserve">” from the older DoDI and from VASRD 8100 </w:t>
      </w:r>
      <w:r w:rsidR="00FB5B1B">
        <w:rPr>
          <w:color w:val="auto"/>
          <w:szCs w:val="24"/>
        </w:rPr>
        <w:t>m</w:t>
      </w:r>
      <w:r w:rsidR="000074EF" w:rsidRPr="00E104C2">
        <w:rPr>
          <w:color w:val="auto"/>
          <w:szCs w:val="24"/>
        </w:rPr>
        <w:t>igraine criteria (§4.124a—</w:t>
      </w:r>
      <w:r w:rsidR="00FB5B1B">
        <w:rPr>
          <w:color w:val="auto"/>
          <w:szCs w:val="24"/>
        </w:rPr>
        <w:t>s</w:t>
      </w:r>
      <w:r w:rsidR="000074EF" w:rsidRPr="00E104C2">
        <w:rPr>
          <w:color w:val="auto"/>
          <w:szCs w:val="24"/>
        </w:rPr>
        <w:t xml:space="preserve">chedule of ratings–neurological conditions) which would only be applicable if headaches were considered unfitting.  </w:t>
      </w:r>
      <w:r w:rsidRPr="00E104C2">
        <w:rPr>
          <w:color w:val="auto"/>
          <w:szCs w:val="24"/>
        </w:rPr>
        <w:t xml:space="preserve">The possibility of an unfitting headache condition was considered with a rating of 10% </w:t>
      </w:r>
      <w:r w:rsidR="00327ADE" w:rsidRPr="00E104C2">
        <w:rPr>
          <w:color w:val="auto"/>
          <w:szCs w:val="24"/>
        </w:rPr>
        <w:t xml:space="preserve">or 30% </w:t>
      </w:r>
      <w:r w:rsidRPr="00E104C2">
        <w:rPr>
          <w:color w:val="auto"/>
          <w:szCs w:val="24"/>
        </w:rPr>
        <w:t xml:space="preserve">analogously to </w:t>
      </w:r>
      <w:r w:rsidR="00327ADE" w:rsidRPr="00E104C2">
        <w:rPr>
          <w:color w:val="auto"/>
          <w:szCs w:val="24"/>
        </w:rPr>
        <w:t xml:space="preserve">either </w:t>
      </w:r>
      <w:r w:rsidRPr="00E104C2">
        <w:rPr>
          <w:color w:val="auto"/>
          <w:szCs w:val="24"/>
        </w:rPr>
        <w:t>“attacks averaging one in 2 months over last several months</w:t>
      </w:r>
      <w:r w:rsidR="00FB5B1B">
        <w:rPr>
          <w:color w:val="auto"/>
          <w:szCs w:val="24"/>
        </w:rPr>
        <w:t>,</w:t>
      </w:r>
      <w:r w:rsidRPr="00E104C2">
        <w:rPr>
          <w:color w:val="auto"/>
          <w:szCs w:val="24"/>
        </w:rPr>
        <w:t>”</w:t>
      </w:r>
      <w:r w:rsidR="00327ADE" w:rsidRPr="00E104C2">
        <w:rPr>
          <w:color w:val="auto"/>
          <w:szCs w:val="24"/>
        </w:rPr>
        <w:t xml:space="preserve"> or “on an average once a month over last several months</w:t>
      </w:r>
      <w:r w:rsidRPr="00E104C2">
        <w:rPr>
          <w:color w:val="auto"/>
          <w:szCs w:val="24"/>
        </w:rPr>
        <w:t>.</w:t>
      </w:r>
      <w:r w:rsidR="00327ADE" w:rsidRPr="00E104C2">
        <w:rPr>
          <w:color w:val="auto"/>
          <w:szCs w:val="24"/>
        </w:rPr>
        <w:t>”</w:t>
      </w:r>
      <w:r w:rsidRPr="00E104C2">
        <w:rPr>
          <w:color w:val="auto"/>
          <w:szCs w:val="24"/>
        </w:rPr>
        <w:t xml:space="preserve">  However, there was insufficient objective evidence to indicate decreased concentration and duty performance as indicated in the VA C&amp;P exam</w:t>
      </w:r>
      <w:r w:rsidR="00327ADE" w:rsidRPr="00E104C2">
        <w:rPr>
          <w:color w:val="auto"/>
          <w:szCs w:val="24"/>
        </w:rPr>
        <w:t xml:space="preserve"> history</w:t>
      </w:r>
      <w:r w:rsidRPr="00E104C2">
        <w:rPr>
          <w:color w:val="auto"/>
          <w:szCs w:val="24"/>
        </w:rPr>
        <w:t xml:space="preserve">.  </w:t>
      </w:r>
      <w:r w:rsidR="00370DCA" w:rsidRPr="00E104C2">
        <w:rPr>
          <w:color w:val="auto"/>
          <w:szCs w:val="24"/>
        </w:rPr>
        <w:t xml:space="preserve">The Board majority determined that the headache condition was not unfitting and therefore did not </w:t>
      </w:r>
      <w:r w:rsidR="00FB5B1B">
        <w:rPr>
          <w:color w:val="auto"/>
          <w:szCs w:val="24"/>
        </w:rPr>
        <w:t>merit a separate s</w:t>
      </w:r>
      <w:r w:rsidR="00DF6EBE" w:rsidRPr="00E104C2">
        <w:rPr>
          <w:color w:val="auto"/>
          <w:szCs w:val="24"/>
        </w:rPr>
        <w:t>ervice rating.</w:t>
      </w:r>
      <w:r w:rsidR="00EC7B32" w:rsidRPr="00E104C2">
        <w:rPr>
          <w:color w:val="auto"/>
          <w:szCs w:val="24"/>
        </w:rPr>
        <w:t xml:space="preserve">  </w:t>
      </w:r>
    </w:p>
    <w:p w:rsidR="00EC7B32" w:rsidRPr="00E104C2" w:rsidRDefault="00EC7B32" w:rsidP="006B223D">
      <w:pPr>
        <w:jc w:val="both"/>
        <w:rPr>
          <w:color w:val="000000" w:themeColor="text1"/>
          <w:szCs w:val="24"/>
        </w:rPr>
      </w:pPr>
    </w:p>
    <w:p w:rsidR="004B5C0C" w:rsidRDefault="00132F4C" w:rsidP="000F4C21">
      <w:pPr>
        <w:jc w:val="both"/>
        <w:rPr>
          <w:color w:val="000000" w:themeColor="text1"/>
          <w:szCs w:val="24"/>
        </w:rPr>
      </w:pPr>
      <w:r w:rsidRPr="00E104C2">
        <w:rPr>
          <w:color w:val="000000" w:themeColor="text1"/>
          <w:szCs w:val="24"/>
          <w:u w:val="single"/>
        </w:rPr>
        <w:t xml:space="preserve">Rating </w:t>
      </w:r>
      <w:r w:rsidR="000074EF" w:rsidRPr="00E104C2">
        <w:rPr>
          <w:color w:val="000000" w:themeColor="text1"/>
          <w:szCs w:val="24"/>
          <w:u w:val="single"/>
        </w:rPr>
        <w:t>Chronic Neck Pain and Associated Headaches Due to Spondylosis Condition</w:t>
      </w:r>
      <w:r w:rsidR="000074EF" w:rsidRPr="00E104C2">
        <w:rPr>
          <w:color w:val="000000" w:themeColor="text1"/>
          <w:szCs w:val="24"/>
        </w:rPr>
        <w:t xml:space="preserve">.  </w:t>
      </w:r>
      <w:r w:rsidR="004B5C0C" w:rsidRPr="00E104C2">
        <w:rPr>
          <w:color w:val="000000" w:themeColor="text1"/>
          <w:szCs w:val="24"/>
        </w:rPr>
        <w:t xml:space="preserve">Board coding of an unfitting neck condition at 10% and a not unfitting headache condition would be </w:t>
      </w:r>
      <w:r w:rsidR="004B5C0C" w:rsidRPr="00E104C2">
        <w:rPr>
          <w:color w:val="000000" w:themeColor="text1"/>
          <w:szCs w:val="24"/>
        </w:rPr>
        <w:lastRenderedPageBreak/>
        <w:t xml:space="preserve">strictly IAW VASRD criteria.  However, the Board recommendation may not produce a lower combined rating than the 20% provided by the PEB.  </w:t>
      </w:r>
      <w:r w:rsidR="00327ADE" w:rsidRPr="00E104C2">
        <w:rPr>
          <w:color w:val="000000" w:themeColor="text1"/>
          <w:szCs w:val="24"/>
        </w:rPr>
        <w:t xml:space="preserve">The Board majority </w:t>
      </w:r>
      <w:r w:rsidRPr="00E104C2">
        <w:rPr>
          <w:color w:val="000000" w:themeColor="text1"/>
          <w:szCs w:val="24"/>
        </w:rPr>
        <w:t xml:space="preserve">therefore </w:t>
      </w:r>
      <w:r w:rsidR="00327ADE" w:rsidRPr="00E104C2">
        <w:rPr>
          <w:color w:val="000000" w:themeColor="text1"/>
          <w:szCs w:val="24"/>
        </w:rPr>
        <w:t>recommended no change in the PEB 20% adjudication.</w:t>
      </w:r>
      <w:r w:rsidR="00327ADE">
        <w:rPr>
          <w:color w:val="000000" w:themeColor="text1"/>
          <w:szCs w:val="24"/>
        </w:rPr>
        <w:t xml:space="preserve">  </w:t>
      </w:r>
    </w:p>
    <w:p w:rsidR="00E97472" w:rsidRDefault="00E97472" w:rsidP="003C53E8">
      <w:pPr>
        <w:tabs>
          <w:tab w:val="left" w:pos="288"/>
          <w:tab w:val="left" w:pos="4752"/>
        </w:tabs>
        <w:jc w:val="left"/>
        <w:rPr>
          <w:rFonts w:asciiTheme="minorHAnsi" w:hAnsiTheme="minorHAnsi" w:cs="Times New Roman"/>
          <w:color w:val="auto"/>
          <w:szCs w:val="24"/>
        </w:rPr>
      </w:pPr>
    </w:p>
    <w:p w:rsidR="00FB5B1B" w:rsidRDefault="00FB5B1B" w:rsidP="0068650A">
      <w:pPr>
        <w:jc w:val="both"/>
        <w:rPr>
          <w:color w:val="000000" w:themeColor="text1"/>
        </w:rPr>
      </w:pPr>
    </w:p>
    <w:p w:rsidR="0068650A" w:rsidRPr="00F64312" w:rsidRDefault="0068650A" w:rsidP="0068650A">
      <w:pPr>
        <w:jc w:val="both"/>
        <w:rPr>
          <w:rFonts w:eastAsia="Calibri" w:cs="Times New Roman"/>
          <w:color w:val="auto"/>
          <w:szCs w:val="24"/>
        </w:rPr>
      </w:pPr>
      <w:r w:rsidRPr="00F64312">
        <w:rPr>
          <w:color w:val="auto"/>
          <w:u w:val="single"/>
        </w:rPr>
        <w:t>BOARD FINDINGS</w:t>
      </w:r>
      <w:r w:rsidRPr="00F64312">
        <w:rPr>
          <w:color w:val="auto"/>
        </w:rPr>
        <w:t xml:space="preserve">:  IAW </w:t>
      </w:r>
      <w:proofErr w:type="spellStart"/>
      <w:r w:rsidRPr="00F64312">
        <w:rPr>
          <w:color w:val="auto"/>
        </w:rPr>
        <w:t>DoDI</w:t>
      </w:r>
      <w:proofErr w:type="spellEnd"/>
      <w:r w:rsidRPr="00F64312">
        <w:rPr>
          <w:color w:val="auto"/>
        </w:rPr>
        <w:t xml:space="preserve"> 6040.44, provisions of DoD or Military Department regulations or guidelines relied </w:t>
      </w:r>
      <w:r w:rsidRPr="00327ADE">
        <w:rPr>
          <w:color w:val="auto"/>
        </w:rPr>
        <w:t xml:space="preserve">upon by the PEB will not be considered by the Board to the extent they were inconsistent with the VASRD in </w:t>
      </w:r>
      <w:r w:rsidRPr="00E104C2">
        <w:rPr>
          <w:color w:val="auto"/>
        </w:rPr>
        <w:t>effect at the time of the adjudication</w:t>
      </w:r>
      <w:r w:rsidRPr="00E104C2">
        <w:rPr>
          <w:rFonts w:cs="Times New Roman"/>
          <w:color w:val="auto"/>
        </w:rPr>
        <w:t xml:space="preserve">.  </w:t>
      </w:r>
      <w:r w:rsidRPr="00E104C2">
        <w:rPr>
          <w:rFonts w:eastAsia="Calibri" w:cs="Times New Roman"/>
          <w:color w:val="auto"/>
          <w:szCs w:val="24"/>
        </w:rPr>
        <w:t xml:space="preserve">As discussed above, PEB reliance on the USAPDA pain policy for rating the neck and headache conditions was operant in </w:t>
      </w:r>
      <w:r w:rsidRPr="00E104C2">
        <w:rPr>
          <w:color w:val="auto"/>
        </w:rPr>
        <w:t xml:space="preserve">this case and the conditions were </w:t>
      </w:r>
      <w:r w:rsidR="00132F4C" w:rsidRPr="00E104C2">
        <w:rPr>
          <w:color w:val="auto"/>
        </w:rPr>
        <w:t>considered</w:t>
      </w:r>
      <w:r w:rsidRPr="00E104C2">
        <w:rPr>
          <w:color w:val="auto"/>
        </w:rPr>
        <w:t xml:space="preserve"> independently of that policy by the Board.  </w:t>
      </w:r>
      <w:r w:rsidR="004B5C0C" w:rsidRPr="00E104C2">
        <w:rPr>
          <w:color w:val="auto"/>
        </w:rPr>
        <w:t xml:space="preserve">In the matter of the </w:t>
      </w:r>
      <w:r w:rsidR="00327ADE" w:rsidRPr="00E104C2">
        <w:rPr>
          <w:color w:val="auto"/>
        </w:rPr>
        <w:t>n</w:t>
      </w:r>
      <w:r w:rsidR="004B5C0C" w:rsidRPr="00E104C2">
        <w:rPr>
          <w:color w:val="auto"/>
        </w:rPr>
        <w:t xml:space="preserve">eck </w:t>
      </w:r>
      <w:r w:rsidR="00327ADE" w:rsidRPr="00E104C2">
        <w:rPr>
          <w:color w:val="auto"/>
        </w:rPr>
        <w:t>p</w:t>
      </w:r>
      <w:r w:rsidR="004B5C0C" w:rsidRPr="00E104C2">
        <w:rPr>
          <w:color w:val="auto"/>
        </w:rPr>
        <w:t xml:space="preserve">ain and </w:t>
      </w:r>
      <w:r w:rsidR="00327ADE" w:rsidRPr="00E104C2">
        <w:rPr>
          <w:color w:val="auto"/>
        </w:rPr>
        <w:t>a</w:t>
      </w:r>
      <w:r w:rsidR="004B5C0C" w:rsidRPr="00E104C2">
        <w:rPr>
          <w:color w:val="auto"/>
        </w:rPr>
        <w:t xml:space="preserve">ssociated </w:t>
      </w:r>
      <w:r w:rsidR="00327ADE" w:rsidRPr="00E104C2">
        <w:rPr>
          <w:color w:val="auto"/>
        </w:rPr>
        <w:t>h</w:t>
      </w:r>
      <w:r w:rsidR="004B5C0C" w:rsidRPr="00E104C2">
        <w:rPr>
          <w:color w:val="auto"/>
        </w:rPr>
        <w:t xml:space="preserve">eadaches condition(s) and IAW DoDI 6040.44, the Board </w:t>
      </w:r>
      <w:r w:rsidR="00327ADE" w:rsidRPr="00E104C2">
        <w:rPr>
          <w:color w:val="auto"/>
        </w:rPr>
        <w:t xml:space="preserve">by a vote of 2:1 </w:t>
      </w:r>
      <w:r w:rsidR="004B5C0C" w:rsidRPr="00E104C2">
        <w:rPr>
          <w:color w:val="auto"/>
        </w:rPr>
        <w:t xml:space="preserve">recommends no change in the PEB adjudication.  </w:t>
      </w:r>
      <w:r w:rsidR="00327ADE" w:rsidRPr="00E104C2">
        <w:rPr>
          <w:color w:val="auto"/>
        </w:rPr>
        <w:t xml:space="preserve">The single voter for dissent (who recommended an unfitting headache condition and adopting the VA rating 5293-5290 at 10% and 8199-8100 at 10%, for a combined 20%) did not elect to submit a minority opinion.  </w:t>
      </w:r>
      <w:r w:rsidRPr="00E104C2">
        <w:rPr>
          <w:rFonts w:eastAsia="Calibri" w:cs="Times New Roman"/>
          <w:color w:val="auto"/>
          <w:szCs w:val="24"/>
        </w:rPr>
        <w:t>There were no other conditions</w:t>
      </w:r>
      <w:r w:rsidRPr="00F64312">
        <w:rPr>
          <w:rFonts w:eastAsia="Calibri" w:cs="Times New Roman"/>
          <w:color w:val="auto"/>
          <w:szCs w:val="24"/>
        </w:rPr>
        <w:t xml:space="preserve"> within the Board’s scope of review for consideration.  </w:t>
      </w:r>
    </w:p>
    <w:p w:rsidR="0068650A" w:rsidRPr="00F64312" w:rsidRDefault="0068650A" w:rsidP="0068650A">
      <w:pPr>
        <w:pBdr>
          <w:bottom w:val="single" w:sz="12" w:space="1" w:color="auto"/>
        </w:pBdr>
        <w:tabs>
          <w:tab w:val="left" w:pos="288"/>
          <w:tab w:val="left" w:pos="4752"/>
        </w:tabs>
        <w:jc w:val="both"/>
        <w:rPr>
          <w:color w:val="auto"/>
          <w:highlight w:val="magenta"/>
        </w:rPr>
      </w:pPr>
    </w:p>
    <w:p w:rsidR="0068650A" w:rsidRPr="00F64312" w:rsidRDefault="0068650A" w:rsidP="0068650A">
      <w:pPr>
        <w:jc w:val="left"/>
        <w:rPr>
          <w:color w:val="auto"/>
          <w:highlight w:val="magenta"/>
        </w:rPr>
      </w:pPr>
    </w:p>
    <w:p w:rsidR="004B5C0C" w:rsidRPr="00327ADE" w:rsidRDefault="0068650A" w:rsidP="004B5C0C">
      <w:pPr>
        <w:jc w:val="left"/>
        <w:rPr>
          <w:color w:val="auto"/>
        </w:rPr>
      </w:pPr>
      <w:r w:rsidRPr="00F64312">
        <w:rPr>
          <w:color w:val="auto"/>
          <w:u w:val="single"/>
        </w:rPr>
        <w:t>RECOMMENDATION</w:t>
      </w:r>
      <w:r w:rsidRPr="00F64312">
        <w:rPr>
          <w:color w:val="auto"/>
        </w:rPr>
        <w:t xml:space="preserve">:  </w:t>
      </w:r>
      <w:r w:rsidR="004B5C0C" w:rsidRPr="00F64312">
        <w:rPr>
          <w:color w:val="auto"/>
        </w:rPr>
        <w:t xml:space="preserve">The Board, therefore, recommends that there be no recharacterization of the CI’s disability and separation determination, as follows:  </w:t>
      </w:r>
    </w:p>
    <w:p w:rsidR="0068650A" w:rsidRPr="00327ADE" w:rsidRDefault="0068650A" w:rsidP="000F4C21">
      <w:pPr>
        <w:tabs>
          <w:tab w:val="left" w:pos="288"/>
          <w:tab w:val="left" w:pos="4752"/>
        </w:tabs>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68650A" w:rsidRPr="00327ADE" w:rsidTr="00D6627C">
        <w:trPr>
          <w:trHeight w:val="233"/>
          <w:jc w:val="center"/>
        </w:trPr>
        <w:tc>
          <w:tcPr>
            <w:tcW w:w="6768" w:type="dxa"/>
            <w:shd w:val="clear" w:color="auto" w:fill="D9D9D9"/>
            <w:vAlign w:val="center"/>
          </w:tcPr>
          <w:p w:rsidR="0068650A" w:rsidRPr="00327ADE" w:rsidRDefault="0068650A" w:rsidP="00D6627C">
            <w:pPr>
              <w:tabs>
                <w:tab w:val="left" w:pos="288"/>
                <w:tab w:val="left" w:pos="4752"/>
              </w:tabs>
              <w:rPr>
                <w:b/>
                <w:color w:val="auto"/>
              </w:rPr>
            </w:pPr>
            <w:r w:rsidRPr="00327ADE">
              <w:rPr>
                <w:b/>
                <w:color w:val="auto"/>
              </w:rPr>
              <w:t>UNFITTING CONDITION</w:t>
            </w:r>
          </w:p>
        </w:tc>
        <w:tc>
          <w:tcPr>
            <w:tcW w:w="1530" w:type="dxa"/>
            <w:shd w:val="clear" w:color="auto" w:fill="D9D9D9"/>
            <w:vAlign w:val="center"/>
          </w:tcPr>
          <w:p w:rsidR="0068650A" w:rsidRPr="00327ADE" w:rsidRDefault="0068650A" w:rsidP="00D6627C">
            <w:pPr>
              <w:tabs>
                <w:tab w:val="left" w:pos="288"/>
                <w:tab w:val="left" w:pos="4752"/>
              </w:tabs>
              <w:rPr>
                <w:b/>
                <w:color w:val="auto"/>
              </w:rPr>
            </w:pPr>
            <w:r w:rsidRPr="00327ADE">
              <w:rPr>
                <w:b/>
                <w:color w:val="auto"/>
              </w:rPr>
              <w:t>VASRD CODE</w:t>
            </w:r>
          </w:p>
        </w:tc>
        <w:tc>
          <w:tcPr>
            <w:tcW w:w="1026" w:type="dxa"/>
            <w:shd w:val="clear" w:color="auto" w:fill="D9D9D9"/>
            <w:vAlign w:val="center"/>
          </w:tcPr>
          <w:p w:rsidR="0068650A" w:rsidRPr="00327ADE" w:rsidRDefault="0068650A" w:rsidP="00D6627C">
            <w:pPr>
              <w:tabs>
                <w:tab w:val="left" w:pos="288"/>
                <w:tab w:val="left" w:pos="4752"/>
              </w:tabs>
              <w:rPr>
                <w:b/>
                <w:color w:val="auto"/>
              </w:rPr>
            </w:pPr>
            <w:r w:rsidRPr="00327ADE">
              <w:rPr>
                <w:b/>
                <w:color w:val="auto"/>
              </w:rPr>
              <w:t>RATING</w:t>
            </w:r>
          </w:p>
        </w:tc>
      </w:tr>
      <w:tr w:rsidR="0068650A" w:rsidRPr="00327ADE" w:rsidTr="00D6627C">
        <w:trPr>
          <w:jc w:val="center"/>
        </w:trPr>
        <w:tc>
          <w:tcPr>
            <w:tcW w:w="6768" w:type="dxa"/>
            <w:vAlign w:val="center"/>
          </w:tcPr>
          <w:p w:rsidR="0068650A" w:rsidRPr="00327ADE" w:rsidRDefault="004B5C0C" w:rsidP="00CC6653">
            <w:pPr>
              <w:tabs>
                <w:tab w:val="left" w:pos="288"/>
                <w:tab w:val="left" w:pos="4752"/>
              </w:tabs>
              <w:jc w:val="left"/>
              <w:rPr>
                <w:color w:val="auto"/>
              </w:rPr>
            </w:pPr>
            <w:r w:rsidRPr="00327ADE">
              <w:rPr>
                <w:color w:val="auto"/>
              </w:rPr>
              <w:t xml:space="preserve">Chronic Neck Pain/Headaches Due to </w:t>
            </w:r>
            <w:r w:rsidR="00327ADE" w:rsidRPr="00327ADE">
              <w:rPr>
                <w:color w:val="auto"/>
              </w:rPr>
              <w:t xml:space="preserve">Cervical </w:t>
            </w:r>
            <w:r w:rsidRPr="00327ADE">
              <w:rPr>
                <w:color w:val="auto"/>
              </w:rPr>
              <w:t>Spondylosis</w:t>
            </w:r>
          </w:p>
        </w:tc>
        <w:tc>
          <w:tcPr>
            <w:tcW w:w="1530" w:type="dxa"/>
            <w:vAlign w:val="center"/>
          </w:tcPr>
          <w:p w:rsidR="0068650A" w:rsidRPr="00327ADE" w:rsidRDefault="004B5C0C" w:rsidP="00D6627C">
            <w:pPr>
              <w:tabs>
                <w:tab w:val="left" w:pos="288"/>
                <w:tab w:val="left" w:pos="4752"/>
              </w:tabs>
              <w:rPr>
                <w:color w:val="auto"/>
              </w:rPr>
            </w:pPr>
            <w:r w:rsidRPr="00327ADE">
              <w:rPr>
                <w:rFonts w:eastAsia="Calibri" w:cs="Times New Roman"/>
                <w:color w:val="auto"/>
                <w:szCs w:val="24"/>
              </w:rPr>
              <w:t>5099-5003</w:t>
            </w:r>
          </w:p>
        </w:tc>
        <w:tc>
          <w:tcPr>
            <w:tcW w:w="1026" w:type="dxa"/>
            <w:vAlign w:val="center"/>
          </w:tcPr>
          <w:p w:rsidR="0068650A" w:rsidRPr="00327ADE" w:rsidRDefault="004B5C0C" w:rsidP="00D6627C">
            <w:pPr>
              <w:tabs>
                <w:tab w:val="left" w:pos="288"/>
                <w:tab w:val="left" w:pos="4752"/>
              </w:tabs>
              <w:rPr>
                <w:color w:val="auto"/>
              </w:rPr>
            </w:pPr>
            <w:r w:rsidRPr="00327ADE">
              <w:rPr>
                <w:color w:val="auto"/>
              </w:rPr>
              <w:t>2</w:t>
            </w:r>
            <w:r w:rsidR="0068650A" w:rsidRPr="00327ADE">
              <w:rPr>
                <w:color w:val="auto"/>
              </w:rPr>
              <w:t>0%</w:t>
            </w:r>
          </w:p>
        </w:tc>
      </w:tr>
      <w:tr w:rsidR="0068650A" w:rsidRPr="00327ADE" w:rsidTr="00D6627C">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68650A" w:rsidRPr="00327ADE" w:rsidRDefault="0068650A" w:rsidP="00D6627C">
            <w:pPr>
              <w:tabs>
                <w:tab w:val="left" w:pos="288"/>
                <w:tab w:val="left" w:pos="4752"/>
              </w:tabs>
              <w:rPr>
                <w:b/>
                <w:color w:val="auto"/>
              </w:rPr>
            </w:pPr>
            <w:r w:rsidRPr="00327ADE">
              <w:rPr>
                <w:b/>
                <w:color w:val="auto"/>
              </w:rPr>
              <w:t>COMBINED</w:t>
            </w:r>
          </w:p>
        </w:tc>
        <w:tc>
          <w:tcPr>
            <w:tcW w:w="1026" w:type="dxa"/>
            <w:shd w:val="clear" w:color="auto" w:fill="D9D9D9"/>
            <w:vAlign w:val="center"/>
          </w:tcPr>
          <w:p w:rsidR="0068650A" w:rsidRPr="00327ADE" w:rsidRDefault="004B5C0C" w:rsidP="00CC6653">
            <w:pPr>
              <w:tabs>
                <w:tab w:val="left" w:pos="288"/>
                <w:tab w:val="left" w:pos="4752"/>
              </w:tabs>
              <w:rPr>
                <w:b/>
                <w:color w:val="auto"/>
              </w:rPr>
            </w:pPr>
            <w:r w:rsidRPr="00327ADE">
              <w:rPr>
                <w:b/>
                <w:color w:val="auto"/>
              </w:rPr>
              <w:t>2</w:t>
            </w:r>
            <w:r w:rsidR="00CC6653" w:rsidRPr="00327ADE">
              <w:rPr>
                <w:b/>
                <w:color w:val="auto"/>
              </w:rPr>
              <w:t>0</w:t>
            </w:r>
            <w:r w:rsidR="0068650A" w:rsidRPr="00327ADE">
              <w:rPr>
                <w:b/>
                <w:color w:val="auto"/>
              </w:rPr>
              <w:t>%</w:t>
            </w:r>
          </w:p>
        </w:tc>
      </w:tr>
    </w:tbl>
    <w:p w:rsidR="005B1D09" w:rsidRPr="00327ADE" w:rsidRDefault="005B1D09" w:rsidP="00781004">
      <w:pPr>
        <w:pBdr>
          <w:bottom w:val="single" w:sz="12" w:space="1" w:color="auto"/>
        </w:pBdr>
        <w:tabs>
          <w:tab w:val="left" w:pos="288"/>
          <w:tab w:val="left" w:pos="4752"/>
        </w:tabs>
        <w:jc w:val="both"/>
        <w:rPr>
          <w:color w:val="auto"/>
        </w:rPr>
      </w:pPr>
    </w:p>
    <w:p w:rsidR="005B1D09" w:rsidRPr="00327ADE" w:rsidRDefault="005B1D09" w:rsidP="00781004">
      <w:pPr>
        <w:jc w:val="both"/>
        <w:rPr>
          <w:color w:val="auto"/>
          <w:szCs w:val="24"/>
        </w:rPr>
      </w:pPr>
    </w:p>
    <w:p w:rsidR="00D91DA6" w:rsidRPr="00327ADE" w:rsidRDefault="00FB1725" w:rsidP="00781004">
      <w:pPr>
        <w:tabs>
          <w:tab w:val="left" w:pos="288"/>
          <w:tab w:val="left" w:pos="4752"/>
        </w:tabs>
        <w:jc w:val="both"/>
        <w:rPr>
          <w:color w:val="auto"/>
        </w:rPr>
      </w:pPr>
      <w:r w:rsidRPr="00327ADE">
        <w:rPr>
          <w:color w:val="auto"/>
        </w:rPr>
        <w:t>The following documentary evidence was considered:</w:t>
      </w:r>
    </w:p>
    <w:p w:rsidR="00EB5EFD" w:rsidRPr="00327ADE" w:rsidRDefault="00EB5EFD" w:rsidP="00781004">
      <w:pPr>
        <w:tabs>
          <w:tab w:val="left" w:pos="288"/>
          <w:tab w:val="left" w:pos="4752"/>
        </w:tabs>
        <w:jc w:val="both"/>
        <w:rPr>
          <w:color w:val="auto"/>
        </w:rPr>
      </w:pPr>
    </w:p>
    <w:p w:rsidR="00114F20" w:rsidRPr="001F29F9" w:rsidRDefault="00FB1725" w:rsidP="00781004">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CC7A82">
        <w:rPr>
          <w:color w:val="000000" w:themeColor="text1"/>
          <w:szCs w:val="24"/>
        </w:rPr>
        <w:t>10928</w:t>
      </w:r>
      <w:r w:rsidR="00FB5B1B">
        <w:rPr>
          <w:color w:val="000000" w:themeColor="text1"/>
        </w:rPr>
        <w:t>, w/</w:t>
      </w:r>
      <w:proofErr w:type="spellStart"/>
      <w:r w:rsidR="00FB5B1B">
        <w:rPr>
          <w:color w:val="000000" w:themeColor="text1"/>
        </w:rPr>
        <w:t>atchs</w:t>
      </w:r>
      <w:proofErr w:type="spellEnd"/>
    </w:p>
    <w:p w:rsidR="00114F20" w:rsidRPr="001F29F9" w:rsidRDefault="00FB1725" w:rsidP="00781004">
      <w:pPr>
        <w:tabs>
          <w:tab w:val="left" w:pos="288"/>
          <w:tab w:val="left" w:pos="4752"/>
        </w:tabs>
        <w:jc w:val="both"/>
        <w:rPr>
          <w:color w:val="000000" w:themeColor="text1"/>
        </w:rPr>
      </w:pPr>
      <w:r w:rsidRPr="001F29F9">
        <w:rPr>
          <w:color w:val="000000" w:themeColor="text1"/>
        </w:rPr>
        <w:t>Exhib</w:t>
      </w:r>
      <w:r w:rsidR="00FB5B1B">
        <w:rPr>
          <w:color w:val="000000" w:themeColor="text1"/>
        </w:rPr>
        <w:t>it B.  Service Treatment Record</w:t>
      </w:r>
    </w:p>
    <w:p w:rsidR="00114F20" w:rsidRPr="001F29F9" w:rsidRDefault="00FB1725" w:rsidP="00781004">
      <w:pPr>
        <w:tabs>
          <w:tab w:val="left" w:pos="288"/>
          <w:tab w:val="left" w:pos="4752"/>
        </w:tabs>
        <w:jc w:val="both"/>
        <w:rPr>
          <w:color w:val="000000" w:themeColor="text1"/>
        </w:rPr>
      </w:pPr>
      <w:r w:rsidRPr="001F29F9">
        <w:rPr>
          <w:color w:val="000000" w:themeColor="text1"/>
        </w:rPr>
        <w:t>Exhibit C.  Department of Ve</w:t>
      </w:r>
      <w:r w:rsidR="00FB5B1B">
        <w:rPr>
          <w:color w:val="000000" w:themeColor="text1"/>
        </w:rPr>
        <w:t>terans’ Affairs Treatment Record</w:t>
      </w:r>
    </w:p>
    <w:p w:rsidR="00D91DA6" w:rsidRPr="001F29F9" w:rsidRDefault="00D91DA6" w:rsidP="0078100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0920A8">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0920A8"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0920A8" w:rsidRDefault="000920A8">
      <w:pPr>
        <w:rPr>
          <w:color w:val="000000" w:themeColor="text1"/>
          <w:szCs w:val="24"/>
        </w:rPr>
      </w:pPr>
      <w:r>
        <w:rPr>
          <w:color w:val="000000" w:themeColor="text1"/>
          <w:szCs w:val="24"/>
        </w:rPr>
        <w:br w:type="page"/>
      </w:r>
    </w:p>
    <w:p w:rsidR="000920A8" w:rsidRDefault="000920A8" w:rsidP="000920A8">
      <w:pPr>
        <w:sectPr w:rsidR="000920A8">
          <w:pgSz w:w="12240" w:h="15840"/>
          <w:pgMar w:top="2160" w:right="1440" w:bottom="1440" w:left="1440" w:header="720" w:footer="720" w:gutter="0"/>
          <w:cols w:space="720"/>
        </w:sectPr>
      </w:pPr>
    </w:p>
    <w:p w:rsidR="000920A8" w:rsidRDefault="000920A8" w:rsidP="000920A8">
      <w:pPr>
        <w:pStyle w:val="Header"/>
        <w:tabs>
          <w:tab w:val="left" w:pos="720"/>
        </w:tabs>
        <w:jc w:val="left"/>
      </w:pPr>
      <w:r>
        <w:lastRenderedPageBreak/>
        <w:t>SFMR-RB</w:t>
      </w:r>
      <w:r>
        <w:tab/>
      </w:r>
      <w:r>
        <w:tab/>
      </w:r>
      <w:r>
        <w:tab/>
      </w:r>
      <w:r>
        <w:tab/>
      </w:r>
      <w:r>
        <w:tab/>
      </w:r>
      <w:r>
        <w:tab/>
      </w:r>
      <w:r>
        <w:tab/>
      </w:r>
      <w:r>
        <w:tab/>
      </w:r>
      <w:r>
        <w:tab/>
      </w:r>
    </w:p>
    <w:p w:rsidR="000920A8" w:rsidRDefault="000920A8" w:rsidP="000920A8">
      <w:pPr>
        <w:pStyle w:val="Header"/>
        <w:tabs>
          <w:tab w:val="left" w:pos="720"/>
        </w:tabs>
        <w:jc w:val="left"/>
      </w:pPr>
    </w:p>
    <w:p w:rsidR="000920A8" w:rsidRDefault="000920A8" w:rsidP="000920A8">
      <w:pPr>
        <w:jc w:val="left"/>
      </w:pPr>
    </w:p>
    <w:p w:rsidR="000920A8" w:rsidRDefault="000920A8" w:rsidP="000920A8">
      <w:pPr>
        <w:jc w:val="left"/>
      </w:pPr>
      <w:r>
        <w:t xml:space="preserve">MEMORANDUM FOR Commander, US Army Physical Disability Agency </w:t>
      </w:r>
    </w:p>
    <w:p w:rsidR="000920A8" w:rsidRDefault="000920A8" w:rsidP="000920A8">
      <w:pPr>
        <w:jc w:val="left"/>
      </w:pPr>
      <w:r>
        <w:t>(TAPD-ZB / Mr. Brower), 2900 Crystal Drive, Suite 300, Arlington, VA  22202</w:t>
      </w:r>
    </w:p>
    <w:p w:rsidR="000920A8" w:rsidRDefault="000920A8" w:rsidP="000920A8">
      <w:pPr>
        <w:jc w:val="left"/>
      </w:pPr>
    </w:p>
    <w:p w:rsidR="000920A8" w:rsidRDefault="000920A8" w:rsidP="000920A8">
      <w:pPr>
        <w:ind w:right="-180"/>
        <w:jc w:val="left"/>
      </w:pPr>
      <w:r>
        <w:t>SUBJECT:  Department of Defense Physical Disability Board of Review Recommendation for XXXXXXXXXX, AR20120011826 (PD201100830)</w:t>
      </w:r>
    </w:p>
    <w:p w:rsidR="000920A8" w:rsidRDefault="000920A8" w:rsidP="000920A8">
      <w:pPr>
        <w:pStyle w:val="Header"/>
        <w:tabs>
          <w:tab w:val="left" w:pos="720"/>
        </w:tabs>
        <w:jc w:val="left"/>
      </w:pPr>
    </w:p>
    <w:p w:rsidR="000920A8" w:rsidRDefault="000920A8" w:rsidP="000920A8">
      <w:pPr>
        <w:jc w:val="left"/>
      </w:pPr>
    </w:p>
    <w:p w:rsidR="000920A8" w:rsidRDefault="000920A8" w:rsidP="000920A8">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0920A8" w:rsidRDefault="000920A8" w:rsidP="000920A8">
      <w:pPr>
        <w:jc w:val="left"/>
      </w:pPr>
      <w:r>
        <w:t>This decision is final.  The individual concerned, counsel (if any), and any Members of Congress who have shown interest in this application have been notified of this decision by mail.</w:t>
      </w:r>
    </w:p>
    <w:p w:rsidR="000920A8" w:rsidRDefault="000920A8" w:rsidP="000920A8">
      <w:pPr>
        <w:jc w:val="left"/>
      </w:pPr>
    </w:p>
    <w:p w:rsidR="000920A8" w:rsidRDefault="000920A8" w:rsidP="000920A8">
      <w:pPr>
        <w:jc w:val="left"/>
      </w:pPr>
      <w:r>
        <w:t xml:space="preserve"> BY ORDER OF THE SECRETARY OF THE ARMY:</w:t>
      </w:r>
    </w:p>
    <w:p w:rsidR="000920A8" w:rsidRDefault="000920A8" w:rsidP="000920A8">
      <w:pPr>
        <w:jc w:val="left"/>
      </w:pPr>
    </w:p>
    <w:p w:rsidR="000920A8" w:rsidRDefault="000920A8" w:rsidP="000920A8">
      <w:pPr>
        <w:jc w:val="left"/>
      </w:pPr>
    </w:p>
    <w:p w:rsidR="000920A8" w:rsidRDefault="000920A8" w:rsidP="000920A8">
      <w:pPr>
        <w:pStyle w:val="Header"/>
        <w:tabs>
          <w:tab w:val="left" w:pos="720"/>
        </w:tabs>
        <w:jc w:val="left"/>
      </w:pPr>
    </w:p>
    <w:p w:rsidR="000920A8" w:rsidRDefault="000920A8" w:rsidP="000920A8">
      <w:pPr>
        <w:jc w:val="left"/>
      </w:pPr>
    </w:p>
    <w:p w:rsidR="000920A8" w:rsidRDefault="000920A8" w:rsidP="000920A8">
      <w:pPr>
        <w:jc w:val="left"/>
      </w:pPr>
      <w:bookmarkStart w:id="0" w:name="OLE_LINK4"/>
      <w:bookmarkStart w:id="1" w:name="OLE_LINK3"/>
      <w:r>
        <w:t>Encl</w:t>
      </w:r>
      <w:r>
        <w:tab/>
      </w:r>
      <w:r>
        <w:tab/>
      </w:r>
      <w:r>
        <w:tab/>
      </w:r>
      <w:r>
        <w:tab/>
      </w:r>
      <w:r>
        <w:tab/>
      </w:r>
      <w:r>
        <w:tab/>
        <w:t xml:space="preserve">     XXXXXXXXXXXX</w:t>
      </w:r>
    </w:p>
    <w:p w:rsidR="000920A8" w:rsidRDefault="000920A8" w:rsidP="000920A8">
      <w:pPr>
        <w:jc w:val="left"/>
      </w:pPr>
      <w:r>
        <w:tab/>
      </w:r>
      <w:r>
        <w:tab/>
      </w:r>
      <w:r>
        <w:tab/>
      </w:r>
      <w:r>
        <w:tab/>
      </w:r>
      <w:r>
        <w:tab/>
      </w:r>
      <w:r>
        <w:tab/>
        <w:t xml:space="preserve">     Deputy Assistant Secretary</w:t>
      </w:r>
    </w:p>
    <w:p w:rsidR="000920A8" w:rsidRDefault="000920A8" w:rsidP="000920A8">
      <w:pPr>
        <w:jc w:val="left"/>
      </w:pPr>
      <w:r>
        <w:tab/>
      </w:r>
      <w:r>
        <w:tab/>
      </w:r>
      <w:r>
        <w:tab/>
      </w:r>
      <w:r>
        <w:tab/>
      </w:r>
      <w:r>
        <w:tab/>
      </w:r>
      <w:r>
        <w:tab/>
        <w:t xml:space="preserve">         (Army Review Boards)</w:t>
      </w:r>
      <w:bookmarkEnd w:id="0"/>
      <w:bookmarkEnd w:id="1"/>
    </w:p>
    <w:p w:rsidR="000920A8" w:rsidRDefault="000920A8" w:rsidP="000920A8">
      <w:pPr>
        <w:jc w:val="left"/>
      </w:pPr>
    </w:p>
    <w:p w:rsidR="000920A8" w:rsidRDefault="000920A8" w:rsidP="000920A8">
      <w:pPr>
        <w:jc w:val="left"/>
      </w:pPr>
      <w:r>
        <w:t xml:space="preserve">CF: </w:t>
      </w:r>
    </w:p>
    <w:p w:rsidR="000920A8" w:rsidRDefault="000920A8" w:rsidP="000920A8">
      <w:pPr>
        <w:jc w:val="left"/>
      </w:pPr>
      <w:r>
        <w:t xml:space="preserve">(  ) </w:t>
      </w:r>
      <w:proofErr w:type="spellStart"/>
      <w:proofErr w:type="gramStart"/>
      <w:r>
        <w:t>DoD</w:t>
      </w:r>
      <w:proofErr w:type="spellEnd"/>
      <w:proofErr w:type="gramEnd"/>
      <w:r>
        <w:t xml:space="preserve"> PDBR</w:t>
      </w:r>
    </w:p>
    <w:p w:rsidR="000920A8" w:rsidRDefault="000920A8" w:rsidP="000920A8">
      <w:pPr>
        <w:jc w:val="left"/>
      </w:pPr>
      <w:r>
        <w:t>(  ) DVA</w:t>
      </w:r>
    </w:p>
    <w:p w:rsidR="000920A8" w:rsidRDefault="000920A8" w:rsidP="000920A8">
      <w:pPr>
        <w:jc w:val="left"/>
      </w:pPr>
    </w:p>
    <w:p w:rsidR="00E3077F" w:rsidRPr="001F29F9" w:rsidRDefault="00E3077F" w:rsidP="000920A8">
      <w:pPr>
        <w:tabs>
          <w:tab w:val="left" w:pos="0"/>
          <w:tab w:val="left" w:pos="4320"/>
        </w:tabs>
        <w:jc w:val="left"/>
        <w:rPr>
          <w:color w:val="000000" w:themeColor="text1"/>
          <w:szCs w:val="24"/>
        </w:rPr>
      </w:pPr>
    </w:p>
    <w:sectPr w:rsidR="00E3077F"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36" w:rsidRDefault="00690836">
      <w:r>
        <w:separator/>
      </w:r>
    </w:p>
  </w:endnote>
  <w:endnote w:type="continuationSeparator" w:id="0">
    <w:p w:rsidR="00690836" w:rsidRDefault="006908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0074EF" w:rsidRPr="00374247" w:rsidRDefault="000074EF" w:rsidP="00374247">
        <w:pPr>
          <w:pStyle w:val="Footer"/>
          <w:ind w:firstLine="4320"/>
          <w:rPr>
            <w:color w:val="auto"/>
            <w:szCs w:val="24"/>
          </w:rPr>
        </w:pPr>
        <w:r w:rsidRPr="00374247">
          <w:rPr>
            <w:color w:val="auto"/>
            <w:szCs w:val="24"/>
          </w:rPr>
          <w:t xml:space="preserve">   </w:t>
        </w:r>
        <w:r w:rsidR="009E3CA3" w:rsidRPr="00374247">
          <w:rPr>
            <w:color w:val="auto"/>
            <w:szCs w:val="24"/>
          </w:rPr>
          <w:fldChar w:fldCharType="begin"/>
        </w:r>
        <w:r w:rsidRPr="00374247">
          <w:rPr>
            <w:color w:val="auto"/>
            <w:szCs w:val="24"/>
          </w:rPr>
          <w:instrText xml:space="preserve"> PAGE   \* MERGEFORMAT </w:instrText>
        </w:r>
        <w:r w:rsidR="009E3CA3" w:rsidRPr="00374247">
          <w:rPr>
            <w:color w:val="auto"/>
            <w:szCs w:val="24"/>
          </w:rPr>
          <w:fldChar w:fldCharType="separate"/>
        </w:r>
        <w:r w:rsidR="000920A8" w:rsidRPr="000920A8">
          <w:rPr>
            <w:noProof/>
            <w:color w:val="auto"/>
          </w:rPr>
          <w:t>7</w:t>
        </w:r>
        <w:r w:rsidR="009E3CA3"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100830</w:t>
        </w:r>
      </w:p>
    </w:sdtContent>
  </w:sdt>
  <w:p w:rsidR="000074EF" w:rsidRPr="00684CE6" w:rsidRDefault="000074E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36" w:rsidRDefault="00690836">
      <w:r>
        <w:separator/>
      </w:r>
    </w:p>
  </w:footnote>
  <w:footnote w:type="continuationSeparator" w:id="0">
    <w:p w:rsidR="00690836" w:rsidRDefault="00690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rsids>
    <w:rsidRoot w:val="001C28D1"/>
    <w:rsid w:val="000024F5"/>
    <w:rsid w:val="000059FA"/>
    <w:rsid w:val="00006186"/>
    <w:rsid w:val="00006F87"/>
    <w:rsid w:val="00007107"/>
    <w:rsid w:val="000074EF"/>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4C2C"/>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0A8"/>
    <w:rsid w:val="00092619"/>
    <w:rsid w:val="00092C66"/>
    <w:rsid w:val="000949DD"/>
    <w:rsid w:val="00094E4F"/>
    <w:rsid w:val="000A2BCE"/>
    <w:rsid w:val="000A31E2"/>
    <w:rsid w:val="000A33C8"/>
    <w:rsid w:val="000A41E3"/>
    <w:rsid w:val="000A4896"/>
    <w:rsid w:val="000A4BBA"/>
    <w:rsid w:val="000A4C87"/>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C21"/>
    <w:rsid w:val="000F4F18"/>
    <w:rsid w:val="000F5960"/>
    <w:rsid w:val="000F688E"/>
    <w:rsid w:val="000F7181"/>
    <w:rsid w:val="000F7581"/>
    <w:rsid w:val="001007CE"/>
    <w:rsid w:val="001008C1"/>
    <w:rsid w:val="00102287"/>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2F4C"/>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611"/>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FD5"/>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7BD"/>
    <w:rsid w:val="001E15C0"/>
    <w:rsid w:val="001E18E0"/>
    <w:rsid w:val="001E18E2"/>
    <w:rsid w:val="001E19D0"/>
    <w:rsid w:val="001E2A30"/>
    <w:rsid w:val="001E2FF1"/>
    <w:rsid w:val="001E3FE1"/>
    <w:rsid w:val="001E41FE"/>
    <w:rsid w:val="001E5299"/>
    <w:rsid w:val="001E635C"/>
    <w:rsid w:val="001F0297"/>
    <w:rsid w:val="001F29F9"/>
    <w:rsid w:val="001F6E0B"/>
    <w:rsid w:val="00200AA0"/>
    <w:rsid w:val="00202325"/>
    <w:rsid w:val="002026D3"/>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158"/>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317"/>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40E"/>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27ADE"/>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DCA"/>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211"/>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1EF9"/>
    <w:rsid w:val="003D2BA3"/>
    <w:rsid w:val="003D316B"/>
    <w:rsid w:val="003D3C22"/>
    <w:rsid w:val="003D56A0"/>
    <w:rsid w:val="003D609F"/>
    <w:rsid w:val="003D69F5"/>
    <w:rsid w:val="003D7089"/>
    <w:rsid w:val="003D789B"/>
    <w:rsid w:val="003D7DDB"/>
    <w:rsid w:val="003E024F"/>
    <w:rsid w:val="003E02C7"/>
    <w:rsid w:val="003E0543"/>
    <w:rsid w:val="003E061D"/>
    <w:rsid w:val="003E0B5A"/>
    <w:rsid w:val="003E1682"/>
    <w:rsid w:val="003E31E3"/>
    <w:rsid w:val="003E3E93"/>
    <w:rsid w:val="003E46D1"/>
    <w:rsid w:val="003E576D"/>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DA1"/>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6C0F"/>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3A5"/>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BB8"/>
    <w:rsid w:val="004A24D2"/>
    <w:rsid w:val="004A3214"/>
    <w:rsid w:val="004A4136"/>
    <w:rsid w:val="004A417B"/>
    <w:rsid w:val="004A4378"/>
    <w:rsid w:val="004A712D"/>
    <w:rsid w:val="004A7C03"/>
    <w:rsid w:val="004B03F3"/>
    <w:rsid w:val="004B0CC9"/>
    <w:rsid w:val="004B2536"/>
    <w:rsid w:val="004B34D2"/>
    <w:rsid w:val="004B46D7"/>
    <w:rsid w:val="004B5C0C"/>
    <w:rsid w:val="004B6AF3"/>
    <w:rsid w:val="004B6F1F"/>
    <w:rsid w:val="004B715E"/>
    <w:rsid w:val="004B7169"/>
    <w:rsid w:val="004B71FE"/>
    <w:rsid w:val="004B79C9"/>
    <w:rsid w:val="004C00DD"/>
    <w:rsid w:val="004C05CF"/>
    <w:rsid w:val="004C0776"/>
    <w:rsid w:val="004C1EF8"/>
    <w:rsid w:val="004C2063"/>
    <w:rsid w:val="004C24C5"/>
    <w:rsid w:val="004C2645"/>
    <w:rsid w:val="004C47D5"/>
    <w:rsid w:val="004C4CAF"/>
    <w:rsid w:val="004C5E33"/>
    <w:rsid w:val="004C60A3"/>
    <w:rsid w:val="004C6CDA"/>
    <w:rsid w:val="004C6E1C"/>
    <w:rsid w:val="004C7EC7"/>
    <w:rsid w:val="004D10D4"/>
    <w:rsid w:val="004D16BD"/>
    <w:rsid w:val="004D2AAB"/>
    <w:rsid w:val="004D3C7F"/>
    <w:rsid w:val="004D42CB"/>
    <w:rsid w:val="004D6E90"/>
    <w:rsid w:val="004D6F2B"/>
    <w:rsid w:val="004E0248"/>
    <w:rsid w:val="004E21A3"/>
    <w:rsid w:val="004E32EA"/>
    <w:rsid w:val="004E3517"/>
    <w:rsid w:val="004E5640"/>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166DC"/>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4D72"/>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A36"/>
    <w:rsid w:val="005701C1"/>
    <w:rsid w:val="005703BF"/>
    <w:rsid w:val="00570754"/>
    <w:rsid w:val="005709F7"/>
    <w:rsid w:val="00570EAA"/>
    <w:rsid w:val="005710A9"/>
    <w:rsid w:val="005716B0"/>
    <w:rsid w:val="00571B11"/>
    <w:rsid w:val="00571D1B"/>
    <w:rsid w:val="00571DA3"/>
    <w:rsid w:val="005738F5"/>
    <w:rsid w:val="00573D34"/>
    <w:rsid w:val="005743F9"/>
    <w:rsid w:val="00574A1B"/>
    <w:rsid w:val="00575963"/>
    <w:rsid w:val="00575EBE"/>
    <w:rsid w:val="0058039C"/>
    <w:rsid w:val="00580A63"/>
    <w:rsid w:val="00582535"/>
    <w:rsid w:val="00583379"/>
    <w:rsid w:val="0058417C"/>
    <w:rsid w:val="005854F9"/>
    <w:rsid w:val="005866E6"/>
    <w:rsid w:val="005867CE"/>
    <w:rsid w:val="00586EC6"/>
    <w:rsid w:val="00587DDE"/>
    <w:rsid w:val="00593043"/>
    <w:rsid w:val="00595B60"/>
    <w:rsid w:val="00595B63"/>
    <w:rsid w:val="00595BF0"/>
    <w:rsid w:val="00597E16"/>
    <w:rsid w:val="005A0B1D"/>
    <w:rsid w:val="005A0BE0"/>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3EE"/>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17121"/>
    <w:rsid w:val="0062036E"/>
    <w:rsid w:val="006211D0"/>
    <w:rsid w:val="00621595"/>
    <w:rsid w:val="0062359D"/>
    <w:rsid w:val="00623634"/>
    <w:rsid w:val="00623A33"/>
    <w:rsid w:val="00624D0C"/>
    <w:rsid w:val="00626A0F"/>
    <w:rsid w:val="006274B4"/>
    <w:rsid w:val="006307BA"/>
    <w:rsid w:val="006315BA"/>
    <w:rsid w:val="006343D7"/>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77BA1"/>
    <w:rsid w:val="0068098E"/>
    <w:rsid w:val="006810BD"/>
    <w:rsid w:val="00682486"/>
    <w:rsid w:val="006833A7"/>
    <w:rsid w:val="00684CE6"/>
    <w:rsid w:val="00684E2B"/>
    <w:rsid w:val="006857A0"/>
    <w:rsid w:val="0068650A"/>
    <w:rsid w:val="00687C7E"/>
    <w:rsid w:val="00687D3D"/>
    <w:rsid w:val="00690569"/>
    <w:rsid w:val="00690836"/>
    <w:rsid w:val="00690FDA"/>
    <w:rsid w:val="00691E61"/>
    <w:rsid w:val="00692180"/>
    <w:rsid w:val="006937C6"/>
    <w:rsid w:val="006938CD"/>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223D"/>
    <w:rsid w:val="006B31E6"/>
    <w:rsid w:val="006B3923"/>
    <w:rsid w:val="006B3F3E"/>
    <w:rsid w:val="006B45F1"/>
    <w:rsid w:val="006B4AA2"/>
    <w:rsid w:val="006B4C4D"/>
    <w:rsid w:val="006B53C4"/>
    <w:rsid w:val="006B586B"/>
    <w:rsid w:val="006B5923"/>
    <w:rsid w:val="006B67D9"/>
    <w:rsid w:val="006B6C14"/>
    <w:rsid w:val="006B7159"/>
    <w:rsid w:val="006B715E"/>
    <w:rsid w:val="006C1D6E"/>
    <w:rsid w:val="006C2EF6"/>
    <w:rsid w:val="006C3A68"/>
    <w:rsid w:val="006C3B08"/>
    <w:rsid w:val="006C53DC"/>
    <w:rsid w:val="006C6AB1"/>
    <w:rsid w:val="006C6E6B"/>
    <w:rsid w:val="006C73D4"/>
    <w:rsid w:val="006D0BBB"/>
    <w:rsid w:val="006D145F"/>
    <w:rsid w:val="006D2000"/>
    <w:rsid w:val="006D26F4"/>
    <w:rsid w:val="006D2D39"/>
    <w:rsid w:val="006D2F31"/>
    <w:rsid w:val="006D4250"/>
    <w:rsid w:val="006D4E0E"/>
    <w:rsid w:val="006D5861"/>
    <w:rsid w:val="006D5CE2"/>
    <w:rsid w:val="006D7854"/>
    <w:rsid w:val="006E06D1"/>
    <w:rsid w:val="006E122E"/>
    <w:rsid w:val="006E1313"/>
    <w:rsid w:val="006E2DC8"/>
    <w:rsid w:val="006E58CB"/>
    <w:rsid w:val="006E684A"/>
    <w:rsid w:val="006E6B68"/>
    <w:rsid w:val="006E7356"/>
    <w:rsid w:val="006E77C8"/>
    <w:rsid w:val="006F0F9C"/>
    <w:rsid w:val="006F0FC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47DA"/>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004"/>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129"/>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138"/>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51C8"/>
    <w:rsid w:val="008D75F4"/>
    <w:rsid w:val="008D795D"/>
    <w:rsid w:val="008D7B07"/>
    <w:rsid w:val="008E0D8F"/>
    <w:rsid w:val="008E0F4E"/>
    <w:rsid w:val="008E1E94"/>
    <w:rsid w:val="008E2D99"/>
    <w:rsid w:val="008E30D4"/>
    <w:rsid w:val="008E36CC"/>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581"/>
    <w:rsid w:val="00906EB7"/>
    <w:rsid w:val="00907FE6"/>
    <w:rsid w:val="009102BF"/>
    <w:rsid w:val="00911490"/>
    <w:rsid w:val="009115F2"/>
    <w:rsid w:val="00911B11"/>
    <w:rsid w:val="00914ADB"/>
    <w:rsid w:val="00917182"/>
    <w:rsid w:val="00920251"/>
    <w:rsid w:val="00920AAF"/>
    <w:rsid w:val="00921CFD"/>
    <w:rsid w:val="00923383"/>
    <w:rsid w:val="00923B25"/>
    <w:rsid w:val="0092402E"/>
    <w:rsid w:val="009259BA"/>
    <w:rsid w:val="00926FCB"/>
    <w:rsid w:val="009303BB"/>
    <w:rsid w:val="0093108A"/>
    <w:rsid w:val="00931B6D"/>
    <w:rsid w:val="0093311A"/>
    <w:rsid w:val="009346D0"/>
    <w:rsid w:val="009369A6"/>
    <w:rsid w:val="00937F57"/>
    <w:rsid w:val="0094031E"/>
    <w:rsid w:val="009407FB"/>
    <w:rsid w:val="009419B4"/>
    <w:rsid w:val="00941A4C"/>
    <w:rsid w:val="00942645"/>
    <w:rsid w:val="009461E6"/>
    <w:rsid w:val="00950A3A"/>
    <w:rsid w:val="00952383"/>
    <w:rsid w:val="00952CC5"/>
    <w:rsid w:val="0095340A"/>
    <w:rsid w:val="00953AF6"/>
    <w:rsid w:val="0095423E"/>
    <w:rsid w:val="00954581"/>
    <w:rsid w:val="0095466C"/>
    <w:rsid w:val="00954E5B"/>
    <w:rsid w:val="00955100"/>
    <w:rsid w:val="00955316"/>
    <w:rsid w:val="0095541C"/>
    <w:rsid w:val="00955E45"/>
    <w:rsid w:val="009576BC"/>
    <w:rsid w:val="00957899"/>
    <w:rsid w:val="00957927"/>
    <w:rsid w:val="00960357"/>
    <w:rsid w:val="0096168C"/>
    <w:rsid w:val="00961840"/>
    <w:rsid w:val="009625E3"/>
    <w:rsid w:val="00962F2D"/>
    <w:rsid w:val="00963A7A"/>
    <w:rsid w:val="00966AFE"/>
    <w:rsid w:val="009672CD"/>
    <w:rsid w:val="00971810"/>
    <w:rsid w:val="00972258"/>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70B"/>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539"/>
    <w:rsid w:val="009B69D3"/>
    <w:rsid w:val="009B721E"/>
    <w:rsid w:val="009B7BA7"/>
    <w:rsid w:val="009B7C01"/>
    <w:rsid w:val="009C04EC"/>
    <w:rsid w:val="009C0938"/>
    <w:rsid w:val="009C0C22"/>
    <w:rsid w:val="009C15D9"/>
    <w:rsid w:val="009C1A1D"/>
    <w:rsid w:val="009C22C8"/>
    <w:rsid w:val="009C32A6"/>
    <w:rsid w:val="009C344F"/>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57C"/>
    <w:rsid w:val="009E09D0"/>
    <w:rsid w:val="009E1181"/>
    <w:rsid w:val="009E1283"/>
    <w:rsid w:val="009E3A7F"/>
    <w:rsid w:val="009E3CA3"/>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2B1C"/>
    <w:rsid w:val="00A23B89"/>
    <w:rsid w:val="00A23C4F"/>
    <w:rsid w:val="00A23FE3"/>
    <w:rsid w:val="00A248C3"/>
    <w:rsid w:val="00A2496E"/>
    <w:rsid w:val="00A2515A"/>
    <w:rsid w:val="00A253E8"/>
    <w:rsid w:val="00A258B7"/>
    <w:rsid w:val="00A25A0C"/>
    <w:rsid w:val="00A25A83"/>
    <w:rsid w:val="00A262B6"/>
    <w:rsid w:val="00A27F7C"/>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3C4D"/>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4D53"/>
    <w:rsid w:val="00AB592E"/>
    <w:rsid w:val="00AC0C1C"/>
    <w:rsid w:val="00AC1305"/>
    <w:rsid w:val="00AC2770"/>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2C21"/>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2D0F"/>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1CE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2ED7"/>
    <w:rsid w:val="00BD3683"/>
    <w:rsid w:val="00BD40AB"/>
    <w:rsid w:val="00BD40DE"/>
    <w:rsid w:val="00BD4E89"/>
    <w:rsid w:val="00BD6297"/>
    <w:rsid w:val="00BD6806"/>
    <w:rsid w:val="00BD6939"/>
    <w:rsid w:val="00BD7433"/>
    <w:rsid w:val="00BD7831"/>
    <w:rsid w:val="00BD7C10"/>
    <w:rsid w:val="00BE046F"/>
    <w:rsid w:val="00BE0DEB"/>
    <w:rsid w:val="00BE229C"/>
    <w:rsid w:val="00BE2AB8"/>
    <w:rsid w:val="00BE2FC1"/>
    <w:rsid w:val="00BE3142"/>
    <w:rsid w:val="00BE354B"/>
    <w:rsid w:val="00BE4039"/>
    <w:rsid w:val="00BE6365"/>
    <w:rsid w:val="00BF01B7"/>
    <w:rsid w:val="00BF0B7F"/>
    <w:rsid w:val="00BF0E94"/>
    <w:rsid w:val="00BF2988"/>
    <w:rsid w:val="00BF3FB9"/>
    <w:rsid w:val="00BF4012"/>
    <w:rsid w:val="00BF4720"/>
    <w:rsid w:val="00BF4F49"/>
    <w:rsid w:val="00BF6759"/>
    <w:rsid w:val="00BF70A6"/>
    <w:rsid w:val="00BF7569"/>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B46"/>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5921"/>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4EC1"/>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7828"/>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653"/>
    <w:rsid w:val="00CC69EC"/>
    <w:rsid w:val="00CC78A2"/>
    <w:rsid w:val="00CC7A8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B2C"/>
    <w:rsid w:val="00D14BAE"/>
    <w:rsid w:val="00D15107"/>
    <w:rsid w:val="00D1648B"/>
    <w:rsid w:val="00D16819"/>
    <w:rsid w:val="00D17DD9"/>
    <w:rsid w:val="00D20AC0"/>
    <w:rsid w:val="00D229E7"/>
    <w:rsid w:val="00D2321B"/>
    <w:rsid w:val="00D23350"/>
    <w:rsid w:val="00D237E7"/>
    <w:rsid w:val="00D23DE4"/>
    <w:rsid w:val="00D25A5C"/>
    <w:rsid w:val="00D264E0"/>
    <w:rsid w:val="00D26873"/>
    <w:rsid w:val="00D27C99"/>
    <w:rsid w:val="00D31683"/>
    <w:rsid w:val="00D33452"/>
    <w:rsid w:val="00D336C8"/>
    <w:rsid w:val="00D339E8"/>
    <w:rsid w:val="00D33E07"/>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651"/>
    <w:rsid w:val="00D54BE4"/>
    <w:rsid w:val="00D54DDB"/>
    <w:rsid w:val="00D554BC"/>
    <w:rsid w:val="00D560DC"/>
    <w:rsid w:val="00D56602"/>
    <w:rsid w:val="00D60483"/>
    <w:rsid w:val="00D61ABB"/>
    <w:rsid w:val="00D62D5C"/>
    <w:rsid w:val="00D63577"/>
    <w:rsid w:val="00D6627C"/>
    <w:rsid w:val="00D67FD7"/>
    <w:rsid w:val="00D704E4"/>
    <w:rsid w:val="00D72410"/>
    <w:rsid w:val="00D73D53"/>
    <w:rsid w:val="00D7402C"/>
    <w:rsid w:val="00D7408A"/>
    <w:rsid w:val="00D74261"/>
    <w:rsid w:val="00D7441B"/>
    <w:rsid w:val="00D75589"/>
    <w:rsid w:val="00D76AB2"/>
    <w:rsid w:val="00D77DB4"/>
    <w:rsid w:val="00D80490"/>
    <w:rsid w:val="00D828F9"/>
    <w:rsid w:val="00D829AD"/>
    <w:rsid w:val="00D82EE2"/>
    <w:rsid w:val="00D83D1B"/>
    <w:rsid w:val="00D84133"/>
    <w:rsid w:val="00D848A7"/>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BE"/>
    <w:rsid w:val="00DF6EF8"/>
    <w:rsid w:val="00DF6EFE"/>
    <w:rsid w:val="00DF7AA1"/>
    <w:rsid w:val="00E00A69"/>
    <w:rsid w:val="00E017BC"/>
    <w:rsid w:val="00E017F0"/>
    <w:rsid w:val="00E01A0E"/>
    <w:rsid w:val="00E025FE"/>
    <w:rsid w:val="00E0346A"/>
    <w:rsid w:val="00E041E4"/>
    <w:rsid w:val="00E04AEE"/>
    <w:rsid w:val="00E06BBD"/>
    <w:rsid w:val="00E100E3"/>
    <w:rsid w:val="00E1012B"/>
    <w:rsid w:val="00E103C8"/>
    <w:rsid w:val="00E104C2"/>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3B56"/>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472"/>
    <w:rsid w:val="00E9763D"/>
    <w:rsid w:val="00EA1177"/>
    <w:rsid w:val="00EA118B"/>
    <w:rsid w:val="00EA11B6"/>
    <w:rsid w:val="00EA1F7A"/>
    <w:rsid w:val="00EA2181"/>
    <w:rsid w:val="00EA2DD8"/>
    <w:rsid w:val="00EA30FC"/>
    <w:rsid w:val="00EA4475"/>
    <w:rsid w:val="00EA52FE"/>
    <w:rsid w:val="00EA681F"/>
    <w:rsid w:val="00EA7446"/>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C7B32"/>
    <w:rsid w:val="00ED12F0"/>
    <w:rsid w:val="00ED2874"/>
    <w:rsid w:val="00ED290C"/>
    <w:rsid w:val="00ED2A6C"/>
    <w:rsid w:val="00ED4773"/>
    <w:rsid w:val="00ED50C6"/>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2F07"/>
    <w:rsid w:val="00F130D0"/>
    <w:rsid w:val="00F13AC6"/>
    <w:rsid w:val="00F14933"/>
    <w:rsid w:val="00F1516A"/>
    <w:rsid w:val="00F15EE5"/>
    <w:rsid w:val="00F171F9"/>
    <w:rsid w:val="00F1737C"/>
    <w:rsid w:val="00F173AA"/>
    <w:rsid w:val="00F22A26"/>
    <w:rsid w:val="00F23E0B"/>
    <w:rsid w:val="00F24072"/>
    <w:rsid w:val="00F26432"/>
    <w:rsid w:val="00F3197A"/>
    <w:rsid w:val="00F32139"/>
    <w:rsid w:val="00F33CF0"/>
    <w:rsid w:val="00F33D56"/>
    <w:rsid w:val="00F34E08"/>
    <w:rsid w:val="00F3606F"/>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0E"/>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A16"/>
    <w:rsid w:val="00F75C12"/>
    <w:rsid w:val="00F76D01"/>
    <w:rsid w:val="00F80B43"/>
    <w:rsid w:val="00F80C97"/>
    <w:rsid w:val="00F81C35"/>
    <w:rsid w:val="00F82981"/>
    <w:rsid w:val="00F8311F"/>
    <w:rsid w:val="00F83248"/>
    <w:rsid w:val="00F83376"/>
    <w:rsid w:val="00F853AE"/>
    <w:rsid w:val="00F87F23"/>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E37"/>
    <w:rsid w:val="00FA78C8"/>
    <w:rsid w:val="00FA7A2F"/>
    <w:rsid w:val="00FB09FE"/>
    <w:rsid w:val="00FB0E80"/>
    <w:rsid w:val="00FB101D"/>
    <w:rsid w:val="00FB1725"/>
    <w:rsid w:val="00FB2493"/>
    <w:rsid w:val="00FB42B7"/>
    <w:rsid w:val="00FB4484"/>
    <w:rsid w:val="00FB593A"/>
    <w:rsid w:val="00FB5B1B"/>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178"/>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0920A8"/>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3830885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C40C-EEDD-4D9B-A807-DB7DDB1C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3091</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2012-07-17T15:30:00Z</dcterms:created>
  <dcterms:modified xsi:type="dcterms:W3CDTF">2012-07-17T15:30:00Z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