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501772" w:rsidRPr="00501772" w:rsidRDefault="00501772" w:rsidP="00501772">
      <w:pPr>
        <w:tabs>
          <w:tab w:val="left" w:pos="288"/>
          <w:tab w:val="left" w:pos="4752"/>
        </w:tabs>
        <w:jc w:val="both"/>
        <w:rPr>
          <w:b/>
          <w:caps/>
          <w:color w:val="000000"/>
        </w:rPr>
      </w:pPr>
    </w:p>
    <w:p w:rsidR="00501772" w:rsidRPr="00501772" w:rsidRDefault="00501772" w:rsidP="00501772">
      <w:pPr>
        <w:tabs>
          <w:tab w:val="left" w:pos="288"/>
          <w:tab w:val="left" w:pos="4752"/>
        </w:tabs>
        <w:jc w:val="left"/>
        <w:rPr>
          <w:caps/>
          <w:color w:val="000000"/>
        </w:rPr>
      </w:pPr>
      <w:r w:rsidRPr="00501772">
        <w:rPr>
          <w:caps/>
          <w:color w:val="000000"/>
        </w:rPr>
        <w:t xml:space="preserve">NAME: </w:t>
      </w:r>
      <w:r>
        <w:rPr>
          <w:caps/>
          <w:color w:val="000000"/>
        </w:rPr>
        <w:t xml:space="preserve"> </w:t>
      </w:r>
      <w:r w:rsidR="00653D0B">
        <w:rPr>
          <w:caps/>
          <w:color w:val="000000" w:themeColor="text1"/>
        </w:rPr>
        <w:t>XXXXXXXXXXXXXXX</w:t>
      </w:r>
      <w:r w:rsidR="004F6551">
        <w:rPr>
          <w:caps/>
          <w:color w:val="000000"/>
        </w:rPr>
        <w:t xml:space="preserve">                                     </w:t>
      </w:r>
      <w:r w:rsidRPr="00501772">
        <w:rPr>
          <w:caps/>
          <w:color w:val="000000"/>
        </w:rPr>
        <w:t xml:space="preserve">BRANCH OF SERVICE:  Army </w:t>
      </w:r>
    </w:p>
    <w:p w:rsidR="00501772" w:rsidRPr="00501772" w:rsidRDefault="00501772" w:rsidP="00501772">
      <w:pPr>
        <w:tabs>
          <w:tab w:val="left" w:pos="288"/>
          <w:tab w:val="left" w:pos="4752"/>
        </w:tabs>
        <w:jc w:val="left"/>
        <w:rPr>
          <w:caps/>
          <w:color w:val="000000"/>
        </w:rPr>
      </w:pPr>
      <w:r w:rsidRPr="00501772">
        <w:rPr>
          <w:caps/>
          <w:color w:val="000000"/>
        </w:rPr>
        <w:t xml:space="preserve">CASE NUMBER:  </w:t>
      </w:r>
      <w:r w:rsidRPr="00BA70F8">
        <w:rPr>
          <w:caps/>
          <w:color w:val="000000" w:themeColor="text1"/>
        </w:rPr>
        <w:t>PD1100828</w:t>
      </w:r>
      <w:r w:rsidR="004F6551">
        <w:rPr>
          <w:caps/>
          <w:color w:val="000000"/>
        </w:rPr>
        <w:t xml:space="preserve">                                    </w:t>
      </w:r>
      <w:r w:rsidRPr="00501772">
        <w:rPr>
          <w:caps/>
          <w:color w:val="000000"/>
        </w:rPr>
        <w:t xml:space="preserve">DATE OF PLACEMENT ON TDRL:  </w:t>
      </w:r>
      <w:r w:rsidRPr="001F29F9">
        <w:rPr>
          <w:color w:val="000000" w:themeColor="text1"/>
        </w:rPr>
        <w:t>200</w:t>
      </w:r>
      <w:r>
        <w:rPr>
          <w:color w:val="000000" w:themeColor="text1"/>
        </w:rPr>
        <w:t>40218</w:t>
      </w:r>
      <w:r w:rsidRPr="00501772">
        <w:rPr>
          <w:caps/>
          <w:color w:val="000000"/>
        </w:rPr>
        <w:tab/>
      </w:r>
    </w:p>
    <w:p w:rsidR="00501772" w:rsidRPr="00501772" w:rsidRDefault="00501772" w:rsidP="00501772">
      <w:pPr>
        <w:tabs>
          <w:tab w:val="left" w:pos="288"/>
          <w:tab w:val="left" w:pos="4680"/>
        </w:tabs>
        <w:jc w:val="left"/>
        <w:rPr>
          <w:caps/>
          <w:color w:val="000000"/>
        </w:rPr>
      </w:pPr>
      <w:r>
        <w:rPr>
          <w:caps/>
          <w:color w:val="000000"/>
        </w:rPr>
        <w:t>BOARD DATE:  2012</w:t>
      </w:r>
      <w:r w:rsidR="00076CCA" w:rsidRPr="00076CCA">
        <w:rPr>
          <w:caps/>
          <w:color w:val="000000"/>
        </w:rPr>
        <w:t>0802</w:t>
      </w:r>
      <w:r w:rsidRPr="00076CCA">
        <w:rPr>
          <w:caps/>
          <w:color w:val="000000"/>
        </w:rPr>
        <w:t xml:space="preserve">   </w:t>
      </w:r>
      <w:r w:rsidR="004F6551">
        <w:rPr>
          <w:color w:val="000000"/>
        </w:rPr>
        <w:t xml:space="preserve">                                      </w:t>
      </w:r>
      <w:r>
        <w:rPr>
          <w:color w:val="000000"/>
        </w:rPr>
        <w:t xml:space="preserve"> </w:t>
      </w:r>
      <w:r w:rsidRPr="00501772">
        <w:rPr>
          <w:caps/>
          <w:color w:val="000000"/>
        </w:rPr>
        <w:t xml:space="preserve">Date of Permanent SEPARATION:  </w:t>
      </w:r>
      <w:r w:rsidRPr="001F29F9">
        <w:rPr>
          <w:color w:val="000000" w:themeColor="text1"/>
        </w:rPr>
        <w:t>200</w:t>
      </w:r>
      <w:r>
        <w:rPr>
          <w:color w:val="000000" w:themeColor="text1"/>
        </w:rPr>
        <w:t>60822</w:t>
      </w:r>
    </w:p>
    <w:p w:rsidR="00501772" w:rsidRPr="001F29F9" w:rsidRDefault="00501772" w:rsidP="00501772">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331C13" w:rsidRPr="00694F80" w:rsidRDefault="00AD2379" w:rsidP="00694F80">
      <w:pPr>
        <w:tabs>
          <w:tab w:val="left" w:pos="288"/>
          <w:tab w:val="left" w:pos="4752"/>
        </w:tabs>
        <w:jc w:val="both"/>
        <w:rPr>
          <w:color w:val="auto"/>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501772">
        <w:rPr>
          <w:color w:val="000000" w:themeColor="text1"/>
          <w:szCs w:val="24"/>
        </w:rPr>
        <w:t xml:space="preserve">SSG/E6 </w:t>
      </w:r>
      <w:r w:rsidRPr="001F29F9">
        <w:rPr>
          <w:color w:val="000000"/>
        </w:rPr>
        <w:t>(</w:t>
      </w:r>
      <w:r w:rsidR="00501772">
        <w:rPr>
          <w:color w:val="000000" w:themeColor="text1"/>
          <w:szCs w:val="24"/>
        </w:rPr>
        <w:t>92F, Petroleum Supply</w:t>
      </w:r>
      <w:r w:rsidR="00A70270">
        <w:rPr>
          <w:color w:val="000000"/>
        </w:rPr>
        <w:t xml:space="preserve">) </w:t>
      </w:r>
      <w:r w:rsidRPr="001F29F9">
        <w:rPr>
          <w:color w:val="000000"/>
        </w:rPr>
        <w:t xml:space="preserve">medically separated for </w:t>
      </w:r>
      <w:r w:rsidR="00501772">
        <w:rPr>
          <w:color w:val="000000"/>
        </w:rPr>
        <w:t>asthma, lumbar spine and right knee conditions</w:t>
      </w:r>
      <w:r w:rsidRPr="001F29F9">
        <w:rPr>
          <w:color w:val="000000"/>
        </w:rPr>
        <w:t xml:space="preserve">. </w:t>
      </w:r>
      <w:r w:rsidR="00261B7E">
        <w:rPr>
          <w:color w:val="000000"/>
        </w:rPr>
        <w:t xml:space="preserve"> </w:t>
      </w:r>
      <w:r w:rsidR="00E010EE">
        <w:rPr>
          <w:color w:val="000000"/>
        </w:rPr>
        <w:t>He had a history of exertional</w:t>
      </w:r>
      <w:r w:rsidR="00F566B7" w:rsidRPr="00F566B7">
        <w:rPr>
          <w:color w:val="000000"/>
        </w:rPr>
        <w:t xml:space="preserve"> </w:t>
      </w:r>
      <w:r w:rsidR="00E010EE">
        <w:rPr>
          <w:color w:val="000000"/>
        </w:rPr>
        <w:t xml:space="preserve">shortness of breath worsening over the years, which was ultimately diagnosed as asthma.  The lumbar condition was also of chronic duration, and ultimately diagnosed as non-surgical disc disease.  The right knee condition </w:t>
      </w:r>
      <w:r w:rsidR="00012FFB">
        <w:rPr>
          <w:color w:val="000000"/>
        </w:rPr>
        <w:t>surfaced later</w:t>
      </w:r>
      <w:r w:rsidR="0019459C">
        <w:rPr>
          <w:color w:val="000000"/>
        </w:rPr>
        <w:t xml:space="preserve"> </w:t>
      </w:r>
      <w:r w:rsidR="00012FFB">
        <w:rPr>
          <w:color w:val="000000"/>
        </w:rPr>
        <w:t>and was diagnosed as synovitis.  The asthma could not be adequately controlled, and the orthopedic conditions</w:t>
      </w:r>
      <w:r w:rsidR="00E010EE">
        <w:rPr>
          <w:color w:val="000000"/>
        </w:rPr>
        <w:t xml:space="preserve"> </w:t>
      </w:r>
      <w:r w:rsidR="00F566B7" w:rsidRPr="00F566B7">
        <w:rPr>
          <w:color w:val="000000"/>
        </w:rPr>
        <w:t>could not be adequately rehabilitated to meet the physical requirements of his Military Occupational Specialty (MOS) or satis</w:t>
      </w:r>
      <w:r w:rsidR="009C12A1">
        <w:rPr>
          <w:color w:val="000000"/>
        </w:rPr>
        <w:t>fy physical fitness standards.</w:t>
      </w:r>
      <w:r w:rsidR="00F566B7" w:rsidRPr="00F566B7">
        <w:rPr>
          <w:color w:val="000000"/>
        </w:rPr>
        <w:t xml:space="preserve"> </w:t>
      </w:r>
      <w:r w:rsidR="009C12A1">
        <w:rPr>
          <w:color w:val="000000"/>
        </w:rPr>
        <w:t xml:space="preserve"> He </w:t>
      </w:r>
      <w:r w:rsidR="00F566B7" w:rsidRPr="00F566B7">
        <w:rPr>
          <w:color w:val="000000"/>
        </w:rPr>
        <w:t xml:space="preserve">was </w:t>
      </w:r>
      <w:r w:rsidR="00271871">
        <w:rPr>
          <w:color w:val="000000"/>
        </w:rPr>
        <w:t>consequently</w:t>
      </w:r>
      <w:r w:rsidR="009C12A1">
        <w:rPr>
          <w:color w:val="000000"/>
        </w:rPr>
        <w:t xml:space="preserve"> </w:t>
      </w:r>
      <w:r w:rsidR="00F566B7" w:rsidRPr="00F566B7">
        <w:rPr>
          <w:color w:val="000000"/>
        </w:rPr>
        <w:t xml:space="preserve">issued a </w:t>
      </w:r>
      <w:r w:rsidR="00F566B7" w:rsidRPr="00694F80">
        <w:rPr>
          <w:color w:val="000000"/>
        </w:rPr>
        <w:t xml:space="preserve">permanent </w:t>
      </w:r>
      <w:r w:rsidR="00517423" w:rsidRPr="00694F80">
        <w:rPr>
          <w:color w:val="000000"/>
        </w:rPr>
        <w:t>P3/</w:t>
      </w:r>
      <w:r w:rsidR="00F566B7" w:rsidRPr="00694F80">
        <w:rPr>
          <w:color w:val="000000"/>
        </w:rPr>
        <w:t>L3 profile and</w:t>
      </w:r>
      <w:r w:rsidR="009C12A1" w:rsidRPr="00694F80">
        <w:rPr>
          <w:color w:val="000000"/>
        </w:rPr>
        <w:t xml:space="preserve"> </w:t>
      </w:r>
      <w:r w:rsidR="00F566B7" w:rsidRPr="00694F80">
        <w:rPr>
          <w:color w:val="000000"/>
        </w:rPr>
        <w:t xml:space="preserve">referred for a Medical Evaluation Board (MEB).  </w:t>
      </w:r>
      <w:r w:rsidR="00012FFB">
        <w:rPr>
          <w:color w:val="000000"/>
        </w:rPr>
        <w:t>A</w:t>
      </w:r>
      <w:r w:rsidR="00007B20" w:rsidRPr="00694F80">
        <w:rPr>
          <w:color w:val="000000"/>
        </w:rPr>
        <w:t xml:space="preserve">sthma, lumbar spine and right knee conditions were </w:t>
      </w:r>
      <w:r w:rsidR="00F566B7" w:rsidRPr="00694F80">
        <w:rPr>
          <w:color w:val="000000"/>
        </w:rPr>
        <w:t>forwarded to the Physical Evaluation Board (PEB) as medically unacceptable IAW AR 40-501.  No other condi</w:t>
      </w:r>
      <w:r w:rsidR="00B63EAE" w:rsidRPr="00694F80">
        <w:rPr>
          <w:color w:val="000000"/>
        </w:rPr>
        <w:t>tions were submitted by the MEB</w:t>
      </w:r>
      <w:r w:rsidR="00F566B7" w:rsidRPr="00694F80">
        <w:rPr>
          <w:color w:val="000000"/>
        </w:rPr>
        <w:t xml:space="preserve">.  </w:t>
      </w:r>
      <w:r w:rsidR="00694F80" w:rsidRPr="00694F80">
        <w:rPr>
          <w:color w:val="auto"/>
        </w:rPr>
        <w:t xml:space="preserve">The PEB adjudicated all </w:t>
      </w:r>
      <w:r w:rsidR="00EF0866">
        <w:rPr>
          <w:color w:val="auto"/>
        </w:rPr>
        <w:t>three</w:t>
      </w:r>
      <w:r w:rsidR="00694F80" w:rsidRPr="00694F80">
        <w:rPr>
          <w:color w:val="auto"/>
        </w:rPr>
        <w:t xml:space="preserve"> conditions as unfitting: asthma rated 30%</w:t>
      </w:r>
      <w:r w:rsidR="004F6551">
        <w:rPr>
          <w:color w:val="auto"/>
        </w:rPr>
        <w:t>,</w:t>
      </w:r>
      <w:r w:rsidR="00694F80" w:rsidRPr="00694F80">
        <w:rPr>
          <w:color w:val="auto"/>
        </w:rPr>
        <w:t xml:space="preserve"> </w:t>
      </w:r>
      <w:r w:rsidR="00694F80" w:rsidRPr="00694F80">
        <w:rPr>
          <w:color w:val="000000"/>
        </w:rPr>
        <w:t xml:space="preserve">citing criteria of </w:t>
      </w:r>
      <w:r w:rsidR="00694F80" w:rsidRPr="00694F80">
        <w:rPr>
          <w:color w:val="auto"/>
        </w:rPr>
        <w:t xml:space="preserve">the </w:t>
      </w:r>
      <w:r w:rsidR="00694F80" w:rsidRPr="00694F80">
        <w:rPr>
          <w:color w:val="000000"/>
        </w:rPr>
        <w:t>Veterans Administration Schedule for Rating Disabilities (VASRD)</w:t>
      </w:r>
      <w:r w:rsidR="00694F80" w:rsidRPr="00694F80">
        <w:rPr>
          <w:color w:val="auto"/>
        </w:rPr>
        <w:t xml:space="preserve">; the lumbar spine </w:t>
      </w:r>
      <w:r w:rsidR="00076CCA">
        <w:rPr>
          <w:color w:val="auto"/>
        </w:rPr>
        <w:t xml:space="preserve">condition </w:t>
      </w:r>
      <w:r w:rsidR="00694F80" w:rsidRPr="00694F80">
        <w:rPr>
          <w:color w:val="auto"/>
        </w:rPr>
        <w:t>rated 10%</w:t>
      </w:r>
      <w:r w:rsidR="004F6551">
        <w:rPr>
          <w:color w:val="auto"/>
        </w:rPr>
        <w:t>,</w:t>
      </w:r>
      <w:r w:rsidR="00694F80" w:rsidRPr="00694F80">
        <w:rPr>
          <w:color w:val="auto"/>
        </w:rPr>
        <w:t xml:space="preserve"> </w:t>
      </w:r>
      <w:r w:rsidR="00694F80" w:rsidRPr="00694F80">
        <w:rPr>
          <w:color w:val="000000"/>
        </w:rPr>
        <w:t xml:space="preserve">referencing the </w:t>
      </w:r>
      <w:r w:rsidR="00694F80" w:rsidRPr="00694F80">
        <w:rPr>
          <w:color w:val="000000" w:themeColor="text1"/>
          <w:szCs w:val="24"/>
        </w:rPr>
        <w:t xml:space="preserve">US Army Physical Disability Agency (USAPDA) pain policy; and, the right knee </w:t>
      </w:r>
      <w:r w:rsidR="00076CCA">
        <w:rPr>
          <w:color w:val="000000" w:themeColor="text1"/>
          <w:szCs w:val="24"/>
        </w:rPr>
        <w:t xml:space="preserve">condition </w:t>
      </w:r>
      <w:r w:rsidR="00694F80" w:rsidRPr="00694F80">
        <w:rPr>
          <w:color w:val="000000" w:themeColor="text1"/>
          <w:szCs w:val="24"/>
        </w:rPr>
        <w:t>rated 0%</w:t>
      </w:r>
      <w:r w:rsidR="004F6551">
        <w:rPr>
          <w:color w:val="000000" w:themeColor="text1"/>
          <w:szCs w:val="24"/>
        </w:rPr>
        <w:t>,</w:t>
      </w:r>
      <w:r w:rsidR="00694F80" w:rsidRPr="00694F80">
        <w:rPr>
          <w:color w:val="000000" w:themeColor="text1"/>
          <w:szCs w:val="24"/>
        </w:rPr>
        <w:t xml:space="preserve"> referencing the USAPDA pain policy.  The CI</w:t>
      </w:r>
      <w:r w:rsidR="00694F80" w:rsidRPr="00694F80">
        <w:rPr>
          <w:color w:val="auto"/>
        </w:rPr>
        <w:t xml:space="preserve"> was placed on the Temporary Disability Retired List (TDRL); and, after 30 months on TDRL, all 3 conditions were considered to be stable but still unfitting.  The PEB ratings at that time were 10% for asthma, and 0% each for the lumbar spine and right knee; citing the same rating authorities noted for the initial ratings.  </w:t>
      </w:r>
      <w:r w:rsidR="00446C18">
        <w:rPr>
          <w:color w:val="auto"/>
        </w:rPr>
        <w:t xml:space="preserve">The </w:t>
      </w:r>
      <w:r w:rsidR="00007B20">
        <w:rPr>
          <w:color w:val="auto"/>
        </w:rPr>
        <w:t>CI</w:t>
      </w:r>
      <w:r w:rsidR="003674A9" w:rsidRPr="00C472C7">
        <w:rPr>
          <w:color w:val="auto"/>
        </w:rPr>
        <w:t xml:space="preserve"> was </w:t>
      </w:r>
      <w:r w:rsidR="003674A9">
        <w:rPr>
          <w:color w:val="auto"/>
        </w:rPr>
        <w:t xml:space="preserve">permanently separated, without appeal, </w:t>
      </w:r>
      <w:r w:rsidR="003674A9" w:rsidRPr="00C472C7">
        <w:rPr>
          <w:color w:val="auto"/>
        </w:rPr>
        <w:t xml:space="preserve">with a </w:t>
      </w:r>
      <w:r w:rsidR="00007B20">
        <w:rPr>
          <w:color w:val="auto"/>
        </w:rPr>
        <w:t xml:space="preserve">combined </w:t>
      </w:r>
      <w:r w:rsidR="003674A9" w:rsidRPr="00C472C7">
        <w:rPr>
          <w:color w:val="auto"/>
        </w:rPr>
        <w:t>disability rating</w:t>
      </w:r>
      <w:r w:rsidR="003674A9">
        <w:rPr>
          <w:color w:val="auto"/>
        </w:rPr>
        <w:t xml:space="preserve"> </w:t>
      </w:r>
      <w:r w:rsidR="00007B20">
        <w:rPr>
          <w:color w:val="auto"/>
        </w:rPr>
        <w:t>of 10%</w:t>
      </w:r>
      <w:r w:rsidR="003674A9" w:rsidRPr="00C472C7">
        <w:rPr>
          <w:color w:val="auto"/>
        </w:rPr>
        <w:t>.</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773C45">
        <w:rPr>
          <w:color w:val="000000"/>
        </w:rPr>
        <w:t>“</w:t>
      </w:r>
      <w:r w:rsidR="00881443">
        <w:rPr>
          <w:color w:val="000000" w:themeColor="text1"/>
        </w:rPr>
        <w:t>I was rated 30% for exercise induced Asthma fev-1 70%, 79 after inhaled Bronchodilator, 10% for back pain due to L5-S1 herniated nucleus, without neurologic abnormality combined Thoracolumbar range of motion 179 degrees, and 0% for Chronic pain, right knee, due to synovitis when placed on TDRL.  There were no major changes, if any found doing the final evaluation, so I respectfully request that the board revaluate my records, and reconsider the last evaluation.</w:t>
      </w:r>
      <w:r w:rsidR="00773C45">
        <w:rPr>
          <w:color w:val="000000"/>
        </w:rPr>
        <w:t>”</w:t>
      </w:r>
      <w:r w:rsidR="004A2728">
        <w:rPr>
          <w:color w:val="000000"/>
        </w:rPr>
        <w:t xml:space="preserve"> </w:t>
      </w:r>
      <w:r w:rsidR="004A2728" w:rsidRPr="00F72DEB">
        <w:rPr>
          <w:rFonts w:eastAsiaTheme="minorHAnsi"/>
          <w:color w:val="000000" w:themeColor="text1"/>
          <w:szCs w:val="24"/>
        </w:rPr>
        <w:t xml:space="preserve">He does not elaborate further or </w:t>
      </w:r>
      <w:r w:rsidR="00A358BA" w:rsidRPr="00F72DEB">
        <w:rPr>
          <w:rFonts w:eastAsiaTheme="minorHAnsi"/>
          <w:color w:val="000000" w:themeColor="text1"/>
          <w:szCs w:val="24"/>
        </w:rPr>
        <w:t>specify a request for Board consideration of any additional</w:t>
      </w:r>
      <w:r w:rsidR="004A2728" w:rsidRPr="00F72DEB">
        <w:rPr>
          <w:rFonts w:eastAsiaTheme="minorHAnsi"/>
          <w:color w:val="000000" w:themeColor="text1"/>
          <w:szCs w:val="24"/>
        </w:rPr>
        <w:t xml:space="preserve"> conditions.</w:t>
      </w:r>
      <w:r w:rsidR="004A2728">
        <w:rPr>
          <w:color w:val="000000" w:themeColor="text1"/>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881443" w:rsidRDefault="00F14638" w:rsidP="00F14638">
      <w:pPr>
        <w:jc w:val="both"/>
        <w:rPr>
          <w:color w:val="auto"/>
        </w:rPr>
      </w:pPr>
      <w:r w:rsidRPr="006A714F">
        <w:rPr>
          <w:color w:val="auto"/>
          <w:u w:val="single"/>
        </w:rPr>
        <w:t>SCOPE OF REVIEW</w:t>
      </w:r>
      <w:r>
        <w:rPr>
          <w:color w:val="auto"/>
        </w:rPr>
        <w:t xml:space="preserve">:  </w:t>
      </w:r>
      <w:r w:rsidR="00881443" w:rsidRPr="00881443">
        <w:rPr>
          <w:color w:val="auto"/>
        </w:rPr>
        <w:t>The Board wishes to clarify that the scope of its review as defined in Department of Defense Instruction (</w:t>
      </w:r>
      <w:r w:rsidR="006C13EF" w:rsidRPr="00881443">
        <w:rPr>
          <w:color w:val="auto"/>
        </w:rPr>
        <w:t>DoDI</w:t>
      </w:r>
      <w:r w:rsidR="00881443" w:rsidRPr="00881443">
        <w:rPr>
          <w:color w:val="auto"/>
        </w:rPr>
        <w:t>)</w:t>
      </w:r>
      <w:r w:rsidR="006C13EF">
        <w:rPr>
          <w:color w:val="auto"/>
        </w:rPr>
        <w:t xml:space="preserve"> </w:t>
      </w:r>
      <w:r w:rsidR="00881443" w:rsidRPr="00881443">
        <w:rPr>
          <w:color w:val="auto"/>
        </w:rPr>
        <w:t>6040.44 (Enclosure 3, paragraph 5.e.2) is limited to those conditions which were determined by the PEB to be specifically unfitting for continued military service; or, when requested by the CI, those condition(s) “identified but not determined to be unfitting by the PEB</w:t>
      </w:r>
      <w:r w:rsidR="00EF0866">
        <w:rPr>
          <w:color w:val="auto"/>
        </w:rPr>
        <w:t>.</w:t>
      </w:r>
      <w:r w:rsidR="00881443" w:rsidRPr="00881443">
        <w:rPr>
          <w:color w:val="auto"/>
        </w:rPr>
        <w:t xml:space="preserve">”  The rating for the unfitting </w:t>
      </w:r>
      <w:r w:rsidR="006C13EF">
        <w:rPr>
          <w:color w:val="000000"/>
        </w:rPr>
        <w:t>asthma, lumbar spine and right knee conditions</w:t>
      </w:r>
      <w:r w:rsidR="006C13EF" w:rsidRPr="00881443">
        <w:rPr>
          <w:color w:val="auto"/>
        </w:rPr>
        <w:t xml:space="preserve"> </w:t>
      </w:r>
      <w:r w:rsidR="006C13EF">
        <w:rPr>
          <w:color w:val="auto"/>
        </w:rPr>
        <w:t>are</w:t>
      </w:r>
      <w:r w:rsidR="00881443" w:rsidRPr="00881443">
        <w:rPr>
          <w:color w:val="auto"/>
        </w:rPr>
        <w:t xml:space="preserve"> addressed below; and, no additional conditions are within the DoDI 6040.44 defined purview of the Board.  Any conditions or contention not requested in this application, or otherwise outside the Board’s defined scope of review, remain eligible for future consideration by the Army Board for the Correction of Military Records (ABCMR)</w:t>
      </w:r>
      <w:r w:rsidR="006C13EF">
        <w:rPr>
          <w:color w:val="auto"/>
        </w:rPr>
        <w:t>.</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Pr="001F29F9" w:rsidRDefault="00AD2379" w:rsidP="00BF0E94">
      <w:pPr>
        <w:jc w:val="left"/>
        <w:rPr>
          <w:color w:val="000000"/>
        </w:rPr>
      </w:pPr>
      <w:r w:rsidRPr="001F29F9">
        <w:rPr>
          <w:color w:val="000000"/>
          <w:u w:val="single"/>
        </w:rPr>
        <w:lastRenderedPageBreak/>
        <w:t>RATING COMPARISON</w:t>
      </w:r>
      <w:r w:rsidRPr="001F29F9">
        <w:rPr>
          <w:color w:val="000000"/>
        </w:rPr>
        <w:t>:</w:t>
      </w:r>
      <w:r w:rsidRPr="00726F84">
        <w:rPr>
          <w:color w:val="000000"/>
        </w:rPr>
        <w:t xml:space="preserve"> </w:t>
      </w:r>
    </w:p>
    <w:p w:rsidR="00AD2379" w:rsidRDefault="00AD2379" w:rsidP="00FE7C22">
      <w:pPr>
        <w:jc w:val="both"/>
        <w:rPr>
          <w:color w:val="000000"/>
        </w:rPr>
      </w:pPr>
    </w:p>
    <w:tbl>
      <w:tblPr>
        <w:tblStyle w:val="TableGrid1"/>
        <w:tblW w:w="9360" w:type="dxa"/>
        <w:tblInd w:w="108" w:type="dxa"/>
        <w:tblLayout w:type="fixed"/>
        <w:tblLook w:val="04A0" w:firstRow="1" w:lastRow="0" w:firstColumn="1" w:lastColumn="0" w:noHBand="0" w:noVBand="1"/>
      </w:tblPr>
      <w:tblGrid>
        <w:gridCol w:w="1890"/>
        <w:gridCol w:w="1080"/>
        <w:gridCol w:w="630"/>
        <w:gridCol w:w="630"/>
        <w:gridCol w:w="2340"/>
        <w:gridCol w:w="1080"/>
        <w:gridCol w:w="720"/>
        <w:gridCol w:w="990"/>
      </w:tblGrid>
      <w:tr w:rsidR="00495FAC" w:rsidRPr="00495FAC" w:rsidTr="008A5DA6">
        <w:trPr>
          <w:trHeight w:val="107"/>
        </w:trPr>
        <w:tc>
          <w:tcPr>
            <w:tcW w:w="4230" w:type="dxa"/>
            <w:gridSpan w:val="4"/>
            <w:tcBorders>
              <w:right w:val="thinThickThinSmallGap" w:sz="24" w:space="0" w:color="auto"/>
            </w:tcBorders>
            <w:shd w:val="clear" w:color="auto" w:fill="D9D9D9"/>
            <w:vAlign w:val="center"/>
          </w:tcPr>
          <w:p w:rsidR="00495FAC" w:rsidRPr="00495FAC" w:rsidRDefault="00495FAC" w:rsidP="00495FAC">
            <w:pPr>
              <w:contextualSpacing/>
              <w:rPr>
                <w:b/>
                <w:color w:val="auto"/>
                <w:sz w:val="18"/>
                <w:szCs w:val="18"/>
              </w:rPr>
            </w:pPr>
            <w:r w:rsidRPr="00495FAC">
              <w:rPr>
                <w:b/>
                <w:color w:val="auto"/>
                <w:sz w:val="18"/>
                <w:szCs w:val="18"/>
              </w:rPr>
              <w:t xml:space="preserve">Final Service PEB - </w:t>
            </w:r>
            <w:r w:rsidRPr="001F29F9">
              <w:rPr>
                <w:b/>
                <w:color w:val="000000" w:themeColor="text1"/>
                <w:sz w:val="18"/>
                <w:szCs w:val="18"/>
              </w:rPr>
              <w:t>200</w:t>
            </w:r>
            <w:r>
              <w:rPr>
                <w:b/>
                <w:color w:val="000000" w:themeColor="text1"/>
                <w:sz w:val="18"/>
                <w:szCs w:val="18"/>
              </w:rPr>
              <w:t>60726</w:t>
            </w:r>
          </w:p>
        </w:tc>
        <w:tc>
          <w:tcPr>
            <w:tcW w:w="5130" w:type="dxa"/>
            <w:gridSpan w:val="4"/>
            <w:tcBorders>
              <w:left w:val="thinThickThinSmallGap" w:sz="24" w:space="0" w:color="auto"/>
            </w:tcBorders>
            <w:shd w:val="clear" w:color="auto" w:fill="D9D9D9"/>
            <w:vAlign w:val="center"/>
          </w:tcPr>
          <w:p w:rsidR="00495FAC" w:rsidRPr="00495FAC" w:rsidRDefault="00495FAC" w:rsidP="008A5DA6">
            <w:pPr>
              <w:contextualSpacing/>
              <w:rPr>
                <w:b/>
                <w:color w:val="auto"/>
                <w:sz w:val="18"/>
                <w:szCs w:val="18"/>
              </w:rPr>
            </w:pPr>
            <w:r w:rsidRPr="00495FAC">
              <w:rPr>
                <w:b/>
                <w:color w:val="auto"/>
                <w:sz w:val="18"/>
                <w:szCs w:val="18"/>
              </w:rPr>
              <w:t>VA (</w:t>
            </w:r>
            <w:r>
              <w:rPr>
                <w:b/>
                <w:color w:val="auto"/>
                <w:sz w:val="18"/>
                <w:szCs w:val="18"/>
              </w:rPr>
              <w:t>34</w:t>
            </w:r>
            <w:r w:rsidRPr="00495FAC">
              <w:rPr>
                <w:b/>
                <w:color w:val="auto"/>
                <w:sz w:val="18"/>
                <w:szCs w:val="18"/>
              </w:rPr>
              <w:t xml:space="preserve"> Mo. Prior to </w:t>
            </w:r>
            <w:r w:rsidRPr="00495FAC">
              <w:rPr>
                <w:b/>
                <w:color w:val="000000"/>
                <w:sz w:val="18"/>
                <w:szCs w:val="18"/>
              </w:rPr>
              <w:t>Adjudication Date</w:t>
            </w:r>
            <w:r w:rsidR="008A5DA6" w:rsidRPr="00495FAC">
              <w:rPr>
                <w:b/>
                <w:color w:val="auto"/>
                <w:sz w:val="18"/>
                <w:szCs w:val="18"/>
              </w:rPr>
              <w:t>*</w:t>
            </w:r>
            <w:r w:rsidRPr="00495FAC">
              <w:rPr>
                <w:b/>
                <w:color w:val="auto"/>
                <w:sz w:val="18"/>
                <w:szCs w:val="18"/>
              </w:rPr>
              <w:t xml:space="preserve">) – All Effective </w:t>
            </w:r>
            <w:r w:rsidRPr="001F29F9">
              <w:rPr>
                <w:b/>
                <w:color w:val="000000" w:themeColor="text1"/>
                <w:sz w:val="18"/>
                <w:szCs w:val="18"/>
              </w:rPr>
              <w:t>200</w:t>
            </w:r>
            <w:r>
              <w:rPr>
                <w:b/>
                <w:color w:val="000000" w:themeColor="text1"/>
                <w:sz w:val="18"/>
                <w:szCs w:val="18"/>
              </w:rPr>
              <w:t>40218</w:t>
            </w:r>
          </w:p>
        </w:tc>
      </w:tr>
      <w:tr w:rsidR="00495FAC" w:rsidRPr="00495FAC" w:rsidTr="008A5DA6">
        <w:trPr>
          <w:trHeight w:val="65"/>
        </w:trPr>
        <w:tc>
          <w:tcPr>
            <w:tcW w:w="1890" w:type="dxa"/>
            <w:tcBorders>
              <w:bottom w:val="single" w:sz="4" w:space="0" w:color="000000"/>
            </w:tcBorders>
            <w:shd w:val="clear" w:color="auto" w:fill="D9D9D9"/>
            <w:vAlign w:val="center"/>
          </w:tcPr>
          <w:p w:rsidR="00495FAC" w:rsidRPr="00495FAC" w:rsidRDefault="00495FAC" w:rsidP="00495FAC">
            <w:pPr>
              <w:spacing w:line="200" w:lineRule="exact"/>
              <w:contextualSpacing/>
              <w:rPr>
                <w:b/>
                <w:color w:val="auto"/>
                <w:sz w:val="18"/>
                <w:szCs w:val="18"/>
              </w:rPr>
            </w:pPr>
            <w:r w:rsidRPr="00495FAC">
              <w:rPr>
                <w:b/>
                <w:color w:val="auto"/>
                <w:sz w:val="18"/>
                <w:szCs w:val="18"/>
              </w:rPr>
              <w:t xml:space="preserve">On TDRL - </w:t>
            </w:r>
            <w:r w:rsidRPr="001F29F9">
              <w:rPr>
                <w:b/>
                <w:color w:val="000000" w:themeColor="text1"/>
                <w:sz w:val="18"/>
                <w:szCs w:val="18"/>
              </w:rPr>
              <w:t>200</w:t>
            </w:r>
            <w:r>
              <w:rPr>
                <w:b/>
                <w:color w:val="000000" w:themeColor="text1"/>
                <w:sz w:val="18"/>
                <w:szCs w:val="18"/>
              </w:rPr>
              <w:t>40218</w:t>
            </w:r>
          </w:p>
        </w:tc>
        <w:tc>
          <w:tcPr>
            <w:tcW w:w="1080" w:type="dxa"/>
            <w:vMerge w:val="restart"/>
            <w:tcBorders>
              <w:bottom w:val="single" w:sz="4" w:space="0" w:color="000000"/>
            </w:tcBorders>
            <w:shd w:val="clear" w:color="auto" w:fill="D9D9D9"/>
            <w:vAlign w:val="center"/>
          </w:tcPr>
          <w:p w:rsidR="00495FAC" w:rsidRPr="00495FAC" w:rsidRDefault="00495FAC" w:rsidP="00495FAC">
            <w:pPr>
              <w:spacing w:line="200" w:lineRule="exact"/>
              <w:contextualSpacing/>
              <w:rPr>
                <w:b/>
                <w:color w:val="auto"/>
                <w:sz w:val="18"/>
                <w:szCs w:val="18"/>
              </w:rPr>
            </w:pPr>
            <w:r w:rsidRPr="00495FAC">
              <w:rPr>
                <w:b/>
                <w:color w:val="auto"/>
                <w:sz w:val="18"/>
                <w:szCs w:val="18"/>
              </w:rPr>
              <w:t>Code</w:t>
            </w:r>
          </w:p>
        </w:tc>
        <w:tc>
          <w:tcPr>
            <w:tcW w:w="1260" w:type="dxa"/>
            <w:gridSpan w:val="2"/>
            <w:tcBorders>
              <w:bottom w:val="single" w:sz="4" w:space="0" w:color="000000"/>
              <w:right w:val="thinThickThinSmallGap" w:sz="24" w:space="0" w:color="auto"/>
            </w:tcBorders>
            <w:shd w:val="clear" w:color="auto" w:fill="D9D9D9"/>
            <w:vAlign w:val="center"/>
          </w:tcPr>
          <w:p w:rsidR="00495FAC" w:rsidRPr="00495FAC" w:rsidRDefault="00495FAC" w:rsidP="00495FAC">
            <w:pPr>
              <w:spacing w:line="200" w:lineRule="exact"/>
              <w:contextualSpacing/>
              <w:rPr>
                <w:b/>
                <w:color w:val="auto"/>
                <w:sz w:val="18"/>
                <w:szCs w:val="18"/>
              </w:rPr>
            </w:pPr>
            <w:r w:rsidRPr="00495FAC">
              <w:rPr>
                <w:b/>
                <w:color w:val="auto"/>
                <w:sz w:val="18"/>
                <w:szCs w:val="18"/>
              </w:rPr>
              <w:t>Rating</w:t>
            </w:r>
          </w:p>
        </w:tc>
        <w:tc>
          <w:tcPr>
            <w:tcW w:w="2340" w:type="dxa"/>
            <w:vMerge w:val="restart"/>
            <w:tcBorders>
              <w:left w:val="thinThickThinSmallGap" w:sz="24" w:space="0" w:color="auto"/>
            </w:tcBorders>
            <w:shd w:val="clear" w:color="auto" w:fill="D9D9D9"/>
            <w:vAlign w:val="center"/>
          </w:tcPr>
          <w:p w:rsidR="00495FAC" w:rsidRPr="00495FAC" w:rsidRDefault="00495FAC" w:rsidP="00495FAC">
            <w:pPr>
              <w:spacing w:line="220" w:lineRule="exact"/>
              <w:contextualSpacing/>
              <w:rPr>
                <w:b/>
                <w:color w:val="auto"/>
                <w:sz w:val="18"/>
                <w:szCs w:val="18"/>
              </w:rPr>
            </w:pPr>
            <w:r w:rsidRPr="00495FAC">
              <w:rPr>
                <w:b/>
                <w:color w:val="auto"/>
                <w:sz w:val="18"/>
                <w:szCs w:val="18"/>
              </w:rPr>
              <w:t>Condition</w:t>
            </w:r>
          </w:p>
        </w:tc>
        <w:tc>
          <w:tcPr>
            <w:tcW w:w="1080" w:type="dxa"/>
            <w:vMerge w:val="restart"/>
            <w:shd w:val="clear" w:color="auto" w:fill="D9D9D9"/>
            <w:vAlign w:val="center"/>
          </w:tcPr>
          <w:p w:rsidR="00495FAC" w:rsidRPr="00495FAC" w:rsidRDefault="00495FAC" w:rsidP="00495FAC">
            <w:pPr>
              <w:spacing w:line="220" w:lineRule="exact"/>
              <w:contextualSpacing/>
              <w:rPr>
                <w:b/>
                <w:color w:val="auto"/>
                <w:sz w:val="18"/>
                <w:szCs w:val="18"/>
              </w:rPr>
            </w:pPr>
            <w:r w:rsidRPr="00495FAC">
              <w:rPr>
                <w:b/>
                <w:color w:val="auto"/>
                <w:sz w:val="18"/>
                <w:szCs w:val="18"/>
              </w:rPr>
              <w:t>Code</w:t>
            </w:r>
          </w:p>
        </w:tc>
        <w:tc>
          <w:tcPr>
            <w:tcW w:w="720" w:type="dxa"/>
            <w:vMerge w:val="restart"/>
            <w:shd w:val="clear" w:color="auto" w:fill="D9D9D9"/>
            <w:vAlign w:val="center"/>
          </w:tcPr>
          <w:p w:rsidR="00495FAC" w:rsidRPr="00495FAC" w:rsidRDefault="00495FAC" w:rsidP="00495FAC">
            <w:pPr>
              <w:spacing w:line="220" w:lineRule="exact"/>
              <w:contextualSpacing/>
              <w:rPr>
                <w:b/>
                <w:color w:val="auto"/>
                <w:sz w:val="18"/>
                <w:szCs w:val="18"/>
              </w:rPr>
            </w:pPr>
            <w:r w:rsidRPr="00495FAC">
              <w:rPr>
                <w:b/>
                <w:color w:val="auto"/>
                <w:sz w:val="18"/>
                <w:szCs w:val="18"/>
              </w:rPr>
              <w:t>Rating</w:t>
            </w:r>
          </w:p>
        </w:tc>
        <w:tc>
          <w:tcPr>
            <w:tcW w:w="990" w:type="dxa"/>
            <w:vMerge w:val="restart"/>
            <w:shd w:val="clear" w:color="auto" w:fill="D9D9D9"/>
            <w:vAlign w:val="center"/>
          </w:tcPr>
          <w:p w:rsidR="00495FAC" w:rsidRPr="00495FAC" w:rsidRDefault="00495FAC" w:rsidP="00495FAC">
            <w:pPr>
              <w:spacing w:line="220" w:lineRule="exact"/>
              <w:contextualSpacing/>
              <w:rPr>
                <w:b/>
                <w:color w:val="auto"/>
                <w:sz w:val="18"/>
                <w:szCs w:val="18"/>
              </w:rPr>
            </w:pPr>
            <w:r w:rsidRPr="00495FAC">
              <w:rPr>
                <w:b/>
                <w:color w:val="auto"/>
                <w:sz w:val="18"/>
                <w:szCs w:val="18"/>
              </w:rPr>
              <w:t>Exam</w:t>
            </w:r>
          </w:p>
        </w:tc>
      </w:tr>
      <w:tr w:rsidR="00495FAC" w:rsidRPr="00495FAC" w:rsidTr="008A5DA6">
        <w:trPr>
          <w:trHeight w:val="152"/>
        </w:trPr>
        <w:tc>
          <w:tcPr>
            <w:tcW w:w="1890" w:type="dxa"/>
            <w:shd w:val="clear" w:color="auto" w:fill="D9D9D9"/>
            <w:vAlign w:val="center"/>
          </w:tcPr>
          <w:p w:rsidR="00495FAC" w:rsidRPr="00495FAC" w:rsidRDefault="00495FAC" w:rsidP="00495FAC">
            <w:pPr>
              <w:spacing w:line="200" w:lineRule="exact"/>
              <w:contextualSpacing/>
              <w:rPr>
                <w:b/>
                <w:color w:val="auto"/>
                <w:sz w:val="18"/>
                <w:szCs w:val="18"/>
              </w:rPr>
            </w:pPr>
            <w:r w:rsidRPr="00495FAC">
              <w:rPr>
                <w:b/>
                <w:color w:val="auto"/>
                <w:sz w:val="18"/>
                <w:szCs w:val="18"/>
              </w:rPr>
              <w:t>Condition</w:t>
            </w:r>
          </w:p>
        </w:tc>
        <w:tc>
          <w:tcPr>
            <w:tcW w:w="1080" w:type="dxa"/>
            <w:vMerge/>
            <w:shd w:val="clear" w:color="auto" w:fill="D9D9D9"/>
            <w:vAlign w:val="center"/>
          </w:tcPr>
          <w:p w:rsidR="00495FAC" w:rsidRPr="00495FAC" w:rsidRDefault="00495FAC" w:rsidP="00495FAC">
            <w:pPr>
              <w:spacing w:line="200" w:lineRule="exact"/>
              <w:contextualSpacing/>
              <w:rPr>
                <w:color w:val="auto"/>
                <w:sz w:val="18"/>
                <w:szCs w:val="18"/>
              </w:rPr>
            </w:pPr>
          </w:p>
        </w:tc>
        <w:tc>
          <w:tcPr>
            <w:tcW w:w="630" w:type="dxa"/>
            <w:tcBorders>
              <w:right w:val="single" w:sz="4" w:space="0" w:color="auto"/>
            </w:tcBorders>
            <w:shd w:val="clear" w:color="auto" w:fill="D9D9D9"/>
            <w:vAlign w:val="center"/>
          </w:tcPr>
          <w:p w:rsidR="00495FAC" w:rsidRPr="00495FAC" w:rsidRDefault="00495FAC" w:rsidP="00495FAC">
            <w:pPr>
              <w:spacing w:line="200" w:lineRule="exact"/>
              <w:contextualSpacing/>
              <w:rPr>
                <w:b/>
                <w:color w:val="auto"/>
                <w:sz w:val="18"/>
                <w:szCs w:val="18"/>
              </w:rPr>
            </w:pPr>
            <w:r w:rsidRPr="00495FAC">
              <w:rPr>
                <w:b/>
                <w:color w:val="auto"/>
                <w:sz w:val="18"/>
                <w:szCs w:val="18"/>
              </w:rPr>
              <w:t>TDRL</w:t>
            </w:r>
          </w:p>
        </w:tc>
        <w:tc>
          <w:tcPr>
            <w:tcW w:w="630" w:type="dxa"/>
            <w:tcBorders>
              <w:left w:val="single" w:sz="4" w:space="0" w:color="auto"/>
              <w:right w:val="thinThickThinSmallGap" w:sz="24" w:space="0" w:color="auto"/>
            </w:tcBorders>
            <w:shd w:val="clear" w:color="auto" w:fill="D9D9D9"/>
            <w:vAlign w:val="center"/>
          </w:tcPr>
          <w:p w:rsidR="00495FAC" w:rsidRPr="00495FAC" w:rsidRDefault="00495FAC" w:rsidP="00495FAC">
            <w:pPr>
              <w:spacing w:line="200" w:lineRule="exact"/>
              <w:contextualSpacing/>
              <w:rPr>
                <w:b/>
                <w:color w:val="auto"/>
                <w:sz w:val="18"/>
                <w:szCs w:val="18"/>
              </w:rPr>
            </w:pPr>
            <w:r w:rsidRPr="00495FAC">
              <w:rPr>
                <w:b/>
                <w:color w:val="auto"/>
                <w:sz w:val="18"/>
                <w:szCs w:val="18"/>
              </w:rPr>
              <w:t>Sep.</w:t>
            </w:r>
          </w:p>
        </w:tc>
        <w:tc>
          <w:tcPr>
            <w:tcW w:w="2340" w:type="dxa"/>
            <w:vMerge/>
            <w:tcBorders>
              <w:left w:val="thinThickThinSmallGap" w:sz="24" w:space="0" w:color="auto"/>
            </w:tcBorders>
            <w:shd w:val="clear" w:color="auto" w:fill="D9D9D9"/>
            <w:vAlign w:val="center"/>
          </w:tcPr>
          <w:p w:rsidR="00495FAC" w:rsidRPr="00495FAC" w:rsidRDefault="00495FAC" w:rsidP="00495FAC">
            <w:pPr>
              <w:spacing w:line="220" w:lineRule="exact"/>
              <w:contextualSpacing/>
              <w:rPr>
                <w:b/>
                <w:color w:val="auto"/>
                <w:sz w:val="18"/>
                <w:szCs w:val="18"/>
              </w:rPr>
            </w:pPr>
          </w:p>
        </w:tc>
        <w:tc>
          <w:tcPr>
            <w:tcW w:w="1080" w:type="dxa"/>
            <w:vMerge/>
            <w:shd w:val="clear" w:color="auto" w:fill="C6D9F1"/>
            <w:vAlign w:val="center"/>
          </w:tcPr>
          <w:p w:rsidR="00495FAC" w:rsidRPr="00495FAC" w:rsidRDefault="00495FAC" w:rsidP="00495FAC">
            <w:pPr>
              <w:spacing w:line="220" w:lineRule="exact"/>
              <w:contextualSpacing/>
              <w:rPr>
                <w:color w:val="auto"/>
                <w:sz w:val="18"/>
                <w:szCs w:val="18"/>
              </w:rPr>
            </w:pPr>
          </w:p>
        </w:tc>
        <w:tc>
          <w:tcPr>
            <w:tcW w:w="720" w:type="dxa"/>
            <w:vMerge/>
            <w:shd w:val="clear" w:color="auto" w:fill="C6D9F1"/>
            <w:vAlign w:val="center"/>
          </w:tcPr>
          <w:p w:rsidR="00495FAC" w:rsidRPr="00495FAC" w:rsidRDefault="00495FAC" w:rsidP="00495FAC">
            <w:pPr>
              <w:spacing w:line="220" w:lineRule="exact"/>
              <w:contextualSpacing/>
              <w:rPr>
                <w:color w:val="auto"/>
                <w:sz w:val="18"/>
                <w:szCs w:val="18"/>
              </w:rPr>
            </w:pPr>
          </w:p>
        </w:tc>
        <w:tc>
          <w:tcPr>
            <w:tcW w:w="990" w:type="dxa"/>
            <w:vMerge/>
            <w:shd w:val="clear" w:color="auto" w:fill="C6D9F1"/>
            <w:vAlign w:val="center"/>
          </w:tcPr>
          <w:p w:rsidR="00495FAC" w:rsidRPr="00495FAC" w:rsidRDefault="00495FAC" w:rsidP="00495FAC">
            <w:pPr>
              <w:spacing w:line="220" w:lineRule="exact"/>
              <w:contextualSpacing/>
              <w:rPr>
                <w:color w:val="auto"/>
                <w:sz w:val="18"/>
                <w:szCs w:val="18"/>
              </w:rPr>
            </w:pPr>
          </w:p>
        </w:tc>
      </w:tr>
      <w:tr w:rsidR="00495FAC" w:rsidRPr="00495FAC" w:rsidTr="008A5DA6">
        <w:trPr>
          <w:trHeight w:val="143"/>
        </w:trPr>
        <w:tc>
          <w:tcPr>
            <w:tcW w:w="1890" w:type="dxa"/>
            <w:tcBorders>
              <w:right w:val="single" w:sz="4" w:space="0" w:color="auto"/>
            </w:tcBorders>
            <w:shd w:val="clear" w:color="auto" w:fill="FFFFFF"/>
            <w:vAlign w:val="center"/>
          </w:tcPr>
          <w:p w:rsidR="00495FAC" w:rsidRPr="00495FAC" w:rsidRDefault="00495FAC" w:rsidP="008A5DA6">
            <w:pPr>
              <w:spacing w:line="220" w:lineRule="exact"/>
              <w:contextualSpacing/>
              <w:jc w:val="left"/>
              <w:rPr>
                <w:color w:val="auto"/>
                <w:sz w:val="18"/>
                <w:szCs w:val="18"/>
              </w:rPr>
            </w:pPr>
            <w:r w:rsidRPr="00495FAC">
              <w:rPr>
                <w:color w:val="auto"/>
                <w:sz w:val="18"/>
                <w:szCs w:val="18"/>
              </w:rPr>
              <w:t>Asthma</w:t>
            </w:r>
          </w:p>
        </w:tc>
        <w:tc>
          <w:tcPr>
            <w:tcW w:w="1080" w:type="dxa"/>
            <w:tcBorders>
              <w:left w:val="single" w:sz="4" w:space="0" w:color="auto"/>
            </w:tcBorders>
            <w:shd w:val="clear" w:color="auto" w:fill="FFFFFF"/>
            <w:vAlign w:val="center"/>
          </w:tcPr>
          <w:p w:rsidR="00495FAC" w:rsidRPr="00495FAC" w:rsidRDefault="00495FAC" w:rsidP="008A5DA6">
            <w:pPr>
              <w:spacing w:line="220" w:lineRule="exact"/>
              <w:contextualSpacing/>
              <w:rPr>
                <w:color w:val="auto"/>
                <w:sz w:val="18"/>
                <w:szCs w:val="18"/>
              </w:rPr>
            </w:pPr>
            <w:r w:rsidRPr="00495FAC">
              <w:rPr>
                <w:color w:val="auto"/>
                <w:sz w:val="18"/>
                <w:szCs w:val="18"/>
              </w:rPr>
              <w:t>6602</w:t>
            </w:r>
          </w:p>
        </w:tc>
        <w:tc>
          <w:tcPr>
            <w:tcW w:w="630" w:type="dxa"/>
            <w:tcBorders>
              <w:right w:val="single" w:sz="4" w:space="0" w:color="auto"/>
            </w:tcBorders>
            <w:shd w:val="clear" w:color="auto" w:fill="FFFFFF"/>
            <w:vAlign w:val="center"/>
          </w:tcPr>
          <w:p w:rsidR="00495FAC" w:rsidRPr="00495FAC" w:rsidRDefault="00495FAC" w:rsidP="008A5DA6">
            <w:pPr>
              <w:spacing w:line="220" w:lineRule="exact"/>
              <w:contextualSpacing/>
              <w:rPr>
                <w:color w:val="auto"/>
                <w:sz w:val="18"/>
                <w:szCs w:val="18"/>
              </w:rPr>
            </w:pPr>
            <w:r w:rsidRPr="00495FAC">
              <w:rPr>
                <w:color w:val="auto"/>
                <w:sz w:val="18"/>
                <w:szCs w:val="18"/>
              </w:rPr>
              <w:t>30%</w:t>
            </w:r>
          </w:p>
        </w:tc>
        <w:tc>
          <w:tcPr>
            <w:tcW w:w="630" w:type="dxa"/>
            <w:tcBorders>
              <w:left w:val="single" w:sz="4" w:space="0" w:color="auto"/>
              <w:right w:val="thinThickThinSmallGap" w:sz="24" w:space="0" w:color="auto"/>
            </w:tcBorders>
            <w:shd w:val="clear" w:color="auto" w:fill="FFFFFF"/>
            <w:vAlign w:val="center"/>
          </w:tcPr>
          <w:p w:rsidR="00495FAC" w:rsidRPr="00495FAC" w:rsidRDefault="00495FAC" w:rsidP="008A5DA6">
            <w:pPr>
              <w:spacing w:line="220" w:lineRule="exact"/>
              <w:contextualSpacing/>
              <w:rPr>
                <w:color w:val="auto"/>
                <w:sz w:val="18"/>
                <w:szCs w:val="18"/>
              </w:rPr>
            </w:pPr>
            <w:r w:rsidRPr="00495FAC">
              <w:rPr>
                <w:color w:val="auto"/>
                <w:sz w:val="18"/>
                <w:szCs w:val="18"/>
              </w:rPr>
              <w:t>10%</w:t>
            </w:r>
          </w:p>
        </w:tc>
        <w:tc>
          <w:tcPr>
            <w:tcW w:w="2340" w:type="dxa"/>
            <w:tcBorders>
              <w:left w:val="thinThickThinSmallGap" w:sz="24" w:space="0" w:color="auto"/>
            </w:tcBorders>
            <w:shd w:val="clear" w:color="auto" w:fill="FFFFFF"/>
            <w:vAlign w:val="center"/>
          </w:tcPr>
          <w:p w:rsidR="00495FAC" w:rsidRPr="00495FAC" w:rsidRDefault="00495FAC" w:rsidP="008A5DA6">
            <w:pPr>
              <w:spacing w:line="220" w:lineRule="exact"/>
              <w:contextualSpacing/>
              <w:jc w:val="left"/>
              <w:rPr>
                <w:color w:val="auto"/>
                <w:sz w:val="18"/>
                <w:szCs w:val="18"/>
              </w:rPr>
            </w:pPr>
            <w:r w:rsidRPr="00495FAC">
              <w:rPr>
                <w:color w:val="auto"/>
                <w:sz w:val="18"/>
                <w:szCs w:val="18"/>
              </w:rPr>
              <w:t>Asthma</w:t>
            </w:r>
          </w:p>
        </w:tc>
        <w:tc>
          <w:tcPr>
            <w:tcW w:w="1080" w:type="dxa"/>
            <w:shd w:val="clear" w:color="auto" w:fill="FFFFFF"/>
            <w:vAlign w:val="center"/>
          </w:tcPr>
          <w:p w:rsidR="00495FAC" w:rsidRPr="00495FAC" w:rsidRDefault="00495FAC" w:rsidP="008A5DA6">
            <w:pPr>
              <w:spacing w:line="220" w:lineRule="exact"/>
              <w:contextualSpacing/>
              <w:rPr>
                <w:color w:val="auto"/>
                <w:sz w:val="18"/>
                <w:szCs w:val="18"/>
              </w:rPr>
            </w:pPr>
            <w:r w:rsidRPr="00495FAC">
              <w:rPr>
                <w:color w:val="auto"/>
                <w:sz w:val="18"/>
                <w:szCs w:val="18"/>
              </w:rPr>
              <w:t>6602</w:t>
            </w:r>
          </w:p>
        </w:tc>
        <w:tc>
          <w:tcPr>
            <w:tcW w:w="720" w:type="dxa"/>
            <w:shd w:val="clear" w:color="auto" w:fill="FFFFFF"/>
            <w:vAlign w:val="center"/>
          </w:tcPr>
          <w:p w:rsidR="00495FAC" w:rsidRPr="00495FAC" w:rsidRDefault="00495FAC" w:rsidP="008A5DA6">
            <w:pPr>
              <w:spacing w:line="220" w:lineRule="exact"/>
              <w:contextualSpacing/>
              <w:rPr>
                <w:color w:val="auto"/>
                <w:sz w:val="18"/>
                <w:szCs w:val="18"/>
              </w:rPr>
            </w:pPr>
            <w:r w:rsidRPr="00495FAC">
              <w:rPr>
                <w:color w:val="auto"/>
                <w:sz w:val="18"/>
                <w:szCs w:val="18"/>
              </w:rPr>
              <w:t>30%</w:t>
            </w:r>
          </w:p>
        </w:tc>
        <w:tc>
          <w:tcPr>
            <w:tcW w:w="990" w:type="dxa"/>
            <w:shd w:val="clear" w:color="auto" w:fill="FFFFFF"/>
            <w:vAlign w:val="center"/>
          </w:tcPr>
          <w:p w:rsidR="00495FAC" w:rsidRPr="00495FAC" w:rsidRDefault="00495FAC" w:rsidP="008A5DA6">
            <w:pPr>
              <w:spacing w:line="220" w:lineRule="exact"/>
              <w:contextualSpacing/>
              <w:rPr>
                <w:color w:val="auto"/>
                <w:sz w:val="18"/>
                <w:szCs w:val="18"/>
              </w:rPr>
            </w:pPr>
            <w:r w:rsidRPr="00495FAC">
              <w:rPr>
                <w:color w:val="auto"/>
                <w:sz w:val="18"/>
                <w:szCs w:val="18"/>
              </w:rPr>
              <w:t>20020208</w:t>
            </w:r>
          </w:p>
        </w:tc>
      </w:tr>
      <w:tr w:rsidR="008A5DA6" w:rsidRPr="00495FAC" w:rsidTr="008A5DA6">
        <w:trPr>
          <w:trHeight w:val="134"/>
        </w:trPr>
        <w:tc>
          <w:tcPr>
            <w:tcW w:w="1890" w:type="dxa"/>
            <w:vMerge w:val="restart"/>
            <w:tcBorders>
              <w:right w:val="single" w:sz="4" w:space="0" w:color="auto"/>
            </w:tcBorders>
            <w:shd w:val="clear" w:color="auto" w:fill="FFFFFF"/>
            <w:vAlign w:val="center"/>
          </w:tcPr>
          <w:p w:rsidR="008A5DA6" w:rsidRPr="00495FAC" w:rsidRDefault="008A5DA6" w:rsidP="008A5DA6">
            <w:pPr>
              <w:spacing w:line="220" w:lineRule="exact"/>
              <w:contextualSpacing/>
              <w:jc w:val="left"/>
              <w:rPr>
                <w:color w:val="auto"/>
                <w:sz w:val="18"/>
                <w:szCs w:val="18"/>
              </w:rPr>
            </w:pPr>
            <w:r>
              <w:rPr>
                <w:color w:val="auto"/>
                <w:sz w:val="18"/>
                <w:szCs w:val="18"/>
              </w:rPr>
              <w:t>Chronic Back Pain</w:t>
            </w:r>
          </w:p>
        </w:tc>
        <w:tc>
          <w:tcPr>
            <w:tcW w:w="1080" w:type="dxa"/>
            <w:vMerge w:val="restart"/>
            <w:tcBorders>
              <w:left w:val="single" w:sz="4" w:space="0" w:color="auto"/>
            </w:tcBorders>
            <w:shd w:val="clear" w:color="auto" w:fill="FFFFFF"/>
            <w:vAlign w:val="center"/>
          </w:tcPr>
          <w:p w:rsidR="008A5DA6" w:rsidRPr="00495FAC" w:rsidRDefault="008A5DA6" w:rsidP="008A5DA6">
            <w:pPr>
              <w:spacing w:line="220" w:lineRule="exact"/>
              <w:contextualSpacing/>
              <w:rPr>
                <w:color w:val="auto"/>
                <w:sz w:val="18"/>
                <w:szCs w:val="18"/>
              </w:rPr>
            </w:pPr>
            <w:r>
              <w:rPr>
                <w:color w:val="auto"/>
                <w:sz w:val="18"/>
                <w:szCs w:val="18"/>
              </w:rPr>
              <w:t>5243</w:t>
            </w:r>
          </w:p>
        </w:tc>
        <w:tc>
          <w:tcPr>
            <w:tcW w:w="630" w:type="dxa"/>
            <w:vMerge w:val="restart"/>
            <w:tcBorders>
              <w:right w:val="single" w:sz="4" w:space="0" w:color="auto"/>
            </w:tcBorders>
            <w:shd w:val="clear" w:color="auto" w:fill="FFFFFF"/>
            <w:vAlign w:val="center"/>
          </w:tcPr>
          <w:p w:rsidR="008A5DA6" w:rsidRPr="00495FAC" w:rsidRDefault="008A5DA6" w:rsidP="008A5DA6">
            <w:pPr>
              <w:spacing w:line="220" w:lineRule="exact"/>
              <w:contextualSpacing/>
              <w:rPr>
                <w:color w:val="auto"/>
                <w:sz w:val="18"/>
                <w:szCs w:val="18"/>
              </w:rPr>
            </w:pPr>
            <w:r>
              <w:rPr>
                <w:color w:val="auto"/>
                <w:sz w:val="18"/>
                <w:szCs w:val="18"/>
              </w:rPr>
              <w:t>10%</w:t>
            </w:r>
          </w:p>
        </w:tc>
        <w:tc>
          <w:tcPr>
            <w:tcW w:w="630" w:type="dxa"/>
            <w:vMerge w:val="restart"/>
            <w:tcBorders>
              <w:left w:val="single" w:sz="4" w:space="0" w:color="auto"/>
              <w:right w:val="thinThickThinSmallGap" w:sz="24" w:space="0" w:color="auto"/>
            </w:tcBorders>
            <w:shd w:val="clear" w:color="auto" w:fill="FFFFFF"/>
            <w:vAlign w:val="center"/>
          </w:tcPr>
          <w:p w:rsidR="008A5DA6" w:rsidRPr="00495FAC" w:rsidRDefault="008A5DA6" w:rsidP="008A5DA6">
            <w:pPr>
              <w:spacing w:line="220" w:lineRule="exact"/>
              <w:contextualSpacing/>
              <w:rPr>
                <w:color w:val="auto"/>
                <w:sz w:val="18"/>
                <w:szCs w:val="18"/>
              </w:rPr>
            </w:pPr>
            <w:r>
              <w:rPr>
                <w:color w:val="auto"/>
                <w:sz w:val="18"/>
                <w:szCs w:val="18"/>
              </w:rPr>
              <w:t>0%</w:t>
            </w:r>
          </w:p>
        </w:tc>
        <w:tc>
          <w:tcPr>
            <w:tcW w:w="2340" w:type="dxa"/>
            <w:tcBorders>
              <w:left w:val="thinThickThinSmallGap" w:sz="24" w:space="0" w:color="auto"/>
              <w:bottom w:val="single" w:sz="4" w:space="0" w:color="auto"/>
            </w:tcBorders>
            <w:shd w:val="clear" w:color="auto" w:fill="FFFFFF"/>
            <w:vAlign w:val="center"/>
          </w:tcPr>
          <w:p w:rsidR="008A5DA6" w:rsidRPr="001F29F9" w:rsidRDefault="008A5DA6" w:rsidP="008A5DA6">
            <w:pPr>
              <w:spacing w:line="180" w:lineRule="exact"/>
              <w:contextualSpacing/>
              <w:jc w:val="left"/>
              <w:rPr>
                <w:rFonts w:eastAsia="Times New Roman" w:cstheme="minorHAnsi"/>
                <w:color w:val="000000" w:themeColor="text1"/>
                <w:sz w:val="18"/>
                <w:szCs w:val="18"/>
              </w:rPr>
            </w:pPr>
            <w:r>
              <w:rPr>
                <w:rFonts w:cstheme="minorHAnsi"/>
                <w:color w:val="000000" w:themeColor="text1"/>
                <w:sz w:val="18"/>
                <w:szCs w:val="18"/>
              </w:rPr>
              <w:t>DDD, Lumbar Spine</w:t>
            </w:r>
          </w:p>
        </w:tc>
        <w:tc>
          <w:tcPr>
            <w:tcW w:w="1080" w:type="dxa"/>
            <w:tcBorders>
              <w:bottom w:val="single" w:sz="4" w:space="0" w:color="auto"/>
            </w:tcBorders>
            <w:shd w:val="clear" w:color="auto" w:fill="FFFFFF"/>
            <w:vAlign w:val="center"/>
          </w:tcPr>
          <w:p w:rsidR="008A5DA6" w:rsidRPr="001F29F9" w:rsidRDefault="008A5DA6" w:rsidP="008A5DA6">
            <w:pPr>
              <w:spacing w:line="180" w:lineRule="exact"/>
              <w:contextualSpacing/>
              <w:rPr>
                <w:rFonts w:eastAsia="Times New Roman" w:cstheme="minorHAnsi"/>
                <w:color w:val="000000" w:themeColor="text1"/>
                <w:sz w:val="18"/>
                <w:szCs w:val="18"/>
              </w:rPr>
            </w:pPr>
            <w:r>
              <w:rPr>
                <w:rFonts w:cstheme="minorHAnsi"/>
                <w:color w:val="000000" w:themeColor="text1"/>
                <w:sz w:val="18"/>
                <w:szCs w:val="18"/>
              </w:rPr>
              <w:t>5242</w:t>
            </w:r>
          </w:p>
        </w:tc>
        <w:tc>
          <w:tcPr>
            <w:tcW w:w="720" w:type="dxa"/>
            <w:tcBorders>
              <w:bottom w:val="single" w:sz="4" w:space="0" w:color="auto"/>
            </w:tcBorders>
            <w:shd w:val="clear" w:color="auto" w:fill="FFFFFF"/>
            <w:vAlign w:val="center"/>
          </w:tcPr>
          <w:p w:rsidR="008A5DA6" w:rsidRPr="001F29F9" w:rsidRDefault="008A5DA6" w:rsidP="008A5DA6">
            <w:pPr>
              <w:spacing w:line="180" w:lineRule="exact"/>
              <w:contextualSpacing/>
              <w:rPr>
                <w:rFonts w:eastAsia="Times New Roman" w:cstheme="minorHAnsi"/>
                <w:color w:val="000000" w:themeColor="text1"/>
                <w:sz w:val="18"/>
                <w:szCs w:val="18"/>
              </w:rPr>
            </w:pPr>
            <w:r>
              <w:rPr>
                <w:rFonts w:cstheme="minorHAnsi"/>
                <w:color w:val="000000" w:themeColor="text1"/>
                <w:sz w:val="18"/>
                <w:szCs w:val="18"/>
              </w:rPr>
              <w:t>40%</w:t>
            </w:r>
          </w:p>
        </w:tc>
        <w:tc>
          <w:tcPr>
            <w:tcW w:w="990" w:type="dxa"/>
            <w:tcBorders>
              <w:bottom w:val="single" w:sz="4" w:space="0" w:color="auto"/>
            </w:tcBorders>
            <w:shd w:val="clear" w:color="auto" w:fill="FFFFFF"/>
            <w:vAlign w:val="center"/>
          </w:tcPr>
          <w:p w:rsidR="008A5DA6" w:rsidRPr="001F29F9" w:rsidRDefault="008A5DA6" w:rsidP="008A5DA6">
            <w:pPr>
              <w:spacing w:line="180" w:lineRule="exact"/>
              <w:contextualSpacing/>
              <w:rPr>
                <w:rFonts w:eastAsia="Times New Roman" w:cstheme="minorHAnsi"/>
                <w:color w:val="000000" w:themeColor="text1"/>
                <w:sz w:val="18"/>
                <w:szCs w:val="18"/>
              </w:rPr>
            </w:pPr>
            <w:r w:rsidRPr="001F29F9">
              <w:rPr>
                <w:rFonts w:cstheme="minorHAnsi"/>
                <w:color w:val="000000" w:themeColor="text1"/>
                <w:sz w:val="18"/>
                <w:szCs w:val="18"/>
              </w:rPr>
              <w:t>200</w:t>
            </w:r>
            <w:r>
              <w:rPr>
                <w:rFonts w:cstheme="minorHAnsi"/>
                <w:color w:val="000000" w:themeColor="text1"/>
                <w:sz w:val="18"/>
                <w:szCs w:val="18"/>
              </w:rPr>
              <w:t>31024</w:t>
            </w:r>
          </w:p>
        </w:tc>
      </w:tr>
      <w:tr w:rsidR="008A5DA6" w:rsidRPr="00495FAC" w:rsidTr="008A5DA6">
        <w:trPr>
          <w:trHeight w:val="107"/>
        </w:trPr>
        <w:tc>
          <w:tcPr>
            <w:tcW w:w="1890" w:type="dxa"/>
            <w:vMerge/>
            <w:tcBorders>
              <w:right w:val="single" w:sz="4" w:space="0" w:color="auto"/>
            </w:tcBorders>
            <w:shd w:val="clear" w:color="auto" w:fill="FFFFFF"/>
            <w:vAlign w:val="center"/>
          </w:tcPr>
          <w:p w:rsidR="008A5DA6" w:rsidRDefault="008A5DA6" w:rsidP="008A5DA6">
            <w:pPr>
              <w:spacing w:line="220" w:lineRule="exact"/>
              <w:contextualSpacing/>
              <w:jc w:val="left"/>
              <w:rPr>
                <w:color w:val="auto"/>
                <w:sz w:val="18"/>
                <w:szCs w:val="18"/>
              </w:rPr>
            </w:pPr>
          </w:p>
        </w:tc>
        <w:tc>
          <w:tcPr>
            <w:tcW w:w="1080" w:type="dxa"/>
            <w:vMerge/>
            <w:tcBorders>
              <w:left w:val="single" w:sz="4" w:space="0" w:color="auto"/>
            </w:tcBorders>
            <w:shd w:val="clear" w:color="auto" w:fill="FFFFFF"/>
            <w:vAlign w:val="center"/>
          </w:tcPr>
          <w:p w:rsidR="008A5DA6" w:rsidRPr="00495FAC" w:rsidRDefault="008A5DA6" w:rsidP="008A5DA6">
            <w:pPr>
              <w:spacing w:line="220" w:lineRule="exact"/>
              <w:contextualSpacing/>
              <w:rPr>
                <w:color w:val="auto"/>
                <w:sz w:val="18"/>
                <w:szCs w:val="18"/>
              </w:rPr>
            </w:pPr>
          </w:p>
        </w:tc>
        <w:tc>
          <w:tcPr>
            <w:tcW w:w="630" w:type="dxa"/>
            <w:vMerge/>
            <w:tcBorders>
              <w:right w:val="single" w:sz="4" w:space="0" w:color="auto"/>
            </w:tcBorders>
            <w:shd w:val="clear" w:color="auto" w:fill="FFFFFF"/>
            <w:vAlign w:val="center"/>
          </w:tcPr>
          <w:p w:rsidR="008A5DA6" w:rsidRPr="00495FAC" w:rsidRDefault="008A5DA6" w:rsidP="008A5DA6">
            <w:pPr>
              <w:spacing w:line="220" w:lineRule="exact"/>
              <w:contextualSpacing/>
              <w:rPr>
                <w:color w:val="auto"/>
                <w:sz w:val="18"/>
                <w:szCs w:val="18"/>
              </w:rPr>
            </w:pPr>
          </w:p>
        </w:tc>
        <w:tc>
          <w:tcPr>
            <w:tcW w:w="630" w:type="dxa"/>
            <w:vMerge/>
            <w:tcBorders>
              <w:left w:val="single" w:sz="4" w:space="0" w:color="auto"/>
              <w:right w:val="thinThickThinSmallGap" w:sz="24" w:space="0" w:color="auto"/>
            </w:tcBorders>
            <w:shd w:val="clear" w:color="auto" w:fill="FFFFFF"/>
            <w:vAlign w:val="center"/>
          </w:tcPr>
          <w:p w:rsidR="008A5DA6" w:rsidRPr="00495FAC" w:rsidRDefault="008A5DA6" w:rsidP="008A5DA6">
            <w:pPr>
              <w:spacing w:line="220" w:lineRule="exact"/>
              <w:contextualSpacing/>
              <w:rPr>
                <w:color w:val="auto"/>
                <w:sz w:val="18"/>
                <w:szCs w:val="18"/>
              </w:rPr>
            </w:pPr>
          </w:p>
        </w:tc>
        <w:tc>
          <w:tcPr>
            <w:tcW w:w="2340" w:type="dxa"/>
            <w:tcBorders>
              <w:top w:val="single" w:sz="4" w:space="0" w:color="auto"/>
              <w:left w:val="thinThickThinSmallGap" w:sz="24" w:space="0" w:color="auto"/>
            </w:tcBorders>
            <w:shd w:val="clear" w:color="auto" w:fill="FFFFFF"/>
            <w:vAlign w:val="center"/>
          </w:tcPr>
          <w:p w:rsidR="008A5DA6" w:rsidRDefault="008A5DA6" w:rsidP="008A5DA6">
            <w:pPr>
              <w:spacing w:line="180" w:lineRule="exact"/>
              <w:contextualSpacing/>
              <w:jc w:val="left"/>
              <w:rPr>
                <w:color w:val="000000" w:themeColor="text1"/>
                <w:sz w:val="18"/>
                <w:szCs w:val="18"/>
              </w:rPr>
            </w:pPr>
            <w:r>
              <w:rPr>
                <w:color w:val="000000" w:themeColor="text1"/>
                <w:sz w:val="18"/>
                <w:szCs w:val="18"/>
              </w:rPr>
              <w:t>RLE Radiculopathy</w:t>
            </w:r>
          </w:p>
        </w:tc>
        <w:tc>
          <w:tcPr>
            <w:tcW w:w="1080" w:type="dxa"/>
            <w:tcBorders>
              <w:top w:val="single" w:sz="4" w:space="0" w:color="auto"/>
            </w:tcBorders>
            <w:shd w:val="clear" w:color="auto" w:fill="FFFFFF"/>
            <w:vAlign w:val="center"/>
          </w:tcPr>
          <w:p w:rsidR="008A5DA6" w:rsidRDefault="008A5DA6" w:rsidP="008A5DA6">
            <w:pPr>
              <w:spacing w:line="180" w:lineRule="exact"/>
              <w:contextualSpacing/>
              <w:rPr>
                <w:color w:val="000000" w:themeColor="text1"/>
                <w:sz w:val="18"/>
                <w:szCs w:val="18"/>
              </w:rPr>
            </w:pPr>
            <w:r>
              <w:rPr>
                <w:color w:val="000000" w:themeColor="text1"/>
                <w:sz w:val="18"/>
                <w:szCs w:val="18"/>
              </w:rPr>
              <w:t>8799-8720</w:t>
            </w:r>
          </w:p>
        </w:tc>
        <w:tc>
          <w:tcPr>
            <w:tcW w:w="720" w:type="dxa"/>
            <w:tcBorders>
              <w:top w:val="single" w:sz="4" w:space="0" w:color="auto"/>
            </w:tcBorders>
            <w:shd w:val="clear" w:color="auto" w:fill="FFFFFF"/>
            <w:vAlign w:val="center"/>
          </w:tcPr>
          <w:p w:rsidR="008A5DA6" w:rsidRDefault="008A5DA6" w:rsidP="008A5DA6">
            <w:pPr>
              <w:spacing w:line="180" w:lineRule="exact"/>
              <w:contextualSpacing/>
              <w:rPr>
                <w:color w:val="000000" w:themeColor="text1"/>
                <w:sz w:val="18"/>
                <w:szCs w:val="18"/>
              </w:rPr>
            </w:pPr>
            <w:r>
              <w:rPr>
                <w:color w:val="000000" w:themeColor="text1"/>
                <w:sz w:val="18"/>
                <w:szCs w:val="18"/>
              </w:rPr>
              <w:t>10%</w:t>
            </w:r>
          </w:p>
        </w:tc>
        <w:tc>
          <w:tcPr>
            <w:tcW w:w="990" w:type="dxa"/>
            <w:tcBorders>
              <w:top w:val="single" w:sz="4" w:space="0" w:color="auto"/>
            </w:tcBorders>
            <w:shd w:val="clear" w:color="auto" w:fill="FFFFFF"/>
            <w:vAlign w:val="center"/>
          </w:tcPr>
          <w:p w:rsidR="008A5DA6" w:rsidRPr="001F29F9" w:rsidRDefault="008A5DA6" w:rsidP="008A5DA6">
            <w:pPr>
              <w:spacing w:line="180" w:lineRule="exact"/>
              <w:contextualSpacing/>
              <w:rPr>
                <w:color w:val="000000" w:themeColor="text1"/>
                <w:sz w:val="18"/>
                <w:szCs w:val="18"/>
              </w:rPr>
            </w:pPr>
            <w:r>
              <w:rPr>
                <w:color w:val="000000" w:themeColor="text1"/>
                <w:sz w:val="18"/>
                <w:szCs w:val="18"/>
              </w:rPr>
              <w:t>20031024</w:t>
            </w:r>
          </w:p>
        </w:tc>
      </w:tr>
      <w:tr w:rsidR="008A5DA6" w:rsidRPr="00495FAC" w:rsidTr="008A5DA6">
        <w:trPr>
          <w:trHeight w:val="116"/>
        </w:trPr>
        <w:tc>
          <w:tcPr>
            <w:tcW w:w="1890" w:type="dxa"/>
            <w:tcBorders>
              <w:right w:val="single" w:sz="4" w:space="0" w:color="auto"/>
            </w:tcBorders>
            <w:shd w:val="clear" w:color="auto" w:fill="FFFFFF"/>
            <w:vAlign w:val="center"/>
          </w:tcPr>
          <w:p w:rsidR="008A5DA6" w:rsidRPr="00495FAC" w:rsidRDefault="008A5DA6" w:rsidP="008A5DA6">
            <w:pPr>
              <w:spacing w:line="220" w:lineRule="exact"/>
              <w:contextualSpacing/>
              <w:jc w:val="left"/>
              <w:rPr>
                <w:color w:val="auto"/>
                <w:sz w:val="18"/>
                <w:szCs w:val="18"/>
              </w:rPr>
            </w:pPr>
            <w:r>
              <w:rPr>
                <w:color w:val="auto"/>
                <w:sz w:val="18"/>
                <w:szCs w:val="18"/>
              </w:rPr>
              <w:t>Right Knee Pain</w:t>
            </w:r>
          </w:p>
        </w:tc>
        <w:tc>
          <w:tcPr>
            <w:tcW w:w="1080" w:type="dxa"/>
            <w:tcBorders>
              <w:left w:val="single" w:sz="4" w:space="0" w:color="auto"/>
            </w:tcBorders>
            <w:shd w:val="clear" w:color="auto" w:fill="FFFFFF"/>
            <w:vAlign w:val="center"/>
          </w:tcPr>
          <w:p w:rsidR="008A5DA6" w:rsidRPr="001F29F9" w:rsidRDefault="008A5DA6" w:rsidP="008A5DA6">
            <w:pPr>
              <w:spacing w:line="180" w:lineRule="exact"/>
              <w:contextualSpacing/>
              <w:rPr>
                <w:color w:val="000000" w:themeColor="text1"/>
                <w:sz w:val="18"/>
                <w:szCs w:val="18"/>
              </w:rPr>
            </w:pPr>
            <w:r>
              <w:rPr>
                <w:color w:val="000000" w:themeColor="text1"/>
                <w:sz w:val="18"/>
                <w:szCs w:val="18"/>
              </w:rPr>
              <w:t>5099-5003</w:t>
            </w:r>
          </w:p>
        </w:tc>
        <w:tc>
          <w:tcPr>
            <w:tcW w:w="630" w:type="dxa"/>
            <w:tcBorders>
              <w:right w:val="single" w:sz="4" w:space="0" w:color="auto"/>
            </w:tcBorders>
            <w:shd w:val="clear" w:color="auto" w:fill="FFFFFF"/>
            <w:vAlign w:val="center"/>
          </w:tcPr>
          <w:p w:rsidR="008A5DA6" w:rsidRPr="001F29F9" w:rsidRDefault="008A5DA6" w:rsidP="008A5DA6">
            <w:pPr>
              <w:spacing w:line="180" w:lineRule="exact"/>
              <w:rPr>
                <w:color w:val="000000" w:themeColor="text1"/>
                <w:sz w:val="18"/>
                <w:szCs w:val="18"/>
              </w:rPr>
            </w:pPr>
            <w:r>
              <w:rPr>
                <w:color w:val="000000" w:themeColor="text1"/>
                <w:sz w:val="18"/>
                <w:szCs w:val="18"/>
              </w:rPr>
              <w:t>0%</w:t>
            </w:r>
          </w:p>
        </w:tc>
        <w:tc>
          <w:tcPr>
            <w:tcW w:w="630" w:type="dxa"/>
            <w:tcBorders>
              <w:left w:val="single" w:sz="4" w:space="0" w:color="auto"/>
              <w:right w:val="thinThickThinSmallGap" w:sz="24" w:space="0" w:color="auto"/>
            </w:tcBorders>
            <w:shd w:val="clear" w:color="auto" w:fill="FFFFFF"/>
            <w:vAlign w:val="center"/>
          </w:tcPr>
          <w:p w:rsidR="008A5DA6" w:rsidRPr="001F29F9" w:rsidRDefault="008A5DA6" w:rsidP="008A5DA6">
            <w:pPr>
              <w:spacing w:line="180" w:lineRule="exact"/>
              <w:rPr>
                <w:color w:val="000000" w:themeColor="text1"/>
                <w:sz w:val="18"/>
                <w:szCs w:val="18"/>
              </w:rPr>
            </w:pPr>
            <w:r>
              <w:rPr>
                <w:color w:val="000000" w:themeColor="text1"/>
                <w:sz w:val="18"/>
                <w:szCs w:val="18"/>
              </w:rPr>
              <w:t>0%</w:t>
            </w:r>
          </w:p>
        </w:tc>
        <w:tc>
          <w:tcPr>
            <w:tcW w:w="2340" w:type="dxa"/>
            <w:tcBorders>
              <w:left w:val="thinThickThinSmallGap" w:sz="24" w:space="0" w:color="auto"/>
            </w:tcBorders>
            <w:shd w:val="clear" w:color="auto" w:fill="FFFFFF"/>
            <w:vAlign w:val="center"/>
          </w:tcPr>
          <w:p w:rsidR="008A5DA6" w:rsidRPr="001F29F9" w:rsidRDefault="008A5DA6" w:rsidP="008A5DA6">
            <w:pPr>
              <w:spacing w:line="180" w:lineRule="exact"/>
              <w:contextualSpacing/>
              <w:jc w:val="left"/>
              <w:rPr>
                <w:color w:val="000000" w:themeColor="text1"/>
                <w:sz w:val="18"/>
                <w:szCs w:val="18"/>
              </w:rPr>
            </w:pPr>
            <w:r>
              <w:rPr>
                <w:color w:val="000000" w:themeColor="text1"/>
                <w:sz w:val="18"/>
                <w:szCs w:val="18"/>
              </w:rPr>
              <w:t>Right Knee Synovitis</w:t>
            </w:r>
          </w:p>
        </w:tc>
        <w:tc>
          <w:tcPr>
            <w:tcW w:w="1080" w:type="dxa"/>
            <w:shd w:val="clear" w:color="auto" w:fill="FFFFFF"/>
            <w:vAlign w:val="center"/>
          </w:tcPr>
          <w:p w:rsidR="008A5DA6" w:rsidRPr="001F29F9" w:rsidRDefault="008A5DA6" w:rsidP="008A5DA6">
            <w:pPr>
              <w:spacing w:line="180" w:lineRule="exact"/>
              <w:contextualSpacing/>
              <w:rPr>
                <w:color w:val="000000" w:themeColor="text1"/>
                <w:sz w:val="18"/>
                <w:szCs w:val="18"/>
              </w:rPr>
            </w:pPr>
            <w:r>
              <w:rPr>
                <w:color w:val="000000" w:themeColor="text1"/>
                <w:sz w:val="18"/>
                <w:szCs w:val="18"/>
              </w:rPr>
              <w:t>5020</w:t>
            </w:r>
          </w:p>
        </w:tc>
        <w:tc>
          <w:tcPr>
            <w:tcW w:w="720" w:type="dxa"/>
            <w:shd w:val="clear" w:color="auto" w:fill="FFFFFF"/>
            <w:vAlign w:val="center"/>
          </w:tcPr>
          <w:p w:rsidR="008A5DA6" w:rsidRPr="001F29F9" w:rsidRDefault="008A5DA6" w:rsidP="008A5DA6">
            <w:pPr>
              <w:spacing w:line="180" w:lineRule="exact"/>
              <w:contextualSpacing/>
              <w:rPr>
                <w:color w:val="000000" w:themeColor="text1"/>
                <w:sz w:val="18"/>
                <w:szCs w:val="18"/>
              </w:rPr>
            </w:pPr>
            <w:r>
              <w:rPr>
                <w:color w:val="000000" w:themeColor="text1"/>
                <w:sz w:val="18"/>
                <w:szCs w:val="18"/>
              </w:rPr>
              <w:t>10%</w:t>
            </w:r>
          </w:p>
        </w:tc>
        <w:tc>
          <w:tcPr>
            <w:tcW w:w="990" w:type="dxa"/>
            <w:shd w:val="clear" w:color="auto" w:fill="FFFFFF"/>
            <w:vAlign w:val="center"/>
          </w:tcPr>
          <w:p w:rsidR="008A5DA6" w:rsidRPr="001F29F9" w:rsidRDefault="008A5DA6" w:rsidP="008A5DA6">
            <w:pPr>
              <w:spacing w:line="180" w:lineRule="exact"/>
              <w:contextualSpacing/>
              <w:rPr>
                <w:color w:val="000000" w:themeColor="text1"/>
                <w:sz w:val="18"/>
                <w:szCs w:val="18"/>
              </w:rPr>
            </w:pPr>
            <w:r>
              <w:rPr>
                <w:color w:val="000000" w:themeColor="text1"/>
                <w:sz w:val="18"/>
                <w:szCs w:val="18"/>
              </w:rPr>
              <w:t>20031024</w:t>
            </w:r>
          </w:p>
        </w:tc>
      </w:tr>
      <w:tr w:rsidR="008A5DA6" w:rsidRPr="00495FAC" w:rsidTr="008A5DA6">
        <w:trPr>
          <w:trHeight w:val="188"/>
        </w:trPr>
        <w:tc>
          <w:tcPr>
            <w:tcW w:w="4230" w:type="dxa"/>
            <w:gridSpan w:val="4"/>
            <w:vMerge w:val="restart"/>
            <w:tcBorders>
              <w:right w:val="thinThickThinSmallGap" w:sz="24" w:space="0" w:color="auto"/>
            </w:tcBorders>
            <w:shd w:val="clear" w:color="auto" w:fill="FFFFFF"/>
            <w:vAlign w:val="center"/>
          </w:tcPr>
          <w:p w:rsidR="008A5DA6" w:rsidRPr="00495FAC" w:rsidRDefault="008A5DA6" w:rsidP="008A5DA6">
            <w:pPr>
              <w:spacing w:line="220" w:lineRule="exact"/>
              <w:contextualSpacing/>
              <w:rPr>
                <w:color w:val="auto"/>
                <w:sz w:val="18"/>
                <w:szCs w:val="18"/>
              </w:rPr>
            </w:pPr>
            <w:r w:rsidRPr="00495FAC">
              <w:rPr>
                <w:color w:val="auto"/>
                <w:sz w:val="20"/>
                <w:szCs w:val="20"/>
              </w:rPr>
              <w:t>No Additional MEB Entries</w:t>
            </w:r>
          </w:p>
        </w:tc>
        <w:tc>
          <w:tcPr>
            <w:tcW w:w="2340" w:type="dxa"/>
            <w:tcBorders>
              <w:left w:val="thinThickThinSmallGap" w:sz="24" w:space="0" w:color="auto"/>
            </w:tcBorders>
            <w:shd w:val="clear" w:color="auto" w:fill="FFFFFF"/>
            <w:vAlign w:val="center"/>
          </w:tcPr>
          <w:p w:rsidR="008A5DA6" w:rsidRDefault="008A5DA6" w:rsidP="008A5DA6">
            <w:pPr>
              <w:spacing w:line="220" w:lineRule="exact"/>
              <w:contextualSpacing/>
              <w:jc w:val="left"/>
              <w:rPr>
                <w:color w:val="000000" w:themeColor="text1"/>
                <w:sz w:val="18"/>
                <w:szCs w:val="18"/>
              </w:rPr>
            </w:pPr>
            <w:r>
              <w:rPr>
                <w:color w:val="000000" w:themeColor="text1"/>
                <w:sz w:val="18"/>
                <w:szCs w:val="18"/>
              </w:rPr>
              <w:t>Adjustment Disorder</w:t>
            </w:r>
          </w:p>
        </w:tc>
        <w:tc>
          <w:tcPr>
            <w:tcW w:w="1080" w:type="dxa"/>
            <w:shd w:val="clear" w:color="auto" w:fill="FFFFFF"/>
            <w:vAlign w:val="center"/>
          </w:tcPr>
          <w:p w:rsidR="008A5DA6" w:rsidRDefault="008A5DA6" w:rsidP="008A5DA6">
            <w:pPr>
              <w:spacing w:line="220" w:lineRule="exact"/>
              <w:contextualSpacing/>
              <w:rPr>
                <w:color w:val="000000" w:themeColor="text1"/>
                <w:sz w:val="18"/>
                <w:szCs w:val="18"/>
              </w:rPr>
            </w:pPr>
            <w:r>
              <w:rPr>
                <w:color w:val="000000" w:themeColor="text1"/>
                <w:sz w:val="18"/>
                <w:szCs w:val="18"/>
              </w:rPr>
              <w:t>9440</w:t>
            </w:r>
          </w:p>
        </w:tc>
        <w:tc>
          <w:tcPr>
            <w:tcW w:w="720" w:type="dxa"/>
            <w:shd w:val="clear" w:color="auto" w:fill="FFFFFF"/>
            <w:vAlign w:val="center"/>
          </w:tcPr>
          <w:p w:rsidR="008A5DA6" w:rsidRDefault="008A5DA6" w:rsidP="008A5DA6">
            <w:pPr>
              <w:spacing w:line="220" w:lineRule="exact"/>
              <w:contextualSpacing/>
              <w:rPr>
                <w:color w:val="000000" w:themeColor="text1"/>
                <w:sz w:val="18"/>
                <w:szCs w:val="18"/>
              </w:rPr>
            </w:pPr>
            <w:r>
              <w:rPr>
                <w:color w:val="000000" w:themeColor="text1"/>
                <w:sz w:val="18"/>
                <w:szCs w:val="18"/>
              </w:rPr>
              <w:t>30%</w:t>
            </w:r>
          </w:p>
        </w:tc>
        <w:tc>
          <w:tcPr>
            <w:tcW w:w="990" w:type="dxa"/>
            <w:shd w:val="clear" w:color="auto" w:fill="FFFFFF"/>
            <w:vAlign w:val="center"/>
          </w:tcPr>
          <w:p w:rsidR="008A5DA6" w:rsidRPr="001F29F9" w:rsidRDefault="008A5DA6" w:rsidP="008A5DA6">
            <w:pPr>
              <w:spacing w:line="220" w:lineRule="exact"/>
              <w:contextualSpacing/>
              <w:rPr>
                <w:color w:val="000000" w:themeColor="text1"/>
                <w:sz w:val="18"/>
                <w:szCs w:val="18"/>
              </w:rPr>
            </w:pPr>
            <w:r>
              <w:rPr>
                <w:color w:val="000000" w:themeColor="text1"/>
                <w:sz w:val="18"/>
                <w:szCs w:val="18"/>
              </w:rPr>
              <w:t>20031024</w:t>
            </w:r>
          </w:p>
        </w:tc>
      </w:tr>
      <w:tr w:rsidR="008A5DA6" w:rsidRPr="00495FAC" w:rsidTr="008A5DA6">
        <w:trPr>
          <w:trHeight w:val="188"/>
        </w:trPr>
        <w:tc>
          <w:tcPr>
            <w:tcW w:w="4230" w:type="dxa"/>
            <w:gridSpan w:val="4"/>
            <w:vMerge/>
            <w:tcBorders>
              <w:right w:val="thinThickThinSmallGap" w:sz="24" w:space="0" w:color="auto"/>
            </w:tcBorders>
            <w:shd w:val="clear" w:color="auto" w:fill="FFFFFF"/>
            <w:vAlign w:val="center"/>
          </w:tcPr>
          <w:p w:rsidR="008A5DA6" w:rsidRPr="00495FAC" w:rsidRDefault="008A5DA6" w:rsidP="008A5DA6">
            <w:pPr>
              <w:spacing w:line="220" w:lineRule="exact"/>
              <w:contextualSpacing/>
              <w:rPr>
                <w:color w:val="auto"/>
                <w:sz w:val="20"/>
              </w:rPr>
            </w:pPr>
          </w:p>
        </w:tc>
        <w:tc>
          <w:tcPr>
            <w:tcW w:w="2340" w:type="dxa"/>
            <w:tcBorders>
              <w:left w:val="thinThickThinSmallGap" w:sz="24" w:space="0" w:color="auto"/>
            </w:tcBorders>
            <w:shd w:val="clear" w:color="auto" w:fill="FFFFFF"/>
            <w:vAlign w:val="center"/>
          </w:tcPr>
          <w:p w:rsidR="008A5DA6" w:rsidRPr="001F29F9" w:rsidRDefault="008A5DA6" w:rsidP="008A5DA6">
            <w:pPr>
              <w:spacing w:line="220" w:lineRule="exact"/>
              <w:contextualSpacing/>
              <w:jc w:val="left"/>
              <w:rPr>
                <w:rFonts w:eastAsia="Times New Roman" w:cstheme="minorHAnsi"/>
                <w:color w:val="000000" w:themeColor="text1"/>
                <w:sz w:val="18"/>
                <w:szCs w:val="18"/>
              </w:rPr>
            </w:pPr>
            <w:r>
              <w:rPr>
                <w:rFonts w:cstheme="minorHAnsi"/>
                <w:color w:val="000000" w:themeColor="text1"/>
                <w:sz w:val="18"/>
                <w:szCs w:val="18"/>
              </w:rPr>
              <w:t>DDD, Cervical Spine</w:t>
            </w:r>
          </w:p>
        </w:tc>
        <w:tc>
          <w:tcPr>
            <w:tcW w:w="1080" w:type="dxa"/>
            <w:shd w:val="clear" w:color="auto" w:fill="FFFFFF"/>
            <w:vAlign w:val="center"/>
          </w:tcPr>
          <w:p w:rsidR="008A5DA6" w:rsidRPr="001F29F9" w:rsidRDefault="008A5DA6" w:rsidP="008A5DA6">
            <w:pPr>
              <w:spacing w:line="220" w:lineRule="exact"/>
              <w:contextualSpacing/>
              <w:rPr>
                <w:rFonts w:eastAsia="Times New Roman" w:cstheme="minorHAnsi"/>
                <w:color w:val="000000" w:themeColor="text1"/>
                <w:sz w:val="18"/>
                <w:szCs w:val="18"/>
              </w:rPr>
            </w:pPr>
            <w:r>
              <w:rPr>
                <w:rFonts w:cstheme="minorHAnsi"/>
                <w:color w:val="000000" w:themeColor="text1"/>
                <w:sz w:val="18"/>
                <w:szCs w:val="18"/>
              </w:rPr>
              <w:t>5242</w:t>
            </w:r>
          </w:p>
        </w:tc>
        <w:tc>
          <w:tcPr>
            <w:tcW w:w="720" w:type="dxa"/>
            <w:shd w:val="clear" w:color="auto" w:fill="FFFFFF"/>
            <w:vAlign w:val="center"/>
          </w:tcPr>
          <w:p w:rsidR="008A5DA6" w:rsidRPr="001F29F9" w:rsidRDefault="008A5DA6" w:rsidP="008A5DA6">
            <w:pPr>
              <w:spacing w:line="220" w:lineRule="exact"/>
              <w:contextualSpacing/>
              <w:rPr>
                <w:rFonts w:eastAsia="Times New Roman" w:cstheme="minorHAnsi"/>
                <w:color w:val="000000" w:themeColor="text1"/>
                <w:sz w:val="18"/>
                <w:szCs w:val="18"/>
              </w:rPr>
            </w:pPr>
            <w:r>
              <w:rPr>
                <w:rFonts w:cstheme="minorHAnsi"/>
                <w:color w:val="000000" w:themeColor="text1"/>
                <w:sz w:val="18"/>
                <w:szCs w:val="18"/>
              </w:rPr>
              <w:t>20%</w:t>
            </w:r>
          </w:p>
        </w:tc>
        <w:tc>
          <w:tcPr>
            <w:tcW w:w="990" w:type="dxa"/>
            <w:shd w:val="clear" w:color="auto" w:fill="FFFFFF"/>
            <w:vAlign w:val="center"/>
          </w:tcPr>
          <w:p w:rsidR="008A5DA6" w:rsidRPr="001F29F9" w:rsidRDefault="008A5DA6" w:rsidP="008A5DA6">
            <w:pPr>
              <w:spacing w:line="220" w:lineRule="exact"/>
              <w:contextualSpacing/>
              <w:rPr>
                <w:rFonts w:eastAsia="Times New Roman" w:cstheme="minorHAnsi"/>
                <w:color w:val="000000" w:themeColor="text1"/>
                <w:sz w:val="18"/>
                <w:szCs w:val="18"/>
              </w:rPr>
            </w:pPr>
            <w:r w:rsidRPr="001F29F9">
              <w:rPr>
                <w:rFonts w:cstheme="minorHAnsi"/>
                <w:color w:val="000000" w:themeColor="text1"/>
                <w:sz w:val="18"/>
                <w:szCs w:val="18"/>
              </w:rPr>
              <w:t>200</w:t>
            </w:r>
            <w:r>
              <w:rPr>
                <w:rFonts w:cstheme="minorHAnsi"/>
                <w:color w:val="000000" w:themeColor="text1"/>
                <w:sz w:val="18"/>
                <w:szCs w:val="18"/>
              </w:rPr>
              <w:t>31024</w:t>
            </w:r>
          </w:p>
        </w:tc>
      </w:tr>
      <w:tr w:rsidR="008A5DA6" w:rsidRPr="00495FAC" w:rsidTr="008A5DA6">
        <w:trPr>
          <w:trHeight w:val="188"/>
        </w:trPr>
        <w:tc>
          <w:tcPr>
            <w:tcW w:w="4230" w:type="dxa"/>
            <w:gridSpan w:val="4"/>
            <w:vMerge/>
            <w:tcBorders>
              <w:right w:val="thinThickThinSmallGap" w:sz="24" w:space="0" w:color="auto"/>
            </w:tcBorders>
            <w:shd w:val="clear" w:color="auto" w:fill="FFFFFF"/>
            <w:vAlign w:val="center"/>
          </w:tcPr>
          <w:p w:rsidR="008A5DA6" w:rsidRPr="00495FAC" w:rsidRDefault="008A5DA6" w:rsidP="008A5DA6">
            <w:pPr>
              <w:spacing w:line="220" w:lineRule="exact"/>
              <w:contextualSpacing/>
              <w:rPr>
                <w:color w:val="auto"/>
                <w:sz w:val="20"/>
              </w:rPr>
            </w:pPr>
          </w:p>
        </w:tc>
        <w:tc>
          <w:tcPr>
            <w:tcW w:w="2340" w:type="dxa"/>
            <w:tcBorders>
              <w:left w:val="thinThickThinSmallGap" w:sz="24" w:space="0" w:color="auto"/>
            </w:tcBorders>
            <w:shd w:val="clear" w:color="auto" w:fill="FFFFFF"/>
            <w:vAlign w:val="center"/>
          </w:tcPr>
          <w:p w:rsidR="008A5DA6" w:rsidRPr="001F29F9" w:rsidRDefault="008A5DA6" w:rsidP="008A5DA6">
            <w:pPr>
              <w:spacing w:line="220" w:lineRule="exact"/>
              <w:contextualSpacing/>
              <w:jc w:val="left"/>
              <w:rPr>
                <w:color w:val="000000" w:themeColor="text1"/>
                <w:sz w:val="18"/>
                <w:szCs w:val="18"/>
              </w:rPr>
            </w:pPr>
            <w:r>
              <w:rPr>
                <w:color w:val="000000" w:themeColor="text1"/>
                <w:sz w:val="18"/>
                <w:szCs w:val="18"/>
              </w:rPr>
              <w:t>Tinnitus</w:t>
            </w:r>
          </w:p>
        </w:tc>
        <w:tc>
          <w:tcPr>
            <w:tcW w:w="1080" w:type="dxa"/>
            <w:shd w:val="clear" w:color="auto" w:fill="FFFFFF"/>
            <w:vAlign w:val="center"/>
          </w:tcPr>
          <w:p w:rsidR="008A5DA6" w:rsidRPr="001F29F9" w:rsidRDefault="008A5DA6" w:rsidP="008A5DA6">
            <w:pPr>
              <w:spacing w:line="220" w:lineRule="exact"/>
              <w:contextualSpacing/>
              <w:rPr>
                <w:color w:val="000000" w:themeColor="text1"/>
                <w:sz w:val="18"/>
                <w:szCs w:val="18"/>
              </w:rPr>
            </w:pPr>
            <w:r>
              <w:rPr>
                <w:color w:val="000000" w:themeColor="text1"/>
                <w:sz w:val="18"/>
                <w:szCs w:val="18"/>
              </w:rPr>
              <w:t>6260</w:t>
            </w:r>
          </w:p>
        </w:tc>
        <w:tc>
          <w:tcPr>
            <w:tcW w:w="720" w:type="dxa"/>
            <w:shd w:val="clear" w:color="auto" w:fill="FFFFFF"/>
            <w:vAlign w:val="center"/>
          </w:tcPr>
          <w:p w:rsidR="008A5DA6" w:rsidRPr="001F29F9" w:rsidRDefault="008A5DA6" w:rsidP="008A5DA6">
            <w:pPr>
              <w:spacing w:line="220" w:lineRule="exact"/>
              <w:contextualSpacing/>
              <w:rPr>
                <w:color w:val="000000" w:themeColor="text1"/>
                <w:sz w:val="18"/>
                <w:szCs w:val="18"/>
              </w:rPr>
            </w:pPr>
            <w:r>
              <w:rPr>
                <w:color w:val="000000" w:themeColor="text1"/>
                <w:sz w:val="18"/>
                <w:szCs w:val="18"/>
              </w:rPr>
              <w:t>10%</w:t>
            </w:r>
          </w:p>
        </w:tc>
        <w:tc>
          <w:tcPr>
            <w:tcW w:w="990" w:type="dxa"/>
            <w:shd w:val="clear" w:color="auto" w:fill="FFFFFF"/>
            <w:vAlign w:val="center"/>
          </w:tcPr>
          <w:p w:rsidR="008A5DA6" w:rsidRPr="001F29F9" w:rsidRDefault="008A5DA6" w:rsidP="008A5DA6">
            <w:pPr>
              <w:spacing w:line="220" w:lineRule="exact"/>
              <w:contextualSpacing/>
              <w:rPr>
                <w:color w:val="000000" w:themeColor="text1"/>
                <w:sz w:val="18"/>
                <w:szCs w:val="18"/>
              </w:rPr>
            </w:pPr>
            <w:r>
              <w:rPr>
                <w:color w:val="000000" w:themeColor="text1"/>
                <w:sz w:val="18"/>
                <w:szCs w:val="18"/>
              </w:rPr>
              <w:t>20031024</w:t>
            </w:r>
          </w:p>
        </w:tc>
      </w:tr>
      <w:tr w:rsidR="008A5DA6" w:rsidRPr="00495FAC" w:rsidTr="008A5DA6">
        <w:trPr>
          <w:trHeight w:val="188"/>
        </w:trPr>
        <w:tc>
          <w:tcPr>
            <w:tcW w:w="4230" w:type="dxa"/>
            <w:gridSpan w:val="4"/>
            <w:vMerge/>
            <w:tcBorders>
              <w:right w:val="thinThickThinSmallGap" w:sz="24" w:space="0" w:color="auto"/>
            </w:tcBorders>
            <w:shd w:val="clear" w:color="auto" w:fill="FFFFFF"/>
            <w:vAlign w:val="center"/>
          </w:tcPr>
          <w:p w:rsidR="008A5DA6" w:rsidRPr="00495FAC" w:rsidRDefault="008A5DA6" w:rsidP="008A5DA6">
            <w:pPr>
              <w:spacing w:line="220" w:lineRule="exact"/>
              <w:contextualSpacing/>
              <w:rPr>
                <w:color w:val="auto"/>
                <w:sz w:val="20"/>
              </w:rPr>
            </w:pPr>
          </w:p>
        </w:tc>
        <w:tc>
          <w:tcPr>
            <w:tcW w:w="2340" w:type="dxa"/>
            <w:tcBorders>
              <w:left w:val="thinThickThinSmallGap" w:sz="24" w:space="0" w:color="auto"/>
            </w:tcBorders>
            <w:shd w:val="clear" w:color="auto" w:fill="FFFFFF"/>
            <w:vAlign w:val="center"/>
          </w:tcPr>
          <w:p w:rsidR="008A5DA6" w:rsidRDefault="008A5DA6" w:rsidP="008A5DA6">
            <w:pPr>
              <w:spacing w:line="220" w:lineRule="exact"/>
              <w:contextualSpacing/>
              <w:jc w:val="left"/>
              <w:rPr>
                <w:color w:val="000000" w:themeColor="text1"/>
                <w:sz w:val="18"/>
                <w:szCs w:val="18"/>
              </w:rPr>
            </w:pPr>
            <w:r>
              <w:rPr>
                <w:color w:val="000000" w:themeColor="text1"/>
                <w:sz w:val="18"/>
                <w:szCs w:val="18"/>
              </w:rPr>
              <w:t>Hypertension</w:t>
            </w:r>
          </w:p>
        </w:tc>
        <w:tc>
          <w:tcPr>
            <w:tcW w:w="1080" w:type="dxa"/>
            <w:shd w:val="clear" w:color="auto" w:fill="FFFFFF"/>
            <w:vAlign w:val="center"/>
          </w:tcPr>
          <w:p w:rsidR="008A5DA6" w:rsidRDefault="008A5DA6" w:rsidP="008A5DA6">
            <w:pPr>
              <w:spacing w:line="220" w:lineRule="exact"/>
              <w:contextualSpacing/>
              <w:rPr>
                <w:color w:val="000000" w:themeColor="text1"/>
                <w:sz w:val="18"/>
                <w:szCs w:val="18"/>
              </w:rPr>
            </w:pPr>
            <w:r>
              <w:rPr>
                <w:color w:val="000000" w:themeColor="text1"/>
                <w:sz w:val="18"/>
                <w:szCs w:val="18"/>
              </w:rPr>
              <w:t>7101</w:t>
            </w:r>
          </w:p>
        </w:tc>
        <w:tc>
          <w:tcPr>
            <w:tcW w:w="720" w:type="dxa"/>
            <w:shd w:val="clear" w:color="auto" w:fill="FFFFFF"/>
            <w:vAlign w:val="center"/>
          </w:tcPr>
          <w:p w:rsidR="008A5DA6" w:rsidRDefault="008A5DA6" w:rsidP="008A5DA6">
            <w:pPr>
              <w:spacing w:line="220" w:lineRule="exact"/>
              <w:contextualSpacing/>
              <w:rPr>
                <w:color w:val="000000" w:themeColor="text1"/>
                <w:sz w:val="18"/>
                <w:szCs w:val="18"/>
              </w:rPr>
            </w:pPr>
            <w:r>
              <w:rPr>
                <w:color w:val="000000" w:themeColor="text1"/>
                <w:sz w:val="18"/>
                <w:szCs w:val="18"/>
              </w:rPr>
              <w:t>10%</w:t>
            </w:r>
          </w:p>
        </w:tc>
        <w:tc>
          <w:tcPr>
            <w:tcW w:w="990" w:type="dxa"/>
            <w:shd w:val="clear" w:color="auto" w:fill="FFFFFF"/>
            <w:vAlign w:val="center"/>
          </w:tcPr>
          <w:p w:rsidR="008A5DA6" w:rsidRPr="001F29F9" w:rsidRDefault="008A5DA6" w:rsidP="008A5DA6">
            <w:pPr>
              <w:spacing w:line="220" w:lineRule="exact"/>
              <w:contextualSpacing/>
              <w:rPr>
                <w:color w:val="000000" w:themeColor="text1"/>
                <w:sz w:val="18"/>
                <w:szCs w:val="18"/>
              </w:rPr>
            </w:pPr>
            <w:r>
              <w:rPr>
                <w:color w:val="000000" w:themeColor="text1"/>
                <w:sz w:val="18"/>
                <w:szCs w:val="18"/>
              </w:rPr>
              <w:t>20031024</w:t>
            </w:r>
          </w:p>
        </w:tc>
      </w:tr>
      <w:tr w:rsidR="008A5DA6" w:rsidRPr="00495FAC" w:rsidTr="008A5DA6">
        <w:trPr>
          <w:trHeight w:val="188"/>
        </w:trPr>
        <w:tc>
          <w:tcPr>
            <w:tcW w:w="4230" w:type="dxa"/>
            <w:gridSpan w:val="4"/>
            <w:vMerge/>
            <w:tcBorders>
              <w:right w:val="thinThickThinSmallGap" w:sz="24" w:space="0" w:color="auto"/>
            </w:tcBorders>
            <w:shd w:val="clear" w:color="auto" w:fill="FFFFFF"/>
            <w:vAlign w:val="center"/>
          </w:tcPr>
          <w:p w:rsidR="008A5DA6" w:rsidRPr="00495FAC" w:rsidRDefault="008A5DA6" w:rsidP="008A5DA6">
            <w:pPr>
              <w:spacing w:line="220" w:lineRule="exact"/>
              <w:contextualSpacing/>
              <w:rPr>
                <w:color w:val="auto"/>
                <w:sz w:val="20"/>
              </w:rPr>
            </w:pPr>
          </w:p>
        </w:tc>
        <w:tc>
          <w:tcPr>
            <w:tcW w:w="2340" w:type="dxa"/>
            <w:tcBorders>
              <w:left w:val="thinThickThinSmallGap" w:sz="24" w:space="0" w:color="auto"/>
            </w:tcBorders>
            <w:shd w:val="clear" w:color="auto" w:fill="FFFFFF"/>
            <w:vAlign w:val="center"/>
          </w:tcPr>
          <w:p w:rsidR="008A5DA6" w:rsidRDefault="008A5DA6" w:rsidP="008A5DA6">
            <w:pPr>
              <w:spacing w:line="220" w:lineRule="exact"/>
              <w:contextualSpacing/>
              <w:jc w:val="left"/>
              <w:rPr>
                <w:color w:val="000000" w:themeColor="text1"/>
                <w:sz w:val="18"/>
                <w:szCs w:val="18"/>
              </w:rPr>
            </w:pPr>
            <w:r>
              <w:rPr>
                <w:color w:val="000000" w:themeColor="text1"/>
                <w:sz w:val="18"/>
                <w:szCs w:val="18"/>
              </w:rPr>
              <w:t>Hepatitis C</w:t>
            </w:r>
          </w:p>
        </w:tc>
        <w:tc>
          <w:tcPr>
            <w:tcW w:w="1080" w:type="dxa"/>
            <w:shd w:val="clear" w:color="auto" w:fill="FFFFFF"/>
            <w:vAlign w:val="center"/>
          </w:tcPr>
          <w:p w:rsidR="008A5DA6" w:rsidRDefault="008A5DA6" w:rsidP="008A5DA6">
            <w:pPr>
              <w:spacing w:line="220" w:lineRule="exact"/>
              <w:contextualSpacing/>
              <w:rPr>
                <w:color w:val="000000" w:themeColor="text1"/>
                <w:sz w:val="18"/>
                <w:szCs w:val="18"/>
              </w:rPr>
            </w:pPr>
            <w:r>
              <w:rPr>
                <w:color w:val="000000" w:themeColor="text1"/>
                <w:sz w:val="18"/>
                <w:szCs w:val="18"/>
              </w:rPr>
              <w:t>7354</w:t>
            </w:r>
          </w:p>
        </w:tc>
        <w:tc>
          <w:tcPr>
            <w:tcW w:w="720" w:type="dxa"/>
            <w:shd w:val="clear" w:color="auto" w:fill="FFFFFF"/>
            <w:vAlign w:val="center"/>
          </w:tcPr>
          <w:p w:rsidR="008A5DA6" w:rsidRDefault="008A5DA6" w:rsidP="008A5DA6">
            <w:pPr>
              <w:spacing w:line="220" w:lineRule="exact"/>
              <w:contextualSpacing/>
              <w:rPr>
                <w:color w:val="000000" w:themeColor="text1"/>
                <w:sz w:val="18"/>
                <w:szCs w:val="18"/>
              </w:rPr>
            </w:pPr>
            <w:r>
              <w:rPr>
                <w:color w:val="000000" w:themeColor="text1"/>
                <w:sz w:val="18"/>
                <w:szCs w:val="18"/>
              </w:rPr>
              <w:t>10%</w:t>
            </w:r>
          </w:p>
        </w:tc>
        <w:tc>
          <w:tcPr>
            <w:tcW w:w="990" w:type="dxa"/>
            <w:shd w:val="clear" w:color="auto" w:fill="FFFFFF"/>
            <w:vAlign w:val="center"/>
          </w:tcPr>
          <w:p w:rsidR="008A5DA6" w:rsidRPr="001F29F9" w:rsidRDefault="008A5DA6" w:rsidP="008A5DA6">
            <w:pPr>
              <w:spacing w:line="220" w:lineRule="exact"/>
              <w:contextualSpacing/>
              <w:rPr>
                <w:color w:val="000000" w:themeColor="text1"/>
                <w:sz w:val="18"/>
                <w:szCs w:val="18"/>
              </w:rPr>
            </w:pPr>
            <w:r>
              <w:rPr>
                <w:color w:val="000000" w:themeColor="text1"/>
                <w:sz w:val="18"/>
                <w:szCs w:val="18"/>
              </w:rPr>
              <w:t>20040626</w:t>
            </w:r>
          </w:p>
        </w:tc>
      </w:tr>
      <w:tr w:rsidR="008A5DA6" w:rsidRPr="00495FAC" w:rsidTr="008A5DA6">
        <w:trPr>
          <w:trHeight w:val="188"/>
        </w:trPr>
        <w:tc>
          <w:tcPr>
            <w:tcW w:w="4230" w:type="dxa"/>
            <w:gridSpan w:val="4"/>
            <w:vMerge/>
            <w:tcBorders>
              <w:bottom w:val="single" w:sz="4" w:space="0" w:color="000000"/>
              <w:right w:val="thinThickThinSmallGap" w:sz="24" w:space="0" w:color="auto"/>
            </w:tcBorders>
            <w:shd w:val="clear" w:color="auto" w:fill="FFFFFF"/>
            <w:vAlign w:val="center"/>
          </w:tcPr>
          <w:p w:rsidR="008A5DA6" w:rsidRPr="00495FAC" w:rsidRDefault="008A5DA6" w:rsidP="008A5DA6">
            <w:pPr>
              <w:spacing w:line="220" w:lineRule="exact"/>
              <w:contextualSpacing/>
              <w:rPr>
                <w:color w:val="auto"/>
                <w:sz w:val="18"/>
                <w:szCs w:val="18"/>
              </w:rPr>
            </w:pPr>
          </w:p>
        </w:tc>
        <w:tc>
          <w:tcPr>
            <w:tcW w:w="4140" w:type="dxa"/>
            <w:gridSpan w:val="3"/>
            <w:tcBorders>
              <w:left w:val="thinThickThinSmallGap" w:sz="24" w:space="0" w:color="auto"/>
              <w:bottom w:val="single" w:sz="4" w:space="0" w:color="000000"/>
            </w:tcBorders>
            <w:shd w:val="clear" w:color="auto" w:fill="FFFFFF"/>
            <w:vAlign w:val="center"/>
          </w:tcPr>
          <w:p w:rsidR="008A5DA6" w:rsidRPr="001F29F9" w:rsidRDefault="008A5DA6" w:rsidP="008A5DA6">
            <w:pPr>
              <w:spacing w:line="220" w:lineRule="exact"/>
              <w:contextualSpacing/>
              <w:rPr>
                <w:rFonts w:eastAsia="Times New Roman" w:cstheme="minorHAnsi"/>
                <w:color w:val="000000" w:themeColor="text1"/>
                <w:sz w:val="18"/>
                <w:szCs w:val="18"/>
              </w:rPr>
            </w:pPr>
            <w:r w:rsidRPr="001F29F9">
              <w:rPr>
                <w:rFonts w:cstheme="minorHAnsi"/>
                <w:color w:val="000000" w:themeColor="text1"/>
                <w:sz w:val="18"/>
                <w:szCs w:val="18"/>
              </w:rPr>
              <w:t xml:space="preserve">0% x </w:t>
            </w:r>
            <w:r>
              <w:rPr>
                <w:rFonts w:cstheme="minorHAnsi"/>
                <w:color w:val="000000" w:themeColor="text1"/>
                <w:sz w:val="18"/>
                <w:szCs w:val="18"/>
              </w:rPr>
              <w:t xml:space="preserve">1 </w:t>
            </w:r>
            <w:r w:rsidRPr="001F29F9">
              <w:rPr>
                <w:rFonts w:cstheme="minorHAnsi"/>
                <w:color w:val="000000" w:themeColor="text1"/>
                <w:sz w:val="18"/>
                <w:szCs w:val="18"/>
              </w:rPr>
              <w:t>/</w:t>
            </w:r>
            <w:r>
              <w:rPr>
                <w:rFonts w:cstheme="minorHAnsi"/>
                <w:color w:val="000000" w:themeColor="text1"/>
                <w:sz w:val="18"/>
                <w:szCs w:val="18"/>
              </w:rPr>
              <w:t xml:space="preserve"> </w:t>
            </w:r>
            <w:r w:rsidR="00EF0866">
              <w:rPr>
                <w:rFonts w:cstheme="minorHAnsi"/>
                <w:color w:val="000000" w:themeColor="text1"/>
                <w:sz w:val="18"/>
                <w:szCs w:val="18"/>
              </w:rPr>
              <w:t>Not Service-</w:t>
            </w:r>
            <w:r w:rsidRPr="001F29F9">
              <w:rPr>
                <w:rFonts w:cstheme="minorHAnsi"/>
                <w:color w:val="000000" w:themeColor="text1"/>
                <w:sz w:val="18"/>
                <w:szCs w:val="18"/>
              </w:rPr>
              <w:t xml:space="preserve">Connected x </w:t>
            </w:r>
            <w:r>
              <w:rPr>
                <w:rFonts w:cstheme="minorHAnsi"/>
                <w:color w:val="000000" w:themeColor="text1"/>
                <w:sz w:val="18"/>
                <w:szCs w:val="18"/>
              </w:rPr>
              <w:t>3</w:t>
            </w:r>
          </w:p>
        </w:tc>
        <w:tc>
          <w:tcPr>
            <w:tcW w:w="990" w:type="dxa"/>
            <w:tcBorders>
              <w:bottom w:val="single" w:sz="4" w:space="0" w:color="000000"/>
            </w:tcBorders>
            <w:shd w:val="clear" w:color="auto" w:fill="FFFFFF"/>
            <w:vAlign w:val="center"/>
          </w:tcPr>
          <w:p w:rsidR="008A5DA6" w:rsidRPr="001F29F9" w:rsidRDefault="008A5DA6" w:rsidP="008A5DA6">
            <w:pPr>
              <w:spacing w:line="220" w:lineRule="exact"/>
              <w:contextualSpacing/>
              <w:rPr>
                <w:rFonts w:eastAsia="Times New Roman" w:cstheme="minorHAnsi"/>
                <w:color w:val="000000" w:themeColor="text1"/>
                <w:sz w:val="18"/>
                <w:szCs w:val="18"/>
              </w:rPr>
            </w:pPr>
            <w:r w:rsidRPr="001F29F9">
              <w:rPr>
                <w:rFonts w:cstheme="minorHAnsi"/>
                <w:color w:val="000000" w:themeColor="text1"/>
                <w:sz w:val="18"/>
                <w:szCs w:val="18"/>
              </w:rPr>
              <w:t>200</w:t>
            </w:r>
            <w:r>
              <w:rPr>
                <w:rFonts w:cstheme="minorHAnsi"/>
                <w:color w:val="000000" w:themeColor="text1"/>
                <w:sz w:val="18"/>
                <w:szCs w:val="18"/>
              </w:rPr>
              <w:t>31024</w:t>
            </w:r>
          </w:p>
        </w:tc>
      </w:tr>
      <w:tr w:rsidR="00495FAC" w:rsidRPr="00495FAC" w:rsidTr="008A5DA6">
        <w:trPr>
          <w:trHeight w:val="242"/>
        </w:trPr>
        <w:tc>
          <w:tcPr>
            <w:tcW w:w="4230" w:type="dxa"/>
            <w:gridSpan w:val="4"/>
            <w:tcBorders>
              <w:right w:val="thinThickThinSmallGap" w:sz="24" w:space="0" w:color="auto"/>
            </w:tcBorders>
            <w:shd w:val="clear" w:color="auto" w:fill="D9D9D9"/>
          </w:tcPr>
          <w:p w:rsidR="00495FAC" w:rsidRPr="00495FAC" w:rsidRDefault="00495FAC" w:rsidP="00495FAC">
            <w:pPr>
              <w:contextualSpacing/>
              <w:rPr>
                <w:b/>
                <w:color w:val="auto"/>
                <w:sz w:val="20"/>
                <w:szCs w:val="20"/>
              </w:rPr>
            </w:pPr>
            <w:r w:rsidRPr="00495FAC">
              <w:rPr>
                <w:b/>
                <w:color w:val="auto"/>
                <w:sz w:val="20"/>
                <w:szCs w:val="20"/>
              </w:rPr>
              <w:t xml:space="preserve">Combined:  </w:t>
            </w:r>
            <w:r w:rsidR="008A5DA6">
              <w:rPr>
                <w:b/>
                <w:color w:val="auto"/>
                <w:sz w:val="20"/>
                <w:szCs w:val="20"/>
              </w:rPr>
              <w:t>4</w:t>
            </w:r>
            <w:r w:rsidRPr="00495FAC">
              <w:rPr>
                <w:b/>
                <w:color w:val="auto"/>
                <w:sz w:val="20"/>
                <w:szCs w:val="20"/>
              </w:rPr>
              <w:t>0%</w:t>
            </w:r>
            <w:r w:rsidR="008A5DA6">
              <w:rPr>
                <w:b/>
                <w:color w:val="auto"/>
                <w:sz w:val="20"/>
                <w:szCs w:val="20"/>
              </w:rPr>
              <w:t xml:space="preserve"> </w:t>
            </w:r>
            <w:r w:rsidR="008A5DA6">
              <w:rPr>
                <w:rFonts w:cs="Calibri"/>
                <w:b/>
                <w:color w:val="auto"/>
                <w:sz w:val="20"/>
                <w:szCs w:val="20"/>
              </w:rPr>
              <w:t>→</w:t>
            </w:r>
            <w:r w:rsidR="008A5DA6">
              <w:rPr>
                <w:b/>
                <w:color w:val="auto"/>
                <w:sz w:val="20"/>
                <w:szCs w:val="20"/>
              </w:rPr>
              <w:t xml:space="preserve"> 10%</w:t>
            </w:r>
          </w:p>
        </w:tc>
        <w:tc>
          <w:tcPr>
            <w:tcW w:w="5130" w:type="dxa"/>
            <w:gridSpan w:val="4"/>
            <w:tcBorders>
              <w:left w:val="thinThickThinSmallGap" w:sz="24" w:space="0" w:color="auto"/>
            </w:tcBorders>
            <w:shd w:val="clear" w:color="auto" w:fill="D9D9D9"/>
          </w:tcPr>
          <w:p w:rsidR="00495FAC" w:rsidRPr="00495FAC" w:rsidRDefault="008A5DA6" w:rsidP="00495FAC">
            <w:pPr>
              <w:contextualSpacing/>
              <w:rPr>
                <w:b/>
                <w:color w:val="auto"/>
                <w:sz w:val="20"/>
                <w:szCs w:val="20"/>
              </w:rPr>
            </w:pPr>
            <w:r>
              <w:rPr>
                <w:b/>
                <w:color w:val="auto"/>
                <w:sz w:val="20"/>
                <w:szCs w:val="20"/>
              </w:rPr>
              <w:t>Combined: 9</w:t>
            </w:r>
            <w:r w:rsidR="00495FAC" w:rsidRPr="00495FAC">
              <w:rPr>
                <w:b/>
                <w:color w:val="auto"/>
                <w:sz w:val="20"/>
                <w:szCs w:val="20"/>
              </w:rPr>
              <w:t>0%</w:t>
            </w:r>
          </w:p>
        </w:tc>
      </w:tr>
    </w:tbl>
    <w:p w:rsidR="00495FAC" w:rsidRPr="001F29F9" w:rsidRDefault="00495FAC" w:rsidP="00CF192C">
      <w:pPr>
        <w:jc w:val="right"/>
        <w:rPr>
          <w:color w:val="000000"/>
        </w:rPr>
      </w:pPr>
      <w:r w:rsidRPr="00A063AA">
        <w:rPr>
          <w:b/>
          <w:color w:val="000000"/>
          <w:sz w:val="18"/>
          <w:szCs w:val="18"/>
        </w:rPr>
        <w:t>*</w:t>
      </w:r>
      <w:r>
        <w:rPr>
          <w:b/>
          <w:color w:val="000000"/>
          <w:sz w:val="18"/>
          <w:szCs w:val="18"/>
        </w:rPr>
        <w:t>Represents VA rating proximate to TDRL placement; n</w:t>
      </w:r>
      <w:r w:rsidRPr="00A063AA">
        <w:rPr>
          <w:b/>
          <w:color w:val="000000"/>
          <w:sz w:val="18"/>
          <w:szCs w:val="18"/>
        </w:rPr>
        <w:t>o VA rating proximate to permanent separation.</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r w:rsidR="00495FAC">
        <w:rPr>
          <w:color w:val="000000"/>
        </w:rPr>
        <w:t xml:space="preserve"> </w:t>
      </w:r>
      <w:r w:rsidR="00495FAC" w:rsidRPr="006313F1">
        <w:rPr>
          <w:color w:val="000000" w:themeColor="text1"/>
          <w:szCs w:val="24"/>
        </w:rPr>
        <w:t xml:space="preserve">The Board clarifies that there is a significant interval </w:t>
      </w:r>
      <w:r w:rsidR="00495FAC">
        <w:rPr>
          <w:color w:val="000000" w:themeColor="text1"/>
          <w:szCs w:val="24"/>
        </w:rPr>
        <w:t>(approaching 3</w:t>
      </w:r>
      <w:r w:rsidR="00495FAC" w:rsidRPr="006313F1">
        <w:rPr>
          <w:color w:val="000000" w:themeColor="text1"/>
          <w:szCs w:val="24"/>
        </w:rPr>
        <w:t xml:space="preserve"> years) betwe</w:t>
      </w:r>
      <w:r w:rsidR="00076CCA">
        <w:rPr>
          <w:color w:val="000000" w:themeColor="text1"/>
          <w:szCs w:val="24"/>
        </w:rPr>
        <w:t xml:space="preserve">en the </w:t>
      </w:r>
      <w:r w:rsidR="00EF0866">
        <w:rPr>
          <w:color w:val="000000" w:themeColor="text1"/>
          <w:szCs w:val="24"/>
        </w:rPr>
        <w:t>Department of Veterans’ Affairs (D</w:t>
      </w:r>
      <w:r w:rsidR="00076CCA">
        <w:rPr>
          <w:color w:val="000000" w:themeColor="text1"/>
          <w:szCs w:val="24"/>
        </w:rPr>
        <w:t>VA</w:t>
      </w:r>
      <w:r w:rsidR="00EF0866">
        <w:rPr>
          <w:color w:val="000000" w:themeColor="text1"/>
          <w:szCs w:val="24"/>
        </w:rPr>
        <w:t>)</w:t>
      </w:r>
      <w:r w:rsidR="00076CCA">
        <w:rPr>
          <w:color w:val="000000" w:themeColor="text1"/>
          <w:szCs w:val="24"/>
        </w:rPr>
        <w:t xml:space="preserve"> evidence and ratings proximate to placement on TDRL</w:t>
      </w:r>
      <w:r w:rsidR="00495FAC" w:rsidRPr="006313F1">
        <w:rPr>
          <w:color w:val="000000" w:themeColor="text1"/>
          <w:szCs w:val="24"/>
        </w:rPr>
        <w:t xml:space="preserve"> and the date of permanent separation; and, the Board’s permanent rating recommendation is based on the disability in evidence at final separatio</w:t>
      </w:r>
      <w:r w:rsidR="00EF0866">
        <w:rPr>
          <w:color w:val="000000" w:themeColor="text1"/>
          <w:szCs w:val="24"/>
        </w:rPr>
        <w:t>n.  DoDI 6040.44 specifies a 12-</w:t>
      </w:r>
      <w:r w:rsidR="00495FAC" w:rsidRPr="006313F1">
        <w:rPr>
          <w:color w:val="000000" w:themeColor="text1"/>
          <w:szCs w:val="24"/>
        </w:rPr>
        <w:t xml:space="preserve">month interval for special consideration to </w:t>
      </w:r>
      <w:r w:rsidR="00EF0866">
        <w:rPr>
          <w:color w:val="000000" w:themeColor="text1"/>
          <w:szCs w:val="24"/>
        </w:rPr>
        <w:t>D</w:t>
      </w:r>
      <w:r w:rsidR="00495FAC" w:rsidRPr="006313F1">
        <w:rPr>
          <w:color w:val="000000" w:themeColor="text1"/>
          <w:szCs w:val="24"/>
        </w:rPr>
        <w:t xml:space="preserve">VA findings, and thus little probative value can be assigned to the clinical evidence rated by the </w:t>
      </w:r>
      <w:r w:rsidR="00EF0866">
        <w:rPr>
          <w:color w:val="000000" w:themeColor="text1"/>
          <w:szCs w:val="24"/>
        </w:rPr>
        <w:t>D</w:t>
      </w:r>
      <w:r w:rsidR="00495FAC" w:rsidRPr="006313F1">
        <w:rPr>
          <w:color w:val="000000" w:themeColor="text1"/>
          <w:szCs w:val="24"/>
        </w:rPr>
        <w:t xml:space="preserve">VA with regards to the Board’s permanent recommendation.  Since there was no </w:t>
      </w:r>
      <w:r w:rsidR="00EF0866">
        <w:rPr>
          <w:color w:val="000000" w:themeColor="text1"/>
          <w:szCs w:val="24"/>
        </w:rPr>
        <w:t>s</w:t>
      </w:r>
      <w:r w:rsidR="00495FAC" w:rsidRPr="006313F1">
        <w:rPr>
          <w:color w:val="000000" w:themeColor="text1"/>
          <w:szCs w:val="24"/>
        </w:rPr>
        <w:t xml:space="preserve">ervice or </w:t>
      </w:r>
      <w:r w:rsidR="00EF0866">
        <w:rPr>
          <w:color w:val="000000" w:themeColor="text1"/>
          <w:szCs w:val="24"/>
        </w:rPr>
        <w:t>D</w:t>
      </w:r>
      <w:r w:rsidR="00495FAC" w:rsidRPr="006313F1">
        <w:rPr>
          <w:color w:val="000000" w:themeColor="text1"/>
          <w:szCs w:val="24"/>
        </w:rPr>
        <w:t>VA outpatient evidence reasonably proximate to the date of permanent separation, the Board must rely heavily on the TDRL revaluation o</w:t>
      </w:r>
      <w:r w:rsidR="00EF0866">
        <w:rPr>
          <w:color w:val="000000" w:themeColor="text1"/>
          <w:szCs w:val="24"/>
        </w:rPr>
        <w:t>n 23 May</w:t>
      </w:r>
      <w:r w:rsidR="00495FAC" w:rsidRPr="006313F1">
        <w:rPr>
          <w:color w:val="000000" w:themeColor="text1"/>
          <w:szCs w:val="24"/>
        </w:rPr>
        <w:t xml:space="preserve"> </w:t>
      </w:r>
      <w:r w:rsidR="00495FAC">
        <w:rPr>
          <w:color w:val="000000" w:themeColor="text1"/>
          <w:szCs w:val="24"/>
        </w:rPr>
        <w:t xml:space="preserve">2006 and </w:t>
      </w:r>
      <w:r w:rsidR="0019173A">
        <w:rPr>
          <w:color w:val="000000" w:themeColor="text1"/>
          <w:szCs w:val="24"/>
        </w:rPr>
        <w:t xml:space="preserve">its </w:t>
      </w:r>
      <w:r w:rsidR="00495FAC">
        <w:rPr>
          <w:color w:val="000000" w:themeColor="text1"/>
          <w:szCs w:val="24"/>
        </w:rPr>
        <w:t xml:space="preserve">addendum </w:t>
      </w:r>
      <w:r w:rsidR="0019173A">
        <w:rPr>
          <w:color w:val="000000" w:themeColor="text1"/>
          <w:szCs w:val="24"/>
        </w:rPr>
        <w:t>dated</w:t>
      </w:r>
      <w:r w:rsidR="00495FAC" w:rsidRPr="006313F1">
        <w:rPr>
          <w:color w:val="000000" w:themeColor="text1"/>
          <w:szCs w:val="24"/>
        </w:rPr>
        <w:t xml:space="preserve"> </w:t>
      </w:r>
      <w:r w:rsidR="00EF0866">
        <w:rPr>
          <w:color w:val="000000" w:themeColor="text1"/>
          <w:szCs w:val="24"/>
        </w:rPr>
        <w:t xml:space="preserve">28 June </w:t>
      </w:r>
      <w:r w:rsidR="0019173A">
        <w:rPr>
          <w:color w:val="000000" w:themeColor="text1"/>
          <w:szCs w:val="24"/>
        </w:rPr>
        <w:t>2006</w:t>
      </w:r>
      <w:r w:rsidR="00EF0866">
        <w:rPr>
          <w:color w:val="000000" w:themeColor="text1"/>
          <w:szCs w:val="24"/>
        </w:rPr>
        <w:t xml:space="preserve">, </w:t>
      </w:r>
      <w:r w:rsidR="0019173A">
        <w:rPr>
          <w:color w:val="000000" w:themeColor="text1"/>
          <w:szCs w:val="24"/>
        </w:rPr>
        <w:t>2</w:t>
      </w:r>
      <w:r w:rsidR="00495FAC" w:rsidRPr="006313F1">
        <w:rPr>
          <w:color w:val="000000" w:themeColor="text1"/>
          <w:szCs w:val="24"/>
        </w:rPr>
        <w:t xml:space="preserve"> months prior to final sep</w:t>
      </w:r>
      <w:r w:rsidR="00EF0866">
        <w:rPr>
          <w:color w:val="000000" w:themeColor="text1"/>
          <w:szCs w:val="24"/>
        </w:rPr>
        <w:t>aration,</w:t>
      </w:r>
      <w:r w:rsidR="00495FAC" w:rsidRPr="006313F1">
        <w:rPr>
          <w:color w:val="000000" w:themeColor="text1"/>
          <w:szCs w:val="24"/>
        </w:rPr>
        <w:t xml:space="preserve"> to assess the severity of symptoms </w:t>
      </w:r>
      <w:r w:rsidR="00076CCA">
        <w:rPr>
          <w:color w:val="000000" w:themeColor="text1"/>
          <w:szCs w:val="24"/>
        </w:rPr>
        <w:t>probative</w:t>
      </w:r>
      <w:r w:rsidR="00495FAC" w:rsidRPr="006313F1">
        <w:rPr>
          <w:color w:val="000000" w:themeColor="text1"/>
          <w:szCs w:val="24"/>
        </w:rPr>
        <w:t xml:space="preserve"> to its permanent rating recommendation.</w:t>
      </w:r>
      <w:r w:rsidR="0019173A">
        <w:rPr>
          <w:color w:val="000000" w:themeColor="text1"/>
          <w:szCs w:val="24"/>
        </w:rPr>
        <w:t xml:space="preserve"> </w:t>
      </w:r>
    </w:p>
    <w:p w:rsidR="00AD2379" w:rsidRPr="001F29F9" w:rsidRDefault="00AD2379" w:rsidP="00B22D42">
      <w:pPr>
        <w:jc w:val="both"/>
        <w:rPr>
          <w:color w:val="000000"/>
          <w:highlight w:val="yellow"/>
        </w:rPr>
      </w:pPr>
    </w:p>
    <w:p w:rsidR="007D328D" w:rsidRDefault="00BD54FC" w:rsidP="00B11C38">
      <w:pPr>
        <w:spacing w:after="120"/>
        <w:jc w:val="both"/>
        <w:rPr>
          <w:color w:val="000000"/>
        </w:rPr>
      </w:pPr>
      <w:r>
        <w:rPr>
          <w:color w:val="000000"/>
          <w:u w:val="single"/>
        </w:rPr>
        <w:t>Asthma</w:t>
      </w:r>
      <w:r w:rsidR="00AD2379" w:rsidRPr="009A7578">
        <w:rPr>
          <w:color w:val="000000"/>
          <w:u w:val="single"/>
        </w:rPr>
        <w:t xml:space="preserve"> Condition</w:t>
      </w:r>
      <w:r w:rsidR="00AD2379" w:rsidRPr="009A7578">
        <w:rPr>
          <w:color w:val="000000"/>
        </w:rPr>
        <w:t xml:space="preserve">. </w:t>
      </w:r>
      <w:r w:rsidR="00385708">
        <w:rPr>
          <w:color w:val="000000"/>
        </w:rPr>
        <w:t xml:space="preserve"> </w:t>
      </w:r>
      <w:r w:rsidR="008735C7">
        <w:rPr>
          <w:color w:val="000000"/>
        </w:rPr>
        <w:t xml:space="preserve">The CI began developing intermittent shortness of breath as early as 1995, and was formally diagnosed with asthma </w:t>
      </w:r>
      <w:r w:rsidR="00962142">
        <w:rPr>
          <w:color w:val="000000"/>
        </w:rPr>
        <w:t xml:space="preserve">about a year prior to </w:t>
      </w:r>
      <w:r w:rsidR="00076CCA">
        <w:rPr>
          <w:color w:val="000000"/>
        </w:rPr>
        <w:t>initiation of</w:t>
      </w:r>
      <w:r w:rsidR="00962142">
        <w:rPr>
          <w:color w:val="000000"/>
        </w:rPr>
        <w:t xml:space="preserve"> MEB proceedings.  His pulmonary function test (PFT) results proximate to TDRL placement were a post-treatment FEV1 of 79% predicted and an FEV1/FVC ratio of 70%.  Ratable daily medications listed on the MEB’s narrative summary (NARSUM) were </w:t>
      </w:r>
      <w:proofErr w:type="spellStart"/>
      <w:r w:rsidR="00962142">
        <w:rPr>
          <w:color w:val="000000"/>
        </w:rPr>
        <w:t>Singul</w:t>
      </w:r>
      <w:r w:rsidR="00EF0866">
        <w:rPr>
          <w:color w:val="000000"/>
        </w:rPr>
        <w:t>air</w:t>
      </w:r>
      <w:proofErr w:type="spellEnd"/>
      <w:r w:rsidR="00EF0866">
        <w:rPr>
          <w:color w:val="000000"/>
        </w:rPr>
        <w:t xml:space="preserve">, </w:t>
      </w:r>
      <w:proofErr w:type="spellStart"/>
      <w:r w:rsidR="00EF0866">
        <w:rPr>
          <w:color w:val="000000"/>
        </w:rPr>
        <w:t>Advair</w:t>
      </w:r>
      <w:proofErr w:type="spellEnd"/>
      <w:r w:rsidR="00076CCA">
        <w:rPr>
          <w:color w:val="000000"/>
        </w:rPr>
        <w:t xml:space="preserve">, and </w:t>
      </w:r>
      <w:r w:rsidR="00EF0866">
        <w:rPr>
          <w:color w:val="000000"/>
        </w:rPr>
        <w:t>T</w:t>
      </w:r>
      <w:r w:rsidR="00076CCA">
        <w:rPr>
          <w:color w:val="000000"/>
        </w:rPr>
        <w:t>heophylline.  A</w:t>
      </w:r>
      <w:r w:rsidR="00962142">
        <w:rPr>
          <w:color w:val="000000"/>
        </w:rPr>
        <w:t xml:space="preserve">n </w:t>
      </w:r>
      <w:r w:rsidR="00EF0866">
        <w:rPr>
          <w:color w:val="000000"/>
        </w:rPr>
        <w:t>A</w:t>
      </w:r>
      <w:r w:rsidR="00962142">
        <w:rPr>
          <w:color w:val="000000"/>
        </w:rPr>
        <w:t xml:space="preserve">lbuterol inhaler was used as needed (prn).  The last clinical entry in evidence during the TDRL period </w:t>
      </w:r>
      <w:r w:rsidR="00076CCA">
        <w:rPr>
          <w:color w:val="000000"/>
        </w:rPr>
        <w:t>prior to the final evaluation</w:t>
      </w:r>
      <w:r w:rsidR="00962142">
        <w:rPr>
          <w:color w:val="000000"/>
        </w:rPr>
        <w:t xml:space="preserve"> was an outpatient note dated </w:t>
      </w:r>
      <w:r w:rsidR="00EF0866">
        <w:rPr>
          <w:color w:val="000000"/>
        </w:rPr>
        <w:t xml:space="preserve">14 March </w:t>
      </w:r>
      <w:r w:rsidR="00962142">
        <w:rPr>
          <w:color w:val="000000"/>
        </w:rPr>
        <w:t>2005</w:t>
      </w:r>
      <w:r w:rsidR="00EF0866">
        <w:rPr>
          <w:color w:val="000000"/>
        </w:rPr>
        <w:t xml:space="preserve">, </w:t>
      </w:r>
      <w:r w:rsidR="00962142">
        <w:rPr>
          <w:color w:val="000000"/>
        </w:rPr>
        <w:t>17 months pr</w:t>
      </w:r>
      <w:r w:rsidR="00EF0866">
        <w:rPr>
          <w:color w:val="000000"/>
        </w:rPr>
        <w:t>ior to separation</w:t>
      </w:r>
      <w:r w:rsidR="007D328D">
        <w:rPr>
          <w:color w:val="000000"/>
        </w:rPr>
        <w:t xml:space="preserve">, and there </w:t>
      </w:r>
      <w:r w:rsidR="00076CCA">
        <w:rPr>
          <w:color w:val="000000"/>
        </w:rPr>
        <w:t>is</w:t>
      </w:r>
      <w:r w:rsidR="007D328D">
        <w:rPr>
          <w:color w:val="000000"/>
        </w:rPr>
        <w:t xml:space="preserve"> no </w:t>
      </w:r>
      <w:r w:rsidR="00076CCA">
        <w:rPr>
          <w:color w:val="000000"/>
        </w:rPr>
        <w:t xml:space="preserve">record of </w:t>
      </w:r>
      <w:r w:rsidR="00A8053E">
        <w:rPr>
          <w:color w:val="000000"/>
        </w:rPr>
        <w:t xml:space="preserve">dispensing of </w:t>
      </w:r>
      <w:r w:rsidR="007D328D">
        <w:rPr>
          <w:color w:val="000000"/>
        </w:rPr>
        <w:t xml:space="preserve">medication </w:t>
      </w:r>
      <w:r w:rsidR="00A8053E">
        <w:rPr>
          <w:color w:val="000000"/>
        </w:rPr>
        <w:t>after that visit</w:t>
      </w:r>
      <w:r w:rsidR="007D328D">
        <w:rPr>
          <w:color w:val="000000"/>
        </w:rPr>
        <w:t xml:space="preserve">.  There were no VA rating evaluations or outpatient treatment notes in evidence for the full TDRL period.  </w:t>
      </w:r>
      <w:r w:rsidR="00A8053E">
        <w:rPr>
          <w:color w:val="000000"/>
        </w:rPr>
        <w:t xml:space="preserve">At the time of the final TDRL </w:t>
      </w:r>
      <w:r w:rsidR="007D328D">
        <w:rPr>
          <w:color w:val="000000"/>
        </w:rPr>
        <w:t xml:space="preserve">evaluation, the pulmonologist noted that he had last seen the CI at a TDRL evaluation in April 2005; at which point the asthma was not in satisfactory control and the CI was referred to a civilian pulmonologist.  No civilian records were submitted to the Board.  The final TDRL </w:t>
      </w:r>
      <w:r w:rsidR="00A8053E">
        <w:rPr>
          <w:color w:val="000000"/>
        </w:rPr>
        <w:t xml:space="preserve">evaluation </w:t>
      </w:r>
      <w:r w:rsidR="007D328D">
        <w:rPr>
          <w:color w:val="000000"/>
        </w:rPr>
        <w:t>reference</w:t>
      </w:r>
      <w:r w:rsidR="00A8053E">
        <w:rPr>
          <w:color w:val="000000"/>
        </w:rPr>
        <w:t>d</w:t>
      </w:r>
      <w:r w:rsidR="007D328D">
        <w:rPr>
          <w:color w:val="000000"/>
        </w:rPr>
        <w:t xml:space="preserve"> the </w:t>
      </w:r>
      <w:r w:rsidR="00A8053E">
        <w:rPr>
          <w:color w:val="000000"/>
        </w:rPr>
        <w:t>above course of events</w:t>
      </w:r>
      <w:r w:rsidR="007D328D">
        <w:rPr>
          <w:color w:val="000000"/>
        </w:rPr>
        <w:t xml:space="preserve">, </w:t>
      </w:r>
      <w:r w:rsidR="00A8053E">
        <w:rPr>
          <w:color w:val="000000"/>
        </w:rPr>
        <w:t>and continued with the following excerpt</w:t>
      </w:r>
      <w:r w:rsidR="007D328D">
        <w:rPr>
          <w:color w:val="000000"/>
        </w:rPr>
        <w:t>.</w:t>
      </w:r>
    </w:p>
    <w:p w:rsidR="007D328D" w:rsidRPr="00B11C38" w:rsidRDefault="007D328D" w:rsidP="00B11C38">
      <w:pPr>
        <w:spacing w:after="120" w:line="200" w:lineRule="exact"/>
        <w:ind w:left="720" w:right="720"/>
        <w:jc w:val="both"/>
        <w:rPr>
          <w:color w:val="000000"/>
          <w:sz w:val="20"/>
        </w:rPr>
      </w:pPr>
      <w:r w:rsidRPr="00B11C38">
        <w:rPr>
          <w:color w:val="000000"/>
          <w:sz w:val="20"/>
        </w:rPr>
        <w:t xml:space="preserve">Since that time, </w:t>
      </w:r>
      <w:r w:rsidR="00B11C38">
        <w:rPr>
          <w:color w:val="000000"/>
          <w:sz w:val="20"/>
        </w:rPr>
        <w:t>[CI]</w:t>
      </w:r>
      <w:r w:rsidRPr="00B11C38">
        <w:rPr>
          <w:color w:val="000000"/>
          <w:sz w:val="20"/>
        </w:rPr>
        <w:t xml:space="preserve"> reports no further diagnostic testing, just periodic renewal of medications and pulmonary function testing. </w:t>
      </w:r>
      <w:r w:rsidR="00A8053E">
        <w:rPr>
          <w:color w:val="000000"/>
          <w:sz w:val="20"/>
        </w:rPr>
        <w:t xml:space="preserve"> </w:t>
      </w:r>
      <w:r w:rsidRPr="00B11C38">
        <w:rPr>
          <w:color w:val="000000"/>
          <w:sz w:val="20"/>
        </w:rPr>
        <w:t xml:space="preserve">Subjectively, </w:t>
      </w:r>
      <w:r w:rsidR="00A8053E">
        <w:rPr>
          <w:color w:val="000000"/>
          <w:sz w:val="20"/>
        </w:rPr>
        <w:t xml:space="preserve">[CI] </w:t>
      </w:r>
      <w:r w:rsidRPr="00B11C38">
        <w:rPr>
          <w:color w:val="000000"/>
          <w:sz w:val="20"/>
        </w:rPr>
        <w:t xml:space="preserve">states that his asthma has been approximately the same in terms of the severity of his symptoms. </w:t>
      </w:r>
      <w:r w:rsidR="00A8053E">
        <w:rPr>
          <w:color w:val="000000"/>
          <w:sz w:val="20"/>
        </w:rPr>
        <w:t xml:space="preserve"> </w:t>
      </w:r>
      <w:r w:rsidRPr="00B11C38">
        <w:rPr>
          <w:color w:val="000000"/>
          <w:sz w:val="20"/>
        </w:rPr>
        <w:t>He is unable to exercise at all.</w:t>
      </w:r>
      <w:r w:rsidR="00A8053E">
        <w:rPr>
          <w:color w:val="000000"/>
          <w:sz w:val="20"/>
        </w:rPr>
        <w:t xml:space="preserve"> </w:t>
      </w:r>
      <w:r w:rsidRPr="00B11C38">
        <w:rPr>
          <w:color w:val="000000"/>
          <w:sz w:val="20"/>
        </w:rPr>
        <w:t xml:space="preserve"> He is using the albuterol 2 times per week. </w:t>
      </w:r>
      <w:r w:rsidR="00A8053E">
        <w:rPr>
          <w:color w:val="000000"/>
          <w:sz w:val="20"/>
        </w:rPr>
        <w:t xml:space="preserve"> </w:t>
      </w:r>
      <w:r w:rsidRPr="00B11C38">
        <w:rPr>
          <w:color w:val="000000"/>
          <w:sz w:val="20"/>
        </w:rPr>
        <w:t>He states that he has asthma symptoms about 3 or 4 times per week during the</w:t>
      </w:r>
      <w:r w:rsidR="00B11C38" w:rsidRPr="00B11C38">
        <w:rPr>
          <w:color w:val="000000"/>
          <w:sz w:val="20"/>
        </w:rPr>
        <w:t xml:space="preserve"> </w:t>
      </w:r>
      <w:r w:rsidRPr="00B11C38">
        <w:rPr>
          <w:color w:val="000000"/>
          <w:sz w:val="20"/>
        </w:rPr>
        <w:t>day.</w:t>
      </w:r>
    </w:p>
    <w:p w:rsidR="007D328D" w:rsidRDefault="00B11C38" w:rsidP="00B22D42">
      <w:pPr>
        <w:jc w:val="both"/>
        <w:rPr>
          <w:color w:val="000000"/>
        </w:rPr>
      </w:pPr>
      <w:r>
        <w:rPr>
          <w:color w:val="000000"/>
        </w:rPr>
        <w:lastRenderedPageBreak/>
        <w:t xml:space="preserve">The TDRL examiner listed the same medications and dosing frequency as those noted in the pre-TDRL NARSUM, with the addition of a Spiriva inhaler.  </w:t>
      </w:r>
      <w:r w:rsidR="00FA3328">
        <w:rPr>
          <w:color w:val="000000"/>
        </w:rPr>
        <w:t>Recent PFT results were cited which showed a post-treatment FEV1 of 90% and FEV1/FVC ratio of 71%.  The final PEB made a written request to the MEB, “</w:t>
      </w:r>
      <w:r w:rsidR="00EF0866">
        <w:rPr>
          <w:color w:val="000000"/>
        </w:rPr>
        <w:t>p</w:t>
      </w:r>
      <w:r w:rsidR="00FA3328" w:rsidRPr="00FA3328">
        <w:rPr>
          <w:color w:val="000000"/>
        </w:rPr>
        <w:t>lease ask Soldier to provide medi</w:t>
      </w:r>
      <w:r w:rsidR="0019459C">
        <w:rPr>
          <w:color w:val="000000"/>
        </w:rPr>
        <w:t>c</w:t>
      </w:r>
      <w:r w:rsidR="00FA3328" w:rsidRPr="00FA3328">
        <w:rPr>
          <w:color w:val="000000"/>
        </w:rPr>
        <w:t>ation profile(s) from all sources from which he has</w:t>
      </w:r>
      <w:r w:rsidR="00FA3328">
        <w:rPr>
          <w:color w:val="000000"/>
        </w:rPr>
        <w:t xml:space="preserve"> </w:t>
      </w:r>
      <w:r w:rsidR="00FA3328" w:rsidRPr="00FA3328">
        <w:rPr>
          <w:color w:val="000000"/>
        </w:rPr>
        <w:t>obtained asthma medication during the past year.</w:t>
      </w:r>
      <w:r w:rsidR="00FA3328">
        <w:rPr>
          <w:color w:val="000000"/>
        </w:rPr>
        <w:t xml:space="preserve">”  The </w:t>
      </w:r>
      <w:r w:rsidR="000B6C1C">
        <w:rPr>
          <w:color w:val="000000"/>
        </w:rPr>
        <w:t xml:space="preserve">MEB replied with </w:t>
      </w:r>
      <w:r w:rsidR="00B87211">
        <w:rPr>
          <w:color w:val="000000"/>
        </w:rPr>
        <w:t>d</w:t>
      </w:r>
      <w:r w:rsidR="00EF0866">
        <w:rPr>
          <w:color w:val="000000"/>
        </w:rPr>
        <w:t>ocumentation of VA refills for T</w:t>
      </w:r>
      <w:r w:rsidR="00B87211">
        <w:rPr>
          <w:color w:val="000000"/>
        </w:rPr>
        <w:t xml:space="preserve">heophylline and </w:t>
      </w:r>
      <w:r w:rsidR="00EF0866">
        <w:rPr>
          <w:color w:val="000000"/>
        </w:rPr>
        <w:t>A</w:t>
      </w:r>
      <w:r w:rsidR="00B87211">
        <w:rPr>
          <w:color w:val="000000"/>
        </w:rPr>
        <w:t xml:space="preserve">lbuterol </w:t>
      </w:r>
      <w:r w:rsidR="0021657A">
        <w:rPr>
          <w:color w:val="000000"/>
        </w:rPr>
        <w:t>dated</w:t>
      </w:r>
      <w:r w:rsidR="00B87211">
        <w:rPr>
          <w:color w:val="000000"/>
        </w:rPr>
        <w:t xml:space="preserve"> </w:t>
      </w:r>
      <w:r w:rsidR="00EF0866">
        <w:rPr>
          <w:color w:val="000000"/>
        </w:rPr>
        <w:t xml:space="preserve">1 September </w:t>
      </w:r>
      <w:r w:rsidR="00B87211">
        <w:rPr>
          <w:color w:val="000000"/>
        </w:rPr>
        <w:t>2005</w:t>
      </w:r>
      <w:r w:rsidR="00EF0866">
        <w:rPr>
          <w:color w:val="000000"/>
        </w:rPr>
        <w:t>,</w:t>
      </w:r>
      <w:r w:rsidR="00A8053E">
        <w:rPr>
          <w:color w:val="000000"/>
        </w:rPr>
        <w:t xml:space="preserve"> 12 months pr</w:t>
      </w:r>
      <w:r w:rsidR="00EF0866">
        <w:rPr>
          <w:color w:val="000000"/>
        </w:rPr>
        <w:t>ior to separation</w:t>
      </w:r>
      <w:r w:rsidR="00B87211">
        <w:rPr>
          <w:color w:val="000000"/>
        </w:rPr>
        <w:t xml:space="preserve">; and, </w:t>
      </w:r>
      <w:r w:rsidR="000B6C1C">
        <w:rPr>
          <w:color w:val="000000"/>
        </w:rPr>
        <w:t xml:space="preserve">a written </w:t>
      </w:r>
      <w:r w:rsidR="00FA3328">
        <w:rPr>
          <w:color w:val="000000"/>
        </w:rPr>
        <w:t>response from the CI</w:t>
      </w:r>
      <w:r w:rsidR="000B6C1C">
        <w:rPr>
          <w:color w:val="000000"/>
        </w:rPr>
        <w:t>, “</w:t>
      </w:r>
      <w:r w:rsidR="000B6C1C" w:rsidRPr="00FA3328">
        <w:rPr>
          <w:color w:val="000000"/>
          <w:szCs w:val="24"/>
        </w:rPr>
        <w:t xml:space="preserve">This statement is to inform you that I received extra medications for from </w:t>
      </w:r>
      <w:r w:rsidR="000B6C1C">
        <w:rPr>
          <w:color w:val="000000"/>
          <w:szCs w:val="24"/>
        </w:rPr>
        <w:t>[</w:t>
      </w:r>
      <w:r w:rsidR="000B6C1C" w:rsidRPr="000B6C1C">
        <w:rPr>
          <w:i/>
          <w:color w:val="000000"/>
          <w:szCs w:val="24"/>
        </w:rPr>
        <w:t>sic</w:t>
      </w:r>
      <w:r w:rsidR="000B6C1C">
        <w:rPr>
          <w:color w:val="000000"/>
          <w:szCs w:val="24"/>
        </w:rPr>
        <w:t xml:space="preserve">] </w:t>
      </w:r>
      <w:r w:rsidR="000B6C1C" w:rsidRPr="00FA3328">
        <w:rPr>
          <w:color w:val="000000"/>
          <w:szCs w:val="24"/>
        </w:rPr>
        <w:t>my doctor's</w:t>
      </w:r>
      <w:r w:rsidR="000B6C1C">
        <w:rPr>
          <w:color w:val="000000"/>
          <w:szCs w:val="24"/>
        </w:rPr>
        <w:t xml:space="preserve"> </w:t>
      </w:r>
      <w:r w:rsidR="000B6C1C" w:rsidRPr="00FA3328">
        <w:rPr>
          <w:color w:val="000000"/>
          <w:szCs w:val="24"/>
        </w:rPr>
        <w:t>office and had extra from when I was put on TDRL.</w:t>
      </w:r>
      <w:r w:rsidR="000B6C1C">
        <w:rPr>
          <w:color w:val="000000"/>
        </w:rPr>
        <w:t>”</w:t>
      </w:r>
      <w:r w:rsidR="00B87211">
        <w:rPr>
          <w:color w:val="000000"/>
        </w:rPr>
        <w:t xml:space="preserve">  </w:t>
      </w:r>
    </w:p>
    <w:p w:rsidR="00B87211" w:rsidRDefault="00B87211" w:rsidP="00B22D42">
      <w:pPr>
        <w:jc w:val="both"/>
        <w:rPr>
          <w:color w:val="000000"/>
        </w:rPr>
      </w:pPr>
    </w:p>
    <w:p w:rsidR="0020507E" w:rsidRPr="00241B01" w:rsidRDefault="000B6C1C" w:rsidP="0020507E">
      <w:pPr>
        <w:jc w:val="both"/>
        <w:rPr>
          <w:rFonts w:eastAsia="Calibri" w:cs="Times New Roman"/>
          <w:color w:val="auto"/>
          <w:szCs w:val="24"/>
        </w:rPr>
      </w:pPr>
      <w:r w:rsidRPr="009A7578">
        <w:rPr>
          <w:rFonts w:cs="Times New Roman"/>
          <w:color w:val="auto"/>
        </w:rPr>
        <w:t>The Board directs attenti</w:t>
      </w:r>
      <w:r>
        <w:rPr>
          <w:rFonts w:cs="Times New Roman"/>
          <w:color w:val="auto"/>
        </w:rPr>
        <w:t>on to its rating recommendations</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823BA3">
        <w:rPr>
          <w:rFonts w:cs="Times New Roman"/>
          <w:color w:val="auto"/>
        </w:rPr>
        <w:t>The TDRL rating was compliant with the VASRD §4.100 30% c</w:t>
      </w:r>
      <w:r w:rsidR="0020507E">
        <w:rPr>
          <w:rFonts w:cs="Times New Roman"/>
          <w:color w:val="auto"/>
        </w:rPr>
        <w:t>riteria</w:t>
      </w:r>
      <w:r w:rsidR="00823BA3">
        <w:rPr>
          <w:rFonts w:cs="Times New Roman"/>
          <w:color w:val="auto"/>
        </w:rPr>
        <w:t xml:space="preserve"> under 6602 (bronchial asthma) of “</w:t>
      </w:r>
      <w:r w:rsidR="00823BA3" w:rsidRPr="00823BA3">
        <w:rPr>
          <w:rFonts w:cs="Times New Roman"/>
          <w:color w:val="auto"/>
        </w:rPr>
        <w:t>daily inhalational or oral bronchodilator therapy, or; inhalational anti-inflammatory medication</w:t>
      </w:r>
      <w:r w:rsidR="00EF0866">
        <w:rPr>
          <w:rFonts w:cs="Times New Roman"/>
          <w:color w:val="auto"/>
        </w:rPr>
        <w:t>.</w:t>
      </w:r>
      <w:r w:rsidR="00823BA3">
        <w:rPr>
          <w:rFonts w:cs="Times New Roman"/>
          <w:color w:val="auto"/>
        </w:rPr>
        <w:t>”</w:t>
      </w:r>
      <w:r w:rsidR="0020507E">
        <w:rPr>
          <w:rFonts w:cs="Times New Roman"/>
          <w:color w:val="auto"/>
        </w:rPr>
        <w:t xml:space="preserve">  The PFT results, both at TDRL entry and at permanent separation, met only 10% criteria.  Members deliberated whether to concede the daily medication criteria at separation, based on the CI’s statement, in support of a permanent 30% rating recommendation.  It was </w:t>
      </w:r>
      <w:r w:rsidR="00674658">
        <w:rPr>
          <w:rFonts w:cs="Times New Roman"/>
          <w:color w:val="auto"/>
        </w:rPr>
        <w:t>judged</w:t>
      </w:r>
      <w:r w:rsidR="0020507E">
        <w:rPr>
          <w:rFonts w:cs="Times New Roman"/>
          <w:color w:val="auto"/>
        </w:rPr>
        <w:t xml:space="preserve">, however, that </w:t>
      </w:r>
      <w:r w:rsidR="00674658">
        <w:rPr>
          <w:rFonts w:cs="Times New Roman"/>
          <w:color w:val="auto"/>
        </w:rPr>
        <w:t>an</w:t>
      </w:r>
      <w:r w:rsidR="0020507E">
        <w:rPr>
          <w:rFonts w:cs="Times New Roman"/>
          <w:color w:val="auto"/>
        </w:rPr>
        <w:t xml:space="preserve"> assumption that the CI </w:t>
      </w:r>
      <w:r w:rsidR="00674658">
        <w:rPr>
          <w:rFonts w:cs="Times New Roman"/>
          <w:color w:val="auto"/>
        </w:rPr>
        <w:t>sustained daily treatment of</w:t>
      </w:r>
      <w:r w:rsidR="00446C18">
        <w:rPr>
          <w:rFonts w:cs="Times New Roman"/>
          <w:color w:val="auto"/>
        </w:rPr>
        <w:t xml:space="preserve"> his asthma over a 17-</w:t>
      </w:r>
      <w:r w:rsidR="0020507E">
        <w:rPr>
          <w:rFonts w:cs="Times New Roman"/>
          <w:color w:val="auto"/>
        </w:rPr>
        <w:t xml:space="preserve">month period with leftover medications and physician office samples was not sufficiently tenable.  </w:t>
      </w:r>
      <w:r w:rsidR="0020507E"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w:t>
      </w:r>
      <w:r w:rsidR="0020507E" w:rsidRPr="00674658">
        <w:rPr>
          <w:rFonts w:eastAsia="Calibri" w:cs="Times New Roman"/>
          <w:color w:val="auto"/>
          <w:szCs w:val="24"/>
        </w:rPr>
        <w:t xml:space="preserve">change in the PEB’s TDRL or permanent adjudications of the </w:t>
      </w:r>
      <w:r w:rsidR="00674658" w:rsidRPr="00674658">
        <w:rPr>
          <w:rFonts w:eastAsia="Calibri" w:cs="Times New Roman"/>
          <w:color w:val="auto"/>
          <w:szCs w:val="24"/>
        </w:rPr>
        <w:t>asthma</w:t>
      </w:r>
      <w:r w:rsidR="0020507E" w:rsidRPr="00674658">
        <w:rPr>
          <w:rFonts w:eastAsia="Calibri" w:cs="Times New Roman"/>
          <w:color w:val="auto"/>
          <w:szCs w:val="24"/>
        </w:rPr>
        <w:t xml:space="preserve"> condition.</w:t>
      </w:r>
    </w:p>
    <w:p w:rsidR="000B6C1C" w:rsidRDefault="000B6C1C" w:rsidP="000B6C1C">
      <w:pPr>
        <w:tabs>
          <w:tab w:val="left" w:pos="288"/>
          <w:tab w:val="left" w:pos="4752"/>
        </w:tabs>
        <w:jc w:val="both"/>
        <w:rPr>
          <w:rFonts w:cs="Times New Roman"/>
          <w:color w:val="auto"/>
        </w:rPr>
      </w:pPr>
    </w:p>
    <w:p w:rsidR="00BD54FC" w:rsidRDefault="00BD54FC" w:rsidP="00B22D42">
      <w:pPr>
        <w:jc w:val="both"/>
        <w:rPr>
          <w:color w:val="000000"/>
        </w:rPr>
      </w:pPr>
      <w:r w:rsidRPr="00BD54FC">
        <w:rPr>
          <w:color w:val="000000"/>
          <w:u w:val="single"/>
        </w:rPr>
        <w:t>Lumbar Spine Condition</w:t>
      </w:r>
      <w:r>
        <w:rPr>
          <w:color w:val="000000"/>
        </w:rPr>
        <w:t xml:space="preserve">.  </w:t>
      </w:r>
      <w:r w:rsidR="00FD3164">
        <w:rPr>
          <w:color w:val="000000"/>
        </w:rPr>
        <w:t>The CI’s back condition progress</w:t>
      </w:r>
      <w:r w:rsidR="00446C18">
        <w:rPr>
          <w:color w:val="000000"/>
        </w:rPr>
        <w:t>ed over a 10-</w:t>
      </w:r>
      <w:r w:rsidR="00FD3164">
        <w:rPr>
          <w:color w:val="000000"/>
        </w:rPr>
        <w:t xml:space="preserve">year period preceding the initial MEB, and in 2001 he was diagnosed with bi-level disc disease </w:t>
      </w:r>
      <w:r w:rsidR="00A8053E">
        <w:rPr>
          <w:color w:val="000000"/>
        </w:rPr>
        <w:t>(</w:t>
      </w:r>
      <w:r w:rsidR="00FD3164">
        <w:rPr>
          <w:color w:val="000000"/>
        </w:rPr>
        <w:t>L4-S1</w:t>
      </w:r>
      <w:r w:rsidR="00A8053E">
        <w:rPr>
          <w:color w:val="000000"/>
        </w:rPr>
        <w:t>)</w:t>
      </w:r>
      <w:r w:rsidR="00FD3164">
        <w:rPr>
          <w:color w:val="000000"/>
        </w:rPr>
        <w:t xml:space="preserve">.  There was </w:t>
      </w:r>
      <w:r w:rsidR="00A8053E">
        <w:rPr>
          <w:color w:val="000000"/>
        </w:rPr>
        <w:t xml:space="preserve">mild </w:t>
      </w:r>
      <w:r w:rsidR="002C377D">
        <w:rPr>
          <w:color w:val="000000"/>
        </w:rPr>
        <w:t xml:space="preserve">right L5/S1 </w:t>
      </w:r>
      <w:r w:rsidR="00FD3164">
        <w:rPr>
          <w:color w:val="000000"/>
        </w:rPr>
        <w:t xml:space="preserve">nerve encroachment linked to </w:t>
      </w:r>
      <w:r w:rsidR="002C377D">
        <w:rPr>
          <w:color w:val="000000"/>
        </w:rPr>
        <w:t xml:space="preserve">right sciatic </w:t>
      </w:r>
      <w:r w:rsidR="00FD3164">
        <w:rPr>
          <w:color w:val="000000"/>
        </w:rPr>
        <w:t>radicular pain.  There wer</w:t>
      </w:r>
      <w:r w:rsidR="00EB0AE5">
        <w:rPr>
          <w:color w:val="000000"/>
        </w:rPr>
        <w:t>e no motor symptoms or findings, and</w:t>
      </w:r>
      <w:r w:rsidR="00FD3164">
        <w:rPr>
          <w:color w:val="000000"/>
        </w:rPr>
        <w:t xml:space="preserve"> surgical intervention was not required.  </w:t>
      </w:r>
      <w:r w:rsidR="005D7C17">
        <w:rPr>
          <w:color w:val="000000"/>
        </w:rPr>
        <w:t xml:space="preserve">The initial MEB and preceding </w:t>
      </w:r>
      <w:r w:rsidR="005D7C17">
        <w:rPr>
          <w:color w:val="000000"/>
          <w:szCs w:val="24"/>
        </w:rPr>
        <w:t xml:space="preserve">VA </w:t>
      </w:r>
      <w:r w:rsidR="005D7C17" w:rsidRPr="00CF0280">
        <w:rPr>
          <w:color w:val="000000"/>
          <w:szCs w:val="24"/>
        </w:rPr>
        <w:t>Compensation and Pension (C&amp;P)</w:t>
      </w:r>
      <w:r w:rsidR="005D7C17">
        <w:rPr>
          <w:color w:val="000000"/>
          <w:szCs w:val="24"/>
        </w:rPr>
        <w:t xml:space="preserve"> </w:t>
      </w:r>
      <w:r w:rsidR="00FF7996">
        <w:rPr>
          <w:color w:val="000000"/>
          <w:szCs w:val="24"/>
        </w:rPr>
        <w:t>examinations documented normal neurological findings and no antalgic gait or spinal contour abnormalities.  The final TDRL examiner noted that the CI “report</w:t>
      </w:r>
      <w:r w:rsidR="0036338C">
        <w:rPr>
          <w:color w:val="000000"/>
          <w:szCs w:val="24"/>
        </w:rPr>
        <w:t>s</w:t>
      </w:r>
      <w:r w:rsidR="00FF7996">
        <w:rPr>
          <w:color w:val="000000"/>
          <w:szCs w:val="24"/>
        </w:rPr>
        <w:t xml:space="preserve"> that his symptoms are essentially unchanged</w:t>
      </w:r>
      <w:r w:rsidR="0036338C">
        <w:rPr>
          <w:color w:val="000000"/>
          <w:szCs w:val="24"/>
        </w:rPr>
        <w:t xml:space="preserve"> from previous”; and, stated that “</w:t>
      </w:r>
      <w:r w:rsidR="00386484">
        <w:rPr>
          <w:color w:val="000000"/>
          <w:szCs w:val="24"/>
        </w:rPr>
        <w:t>h</w:t>
      </w:r>
      <w:r w:rsidR="00756F39">
        <w:rPr>
          <w:color w:val="000000"/>
          <w:szCs w:val="24"/>
        </w:rPr>
        <w:t xml:space="preserve">is </w:t>
      </w:r>
      <w:r w:rsidR="0036338C">
        <w:rPr>
          <w:color w:val="000000"/>
          <w:szCs w:val="24"/>
        </w:rPr>
        <w:t>examination is unchanged</w:t>
      </w:r>
      <w:r w:rsidR="00756F39">
        <w:rPr>
          <w:color w:val="000000"/>
          <w:szCs w:val="24"/>
        </w:rPr>
        <w:t xml:space="preserve"> from the previous examination dated 21 Jan</w:t>
      </w:r>
      <w:r w:rsidR="00386484">
        <w:rPr>
          <w:color w:val="000000"/>
          <w:szCs w:val="24"/>
        </w:rPr>
        <w:t>uary 20</w:t>
      </w:r>
      <w:r w:rsidR="00756F39">
        <w:rPr>
          <w:color w:val="000000"/>
          <w:szCs w:val="24"/>
        </w:rPr>
        <w:t>05.</w:t>
      </w:r>
      <w:r w:rsidR="0036338C">
        <w:rPr>
          <w:color w:val="000000"/>
          <w:szCs w:val="24"/>
        </w:rPr>
        <w:t xml:space="preserve">”  </w:t>
      </w:r>
      <w:r w:rsidR="00756F39">
        <w:rPr>
          <w:color w:val="000000"/>
          <w:szCs w:val="24"/>
        </w:rPr>
        <w:t xml:space="preserve">That examination documented spasm, tenderness, and normal neurologic testing.  </w:t>
      </w:r>
      <w:r w:rsidR="0036338C">
        <w:rPr>
          <w:color w:val="000000"/>
          <w:szCs w:val="24"/>
        </w:rPr>
        <w:t xml:space="preserve">The </w:t>
      </w:r>
      <w:r w:rsidR="00386484">
        <w:rPr>
          <w:color w:val="000000"/>
          <w:szCs w:val="24"/>
        </w:rPr>
        <w:t>range-of-</w:t>
      </w:r>
      <w:r w:rsidR="0036338C" w:rsidRPr="00B652C3">
        <w:rPr>
          <w:color w:val="000000"/>
          <w:szCs w:val="24"/>
        </w:rPr>
        <w:t>motion (ROM) evidence</w:t>
      </w:r>
      <w:r w:rsidR="0036338C">
        <w:rPr>
          <w:color w:val="000000"/>
          <w:szCs w:val="24"/>
        </w:rPr>
        <w:t xml:space="preserve"> before the Board is summarized in the chart below.</w:t>
      </w:r>
    </w:p>
    <w:p w:rsidR="00674658" w:rsidRDefault="00674658" w:rsidP="00B22D42">
      <w:pPr>
        <w:jc w:val="both"/>
        <w:rPr>
          <w:color w:val="000000"/>
        </w:rPr>
      </w:pPr>
    </w:p>
    <w:tbl>
      <w:tblPr>
        <w:tblW w:w="9369" w:type="dxa"/>
        <w:jc w:val="center"/>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3"/>
        <w:gridCol w:w="1260"/>
        <w:gridCol w:w="675"/>
        <w:gridCol w:w="947"/>
        <w:gridCol w:w="1258"/>
        <w:gridCol w:w="1562"/>
        <w:gridCol w:w="1594"/>
      </w:tblGrid>
      <w:tr w:rsidR="006B18A2" w:rsidRPr="00A92E48" w:rsidTr="00756F39">
        <w:trPr>
          <w:trHeight w:val="224"/>
          <w:jc w:val="center"/>
        </w:trPr>
        <w:tc>
          <w:tcPr>
            <w:tcW w:w="2073" w:type="dxa"/>
            <w:vMerge w:val="restart"/>
            <w:shd w:val="clear" w:color="auto" w:fill="D9D9D9"/>
            <w:vAlign w:val="center"/>
          </w:tcPr>
          <w:p w:rsidR="006B18A2" w:rsidRPr="00A92E48" w:rsidRDefault="006B18A2" w:rsidP="006010AB">
            <w:pPr>
              <w:contextualSpacing/>
              <w:rPr>
                <w:rFonts w:eastAsia="Calibri"/>
                <w:b/>
                <w:color w:val="auto"/>
                <w:sz w:val="22"/>
                <w:szCs w:val="22"/>
              </w:rPr>
            </w:pPr>
            <w:r w:rsidRPr="006010AB">
              <w:rPr>
                <w:rFonts w:eastAsia="Calibri"/>
                <w:b/>
                <w:color w:val="auto"/>
                <w:sz w:val="22"/>
                <w:szCs w:val="22"/>
              </w:rPr>
              <w:t>Thoracolumbar ROM</w:t>
            </w:r>
          </w:p>
        </w:tc>
        <w:tc>
          <w:tcPr>
            <w:tcW w:w="2882" w:type="dxa"/>
            <w:gridSpan w:val="3"/>
            <w:tcBorders>
              <w:right w:val="thinThickSmallGap" w:sz="12" w:space="0" w:color="auto"/>
            </w:tcBorders>
            <w:shd w:val="clear" w:color="auto" w:fill="D9D9D9"/>
          </w:tcPr>
          <w:p w:rsidR="006B18A2" w:rsidRPr="00A92E48" w:rsidRDefault="006B18A2" w:rsidP="006010AB">
            <w:pPr>
              <w:contextualSpacing/>
              <w:rPr>
                <w:b/>
                <w:color w:val="auto"/>
                <w:sz w:val="22"/>
                <w:szCs w:val="22"/>
              </w:rPr>
            </w:pPr>
            <w:r w:rsidRPr="006010AB">
              <w:rPr>
                <w:b/>
                <w:color w:val="auto"/>
                <w:sz w:val="22"/>
                <w:szCs w:val="22"/>
              </w:rPr>
              <w:t>TDRL Placement</w:t>
            </w:r>
          </w:p>
        </w:tc>
        <w:tc>
          <w:tcPr>
            <w:tcW w:w="1258" w:type="dxa"/>
            <w:tcBorders>
              <w:bottom w:val="single" w:sz="4" w:space="0" w:color="auto"/>
              <w:right w:val="thinThickSmallGap" w:sz="12" w:space="0" w:color="auto"/>
            </w:tcBorders>
            <w:shd w:val="clear" w:color="auto" w:fill="D9D9D9"/>
          </w:tcPr>
          <w:p w:rsidR="006B18A2" w:rsidRPr="006010AB" w:rsidRDefault="006B18A2" w:rsidP="006B18A2">
            <w:pPr>
              <w:contextualSpacing/>
              <w:rPr>
                <w:b/>
                <w:color w:val="auto"/>
                <w:sz w:val="22"/>
                <w:szCs w:val="22"/>
              </w:rPr>
            </w:pPr>
            <w:r>
              <w:rPr>
                <w:b/>
                <w:color w:val="auto"/>
                <w:sz w:val="22"/>
                <w:szCs w:val="22"/>
              </w:rPr>
              <w:t xml:space="preserve">TDRL </w:t>
            </w:r>
          </w:p>
        </w:tc>
        <w:tc>
          <w:tcPr>
            <w:tcW w:w="3156" w:type="dxa"/>
            <w:gridSpan w:val="2"/>
            <w:tcBorders>
              <w:left w:val="thinThickSmallGap" w:sz="12" w:space="0" w:color="auto"/>
              <w:bottom w:val="single" w:sz="4" w:space="0" w:color="auto"/>
            </w:tcBorders>
            <w:shd w:val="clear" w:color="auto" w:fill="D9D9D9"/>
            <w:vAlign w:val="center"/>
          </w:tcPr>
          <w:p w:rsidR="006B18A2" w:rsidRPr="00A92E48" w:rsidRDefault="006B18A2" w:rsidP="006010AB">
            <w:pPr>
              <w:contextualSpacing/>
              <w:rPr>
                <w:b/>
                <w:color w:val="auto"/>
                <w:sz w:val="22"/>
                <w:szCs w:val="22"/>
              </w:rPr>
            </w:pPr>
            <w:r w:rsidRPr="006010AB">
              <w:rPr>
                <w:b/>
                <w:color w:val="auto"/>
                <w:sz w:val="22"/>
                <w:szCs w:val="22"/>
              </w:rPr>
              <w:t>Permanent Separation</w:t>
            </w:r>
          </w:p>
        </w:tc>
      </w:tr>
      <w:tr w:rsidR="006B18A2" w:rsidRPr="00A92E48" w:rsidTr="00756F39">
        <w:trPr>
          <w:trHeight w:val="168"/>
          <w:jc w:val="center"/>
        </w:trPr>
        <w:tc>
          <w:tcPr>
            <w:tcW w:w="2073" w:type="dxa"/>
            <w:vMerge/>
            <w:shd w:val="clear" w:color="auto" w:fill="D9D9D9"/>
            <w:vAlign w:val="center"/>
          </w:tcPr>
          <w:p w:rsidR="006B18A2" w:rsidRPr="00A92E48" w:rsidRDefault="006B18A2" w:rsidP="006010AB">
            <w:pPr>
              <w:contextualSpacing/>
              <w:rPr>
                <w:rFonts w:eastAsia="Calibri"/>
                <w:color w:val="auto"/>
                <w:sz w:val="22"/>
                <w:szCs w:val="22"/>
              </w:rPr>
            </w:pPr>
          </w:p>
        </w:tc>
        <w:tc>
          <w:tcPr>
            <w:tcW w:w="1260" w:type="dxa"/>
            <w:tcBorders>
              <w:top w:val="single" w:sz="4" w:space="0" w:color="auto"/>
            </w:tcBorders>
            <w:shd w:val="clear" w:color="auto" w:fill="D9D9D9"/>
            <w:vAlign w:val="center"/>
          </w:tcPr>
          <w:p w:rsidR="006B18A2" w:rsidRDefault="006B18A2" w:rsidP="00AA3CB7">
            <w:pPr>
              <w:contextualSpacing/>
              <w:rPr>
                <w:color w:val="auto"/>
                <w:sz w:val="22"/>
                <w:szCs w:val="22"/>
              </w:rPr>
            </w:pPr>
            <w:r>
              <w:rPr>
                <w:color w:val="auto"/>
                <w:sz w:val="22"/>
                <w:szCs w:val="22"/>
              </w:rPr>
              <w:t>NARSUM</w:t>
            </w:r>
          </w:p>
        </w:tc>
        <w:tc>
          <w:tcPr>
            <w:tcW w:w="675" w:type="dxa"/>
            <w:tcBorders>
              <w:top w:val="single" w:sz="4" w:space="0" w:color="auto"/>
            </w:tcBorders>
            <w:shd w:val="clear" w:color="auto" w:fill="D9D9D9"/>
          </w:tcPr>
          <w:p w:rsidR="006B18A2" w:rsidRDefault="006B18A2" w:rsidP="006010AB">
            <w:pPr>
              <w:contextualSpacing/>
              <w:rPr>
                <w:color w:val="auto"/>
                <w:sz w:val="22"/>
                <w:szCs w:val="22"/>
              </w:rPr>
            </w:pPr>
            <w:r>
              <w:rPr>
                <w:color w:val="auto"/>
                <w:sz w:val="22"/>
                <w:szCs w:val="22"/>
              </w:rPr>
              <w:t>PT</w:t>
            </w:r>
          </w:p>
        </w:tc>
        <w:tc>
          <w:tcPr>
            <w:tcW w:w="947" w:type="dxa"/>
            <w:tcBorders>
              <w:top w:val="single" w:sz="4" w:space="0" w:color="auto"/>
              <w:right w:val="thinThickSmallGap" w:sz="12" w:space="0" w:color="auto"/>
            </w:tcBorders>
            <w:shd w:val="clear" w:color="auto" w:fill="D9D9D9"/>
            <w:vAlign w:val="center"/>
          </w:tcPr>
          <w:p w:rsidR="006B18A2" w:rsidRPr="00A92E48" w:rsidRDefault="006B18A2" w:rsidP="006010AB">
            <w:pPr>
              <w:contextualSpacing/>
              <w:rPr>
                <w:color w:val="auto"/>
                <w:sz w:val="22"/>
                <w:szCs w:val="22"/>
              </w:rPr>
            </w:pPr>
            <w:r>
              <w:rPr>
                <w:color w:val="auto"/>
                <w:sz w:val="22"/>
                <w:szCs w:val="22"/>
              </w:rPr>
              <w:t>VA C&amp;P</w:t>
            </w:r>
          </w:p>
        </w:tc>
        <w:tc>
          <w:tcPr>
            <w:tcW w:w="1258" w:type="dxa"/>
            <w:tcBorders>
              <w:top w:val="single" w:sz="4" w:space="0" w:color="auto"/>
              <w:right w:val="thinThickSmallGap" w:sz="12" w:space="0" w:color="auto"/>
            </w:tcBorders>
            <w:shd w:val="clear" w:color="auto" w:fill="D9D9D9"/>
          </w:tcPr>
          <w:p w:rsidR="006B18A2" w:rsidRDefault="006B18A2" w:rsidP="006B18A2">
            <w:pPr>
              <w:contextualSpacing/>
              <w:rPr>
                <w:color w:val="auto"/>
                <w:sz w:val="22"/>
                <w:szCs w:val="22"/>
              </w:rPr>
            </w:pPr>
            <w:r>
              <w:rPr>
                <w:color w:val="auto"/>
                <w:sz w:val="22"/>
                <w:szCs w:val="22"/>
              </w:rPr>
              <w:t>Jan. 2005</w:t>
            </w:r>
          </w:p>
        </w:tc>
        <w:tc>
          <w:tcPr>
            <w:tcW w:w="1562" w:type="dxa"/>
            <w:tcBorders>
              <w:top w:val="single" w:sz="4" w:space="0" w:color="auto"/>
              <w:left w:val="thinThickSmallGap" w:sz="12" w:space="0" w:color="auto"/>
            </w:tcBorders>
            <w:shd w:val="clear" w:color="auto" w:fill="D9D9D9"/>
            <w:vAlign w:val="center"/>
          </w:tcPr>
          <w:p w:rsidR="006B18A2" w:rsidRPr="00A92E48" w:rsidRDefault="00756F39" w:rsidP="006B18A2">
            <w:pPr>
              <w:contextualSpacing/>
              <w:rPr>
                <w:color w:val="auto"/>
                <w:sz w:val="22"/>
                <w:szCs w:val="22"/>
              </w:rPr>
            </w:pPr>
            <w:r>
              <w:rPr>
                <w:color w:val="auto"/>
                <w:sz w:val="22"/>
                <w:szCs w:val="22"/>
              </w:rPr>
              <w:t>PT-</w:t>
            </w:r>
            <w:r w:rsidR="006B18A2">
              <w:rPr>
                <w:color w:val="auto"/>
                <w:sz w:val="22"/>
                <w:szCs w:val="22"/>
              </w:rPr>
              <w:t>2 Mo. Prior</w:t>
            </w:r>
          </w:p>
        </w:tc>
        <w:tc>
          <w:tcPr>
            <w:tcW w:w="1594" w:type="dxa"/>
            <w:tcBorders>
              <w:top w:val="single" w:sz="4" w:space="0" w:color="auto"/>
            </w:tcBorders>
            <w:shd w:val="clear" w:color="auto" w:fill="D9D9D9"/>
            <w:vAlign w:val="center"/>
          </w:tcPr>
          <w:p w:rsidR="006B18A2" w:rsidRPr="00A92E48" w:rsidRDefault="00756F39" w:rsidP="006B18A2">
            <w:pPr>
              <w:contextualSpacing/>
              <w:rPr>
                <w:color w:val="auto"/>
                <w:sz w:val="22"/>
                <w:szCs w:val="22"/>
              </w:rPr>
            </w:pPr>
            <w:r>
              <w:rPr>
                <w:color w:val="auto"/>
                <w:sz w:val="22"/>
                <w:szCs w:val="22"/>
              </w:rPr>
              <w:t>PT-1 Mo. Prior</w:t>
            </w:r>
          </w:p>
        </w:tc>
      </w:tr>
      <w:tr w:rsidR="006B18A2" w:rsidRPr="00A92E48" w:rsidTr="00756F39">
        <w:trPr>
          <w:jc w:val="center"/>
        </w:trPr>
        <w:tc>
          <w:tcPr>
            <w:tcW w:w="2073" w:type="dxa"/>
            <w:vAlign w:val="center"/>
          </w:tcPr>
          <w:p w:rsidR="006B18A2" w:rsidRPr="00A92E48" w:rsidRDefault="006B18A2" w:rsidP="006010AB">
            <w:pPr>
              <w:contextualSpacing/>
              <w:rPr>
                <w:rFonts w:eastAsia="Calibri"/>
                <w:color w:val="auto"/>
                <w:sz w:val="22"/>
                <w:szCs w:val="22"/>
              </w:rPr>
            </w:pPr>
            <w:r w:rsidRPr="00A92E48">
              <w:rPr>
                <w:rFonts w:eastAsia="Calibri"/>
                <w:color w:val="auto"/>
                <w:sz w:val="22"/>
                <w:szCs w:val="22"/>
              </w:rPr>
              <w:t>Flexion (90⁰ Normal)</w:t>
            </w:r>
          </w:p>
        </w:tc>
        <w:tc>
          <w:tcPr>
            <w:tcW w:w="1260" w:type="dxa"/>
            <w:vAlign w:val="center"/>
          </w:tcPr>
          <w:p w:rsidR="006B18A2" w:rsidRPr="00A92E48" w:rsidRDefault="006B18A2" w:rsidP="00AA3CB7">
            <w:pPr>
              <w:contextualSpacing/>
              <w:rPr>
                <w:rFonts w:eastAsia="Calibri"/>
                <w:color w:val="auto"/>
                <w:sz w:val="22"/>
                <w:szCs w:val="22"/>
              </w:rPr>
            </w:pPr>
            <w:r>
              <w:rPr>
                <w:rFonts w:eastAsia="Calibri"/>
                <w:color w:val="auto"/>
                <w:sz w:val="22"/>
                <w:szCs w:val="22"/>
              </w:rPr>
              <w:t>60⁰</w:t>
            </w:r>
          </w:p>
        </w:tc>
        <w:tc>
          <w:tcPr>
            <w:tcW w:w="675" w:type="dxa"/>
          </w:tcPr>
          <w:p w:rsidR="006B18A2" w:rsidRDefault="006B18A2" w:rsidP="006010AB">
            <w:pPr>
              <w:contextualSpacing/>
              <w:rPr>
                <w:rFonts w:eastAsia="Calibri"/>
                <w:color w:val="auto"/>
                <w:sz w:val="22"/>
                <w:szCs w:val="22"/>
              </w:rPr>
            </w:pPr>
            <w:r>
              <w:rPr>
                <w:rFonts w:eastAsia="Calibri"/>
                <w:color w:val="auto"/>
                <w:sz w:val="22"/>
                <w:szCs w:val="22"/>
              </w:rPr>
              <w:t>3</w:t>
            </w:r>
            <w:r w:rsidRPr="00A92E48">
              <w:rPr>
                <w:rFonts w:eastAsia="Calibri"/>
                <w:color w:val="auto"/>
                <w:sz w:val="22"/>
                <w:szCs w:val="22"/>
              </w:rPr>
              <w:t>0⁰</w:t>
            </w:r>
          </w:p>
        </w:tc>
        <w:tc>
          <w:tcPr>
            <w:tcW w:w="947" w:type="dxa"/>
            <w:tcBorders>
              <w:right w:val="thinThickSmallGap" w:sz="12" w:space="0" w:color="auto"/>
            </w:tcBorders>
            <w:vAlign w:val="center"/>
          </w:tcPr>
          <w:p w:rsidR="006B18A2" w:rsidRPr="00A92E48" w:rsidRDefault="006B18A2" w:rsidP="006010AB">
            <w:pPr>
              <w:contextualSpacing/>
              <w:rPr>
                <w:rFonts w:eastAsia="Calibri"/>
                <w:color w:val="auto"/>
                <w:sz w:val="22"/>
                <w:szCs w:val="22"/>
              </w:rPr>
            </w:pPr>
            <w:r>
              <w:rPr>
                <w:rFonts w:eastAsia="Calibri"/>
                <w:color w:val="auto"/>
                <w:sz w:val="22"/>
                <w:szCs w:val="22"/>
              </w:rPr>
              <w:t>2</w:t>
            </w:r>
            <w:r w:rsidRPr="00A92E48">
              <w:rPr>
                <w:rFonts w:eastAsia="Calibri"/>
                <w:color w:val="auto"/>
                <w:sz w:val="22"/>
                <w:szCs w:val="22"/>
              </w:rPr>
              <w:t xml:space="preserve">0⁰ </w:t>
            </w:r>
          </w:p>
        </w:tc>
        <w:tc>
          <w:tcPr>
            <w:tcW w:w="1258" w:type="dxa"/>
            <w:tcBorders>
              <w:right w:val="thinThickSmallGap" w:sz="12" w:space="0" w:color="auto"/>
            </w:tcBorders>
          </w:tcPr>
          <w:p w:rsidR="006B18A2" w:rsidRDefault="00756F39" w:rsidP="006010AB">
            <w:pPr>
              <w:contextualSpacing/>
              <w:rPr>
                <w:rFonts w:eastAsia="Calibri"/>
                <w:color w:val="auto"/>
                <w:sz w:val="22"/>
                <w:szCs w:val="22"/>
              </w:rPr>
            </w:pPr>
            <w:r>
              <w:rPr>
                <w:rFonts w:eastAsia="Calibri"/>
                <w:color w:val="auto"/>
                <w:sz w:val="22"/>
                <w:szCs w:val="22"/>
              </w:rPr>
              <w:t>3</w:t>
            </w:r>
            <w:r w:rsidRPr="00A92E48">
              <w:rPr>
                <w:rFonts w:eastAsia="Calibri"/>
                <w:color w:val="auto"/>
                <w:sz w:val="22"/>
                <w:szCs w:val="22"/>
              </w:rPr>
              <w:t>0⁰</w:t>
            </w:r>
          </w:p>
        </w:tc>
        <w:tc>
          <w:tcPr>
            <w:tcW w:w="1562" w:type="dxa"/>
            <w:tcBorders>
              <w:left w:val="thinThickSmallGap" w:sz="12" w:space="0" w:color="auto"/>
            </w:tcBorders>
            <w:vAlign w:val="center"/>
          </w:tcPr>
          <w:p w:rsidR="006B18A2" w:rsidRPr="00A92E48" w:rsidRDefault="006B18A2" w:rsidP="006010AB">
            <w:pPr>
              <w:contextualSpacing/>
              <w:rPr>
                <w:rFonts w:eastAsia="Calibri"/>
                <w:color w:val="auto"/>
                <w:sz w:val="22"/>
                <w:szCs w:val="22"/>
              </w:rPr>
            </w:pPr>
            <w:r>
              <w:rPr>
                <w:rFonts w:eastAsia="Calibri"/>
                <w:color w:val="auto"/>
                <w:sz w:val="22"/>
                <w:szCs w:val="22"/>
              </w:rPr>
              <w:t>35</w:t>
            </w:r>
            <w:r w:rsidRPr="00A92E48">
              <w:rPr>
                <w:rFonts w:eastAsia="Calibri"/>
                <w:color w:val="auto"/>
                <w:sz w:val="22"/>
                <w:szCs w:val="22"/>
              </w:rPr>
              <w:t>⁰</w:t>
            </w:r>
          </w:p>
        </w:tc>
        <w:tc>
          <w:tcPr>
            <w:tcW w:w="1594" w:type="dxa"/>
            <w:vAlign w:val="center"/>
          </w:tcPr>
          <w:p w:rsidR="006B18A2" w:rsidRPr="00A92E48" w:rsidRDefault="006B18A2" w:rsidP="006010AB">
            <w:pPr>
              <w:contextualSpacing/>
              <w:rPr>
                <w:rFonts w:eastAsia="Calibri"/>
                <w:color w:val="auto"/>
                <w:sz w:val="22"/>
                <w:szCs w:val="22"/>
              </w:rPr>
            </w:pPr>
            <w:r>
              <w:rPr>
                <w:rFonts w:eastAsia="Calibri"/>
                <w:color w:val="auto"/>
                <w:sz w:val="22"/>
                <w:szCs w:val="22"/>
              </w:rPr>
              <w:t>30</w:t>
            </w:r>
            <w:r w:rsidRPr="00A92E48">
              <w:rPr>
                <w:rFonts w:eastAsia="Calibri"/>
                <w:color w:val="auto"/>
                <w:sz w:val="22"/>
                <w:szCs w:val="22"/>
              </w:rPr>
              <w:t>⁰</w:t>
            </w:r>
          </w:p>
        </w:tc>
      </w:tr>
      <w:tr w:rsidR="006B18A2" w:rsidRPr="00A92E48" w:rsidTr="00756F39">
        <w:trPr>
          <w:jc w:val="center"/>
        </w:trPr>
        <w:tc>
          <w:tcPr>
            <w:tcW w:w="2073" w:type="dxa"/>
            <w:vAlign w:val="center"/>
          </w:tcPr>
          <w:p w:rsidR="006B18A2" w:rsidRPr="00A92E48" w:rsidRDefault="006B18A2" w:rsidP="006010AB">
            <w:pPr>
              <w:contextualSpacing/>
              <w:rPr>
                <w:rFonts w:eastAsia="Calibri"/>
                <w:color w:val="auto"/>
                <w:sz w:val="22"/>
                <w:szCs w:val="22"/>
              </w:rPr>
            </w:pPr>
            <w:r w:rsidRPr="00A92E48">
              <w:rPr>
                <w:rFonts w:eastAsia="Calibri"/>
                <w:color w:val="auto"/>
                <w:sz w:val="22"/>
                <w:szCs w:val="22"/>
              </w:rPr>
              <w:t>Combined (240⁰)</w:t>
            </w:r>
          </w:p>
        </w:tc>
        <w:tc>
          <w:tcPr>
            <w:tcW w:w="1260" w:type="dxa"/>
            <w:vAlign w:val="center"/>
          </w:tcPr>
          <w:p w:rsidR="006B18A2" w:rsidRPr="00A92E48" w:rsidRDefault="006B18A2" w:rsidP="00AA3CB7">
            <w:pPr>
              <w:contextualSpacing/>
              <w:rPr>
                <w:rFonts w:eastAsia="Calibri"/>
                <w:color w:val="auto"/>
                <w:sz w:val="22"/>
                <w:szCs w:val="22"/>
              </w:rPr>
            </w:pPr>
            <w:r>
              <w:rPr>
                <w:rFonts w:eastAsia="Calibri"/>
                <w:color w:val="auto"/>
                <w:sz w:val="22"/>
                <w:szCs w:val="22"/>
              </w:rPr>
              <w:t>Incomplete</w:t>
            </w:r>
          </w:p>
        </w:tc>
        <w:tc>
          <w:tcPr>
            <w:tcW w:w="675" w:type="dxa"/>
          </w:tcPr>
          <w:p w:rsidR="006B18A2" w:rsidRDefault="006B18A2" w:rsidP="006010AB">
            <w:pPr>
              <w:contextualSpacing/>
              <w:rPr>
                <w:rFonts w:eastAsia="Calibri"/>
                <w:color w:val="auto"/>
                <w:sz w:val="22"/>
                <w:szCs w:val="22"/>
              </w:rPr>
            </w:pPr>
            <w:r>
              <w:rPr>
                <w:rFonts w:eastAsia="Calibri"/>
                <w:color w:val="auto"/>
                <w:sz w:val="22"/>
                <w:szCs w:val="22"/>
              </w:rPr>
              <w:t>170</w:t>
            </w:r>
            <w:r w:rsidRPr="00A92E48">
              <w:rPr>
                <w:rFonts w:eastAsia="Calibri"/>
                <w:color w:val="auto"/>
                <w:sz w:val="22"/>
                <w:szCs w:val="22"/>
              </w:rPr>
              <w:t>⁰</w:t>
            </w:r>
          </w:p>
        </w:tc>
        <w:tc>
          <w:tcPr>
            <w:tcW w:w="947" w:type="dxa"/>
            <w:tcBorders>
              <w:right w:val="thinThickSmallGap" w:sz="12" w:space="0" w:color="auto"/>
            </w:tcBorders>
            <w:vAlign w:val="center"/>
          </w:tcPr>
          <w:p w:rsidR="006B18A2" w:rsidRPr="00A92E48" w:rsidRDefault="006B18A2" w:rsidP="006010AB">
            <w:pPr>
              <w:contextualSpacing/>
              <w:rPr>
                <w:rFonts w:eastAsia="Calibri"/>
                <w:color w:val="auto"/>
                <w:sz w:val="22"/>
                <w:szCs w:val="22"/>
              </w:rPr>
            </w:pPr>
            <w:r>
              <w:rPr>
                <w:rFonts w:eastAsia="Calibri"/>
                <w:color w:val="auto"/>
                <w:sz w:val="22"/>
                <w:szCs w:val="22"/>
              </w:rPr>
              <w:t>130</w:t>
            </w:r>
            <w:r w:rsidRPr="00A92E48">
              <w:rPr>
                <w:rFonts w:eastAsia="Calibri"/>
                <w:color w:val="auto"/>
                <w:sz w:val="22"/>
                <w:szCs w:val="22"/>
              </w:rPr>
              <w:t xml:space="preserve">⁰ </w:t>
            </w:r>
          </w:p>
        </w:tc>
        <w:tc>
          <w:tcPr>
            <w:tcW w:w="1258" w:type="dxa"/>
            <w:tcBorders>
              <w:right w:val="thinThickSmallGap" w:sz="12" w:space="0" w:color="auto"/>
            </w:tcBorders>
          </w:tcPr>
          <w:p w:rsidR="006B18A2" w:rsidRDefault="00756F39" w:rsidP="006010AB">
            <w:pPr>
              <w:contextualSpacing/>
              <w:rPr>
                <w:rFonts w:eastAsia="Calibri"/>
                <w:color w:val="auto"/>
                <w:sz w:val="22"/>
                <w:szCs w:val="22"/>
              </w:rPr>
            </w:pPr>
            <w:r>
              <w:rPr>
                <w:rFonts w:eastAsia="Calibri"/>
                <w:color w:val="auto"/>
                <w:sz w:val="22"/>
                <w:szCs w:val="22"/>
              </w:rPr>
              <w:t>Incomplete</w:t>
            </w:r>
          </w:p>
        </w:tc>
        <w:tc>
          <w:tcPr>
            <w:tcW w:w="1562" w:type="dxa"/>
            <w:tcBorders>
              <w:left w:val="thinThickSmallGap" w:sz="12" w:space="0" w:color="auto"/>
            </w:tcBorders>
            <w:vAlign w:val="center"/>
          </w:tcPr>
          <w:p w:rsidR="006B18A2" w:rsidRPr="00A92E48" w:rsidRDefault="006B18A2" w:rsidP="006010AB">
            <w:pPr>
              <w:contextualSpacing/>
              <w:rPr>
                <w:rFonts w:eastAsia="Calibri"/>
                <w:color w:val="auto"/>
                <w:sz w:val="22"/>
                <w:szCs w:val="22"/>
              </w:rPr>
            </w:pPr>
            <w:r>
              <w:rPr>
                <w:rFonts w:eastAsia="Calibri"/>
                <w:color w:val="auto"/>
                <w:sz w:val="22"/>
                <w:szCs w:val="22"/>
              </w:rPr>
              <w:t>1</w:t>
            </w:r>
            <w:r w:rsidRPr="00A92E48">
              <w:rPr>
                <w:rFonts w:eastAsia="Calibri"/>
                <w:color w:val="auto"/>
                <w:sz w:val="22"/>
                <w:szCs w:val="22"/>
              </w:rPr>
              <w:t>20⁰</w:t>
            </w:r>
          </w:p>
        </w:tc>
        <w:tc>
          <w:tcPr>
            <w:tcW w:w="1594" w:type="dxa"/>
            <w:vAlign w:val="center"/>
          </w:tcPr>
          <w:p w:rsidR="006B18A2" w:rsidRPr="00A92E48" w:rsidRDefault="006B18A2" w:rsidP="006010AB">
            <w:pPr>
              <w:contextualSpacing/>
              <w:rPr>
                <w:rFonts w:eastAsia="Calibri"/>
                <w:color w:val="auto"/>
                <w:sz w:val="22"/>
                <w:szCs w:val="22"/>
              </w:rPr>
            </w:pPr>
            <w:r>
              <w:rPr>
                <w:rFonts w:eastAsia="Calibri"/>
                <w:color w:val="auto"/>
                <w:sz w:val="22"/>
                <w:szCs w:val="22"/>
              </w:rPr>
              <w:t>80</w:t>
            </w:r>
            <w:r w:rsidRPr="00A92E48">
              <w:rPr>
                <w:rFonts w:eastAsia="Calibri"/>
                <w:color w:val="auto"/>
                <w:sz w:val="22"/>
                <w:szCs w:val="22"/>
              </w:rPr>
              <w:t>⁰</w:t>
            </w:r>
          </w:p>
        </w:tc>
      </w:tr>
      <w:tr w:rsidR="006B18A2" w:rsidRPr="00A92E48" w:rsidTr="00756F39">
        <w:trPr>
          <w:jc w:val="center"/>
        </w:trPr>
        <w:tc>
          <w:tcPr>
            <w:tcW w:w="2073" w:type="dxa"/>
            <w:vAlign w:val="center"/>
          </w:tcPr>
          <w:p w:rsidR="006B18A2" w:rsidRPr="00A92E48" w:rsidRDefault="006B18A2" w:rsidP="006010AB">
            <w:pPr>
              <w:contextualSpacing/>
              <w:rPr>
                <w:rFonts w:eastAsia="Calibri"/>
                <w:color w:val="auto"/>
                <w:sz w:val="22"/>
                <w:szCs w:val="22"/>
              </w:rPr>
            </w:pPr>
            <w:r w:rsidRPr="00A92E48">
              <w:rPr>
                <w:rFonts w:eastAsia="Calibri"/>
                <w:color w:val="auto"/>
                <w:sz w:val="22"/>
                <w:szCs w:val="22"/>
              </w:rPr>
              <w:t>§4.71a Rating</w:t>
            </w:r>
          </w:p>
        </w:tc>
        <w:tc>
          <w:tcPr>
            <w:tcW w:w="1260" w:type="dxa"/>
            <w:vAlign w:val="center"/>
          </w:tcPr>
          <w:p w:rsidR="006B18A2" w:rsidRPr="00A92E48" w:rsidRDefault="006B18A2" w:rsidP="006010AB">
            <w:pPr>
              <w:contextualSpacing/>
              <w:rPr>
                <w:rFonts w:eastAsia="Calibri"/>
                <w:color w:val="auto"/>
                <w:sz w:val="22"/>
                <w:szCs w:val="22"/>
              </w:rPr>
            </w:pPr>
            <w:r>
              <w:rPr>
                <w:rFonts w:eastAsia="Calibri"/>
                <w:color w:val="auto"/>
                <w:sz w:val="22"/>
                <w:szCs w:val="22"/>
              </w:rPr>
              <w:t>20%</w:t>
            </w:r>
          </w:p>
        </w:tc>
        <w:tc>
          <w:tcPr>
            <w:tcW w:w="675" w:type="dxa"/>
          </w:tcPr>
          <w:p w:rsidR="006B18A2" w:rsidRDefault="006B18A2" w:rsidP="006010AB">
            <w:pPr>
              <w:contextualSpacing/>
              <w:rPr>
                <w:rFonts w:eastAsia="Calibri"/>
                <w:color w:val="auto"/>
                <w:sz w:val="22"/>
                <w:szCs w:val="22"/>
              </w:rPr>
            </w:pPr>
            <w:r>
              <w:rPr>
                <w:rFonts w:eastAsia="Calibri"/>
                <w:color w:val="auto"/>
                <w:sz w:val="22"/>
                <w:szCs w:val="22"/>
              </w:rPr>
              <w:t>40%</w:t>
            </w:r>
          </w:p>
        </w:tc>
        <w:tc>
          <w:tcPr>
            <w:tcW w:w="947" w:type="dxa"/>
            <w:tcBorders>
              <w:right w:val="thinThickSmallGap" w:sz="12" w:space="0" w:color="auto"/>
            </w:tcBorders>
            <w:vAlign w:val="center"/>
          </w:tcPr>
          <w:p w:rsidR="006B18A2" w:rsidRPr="00A92E48" w:rsidRDefault="006B18A2" w:rsidP="006010AB">
            <w:pPr>
              <w:contextualSpacing/>
              <w:rPr>
                <w:rFonts w:eastAsia="Calibri"/>
                <w:color w:val="auto"/>
                <w:sz w:val="22"/>
                <w:szCs w:val="22"/>
              </w:rPr>
            </w:pPr>
            <w:r>
              <w:rPr>
                <w:rFonts w:eastAsia="Calibri"/>
                <w:color w:val="auto"/>
                <w:sz w:val="22"/>
                <w:szCs w:val="22"/>
              </w:rPr>
              <w:t>40%</w:t>
            </w:r>
          </w:p>
        </w:tc>
        <w:tc>
          <w:tcPr>
            <w:tcW w:w="1258" w:type="dxa"/>
            <w:tcBorders>
              <w:right w:val="thinThickSmallGap" w:sz="12" w:space="0" w:color="auto"/>
            </w:tcBorders>
          </w:tcPr>
          <w:p w:rsidR="006B18A2" w:rsidRDefault="00756F39" w:rsidP="006010AB">
            <w:pPr>
              <w:contextualSpacing/>
              <w:rPr>
                <w:rFonts w:eastAsia="Calibri"/>
                <w:color w:val="auto"/>
                <w:sz w:val="22"/>
                <w:szCs w:val="22"/>
              </w:rPr>
            </w:pPr>
            <w:r>
              <w:rPr>
                <w:rFonts w:eastAsia="Calibri"/>
                <w:color w:val="auto"/>
                <w:sz w:val="22"/>
                <w:szCs w:val="22"/>
              </w:rPr>
              <w:t>40%</w:t>
            </w:r>
          </w:p>
        </w:tc>
        <w:tc>
          <w:tcPr>
            <w:tcW w:w="1562" w:type="dxa"/>
            <w:tcBorders>
              <w:left w:val="thinThickSmallGap" w:sz="12" w:space="0" w:color="auto"/>
            </w:tcBorders>
            <w:vAlign w:val="center"/>
          </w:tcPr>
          <w:p w:rsidR="006B18A2" w:rsidRPr="00A92E48" w:rsidRDefault="006B18A2" w:rsidP="006010AB">
            <w:pPr>
              <w:contextualSpacing/>
              <w:rPr>
                <w:rFonts w:eastAsia="Calibri"/>
                <w:color w:val="auto"/>
                <w:sz w:val="22"/>
                <w:szCs w:val="22"/>
              </w:rPr>
            </w:pPr>
            <w:r>
              <w:rPr>
                <w:rFonts w:eastAsia="Calibri"/>
                <w:color w:val="auto"/>
                <w:sz w:val="22"/>
                <w:szCs w:val="22"/>
              </w:rPr>
              <w:t>20%</w:t>
            </w:r>
          </w:p>
        </w:tc>
        <w:tc>
          <w:tcPr>
            <w:tcW w:w="1594" w:type="dxa"/>
            <w:vAlign w:val="center"/>
          </w:tcPr>
          <w:p w:rsidR="006B18A2" w:rsidRPr="00A92E48" w:rsidRDefault="006B18A2" w:rsidP="006010AB">
            <w:pPr>
              <w:contextualSpacing/>
              <w:rPr>
                <w:rFonts w:eastAsia="Calibri"/>
                <w:color w:val="auto"/>
                <w:sz w:val="22"/>
                <w:szCs w:val="22"/>
              </w:rPr>
            </w:pPr>
            <w:r>
              <w:rPr>
                <w:rFonts w:eastAsia="Calibri"/>
                <w:color w:val="auto"/>
                <w:sz w:val="22"/>
                <w:szCs w:val="22"/>
              </w:rPr>
              <w:t>40%</w:t>
            </w:r>
          </w:p>
        </w:tc>
      </w:tr>
    </w:tbl>
    <w:p w:rsidR="00FD3164" w:rsidRDefault="00AA3CB7" w:rsidP="00B22D42">
      <w:pPr>
        <w:jc w:val="both"/>
        <w:rPr>
          <w:color w:val="000000"/>
        </w:rPr>
      </w:pPr>
      <w:r>
        <w:rPr>
          <w:color w:val="000000"/>
        </w:rPr>
        <w:tab/>
      </w:r>
      <w:r>
        <w:rPr>
          <w:color w:val="000000"/>
        </w:rPr>
        <w:tab/>
      </w:r>
      <w:r w:rsidR="00756F39">
        <w:rPr>
          <w:color w:val="000000"/>
        </w:rPr>
        <w:t xml:space="preserve">          </w:t>
      </w:r>
      <w:r>
        <w:rPr>
          <w:color w:val="000000"/>
        </w:rPr>
        <w:t xml:space="preserve">      </w:t>
      </w:r>
    </w:p>
    <w:p w:rsidR="00FD3164" w:rsidRDefault="00AC15B4" w:rsidP="00B22D42">
      <w:pPr>
        <w:jc w:val="both"/>
        <w:rPr>
          <w:color w:val="000000"/>
          <w:szCs w:val="24"/>
        </w:rPr>
      </w:pPr>
      <w:r w:rsidRPr="009A7578">
        <w:rPr>
          <w:rFonts w:cs="Times New Roman"/>
          <w:color w:val="auto"/>
        </w:rPr>
        <w:t>The Board directs attenti</w:t>
      </w:r>
      <w:r>
        <w:rPr>
          <w:rFonts w:cs="Times New Roman"/>
          <w:color w:val="auto"/>
        </w:rPr>
        <w:t>on to its rating recommendations</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Both the pre-TDRL and final PEB</w:t>
      </w:r>
      <w:r w:rsidR="00940094">
        <w:rPr>
          <w:rFonts w:cs="Times New Roman"/>
          <w:color w:val="auto"/>
        </w:rPr>
        <w:t xml:space="preserve"> decisions</w:t>
      </w:r>
      <w:r>
        <w:rPr>
          <w:rFonts w:cs="Times New Roman"/>
          <w:color w:val="auto"/>
        </w:rPr>
        <w:t xml:space="preserve"> cited criteria of the USAPDA pain policy </w:t>
      </w:r>
      <w:r w:rsidR="00940094">
        <w:rPr>
          <w:rFonts w:cs="Times New Roman"/>
          <w:color w:val="auto"/>
        </w:rPr>
        <w:t>in reference to</w:t>
      </w:r>
      <w:r>
        <w:rPr>
          <w:rFonts w:cs="Times New Roman"/>
          <w:color w:val="auto"/>
        </w:rPr>
        <w:t xml:space="preserve"> the ROM evidence under consideration, and neither of the </w:t>
      </w:r>
      <w:r w:rsidR="00940094">
        <w:rPr>
          <w:rFonts w:cs="Times New Roman"/>
          <w:color w:val="auto"/>
        </w:rPr>
        <w:t xml:space="preserve">derived </w:t>
      </w:r>
      <w:r>
        <w:rPr>
          <w:rFonts w:cs="Times New Roman"/>
          <w:color w:val="auto"/>
        </w:rPr>
        <w:t xml:space="preserve">ratings were IAW the </w:t>
      </w:r>
      <w:r w:rsidRPr="00C50329">
        <w:rPr>
          <w:color w:val="000000"/>
          <w:szCs w:val="24"/>
        </w:rPr>
        <w:t>VASRD §4.71a general rating formula for the spine.</w:t>
      </w:r>
      <w:r>
        <w:rPr>
          <w:color w:val="000000"/>
          <w:szCs w:val="24"/>
        </w:rPr>
        <w:t xml:space="preserve">  As is clear from the above ROM chart, the limitations were consistently fairly severe; and, in the majority of </w:t>
      </w:r>
      <w:r w:rsidR="00830CE8">
        <w:rPr>
          <w:color w:val="000000"/>
          <w:szCs w:val="24"/>
        </w:rPr>
        <w:t xml:space="preserve">evaluations met the </w:t>
      </w:r>
      <w:r w:rsidR="00830CE8" w:rsidRPr="00C50329">
        <w:rPr>
          <w:color w:val="000000"/>
          <w:szCs w:val="24"/>
        </w:rPr>
        <w:t>§4.71a</w:t>
      </w:r>
      <w:r w:rsidR="00830CE8">
        <w:rPr>
          <w:color w:val="000000"/>
          <w:szCs w:val="24"/>
        </w:rPr>
        <w:t xml:space="preserve"> rating threshold of 30⁰ flexion for a 40% rating.  It </w:t>
      </w:r>
      <w:r w:rsidR="00570B74">
        <w:rPr>
          <w:color w:val="000000"/>
          <w:szCs w:val="24"/>
        </w:rPr>
        <w:t>should be</w:t>
      </w:r>
      <w:r w:rsidR="00830CE8">
        <w:rPr>
          <w:color w:val="000000"/>
          <w:szCs w:val="24"/>
        </w:rPr>
        <w:t xml:space="preserve"> noted</w:t>
      </w:r>
      <w:r w:rsidR="00940094">
        <w:rPr>
          <w:color w:val="000000"/>
          <w:szCs w:val="24"/>
        </w:rPr>
        <w:t>, however,</w:t>
      </w:r>
      <w:r w:rsidR="00830CE8">
        <w:rPr>
          <w:color w:val="000000"/>
          <w:szCs w:val="24"/>
        </w:rPr>
        <w:t xml:space="preserve"> that </w:t>
      </w:r>
      <w:r w:rsidR="00570B74">
        <w:rPr>
          <w:color w:val="000000"/>
          <w:szCs w:val="24"/>
        </w:rPr>
        <w:t>the most proximate mid-TDRL reevaluation was still 19 months pr</w:t>
      </w:r>
      <w:r w:rsidR="00386484">
        <w:rPr>
          <w:color w:val="000000"/>
          <w:szCs w:val="24"/>
        </w:rPr>
        <w:t xml:space="preserve">ior to </w:t>
      </w:r>
      <w:r w:rsidR="00570B74">
        <w:rPr>
          <w:color w:val="000000"/>
          <w:szCs w:val="24"/>
        </w:rPr>
        <w:t>separation</w:t>
      </w:r>
      <w:r w:rsidR="002710DC">
        <w:rPr>
          <w:color w:val="000000"/>
          <w:szCs w:val="24"/>
        </w:rPr>
        <w:t>;</w:t>
      </w:r>
      <w:r w:rsidR="00570B74">
        <w:rPr>
          <w:color w:val="000000"/>
          <w:szCs w:val="24"/>
        </w:rPr>
        <w:t xml:space="preserve"> thus</w:t>
      </w:r>
      <w:r w:rsidR="002710DC">
        <w:rPr>
          <w:color w:val="000000"/>
          <w:szCs w:val="24"/>
        </w:rPr>
        <w:t>,</w:t>
      </w:r>
      <w:r w:rsidR="00570B74">
        <w:rPr>
          <w:color w:val="000000"/>
          <w:szCs w:val="24"/>
        </w:rPr>
        <w:t xml:space="preserve"> all of preceding evaluations were marginally probative to the permanent rating period.  The Board must </w:t>
      </w:r>
      <w:r w:rsidR="00830CE8">
        <w:rPr>
          <w:color w:val="000000"/>
          <w:szCs w:val="24"/>
        </w:rPr>
        <w:t>the</w:t>
      </w:r>
      <w:r w:rsidR="00570B74">
        <w:rPr>
          <w:color w:val="000000"/>
          <w:szCs w:val="24"/>
        </w:rPr>
        <w:t>refore make a probative value decision regarding the two</w:t>
      </w:r>
      <w:r w:rsidR="00830CE8">
        <w:rPr>
          <w:color w:val="000000"/>
          <w:szCs w:val="24"/>
        </w:rPr>
        <w:t xml:space="preserve"> </w:t>
      </w:r>
      <w:r w:rsidR="00570B74">
        <w:rPr>
          <w:color w:val="000000"/>
          <w:szCs w:val="24"/>
        </w:rPr>
        <w:t xml:space="preserve">physical therapy (PT) ROM evaluations proximate to final separation.  The first PT encounter was the MEB ordered evaluation; and, the second one was performed by request on a walk-in visit just prior to PEB </w:t>
      </w:r>
      <w:r w:rsidR="00570B74">
        <w:rPr>
          <w:color w:val="000000"/>
          <w:szCs w:val="24"/>
        </w:rPr>
        <w:lastRenderedPageBreak/>
        <w:t xml:space="preserve">proceedings.  The significantly lower </w:t>
      </w:r>
      <w:r w:rsidR="00830CE8">
        <w:rPr>
          <w:color w:val="000000"/>
          <w:szCs w:val="24"/>
        </w:rPr>
        <w:t>combined ROM</w:t>
      </w:r>
      <w:r w:rsidR="002710DC">
        <w:rPr>
          <w:color w:val="000000"/>
          <w:szCs w:val="24"/>
        </w:rPr>
        <w:t>s</w:t>
      </w:r>
      <w:r w:rsidR="00830CE8">
        <w:rPr>
          <w:color w:val="000000"/>
          <w:szCs w:val="24"/>
        </w:rPr>
        <w:t xml:space="preserve"> of 80⁰ noted in the </w:t>
      </w:r>
      <w:r w:rsidR="00570B74">
        <w:rPr>
          <w:color w:val="000000"/>
          <w:szCs w:val="24"/>
        </w:rPr>
        <w:t>l</w:t>
      </w:r>
      <w:r w:rsidR="002710DC">
        <w:rPr>
          <w:color w:val="000000"/>
          <w:szCs w:val="24"/>
        </w:rPr>
        <w:t>a</w:t>
      </w:r>
      <w:r w:rsidR="00570B74">
        <w:rPr>
          <w:color w:val="000000"/>
          <w:szCs w:val="24"/>
        </w:rPr>
        <w:t>ter PT measurements are in sharp contrast to the baseline, and unexplained by any clinical development in the short interval between the two final evaluation</w:t>
      </w:r>
      <w:r w:rsidR="000A36C1">
        <w:rPr>
          <w:color w:val="000000"/>
          <w:szCs w:val="24"/>
        </w:rPr>
        <w:t>s</w:t>
      </w:r>
      <w:r w:rsidR="00570B74">
        <w:rPr>
          <w:color w:val="000000"/>
          <w:szCs w:val="24"/>
        </w:rPr>
        <w:t>.  Th</w:t>
      </w:r>
      <w:r w:rsidR="000A36C1">
        <w:rPr>
          <w:color w:val="000000"/>
          <w:szCs w:val="24"/>
        </w:rPr>
        <w:t xml:space="preserve">ese observations logically raise the question of a secondary gain bias in play at the </w:t>
      </w:r>
      <w:r w:rsidR="002710DC">
        <w:rPr>
          <w:color w:val="000000"/>
          <w:szCs w:val="24"/>
        </w:rPr>
        <w:t>second</w:t>
      </w:r>
      <w:r w:rsidR="000A36C1">
        <w:rPr>
          <w:color w:val="000000"/>
          <w:szCs w:val="24"/>
        </w:rPr>
        <w:t xml:space="preserve"> </w:t>
      </w:r>
      <w:r w:rsidR="002710DC">
        <w:rPr>
          <w:color w:val="000000"/>
          <w:szCs w:val="24"/>
        </w:rPr>
        <w:t xml:space="preserve">PT </w:t>
      </w:r>
      <w:r w:rsidR="000A36C1">
        <w:rPr>
          <w:color w:val="000000"/>
          <w:szCs w:val="24"/>
        </w:rPr>
        <w:t>evaluation</w:t>
      </w:r>
      <w:r w:rsidR="002710DC">
        <w:rPr>
          <w:color w:val="000000"/>
          <w:szCs w:val="24"/>
        </w:rPr>
        <w:t>; and, that notwithstanding, there is a reasonable argument that the last PT evaluation was an outlier</w:t>
      </w:r>
      <w:r w:rsidR="0059502F">
        <w:rPr>
          <w:color w:val="000000"/>
          <w:szCs w:val="24"/>
        </w:rPr>
        <w:t>,</w:t>
      </w:r>
      <w:r w:rsidR="002710DC">
        <w:rPr>
          <w:color w:val="000000"/>
          <w:szCs w:val="24"/>
        </w:rPr>
        <w:t xml:space="preserve"> and</w:t>
      </w:r>
      <w:r w:rsidR="00570B74">
        <w:rPr>
          <w:color w:val="000000"/>
          <w:szCs w:val="24"/>
        </w:rPr>
        <w:t xml:space="preserve"> </w:t>
      </w:r>
      <w:r w:rsidR="002710DC">
        <w:rPr>
          <w:color w:val="000000"/>
          <w:szCs w:val="24"/>
        </w:rPr>
        <w:t>that</w:t>
      </w:r>
      <w:r w:rsidR="00570B74">
        <w:rPr>
          <w:color w:val="000000"/>
          <w:szCs w:val="24"/>
        </w:rPr>
        <w:t xml:space="preserve"> </w:t>
      </w:r>
      <w:r w:rsidR="00830CE8">
        <w:rPr>
          <w:color w:val="000000"/>
          <w:szCs w:val="24"/>
        </w:rPr>
        <w:t xml:space="preserve">the </w:t>
      </w:r>
      <w:r w:rsidR="002710DC">
        <w:rPr>
          <w:color w:val="000000"/>
          <w:szCs w:val="24"/>
        </w:rPr>
        <w:t xml:space="preserve">initial </w:t>
      </w:r>
      <w:r w:rsidR="00830CE8">
        <w:rPr>
          <w:color w:val="000000"/>
          <w:szCs w:val="24"/>
        </w:rPr>
        <w:t xml:space="preserve">PT evaluation was more typical and therefore most probative to permanent rating.  Members agreed that </w:t>
      </w:r>
      <w:r w:rsidR="00940094">
        <w:rPr>
          <w:color w:val="000000"/>
          <w:szCs w:val="24"/>
        </w:rPr>
        <w:t>40% was a fair TDRL rating recommendation, but deliberated between 20% and 40% recommendations for permanent rating.</w:t>
      </w:r>
      <w:r w:rsidR="003A2830">
        <w:rPr>
          <w:color w:val="000000"/>
          <w:szCs w:val="24"/>
        </w:rPr>
        <w:t xml:space="preserve">  All members agreed that there was no separately ratable neuropathy for disability, since no functional impairment linked to fitness was </w:t>
      </w:r>
      <w:r w:rsidR="003A2830" w:rsidRPr="002710DC">
        <w:rPr>
          <w:color w:val="000000"/>
          <w:szCs w:val="24"/>
        </w:rPr>
        <w:t>in evidence.</w:t>
      </w:r>
      <w:r w:rsidR="00000376" w:rsidRPr="002710DC">
        <w:rPr>
          <w:color w:val="000000"/>
          <w:szCs w:val="24"/>
        </w:rPr>
        <w:t xml:space="preserve">  </w:t>
      </w:r>
      <w:r w:rsidR="00000376" w:rsidRPr="002710DC">
        <w:rPr>
          <w:rFonts w:eastAsia="Calibri" w:cs="Times New Roman"/>
          <w:color w:val="auto"/>
          <w:szCs w:val="24"/>
        </w:rPr>
        <w:t xml:space="preserve">After due deliberation, considering all of the evidence and mindful of VASRD §4.3 (reasonable doubt), the Board recommends </w:t>
      </w:r>
      <w:r w:rsidR="007C4E44" w:rsidRPr="002710DC">
        <w:rPr>
          <w:rFonts w:eastAsia="Calibri" w:cs="Times New Roman"/>
          <w:color w:val="auto"/>
          <w:szCs w:val="24"/>
        </w:rPr>
        <w:t>a</w:t>
      </w:r>
      <w:r w:rsidR="00000376" w:rsidRPr="002710DC">
        <w:rPr>
          <w:rFonts w:eastAsia="Calibri" w:cs="Times New Roman"/>
          <w:color w:val="auto"/>
          <w:szCs w:val="24"/>
        </w:rPr>
        <w:t xml:space="preserve"> </w:t>
      </w:r>
      <w:r w:rsidR="007C4E44" w:rsidRPr="002710DC">
        <w:rPr>
          <w:rFonts w:eastAsia="Calibri" w:cs="Times New Roman"/>
          <w:color w:val="auto"/>
          <w:szCs w:val="24"/>
        </w:rPr>
        <w:t xml:space="preserve">40% </w:t>
      </w:r>
      <w:r w:rsidR="00000376" w:rsidRPr="002710DC">
        <w:rPr>
          <w:rFonts w:eastAsia="Calibri" w:cs="Times New Roman"/>
          <w:color w:val="auto"/>
          <w:szCs w:val="24"/>
        </w:rPr>
        <w:t xml:space="preserve">disability rating of </w:t>
      </w:r>
      <w:r w:rsidR="007C4E44" w:rsidRPr="002710DC">
        <w:rPr>
          <w:rFonts w:eastAsia="Calibri" w:cs="Times New Roman"/>
          <w:color w:val="auto"/>
          <w:szCs w:val="24"/>
        </w:rPr>
        <w:t xml:space="preserve">the lumbar spine condition </w:t>
      </w:r>
      <w:r w:rsidR="00000376" w:rsidRPr="002710DC">
        <w:rPr>
          <w:rFonts w:eastAsia="Calibri" w:cs="Times New Roman"/>
          <w:color w:val="auto"/>
          <w:szCs w:val="24"/>
        </w:rPr>
        <w:t xml:space="preserve"> for the period of TDRL and </w:t>
      </w:r>
      <w:r w:rsidR="007C4E44" w:rsidRPr="002710DC">
        <w:rPr>
          <w:rFonts w:eastAsia="Calibri" w:cs="Times New Roman"/>
          <w:color w:val="auto"/>
          <w:szCs w:val="24"/>
        </w:rPr>
        <w:t xml:space="preserve">a </w:t>
      </w:r>
      <w:r w:rsidR="00000376" w:rsidRPr="002710DC">
        <w:rPr>
          <w:rFonts w:eastAsia="Calibri" w:cs="Times New Roman"/>
          <w:color w:val="auto"/>
          <w:szCs w:val="24"/>
        </w:rPr>
        <w:t xml:space="preserve">20% </w:t>
      </w:r>
      <w:r w:rsidR="007C4E44" w:rsidRPr="002710DC">
        <w:rPr>
          <w:rFonts w:eastAsia="Calibri" w:cs="Times New Roman"/>
          <w:color w:val="auto"/>
          <w:szCs w:val="24"/>
        </w:rPr>
        <w:t xml:space="preserve">rating </w:t>
      </w:r>
      <w:r w:rsidR="00000376" w:rsidRPr="002710DC">
        <w:rPr>
          <w:rFonts w:eastAsia="Calibri" w:cs="Times New Roman"/>
          <w:color w:val="auto"/>
          <w:szCs w:val="24"/>
        </w:rPr>
        <w:t>at permanent separation.</w:t>
      </w:r>
      <w:r w:rsidR="00012FFB">
        <w:rPr>
          <w:rFonts w:eastAsia="Calibri" w:cs="Times New Roman"/>
          <w:color w:val="auto"/>
          <w:szCs w:val="24"/>
        </w:rPr>
        <w:t xml:space="preserve">  </w:t>
      </w:r>
    </w:p>
    <w:p w:rsidR="002710DC" w:rsidRPr="00FD3164" w:rsidRDefault="002710DC" w:rsidP="00B22D42">
      <w:pPr>
        <w:jc w:val="both"/>
        <w:rPr>
          <w:i/>
          <w:color w:val="000000"/>
        </w:rPr>
      </w:pPr>
    </w:p>
    <w:p w:rsidR="00000376" w:rsidRDefault="00BD54FC" w:rsidP="00B22D42">
      <w:pPr>
        <w:jc w:val="both"/>
        <w:rPr>
          <w:color w:val="000000"/>
        </w:rPr>
      </w:pPr>
      <w:r w:rsidRPr="00BD54FC">
        <w:rPr>
          <w:color w:val="000000"/>
          <w:u w:val="single"/>
        </w:rPr>
        <w:t>Right Knee Condition</w:t>
      </w:r>
      <w:r>
        <w:rPr>
          <w:color w:val="000000"/>
        </w:rPr>
        <w:t xml:space="preserve">.  </w:t>
      </w:r>
      <w:r w:rsidR="00B56D27">
        <w:rPr>
          <w:color w:val="000000"/>
        </w:rPr>
        <w:t xml:space="preserve">No precise </w:t>
      </w:r>
      <w:r w:rsidR="00E556A7">
        <w:rPr>
          <w:color w:val="000000"/>
        </w:rPr>
        <w:t>duration of</w:t>
      </w:r>
      <w:r w:rsidR="00B56D27">
        <w:rPr>
          <w:color w:val="000000"/>
        </w:rPr>
        <w:t xml:space="preserve"> symptoms </w:t>
      </w:r>
      <w:r w:rsidR="00E556A7">
        <w:rPr>
          <w:color w:val="000000"/>
        </w:rPr>
        <w:t xml:space="preserve">or clinical course for this condition </w:t>
      </w:r>
      <w:r w:rsidR="00B56D27">
        <w:rPr>
          <w:color w:val="000000"/>
        </w:rPr>
        <w:t xml:space="preserve">is found in the </w:t>
      </w:r>
      <w:r w:rsidR="00E556A7">
        <w:rPr>
          <w:color w:val="000000"/>
        </w:rPr>
        <w:t>initial NARSUM or in the pre-TDRL VA C&amp;P evaluation</w:t>
      </w:r>
      <w:r w:rsidR="00B56D27">
        <w:rPr>
          <w:color w:val="000000"/>
        </w:rPr>
        <w:t xml:space="preserve">, and there are no </w:t>
      </w:r>
      <w:r w:rsidR="00A55F79">
        <w:rPr>
          <w:color w:val="000000"/>
        </w:rPr>
        <w:t>s</w:t>
      </w:r>
      <w:r w:rsidR="00B56D27">
        <w:rPr>
          <w:color w:val="000000"/>
        </w:rPr>
        <w:t xml:space="preserve">ervice visits in evidence which were directed specifically at that complaint or </w:t>
      </w:r>
      <w:r w:rsidR="007C4E44">
        <w:rPr>
          <w:color w:val="000000"/>
        </w:rPr>
        <w:t>documented any</w:t>
      </w:r>
      <w:r w:rsidR="00B56D27">
        <w:rPr>
          <w:color w:val="000000"/>
        </w:rPr>
        <w:t xml:space="preserve"> treatment</w:t>
      </w:r>
      <w:r w:rsidR="007C4E44">
        <w:rPr>
          <w:color w:val="000000"/>
        </w:rPr>
        <w:t xml:space="preserve"> for it</w:t>
      </w:r>
      <w:r w:rsidR="00B56D27">
        <w:rPr>
          <w:color w:val="000000"/>
        </w:rPr>
        <w:t xml:space="preserve">.  </w:t>
      </w:r>
      <w:r w:rsidR="00E556A7">
        <w:rPr>
          <w:color w:val="000000"/>
        </w:rPr>
        <w:t xml:space="preserve">A single </w:t>
      </w:r>
      <w:r w:rsidR="00A55F79">
        <w:rPr>
          <w:color w:val="000000"/>
        </w:rPr>
        <w:t>s</w:t>
      </w:r>
      <w:r w:rsidR="00E556A7">
        <w:rPr>
          <w:color w:val="000000"/>
        </w:rPr>
        <w:t xml:space="preserve">ervice entry 7 months prior to placement on </w:t>
      </w:r>
      <w:proofErr w:type="gramStart"/>
      <w:r w:rsidR="00E556A7">
        <w:rPr>
          <w:color w:val="000000"/>
        </w:rPr>
        <w:t>TDRL</w:t>
      </w:r>
      <w:r w:rsidR="00A55F79">
        <w:rPr>
          <w:color w:val="000000"/>
        </w:rPr>
        <w:t>,</w:t>
      </w:r>
      <w:proofErr w:type="gramEnd"/>
      <w:r w:rsidR="00E556A7">
        <w:rPr>
          <w:color w:val="000000"/>
        </w:rPr>
        <w:t xml:space="preserve"> addresses back and knee pain.</w:t>
      </w:r>
      <w:r w:rsidR="00A55F79">
        <w:rPr>
          <w:color w:val="000000"/>
        </w:rPr>
        <w:t xml:space="preserve"> </w:t>
      </w:r>
      <w:r w:rsidR="00E556A7">
        <w:rPr>
          <w:color w:val="000000"/>
        </w:rPr>
        <w:t xml:space="preserve"> It notes a 2 year history of bilateral infrapatellar pain, with “[medical shorthand translated] right knee pain and swelling with running for a few months</w:t>
      </w:r>
      <w:r w:rsidR="00A55F79">
        <w:rPr>
          <w:color w:val="000000"/>
        </w:rPr>
        <w:t>.</w:t>
      </w:r>
      <w:r w:rsidR="00E556A7">
        <w:rPr>
          <w:color w:val="000000"/>
        </w:rPr>
        <w:t xml:space="preserve">”   </w:t>
      </w:r>
      <w:r w:rsidR="00B56D27">
        <w:rPr>
          <w:color w:val="000000"/>
        </w:rPr>
        <w:t>The condition was not carried on earlier temporary profiles, but appeared as “right knee synovitis” on the final permanent profile</w:t>
      </w:r>
      <w:r w:rsidR="00F952DD">
        <w:rPr>
          <w:color w:val="000000"/>
        </w:rPr>
        <w:t xml:space="preserve"> dated </w:t>
      </w:r>
      <w:r w:rsidR="00A55F79">
        <w:rPr>
          <w:color w:val="000000"/>
        </w:rPr>
        <w:t xml:space="preserve">19 September </w:t>
      </w:r>
      <w:r w:rsidR="00F952DD">
        <w:rPr>
          <w:color w:val="000000"/>
        </w:rPr>
        <w:t>2003</w:t>
      </w:r>
      <w:r w:rsidR="00B56D27">
        <w:rPr>
          <w:color w:val="000000"/>
        </w:rPr>
        <w:t xml:space="preserve">. </w:t>
      </w:r>
      <w:r w:rsidR="006F7CF5">
        <w:rPr>
          <w:color w:val="000000"/>
        </w:rPr>
        <w:t>The initial NARSUM stated, “</w:t>
      </w:r>
      <w:proofErr w:type="gramStart"/>
      <w:r w:rsidR="00A55F79">
        <w:rPr>
          <w:color w:val="000000"/>
        </w:rPr>
        <w:t>e</w:t>
      </w:r>
      <w:r w:rsidR="006F7CF5" w:rsidRPr="006F7CF5">
        <w:rPr>
          <w:color w:val="000000"/>
        </w:rPr>
        <w:t>xam</w:t>
      </w:r>
      <w:proofErr w:type="gramEnd"/>
      <w:r w:rsidR="006F7CF5" w:rsidRPr="006F7CF5">
        <w:rPr>
          <w:color w:val="000000"/>
        </w:rPr>
        <w:t xml:space="preserve"> </w:t>
      </w:r>
      <w:r w:rsidR="006F7CF5" w:rsidRPr="006F7CF5">
        <w:rPr>
          <w:bCs/>
          <w:color w:val="000000"/>
        </w:rPr>
        <w:t xml:space="preserve">of </w:t>
      </w:r>
      <w:r w:rsidR="006F7CF5" w:rsidRPr="006F7CF5">
        <w:rPr>
          <w:color w:val="000000"/>
        </w:rPr>
        <w:t xml:space="preserve">the knee reveals </w:t>
      </w:r>
      <w:r w:rsidR="006F7CF5" w:rsidRPr="006F7CF5">
        <w:rPr>
          <w:bCs/>
          <w:color w:val="000000"/>
        </w:rPr>
        <w:t xml:space="preserve">a </w:t>
      </w:r>
      <w:r w:rsidR="006F7CF5" w:rsidRPr="006F7CF5">
        <w:rPr>
          <w:color w:val="000000"/>
        </w:rPr>
        <w:t xml:space="preserve">mild effusion, there is no tenderness, and he has a good </w:t>
      </w:r>
      <w:r w:rsidR="00A55F79">
        <w:rPr>
          <w:color w:val="000000"/>
        </w:rPr>
        <w:t>ROM</w:t>
      </w:r>
      <w:r w:rsidR="006F7CF5" w:rsidRPr="006F7CF5">
        <w:rPr>
          <w:color w:val="000000"/>
        </w:rPr>
        <w:t>, strength, and stability.</w:t>
      </w:r>
      <w:r w:rsidR="006F7CF5">
        <w:rPr>
          <w:color w:val="000000"/>
        </w:rPr>
        <w:t xml:space="preserve">”  The VA C&amp;P examiner noted “pain with flexion” (cited in the VA rating decision for a 10% rating), a flexion of 110⁰ </w:t>
      </w:r>
      <w:r w:rsidR="006F7CF5">
        <w:rPr>
          <w:color w:val="000000"/>
          <w:szCs w:val="24"/>
        </w:rPr>
        <w:t>(normal 140</w:t>
      </w:r>
      <w:r w:rsidR="006F7CF5" w:rsidRPr="0087277D">
        <w:rPr>
          <w:color w:val="000000"/>
          <w:szCs w:val="24"/>
        </w:rPr>
        <w:t xml:space="preserve">⁰; minimal compensable </w:t>
      </w:r>
      <w:r w:rsidR="006F7CF5">
        <w:rPr>
          <w:color w:val="000000"/>
          <w:szCs w:val="24"/>
        </w:rPr>
        <w:t>45</w:t>
      </w:r>
      <w:r w:rsidR="006F7CF5" w:rsidRPr="0087277D">
        <w:rPr>
          <w:color w:val="000000"/>
          <w:szCs w:val="24"/>
        </w:rPr>
        <w:t>⁰)</w:t>
      </w:r>
      <w:r w:rsidR="006F7CF5">
        <w:rPr>
          <w:color w:val="000000"/>
          <w:szCs w:val="24"/>
        </w:rPr>
        <w:t>, and the absence of instability or signs of cartilage impingement.  The mid-TDRL evaluation stated, “</w:t>
      </w:r>
      <w:proofErr w:type="gramStart"/>
      <w:r w:rsidR="00A55F79">
        <w:rPr>
          <w:color w:val="000000"/>
        </w:rPr>
        <w:t>e</w:t>
      </w:r>
      <w:r w:rsidR="006F7CF5" w:rsidRPr="006F7CF5">
        <w:rPr>
          <w:color w:val="000000"/>
        </w:rPr>
        <w:t>xamination</w:t>
      </w:r>
      <w:proofErr w:type="gramEnd"/>
      <w:r w:rsidR="006F7CF5" w:rsidRPr="006F7CF5">
        <w:rPr>
          <w:color w:val="000000"/>
        </w:rPr>
        <w:t xml:space="preserve"> of his knee demonstrates full </w:t>
      </w:r>
      <w:r w:rsidR="00A55F79">
        <w:rPr>
          <w:color w:val="000000"/>
        </w:rPr>
        <w:t>ROM</w:t>
      </w:r>
      <w:r w:rsidR="006F7CF5" w:rsidRPr="006F7CF5">
        <w:rPr>
          <w:color w:val="000000"/>
        </w:rPr>
        <w:t xml:space="preserve"> without significant pain.  There is no effusion and no tenderness to palpation.</w:t>
      </w:r>
      <w:r w:rsidR="006F7CF5">
        <w:rPr>
          <w:color w:val="000000"/>
          <w:szCs w:val="24"/>
        </w:rPr>
        <w:t>”</w:t>
      </w:r>
      <w:r w:rsidR="00E010EE">
        <w:rPr>
          <w:color w:val="000000"/>
          <w:szCs w:val="24"/>
        </w:rPr>
        <w:t xml:space="preserve">  The final TDRL evaluation stated, “I found no </w:t>
      </w:r>
      <w:r w:rsidR="00A55F79">
        <w:rPr>
          <w:color w:val="000000"/>
          <w:szCs w:val="24"/>
        </w:rPr>
        <w:t>ROM</w:t>
      </w:r>
      <w:r w:rsidR="00E010EE">
        <w:rPr>
          <w:color w:val="000000"/>
          <w:szCs w:val="24"/>
        </w:rPr>
        <w:t xml:space="preserve"> deficit in his knee.  He had </w:t>
      </w:r>
      <w:r w:rsidR="00A55F79">
        <w:rPr>
          <w:color w:val="000000"/>
          <w:szCs w:val="24"/>
        </w:rPr>
        <w:t>ROM</w:t>
      </w:r>
      <w:r w:rsidR="00E010EE">
        <w:rPr>
          <w:color w:val="000000"/>
          <w:szCs w:val="24"/>
        </w:rPr>
        <w:t xml:space="preserve"> from 0 to 130 degrees, without significant pain.”</w:t>
      </w:r>
    </w:p>
    <w:p w:rsidR="00BD54FC" w:rsidRDefault="00BD54FC" w:rsidP="006F7CF5">
      <w:pPr>
        <w:jc w:val="both"/>
        <w:rPr>
          <w:color w:val="000000"/>
        </w:rPr>
      </w:pPr>
    </w:p>
    <w:p w:rsidR="00155584" w:rsidRDefault="00012FFB" w:rsidP="00155584">
      <w:pPr>
        <w:jc w:val="both"/>
        <w:rPr>
          <w:color w:val="000000"/>
        </w:rPr>
      </w:pPr>
      <w:r w:rsidRPr="009A7578">
        <w:rPr>
          <w:rFonts w:cs="Times New Roman"/>
          <w:color w:val="auto"/>
        </w:rPr>
        <w:t>The Board directs attenti</w:t>
      </w:r>
      <w:r>
        <w:rPr>
          <w:rFonts w:cs="Times New Roman"/>
          <w:color w:val="auto"/>
        </w:rPr>
        <w:t>on to its rating recommendations</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Pr="00012FFB">
        <w:rPr>
          <w:rFonts w:cs="Times New Roman"/>
          <w:color w:val="auto"/>
        </w:rPr>
        <w:t xml:space="preserve">There was no </w:t>
      </w:r>
      <w:r>
        <w:rPr>
          <w:rFonts w:cs="Times New Roman"/>
          <w:color w:val="auto"/>
        </w:rPr>
        <w:t xml:space="preserve">ROM limitation, </w:t>
      </w:r>
      <w:r w:rsidRPr="00012FFB">
        <w:rPr>
          <w:rFonts w:cs="Times New Roman"/>
          <w:color w:val="auto"/>
        </w:rPr>
        <w:t xml:space="preserve">ligamental laxity, locking or frequent effusions which would allow a </w:t>
      </w:r>
      <w:r>
        <w:rPr>
          <w:rFonts w:cs="Times New Roman"/>
          <w:color w:val="auto"/>
        </w:rPr>
        <w:t xml:space="preserve">compensable </w:t>
      </w:r>
      <w:r w:rsidRPr="00012FFB">
        <w:rPr>
          <w:rFonts w:cs="Times New Roman"/>
          <w:color w:val="auto"/>
        </w:rPr>
        <w:t xml:space="preserve">rating under </w:t>
      </w:r>
      <w:r>
        <w:rPr>
          <w:rFonts w:cs="Times New Roman"/>
          <w:color w:val="auto"/>
        </w:rPr>
        <w:t>any available</w:t>
      </w:r>
      <w:r w:rsidRPr="00012FFB">
        <w:rPr>
          <w:rFonts w:cs="Times New Roman"/>
          <w:color w:val="auto"/>
        </w:rPr>
        <w:t xml:space="preserve"> code; </w:t>
      </w:r>
      <w:r>
        <w:rPr>
          <w:rFonts w:cs="Times New Roman"/>
          <w:color w:val="auto"/>
        </w:rPr>
        <w:t xml:space="preserve">without application of either </w:t>
      </w:r>
      <w:r w:rsidRPr="00012FFB">
        <w:rPr>
          <w:rFonts w:cs="Times New Roman"/>
          <w:color w:val="auto"/>
        </w:rPr>
        <w:t>VASRD §4.59 (painful motion)</w:t>
      </w:r>
      <w:r>
        <w:rPr>
          <w:rFonts w:cs="Times New Roman"/>
          <w:color w:val="auto"/>
        </w:rPr>
        <w:t xml:space="preserve"> or </w:t>
      </w:r>
      <w:r w:rsidRPr="00012FFB">
        <w:rPr>
          <w:rFonts w:cs="Times New Roman"/>
          <w:color w:val="auto"/>
        </w:rPr>
        <w:t>§4.40 (functional loss)</w:t>
      </w:r>
      <w:r>
        <w:rPr>
          <w:rFonts w:cs="Times New Roman"/>
          <w:color w:val="auto"/>
        </w:rPr>
        <w:t xml:space="preserve"> to achieve </w:t>
      </w:r>
      <w:r w:rsidR="007C4E44">
        <w:rPr>
          <w:rFonts w:cs="Times New Roman"/>
          <w:color w:val="auto"/>
        </w:rPr>
        <w:t>a minimum</w:t>
      </w:r>
      <w:r>
        <w:rPr>
          <w:rFonts w:cs="Times New Roman"/>
          <w:color w:val="auto"/>
        </w:rPr>
        <w:t xml:space="preserve"> compensable rating of 10%.  The paucity of clinical evidence precluded any support for </w:t>
      </w:r>
      <w:r w:rsidR="00155584">
        <w:rPr>
          <w:rFonts w:cs="Times New Roman"/>
          <w:color w:val="auto"/>
        </w:rPr>
        <w:t xml:space="preserve">§4.40, but members deliberated if §4.59 was supported by the evidence at TDRL placement and at separation.  Members agreed that the VA C&amp;P evidence </w:t>
      </w:r>
      <w:r w:rsidR="007C4E44">
        <w:rPr>
          <w:rFonts w:cs="Times New Roman"/>
          <w:color w:val="auto"/>
        </w:rPr>
        <w:t xml:space="preserve">during </w:t>
      </w:r>
      <w:r w:rsidR="00155584">
        <w:rPr>
          <w:rFonts w:cs="Times New Roman"/>
          <w:color w:val="auto"/>
        </w:rPr>
        <w:t xml:space="preserve">the initial MEB </w:t>
      </w:r>
      <w:r w:rsidR="007C4E44">
        <w:rPr>
          <w:rFonts w:cs="Times New Roman"/>
          <w:color w:val="auto"/>
        </w:rPr>
        <w:t xml:space="preserve">period </w:t>
      </w:r>
      <w:r w:rsidR="00155584">
        <w:rPr>
          <w:rFonts w:cs="Times New Roman"/>
          <w:color w:val="auto"/>
        </w:rPr>
        <w:t xml:space="preserve">was adequate justification for a compensable rating </w:t>
      </w:r>
      <w:r w:rsidR="00D22EDC">
        <w:rPr>
          <w:rFonts w:cs="Times New Roman"/>
          <w:color w:val="auto"/>
        </w:rPr>
        <w:t xml:space="preserve">at the time of TDRL placement, </w:t>
      </w:r>
      <w:r w:rsidR="00155584">
        <w:rPr>
          <w:rFonts w:cs="Times New Roman"/>
          <w:color w:val="auto"/>
        </w:rPr>
        <w:t xml:space="preserve">based on §4.59; but, both the mid-TDRL and final TDRL examinations specifically documented the absence of significant pain with motion.  </w:t>
      </w:r>
      <w:r w:rsidR="00155584" w:rsidRPr="00241B01">
        <w:rPr>
          <w:rFonts w:eastAsia="Calibri" w:cs="Times New Roman"/>
          <w:color w:val="auto"/>
          <w:szCs w:val="24"/>
        </w:rPr>
        <w:t xml:space="preserve">After due deliberation, </w:t>
      </w:r>
      <w:r w:rsidR="00155584" w:rsidRPr="00155584">
        <w:rPr>
          <w:rFonts w:eastAsia="Calibri" w:cs="Times New Roman"/>
          <w:color w:val="auto"/>
          <w:szCs w:val="24"/>
        </w:rPr>
        <w:t xml:space="preserve">considering all of the evidence and mindful of VASRD §4.3 (reasonable doubt), the Board recommends </w:t>
      </w:r>
      <w:r w:rsidR="00D22EDC">
        <w:rPr>
          <w:rFonts w:eastAsia="Calibri" w:cs="Times New Roman"/>
          <w:color w:val="auto"/>
          <w:szCs w:val="24"/>
        </w:rPr>
        <w:t xml:space="preserve">a </w:t>
      </w:r>
      <w:r w:rsidR="00D22EDC" w:rsidRPr="00155584">
        <w:rPr>
          <w:rFonts w:eastAsia="Calibri" w:cs="Times New Roman"/>
          <w:color w:val="auto"/>
          <w:szCs w:val="24"/>
        </w:rPr>
        <w:t>10%</w:t>
      </w:r>
      <w:r w:rsidR="00155584" w:rsidRPr="00155584">
        <w:rPr>
          <w:rFonts w:eastAsia="Calibri" w:cs="Times New Roman"/>
          <w:color w:val="auto"/>
          <w:szCs w:val="24"/>
        </w:rPr>
        <w:t xml:space="preserve"> disability rating </w:t>
      </w:r>
      <w:r w:rsidR="00D22EDC">
        <w:rPr>
          <w:rFonts w:eastAsia="Calibri" w:cs="Times New Roman"/>
          <w:color w:val="auto"/>
          <w:szCs w:val="24"/>
        </w:rPr>
        <w:t xml:space="preserve">of the right knee condition </w:t>
      </w:r>
      <w:r w:rsidR="00155584" w:rsidRPr="00155584">
        <w:rPr>
          <w:rFonts w:eastAsia="Calibri" w:cs="Times New Roman"/>
          <w:color w:val="auto"/>
          <w:szCs w:val="24"/>
        </w:rPr>
        <w:t>for the period of TDRL</w:t>
      </w:r>
      <w:r w:rsidR="00D22EDC">
        <w:rPr>
          <w:rFonts w:eastAsia="Calibri" w:cs="Times New Roman"/>
          <w:color w:val="auto"/>
          <w:szCs w:val="24"/>
        </w:rPr>
        <w:t>,</w:t>
      </w:r>
      <w:r w:rsidR="00155584" w:rsidRPr="00155584">
        <w:rPr>
          <w:rFonts w:eastAsia="Calibri" w:cs="Times New Roman"/>
          <w:color w:val="auto"/>
          <w:szCs w:val="24"/>
        </w:rPr>
        <w:t xml:space="preserve"> and </w:t>
      </w:r>
      <w:r w:rsidR="00D22EDC">
        <w:rPr>
          <w:rFonts w:eastAsia="Calibri" w:cs="Times New Roman"/>
          <w:color w:val="auto"/>
          <w:szCs w:val="24"/>
        </w:rPr>
        <w:t xml:space="preserve">a </w:t>
      </w:r>
      <w:r w:rsidR="00155584" w:rsidRPr="00155584">
        <w:rPr>
          <w:rFonts w:eastAsia="Calibri" w:cs="Times New Roman"/>
          <w:color w:val="auto"/>
          <w:szCs w:val="24"/>
        </w:rPr>
        <w:t xml:space="preserve">0% </w:t>
      </w:r>
      <w:r w:rsidR="00D22EDC">
        <w:rPr>
          <w:rFonts w:eastAsia="Calibri" w:cs="Times New Roman"/>
          <w:color w:val="auto"/>
          <w:szCs w:val="24"/>
        </w:rPr>
        <w:t xml:space="preserve">rating </w:t>
      </w:r>
      <w:r w:rsidR="00155584" w:rsidRPr="00155584">
        <w:rPr>
          <w:rFonts w:eastAsia="Calibri" w:cs="Times New Roman"/>
          <w:color w:val="auto"/>
          <w:szCs w:val="24"/>
        </w:rPr>
        <w:t xml:space="preserve">at permanent separation.  </w:t>
      </w:r>
      <w:r w:rsidR="00155584" w:rsidRPr="00155584">
        <w:rPr>
          <w:color w:val="000000"/>
          <w:szCs w:val="24"/>
        </w:rPr>
        <w:t xml:space="preserve">The </w:t>
      </w:r>
      <w:r w:rsidR="00A55F79">
        <w:rPr>
          <w:color w:val="000000"/>
          <w:szCs w:val="24"/>
        </w:rPr>
        <w:t>a</w:t>
      </w:r>
      <w:r w:rsidR="00155584" w:rsidRPr="00155584">
        <w:rPr>
          <w:color w:val="000000"/>
          <w:szCs w:val="24"/>
        </w:rPr>
        <w:t>ction</w:t>
      </w:r>
      <w:r w:rsidR="00155584">
        <w:rPr>
          <w:color w:val="000000"/>
          <w:szCs w:val="24"/>
        </w:rPr>
        <w:t xml:space="preserve"> </w:t>
      </w:r>
      <w:r w:rsidR="00A55F79">
        <w:rPr>
          <w:color w:val="000000"/>
          <w:szCs w:val="24"/>
        </w:rPr>
        <w:t>o</w:t>
      </w:r>
      <w:r w:rsidR="00155584">
        <w:rPr>
          <w:color w:val="000000"/>
          <w:szCs w:val="24"/>
        </w:rPr>
        <w:t xml:space="preserve">fficer recommended, and the Board concurred with, the code </w:t>
      </w:r>
      <w:r w:rsidR="00155584" w:rsidRPr="00155584">
        <w:rPr>
          <w:rFonts w:eastAsia="Calibri" w:cs="Times New Roman"/>
          <w:color w:val="auto"/>
          <w:szCs w:val="24"/>
        </w:rPr>
        <w:t>5024 (tenosynovitis)</w:t>
      </w:r>
      <w:r w:rsidR="00155584">
        <w:rPr>
          <w:color w:val="000000"/>
          <w:szCs w:val="24"/>
        </w:rPr>
        <w:t xml:space="preserve"> f</w:t>
      </w:r>
      <w:r w:rsidR="00EB578B">
        <w:rPr>
          <w:color w:val="000000"/>
          <w:szCs w:val="24"/>
        </w:rPr>
        <w:t>or its clinical compatibility.</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E224F" w:rsidRPr="00560F12" w:rsidRDefault="00AD2379" w:rsidP="004C6B79">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2C48DC" w:rsidRPr="00241B01">
        <w:rPr>
          <w:rFonts w:eastAsia="Calibri" w:cs="Times New Roman"/>
          <w:color w:val="auto"/>
          <w:szCs w:val="24"/>
        </w:rPr>
        <w:t xml:space="preserve">As discussed above, PEB reliance on the USAPDA pain policy for rating </w:t>
      </w:r>
      <w:r w:rsidR="002C48DC">
        <w:rPr>
          <w:rFonts w:eastAsia="Calibri" w:cs="Times New Roman"/>
          <w:color w:val="auto"/>
          <w:szCs w:val="24"/>
        </w:rPr>
        <w:t>the lumbar spine and right knee conditions</w:t>
      </w:r>
      <w:r w:rsidR="002C48DC" w:rsidRPr="00241B01">
        <w:rPr>
          <w:rFonts w:eastAsia="Calibri" w:cs="Times New Roman"/>
          <w:color w:val="auto"/>
          <w:szCs w:val="24"/>
        </w:rPr>
        <w:t xml:space="preserve"> </w:t>
      </w:r>
      <w:r w:rsidR="002C48DC">
        <w:rPr>
          <w:rFonts w:eastAsia="Calibri" w:cs="Times New Roman"/>
          <w:color w:val="auto"/>
          <w:szCs w:val="24"/>
        </w:rPr>
        <w:t>was operant in this case and those</w:t>
      </w:r>
      <w:r w:rsidR="002C48DC" w:rsidRPr="00241B01">
        <w:rPr>
          <w:rFonts w:eastAsia="Calibri" w:cs="Times New Roman"/>
          <w:color w:val="auto"/>
          <w:szCs w:val="24"/>
        </w:rPr>
        <w:t xml:space="preserve"> condition</w:t>
      </w:r>
      <w:r w:rsidR="002C48DC">
        <w:rPr>
          <w:rFonts w:eastAsia="Calibri" w:cs="Times New Roman"/>
          <w:color w:val="auto"/>
          <w:szCs w:val="24"/>
        </w:rPr>
        <w:t>s were</w:t>
      </w:r>
      <w:r w:rsidR="002C48DC" w:rsidRPr="00241B01">
        <w:rPr>
          <w:rFonts w:eastAsia="Calibri" w:cs="Times New Roman"/>
          <w:color w:val="auto"/>
          <w:szCs w:val="24"/>
        </w:rPr>
        <w:t xml:space="preserve"> adjudicated independently of that policy by the </w:t>
      </w:r>
      <w:r w:rsidR="002C48DC" w:rsidRPr="00241B01">
        <w:rPr>
          <w:rFonts w:eastAsia="Calibri" w:cs="Times New Roman"/>
          <w:color w:val="auto"/>
          <w:szCs w:val="24"/>
        </w:rPr>
        <w:lastRenderedPageBreak/>
        <w:t xml:space="preserve">Board. </w:t>
      </w:r>
      <w:r w:rsidR="002C48DC">
        <w:rPr>
          <w:rFonts w:eastAsia="Calibri" w:cs="Times New Roman"/>
          <w:color w:val="auto"/>
          <w:szCs w:val="24"/>
        </w:rPr>
        <w:t xml:space="preserve"> </w:t>
      </w:r>
      <w:r w:rsidR="002C48DC" w:rsidRPr="00560F12">
        <w:rPr>
          <w:rFonts w:eastAsia="Calibri" w:cs="Times New Roman"/>
          <w:color w:val="auto"/>
          <w:szCs w:val="24"/>
        </w:rPr>
        <w:t xml:space="preserve">In the matter of the </w:t>
      </w:r>
      <w:r w:rsidR="002C48DC">
        <w:rPr>
          <w:rFonts w:eastAsia="Calibri" w:cs="Times New Roman"/>
          <w:color w:val="auto"/>
          <w:szCs w:val="24"/>
        </w:rPr>
        <w:t>asthma</w:t>
      </w:r>
      <w:r w:rsidR="002C48DC" w:rsidRPr="00560F12">
        <w:rPr>
          <w:rFonts w:eastAsia="Calibri" w:cs="Times New Roman"/>
          <w:color w:val="auto"/>
          <w:szCs w:val="24"/>
        </w:rPr>
        <w:t xml:space="preserve"> condition and IAW </w:t>
      </w:r>
      <w:r w:rsidR="002C48DC" w:rsidRPr="0059502F">
        <w:rPr>
          <w:rFonts w:eastAsia="Calibri" w:cs="Times New Roman"/>
          <w:color w:val="auto"/>
          <w:szCs w:val="24"/>
        </w:rPr>
        <w:t xml:space="preserve">VASRD </w:t>
      </w:r>
      <w:r w:rsidR="002C48DC" w:rsidRPr="0059502F">
        <w:rPr>
          <w:rFonts w:cs="Times New Roman"/>
          <w:color w:val="auto"/>
        </w:rPr>
        <w:t>§4.100</w:t>
      </w:r>
      <w:r w:rsidR="002C48DC" w:rsidRPr="0059502F">
        <w:rPr>
          <w:rFonts w:eastAsia="Calibri" w:cs="Times New Roman"/>
          <w:color w:val="auto"/>
          <w:szCs w:val="24"/>
        </w:rPr>
        <w:t xml:space="preserve">, the Board unanimously recommends no change in the PEB adjudications </w:t>
      </w:r>
      <w:r w:rsidR="00064A38" w:rsidRPr="0059502F">
        <w:rPr>
          <w:rFonts w:eastAsia="Calibri" w:cs="Times New Roman"/>
          <w:color w:val="auto"/>
          <w:szCs w:val="24"/>
        </w:rPr>
        <w:t>for the period of TDRL or permanently</w:t>
      </w:r>
      <w:r w:rsidR="002C48DC" w:rsidRPr="0059502F">
        <w:rPr>
          <w:rFonts w:eastAsia="Calibri" w:cs="Times New Roman"/>
          <w:color w:val="auto"/>
          <w:szCs w:val="24"/>
        </w:rPr>
        <w:t xml:space="preserve">.  </w:t>
      </w:r>
      <w:r w:rsidR="00064A38" w:rsidRPr="0059502F">
        <w:rPr>
          <w:rFonts w:eastAsia="Calibri" w:cs="Times New Roman"/>
          <w:color w:val="auto"/>
          <w:szCs w:val="24"/>
        </w:rPr>
        <w:t>In the matter of the lumbar spine condition, the Board unanimously recommends a disability rating of 40% for the period of TDRL and a 20% permanent rating, coded 5242 IAW VASRD §4.71a.</w:t>
      </w:r>
      <w:r w:rsidR="004C6B79" w:rsidRPr="0059502F">
        <w:rPr>
          <w:rFonts w:eastAsia="Calibri" w:cs="Times New Roman"/>
          <w:color w:val="auto"/>
          <w:szCs w:val="24"/>
        </w:rPr>
        <w:t xml:space="preserve">  In the matter of the right knee condition, the Board unanimously recommends a disability rating of 10% for the period of TDRL and a 0% permanent rating, coded 5024 IAW VASRD §4.71a.  There were no other conditions within the Board’s scope of review for consideration.</w:t>
      </w:r>
      <w:r w:rsidR="004C6B79" w:rsidRPr="00560F12">
        <w:rPr>
          <w:rFonts w:eastAsia="Calibri" w:cs="Times New Roman"/>
          <w:color w:val="auto"/>
          <w:szCs w:val="24"/>
        </w:rPr>
        <w:t xml:space="preserve"> </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322BE8" w:rsidRPr="00565636" w:rsidRDefault="00AD2379" w:rsidP="00322BE8">
      <w:pPr>
        <w:tabs>
          <w:tab w:val="left" w:pos="288"/>
          <w:tab w:val="left" w:pos="4752"/>
        </w:tabs>
        <w:jc w:val="both"/>
        <w:rPr>
          <w:rFonts w:eastAsia="Calibri" w:cs="Times New Roman"/>
          <w:color w:val="auto"/>
          <w:szCs w:val="24"/>
        </w:rPr>
      </w:pPr>
      <w:r w:rsidRPr="009A7578">
        <w:rPr>
          <w:color w:val="000000"/>
          <w:u w:val="single"/>
        </w:rPr>
        <w:t>RECOMMENDATION</w:t>
      </w:r>
      <w:r w:rsidRPr="009A7578">
        <w:rPr>
          <w:color w:val="000000"/>
        </w:rPr>
        <w:t xml:space="preserve">: </w:t>
      </w:r>
      <w:r w:rsidR="00322BE8" w:rsidRPr="00565636">
        <w:rPr>
          <w:rFonts w:eastAsia="Calibri" w:cs="Times New Roman"/>
          <w:color w:val="auto"/>
          <w:szCs w:val="24"/>
        </w:rPr>
        <w:t xml:space="preserve">The Board recommends that the CI’s prior determination be modified as </w:t>
      </w:r>
      <w:r w:rsidR="00322BE8" w:rsidRPr="003E4FD7">
        <w:rPr>
          <w:rFonts w:eastAsia="Calibri" w:cs="Times New Roman"/>
          <w:color w:val="auto"/>
          <w:szCs w:val="24"/>
        </w:rPr>
        <w:t>follows; and, that</w:t>
      </w:r>
      <w:r w:rsidR="00322BE8" w:rsidRPr="00565636">
        <w:rPr>
          <w:rFonts w:eastAsia="Calibri" w:cs="Times New Roman"/>
          <w:color w:val="auto"/>
          <w:szCs w:val="24"/>
        </w:rPr>
        <w:t xml:space="preserve"> the discharge with severance pay be recharacterized to reflect permanent disability retirement, effective as of the date of his prior medical separation.</w:t>
      </w:r>
    </w:p>
    <w:p w:rsidR="00071071" w:rsidRDefault="00071071" w:rsidP="00BF0E94">
      <w:pPr>
        <w:jc w:val="both"/>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gridCol w:w="1530"/>
        <w:gridCol w:w="810"/>
        <w:gridCol w:w="1530"/>
      </w:tblGrid>
      <w:tr w:rsidR="00071071" w:rsidRPr="00071071" w:rsidTr="00E556A7">
        <w:trPr>
          <w:trHeight w:val="206"/>
          <w:jc w:val="center"/>
        </w:trPr>
        <w:tc>
          <w:tcPr>
            <w:tcW w:w="5490" w:type="dxa"/>
            <w:vMerge w:val="restart"/>
            <w:shd w:val="clear" w:color="auto" w:fill="D9D9D9"/>
            <w:vAlign w:val="center"/>
          </w:tcPr>
          <w:p w:rsidR="00071071" w:rsidRPr="00071071" w:rsidRDefault="00071071" w:rsidP="00071071">
            <w:pPr>
              <w:tabs>
                <w:tab w:val="left" w:pos="288"/>
                <w:tab w:val="left" w:pos="4752"/>
              </w:tabs>
              <w:rPr>
                <w:rFonts w:eastAsia="Calibri" w:cs="Times New Roman"/>
                <w:b/>
                <w:color w:val="auto"/>
                <w:szCs w:val="24"/>
              </w:rPr>
            </w:pPr>
            <w:r w:rsidRPr="00071071">
              <w:rPr>
                <w:rFonts w:eastAsia="Calibri" w:cs="Times New Roman"/>
                <w:b/>
                <w:color w:val="auto"/>
                <w:szCs w:val="24"/>
              </w:rPr>
              <w:t>UNFITTING CONDITION</w:t>
            </w:r>
          </w:p>
        </w:tc>
        <w:tc>
          <w:tcPr>
            <w:tcW w:w="1530" w:type="dxa"/>
            <w:vMerge w:val="restart"/>
            <w:shd w:val="clear" w:color="auto" w:fill="D9D9D9"/>
            <w:vAlign w:val="center"/>
          </w:tcPr>
          <w:p w:rsidR="00071071" w:rsidRPr="00071071" w:rsidRDefault="00071071" w:rsidP="00071071">
            <w:pPr>
              <w:tabs>
                <w:tab w:val="left" w:pos="288"/>
                <w:tab w:val="left" w:pos="4752"/>
              </w:tabs>
              <w:rPr>
                <w:rFonts w:eastAsia="Calibri" w:cs="Times New Roman"/>
                <w:b/>
                <w:color w:val="auto"/>
                <w:szCs w:val="24"/>
              </w:rPr>
            </w:pPr>
            <w:r w:rsidRPr="00071071">
              <w:rPr>
                <w:rFonts w:eastAsia="Calibri" w:cs="Times New Roman"/>
                <w:b/>
                <w:color w:val="auto"/>
                <w:szCs w:val="24"/>
              </w:rPr>
              <w:t>VASRD CODE</w:t>
            </w:r>
          </w:p>
        </w:tc>
        <w:tc>
          <w:tcPr>
            <w:tcW w:w="2340" w:type="dxa"/>
            <w:gridSpan w:val="2"/>
            <w:tcBorders>
              <w:bottom w:val="single" w:sz="4" w:space="0" w:color="auto"/>
            </w:tcBorders>
            <w:shd w:val="clear" w:color="auto" w:fill="D9D9D9"/>
            <w:vAlign w:val="center"/>
          </w:tcPr>
          <w:p w:rsidR="00071071" w:rsidRPr="00071071" w:rsidRDefault="00071071" w:rsidP="00071071">
            <w:pPr>
              <w:rPr>
                <w:color w:val="000000"/>
              </w:rPr>
            </w:pPr>
            <w:r w:rsidRPr="00071071">
              <w:rPr>
                <w:rFonts w:eastAsia="Calibri" w:cs="Times New Roman"/>
                <w:b/>
                <w:color w:val="auto"/>
                <w:szCs w:val="24"/>
              </w:rPr>
              <w:t>RATING</w:t>
            </w:r>
          </w:p>
        </w:tc>
      </w:tr>
      <w:tr w:rsidR="00071071" w:rsidRPr="00071071" w:rsidTr="00E556A7">
        <w:trPr>
          <w:trHeight w:val="194"/>
          <w:jc w:val="center"/>
        </w:trPr>
        <w:tc>
          <w:tcPr>
            <w:tcW w:w="5490" w:type="dxa"/>
            <w:vMerge/>
            <w:shd w:val="clear" w:color="auto" w:fill="D9D9D9"/>
            <w:vAlign w:val="center"/>
          </w:tcPr>
          <w:p w:rsidR="00071071" w:rsidRPr="00071071" w:rsidRDefault="00071071" w:rsidP="00071071">
            <w:pPr>
              <w:tabs>
                <w:tab w:val="left" w:pos="288"/>
                <w:tab w:val="left" w:pos="4752"/>
              </w:tabs>
              <w:rPr>
                <w:rFonts w:eastAsia="Calibri" w:cs="Times New Roman"/>
                <w:b/>
                <w:color w:val="auto"/>
                <w:szCs w:val="24"/>
              </w:rPr>
            </w:pPr>
          </w:p>
        </w:tc>
        <w:tc>
          <w:tcPr>
            <w:tcW w:w="1530" w:type="dxa"/>
            <w:vMerge/>
            <w:shd w:val="clear" w:color="auto" w:fill="D9D9D9"/>
            <w:vAlign w:val="center"/>
          </w:tcPr>
          <w:p w:rsidR="00071071" w:rsidRPr="00071071" w:rsidRDefault="00071071" w:rsidP="00071071">
            <w:pPr>
              <w:tabs>
                <w:tab w:val="left" w:pos="288"/>
                <w:tab w:val="left" w:pos="4752"/>
              </w:tabs>
              <w:rPr>
                <w:rFonts w:eastAsia="Calibri" w:cs="Times New Roman"/>
                <w:b/>
                <w:color w:val="auto"/>
                <w:szCs w:val="24"/>
              </w:rPr>
            </w:pPr>
          </w:p>
        </w:tc>
        <w:tc>
          <w:tcPr>
            <w:tcW w:w="810" w:type="dxa"/>
            <w:tcBorders>
              <w:top w:val="single" w:sz="4" w:space="0" w:color="auto"/>
            </w:tcBorders>
            <w:shd w:val="clear" w:color="auto" w:fill="D9D9D9"/>
            <w:vAlign w:val="center"/>
          </w:tcPr>
          <w:p w:rsidR="00071071" w:rsidRPr="00071071" w:rsidRDefault="00071071" w:rsidP="00071071">
            <w:pPr>
              <w:rPr>
                <w:color w:val="000000"/>
              </w:rPr>
            </w:pPr>
            <w:r w:rsidRPr="00071071">
              <w:rPr>
                <w:rFonts w:eastAsia="Calibri" w:cs="Times New Roman"/>
                <w:b/>
                <w:color w:val="auto"/>
                <w:szCs w:val="24"/>
              </w:rPr>
              <w:t>TDRL</w:t>
            </w:r>
          </w:p>
        </w:tc>
        <w:tc>
          <w:tcPr>
            <w:tcW w:w="1530" w:type="dxa"/>
            <w:tcBorders>
              <w:top w:val="single" w:sz="4" w:space="0" w:color="auto"/>
            </w:tcBorders>
            <w:shd w:val="pct15" w:color="auto" w:fill="auto"/>
            <w:vAlign w:val="center"/>
          </w:tcPr>
          <w:p w:rsidR="00071071" w:rsidRPr="00071071" w:rsidRDefault="00071071" w:rsidP="00071071">
            <w:pPr>
              <w:tabs>
                <w:tab w:val="left" w:pos="288"/>
                <w:tab w:val="left" w:pos="4752"/>
              </w:tabs>
              <w:rPr>
                <w:rFonts w:eastAsia="Calibri" w:cs="Times New Roman"/>
                <w:b/>
                <w:color w:val="auto"/>
                <w:szCs w:val="24"/>
              </w:rPr>
            </w:pPr>
            <w:r w:rsidRPr="00071071">
              <w:rPr>
                <w:rFonts w:eastAsia="Calibri" w:cs="Times New Roman"/>
                <w:b/>
                <w:color w:val="auto"/>
                <w:szCs w:val="24"/>
              </w:rPr>
              <w:t>PERMANENT</w:t>
            </w:r>
          </w:p>
        </w:tc>
      </w:tr>
      <w:tr w:rsidR="00071071" w:rsidRPr="0059502F" w:rsidTr="00E556A7">
        <w:trPr>
          <w:trHeight w:val="197"/>
          <w:jc w:val="center"/>
        </w:trPr>
        <w:tc>
          <w:tcPr>
            <w:tcW w:w="5490" w:type="dxa"/>
            <w:vAlign w:val="center"/>
          </w:tcPr>
          <w:p w:rsidR="00071071" w:rsidRPr="0059502F" w:rsidRDefault="00322BE8" w:rsidP="00071071">
            <w:pPr>
              <w:tabs>
                <w:tab w:val="left" w:pos="288"/>
                <w:tab w:val="left" w:pos="4752"/>
              </w:tabs>
              <w:jc w:val="left"/>
              <w:rPr>
                <w:rFonts w:eastAsia="Calibri" w:cs="Times New Roman"/>
                <w:color w:val="auto"/>
                <w:szCs w:val="24"/>
              </w:rPr>
            </w:pPr>
            <w:r w:rsidRPr="0059502F">
              <w:rPr>
                <w:color w:val="000000"/>
              </w:rPr>
              <w:t>Asthma</w:t>
            </w:r>
          </w:p>
        </w:tc>
        <w:tc>
          <w:tcPr>
            <w:tcW w:w="1530" w:type="dxa"/>
            <w:tcBorders>
              <w:bottom w:val="single" w:sz="4" w:space="0" w:color="000000"/>
            </w:tcBorders>
            <w:vAlign w:val="center"/>
          </w:tcPr>
          <w:p w:rsidR="00071071" w:rsidRPr="0059502F" w:rsidRDefault="00201F8B" w:rsidP="00071071">
            <w:pPr>
              <w:tabs>
                <w:tab w:val="left" w:pos="288"/>
                <w:tab w:val="left" w:pos="4752"/>
              </w:tabs>
              <w:rPr>
                <w:color w:val="000000"/>
              </w:rPr>
            </w:pPr>
            <w:r w:rsidRPr="0059502F">
              <w:rPr>
                <w:color w:val="000000"/>
              </w:rPr>
              <w:t>6602</w:t>
            </w:r>
          </w:p>
        </w:tc>
        <w:tc>
          <w:tcPr>
            <w:tcW w:w="810" w:type="dxa"/>
            <w:tcBorders>
              <w:bottom w:val="single" w:sz="4" w:space="0" w:color="000000"/>
            </w:tcBorders>
            <w:vAlign w:val="center"/>
          </w:tcPr>
          <w:p w:rsidR="00071071" w:rsidRPr="0059502F" w:rsidRDefault="00201F8B" w:rsidP="00071071">
            <w:pPr>
              <w:tabs>
                <w:tab w:val="left" w:pos="288"/>
                <w:tab w:val="left" w:pos="4752"/>
              </w:tabs>
              <w:rPr>
                <w:color w:val="000000"/>
              </w:rPr>
            </w:pPr>
            <w:r w:rsidRPr="0059502F">
              <w:rPr>
                <w:color w:val="000000"/>
              </w:rPr>
              <w:t>3</w:t>
            </w:r>
            <w:r w:rsidR="00071071" w:rsidRPr="0059502F">
              <w:rPr>
                <w:color w:val="000000"/>
              </w:rPr>
              <w:t>0%</w:t>
            </w:r>
          </w:p>
        </w:tc>
        <w:tc>
          <w:tcPr>
            <w:tcW w:w="1530" w:type="dxa"/>
            <w:tcBorders>
              <w:bottom w:val="single" w:sz="4" w:space="0" w:color="000000"/>
            </w:tcBorders>
            <w:vAlign w:val="center"/>
          </w:tcPr>
          <w:p w:rsidR="00071071" w:rsidRPr="0059502F" w:rsidRDefault="00201F8B" w:rsidP="00071071">
            <w:pPr>
              <w:tabs>
                <w:tab w:val="left" w:pos="288"/>
                <w:tab w:val="left" w:pos="4752"/>
              </w:tabs>
              <w:rPr>
                <w:rFonts w:eastAsia="Calibri" w:cs="Times New Roman"/>
                <w:color w:val="auto"/>
                <w:szCs w:val="24"/>
              </w:rPr>
            </w:pPr>
            <w:r w:rsidRPr="0059502F">
              <w:rPr>
                <w:rFonts w:eastAsia="Calibri" w:cs="Times New Roman"/>
                <w:color w:val="auto"/>
                <w:szCs w:val="24"/>
              </w:rPr>
              <w:t>1</w:t>
            </w:r>
            <w:r w:rsidR="00071071" w:rsidRPr="0059502F">
              <w:rPr>
                <w:rFonts w:eastAsia="Calibri" w:cs="Times New Roman"/>
                <w:color w:val="auto"/>
                <w:szCs w:val="24"/>
              </w:rPr>
              <w:t>0%</w:t>
            </w:r>
          </w:p>
        </w:tc>
      </w:tr>
      <w:tr w:rsidR="00322BE8" w:rsidRPr="0059502F" w:rsidTr="00E556A7">
        <w:trPr>
          <w:trHeight w:val="197"/>
          <w:jc w:val="center"/>
        </w:trPr>
        <w:tc>
          <w:tcPr>
            <w:tcW w:w="5490" w:type="dxa"/>
            <w:vAlign w:val="center"/>
          </w:tcPr>
          <w:p w:rsidR="00322BE8" w:rsidRPr="0059502F" w:rsidRDefault="00322BE8" w:rsidP="00071071">
            <w:pPr>
              <w:tabs>
                <w:tab w:val="left" w:pos="288"/>
                <w:tab w:val="left" w:pos="4752"/>
              </w:tabs>
              <w:jc w:val="left"/>
              <w:rPr>
                <w:color w:val="000000"/>
              </w:rPr>
            </w:pPr>
            <w:r w:rsidRPr="0059502F">
              <w:rPr>
                <w:color w:val="000000"/>
              </w:rPr>
              <w:t>Degenerative Lumbar Spine and Disc Disease</w:t>
            </w:r>
          </w:p>
        </w:tc>
        <w:tc>
          <w:tcPr>
            <w:tcW w:w="1530" w:type="dxa"/>
            <w:tcBorders>
              <w:bottom w:val="single" w:sz="4" w:space="0" w:color="000000"/>
            </w:tcBorders>
            <w:vAlign w:val="center"/>
          </w:tcPr>
          <w:p w:rsidR="00322BE8" w:rsidRPr="0059502F" w:rsidRDefault="00201F8B" w:rsidP="00071071">
            <w:pPr>
              <w:tabs>
                <w:tab w:val="left" w:pos="288"/>
                <w:tab w:val="left" w:pos="4752"/>
              </w:tabs>
              <w:rPr>
                <w:color w:val="000000"/>
              </w:rPr>
            </w:pPr>
            <w:r w:rsidRPr="0059502F">
              <w:rPr>
                <w:color w:val="000000"/>
              </w:rPr>
              <w:t>5242</w:t>
            </w:r>
          </w:p>
        </w:tc>
        <w:tc>
          <w:tcPr>
            <w:tcW w:w="810" w:type="dxa"/>
            <w:tcBorders>
              <w:bottom w:val="single" w:sz="4" w:space="0" w:color="000000"/>
            </w:tcBorders>
            <w:vAlign w:val="center"/>
          </w:tcPr>
          <w:p w:rsidR="00322BE8" w:rsidRPr="0059502F" w:rsidRDefault="00201F8B" w:rsidP="00071071">
            <w:pPr>
              <w:tabs>
                <w:tab w:val="left" w:pos="288"/>
                <w:tab w:val="left" w:pos="4752"/>
              </w:tabs>
              <w:rPr>
                <w:color w:val="000000"/>
              </w:rPr>
            </w:pPr>
            <w:r w:rsidRPr="0059502F">
              <w:rPr>
                <w:color w:val="000000"/>
              </w:rPr>
              <w:t>40%</w:t>
            </w:r>
          </w:p>
        </w:tc>
        <w:tc>
          <w:tcPr>
            <w:tcW w:w="1530" w:type="dxa"/>
            <w:tcBorders>
              <w:bottom w:val="single" w:sz="4" w:space="0" w:color="000000"/>
            </w:tcBorders>
            <w:vAlign w:val="center"/>
          </w:tcPr>
          <w:p w:rsidR="00322BE8" w:rsidRPr="0059502F" w:rsidRDefault="00201F8B" w:rsidP="0059502F">
            <w:pPr>
              <w:tabs>
                <w:tab w:val="left" w:pos="288"/>
                <w:tab w:val="left" w:pos="4752"/>
              </w:tabs>
              <w:rPr>
                <w:rFonts w:eastAsia="Calibri" w:cs="Times New Roman"/>
                <w:color w:val="auto"/>
                <w:szCs w:val="24"/>
              </w:rPr>
            </w:pPr>
            <w:r w:rsidRPr="0059502F">
              <w:rPr>
                <w:rFonts w:eastAsia="Calibri" w:cs="Times New Roman"/>
                <w:color w:val="auto"/>
                <w:szCs w:val="24"/>
              </w:rPr>
              <w:t xml:space="preserve">20% </w:t>
            </w:r>
          </w:p>
        </w:tc>
      </w:tr>
      <w:tr w:rsidR="00322BE8" w:rsidRPr="0059502F" w:rsidTr="00E556A7">
        <w:trPr>
          <w:trHeight w:val="197"/>
          <w:jc w:val="center"/>
        </w:trPr>
        <w:tc>
          <w:tcPr>
            <w:tcW w:w="5490" w:type="dxa"/>
            <w:vAlign w:val="center"/>
          </w:tcPr>
          <w:p w:rsidR="00322BE8" w:rsidRPr="0059502F" w:rsidRDefault="00201F8B" w:rsidP="00071071">
            <w:pPr>
              <w:tabs>
                <w:tab w:val="left" w:pos="288"/>
                <w:tab w:val="left" w:pos="4752"/>
              </w:tabs>
              <w:jc w:val="left"/>
              <w:rPr>
                <w:color w:val="000000"/>
              </w:rPr>
            </w:pPr>
            <w:r w:rsidRPr="0059502F">
              <w:rPr>
                <w:color w:val="000000"/>
              </w:rPr>
              <w:t>Synovitis, Right Knee</w:t>
            </w:r>
          </w:p>
        </w:tc>
        <w:tc>
          <w:tcPr>
            <w:tcW w:w="1530" w:type="dxa"/>
            <w:tcBorders>
              <w:bottom w:val="single" w:sz="4" w:space="0" w:color="000000"/>
            </w:tcBorders>
            <w:vAlign w:val="center"/>
          </w:tcPr>
          <w:p w:rsidR="00322BE8" w:rsidRPr="0059502F" w:rsidRDefault="00201F8B" w:rsidP="00071071">
            <w:pPr>
              <w:tabs>
                <w:tab w:val="left" w:pos="288"/>
                <w:tab w:val="left" w:pos="4752"/>
              </w:tabs>
              <w:rPr>
                <w:color w:val="000000"/>
              </w:rPr>
            </w:pPr>
            <w:r w:rsidRPr="0059502F">
              <w:rPr>
                <w:color w:val="000000"/>
              </w:rPr>
              <w:t>5024</w:t>
            </w:r>
          </w:p>
        </w:tc>
        <w:tc>
          <w:tcPr>
            <w:tcW w:w="810" w:type="dxa"/>
            <w:tcBorders>
              <w:bottom w:val="single" w:sz="4" w:space="0" w:color="000000"/>
            </w:tcBorders>
            <w:vAlign w:val="center"/>
          </w:tcPr>
          <w:p w:rsidR="00322BE8" w:rsidRPr="0059502F" w:rsidRDefault="00201F8B" w:rsidP="00071071">
            <w:pPr>
              <w:tabs>
                <w:tab w:val="left" w:pos="288"/>
                <w:tab w:val="left" w:pos="4752"/>
              </w:tabs>
              <w:rPr>
                <w:color w:val="000000"/>
              </w:rPr>
            </w:pPr>
            <w:r w:rsidRPr="0059502F">
              <w:rPr>
                <w:color w:val="000000"/>
              </w:rPr>
              <w:t>10%</w:t>
            </w:r>
          </w:p>
        </w:tc>
        <w:tc>
          <w:tcPr>
            <w:tcW w:w="1530" w:type="dxa"/>
            <w:tcBorders>
              <w:bottom w:val="single" w:sz="4" w:space="0" w:color="000000"/>
            </w:tcBorders>
            <w:vAlign w:val="center"/>
          </w:tcPr>
          <w:p w:rsidR="00322BE8" w:rsidRPr="0059502F" w:rsidRDefault="00201F8B" w:rsidP="00071071">
            <w:pPr>
              <w:tabs>
                <w:tab w:val="left" w:pos="288"/>
                <w:tab w:val="left" w:pos="4752"/>
              </w:tabs>
              <w:rPr>
                <w:rFonts w:eastAsia="Calibri" w:cs="Times New Roman"/>
                <w:color w:val="auto"/>
                <w:szCs w:val="24"/>
              </w:rPr>
            </w:pPr>
            <w:r w:rsidRPr="0059502F">
              <w:rPr>
                <w:rFonts w:eastAsia="Calibri" w:cs="Times New Roman"/>
                <w:color w:val="auto"/>
                <w:szCs w:val="24"/>
              </w:rPr>
              <w:t>0%</w:t>
            </w:r>
          </w:p>
        </w:tc>
      </w:tr>
      <w:tr w:rsidR="00071071" w:rsidRPr="00071071" w:rsidTr="00E556A7">
        <w:tblPrEx>
          <w:tblLook w:val="0000" w:firstRow="0" w:lastRow="0" w:firstColumn="0" w:lastColumn="0" w:noHBand="0" w:noVBand="0"/>
        </w:tblPrEx>
        <w:trPr>
          <w:gridBefore w:val="1"/>
          <w:wBefore w:w="5490" w:type="dxa"/>
          <w:trHeight w:val="161"/>
          <w:jc w:val="center"/>
        </w:trPr>
        <w:tc>
          <w:tcPr>
            <w:tcW w:w="1530" w:type="dxa"/>
            <w:tcBorders>
              <w:left w:val="single" w:sz="4" w:space="0" w:color="auto"/>
            </w:tcBorders>
            <w:shd w:val="pct15" w:color="auto" w:fill="auto"/>
            <w:vAlign w:val="center"/>
          </w:tcPr>
          <w:p w:rsidR="00071071" w:rsidRPr="0059502F" w:rsidRDefault="00071071" w:rsidP="00071071">
            <w:pPr>
              <w:tabs>
                <w:tab w:val="left" w:pos="288"/>
                <w:tab w:val="left" w:pos="4752"/>
              </w:tabs>
              <w:rPr>
                <w:rFonts w:eastAsia="Calibri" w:cs="Times New Roman"/>
                <w:b/>
                <w:color w:val="auto"/>
                <w:szCs w:val="24"/>
              </w:rPr>
            </w:pPr>
            <w:r w:rsidRPr="0059502F">
              <w:rPr>
                <w:rFonts w:eastAsia="Calibri" w:cs="Times New Roman"/>
                <w:b/>
                <w:color w:val="auto"/>
                <w:szCs w:val="24"/>
              </w:rPr>
              <w:t>COMBINED</w:t>
            </w:r>
          </w:p>
        </w:tc>
        <w:tc>
          <w:tcPr>
            <w:tcW w:w="810" w:type="dxa"/>
            <w:tcBorders>
              <w:left w:val="single" w:sz="4" w:space="0" w:color="auto"/>
            </w:tcBorders>
            <w:shd w:val="pct15" w:color="auto" w:fill="auto"/>
            <w:vAlign w:val="center"/>
          </w:tcPr>
          <w:p w:rsidR="00071071" w:rsidRPr="0059502F" w:rsidRDefault="00201F8B" w:rsidP="00071071">
            <w:pPr>
              <w:tabs>
                <w:tab w:val="left" w:pos="288"/>
                <w:tab w:val="left" w:pos="4752"/>
              </w:tabs>
              <w:rPr>
                <w:rFonts w:eastAsia="Calibri" w:cs="Times New Roman"/>
                <w:b/>
                <w:color w:val="auto"/>
                <w:szCs w:val="24"/>
              </w:rPr>
            </w:pPr>
            <w:r w:rsidRPr="0059502F">
              <w:rPr>
                <w:rFonts w:eastAsia="Calibri" w:cs="Times New Roman"/>
                <w:b/>
                <w:color w:val="auto"/>
                <w:szCs w:val="24"/>
              </w:rPr>
              <w:t>6</w:t>
            </w:r>
            <w:r w:rsidR="00071071" w:rsidRPr="0059502F">
              <w:rPr>
                <w:rFonts w:eastAsia="Calibri" w:cs="Times New Roman"/>
                <w:b/>
                <w:color w:val="auto"/>
                <w:szCs w:val="24"/>
              </w:rPr>
              <w:t>0%</w:t>
            </w:r>
          </w:p>
        </w:tc>
        <w:tc>
          <w:tcPr>
            <w:tcW w:w="1530" w:type="dxa"/>
            <w:shd w:val="pct15" w:color="auto" w:fill="auto"/>
            <w:vAlign w:val="center"/>
          </w:tcPr>
          <w:p w:rsidR="00071071" w:rsidRPr="00071071" w:rsidRDefault="00201F8B" w:rsidP="0059502F">
            <w:pPr>
              <w:tabs>
                <w:tab w:val="left" w:pos="288"/>
                <w:tab w:val="left" w:pos="4752"/>
              </w:tabs>
              <w:rPr>
                <w:rFonts w:eastAsia="Calibri" w:cs="Times New Roman"/>
                <w:b/>
                <w:color w:val="auto"/>
                <w:szCs w:val="24"/>
              </w:rPr>
            </w:pPr>
            <w:r w:rsidRPr="0059502F">
              <w:rPr>
                <w:rFonts w:eastAsia="Calibri" w:cs="Times New Roman"/>
                <w:b/>
                <w:color w:val="auto"/>
                <w:szCs w:val="24"/>
              </w:rPr>
              <w:t>3</w:t>
            </w:r>
            <w:r w:rsidR="00071071" w:rsidRPr="0059502F">
              <w:rPr>
                <w:rFonts w:eastAsia="Calibri" w:cs="Times New Roman"/>
                <w:b/>
                <w:color w:val="auto"/>
                <w:szCs w:val="24"/>
              </w:rPr>
              <w:t>0%</w:t>
            </w:r>
            <w:r w:rsidRPr="0059502F">
              <w:rPr>
                <w:rFonts w:eastAsia="Calibri" w:cs="Times New Roman"/>
                <w:b/>
                <w:color w:val="auto"/>
                <w:szCs w:val="24"/>
              </w:rPr>
              <w:t xml:space="preserve"> </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881443" w:rsidRPr="001F29F9">
        <w:rPr>
          <w:color w:val="000000" w:themeColor="text1"/>
          <w:szCs w:val="24"/>
        </w:rPr>
        <w:t>201</w:t>
      </w:r>
      <w:r w:rsidR="00881443">
        <w:rPr>
          <w:color w:val="000000" w:themeColor="text1"/>
          <w:szCs w:val="24"/>
        </w:rPr>
        <w:t>10829</w:t>
      </w:r>
      <w:r w:rsidR="00A55F79">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A55F79">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A55F79">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653D0B">
        <w:rPr>
          <w:color w:val="000000"/>
        </w:rPr>
        <w:t>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AD2379" w:rsidRPr="001F29F9" w:rsidRDefault="00AD2379" w:rsidP="00BF0E94">
      <w:pPr>
        <w:tabs>
          <w:tab w:val="left" w:pos="0"/>
          <w:tab w:val="left" w:pos="4320"/>
        </w:tabs>
        <w:jc w:val="both"/>
        <w:rPr>
          <w:color w:val="000000"/>
        </w:rPr>
      </w:pPr>
      <w:r w:rsidRPr="001F29F9">
        <w:rPr>
          <w:color w:val="000000"/>
        </w:rPr>
        <w:tab/>
        <w:t xml:space="preserve">           Physical Disability Board of Review</w:t>
      </w:r>
    </w:p>
    <w:p w:rsidR="00653D0B" w:rsidRDefault="00653D0B" w:rsidP="0095270D">
      <w:pPr>
        <w:jc w:val="both"/>
        <w:rPr>
          <w:b/>
          <w:color w:val="000000"/>
          <w:highlight w:val="yellow"/>
        </w:rPr>
      </w:pPr>
    </w:p>
    <w:p w:rsidR="00653D0B" w:rsidRDefault="00653D0B">
      <w:pPr>
        <w:spacing w:line="240" w:lineRule="auto"/>
        <w:jc w:val="left"/>
        <w:rPr>
          <w:b/>
          <w:color w:val="000000"/>
          <w:highlight w:val="yellow"/>
        </w:rPr>
      </w:pPr>
      <w:r>
        <w:rPr>
          <w:b/>
          <w:color w:val="000000"/>
          <w:highlight w:val="yellow"/>
        </w:rPr>
        <w:br w:type="page"/>
      </w:r>
    </w:p>
    <w:p w:rsidR="00653D0B" w:rsidRDefault="00653D0B" w:rsidP="00653D0B">
      <w:pPr>
        <w:sectPr w:rsidR="00653D0B">
          <w:pgSz w:w="12240" w:h="15840"/>
          <w:pgMar w:top="2160" w:right="1440" w:bottom="1440" w:left="1440" w:header="720" w:footer="720" w:gutter="0"/>
          <w:cols w:space="720"/>
        </w:sectPr>
      </w:pPr>
    </w:p>
    <w:p w:rsidR="00653D0B" w:rsidRDefault="00653D0B" w:rsidP="00653D0B">
      <w:pPr>
        <w:pStyle w:val="Header"/>
        <w:tabs>
          <w:tab w:val="left" w:pos="720"/>
        </w:tabs>
        <w:jc w:val="left"/>
      </w:pPr>
      <w:r>
        <w:lastRenderedPageBreak/>
        <w:t>SFMR-RB</w:t>
      </w:r>
      <w:r>
        <w:tab/>
      </w:r>
      <w:r>
        <w:tab/>
      </w:r>
      <w:r>
        <w:tab/>
      </w:r>
      <w:r>
        <w:tab/>
      </w:r>
      <w:r>
        <w:tab/>
      </w:r>
      <w:r>
        <w:tab/>
      </w:r>
      <w:r>
        <w:tab/>
      </w:r>
      <w:r>
        <w:tab/>
      </w:r>
      <w:r>
        <w:tab/>
      </w:r>
    </w:p>
    <w:p w:rsidR="00653D0B" w:rsidRDefault="00653D0B" w:rsidP="00653D0B">
      <w:pPr>
        <w:pStyle w:val="Header"/>
        <w:tabs>
          <w:tab w:val="left" w:pos="720"/>
        </w:tabs>
        <w:jc w:val="left"/>
      </w:pPr>
    </w:p>
    <w:p w:rsidR="00653D0B" w:rsidRDefault="00653D0B" w:rsidP="00653D0B">
      <w:pPr>
        <w:jc w:val="left"/>
      </w:pPr>
    </w:p>
    <w:p w:rsidR="00653D0B" w:rsidRDefault="00653D0B" w:rsidP="00653D0B">
      <w:pPr>
        <w:jc w:val="left"/>
      </w:pPr>
      <w:r>
        <w:t xml:space="preserve">MEMORANDUM FOR Commander, US Army Physical Disability Agency </w:t>
      </w:r>
    </w:p>
    <w:p w:rsidR="00653D0B" w:rsidRDefault="00653D0B" w:rsidP="00653D0B">
      <w:pPr>
        <w:jc w:val="left"/>
      </w:pPr>
      <w:r>
        <w:t xml:space="preserve">(TAPD-ZB </w:t>
      </w:r>
      <w:proofErr w:type="gramStart"/>
      <w:r>
        <w:t>/  )</w:t>
      </w:r>
      <w:proofErr w:type="gramEnd"/>
      <w:r>
        <w:t>, 2900 Crystal Drive, Suite 300, Arlington, VA  22202</w:t>
      </w:r>
    </w:p>
    <w:p w:rsidR="00653D0B" w:rsidRDefault="00653D0B" w:rsidP="00653D0B">
      <w:pPr>
        <w:jc w:val="left"/>
      </w:pPr>
    </w:p>
    <w:p w:rsidR="00653D0B" w:rsidRDefault="00653D0B" w:rsidP="00653D0B">
      <w:pPr>
        <w:ind w:right="-180"/>
        <w:jc w:val="left"/>
      </w:pPr>
      <w:r>
        <w:t xml:space="preserve">SUBJECT:  Department of Defense Physical Disability Board of Review Recommendation </w:t>
      </w:r>
    </w:p>
    <w:p w:rsidR="00653D0B" w:rsidRDefault="00653D0B" w:rsidP="00653D0B">
      <w:pPr>
        <w:pStyle w:val="Header"/>
        <w:tabs>
          <w:tab w:val="left" w:pos="720"/>
        </w:tabs>
        <w:jc w:val="left"/>
      </w:pPr>
      <w:proofErr w:type="gramStart"/>
      <w:r>
        <w:t>for</w:t>
      </w:r>
      <w:proofErr w:type="gramEnd"/>
      <w:r>
        <w:t xml:space="preserve"> XXXXXXXXXXXXXXXXXXXXXXX, AR20120013950 (PD201100828)</w:t>
      </w:r>
    </w:p>
    <w:p w:rsidR="00653D0B" w:rsidRDefault="00653D0B" w:rsidP="00653D0B">
      <w:pPr>
        <w:pStyle w:val="Header"/>
        <w:tabs>
          <w:tab w:val="left" w:pos="720"/>
        </w:tabs>
        <w:jc w:val="left"/>
      </w:pPr>
    </w:p>
    <w:p w:rsidR="00653D0B" w:rsidRDefault="00653D0B" w:rsidP="00653D0B">
      <w:pPr>
        <w:jc w:val="left"/>
      </w:pPr>
    </w:p>
    <w:p w:rsidR="00653D0B" w:rsidRDefault="00653D0B" w:rsidP="00653D0B">
      <w:pPr>
        <w:jc w:val="left"/>
      </w:pPr>
      <w:r>
        <w:t xml:space="preserve">1.  Under the authority of Title 10, United States Code, section 1554(a), I approve the enclosed recommendation of the Department of Defense Physical Disability Board of Review (DoD PDBR) pertaining to the individual named in the subject line above to  constructively place the individual on the Temporary Disability Retired List (TDRL) at </w:t>
      </w:r>
    </w:p>
    <w:p w:rsidR="00653D0B" w:rsidRDefault="00653D0B" w:rsidP="00653D0B">
      <w:pPr>
        <w:jc w:val="left"/>
      </w:pPr>
      <w:r>
        <w:t xml:space="preserve">60% rather than 40% disability for the period 18 February 2004 to 21 August 2006 and then following this period </w:t>
      </w:r>
      <w:proofErr w:type="spellStart"/>
      <w:r>
        <w:t>recharacterize</w:t>
      </w:r>
      <w:proofErr w:type="spellEnd"/>
      <w:r>
        <w:t xml:space="preserve"> the individual’s separation as a permanent disability retirement with the combined disability rating of 30%.</w:t>
      </w:r>
    </w:p>
    <w:p w:rsidR="00653D0B" w:rsidRDefault="00653D0B" w:rsidP="00653D0B">
      <w:pPr>
        <w:jc w:val="left"/>
      </w:pPr>
    </w:p>
    <w:p w:rsidR="00653D0B" w:rsidRDefault="00653D0B" w:rsidP="00653D0B">
      <w:pPr>
        <w:jc w:val="left"/>
      </w:pPr>
      <w:r>
        <w:t>2.  I direct that all the Department of the Army records of the individual concerned be corrected accordingly no later than 120 days from the date of this memorandum:</w:t>
      </w:r>
    </w:p>
    <w:p w:rsidR="00653D0B" w:rsidRDefault="00653D0B" w:rsidP="00653D0B">
      <w:pPr>
        <w:jc w:val="left"/>
      </w:pPr>
    </w:p>
    <w:p w:rsidR="00653D0B" w:rsidRDefault="00653D0B" w:rsidP="00653D0B">
      <w:pPr>
        <w:jc w:val="left"/>
      </w:pPr>
      <w:r>
        <w:tab/>
      </w:r>
      <w:proofErr w:type="gramStart"/>
      <w:r>
        <w:t>a.  Providing</w:t>
      </w:r>
      <w:proofErr w:type="gramEnd"/>
      <w:r>
        <w:t xml:space="preserve"> a correction to the individual’s separation document showing that the individual was separated by reason of temporary disability effective the date of the original medical separation for disability with severance pay.</w:t>
      </w:r>
    </w:p>
    <w:p w:rsidR="00653D0B" w:rsidRDefault="00653D0B" w:rsidP="00653D0B">
      <w:pPr>
        <w:jc w:val="left"/>
      </w:pPr>
    </w:p>
    <w:p w:rsidR="00653D0B" w:rsidRDefault="00653D0B" w:rsidP="00653D0B">
      <w:pPr>
        <w:jc w:val="left"/>
      </w:pPr>
      <w:r>
        <w:tab/>
      </w:r>
      <w:proofErr w:type="gramStart"/>
      <w:r>
        <w:t>b.  Providing</w:t>
      </w:r>
      <w:proofErr w:type="gramEnd"/>
      <w:r>
        <w:t xml:space="preserve"> orders showing that the individual was retired with permanent disability effective the day following the constructive TDRL period.</w:t>
      </w:r>
    </w:p>
    <w:p w:rsidR="00653D0B" w:rsidRDefault="00653D0B" w:rsidP="00653D0B">
      <w:pPr>
        <w:jc w:val="left"/>
      </w:pPr>
    </w:p>
    <w:p w:rsidR="00653D0B" w:rsidRDefault="00653D0B" w:rsidP="00653D0B">
      <w:pPr>
        <w:jc w:val="left"/>
      </w:pPr>
      <w:r>
        <w:tab/>
      </w:r>
      <w:proofErr w:type="gramStart"/>
      <w:r>
        <w:t>c.  Adjusting</w:t>
      </w:r>
      <w:proofErr w:type="gramEnd"/>
      <w:r>
        <w:t xml:space="preserve"> pay and allowances accordingly.  Pay and allowance adjustment will account for recoupment of severance pay, provide 60% retired pay for the constructive temporary disability retired six month period effective the date of the individual’s original medical separation and then payment of permanent disability retired pay at 30% effective the day following the constructive TDRL period.  </w:t>
      </w:r>
    </w:p>
    <w:p w:rsidR="00653D0B" w:rsidRDefault="00653D0B" w:rsidP="00653D0B">
      <w:pPr>
        <w:jc w:val="left"/>
      </w:pPr>
    </w:p>
    <w:p w:rsidR="00653D0B" w:rsidRDefault="00653D0B" w:rsidP="00653D0B">
      <w:pPr>
        <w:jc w:val="left"/>
      </w:pPr>
      <w:r>
        <w:tab/>
      </w:r>
      <w:proofErr w:type="gramStart"/>
      <w:r>
        <w:t>d.  Affording</w:t>
      </w:r>
      <w:proofErr w:type="gramEnd"/>
      <w:r>
        <w:t xml:space="preserve"> the individual the opportunity to elect Survivor Benefit Plan (SBP) and medical TRICARE retiree options.</w:t>
      </w:r>
    </w:p>
    <w:p w:rsidR="00653D0B" w:rsidRDefault="00653D0B" w:rsidP="00653D0B">
      <w:pPr>
        <w:jc w:val="left"/>
      </w:pPr>
    </w:p>
    <w:p w:rsidR="00653D0B" w:rsidRDefault="00653D0B" w:rsidP="00653D0B">
      <w:pPr>
        <w:jc w:val="left"/>
      </w:pPr>
      <w:bookmarkStart w:id="0" w:name="OLE_LINK2"/>
      <w:bookmarkStart w:id="1" w:name="OLE_LINK1"/>
    </w:p>
    <w:p w:rsidR="00653D0B" w:rsidRDefault="00653D0B" w:rsidP="00653D0B">
      <w:pPr>
        <w:jc w:val="left"/>
      </w:pPr>
    </w:p>
    <w:p w:rsidR="00653D0B" w:rsidRDefault="00653D0B" w:rsidP="00653D0B">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0"/>
    <w:bookmarkEnd w:id="1"/>
    <w:p w:rsidR="00653D0B" w:rsidRDefault="00653D0B" w:rsidP="00653D0B">
      <w:pPr>
        <w:jc w:val="left"/>
      </w:pPr>
    </w:p>
    <w:p w:rsidR="00653D0B" w:rsidRDefault="00653D0B" w:rsidP="00653D0B">
      <w:pPr>
        <w:jc w:val="left"/>
      </w:pPr>
      <w:r>
        <w:t>BY ORDER OF THE SECRETARY OF THE ARMY:</w:t>
      </w:r>
    </w:p>
    <w:p w:rsidR="00653D0B" w:rsidRDefault="00653D0B" w:rsidP="00653D0B">
      <w:pPr>
        <w:jc w:val="left"/>
      </w:pPr>
    </w:p>
    <w:p w:rsidR="00653D0B" w:rsidRDefault="00653D0B" w:rsidP="00653D0B">
      <w:pPr>
        <w:jc w:val="left"/>
      </w:pPr>
    </w:p>
    <w:p w:rsidR="00653D0B" w:rsidRDefault="00653D0B" w:rsidP="00653D0B">
      <w:pPr>
        <w:pStyle w:val="Header"/>
        <w:tabs>
          <w:tab w:val="left" w:pos="720"/>
        </w:tabs>
        <w:jc w:val="left"/>
      </w:pPr>
    </w:p>
    <w:p w:rsidR="00653D0B" w:rsidRDefault="00653D0B" w:rsidP="00653D0B">
      <w:pPr>
        <w:jc w:val="left"/>
      </w:pPr>
      <w:bookmarkStart w:id="2" w:name="OLE_LINK4"/>
      <w:bookmarkStart w:id="3" w:name="OLE_LINK3"/>
    </w:p>
    <w:p w:rsidR="00653D0B" w:rsidRDefault="00653D0B" w:rsidP="00653D0B">
      <w:pPr>
        <w:jc w:val="left"/>
      </w:pPr>
      <w:r>
        <w:t>Encl</w:t>
      </w:r>
      <w:r>
        <w:tab/>
      </w:r>
      <w:r>
        <w:tab/>
      </w:r>
      <w:r>
        <w:tab/>
      </w:r>
      <w:r>
        <w:tab/>
      </w:r>
      <w:r>
        <w:tab/>
      </w:r>
      <w:r>
        <w:tab/>
        <w:t xml:space="preserve">     XXXXXXXXXXXXXXXXXXXXXX</w:t>
      </w:r>
    </w:p>
    <w:p w:rsidR="00653D0B" w:rsidRDefault="00653D0B" w:rsidP="00653D0B">
      <w:pPr>
        <w:jc w:val="left"/>
      </w:pPr>
      <w:r>
        <w:tab/>
      </w:r>
      <w:r>
        <w:tab/>
      </w:r>
      <w:r>
        <w:tab/>
      </w:r>
      <w:r>
        <w:tab/>
      </w:r>
      <w:r>
        <w:tab/>
      </w:r>
      <w:r>
        <w:tab/>
        <w:t xml:space="preserve">     Deputy Assistant Secretary</w:t>
      </w:r>
    </w:p>
    <w:p w:rsidR="00653D0B" w:rsidRDefault="00653D0B" w:rsidP="00653D0B">
      <w:pPr>
        <w:jc w:val="left"/>
      </w:pPr>
      <w:r>
        <w:tab/>
      </w:r>
      <w:r>
        <w:tab/>
      </w:r>
      <w:r>
        <w:tab/>
      </w:r>
      <w:r>
        <w:tab/>
      </w:r>
      <w:r>
        <w:tab/>
      </w:r>
      <w:r>
        <w:tab/>
        <w:t xml:space="preserve">         (Army Review Boards)</w:t>
      </w:r>
      <w:bookmarkEnd w:id="2"/>
      <w:bookmarkEnd w:id="3"/>
    </w:p>
    <w:p w:rsidR="00482B19" w:rsidRDefault="00482B19" w:rsidP="0095270D">
      <w:pPr>
        <w:jc w:val="both"/>
        <w:rPr>
          <w:b/>
          <w:color w:val="000000"/>
          <w:highlight w:val="yellow"/>
        </w:rPr>
      </w:pPr>
      <w:bookmarkStart w:id="4" w:name="_GoBack"/>
      <w:bookmarkEnd w:id="4"/>
    </w:p>
    <w:sectPr w:rsidR="00482B1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C4" w:rsidRDefault="003064C4">
      <w:r>
        <w:separator/>
      </w:r>
    </w:p>
  </w:endnote>
  <w:endnote w:type="continuationSeparator" w:id="0">
    <w:p w:rsidR="003064C4" w:rsidRDefault="0030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A7" w:rsidRPr="00374247" w:rsidRDefault="00E556A7" w:rsidP="00726F84">
    <w:pPr>
      <w:pStyle w:val="Footer"/>
      <w:ind w:firstLine="4320"/>
      <w:rPr>
        <w:color w:val="auto"/>
      </w:rPr>
    </w:pPr>
    <w:r w:rsidRPr="00374247">
      <w:rPr>
        <w:color w:val="auto"/>
      </w:rPr>
      <w:t xml:space="preserve">   </w:t>
    </w:r>
    <w:r w:rsidR="00414737">
      <w:fldChar w:fldCharType="begin"/>
    </w:r>
    <w:r w:rsidR="00414737">
      <w:instrText xml:space="preserve"> PAGE   \* MERGEFORMAT </w:instrText>
    </w:r>
    <w:r w:rsidR="00414737">
      <w:fldChar w:fldCharType="separate"/>
    </w:r>
    <w:r w:rsidR="00414737" w:rsidRPr="00414737">
      <w:rPr>
        <w:noProof/>
        <w:color w:val="auto"/>
      </w:rPr>
      <w:t>7</w:t>
    </w:r>
    <w:r w:rsidR="00414737">
      <w:rPr>
        <w:noProof/>
        <w:color w:val="auto"/>
      </w:rPr>
      <w:fldChar w:fldCharType="end"/>
    </w:r>
    <w:r w:rsidRPr="00374247">
      <w:rPr>
        <w:color w:val="auto"/>
      </w:rPr>
      <w:t xml:space="preserve">                                                           </w:t>
    </w:r>
    <w:r w:rsidRPr="001D64F3">
      <w:rPr>
        <w:color w:val="auto"/>
      </w:rPr>
      <w:t>PD1</w:t>
    </w:r>
    <w:r w:rsidR="00446C18">
      <w:rPr>
        <w:color w:val="auto"/>
      </w:rPr>
      <w:t>100828</w:t>
    </w:r>
  </w:p>
  <w:p w:rsidR="00E556A7" w:rsidRPr="00684CE6" w:rsidRDefault="00E556A7">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C4" w:rsidRDefault="003064C4">
      <w:r>
        <w:separator/>
      </w:r>
    </w:p>
  </w:footnote>
  <w:footnote w:type="continuationSeparator" w:id="0">
    <w:p w:rsidR="003064C4" w:rsidRDefault="00306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C28D1"/>
    <w:rsid w:val="00000376"/>
    <w:rsid w:val="000024F5"/>
    <w:rsid w:val="000059FA"/>
    <w:rsid w:val="00006186"/>
    <w:rsid w:val="00006F87"/>
    <w:rsid w:val="00007107"/>
    <w:rsid w:val="00007B20"/>
    <w:rsid w:val="00007BCC"/>
    <w:rsid w:val="00010ABA"/>
    <w:rsid w:val="00010AF0"/>
    <w:rsid w:val="00010B0F"/>
    <w:rsid w:val="00012428"/>
    <w:rsid w:val="00012733"/>
    <w:rsid w:val="00012FFB"/>
    <w:rsid w:val="00013417"/>
    <w:rsid w:val="00014286"/>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4A38"/>
    <w:rsid w:val="000652EA"/>
    <w:rsid w:val="00065E21"/>
    <w:rsid w:val="000673ED"/>
    <w:rsid w:val="00067854"/>
    <w:rsid w:val="00070DED"/>
    <w:rsid w:val="00071071"/>
    <w:rsid w:val="00072433"/>
    <w:rsid w:val="00072B3E"/>
    <w:rsid w:val="0007488B"/>
    <w:rsid w:val="00075702"/>
    <w:rsid w:val="00075A0C"/>
    <w:rsid w:val="00076CCA"/>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36C1"/>
    <w:rsid w:val="000A41E3"/>
    <w:rsid w:val="000A4BBA"/>
    <w:rsid w:val="000A5071"/>
    <w:rsid w:val="000B0AD2"/>
    <w:rsid w:val="000B1022"/>
    <w:rsid w:val="000B2FB8"/>
    <w:rsid w:val="000B471C"/>
    <w:rsid w:val="000B4C99"/>
    <w:rsid w:val="000B6C1C"/>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6E13"/>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558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9D"/>
    <w:rsid w:val="001844D8"/>
    <w:rsid w:val="00185DA8"/>
    <w:rsid w:val="00185ECB"/>
    <w:rsid w:val="001865E0"/>
    <w:rsid w:val="001870F0"/>
    <w:rsid w:val="00190E48"/>
    <w:rsid w:val="0019114B"/>
    <w:rsid w:val="0019173A"/>
    <w:rsid w:val="00192392"/>
    <w:rsid w:val="0019273F"/>
    <w:rsid w:val="00192A35"/>
    <w:rsid w:val="00193814"/>
    <w:rsid w:val="00193AAB"/>
    <w:rsid w:val="00193AD5"/>
    <w:rsid w:val="00193BAF"/>
    <w:rsid w:val="0019459C"/>
    <w:rsid w:val="00194930"/>
    <w:rsid w:val="00195AAC"/>
    <w:rsid w:val="001968BB"/>
    <w:rsid w:val="001978A3"/>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B28"/>
    <w:rsid w:val="001E15C0"/>
    <w:rsid w:val="001E18E0"/>
    <w:rsid w:val="001E18E2"/>
    <w:rsid w:val="001E19D0"/>
    <w:rsid w:val="001E2A30"/>
    <w:rsid w:val="001E2FF1"/>
    <w:rsid w:val="001E3FE1"/>
    <w:rsid w:val="001E41FE"/>
    <w:rsid w:val="001E4989"/>
    <w:rsid w:val="001E635C"/>
    <w:rsid w:val="001E6A77"/>
    <w:rsid w:val="001F0297"/>
    <w:rsid w:val="001F29F9"/>
    <w:rsid w:val="001F6E0B"/>
    <w:rsid w:val="00200AA0"/>
    <w:rsid w:val="00201F8B"/>
    <w:rsid w:val="00202325"/>
    <w:rsid w:val="00202459"/>
    <w:rsid w:val="00202736"/>
    <w:rsid w:val="00202D1C"/>
    <w:rsid w:val="00203652"/>
    <w:rsid w:val="00204562"/>
    <w:rsid w:val="0020507E"/>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57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0DC"/>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77D"/>
    <w:rsid w:val="002C3B6D"/>
    <w:rsid w:val="002C3F59"/>
    <w:rsid w:val="002C48DC"/>
    <w:rsid w:val="002C5D9D"/>
    <w:rsid w:val="002C5F10"/>
    <w:rsid w:val="002C6E5B"/>
    <w:rsid w:val="002D08F3"/>
    <w:rsid w:val="002D18B4"/>
    <w:rsid w:val="002D2058"/>
    <w:rsid w:val="002D231A"/>
    <w:rsid w:val="002D5330"/>
    <w:rsid w:val="002D5F57"/>
    <w:rsid w:val="002D73D4"/>
    <w:rsid w:val="002D7787"/>
    <w:rsid w:val="002D7DF2"/>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4C4"/>
    <w:rsid w:val="0030678B"/>
    <w:rsid w:val="00306D16"/>
    <w:rsid w:val="0030700A"/>
    <w:rsid w:val="00307595"/>
    <w:rsid w:val="00307DA6"/>
    <w:rsid w:val="00310CD7"/>
    <w:rsid w:val="00312922"/>
    <w:rsid w:val="00313C3A"/>
    <w:rsid w:val="00313D7A"/>
    <w:rsid w:val="00314517"/>
    <w:rsid w:val="003155FB"/>
    <w:rsid w:val="0032136A"/>
    <w:rsid w:val="003219E5"/>
    <w:rsid w:val="003224D8"/>
    <w:rsid w:val="00322BE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38C"/>
    <w:rsid w:val="0036392A"/>
    <w:rsid w:val="00363F88"/>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C79"/>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484"/>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2830"/>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4737"/>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6C18"/>
    <w:rsid w:val="0044769D"/>
    <w:rsid w:val="0045027B"/>
    <w:rsid w:val="004504E7"/>
    <w:rsid w:val="00451F9D"/>
    <w:rsid w:val="00453167"/>
    <w:rsid w:val="0045361D"/>
    <w:rsid w:val="004538A8"/>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5FA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B79"/>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1A0"/>
    <w:rsid w:val="004F6551"/>
    <w:rsid w:val="004F675A"/>
    <w:rsid w:val="004F77A3"/>
    <w:rsid w:val="005000AB"/>
    <w:rsid w:val="00500EAF"/>
    <w:rsid w:val="00500F3C"/>
    <w:rsid w:val="00501772"/>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17423"/>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B74"/>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02F"/>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2971"/>
    <w:rsid w:val="005C3758"/>
    <w:rsid w:val="005C4D72"/>
    <w:rsid w:val="005C50C1"/>
    <w:rsid w:val="005C62C2"/>
    <w:rsid w:val="005D0ABC"/>
    <w:rsid w:val="005D2306"/>
    <w:rsid w:val="005D2562"/>
    <w:rsid w:val="005D2666"/>
    <w:rsid w:val="005D4548"/>
    <w:rsid w:val="005D4A74"/>
    <w:rsid w:val="005D519F"/>
    <w:rsid w:val="005D5E91"/>
    <w:rsid w:val="005D67EF"/>
    <w:rsid w:val="005D7C17"/>
    <w:rsid w:val="005E1416"/>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10AB"/>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0B"/>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4658"/>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4F80"/>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18A2"/>
    <w:rsid w:val="006B31E6"/>
    <w:rsid w:val="006B3923"/>
    <w:rsid w:val="006B3F3E"/>
    <w:rsid w:val="006B4AA2"/>
    <w:rsid w:val="006B4C4D"/>
    <w:rsid w:val="006B53C4"/>
    <w:rsid w:val="006B586B"/>
    <w:rsid w:val="006B5923"/>
    <w:rsid w:val="006B67D9"/>
    <w:rsid w:val="006B6C14"/>
    <w:rsid w:val="006B7159"/>
    <w:rsid w:val="006B715E"/>
    <w:rsid w:val="006B7BE0"/>
    <w:rsid w:val="006C13EF"/>
    <w:rsid w:val="006C1D6E"/>
    <w:rsid w:val="006C2EF6"/>
    <w:rsid w:val="006C3A68"/>
    <w:rsid w:val="006C3B08"/>
    <w:rsid w:val="006C3C98"/>
    <w:rsid w:val="006C6AB1"/>
    <w:rsid w:val="006C6E6B"/>
    <w:rsid w:val="006C714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6F7CF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6F39"/>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4E44"/>
    <w:rsid w:val="007C6046"/>
    <w:rsid w:val="007C605A"/>
    <w:rsid w:val="007C6F0C"/>
    <w:rsid w:val="007D0292"/>
    <w:rsid w:val="007D136C"/>
    <w:rsid w:val="007D1FCE"/>
    <w:rsid w:val="007D21AC"/>
    <w:rsid w:val="007D24B0"/>
    <w:rsid w:val="007D328D"/>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BA3"/>
    <w:rsid w:val="00823D6A"/>
    <w:rsid w:val="00827B29"/>
    <w:rsid w:val="00827DB6"/>
    <w:rsid w:val="008304B2"/>
    <w:rsid w:val="00830999"/>
    <w:rsid w:val="00830CE8"/>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35C7"/>
    <w:rsid w:val="0087566D"/>
    <w:rsid w:val="00875B50"/>
    <w:rsid w:val="00875B51"/>
    <w:rsid w:val="00875F2D"/>
    <w:rsid w:val="008762E7"/>
    <w:rsid w:val="008764DC"/>
    <w:rsid w:val="0088041A"/>
    <w:rsid w:val="00880476"/>
    <w:rsid w:val="00881443"/>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5DA6"/>
    <w:rsid w:val="008A63A9"/>
    <w:rsid w:val="008A7073"/>
    <w:rsid w:val="008A79F0"/>
    <w:rsid w:val="008A7F7E"/>
    <w:rsid w:val="008B04DB"/>
    <w:rsid w:val="008B09B4"/>
    <w:rsid w:val="008B0C1D"/>
    <w:rsid w:val="008B1B11"/>
    <w:rsid w:val="008B1DF4"/>
    <w:rsid w:val="008B27FD"/>
    <w:rsid w:val="008B2FDB"/>
    <w:rsid w:val="008B3AF2"/>
    <w:rsid w:val="008B3B53"/>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094"/>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0EED"/>
    <w:rsid w:val="0096168C"/>
    <w:rsid w:val="00961840"/>
    <w:rsid w:val="00962142"/>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F79"/>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053E"/>
    <w:rsid w:val="00A82C52"/>
    <w:rsid w:val="00A838E8"/>
    <w:rsid w:val="00A83C15"/>
    <w:rsid w:val="00A84EC4"/>
    <w:rsid w:val="00A86CB6"/>
    <w:rsid w:val="00A905D0"/>
    <w:rsid w:val="00A90D55"/>
    <w:rsid w:val="00A91E6C"/>
    <w:rsid w:val="00A9225E"/>
    <w:rsid w:val="00A92E48"/>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3CB7"/>
    <w:rsid w:val="00AA493E"/>
    <w:rsid w:val="00AA73AF"/>
    <w:rsid w:val="00AB062D"/>
    <w:rsid w:val="00AB0A8A"/>
    <w:rsid w:val="00AB1754"/>
    <w:rsid w:val="00AB1F8D"/>
    <w:rsid w:val="00AB27DD"/>
    <w:rsid w:val="00AB4BA4"/>
    <w:rsid w:val="00AB592E"/>
    <w:rsid w:val="00AC0C1C"/>
    <w:rsid w:val="00AC1305"/>
    <w:rsid w:val="00AC15B4"/>
    <w:rsid w:val="00AC25DD"/>
    <w:rsid w:val="00AC37BE"/>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4DA4"/>
    <w:rsid w:val="00B06930"/>
    <w:rsid w:val="00B0773A"/>
    <w:rsid w:val="00B07955"/>
    <w:rsid w:val="00B1176B"/>
    <w:rsid w:val="00B11858"/>
    <w:rsid w:val="00B11C3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D27"/>
    <w:rsid w:val="00B56F3D"/>
    <w:rsid w:val="00B57921"/>
    <w:rsid w:val="00B57E78"/>
    <w:rsid w:val="00B57EB8"/>
    <w:rsid w:val="00B609F6"/>
    <w:rsid w:val="00B60E75"/>
    <w:rsid w:val="00B63EA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7211"/>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54FC"/>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2ED0"/>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0F2"/>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192C"/>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42DB"/>
    <w:rsid w:val="00D05669"/>
    <w:rsid w:val="00D061EB"/>
    <w:rsid w:val="00D06952"/>
    <w:rsid w:val="00D06B6D"/>
    <w:rsid w:val="00D07A72"/>
    <w:rsid w:val="00D10577"/>
    <w:rsid w:val="00D12405"/>
    <w:rsid w:val="00D12A4E"/>
    <w:rsid w:val="00D1323B"/>
    <w:rsid w:val="00D14BAE"/>
    <w:rsid w:val="00D15107"/>
    <w:rsid w:val="00D1648B"/>
    <w:rsid w:val="00D16819"/>
    <w:rsid w:val="00D17DD9"/>
    <w:rsid w:val="00D20AC0"/>
    <w:rsid w:val="00D229E7"/>
    <w:rsid w:val="00D22EDC"/>
    <w:rsid w:val="00D2321B"/>
    <w:rsid w:val="00D23350"/>
    <w:rsid w:val="00D237E7"/>
    <w:rsid w:val="00D23DE4"/>
    <w:rsid w:val="00D25A5C"/>
    <w:rsid w:val="00D2615F"/>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8F8"/>
    <w:rsid w:val="00DE7A7D"/>
    <w:rsid w:val="00DE7E74"/>
    <w:rsid w:val="00DF071B"/>
    <w:rsid w:val="00DF50BF"/>
    <w:rsid w:val="00DF5C84"/>
    <w:rsid w:val="00DF5D3A"/>
    <w:rsid w:val="00DF5EC0"/>
    <w:rsid w:val="00DF6EF8"/>
    <w:rsid w:val="00DF6EFE"/>
    <w:rsid w:val="00E00A69"/>
    <w:rsid w:val="00E010EE"/>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6A7"/>
    <w:rsid w:val="00E55CD9"/>
    <w:rsid w:val="00E57703"/>
    <w:rsid w:val="00E57ED4"/>
    <w:rsid w:val="00E57FED"/>
    <w:rsid w:val="00E6092F"/>
    <w:rsid w:val="00E61EE9"/>
    <w:rsid w:val="00E62049"/>
    <w:rsid w:val="00E629DA"/>
    <w:rsid w:val="00E6389D"/>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2359"/>
    <w:rsid w:val="00E82B6D"/>
    <w:rsid w:val="00E83187"/>
    <w:rsid w:val="00E831E9"/>
    <w:rsid w:val="00E84044"/>
    <w:rsid w:val="00E84DDA"/>
    <w:rsid w:val="00E8608F"/>
    <w:rsid w:val="00E86C1D"/>
    <w:rsid w:val="00E90703"/>
    <w:rsid w:val="00E90A62"/>
    <w:rsid w:val="00E91CB8"/>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0AE5"/>
    <w:rsid w:val="00EB29EA"/>
    <w:rsid w:val="00EB3307"/>
    <w:rsid w:val="00EB3823"/>
    <w:rsid w:val="00EB3CBB"/>
    <w:rsid w:val="00EB47D8"/>
    <w:rsid w:val="00EB578B"/>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0866"/>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5DC4"/>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52DD"/>
    <w:rsid w:val="00F966F9"/>
    <w:rsid w:val="00F96F61"/>
    <w:rsid w:val="00F97740"/>
    <w:rsid w:val="00FA0C8F"/>
    <w:rsid w:val="00FA24F2"/>
    <w:rsid w:val="00FA2B96"/>
    <w:rsid w:val="00FA2DEF"/>
    <w:rsid w:val="00FA2F7B"/>
    <w:rsid w:val="00FA3328"/>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3164"/>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 w:val="00FF6C9D"/>
    <w:rsid w:val="00FF79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table" w:customStyle="1" w:styleId="TableGrid1">
    <w:name w:val="Table Grid1"/>
    <w:basedOn w:val="TableNormal"/>
    <w:uiPriority w:val="59"/>
    <w:rsid w:val="00495FAC"/>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245576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2012-08-03T12:34:00Z</cp:lastPrinted>
  <dcterms:created xsi:type="dcterms:W3CDTF">2012-08-17T18:11:00Z</dcterms:created>
  <dcterms:modified xsi:type="dcterms:W3CDTF">2012-09-18T13:49:00Z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