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1C7327">
      <w:pPr>
        <w:tabs>
          <w:tab w:val="left" w:pos="6300"/>
          <w:tab w:val="right" w:pos="9360"/>
        </w:tabs>
        <w:jc w:val="both"/>
        <w:rPr>
          <w:caps/>
          <w:color w:val="auto"/>
        </w:rPr>
      </w:pPr>
      <w:r w:rsidRPr="00F64312">
        <w:rPr>
          <w:caps/>
          <w:color w:val="auto"/>
        </w:rPr>
        <w:t xml:space="preserve">NAME:  </w:t>
      </w:r>
      <w:r w:rsidR="00801CD9">
        <w:rPr>
          <w:caps/>
          <w:color w:val="auto"/>
        </w:rPr>
        <w:t>XXXXXXXXXXXXXXX</w:t>
      </w:r>
      <w:r w:rsidR="00DD5558">
        <w:rPr>
          <w:caps/>
          <w:color w:val="auto"/>
        </w:rPr>
        <w:tab/>
      </w:r>
      <w:r w:rsidRPr="00F64312">
        <w:rPr>
          <w:caps/>
          <w:color w:val="auto"/>
        </w:rPr>
        <w:t>BRANCH OF SERVICE</w:t>
      </w:r>
      <w:r w:rsidRPr="004929BB">
        <w:rPr>
          <w:caps/>
          <w:color w:val="auto"/>
        </w:rPr>
        <w:t xml:space="preserve">:  </w:t>
      </w:r>
      <w:r w:rsidR="0018208F" w:rsidRPr="004929BB">
        <w:rPr>
          <w:caps/>
          <w:color w:val="auto"/>
        </w:rPr>
        <w:t xml:space="preserve"> </w:t>
      </w:r>
      <w:r w:rsidR="00DF70F4" w:rsidRPr="004929BB">
        <w:rPr>
          <w:caps/>
          <w:color w:val="auto"/>
        </w:rPr>
        <w:t>Army</w:t>
      </w:r>
    </w:p>
    <w:p w:rsidR="0095270D" w:rsidRPr="00F64312" w:rsidRDefault="0095270D" w:rsidP="001C7327">
      <w:pPr>
        <w:tabs>
          <w:tab w:val="left" w:pos="6300"/>
          <w:tab w:val="right" w:pos="9360"/>
        </w:tabs>
        <w:jc w:val="both"/>
        <w:rPr>
          <w:color w:val="auto"/>
        </w:rPr>
      </w:pPr>
      <w:r w:rsidRPr="00F64312">
        <w:rPr>
          <w:caps/>
          <w:color w:val="auto"/>
        </w:rPr>
        <w:t xml:space="preserve">CASE NUMBER:  </w:t>
      </w:r>
      <w:r w:rsidRPr="004929BB">
        <w:rPr>
          <w:caps/>
          <w:color w:val="auto"/>
        </w:rPr>
        <w:t>PD1100</w:t>
      </w:r>
      <w:r w:rsidR="004929BB" w:rsidRPr="004929BB">
        <w:rPr>
          <w:caps/>
          <w:color w:val="auto"/>
        </w:rPr>
        <w:t>825</w:t>
      </w:r>
      <w:r w:rsidR="00DD5558">
        <w:rPr>
          <w:color w:val="auto"/>
        </w:rPr>
        <w:tab/>
      </w:r>
      <w:r w:rsidR="0018208F" w:rsidRPr="00F64312">
        <w:rPr>
          <w:color w:val="auto"/>
        </w:rPr>
        <w:t>SE</w:t>
      </w:r>
      <w:r w:rsidRPr="00F64312">
        <w:rPr>
          <w:color w:val="auto"/>
        </w:rPr>
        <w:t>PARATION DATE:  200</w:t>
      </w:r>
      <w:r w:rsidR="004929BB">
        <w:rPr>
          <w:color w:val="auto"/>
        </w:rPr>
        <w:t>80915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3D0CA3">
        <w:rPr>
          <w:caps/>
          <w:color w:val="auto"/>
        </w:rPr>
        <w:t>0731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106451">
        <w:rPr>
          <w:color w:val="auto"/>
        </w:rPr>
        <w:t>active duty</w:t>
      </w:r>
      <w:r w:rsidRPr="00106451">
        <w:rPr>
          <w:color w:val="auto"/>
        </w:rPr>
        <w:t xml:space="preserve"> </w:t>
      </w:r>
      <w:r w:rsidR="0017172C" w:rsidRPr="00106451">
        <w:rPr>
          <w:color w:val="auto"/>
        </w:rPr>
        <w:t>SGT/E-5</w:t>
      </w:r>
      <w:r w:rsidRPr="00106451">
        <w:rPr>
          <w:color w:val="auto"/>
        </w:rPr>
        <w:t xml:space="preserve"> (</w:t>
      </w:r>
      <w:r w:rsidR="00106451" w:rsidRPr="00106451">
        <w:rPr>
          <w:color w:val="auto"/>
        </w:rPr>
        <w:t>13B20</w:t>
      </w:r>
      <w:r w:rsidR="008C4860">
        <w:rPr>
          <w:color w:val="auto"/>
        </w:rPr>
        <w:t>/</w:t>
      </w:r>
      <w:r w:rsidR="00106451" w:rsidRPr="00106451">
        <w:rPr>
          <w:color w:val="auto"/>
        </w:rPr>
        <w:t xml:space="preserve">Field Artillery </w:t>
      </w:r>
      <w:proofErr w:type="spellStart"/>
      <w:r w:rsidR="00106451" w:rsidRPr="00106451">
        <w:rPr>
          <w:color w:val="auto"/>
        </w:rPr>
        <w:t>Cannoneer</w:t>
      </w:r>
      <w:proofErr w:type="spellEnd"/>
      <w:r w:rsidR="00A70270" w:rsidRPr="00106451">
        <w:rPr>
          <w:color w:val="auto"/>
        </w:rPr>
        <w:t>)</w:t>
      </w:r>
      <w:r w:rsidR="00565636" w:rsidRPr="00106451">
        <w:rPr>
          <w:color w:val="auto"/>
        </w:rPr>
        <w:t>,</w:t>
      </w:r>
      <w:r w:rsidR="00A70270" w:rsidRPr="00F64312">
        <w:rPr>
          <w:color w:val="auto"/>
        </w:rPr>
        <w:t xml:space="preserve"> </w:t>
      </w:r>
      <w:r w:rsidRPr="00F64312">
        <w:rPr>
          <w:color w:val="auto"/>
        </w:rPr>
        <w:t xml:space="preserve">medically separated for </w:t>
      </w:r>
      <w:r w:rsidR="00106451">
        <w:rPr>
          <w:color w:val="auto"/>
        </w:rPr>
        <w:t>left knee pain</w:t>
      </w:r>
      <w:r w:rsidR="0021565F" w:rsidRPr="00F64312">
        <w:rPr>
          <w:color w:val="auto"/>
          <w:szCs w:val="24"/>
        </w:rPr>
        <w:t>.</w:t>
      </w:r>
      <w:r w:rsidR="00BD5825">
        <w:rPr>
          <w:color w:val="auto"/>
          <w:szCs w:val="24"/>
        </w:rPr>
        <w:t xml:space="preserve">  The condition began in 2005 and was not a consequence of injury.</w:t>
      </w:r>
      <w:r w:rsidR="00C27AEB">
        <w:rPr>
          <w:color w:val="auto"/>
          <w:szCs w:val="24"/>
        </w:rPr>
        <w:t xml:space="preserve">  </w:t>
      </w:r>
      <w:r w:rsidR="00C27AEB" w:rsidRPr="00C27AEB">
        <w:rPr>
          <w:color w:val="auto"/>
        </w:rPr>
        <w:t>It</w:t>
      </w:r>
      <w:r w:rsidR="00F566B7" w:rsidRPr="00C27AEB">
        <w:rPr>
          <w:color w:val="auto"/>
        </w:rPr>
        <w:t xml:space="preserve"> could </w:t>
      </w:r>
      <w:r w:rsidR="00F15483" w:rsidRPr="00C27AEB">
        <w:rPr>
          <w:color w:val="auto"/>
        </w:rPr>
        <w:t>not be adequately rehabilitated</w:t>
      </w:r>
      <w:r w:rsidR="00C27AEB" w:rsidRPr="00C27AEB">
        <w:rPr>
          <w:color w:val="auto"/>
        </w:rPr>
        <w:t xml:space="preserve"> </w:t>
      </w:r>
      <w:r w:rsidR="00F566B7" w:rsidRPr="00C27AEB">
        <w:rPr>
          <w:color w:val="auto"/>
        </w:rPr>
        <w:t>to meet the physical requirements of his Military Occupational Specialty (MOS)</w:t>
      </w:r>
      <w:r w:rsidR="006A0909" w:rsidRPr="00F64312">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895FCB">
        <w:rPr>
          <w:color w:val="auto"/>
        </w:rPr>
        <w:t xml:space="preserve"> </w:t>
      </w:r>
      <w:r w:rsidR="009C12A1" w:rsidRPr="00BD5825">
        <w:rPr>
          <w:color w:val="auto"/>
        </w:rPr>
        <w:t>He</w:t>
      </w:r>
      <w:r w:rsidR="009C12A1" w:rsidRPr="00F64312">
        <w:rPr>
          <w:color w:val="auto"/>
        </w:rPr>
        <w:t xml:space="preserve"> </w:t>
      </w:r>
      <w:r w:rsidR="00F566B7" w:rsidRPr="00F64312">
        <w:rPr>
          <w:color w:val="auto"/>
        </w:rPr>
        <w:t xml:space="preserve">was issued </w:t>
      </w:r>
      <w:r w:rsidR="00F566B7" w:rsidRPr="00BD5825">
        <w:rPr>
          <w:color w:val="auto"/>
        </w:rPr>
        <w:t>a permanent L3 profile</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C27AEB">
        <w:rPr>
          <w:color w:val="auto"/>
        </w:rPr>
        <w:t xml:space="preserve">  </w:t>
      </w:r>
      <w:r w:rsidR="009F44A2">
        <w:rPr>
          <w:color w:val="auto"/>
        </w:rPr>
        <w:t xml:space="preserve">The MEB forwarded </w:t>
      </w:r>
      <w:r w:rsidR="00BD5825">
        <w:rPr>
          <w:color w:val="auto"/>
        </w:rPr>
        <w:t xml:space="preserve">osteochondritis dessicans </w:t>
      </w:r>
      <w:r w:rsidR="009F44A2">
        <w:rPr>
          <w:color w:val="auto"/>
        </w:rPr>
        <w:t xml:space="preserve">to the Physical Evaluation Board (PEB) as medically unacceptable </w:t>
      </w:r>
      <w:r w:rsidR="009F44A2" w:rsidRPr="00BD5825">
        <w:rPr>
          <w:color w:val="auto"/>
        </w:rPr>
        <w:t xml:space="preserve">IAW AR 40-501.  </w:t>
      </w:r>
      <w:r w:rsidR="00BD5825">
        <w:rPr>
          <w:color w:val="auto"/>
        </w:rPr>
        <w:t>Sleep apnea corrected with uvuloplasty and pre-</w:t>
      </w:r>
      <w:r w:rsidR="00BD5825" w:rsidRPr="00BD5825">
        <w:rPr>
          <w:color w:val="auto"/>
        </w:rPr>
        <w:t>hypertension</w:t>
      </w:r>
      <w:r w:rsidR="00071F0D" w:rsidRPr="00BD5825">
        <w:rPr>
          <w:color w:val="auto"/>
        </w:rPr>
        <w:t>, identified in the rating chart below, were also identified and forwarded by the MEB</w:t>
      </w:r>
      <w:r w:rsidR="00BD5825">
        <w:rPr>
          <w:color w:val="auto"/>
        </w:rPr>
        <w:t xml:space="preserve"> </w:t>
      </w:r>
      <w:r w:rsidR="00BD5825" w:rsidRPr="003D0CA3">
        <w:rPr>
          <w:color w:val="auto"/>
        </w:rPr>
        <w:t>as non-disqualifying</w:t>
      </w:r>
      <w:r w:rsidR="00BD5825">
        <w:rPr>
          <w:color w:val="auto"/>
        </w:rPr>
        <w:t xml:space="preserve">.  </w:t>
      </w:r>
      <w:r w:rsidRPr="00F64312">
        <w:rPr>
          <w:color w:val="auto"/>
        </w:rPr>
        <w:t xml:space="preserve">The PEB adjudicated the </w:t>
      </w:r>
      <w:r w:rsidR="00BD5825">
        <w:rPr>
          <w:color w:val="auto"/>
        </w:rPr>
        <w:t xml:space="preserve">left knee </w:t>
      </w:r>
      <w:r w:rsidR="00BD5825" w:rsidRPr="00BD5825">
        <w:rPr>
          <w:color w:val="auto"/>
        </w:rPr>
        <w:t>pain</w:t>
      </w:r>
      <w:r w:rsidR="008530E3" w:rsidRPr="00BD5825">
        <w:rPr>
          <w:color w:val="auto"/>
        </w:rPr>
        <w:t xml:space="preserve"> condition as unfitting, rated </w:t>
      </w:r>
      <w:r w:rsidR="00BD5825" w:rsidRPr="00BD5825">
        <w:rPr>
          <w:color w:val="auto"/>
        </w:rPr>
        <w:t>10</w:t>
      </w:r>
      <w:r w:rsidRPr="00BD5825">
        <w:rPr>
          <w:color w:val="auto"/>
        </w:rPr>
        <w:t xml:space="preserve">% </w:t>
      </w:r>
      <w:r w:rsidR="00E46D90" w:rsidRPr="00BD5825">
        <w:rPr>
          <w:color w:val="auto"/>
        </w:rPr>
        <w:t xml:space="preserve">with application of the </w:t>
      </w:r>
      <w:r w:rsidRPr="00BD5825">
        <w:rPr>
          <w:color w:val="auto"/>
        </w:rPr>
        <w:t>Veteran</w:t>
      </w:r>
      <w:r w:rsidR="00BF72CA" w:rsidRPr="00BD5825">
        <w:rPr>
          <w:color w:val="auto"/>
        </w:rPr>
        <w:t>’</w:t>
      </w:r>
      <w:r w:rsidRPr="00BD5825">
        <w:rPr>
          <w:color w:val="auto"/>
        </w:rPr>
        <w:t>s A</w:t>
      </w:r>
      <w:r w:rsidR="00BF72CA" w:rsidRPr="00BD5825">
        <w:rPr>
          <w:color w:val="auto"/>
        </w:rPr>
        <w:t>ffairs</w:t>
      </w:r>
      <w:r w:rsidRPr="00BD5825">
        <w:rPr>
          <w:color w:val="auto"/>
        </w:rPr>
        <w:t xml:space="preserve"> Schedule for Rating Disabilities (VASRD)</w:t>
      </w:r>
      <w:r w:rsidR="00BF72CA" w:rsidRPr="00BD5825">
        <w:rPr>
          <w:color w:val="auto"/>
        </w:rPr>
        <w:t>.</w:t>
      </w:r>
      <w:r w:rsidR="00BD5825" w:rsidRPr="00BD5825">
        <w:rPr>
          <w:color w:val="auto"/>
        </w:rPr>
        <w:t xml:space="preserve">  </w:t>
      </w:r>
      <w:r w:rsidR="00380601" w:rsidRPr="00BD5825">
        <w:rPr>
          <w:color w:val="auto"/>
        </w:rPr>
        <w:t>The remaining conditions were determined to be not unfitting</w:t>
      </w:r>
      <w:r w:rsidR="00DF70F4" w:rsidRPr="00BD5825">
        <w:rPr>
          <w:color w:val="auto"/>
        </w:rPr>
        <w:t>.</w:t>
      </w:r>
      <w:r w:rsidR="00BD5825" w:rsidRPr="00BD5825">
        <w:rPr>
          <w:color w:val="auto"/>
        </w:rPr>
        <w:t xml:space="preserve">  </w:t>
      </w:r>
      <w:r w:rsidRPr="00BD5825">
        <w:rPr>
          <w:color w:val="auto"/>
        </w:rPr>
        <w:t xml:space="preserve">The CI made no appeals, and was medically separated with </w:t>
      </w:r>
      <w:r w:rsidR="0066684A" w:rsidRPr="00BD5825">
        <w:rPr>
          <w:color w:val="auto"/>
        </w:rPr>
        <w:t xml:space="preserve">a </w:t>
      </w:r>
      <w:r w:rsidR="00BD5825" w:rsidRPr="00BD5825">
        <w:rPr>
          <w:color w:val="auto"/>
        </w:rPr>
        <w:t>10</w:t>
      </w:r>
      <w:r w:rsidR="0066684A" w:rsidRPr="00BD5825">
        <w:rPr>
          <w:color w:val="auto"/>
        </w:rPr>
        <w:t xml:space="preserve">% </w:t>
      </w:r>
      <w:r w:rsidRPr="00BD5825">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002F48">
        <w:rPr>
          <w:color w:val="auto"/>
        </w:rPr>
        <w:t>“</w:t>
      </w:r>
      <w:r w:rsidR="00002F48" w:rsidRPr="00403F79">
        <w:rPr>
          <w:color w:val="000000" w:themeColor="text1"/>
        </w:rPr>
        <w:t>Not all of my medical conditions were addressed during MEB proceedings.</w:t>
      </w:r>
      <w:r w:rsidR="00002F48">
        <w:rPr>
          <w:color w:val="000000" w:themeColor="text1"/>
        </w:rPr>
        <w:t xml:space="preserve"> </w:t>
      </w:r>
      <w:r w:rsidR="00002F48" w:rsidRPr="00403F79">
        <w:rPr>
          <w:color w:val="000000" w:themeColor="text1"/>
        </w:rPr>
        <w:t xml:space="preserve"> </w:t>
      </w:r>
      <w:r w:rsidR="00002F48">
        <w:rPr>
          <w:color w:val="000000" w:themeColor="text1"/>
        </w:rPr>
        <w:t>I</w:t>
      </w:r>
      <w:r w:rsidR="00002F48" w:rsidRPr="00403F79">
        <w:rPr>
          <w:color w:val="000000" w:themeColor="text1"/>
        </w:rPr>
        <w:t xml:space="preserve"> was diagnosed with </w:t>
      </w:r>
      <w:r w:rsidR="008C4860">
        <w:rPr>
          <w:color w:val="000000" w:themeColor="text1"/>
        </w:rPr>
        <w:t>o</w:t>
      </w:r>
      <w:r w:rsidR="00002F48" w:rsidRPr="00403F79">
        <w:rPr>
          <w:color w:val="000000" w:themeColor="text1"/>
        </w:rPr>
        <w:t>bstructive</w:t>
      </w:r>
      <w:r w:rsidR="00002F48">
        <w:rPr>
          <w:color w:val="000000" w:themeColor="text1"/>
        </w:rPr>
        <w:t xml:space="preserve"> sleep apnea by my doctor and wa</w:t>
      </w:r>
      <w:r w:rsidR="00002F48" w:rsidRPr="00403F79">
        <w:rPr>
          <w:color w:val="000000" w:themeColor="text1"/>
        </w:rPr>
        <w:t>s</w:t>
      </w:r>
      <w:r w:rsidR="00002F48">
        <w:rPr>
          <w:color w:val="000000" w:themeColor="text1"/>
        </w:rPr>
        <w:t xml:space="preserve"> </w:t>
      </w:r>
      <w:r w:rsidR="00002F48" w:rsidRPr="00403F79">
        <w:rPr>
          <w:color w:val="000000" w:themeColor="text1"/>
        </w:rPr>
        <w:t>awaiting an appointment for a sleep study to confirm the diagnosis.</w:t>
      </w:r>
      <w:r w:rsidR="00002F48">
        <w:rPr>
          <w:color w:val="000000" w:themeColor="text1"/>
        </w:rPr>
        <w:t xml:space="preserve"> </w:t>
      </w:r>
      <w:r w:rsidR="00002F48" w:rsidRPr="00403F79">
        <w:rPr>
          <w:color w:val="000000" w:themeColor="text1"/>
        </w:rPr>
        <w:t xml:space="preserve"> The sleep study was scheduled but not performed until </w:t>
      </w:r>
      <w:r w:rsidR="00002F48">
        <w:rPr>
          <w:color w:val="000000" w:themeColor="text1"/>
        </w:rPr>
        <w:t>I</w:t>
      </w:r>
      <w:r w:rsidR="00002F48" w:rsidRPr="00403F79">
        <w:rPr>
          <w:color w:val="000000" w:themeColor="text1"/>
        </w:rPr>
        <w:t xml:space="preserve"> had already starte</w:t>
      </w:r>
      <w:r w:rsidR="00002F48">
        <w:rPr>
          <w:color w:val="000000" w:themeColor="text1"/>
        </w:rPr>
        <w:t xml:space="preserve">d </w:t>
      </w:r>
      <w:r w:rsidR="00002F48" w:rsidRPr="00403F79">
        <w:rPr>
          <w:color w:val="000000" w:themeColor="text1"/>
        </w:rPr>
        <w:t>terminal leave.</w:t>
      </w:r>
      <w:r w:rsidR="00002F48">
        <w:rPr>
          <w:color w:val="000000" w:themeColor="text1"/>
        </w:rPr>
        <w:t xml:space="preserve"> </w:t>
      </w:r>
      <w:r w:rsidR="00002F48" w:rsidRPr="00403F79">
        <w:rPr>
          <w:color w:val="000000" w:themeColor="text1"/>
        </w:rPr>
        <w:t xml:space="preserve"> I was treated and diagnosed with PTSD following my deployments in 2006 and 2007.</w:t>
      </w:r>
      <w:r w:rsidR="00002F48">
        <w:rPr>
          <w:color w:val="000000" w:themeColor="text1"/>
        </w:rPr>
        <w:t>”  CI also submits his “</w:t>
      </w:r>
      <w:r w:rsidR="00002F48" w:rsidRPr="00250DEE">
        <w:rPr>
          <w:color w:val="000000" w:themeColor="text1"/>
        </w:rPr>
        <w:t>VA award letter showing that I was service connected disabled at 60% immediately following my discharge from the military.</w:t>
      </w:r>
      <w:r w:rsidR="00C16C45">
        <w:rPr>
          <w:color w:val="000000" w:themeColor="text1"/>
        </w:rPr>
        <w:t xml:space="preserve"> </w:t>
      </w:r>
      <w:r w:rsidR="00002F48" w:rsidRPr="00250DEE">
        <w:rPr>
          <w:color w:val="000000" w:themeColor="text1"/>
        </w:rPr>
        <w:t xml:space="preserve"> This VA claim was</w:t>
      </w:r>
      <w:r w:rsidR="00002F48">
        <w:rPr>
          <w:color w:val="000000" w:themeColor="text1"/>
        </w:rPr>
        <w:t xml:space="preserve"> </w:t>
      </w:r>
      <w:r w:rsidR="00002F48" w:rsidRPr="00250DEE">
        <w:rPr>
          <w:color w:val="000000" w:themeColor="text1"/>
        </w:rPr>
        <w:t>filed prior to my discharge from the military and held at the Winston-Salem Regi</w:t>
      </w:r>
      <w:r w:rsidR="00002F48">
        <w:rPr>
          <w:color w:val="000000" w:themeColor="text1"/>
        </w:rPr>
        <w:t>onal Office until my official re</w:t>
      </w:r>
      <w:r w:rsidR="00002F48" w:rsidRPr="00250DEE">
        <w:rPr>
          <w:color w:val="000000" w:themeColor="text1"/>
        </w:rPr>
        <w:t>lease from active duty.</w:t>
      </w:r>
      <w:r w:rsidR="00002F48">
        <w:rPr>
          <w:color w:val="000000" w:themeColor="text1"/>
        </w:rPr>
        <w:t>”</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 xml:space="preserve">The ratings for unfitting conditions will be reviewed in all cases.  </w:t>
      </w:r>
      <w:r w:rsidRPr="007D302B">
        <w:rPr>
          <w:color w:val="auto"/>
        </w:rPr>
        <w:t xml:space="preserve">The </w:t>
      </w:r>
      <w:r w:rsidR="007D302B" w:rsidRPr="007D302B">
        <w:rPr>
          <w:color w:val="auto"/>
        </w:rPr>
        <w:t>obstructive sleep apnea</w:t>
      </w:r>
      <w:r w:rsidRPr="007D302B">
        <w:rPr>
          <w:color w:val="auto"/>
        </w:rPr>
        <w:t xml:space="preserve"> </w:t>
      </w:r>
      <w:r w:rsidR="008C4860">
        <w:rPr>
          <w:color w:val="auto"/>
        </w:rPr>
        <w:t xml:space="preserve">(OSA) </w:t>
      </w:r>
      <w:r w:rsidRPr="007D302B">
        <w:rPr>
          <w:color w:val="auto"/>
        </w:rPr>
        <w:t xml:space="preserve">condition requested for consideration and the unfitting </w:t>
      </w:r>
      <w:r w:rsidR="007D302B" w:rsidRPr="007D302B">
        <w:rPr>
          <w:color w:val="auto"/>
        </w:rPr>
        <w:t>left knee</w:t>
      </w:r>
      <w:r w:rsidRPr="007D302B">
        <w:rPr>
          <w:color w:val="auto"/>
        </w:rPr>
        <w:t xml:space="preserve"> condition meet the criteria prescribed in DoDI 6040.44 for Board purview, and are accordingly addressed below.  The </w:t>
      </w:r>
      <w:r w:rsidR="007D302B" w:rsidRPr="007D302B">
        <w:rPr>
          <w:color w:val="auto"/>
        </w:rPr>
        <w:t xml:space="preserve">requested </w:t>
      </w:r>
      <w:r w:rsidR="008C4860">
        <w:rPr>
          <w:color w:val="auto"/>
        </w:rPr>
        <w:t>posttraumatic stress disorder (</w:t>
      </w:r>
      <w:r w:rsidR="007D302B" w:rsidRPr="007D302B">
        <w:rPr>
          <w:color w:val="auto"/>
        </w:rPr>
        <w:t>PTSD</w:t>
      </w:r>
      <w:r w:rsidR="008C4860">
        <w:rPr>
          <w:color w:val="auto"/>
        </w:rPr>
        <w:t>)</w:t>
      </w:r>
      <w:r w:rsidRPr="007D302B">
        <w:rPr>
          <w:color w:val="auto"/>
        </w:rPr>
        <w:t xml:space="preserve"> condition</w:t>
      </w:r>
      <w:r w:rsidR="007D302B" w:rsidRPr="007D302B">
        <w:rPr>
          <w:color w:val="auto"/>
        </w:rPr>
        <w:t xml:space="preserve"> is</w:t>
      </w:r>
      <w:r w:rsidRPr="007D302B">
        <w:rPr>
          <w:color w:val="auto"/>
        </w:rPr>
        <w:t xml:space="preserve"> not within the Board’s purview.</w:t>
      </w:r>
      <w:r w:rsidRPr="002A3A66">
        <w:rPr>
          <w:color w:val="auto"/>
        </w:rPr>
        <w:t xml:space="preserve">  </w:t>
      </w:r>
      <w:r>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7D302B">
        <w:rPr>
          <w:color w:val="auto"/>
        </w:rPr>
        <w:t>the Army Board for the Correction of Military Records (</w:t>
      </w:r>
      <w:r w:rsidR="001C7327">
        <w:rPr>
          <w:color w:val="auto"/>
        </w:rPr>
        <w:t>A</w:t>
      </w:r>
      <w:r w:rsidRPr="007D302B">
        <w:rPr>
          <w:color w:val="auto"/>
        </w:rPr>
        <w:t>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C27AEB" w:rsidRDefault="00C27AEB" w:rsidP="00BF0E94">
      <w:pPr>
        <w:jc w:val="left"/>
        <w:rPr>
          <w:color w:val="auto"/>
          <w:u w:val="single"/>
        </w:rPr>
      </w:pPr>
    </w:p>
    <w:p w:rsidR="00C27AEB" w:rsidRDefault="00C27AEB" w:rsidP="00BF0E94">
      <w:pPr>
        <w:jc w:val="left"/>
        <w:rPr>
          <w:color w:val="auto"/>
          <w:u w:val="single"/>
        </w:rPr>
      </w:pPr>
    </w:p>
    <w:p w:rsidR="00C27AEB" w:rsidRDefault="00C27AEB" w:rsidP="00BF0E94">
      <w:pPr>
        <w:jc w:val="left"/>
        <w:rPr>
          <w:color w:val="auto"/>
          <w:u w:val="single"/>
        </w:rPr>
      </w:pPr>
    </w:p>
    <w:p w:rsidR="00C27AEB" w:rsidRDefault="00C27AEB" w:rsidP="00BF0E94">
      <w:pPr>
        <w:jc w:val="left"/>
        <w:rPr>
          <w:color w:val="auto"/>
          <w:u w:val="single"/>
        </w:rPr>
      </w:pPr>
    </w:p>
    <w:p w:rsidR="00C27AEB" w:rsidRDefault="00C27AEB" w:rsidP="00BF0E94">
      <w:pPr>
        <w:jc w:val="left"/>
        <w:rPr>
          <w:color w:val="auto"/>
          <w:u w:val="single"/>
        </w:rPr>
      </w:pPr>
    </w:p>
    <w:p w:rsidR="00C27AEB" w:rsidRDefault="00C27AEB" w:rsidP="00BF0E94">
      <w:pPr>
        <w:jc w:val="left"/>
        <w:rPr>
          <w:color w:val="auto"/>
          <w:u w:val="single"/>
        </w:rPr>
      </w:pPr>
    </w:p>
    <w:p w:rsidR="00C27AEB" w:rsidRDefault="00C27AEB"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7D302B">
            <w:pPr>
              <w:spacing w:line="180" w:lineRule="exact"/>
              <w:contextualSpacing/>
              <w:rPr>
                <w:rFonts w:cs="Calibri"/>
                <w:b/>
                <w:color w:val="auto"/>
                <w:sz w:val="18"/>
              </w:rPr>
            </w:pPr>
            <w:r w:rsidRPr="00F64312">
              <w:rPr>
                <w:b/>
                <w:color w:val="auto"/>
                <w:sz w:val="18"/>
              </w:rPr>
              <w:t xml:space="preserve">Service PEB – Dated </w:t>
            </w:r>
            <w:r w:rsidRPr="007D302B">
              <w:rPr>
                <w:b/>
                <w:color w:val="auto"/>
                <w:sz w:val="18"/>
              </w:rPr>
              <w:t>200</w:t>
            </w:r>
            <w:r w:rsidR="007D302B" w:rsidRPr="007D302B">
              <w:rPr>
                <w:b/>
                <w:color w:val="auto"/>
                <w:sz w:val="18"/>
              </w:rPr>
              <w:t>80602</w:t>
            </w:r>
          </w:p>
        </w:tc>
        <w:tc>
          <w:tcPr>
            <w:tcW w:w="5400" w:type="dxa"/>
            <w:gridSpan w:val="4"/>
            <w:tcBorders>
              <w:left w:val="thinThickThinSmallGap" w:sz="24" w:space="0" w:color="auto"/>
            </w:tcBorders>
            <w:shd w:val="clear" w:color="auto" w:fill="D9D9D9"/>
            <w:vAlign w:val="center"/>
          </w:tcPr>
          <w:p w:rsidR="00F90376" w:rsidRPr="00F64312" w:rsidRDefault="00F90376" w:rsidP="007D302B">
            <w:pPr>
              <w:spacing w:line="180" w:lineRule="exact"/>
              <w:contextualSpacing/>
              <w:rPr>
                <w:rFonts w:cs="Calibri"/>
                <w:b/>
                <w:color w:val="auto"/>
                <w:sz w:val="18"/>
              </w:rPr>
            </w:pPr>
            <w:r w:rsidRPr="00F64312">
              <w:rPr>
                <w:b/>
                <w:color w:val="auto"/>
                <w:sz w:val="18"/>
              </w:rPr>
              <w:t>VA (</w:t>
            </w:r>
            <w:r w:rsidR="007D302B">
              <w:rPr>
                <w:b/>
                <w:color w:val="auto"/>
                <w:sz w:val="18"/>
              </w:rPr>
              <w:t>7</w:t>
            </w:r>
            <w:r w:rsidRPr="00F64312">
              <w:rPr>
                <w:b/>
                <w:color w:val="auto"/>
                <w:sz w:val="18"/>
              </w:rPr>
              <w:t xml:space="preserve"> Mos. </w:t>
            </w:r>
            <w:r w:rsidRPr="007D302B">
              <w:rPr>
                <w:b/>
                <w:color w:val="auto"/>
                <w:sz w:val="18"/>
              </w:rPr>
              <w:t>Post-</w:t>
            </w:r>
            <w:r w:rsidRPr="00F64312">
              <w:rPr>
                <w:b/>
                <w:color w:val="auto"/>
                <w:sz w:val="18"/>
              </w:rPr>
              <w:t xml:space="preserve">Separation) – All Effective </w:t>
            </w:r>
            <w:r w:rsidRPr="007D302B">
              <w:rPr>
                <w:b/>
                <w:color w:val="auto"/>
                <w:sz w:val="18"/>
              </w:rPr>
              <w:t>Date 200</w:t>
            </w:r>
            <w:r w:rsidR="007D302B" w:rsidRPr="007D302B">
              <w:rPr>
                <w:b/>
                <w:color w:val="auto"/>
                <w:sz w:val="18"/>
              </w:rPr>
              <w:t>80916</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7D302B" w:rsidP="006B690F">
            <w:pPr>
              <w:spacing w:line="180" w:lineRule="exact"/>
              <w:contextualSpacing/>
              <w:jc w:val="left"/>
              <w:rPr>
                <w:rFonts w:cs="Calibri"/>
                <w:color w:val="auto"/>
                <w:sz w:val="18"/>
              </w:rPr>
            </w:pPr>
            <w:r>
              <w:rPr>
                <w:rFonts w:cs="Calibri"/>
                <w:color w:val="auto"/>
                <w:sz w:val="18"/>
              </w:rPr>
              <w:t>Left Knee Pain</w:t>
            </w:r>
          </w:p>
        </w:tc>
        <w:tc>
          <w:tcPr>
            <w:tcW w:w="1080" w:type="dxa"/>
            <w:tcBorders>
              <w:left w:val="single" w:sz="4" w:space="0" w:color="auto"/>
            </w:tcBorders>
            <w:shd w:val="clear" w:color="auto" w:fill="FFFFFF"/>
            <w:vAlign w:val="center"/>
          </w:tcPr>
          <w:p w:rsidR="00F90376" w:rsidRPr="00F64312" w:rsidRDefault="00796B57" w:rsidP="006B690F">
            <w:pPr>
              <w:spacing w:line="180" w:lineRule="exact"/>
              <w:contextualSpacing/>
              <w:rPr>
                <w:rFonts w:cs="Calibri"/>
                <w:color w:val="auto"/>
                <w:sz w:val="18"/>
              </w:rPr>
            </w:pPr>
            <w:r>
              <w:rPr>
                <w:rFonts w:cs="Calibri"/>
                <w:color w:val="auto"/>
                <w:sz w:val="18"/>
              </w:rPr>
              <w:t>5003</w:t>
            </w:r>
          </w:p>
        </w:tc>
        <w:tc>
          <w:tcPr>
            <w:tcW w:w="720" w:type="dxa"/>
            <w:tcBorders>
              <w:right w:val="thinThickThinSmallGap" w:sz="24" w:space="0" w:color="auto"/>
            </w:tcBorders>
            <w:shd w:val="clear" w:color="auto" w:fill="FFFFFF"/>
            <w:vAlign w:val="center"/>
          </w:tcPr>
          <w:p w:rsidR="00F90376" w:rsidRPr="00F64312" w:rsidRDefault="00796B57"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796B57" w:rsidP="0017172C">
            <w:pPr>
              <w:spacing w:line="180" w:lineRule="exact"/>
              <w:contextualSpacing/>
              <w:jc w:val="left"/>
              <w:rPr>
                <w:rFonts w:cs="Calibri"/>
                <w:color w:val="auto"/>
                <w:sz w:val="18"/>
              </w:rPr>
            </w:pPr>
            <w:r>
              <w:rPr>
                <w:rFonts w:cs="Calibri"/>
                <w:color w:val="auto"/>
                <w:sz w:val="18"/>
              </w:rPr>
              <w:t>Left Knee Osteochondritis</w:t>
            </w:r>
          </w:p>
        </w:tc>
        <w:tc>
          <w:tcPr>
            <w:tcW w:w="1080" w:type="dxa"/>
            <w:shd w:val="clear" w:color="auto" w:fill="FFFFFF"/>
            <w:vAlign w:val="center"/>
          </w:tcPr>
          <w:p w:rsidR="00F90376" w:rsidRPr="00F64312" w:rsidRDefault="00796B57" w:rsidP="0017172C">
            <w:pPr>
              <w:spacing w:line="180" w:lineRule="exact"/>
              <w:contextualSpacing/>
              <w:rPr>
                <w:rFonts w:cs="Calibri"/>
                <w:color w:val="auto"/>
                <w:sz w:val="18"/>
              </w:rPr>
            </w:pPr>
            <w:r>
              <w:rPr>
                <w:rFonts w:cs="Calibri"/>
                <w:color w:val="auto"/>
                <w:sz w:val="18"/>
              </w:rPr>
              <w:t>5099-5010</w:t>
            </w:r>
          </w:p>
        </w:tc>
        <w:tc>
          <w:tcPr>
            <w:tcW w:w="720" w:type="dxa"/>
            <w:shd w:val="clear" w:color="auto" w:fill="FFFFFF"/>
            <w:vAlign w:val="center"/>
          </w:tcPr>
          <w:p w:rsidR="00F90376" w:rsidRPr="00F64312" w:rsidRDefault="00796B57"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3F3AC1">
            <w:pPr>
              <w:spacing w:line="180" w:lineRule="exact"/>
              <w:contextualSpacing/>
              <w:rPr>
                <w:rFonts w:cs="Calibri"/>
                <w:color w:val="auto"/>
                <w:sz w:val="18"/>
              </w:rPr>
            </w:pPr>
            <w:r w:rsidRPr="003F3AC1">
              <w:rPr>
                <w:color w:val="auto"/>
                <w:sz w:val="18"/>
              </w:rPr>
              <w:t>200</w:t>
            </w:r>
            <w:r w:rsidR="003F3AC1">
              <w:rPr>
                <w:color w:val="auto"/>
                <w:sz w:val="18"/>
              </w:rPr>
              <w:t>90420</w:t>
            </w:r>
          </w:p>
        </w:tc>
      </w:tr>
      <w:tr w:rsidR="00796B57" w:rsidRPr="00F64312" w:rsidTr="0026348D">
        <w:trPr>
          <w:trHeight w:val="118"/>
          <w:jc w:val="center"/>
        </w:trPr>
        <w:tc>
          <w:tcPr>
            <w:tcW w:w="2169" w:type="dxa"/>
            <w:tcBorders>
              <w:right w:val="single" w:sz="4" w:space="0" w:color="auto"/>
            </w:tcBorders>
            <w:shd w:val="clear" w:color="auto" w:fill="FFFFFF"/>
            <w:vAlign w:val="center"/>
          </w:tcPr>
          <w:p w:rsidR="00796B57" w:rsidRPr="00F64312" w:rsidRDefault="00796B57" w:rsidP="006B690F">
            <w:pPr>
              <w:spacing w:line="180" w:lineRule="exact"/>
              <w:contextualSpacing/>
              <w:jc w:val="left"/>
              <w:rPr>
                <w:color w:val="auto"/>
                <w:sz w:val="18"/>
              </w:rPr>
            </w:pPr>
            <w:r>
              <w:rPr>
                <w:color w:val="auto"/>
                <w:sz w:val="18"/>
              </w:rPr>
              <w:t>Sleep Apnea</w:t>
            </w:r>
          </w:p>
        </w:tc>
        <w:tc>
          <w:tcPr>
            <w:tcW w:w="1800" w:type="dxa"/>
            <w:gridSpan w:val="2"/>
            <w:tcBorders>
              <w:left w:val="single" w:sz="4" w:space="0" w:color="auto"/>
              <w:right w:val="thinThickThinSmallGap" w:sz="24" w:space="0" w:color="auto"/>
            </w:tcBorders>
            <w:shd w:val="clear" w:color="auto" w:fill="FFFFFF"/>
            <w:vAlign w:val="center"/>
          </w:tcPr>
          <w:p w:rsidR="00796B57" w:rsidRPr="00F64312" w:rsidRDefault="00796B57" w:rsidP="006B690F">
            <w:pPr>
              <w:spacing w:line="180" w:lineRule="exact"/>
              <w:rPr>
                <w:color w:val="auto"/>
                <w:sz w:val="18"/>
              </w:rPr>
            </w:pPr>
            <w:r>
              <w:rPr>
                <w:color w:val="auto"/>
                <w:sz w:val="18"/>
              </w:rPr>
              <w:t>Not Unfitting</w:t>
            </w:r>
          </w:p>
        </w:tc>
        <w:tc>
          <w:tcPr>
            <w:tcW w:w="2610" w:type="dxa"/>
            <w:tcBorders>
              <w:left w:val="thinThickThinSmallGap" w:sz="24" w:space="0" w:color="auto"/>
            </w:tcBorders>
            <w:shd w:val="clear" w:color="auto" w:fill="FFFFFF"/>
            <w:vAlign w:val="center"/>
          </w:tcPr>
          <w:p w:rsidR="00796B57" w:rsidRPr="00F64312" w:rsidRDefault="00796B57" w:rsidP="0017172C">
            <w:pPr>
              <w:spacing w:line="180" w:lineRule="exact"/>
              <w:contextualSpacing/>
              <w:jc w:val="left"/>
              <w:rPr>
                <w:color w:val="auto"/>
                <w:sz w:val="18"/>
              </w:rPr>
            </w:pPr>
            <w:r>
              <w:rPr>
                <w:color w:val="auto"/>
                <w:sz w:val="18"/>
              </w:rPr>
              <w:t>Obstructive Sleep Apnea</w:t>
            </w:r>
          </w:p>
        </w:tc>
        <w:tc>
          <w:tcPr>
            <w:tcW w:w="1080" w:type="dxa"/>
            <w:shd w:val="clear" w:color="auto" w:fill="FFFFFF"/>
            <w:vAlign w:val="center"/>
          </w:tcPr>
          <w:p w:rsidR="00796B57" w:rsidRPr="00F64312" w:rsidRDefault="00796B57" w:rsidP="0017172C">
            <w:pPr>
              <w:spacing w:line="180" w:lineRule="exact"/>
              <w:contextualSpacing/>
              <w:rPr>
                <w:color w:val="auto"/>
                <w:sz w:val="18"/>
              </w:rPr>
            </w:pPr>
            <w:r>
              <w:rPr>
                <w:color w:val="auto"/>
                <w:sz w:val="18"/>
              </w:rPr>
              <w:t>6847</w:t>
            </w:r>
          </w:p>
        </w:tc>
        <w:tc>
          <w:tcPr>
            <w:tcW w:w="720" w:type="dxa"/>
            <w:shd w:val="clear" w:color="auto" w:fill="FFFFFF"/>
            <w:vAlign w:val="center"/>
          </w:tcPr>
          <w:p w:rsidR="00796B57" w:rsidRPr="00F64312" w:rsidRDefault="00796B57" w:rsidP="0017172C">
            <w:pPr>
              <w:spacing w:line="180" w:lineRule="exact"/>
              <w:contextualSpacing/>
              <w:rPr>
                <w:color w:val="auto"/>
                <w:sz w:val="18"/>
              </w:rPr>
            </w:pPr>
            <w:r>
              <w:rPr>
                <w:color w:val="auto"/>
                <w:sz w:val="18"/>
              </w:rPr>
              <w:t>50%</w:t>
            </w:r>
          </w:p>
        </w:tc>
        <w:tc>
          <w:tcPr>
            <w:tcW w:w="990" w:type="dxa"/>
            <w:shd w:val="clear" w:color="auto" w:fill="FFFFFF"/>
            <w:vAlign w:val="center"/>
          </w:tcPr>
          <w:p w:rsidR="00796B57" w:rsidRPr="00F64312" w:rsidRDefault="00796B57" w:rsidP="0017172C">
            <w:pPr>
              <w:spacing w:line="180" w:lineRule="exact"/>
              <w:contextualSpacing/>
              <w:rPr>
                <w:color w:val="auto"/>
                <w:sz w:val="18"/>
                <w:highlight w:val="yellow"/>
              </w:rPr>
            </w:pPr>
            <w:r w:rsidRPr="00796B57">
              <w:rPr>
                <w:color w:val="auto"/>
                <w:sz w:val="18"/>
              </w:rPr>
              <w:t>20090420</w:t>
            </w:r>
          </w:p>
        </w:tc>
      </w:tr>
      <w:tr w:rsidR="00796B57" w:rsidRPr="00F64312" w:rsidTr="00EB533E">
        <w:trPr>
          <w:trHeight w:val="118"/>
          <w:jc w:val="center"/>
        </w:trPr>
        <w:tc>
          <w:tcPr>
            <w:tcW w:w="2169" w:type="dxa"/>
            <w:tcBorders>
              <w:right w:val="single" w:sz="4" w:space="0" w:color="auto"/>
            </w:tcBorders>
            <w:shd w:val="clear" w:color="auto" w:fill="FFFFFF"/>
            <w:vAlign w:val="center"/>
          </w:tcPr>
          <w:p w:rsidR="00796B57" w:rsidRPr="00F64312" w:rsidRDefault="00796B57" w:rsidP="006B690F">
            <w:pPr>
              <w:spacing w:line="180" w:lineRule="exact"/>
              <w:contextualSpacing/>
              <w:jc w:val="left"/>
              <w:rPr>
                <w:color w:val="auto"/>
                <w:sz w:val="18"/>
              </w:rPr>
            </w:pPr>
            <w:r>
              <w:rPr>
                <w:color w:val="auto"/>
                <w:sz w:val="18"/>
              </w:rPr>
              <w:t>Pre-Hypertension</w:t>
            </w:r>
          </w:p>
        </w:tc>
        <w:tc>
          <w:tcPr>
            <w:tcW w:w="1800" w:type="dxa"/>
            <w:gridSpan w:val="2"/>
            <w:tcBorders>
              <w:left w:val="single" w:sz="4" w:space="0" w:color="auto"/>
              <w:right w:val="thinThickThinSmallGap" w:sz="24" w:space="0" w:color="auto"/>
            </w:tcBorders>
            <w:shd w:val="clear" w:color="auto" w:fill="FFFFFF"/>
            <w:vAlign w:val="center"/>
          </w:tcPr>
          <w:p w:rsidR="00796B57" w:rsidRPr="00F64312" w:rsidRDefault="00796B57" w:rsidP="006B690F">
            <w:pPr>
              <w:spacing w:line="180" w:lineRule="exact"/>
              <w:rPr>
                <w:color w:val="auto"/>
                <w:sz w:val="18"/>
              </w:rPr>
            </w:pPr>
            <w:r>
              <w:rPr>
                <w:color w:val="auto"/>
                <w:sz w:val="18"/>
              </w:rPr>
              <w:t>Not Unfitting</w:t>
            </w:r>
          </w:p>
        </w:tc>
        <w:tc>
          <w:tcPr>
            <w:tcW w:w="2610" w:type="dxa"/>
            <w:tcBorders>
              <w:left w:val="thinThickThinSmallGap" w:sz="24" w:space="0" w:color="auto"/>
            </w:tcBorders>
            <w:shd w:val="clear" w:color="auto" w:fill="FFFFFF"/>
            <w:vAlign w:val="center"/>
          </w:tcPr>
          <w:p w:rsidR="00796B57" w:rsidRPr="00F64312" w:rsidRDefault="00796B57" w:rsidP="0017172C">
            <w:pPr>
              <w:spacing w:line="180" w:lineRule="exact"/>
              <w:contextualSpacing/>
              <w:jc w:val="left"/>
              <w:rPr>
                <w:color w:val="auto"/>
                <w:sz w:val="18"/>
              </w:rPr>
            </w:pPr>
            <w:r>
              <w:rPr>
                <w:color w:val="auto"/>
                <w:sz w:val="18"/>
              </w:rPr>
              <w:t>Hypertension</w:t>
            </w:r>
          </w:p>
        </w:tc>
        <w:tc>
          <w:tcPr>
            <w:tcW w:w="1080" w:type="dxa"/>
            <w:shd w:val="clear" w:color="auto" w:fill="FFFFFF"/>
            <w:vAlign w:val="center"/>
          </w:tcPr>
          <w:p w:rsidR="00796B57" w:rsidRPr="00F64312" w:rsidRDefault="00796B57" w:rsidP="0017172C">
            <w:pPr>
              <w:spacing w:line="180" w:lineRule="exact"/>
              <w:contextualSpacing/>
              <w:rPr>
                <w:color w:val="auto"/>
                <w:sz w:val="18"/>
              </w:rPr>
            </w:pPr>
            <w:r>
              <w:rPr>
                <w:color w:val="auto"/>
                <w:sz w:val="18"/>
              </w:rPr>
              <w:t>7101</w:t>
            </w:r>
          </w:p>
        </w:tc>
        <w:tc>
          <w:tcPr>
            <w:tcW w:w="720" w:type="dxa"/>
            <w:shd w:val="clear" w:color="auto" w:fill="FFFFFF"/>
            <w:vAlign w:val="center"/>
          </w:tcPr>
          <w:p w:rsidR="00796B57" w:rsidRPr="00F64312" w:rsidRDefault="00796B57" w:rsidP="0017172C">
            <w:pPr>
              <w:spacing w:line="180" w:lineRule="exact"/>
              <w:contextualSpacing/>
              <w:rPr>
                <w:color w:val="auto"/>
                <w:sz w:val="18"/>
              </w:rPr>
            </w:pPr>
            <w:r>
              <w:rPr>
                <w:color w:val="auto"/>
                <w:sz w:val="18"/>
              </w:rPr>
              <w:t>NSC</w:t>
            </w:r>
          </w:p>
        </w:tc>
        <w:tc>
          <w:tcPr>
            <w:tcW w:w="990" w:type="dxa"/>
            <w:shd w:val="clear" w:color="auto" w:fill="FFFFFF"/>
            <w:vAlign w:val="center"/>
          </w:tcPr>
          <w:p w:rsidR="00796B57" w:rsidRPr="00F64312" w:rsidRDefault="00796B57" w:rsidP="0017172C">
            <w:pPr>
              <w:spacing w:line="180" w:lineRule="exact"/>
              <w:contextualSpacing/>
              <w:rPr>
                <w:color w:val="auto"/>
                <w:sz w:val="18"/>
                <w:highlight w:val="yellow"/>
              </w:rPr>
            </w:pPr>
            <w:r w:rsidRPr="00796B57">
              <w:rPr>
                <w:color w:val="auto"/>
                <w:sz w:val="18"/>
              </w:rPr>
              <w:t>20090420</w:t>
            </w:r>
          </w:p>
        </w:tc>
      </w:tr>
      <w:tr w:rsidR="00796B57" w:rsidRPr="00F64312" w:rsidTr="00AB0F26">
        <w:trPr>
          <w:trHeight w:val="97"/>
          <w:jc w:val="center"/>
        </w:trPr>
        <w:tc>
          <w:tcPr>
            <w:tcW w:w="3969" w:type="dxa"/>
            <w:gridSpan w:val="3"/>
            <w:vMerge w:val="restart"/>
            <w:tcBorders>
              <w:right w:val="thinThickThinSmallGap" w:sz="24" w:space="0" w:color="auto"/>
            </w:tcBorders>
            <w:shd w:val="clear" w:color="auto" w:fill="FFFFFF"/>
            <w:vAlign w:val="center"/>
          </w:tcPr>
          <w:p w:rsidR="00796B57" w:rsidRPr="00F64312" w:rsidRDefault="00796B57" w:rsidP="006B690F">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796B57" w:rsidRPr="00F64312" w:rsidRDefault="00796B57" w:rsidP="00796B57">
            <w:pPr>
              <w:spacing w:line="180" w:lineRule="exact"/>
              <w:contextualSpacing/>
              <w:jc w:val="left"/>
              <w:rPr>
                <w:color w:val="auto"/>
                <w:sz w:val="18"/>
              </w:rPr>
            </w:pPr>
            <w:r>
              <w:rPr>
                <w:color w:val="auto"/>
                <w:sz w:val="18"/>
              </w:rPr>
              <w:t>Bilateral Tinnitus</w:t>
            </w:r>
          </w:p>
        </w:tc>
        <w:tc>
          <w:tcPr>
            <w:tcW w:w="1080" w:type="dxa"/>
            <w:tcBorders>
              <w:left w:val="single" w:sz="4" w:space="0" w:color="auto"/>
            </w:tcBorders>
            <w:shd w:val="clear" w:color="auto" w:fill="FFFFFF"/>
            <w:vAlign w:val="center"/>
          </w:tcPr>
          <w:p w:rsidR="00796B57" w:rsidRPr="00F64312" w:rsidRDefault="00796B57" w:rsidP="0017172C">
            <w:pPr>
              <w:spacing w:line="180" w:lineRule="exact"/>
              <w:contextualSpacing/>
              <w:rPr>
                <w:color w:val="auto"/>
                <w:sz w:val="18"/>
              </w:rPr>
            </w:pPr>
            <w:r>
              <w:rPr>
                <w:color w:val="auto"/>
                <w:sz w:val="18"/>
              </w:rPr>
              <w:t>6260</w:t>
            </w:r>
          </w:p>
        </w:tc>
        <w:tc>
          <w:tcPr>
            <w:tcW w:w="720" w:type="dxa"/>
            <w:shd w:val="clear" w:color="auto" w:fill="FFFFFF"/>
            <w:vAlign w:val="center"/>
          </w:tcPr>
          <w:p w:rsidR="00796B57" w:rsidRPr="00F64312" w:rsidRDefault="00796B57" w:rsidP="0017172C">
            <w:pPr>
              <w:spacing w:line="180" w:lineRule="exact"/>
              <w:contextualSpacing/>
              <w:rPr>
                <w:color w:val="auto"/>
                <w:sz w:val="18"/>
              </w:rPr>
            </w:pPr>
            <w:r>
              <w:rPr>
                <w:color w:val="auto"/>
                <w:sz w:val="18"/>
              </w:rPr>
              <w:t>10%</w:t>
            </w:r>
          </w:p>
        </w:tc>
        <w:tc>
          <w:tcPr>
            <w:tcW w:w="990" w:type="dxa"/>
            <w:shd w:val="clear" w:color="auto" w:fill="FFFFFF"/>
            <w:vAlign w:val="center"/>
          </w:tcPr>
          <w:p w:rsidR="00796B57" w:rsidRPr="00F64312" w:rsidRDefault="003F3AC1" w:rsidP="0017172C">
            <w:pPr>
              <w:spacing w:line="180" w:lineRule="exact"/>
              <w:contextualSpacing/>
              <w:rPr>
                <w:color w:val="auto"/>
                <w:sz w:val="18"/>
              </w:rPr>
            </w:pPr>
            <w:r>
              <w:rPr>
                <w:color w:val="auto"/>
                <w:sz w:val="18"/>
              </w:rPr>
              <w:t>20081210</w:t>
            </w:r>
          </w:p>
        </w:tc>
      </w:tr>
      <w:tr w:rsidR="00796B57"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796B57" w:rsidRPr="00F64312" w:rsidRDefault="00796B57"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796B57" w:rsidRPr="00F64312" w:rsidRDefault="00796B57" w:rsidP="003F3AC1">
            <w:pPr>
              <w:spacing w:line="180" w:lineRule="exact"/>
              <w:contextualSpacing/>
              <w:rPr>
                <w:rFonts w:cs="Calibri"/>
                <w:color w:val="auto"/>
                <w:sz w:val="18"/>
              </w:rPr>
            </w:pPr>
            <w:r w:rsidRPr="00F64312">
              <w:rPr>
                <w:color w:val="auto"/>
                <w:sz w:val="18"/>
              </w:rPr>
              <w:t xml:space="preserve">0% X </w:t>
            </w:r>
            <w:r w:rsidR="003F3AC1">
              <w:rPr>
                <w:color w:val="auto"/>
                <w:sz w:val="18"/>
              </w:rPr>
              <w:t>4</w:t>
            </w:r>
            <w:r w:rsidRPr="00F64312">
              <w:rPr>
                <w:color w:val="auto"/>
                <w:sz w:val="18"/>
              </w:rPr>
              <w:t xml:space="preserve"> </w:t>
            </w:r>
            <w:r>
              <w:rPr>
                <w:color w:val="auto"/>
                <w:sz w:val="18"/>
              </w:rPr>
              <w:t>/ Not Service-</w:t>
            </w:r>
            <w:r w:rsidRPr="00F64312">
              <w:rPr>
                <w:color w:val="auto"/>
                <w:sz w:val="18"/>
              </w:rPr>
              <w:t xml:space="preserve">Connected x </w:t>
            </w:r>
            <w:r w:rsidR="003F3AC1">
              <w:rPr>
                <w:color w:val="auto"/>
                <w:sz w:val="18"/>
              </w:rPr>
              <w:t>3</w:t>
            </w:r>
          </w:p>
        </w:tc>
        <w:tc>
          <w:tcPr>
            <w:tcW w:w="990" w:type="dxa"/>
            <w:shd w:val="clear" w:color="auto" w:fill="FFFFFF"/>
            <w:vAlign w:val="center"/>
          </w:tcPr>
          <w:p w:rsidR="00796B57" w:rsidRPr="00F64312" w:rsidRDefault="003F3AC1" w:rsidP="0017172C">
            <w:pPr>
              <w:spacing w:line="180" w:lineRule="exact"/>
              <w:contextualSpacing/>
              <w:rPr>
                <w:rFonts w:cs="Calibri"/>
                <w:color w:val="auto"/>
                <w:sz w:val="18"/>
              </w:rPr>
            </w:pPr>
            <w:r w:rsidRPr="00796B57">
              <w:rPr>
                <w:color w:val="auto"/>
                <w:sz w:val="18"/>
              </w:rPr>
              <w:t>20090420</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3F3AC1">
            <w:pPr>
              <w:spacing w:line="180" w:lineRule="exact"/>
              <w:contextualSpacing/>
              <w:rPr>
                <w:rFonts w:cs="Calibri"/>
                <w:b/>
                <w:color w:val="auto"/>
                <w:sz w:val="18"/>
              </w:rPr>
            </w:pPr>
            <w:r w:rsidRPr="00F64312">
              <w:rPr>
                <w:b/>
                <w:color w:val="auto"/>
                <w:sz w:val="18"/>
              </w:rPr>
              <w:t xml:space="preserve">Combined:  </w:t>
            </w:r>
            <w:r w:rsidR="003F3AC1">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3F3AC1">
            <w:pPr>
              <w:spacing w:line="180" w:lineRule="exact"/>
              <w:contextualSpacing/>
              <w:rPr>
                <w:rFonts w:cs="Calibri"/>
                <w:b/>
                <w:color w:val="auto"/>
                <w:sz w:val="18"/>
              </w:rPr>
            </w:pPr>
            <w:r w:rsidRPr="00F64312">
              <w:rPr>
                <w:b/>
                <w:color w:val="auto"/>
                <w:sz w:val="18"/>
              </w:rPr>
              <w:t xml:space="preserve">Combined:  </w:t>
            </w:r>
            <w:r w:rsidR="003F3AC1">
              <w:rPr>
                <w:b/>
                <w:color w:val="auto"/>
                <w:sz w:val="18"/>
              </w:rPr>
              <w:t>60</w:t>
            </w:r>
            <w:r w:rsidRPr="00F64312">
              <w:rPr>
                <w:b/>
                <w:color w:val="auto"/>
                <w:sz w:val="18"/>
              </w:rPr>
              <w:t>%</w:t>
            </w:r>
            <w:r w:rsidR="003F3AC1">
              <w:rPr>
                <w:b/>
                <w:color w:val="auto"/>
                <w:sz w:val="18"/>
              </w:rPr>
              <w:t>*</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3F3AC1">
        <w:rPr>
          <w:color w:val="auto"/>
          <w:sz w:val="18"/>
          <w:szCs w:val="18"/>
        </w:rPr>
        <w:t>VARD dated 23 July 2010 added PTSD, rated 30% effective 26 January 2010; combined increased to 70%</w:t>
      </w:r>
      <w:r w:rsidR="001C7327">
        <w:rPr>
          <w:color w:val="auto"/>
          <w:sz w:val="18"/>
          <w:szCs w:val="18"/>
        </w:rPr>
        <w:t>.</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C45EC4" w:rsidRPr="00C45EC4">
        <w:rPr>
          <w:color w:val="auto"/>
        </w:rPr>
        <w:t xml:space="preserve">The Board acknowledges the CI's contention suggesting that ratings should have been conferred for other conditions documented at the time of separation, some of which were evaluated and determined not to be individually unfitting for continued service.  The Board wishes to clarify that it is subject to the same laws for disability entitlements as those under which the </w:t>
      </w:r>
      <w:r w:rsidR="008C4860">
        <w:rPr>
          <w:color w:val="auto"/>
        </w:rPr>
        <w:t>Disability Evaluation System (</w:t>
      </w:r>
      <w:r w:rsidR="00C45EC4" w:rsidRPr="00C45EC4">
        <w:rPr>
          <w:color w:val="auto"/>
        </w:rPr>
        <w:t xml:space="preserve">DES) operates.  The </w:t>
      </w:r>
      <w:r w:rsidR="008C4860">
        <w:rPr>
          <w:color w:val="auto"/>
        </w:rPr>
        <w:t>DES</w:t>
      </w:r>
      <w:r w:rsidR="00C45EC4" w:rsidRPr="00C45EC4">
        <w:rPr>
          <w:color w:val="auto"/>
        </w:rPr>
        <w:t xml:space="preserve">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8C4860">
        <w:rPr>
          <w:color w:val="auto"/>
        </w:rPr>
        <w:t>s’</w:t>
      </w:r>
      <w:r w:rsidR="00C45EC4" w:rsidRPr="00C45EC4">
        <w:rPr>
          <w:color w:val="auto"/>
        </w:rPr>
        <w:t xml:space="preserve"> Affairs (DVA), operating under a different set of laws (Title 38, United States Code), is empowered to compensat</w:t>
      </w:r>
      <w:r w:rsidR="008C4860">
        <w:rPr>
          <w:color w:val="auto"/>
        </w:rPr>
        <w:t>e all service-</w:t>
      </w:r>
      <w:r w:rsidR="00C45EC4" w:rsidRPr="00C45EC4">
        <w:rPr>
          <w:color w:val="auto"/>
        </w:rPr>
        <w:t xml:space="preserve">connected conditions and to periodically re-evaluate said conditions for the purpose of adjusting the </w:t>
      </w:r>
      <w:r w:rsidR="008C4860">
        <w:rPr>
          <w:color w:val="auto"/>
        </w:rPr>
        <w:t>V</w:t>
      </w:r>
      <w:r w:rsidR="00C45EC4" w:rsidRPr="00C45EC4">
        <w:rPr>
          <w:color w:val="auto"/>
        </w:rPr>
        <w:t xml:space="preserve">eteran’s disability rating should </w:t>
      </w:r>
      <w:r w:rsidR="008C4860">
        <w:rPr>
          <w:color w:val="auto"/>
        </w:rPr>
        <w:t>the</w:t>
      </w:r>
      <w:r w:rsidR="00C45EC4" w:rsidRPr="00C45EC4">
        <w:rPr>
          <w:color w:val="auto"/>
        </w:rPr>
        <w:t xml:space="preserve"> degree of impairment vary over time.  The Board is empowered to evaluate the fairness of fitness determinations, and to make recommendations for rating of conditions which it concludes would </w:t>
      </w:r>
      <w:r w:rsidR="008C4860" w:rsidRPr="00C45EC4">
        <w:rPr>
          <w:color w:val="auto"/>
        </w:rPr>
        <w:t>have independently</w:t>
      </w:r>
      <w:r w:rsidR="00C45EC4" w:rsidRPr="00C45EC4">
        <w:rPr>
          <w:color w:val="auto"/>
        </w:rPr>
        <w:t xml:space="preserve"> prevented the performance of required duties (at the time of separation).  The Bo</w:t>
      </w:r>
      <w:r w:rsidR="008C4860">
        <w:rPr>
          <w:color w:val="auto"/>
        </w:rPr>
        <w:t xml:space="preserve">ard’s threshold for countering </w:t>
      </w:r>
      <w:r w:rsidR="00C45EC4" w:rsidRPr="00C45EC4">
        <w:rPr>
          <w:color w:val="auto"/>
        </w:rPr>
        <w:t xml:space="preserve">DES fitness determinations is higher than the VASRD §4.3 (reasonable doubt) standard used for its rating recommendations, but remains adherent to the DoDI 6040.44 “fair and equitable” standard.   </w:t>
      </w:r>
      <w:r w:rsidR="00165C7B" w:rsidRPr="00F64312">
        <w:rPr>
          <w:color w:val="auto"/>
        </w:rPr>
        <w:t xml:space="preserve"> </w:t>
      </w:r>
    </w:p>
    <w:p w:rsidR="00AD2379" w:rsidRPr="00F64312" w:rsidRDefault="00AD2379" w:rsidP="00B22D42">
      <w:pPr>
        <w:jc w:val="both"/>
        <w:rPr>
          <w:color w:val="auto"/>
          <w:highlight w:val="yellow"/>
        </w:rPr>
      </w:pPr>
    </w:p>
    <w:p w:rsidR="00B15947" w:rsidRDefault="00C45EC4" w:rsidP="0069687C">
      <w:pPr>
        <w:jc w:val="both"/>
        <w:rPr>
          <w:color w:val="auto"/>
          <w:szCs w:val="24"/>
        </w:rPr>
      </w:pPr>
      <w:proofErr w:type="gramStart"/>
      <w:r w:rsidRPr="00C45EC4">
        <w:rPr>
          <w:color w:val="auto"/>
          <w:u w:val="single"/>
        </w:rPr>
        <w:t>Left Knee Pain</w:t>
      </w:r>
      <w:r w:rsidR="00AD2379" w:rsidRPr="00C45EC4">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825B68">
        <w:rPr>
          <w:color w:val="auto"/>
        </w:rPr>
        <w:t>The narrative summary (NARSUM) notes</w:t>
      </w:r>
      <w:r w:rsidR="00825B68">
        <w:rPr>
          <w:color w:val="auto"/>
        </w:rPr>
        <w:t xml:space="preserve"> that the knee pain condition, which started in August 2005 while deployed, </w:t>
      </w:r>
      <w:r w:rsidR="00C16C45">
        <w:rPr>
          <w:color w:val="auto"/>
        </w:rPr>
        <w:t xml:space="preserve">was </w:t>
      </w:r>
      <w:r w:rsidR="00825B68">
        <w:rPr>
          <w:color w:val="auto"/>
        </w:rPr>
        <w:t xml:space="preserve">worsened </w:t>
      </w:r>
      <w:r w:rsidR="00C16C45">
        <w:rPr>
          <w:color w:val="auto"/>
        </w:rPr>
        <w:t xml:space="preserve">with prolonged walking or standing, and could occur </w:t>
      </w:r>
      <w:r w:rsidR="00825B68">
        <w:rPr>
          <w:color w:val="auto"/>
        </w:rPr>
        <w:t>at rest.  Surgical intervention was considered</w:t>
      </w:r>
      <w:r w:rsidR="00DB0C6B">
        <w:rPr>
          <w:color w:val="auto"/>
        </w:rPr>
        <w:t>,</w:t>
      </w:r>
      <w:r w:rsidR="00825B68">
        <w:rPr>
          <w:color w:val="auto"/>
        </w:rPr>
        <w:t xml:space="preserve"> but because of the uncertain</w:t>
      </w:r>
      <w:r w:rsidR="00DB0C6B">
        <w:rPr>
          <w:color w:val="auto"/>
        </w:rPr>
        <w:t xml:space="preserve"> likelihood</w:t>
      </w:r>
      <w:r w:rsidR="00825B68">
        <w:rPr>
          <w:color w:val="auto"/>
        </w:rPr>
        <w:t xml:space="preserve"> of improvement, </w:t>
      </w:r>
      <w:r w:rsidR="00DB0C6B">
        <w:rPr>
          <w:color w:val="auto"/>
        </w:rPr>
        <w:t xml:space="preserve">it </w:t>
      </w:r>
      <w:r w:rsidR="00825B68">
        <w:rPr>
          <w:color w:val="auto"/>
        </w:rPr>
        <w:t xml:space="preserve">was not pursued.  </w:t>
      </w:r>
      <w:r w:rsidR="004C7C0B">
        <w:rPr>
          <w:color w:val="auto"/>
        </w:rPr>
        <w:t>Medications and knee injections were not helpful.</w:t>
      </w:r>
      <w:r w:rsidR="003F2991">
        <w:rPr>
          <w:color w:val="auto"/>
        </w:rPr>
        <w:t xml:space="preserve">  </w:t>
      </w:r>
      <w:r w:rsidR="0069687C" w:rsidRPr="00F64312">
        <w:rPr>
          <w:color w:val="auto"/>
          <w:szCs w:val="24"/>
        </w:rPr>
        <w:t xml:space="preserve">There were </w:t>
      </w:r>
      <w:r w:rsidR="00DB0C6B">
        <w:rPr>
          <w:color w:val="auto"/>
          <w:szCs w:val="24"/>
        </w:rPr>
        <w:t>three</w:t>
      </w:r>
      <w:r w:rsidR="008C4860">
        <w:rPr>
          <w:color w:val="auto"/>
          <w:szCs w:val="24"/>
        </w:rPr>
        <w:t xml:space="preserve"> goniometric range-of-</w:t>
      </w:r>
      <w:r w:rsidR="0069687C" w:rsidRPr="00F64312">
        <w:rPr>
          <w:color w:val="auto"/>
          <w:szCs w:val="24"/>
        </w:rPr>
        <w:t>motion (ROM) evaluations in evidence, with documentation of additional ratable criteria, which the Board weighed in arrivi</w:t>
      </w:r>
      <w:r w:rsidR="00C16C45">
        <w:rPr>
          <w:color w:val="auto"/>
          <w:szCs w:val="24"/>
        </w:rPr>
        <w:t>ng at its rating recommendation,</w:t>
      </w:r>
      <w:r w:rsidR="0069687C" w:rsidRPr="00F64312">
        <w:rPr>
          <w:color w:val="auto"/>
          <w:szCs w:val="24"/>
        </w:rPr>
        <w:t xml:space="preserve"> as summarized in the chart below.</w:t>
      </w:r>
    </w:p>
    <w:p w:rsidR="0069687C" w:rsidRPr="00F64312" w:rsidRDefault="00165C7B" w:rsidP="0069687C">
      <w:pPr>
        <w:jc w:val="both"/>
        <w:rPr>
          <w:color w:val="auto"/>
          <w:szCs w:val="24"/>
        </w:rPr>
      </w:pPr>
      <w:r w:rsidRPr="00F64312">
        <w:rPr>
          <w:color w:val="auto"/>
          <w:szCs w:val="24"/>
        </w:rPr>
        <w:t xml:space="preserve">  </w:t>
      </w:r>
    </w:p>
    <w:tbl>
      <w:tblPr>
        <w:tblW w:w="9040" w:type="dxa"/>
        <w:jc w:val="center"/>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2500"/>
        <w:gridCol w:w="2160"/>
        <w:gridCol w:w="2360"/>
      </w:tblGrid>
      <w:tr w:rsidR="006042DF" w:rsidRPr="0017712C" w:rsidTr="0054246B">
        <w:trPr>
          <w:jc w:val="center"/>
        </w:trPr>
        <w:tc>
          <w:tcPr>
            <w:tcW w:w="2020" w:type="dxa"/>
            <w:shd w:val="clear" w:color="auto" w:fill="D9D9D9" w:themeFill="background1" w:themeFillShade="D9"/>
            <w:vAlign w:val="center"/>
          </w:tcPr>
          <w:p w:rsidR="006042DF" w:rsidRPr="00B15947" w:rsidRDefault="006042DF" w:rsidP="00EF5D52">
            <w:pPr>
              <w:spacing w:line="200" w:lineRule="exact"/>
              <w:contextualSpacing/>
              <w:rPr>
                <w:rFonts w:eastAsia="Calibri"/>
                <w:color w:val="auto"/>
                <w:sz w:val="20"/>
              </w:rPr>
            </w:pPr>
            <w:r>
              <w:rPr>
                <w:rFonts w:eastAsia="Calibri"/>
                <w:color w:val="auto"/>
                <w:sz w:val="20"/>
              </w:rPr>
              <w:t>Left</w:t>
            </w:r>
            <w:r w:rsidRPr="00B15947">
              <w:rPr>
                <w:rFonts w:eastAsia="Calibri"/>
                <w:color w:val="auto"/>
                <w:sz w:val="20"/>
              </w:rPr>
              <w:t xml:space="preserve"> Knee</w:t>
            </w:r>
            <w:r>
              <w:rPr>
                <w:rFonts w:eastAsia="Calibri"/>
                <w:color w:val="auto"/>
                <w:sz w:val="20"/>
              </w:rPr>
              <w:t xml:space="preserve"> ROM</w:t>
            </w:r>
          </w:p>
        </w:tc>
        <w:tc>
          <w:tcPr>
            <w:tcW w:w="2500" w:type="dxa"/>
            <w:shd w:val="clear" w:color="auto" w:fill="D9D9D9" w:themeFill="background1" w:themeFillShade="D9"/>
          </w:tcPr>
          <w:p w:rsidR="006042DF" w:rsidRPr="006042DF" w:rsidRDefault="00493209" w:rsidP="00EF5D52">
            <w:pPr>
              <w:spacing w:line="200" w:lineRule="exact"/>
              <w:contextualSpacing/>
              <w:rPr>
                <w:rFonts w:eastAsia="Calibri"/>
                <w:color w:val="auto"/>
                <w:sz w:val="20"/>
              </w:rPr>
            </w:pPr>
            <w:r>
              <w:rPr>
                <w:rFonts w:eastAsia="Calibri"/>
                <w:color w:val="auto"/>
                <w:sz w:val="20"/>
              </w:rPr>
              <w:t>Ortho</w:t>
            </w:r>
            <w:r w:rsidR="0054246B">
              <w:rPr>
                <w:rFonts w:eastAsia="Calibri"/>
                <w:color w:val="auto"/>
                <w:sz w:val="20"/>
              </w:rPr>
              <w:t>/MEB</w:t>
            </w:r>
            <w:r w:rsidR="006042DF">
              <w:rPr>
                <w:rFonts w:eastAsia="Calibri"/>
                <w:color w:val="auto"/>
                <w:sz w:val="20"/>
              </w:rPr>
              <w:t xml:space="preserve"> </w:t>
            </w:r>
            <w:r w:rsidR="00761B82">
              <w:rPr>
                <w:rFonts w:eastAsia="Calibri"/>
                <w:color w:val="auto"/>
                <w:sz w:val="20"/>
              </w:rPr>
              <w:t>~ 5 Mo. P</w:t>
            </w:r>
            <w:r w:rsidR="0054246B">
              <w:rPr>
                <w:rFonts w:eastAsia="Calibri"/>
                <w:color w:val="auto"/>
                <w:sz w:val="20"/>
              </w:rPr>
              <w:t>re-</w:t>
            </w:r>
            <w:r w:rsidR="00761B82">
              <w:rPr>
                <w:rFonts w:eastAsia="Calibri"/>
                <w:color w:val="auto"/>
                <w:sz w:val="20"/>
              </w:rPr>
              <w:t>Sep</w:t>
            </w:r>
          </w:p>
        </w:tc>
        <w:tc>
          <w:tcPr>
            <w:tcW w:w="2160" w:type="dxa"/>
            <w:shd w:val="clear" w:color="auto" w:fill="D9D9D9" w:themeFill="background1" w:themeFillShade="D9"/>
            <w:vAlign w:val="center"/>
          </w:tcPr>
          <w:p w:rsidR="006042DF" w:rsidRPr="006042DF" w:rsidRDefault="006042DF" w:rsidP="00EF5D52">
            <w:pPr>
              <w:spacing w:line="200" w:lineRule="exact"/>
              <w:contextualSpacing/>
              <w:rPr>
                <w:rFonts w:eastAsia="Calibri"/>
                <w:color w:val="auto"/>
                <w:sz w:val="20"/>
                <w:highlight w:val="red"/>
              </w:rPr>
            </w:pPr>
            <w:r w:rsidRPr="006042DF">
              <w:rPr>
                <w:rFonts w:eastAsia="Calibri"/>
                <w:color w:val="auto"/>
                <w:sz w:val="20"/>
              </w:rPr>
              <w:t>PT ~ 5 Mo. Pre-Sep</w:t>
            </w:r>
          </w:p>
        </w:tc>
        <w:tc>
          <w:tcPr>
            <w:tcW w:w="2360" w:type="dxa"/>
            <w:shd w:val="clear" w:color="auto" w:fill="D9D9D9" w:themeFill="background1" w:themeFillShade="D9"/>
            <w:vAlign w:val="center"/>
          </w:tcPr>
          <w:p w:rsidR="006042DF" w:rsidRPr="006042DF" w:rsidRDefault="006042DF" w:rsidP="004C7C0B">
            <w:pPr>
              <w:spacing w:line="200" w:lineRule="exact"/>
              <w:contextualSpacing/>
              <w:rPr>
                <w:rFonts w:eastAsiaTheme="minorHAnsi"/>
                <w:color w:val="auto"/>
                <w:sz w:val="20"/>
                <w:highlight w:val="red"/>
              </w:rPr>
            </w:pPr>
            <w:r w:rsidRPr="004C7C0B">
              <w:rPr>
                <w:rFonts w:eastAsia="Calibri"/>
                <w:color w:val="auto"/>
                <w:sz w:val="20"/>
              </w:rPr>
              <w:t>VA</w:t>
            </w:r>
            <w:r w:rsidRPr="004C7C0B">
              <w:rPr>
                <w:rFonts w:eastAsiaTheme="minorHAnsi"/>
                <w:color w:val="auto"/>
                <w:sz w:val="20"/>
              </w:rPr>
              <w:t xml:space="preserve"> C&amp;P </w:t>
            </w:r>
            <w:r w:rsidRPr="004C7C0B">
              <w:rPr>
                <w:rFonts w:eastAsia="Calibri"/>
                <w:color w:val="auto"/>
                <w:sz w:val="20"/>
              </w:rPr>
              <w:t xml:space="preserve">~ </w:t>
            </w:r>
            <w:r w:rsidR="004C7C0B" w:rsidRPr="004C7C0B">
              <w:rPr>
                <w:rFonts w:eastAsia="Calibri"/>
                <w:color w:val="auto"/>
                <w:sz w:val="20"/>
              </w:rPr>
              <w:t>7</w:t>
            </w:r>
            <w:r w:rsidRPr="004C7C0B">
              <w:rPr>
                <w:rFonts w:eastAsia="Calibri"/>
                <w:color w:val="auto"/>
                <w:sz w:val="20"/>
              </w:rPr>
              <w:t xml:space="preserve"> Mo. After Sep</w:t>
            </w:r>
          </w:p>
        </w:tc>
      </w:tr>
      <w:tr w:rsidR="006042DF" w:rsidRPr="0017712C" w:rsidTr="0054246B">
        <w:trPr>
          <w:jc w:val="center"/>
        </w:trPr>
        <w:tc>
          <w:tcPr>
            <w:tcW w:w="2020" w:type="dxa"/>
            <w:vAlign w:val="center"/>
          </w:tcPr>
          <w:p w:rsidR="006042DF" w:rsidRPr="00B15947" w:rsidRDefault="006042DF" w:rsidP="00EF5D52">
            <w:pPr>
              <w:spacing w:line="180" w:lineRule="exact"/>
              <w:contextualSpacing/>
              <w:rPr>
                <w:rFonts w:eastAsia="Calibri"/>
                <w:color w:val="auto"/>
                <w:sz w:val="20"/>
              </w:rPr>
            </w:pPr>
            <w:r w:rsidRPr="00B15947">
              <w:rPr>
                <w:rFonts w:eastAsia="Calibri"/>
                <w:color w:val="auto"/>
                <w:sz w:val="20"/>
              </w:rPr>
              <w:t>Flexion (140⁰ normal)</w:t>
            </w:r>
          </w:p>
        </w:tc>
        <w:tc>
          <w:tcPr>
            <w:tcW w:w="2500" w:type="dxa"/>
          </w:tcPr>
          <w:p w:rsidR="006042DF" w:rsidRPr="006042DF" w:rsidRDefault="00761B82" w:rsidP="006042DF">
            <w:pPr>
              <w:spacing w:line="180" w:lineRule="exact"/>
              <w:contextualSpacing/>
              <w:rPr>
                <w:rFonts w:eastAsia="Calibri"/>
                <w:color w:val="auto"/>
                <w:sz w:val="20"/>
              </w:rPr>
            </w:pPr>
            <w:r>
              <w:rPr>
                <w:rFonts w:eastAsia="Calibri"/>
                <w:color w:val="auto"/>
                <w:sz w:val="20"/>
              </w:rPr>
              <w:t>130</w:t>
            </w:r>
            <w:r w:rsidRPr="006042DF">
              <w:rPr>
                <w:rFonts w:eastAsia="Calibri"/>
                <w:color w:val="auto"/>
                <w:sz w:val="20"/>
              </w:rPr>
              <w:t>⁰</w:t>
            </w:r>
          </w:p>
        </w:tc>
        <w:tc>
          <w:tcPr>
            <w:tcW w:w="2160" w:type="dxa"/>
            <w:vAlign w:val="center"/>
          </w:tcPr>
          <w:p w:rsidR="006042DF" w:rsidRPr="006042DF" w:rsidRDefault="006042DF" w:rsidP="003D0CA3">
            <w:pPr>
              <w:spacing w:line="180" w:lineRule="exact"/>
              <w:contextualSpacing/>
              <w:rPr>
                <w:rFonts w:eastAsia="Calibri"/>
                <w:color w:val="auto"/>
                <w:sz w:val="20"/>
                <w:highlight w:val="red"/>
              </w:rPr>
            </w:pPr>
            <w:r w:rsidRPr="006042DF">
              <w:rPr>
                <w:rFonts w:eastAsia="Calibri"/>
                <w:color w:val="auto"/>
                <w:sz w:val="20"/>
              </w:rPr>
              <w:t>110⁰</w:t>
            </w:r>
          </w:p>
        </w:tc>
        <w:tc>
          <w:tcPr>
            <w:tcW w:w="2360" w:type="dxa"/>
            <w:vAlign w:val="center"/>
          </w:tcPr>
          <w:p w:rsidR="006042DF" w:rsidRPr="006042DF" w:rsidRDefault="004C7C0B" w:rsidP="00504A83">
            <w:pPr>
              <w:spacing w:line="180" w:lineRule="exact"/>
              <w:contextualSpacing/>
              <w:rPr>
                <w:rFonts w:eastAsia="Calibri"/>
                <w:color w:val="auto"/>
                <w:sz w:val="20"/>
                <w:highlight w:val="red"/>
              </w:rPr>
            </w:pPr>
            <w:r w:rsidRPr="004C7C0B">
              <w:rPr>
                <w:rFonts w:eastAsia="Calibri"/>
                <w:color w:val="auto"/>
                <w:sz w:val="20"/>
              </w:rPr>
              <w:t>1</w:t>
            </w:r>
            <w:r w:rsidR="00504A83">
              <w:rPr>
                <w:rFonts w:eastAsia="Calibri"/>
                <w:color w:val="auto"/>
                <w:sz w:val="20"/>
              </w:rPr>
              <w:t>18</w:t>
            </w:r>
            <w:r w:rsidRPr="004C7C0B">
              <w:rPr>
                <w:rFonts w:eastAsia="Calibri"/>
                <w:color w:val="auto"/>
                <w:sz w:val="20"/>
              </w:rPr>
              <w:t>⁰</w:t>
            </w:r>
          </w:p>
        </w:tc>
      </w:tr>
      <w:tr w:rsidR="006042DF" w:rsidRPr="0017712C" w:rsidTr="0054246B">
        <w:trPr>
          <w:jc w:val="center"/>
        </w:trPr>
        <w:tc>
          <w:tcPr>
            <w:tcW w:w="2020" w:type="dxa"/>
            <w:tcBorders>
              <w:bottom w:val="single" w:sz="4" w:space="0" w:color="auto"/>
            </w:tcBorders>
            <w:vAlign w:val="center"/>
          </w:tcPr>
          <w:p w:rsidR="006042DF" w:rsidRPr="00B15947" w:rsidRDefault="006042DF" w:rsidP="00EF5D52">
            <w:pPr>
              <w:spacing w:line="180" w:lineRule="exact"/>
              <w:contextualSpacing/>
              <w:rPr>
                <w:rFonts w:eastAsia="Calibri"/>
                <w:color w:val="auto"/>
                <w:sz w:val="20"/>
              </w:rPr>
            </w:pPr>
            <w:r w:rsidRPr="00B15947">
              <w:rPr>
                <w:rFonts w:eastAsia="Calibri"/>
                <w:color w:val="auto"/>
                <w:sz w:val="20"/>
              </w:rPr>
              <w:t>Extension (0⁰ normal)</w:t>
            </w:r>
          </w:p>
        </w:tc>
        <w:tc>
          <w:tcPr>
            <w:tcW w:w="2500" w:type="dxa"/>
            <w:tcBorders>
              <w:bottom w:val="single" w:sz="4" w:space="0" w:color="auto"/>
            </w:tcBorders>
          </w:tcPr>
          <w:p w:rsidR="006042DF" w:rsidRPr="006042DF" w:rsidRDefault="00761B82" w:rsidP="00EF5D52">
            <w:pPr>
              <w:spacing w:line="180" w:lineRule="exact"/>
              <w:contextualSpacing/>
              <w:rPr>
                <w:rFonts w:eastAsia="Calibri"/>
                <w:color w:val="auto"/>
                <w:sz w:val="20"/>
              </w:rPr>
            </w:pPr>
            <w:r>
              <w:rPr>
                <w:rFonts w:eastAsia="Calibri"/>
                <w:color w:val="auto"/>
                <w:sz w:val="20"/>
              </w:rPr>
              <w:t>0</w:t>
            </w:r>
            <w:r w:rsidRPr="006042DF">
              <w:rPr>
                <w:rFonts w:eastAsia="Calibri"/>
                <w:color w:val="auto"/>
                <w:sz w:val="20"/>
              </w:rPr>
              <w:t>⁰</w:t>
            </w:r>
          </w:p>
        </w:tc>
        <w:tc>
          <w:tcPr>
            <w:tcW w:w="2160" w:type="dxa"/>
            <w:tcBorders>
              <w:bottom w:val="single" w:sz="4" w:space="0" w:color="auto"/>
            </w:tcBorders>
            <w:vAlign w:val="center"/>
          </w:tcPr>
          <w:p w:rsidR="006042DF" w:rsidRPr="006042DF" w:rsidRDefault="00504A83" w:rsidP="003D0CA3">
            <w:pPr>
              <w:spacing w:line="180" w:lineRule="exact"/>
              <w:contextualSpacing/>
              <w:rPr>
                <w:rFonts w:eastAsia="Calibri"/>
                <w:color w:val="auto"/>
                <w:sz w:val="20"/>
                <w:highlight w:val="red"/>
              </w:rPr>
            </w:pPr>
            <w:r>
              <w:rPr>
                <w:rFonts w:eastAsia="Calibri"/>
                <w:color w:val="auto"/>
                <w:sz w:val="20"/>
              </w:rPr>
              <w:t>-2</w:t>
            </w:r>
            <w:r w:rsidR="006042DF" w:rsidRPr="006042DF">
              <w:rPr>
                <w:rFonts w:eastAsia="Calibri"/>
                <w:color w:val="auto"/>
                <w:sz w:val="20"/>
              </w:rPr>
              <w:t>⁰</w:t>
            </w:r>
            <w:r>
              <w:rPr>
                <w:rFonts w:eastAsia="Calibri"/>
                <w:color w:val="auto"/>
                <w:sz w:val="20"/>
              </w:rPr>
              <w:t>*</w:t>
            </w:r>
          </w:p>
        </w:tc>
        <w:tc>
          <w:tcPr>
            <w:tcW w:w="2360" w:type="dxa"/>
            <w:tcBorders>
              <w:bottom w:val="single" w:sz="4" w:space="0" w:color="auto"/>
            </w:tcBorders>
            <w:vAlign w:val="center"/>
          </w:tcPr>
          <w:p w:rsidR="006042DF" w:rsidRPr="006042DF" w:rsidRDefault="006042DF" w:rsidP="00EF5D52">
            <w:pPr>
              <w:spacing w:line="180" w:lineRule="exact"/>
              <w:contextualSpacing/>
              <w:rPr>
                <w:rFonts w:eastAsia="Calibri"/>
                <w:color w:val="auto"/>
                <w:sz w:val="20"/>
                <w:highlight w:val="red"/>
              </w:rPr>
            </w:pPr>
            <w:r w:rsidRPr="004C7C0B">
              <w:rPr>
                <w:rFonts w:eastAsia="Calibri"/>
                <w:color w:val="auto"/>
                <w:sz w:val="20"/>
              </w:rPr>
              <w:t>0⁰</w:t>
            </w:r>
          </w:p>
        </w:tc>
      </w:tr>
      <w:tr w:rsidR="006042DF" w:rsidRPr="0017712C" w:rsidTr="0054246B">
        <w:trPr>
          <w:jc w:val="center"/>
        </w:trPr>
        <w:tc>
          <w:tcPr>
            <w:tcW w:w="2020" w:type="dxa"/>
            <w:tcBorders>
              <w:bottom w:val="single" w:sz="4" w:space="0" w:color="auto"/>
            </w:tcBorders>
            <w:vAlign w:val="center"/>
          </w:tcPr>
          <w:p w:rsidR="006042DF" w:rsidRPr="00B15947" w:rsidRDefault="006042DF" w:rsidP="00EF5D52">
            <w:pPr>
              <w:spacing w:line="180" w:lineRule="exact"/>
              <w:contextualSpacing/>
              <w:rPr>
                <w:rFonts w:eastAsia="Calibri"/>
                <w:color w:val="auto"/>
                <w:sz w:val="20"/>
              </w:rPr>
            </w:pPr>
            <w:r>
              <w:rPr>
                <w:rFonts w:eastAsia="Calibri"/>
                <w:color w:val="auto"/>
                <w:sz w:val="20"/>
              </w:rPr>
              <w:t>Comment</w:t>
            </w:r>
          </w:p>
        </w:tc>
        <w:tc>
          <w:tcPr>
            <w:tcW w:w="2500" w:type="dxa"/>
            <w:tcBorders>
              <w:bottom w:val="single" w:sz="4" w:space="0" w:color="auto"/>
            </w:tcBorders>
          </w:tcPr>
          <w:p w:rsidR="006042DF" w:rsidRPr="006042DF" w:rsidRDefault="00761B82" w:rsidP="00EF5D52">
            <w:pPr>
              <w:spacing w:line="180" w:lineRule="exact"/>
              <w:contextualSpacing/>
              <w:rPr>
                <w:rFonts w:eastAsia="Calibri"/>
                <w:color w:val="auto"/>
                <w:sz w:val="20"/>
                <w:highlight w:val="red"/>
              </w:rPr>
            </w:pPr>
            <w:r w:rsidRPr="00761B82">
              <w:rPr>
                <w:rFonts w:eastAsia="Calibri"/>
                <w:color w:val="auto"/>
                <w:sz w:val="20"/>
              </w:rPr>
              <w:t>Small effusion</w:t>
            </w:r>
            <w:r>
              <w:rPr>
                <w:rFonts w:eastAsia="Calibri"/>
                <w:color w:val="auto"/>
                <w:sz w:val="20"/>
              </w:rPr>
              <w:t>, no instability</w:t>
            </w:r>
            <w:r w:rsidR="0054246B">
              <w:rPr>
                <w:rFonts w:eastAsia="Calibri"/>
                <w:color w:val="auto"/>
                <w:sz w:val="20"/>
              </w:rPr>
              <w:t>; painful motion</w:t>
            </w:r>
          </w:p>
        </w:tc>
        <w:tc>
          <w:tcPr>
            <w:tcW w:w="2160" w:type="dxa"/>
            <w:tcBorders>
              <w:bottom w:val="single" w:sz="4" w:space="0" w:color="auto"/>
            </w:tcBorders>
            <w:vAlign w:val="center"/>
          </w:tcPr>
          <w:p w:rsidR="006042DF" w:rsidRPr="006042DF" w:rsidRDefault="00F77D52" w:rsidP="00F77D52">
            <w:pPr>
              <w:spacing w:line="180" w:lineRule="exact"/>
              <w:contextualSpacing/>
              <w:rPr>
                <w:rFonts w:eastAsia="Calibri"/>
                <w:color w:val="auto"/>
                <w:sz w:val="20"/>
                <w:highlight w:val="red"/>
              </w:rPr>
            </w:pPr>
            <w:r>
              <w:rPr>
                <w:rFonts w:eastAsia="Calibri"/>
                <w:color w:val="auto"/>
                <w:sz w:val="20"/>
              </w:rPr>
              <w:t>Limited motion due to pain; no</w:t>
            </w:r>
            <w:r w:rsidR="00761B82" w:rsidRPr="00761B82">
              <w:rPr>
                <w:rFonts w:eastAsia="Calibri"/>
                <w:color w:val="auto"/>
                <w:sz w:val="20"/>
              </w:rPr>
              <w:t xml:space="preserve"> additional loss with repetition</w:t>
            </w:r>
          </w:p>
        </w:tc>
        <w:tc>
          <w:tcPr>
            <w:tcW w:w="2360" w:type="dxa"/>
            <w:tcBorders>
              <w:bottom w:val="single" w:sz="4" w:space="0" w:color="auto"/>
            </w:tcBorders>
            <w:vAlign w:val="center"/>
          </w:tcPr>
          <w:p w:rsidR="006042DF" w:rsidRPr="006042DF" w:rsidRDefault="004C7C0B" w:rsidP="004C7C0B">
            <w:pPr>
              <w:spacing w:line="180" w:lineRule="exact"/>
              <w:contextualSpacing/>
              <w:rPr>
                <w:rFonts w:eastAsia="Calibri"/>
                <w:color w:val="auto"/>
                <w:sz w:val="20"/>
                <w:highlight w:val="red"/>
              </w:rPr>
            </w:pPr>
            <w:r w:rsidRPr="004C7C0B">
              <w:rPr>
                <w:rFonts w:eastAsia="Calibri"/>
                <w:color w:val="auto"/>
                <w:sz w:val="20"/>
              </w:rPr>
              <w:t>Pain</w:t>
            </w:r>
            <w:r>
              <w:rPr>
                <w:rFonts w:eastAsia="Calibri"/>
                <w:color w:val="auto"/>
                <w:sz w:val="20"/>
              </w:rPr>
              <w:t>ful motion; flexion limited by pain</w:t>
            </w:r>
          </w:p>
        </w:tc>
      </w:tr>
      <w:tr w:rsidR="006042DF" w:rsidRPr="0017712C" w:rsidTr="0054246B">
        <w:trPr>
          <w:jc w:val="center"/>
        </w:trPr>
        <w:tc>
          <w:tcPr>
            <w:tcW w:w="2020" w:type="dxa"/>
            <w:tcBorders>
              <w:top w:val="single" w:sz="4" w:space="0" w:color="auto"/>
              <w:left w:val="single" w:sz="4" w:space="0" w:color="auto"/>
              <w:bottom w:val="single" w:sz="4" w:space="0" w:color="auto"/>
              <w:right w:val="single" w:sz="4" w:space="0" w:color="auto"/>
            </w:tcBorders>
            <w:vAlign w:val="center"/>
          </w:tcPr>
          <w:p w:rsidR="006042DF" w:rsidRPr="00B15947" w:rsidRDefault="006042DF" w:rsidP="00EF5D52">
            <w:pPr>
              <w:tabs>
                <w:tab w:val="left" w:pos="288"/>
                <w:tab w:val="left" w:pos="4752"/>
              </w:tabs>
              <w:spacing w:line="180" w:lineRule="exact"/>
              <w:rPr>
                <w:rFonts w:eastAsiaTheme="minorHAnsi"/>
                <w:color w:val="auto"/>
                <w:sz w:val="20"/>
              </w:rPr>
            </w:pPr>
            <w:r w:rsidRPr="00B15947">
              <w:rPr>
                <w:rFonts w:eastAsiaTheme="minorHAnsi"/>
                <w:color w:val="auto"/>
                <w:sz w:val="20"/>
              </w:rPr>
              <w:t>§4.71a Rating</w:t>
            </w:r>
          </w:p>
        </w:tc>
        <w:tc>
          <w:tcPr>
            <w:tcW w:w="2500" w:type="dxa"/>
            <w:tcBorders>
              <w:top w:val="single" w:sz="4" w:space="0" w:color="auto"/>
              <w:left w:val="single" w:sz="4" w:space="0" w:color="auto"/>
              <w:bottom w:val="single" w:sz="4" w:space="0" w:color="auto"/>
              <w:right w:val="single" w:sz="4" w:space="0" w:color="auto"/>
            </w:tcBorders>
          </w:tcPr>
          <w:p w:rsidR="006042DF" w:rsidRPr="006042DF" w:rsidRDefault="00761B82" w:rsidP="00EF5D52">
            <w:pPr>
              <w:tabs>
                <w:tab w:val="left" w:pos="288"/>
                <w:tab w:val="left" w:pos="4752"/>
              </w:tabs>
              <w:spacing w:line="180" w:lineRule="exact"/>
              <w:rPr>
                <w:rFonts w:eastAsiaTheme="minorHAnsi"/>
                <w:color w:val="auto"/>
                <w:sz w:val="20"/>
                <w:highlight w:val="red"/>
              </w:rPr>
            </w:pPr>
            <w:r w:rsidRPr="00761B82">
              <w:rPr>
                <w:rFonts w:eastAsiaTheme="minorHAnsi"/>
                <w:color w:val="auto"/>
                <w:sz w:val="20"/>
              </w:rPr>
              <w:t>10%</w:t>
            </w:r>
          </w:p>
        </w:tc>
        <w:tc>
          <w:tcPr>
            <w:tcW w:w="2160" w:type="dxa"/>
            <w:tcBorders>
              <w:top w:val="single" w:sz="4" w:space="0" w:color="auto"/>
              <w:left w:val="single" w:sz="4" w:space="0" w:color="auto"/>
              <w:bottom w:val="single" w:sz="4" w:space="0" w:color="auto"/>
              <w:right w:val="single" w:sz="4" w:space="0" w:color="auto"/>
            </w:tcBorders>
            <w:vAlign w:val="center"/>
          </w:tcPr>
          <w:p w:rsidR="006042DF" w:rsidRPr="006042DF" w:rsidRDefault="006042DF" w:rsidP="00EF5D52">
            <w:pPr>
              <w:tabs>
                <w:tab w:val="left" w:pos="288"/>
                <w:tab w:val="left" w:pos="4752"/>
              </w:tabs>
              <w:spacing w:line="180" w:lineRule="exact"/>
              <w:rPr>
                <w:rFonts w:eastAsiaTheme="minorHAnsi"/>
                <w:color w:val="auto"/>
                <w:sz w:val="20"/>
                <w:highlight w:val="red"/>
              </w:rPr>
            </w:pPr>
            <w:r w:rsidRPr="00070BAB">
              <w:rPr>
                <w:rFonts w:eastAsiaTheme="minorHAnsi"/>
                <w:color w:val="auto"/>
                <w:sz w:val="20"/>
              </w:rPr>
              <w:t>10%</w:t>
            </w:r>
          </w:p>
        </w:tc>
        <w:tc>
          <w:tcPr>
            <w:tcW w:w="2360" w:type="dxa"/>
            <w:tcBorders>
              <w:top w:val="single" w:sz="4" w:space="0" w:color="auto"/>
              <w:left w:val="single" w:sz="4" w:space="0" w:color="auto"/>
              <w:bottom w:val="single" w:sz="4" w:space="0" w:color="auto"/>
              <w:right w:val="single" w:sz="4" w:space="0" w:color="auto"/>
            </w:tcBorders>
            <w:vAlign w:val="center"/>
          </w:tcPr>
          <w:p w:rsidR="006042DF" w:rsidRPr="006042DF" w:rsidRDefault="006042DF" w:rsidP="00EF5D52">
            <w:pPr>
              <w:tabs>
                <w:tab w:val="left" w:pos="288"/>
                <w:tab w:val="left" w:pos="4752"/>
              </w:tabs>
              <w:spacing w:line="180" w:lineRule="exact"/>
              <w:rPr>
                <w:rFonts w:eastAsiaTheme="minorHAnsi"/>
                <w:color w:val="auto"/>
                <w:sz w:val="20"/>
                <w:highlight w:val="red"/>
              </w:rPr>
            </w:pPr>
            <w:r w:rsidRPr="004C7C0B">
              <w:rPr>
                <w:rFonts w:eastAsiaTheme="minorHAnsi"/>
                <w:color w:val="auto"/>
                <w:sz w:val="20"/>
              </w:rPr>
              <w:t>10%</w:t>
            </w:r>
          </w:p>
        </w:tc>
      </w:tr>
    </w:tbl>
    <w:p w:rsidR="00B15947" w:rsidRPr="00504A83" w:rsidRDefault="00761B82" w:rsidP="0069687C">
      <w:pPr>
        <w:jc w:val="both"/>
        <w:rPr>
          <w:color w:val="auto"/>
          <w:sz w:val="20"/>
        </w:rPr>
      </w:pPr>
      <w:r>
        <w:rPr>
          <w:color w:val="auto"/>
          <w:szCs w:val="24"/>
        </w:rPr>
        <w:t xml:space="preserve">   </w:t>
      </w:r>
      <w:r w:rsidR="00504A83">
        <w:rPr>
          <w:color w:val="auto"/>
          <w:sz w:val="20"/>
        </w:rPr>
        <w:t>*A minus (-) sign indicates hyperextension</w:t>
      </w:r>
    </w:p>
    <w:p w:rsidR="00504A83" w:rsidRDefault="00504A83" w:rsidP="00CF0280">
      <w:pPr>
        <w:jc w:val="both"/>
        <w:rPr>
          <w:color w:val="auto"/>
          <w:szCs w:val="24"/>
        </w:rPr>
      </w:pPr>
    </w:p>
    <w:p w:rsidR="00CF0280" w:rsidRPr="00F64312" w:rsidRDefault="001C7327" w:rsidP="00CF0280">
      <w:pPr>
        <w:jc w:val="both"/>
        <w:rPr>
          <w:color w:val="auto"/>
          <w:szCs w:val="24"/>
        </w:rPr>
      </w:pPr>
      <w:r>
        <w:rPr>
          <w:color w:val="auto"/>
          <w:szCs w:val="24"/>
        </w:rPr>
        <w:t>The</w:t>
      </w:r>
      <w:r w:rsidR="00DB0C6B">
        <w:rPr>
          <w:color w:val="auto"/>
          <w:szCs w:val="24"/>
        </w:rPr>
        <w:t xml:space="preserve"> MEB orthopedic examiner</w:t>
      </w:r>
      <w:r w:rsidR="008C4860">
        <w:rPr>
          <w:color w:val="auto"/>
          <w:szCs w:val="24"/>
        </w:rPr>
        <w:t xml:space="preserve">, on </w:t>
      </w:r>
      <w:r w:rsidR="00DB0C6B">
        <w:rPr>
          <w:color w:val="auto"/>
          <w:szCs w:val="24"/>
        </w:rPr>
        <w:t>14 April 2008</w:t>
      </w:r>
      <w:r w:rsidR="008C4860">
        <w:rPr>
          <w:color w:val="auto"/>
          <w:szCs w:val="24"/>
        </w:rPr>
        <w:t>,</w:t>
      </w:r>
      <w:r w:rsidR="00DB0C6B">
        <w:rPr>
          <w:color w:val="auto"/>
          <w:szCs w:val="24"/>
        </w:rPr>
        <w:t xml:space="preserve"> indicate</w:t>
      </w:r>
      <w:r>
        <w:rPr>
          <w:color w:val="auto"/>
          <w:szCs w:val="24"/>
        </w:rPr>
        <w:t>d</w:t>
      </w:r>
      <w:r w:rsidR="00DB0C6B">
        <w:rPr>
          <w:color w:val="auto"/>
          <w:szCs w:val="24"/>
        </w:rPr>
        <w:t xml:space="preserve"> there was</w:t>
      </w:r>
      <w:r w:rsidR="00493209">
        <w:rPr>
          <w:color w:val="auto"/>
          <w:szCs w:val="24"/>
        </w:rPr>
        <w:t xml:space="preserve"> no specific injury to the knee.  Initial symptoms included buckling and giving way, associated with pain and swelling.  </w:t>
      </w:r>
      <w:r w:rsidR="00493209">
        <w:rPr>
          <w:color w:val="auto"/>
          <w:szCs w:val="24"/>
        </w:rPr>
        <w:lastRenderedPageBreak/>
        <w:t>T</w:t>
      </w:r>
      <w:r w:rsidR="00DB0C6B">
        <w:rPr>
          <w:color w:val="auto"/>
          <w:szCs w:val="24"/>
        </w:rPr>
        <w:t>he persistent pain was localized to the anterior medial joint line and in the patellofemoral area.</w:t>
      </w:r>
      <w:r w:rsidR="00493209">
        <w:rPr>
          <w:color w:val="auto"/>
          <w:szCs w:val="24"/>
        </w:rPr>
        <w:t xml:space="preserve">  </w:t>
      </w:r>
      <w:r w:rsidR="0054246B">
        <w:rPr>
          <w:color w:val="auto"/>
          <w:szCs w:val="24"/>
        </w:rPr>
        <w:t xml:space="preserve">The orthopedic physical exam revealed a 1/5 effusion and intact ligaments.  There was questionable physical exam evidence of a medial meniscal tear.  </w:t>
      </w:r>
      <w:r w:rsidR="003A46CF">
        <w:rPr>
          <w:color w:val="auto"/>
          <w:szCs w:val="24"/>
        </w:rPr>
        <w:t xml:space="preserve">The most recent magnetic resonance imaging (MRI) </w:t>
      </w:r>
      <w:r w:rsidR="008C4860">
        <w:rPr>
          <w:color w:val="auto"/>
          <w:szCs w:val="24"/>
        </w:rPr>
        <w:t>performed</w:t>
      </w:r>
      <w:r w:rsidR="003A46CF">
        <w:rPr>
          <w:color w:val="auto"/>
          <w:szCs w:val="24"/>
        </w:rPr>
        <w:t xml:space="preserve"> on 15 December 2007 showed an </w:t>
      </w:r>
      <w:r w:rsidR="00201501">
        <w:rPr>
          <w:color w:val="auto"/>
          <w:szCs w:val="24"/>
        </w:rPr>
        <w:t>osteochondral lesion</w:t>
      </w:r>
      <w:r w:rsidR="003A46CF">
        <w:rPr>
          <w:color w:val="auto"/>
          <w:szCs w:val="24"/>
        </w:rPr>
        <w:t xml:space="preserve"> of the medial femoral condyle that was improving, and central and lateral patellar chondromalacia.  There was also a questionable tear of the posterior horn of the medial meniscus.  </w:t>
      </w:r>
      <w:r w:rsidR="008C4860">
        <w:rPr>
          <w:color w:val="auto"/>
          <w:szCs w:val="24"/>
        </w:rPr>
        <w:t xml:space="preserve">The MEB physical exam, performed on </w:t>
      </w:r>
      <w:r w:rsidR="00825B68">
        <w:rPr>
          <w:color w:val="auto"/>
          <w:szCs w:val="24"/>
        </w:rPr>
        <w:t xml:space="preserve">21 April 2008, </w:t>
      </w:r>
      <w:r w:rsidR="008C4860">
        <w:rPr>
          <w:color w:val="auto"/>
          <w:szCs w:val="24"/>
        </w:rPr>
        <w:t>5</w:t>
      </w:r>
      <w:r w:rsidR="003D0519">
        <w:rPr>
          <w:color w:val="auto"/>
          <w:szCs w:val="24"/>
        </w:rPr>
        <w:t xml:space="preserve"> months prior to</w:t>
      </w:r>
      <w:r w:rsidR="008C4860">
        <w:rPr>
          <w:color w:val="auto"/>
          <w:szCs w:val="24"/>
        </w:rPr>
        <w:t xml:space="preserve"> separation,</w:t>
      </w:r>
      <w:r w:rsidR="00825B68">
        <w:rPr>
          <w:color w:val="auto"/>
          <w:szCs w:val="24"/>
        </w:rPr>
        <w:t xml:space="preserve"> </w:t>
      </w:r>
      <w:r w:rsidR="00CF0280" w:rsidRPr="00F64312">
        <w:rPr>
          <w:color w:val="auto"/>
          <w:szCs w:val="24"/>
        </w:rPr>
        <w:t>noted</w:t>
      </w:r>
      <w:r w:rsidR="00761B82">
        <w:rPr>
          <w:color w:val="auto"/>
          <w:szCs w:val="24"/>
        </w:rPr>
        <w:t xml:space="preserve"> </w:t>
      </w:r>
      <w:r w:rsidR="00825B68">
        <w:rPr>
          <w:color w:val="auto"/>
          <w:szCs w:val="24"/>
        </w:rPr>
        <w:t xml:space="preserve">the presence of patellar grinding and patellar tenderness, but </w:t>
      </w:r>
      <w:r w:rsidR="00761B82">
        <w:rPr>
          <w:color w:val="auto"/>
          <w:szCs w:val="24"/>
        </w:rPr>
        <w:t>no knee swelling</w:t>
      </w:r>
      <w:r w:rsidR="00DB0C6B">
        <w:rPr>
          <w:color w:val="auto"/>
          <w:szCs w:val="24"/>
        </w:rPr>
        <w:t xml:space="preserve">.  Pain was present under the patella </w:t>
      </w:r>
      <w:r w:rsidR="00664F7C">
        <w:rPr>
          <w:color w:val="auto"/>
          <w:szCs w:val="24"/>
        </w:rPr>
        <w:t>during knee</w:t>
      </w:r>
      <w:r w:rsidR="00DB0C6B">
        <w:rPr>
          <w:color w:val="auto"/>
          <w:szCs w:val="24"/>
        </w:rPr>
        <w:t xml:space="preserve"> extension.</w:t>
      </w:r>
      <w:r w:rsidR="003D0CA3">
        <w:rPr>
          <w:color w:val="auto"/>
          <w:szCs w:val="24"/>
        </w:rPr>
        <w:t xml:space="preserve">  </w:t>
      </w:r>
      <w:r w:rsidR="004C7C0B">
        <w:rPr>
          <w:color w:val="auto"/>
          <w:szCs w:val="24"/>
        </w:rPr>
        <w:t>T</w:t>
      </w:r>
      <w:r w:rsidR="00CF0280" w:rsidRPr="00F64312">
        <w:rPr>
          <w:color w:val="auto"/>
          <w:szCs w:val="24"/>
        </w:rPr>
        <w:t>he VA Compensation and Pension (C&amp;P) exam</w:t>
      </w:r>
      <w:r w:rsidR="004C7C0B">
        <w:rPr>
          <w:color w:val="auto"/>
          <w:szCs w:val="24"/>
        </w:rPr>
        <w:t>iner,</w:t>
      </w:r>
      <w:r w:rsidR="008C4860">
        <w:rPr>
          <w:color w:val="auto"/>
          <w:szCs w:val="24"/>
        </w:rPr>
        <w:t xml:space="preserve"> 7</w:t>
      </w:r>
      <w:r w:rsidR="00EA49AF">
        <w:rPr>
          <w:color w:val="auto"/>
          <w:szCs w:val="24"/>
        </w:rPr>
        <w:t xml:space="preserve"> </w:t>
      </w:r>
      <w:r w:rsidR="00EA49AF" w:rsidRPr="00EA49AF">
        <w:rPr>
          <w:color w:val="auto"/>
          <w:szCs w:val="24"/>
        </w:rPr>
        <w:t xml:space="preserve">months </w:t>
      </w:r>
      <w:r w:rsidR="00ED7820" w:rsidRPr="00EA49AF">
        <w:rPr>
          <w:color w:val="auto"/>
          <w:szCs w:val="24"/>
        </w:rPr>
        <w:t>after</w:t>
      </w:r>
      <w:r w:rsidR="00ED7820">
        <w:rPr>
          <w:color w:val="auto"/>
          <w:szCs w:val="24"/>
        </w:rPr>
        <w:t xml:space="preserve"> separation</w:t>
      </w:r>
      <w:r w:rsidR="00CF0280" w:rsidRPr="00F64312">
        <w:rPr>
          <w:color w:val="auto"/>
          <w:szCs w:val="24"/>
        </w:rPr>
        <w:t xml:space="preserve">, </w:t>
      </w:r>
      <w:r w:rsidR="004C7C0B">
        <w:rPr>
          <w:color w:val="auto"/>
          <w:szCs w:val="24"/>
        </w:rPr>
        <w:t xml:space="preserve">reported </w:t>
      </w:r>
      <w:r w:rsidR="00EA49AF">
        <w:rPr>
          <w:color w:val="auto"/>
          <w:szCs w:val="24"/>
        </w:rPr>
        <w:t>that medications were</w:t>
      </w:r>
      <w:r w:rsidR="004C7C0B">
        <w:rPr>
          <w:color w:val="auto"/>
          <w:szCs w:val="24"/>
        </w:rPr>
        <w:t xml:space="preserve"> not helpful and that the CI was currently receiving no treatment.  He did not use an assistive device.  Activity caused flare-ups, and he was prevented from doing strenuous work, climbing, lifting or walking.  However, the condition did not interfere with activities of daily living.  Exa</w:t>
      </w:r>
      <w:r w:rsidR="003F2991">
        <w:rPr>
          <w:color w:val="auto"/>
          <w:szCs w:val="24"/>
        </w:rPr>
        <w:t>mination revealed a normal gait, and the</w:t>
      </w:r>
      <w:r w:rsidR="004C7C0B">
        <w:rPr>
          <w:color w:val="auto"/>
          <w:szCs w:val="24"/>
        </w:rPr>
        <w:t xml:space="preserve"> left knee appeared normal.  </w:t>
      </w:r>
      <w:r w:rsidR="00070BAB">
        <w:rPr>
          <w:color w:val="auto"/>
          <w:szCs w:val="24"/>
        </w:rPr>
        <w:t>Flexion was limited by pain</w:t>
      </w:r>
      <w:r w:rsidR="003A74F6">
        <w:rPr>
          <w:color w:val="auto"/>
          <w:szCs w:val="24"/>
        </w:rPr>
        <w:t>,</w:t>
      </w:r>
      <w:r w:rsidR="00070BAB">
        <w:rPr>
          <w:color w:val="auto"/>
          <w:szCs w:val="24"/>
        </w:rPr>
        <w:t xml:space="preserve"> and pain </w:t>
      </w:r>
      <w:r w:rsidR="003A74F6">
        <w:rPr>
          <w:color w:val="auto"/>
          <w:szCs w:val="24"/>
        </w:rPr>
        <w:t xml:space="preserve">was also present </w:t>
      </w:r>
      <w:r w:rsidR="00070BAB">
        <w:rPr>
          <w:color w:val="auto"/>
          <w:szCs w:val="24"/>
        </w:rPr>
        <w:t>during full extension.  There were no examination findings of instability, and the McMurray test (</w:t>
      </w:r>
      <w:r w:rsidR="00664F7C">
        <w:rPr>
          <w:color w:val="auto"/>
          <w:szCs w:val="24"/>
        </w:rPr>
        <w:t xml:space="preserve">assessing </w:t>
      </w:r>
      <w:r w:rsidR="00070BAB">
        <w:rPr>
          <w:color w:val="auto"/>
          <w:szCs w:val="24"/>
        </w:rPr>
        <w:t xml:space="preserve">for meniscal tear) was negative.  </w:t>
      </w:r>
    </w:p>
    <w:p w:rsidR="00CF0280" w:rsidRPr="00F64312" w:rsidRDefault="00CF0280" w:rsidP="0069687C">
      <w:pPr>
        <w:jc w:val="both"/>
        <w:rPr>
          <w:color w:val="auto"/>
          <w:szCs w:val="24"/>
        </w:rPr>
      </w:pPr>
    </w:p>
    <w:p w:rsidR="00626902" w:rsidRPr="00F64312" w:rsidRDefault="00AD2379" w:rsidP="003F2991">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5A5C50">
        <w:rPr>
          <w:rFonts w:cs="Times New Roman"/>
          <w:color w:val="auto"/>
        </w:rPr>
        <w:t xml:space="preserve">  </w:t>
      </w:r>
      <w:r w:rsidR="005A5C50" w:rsidRPr="005A5C50">
        <w:rPr>
          <w:rFonts w:cs="Times New Roman"/>
          <w:color w:val="auto"/>
        </w:rPr>
        <w:t xml:space="preserve">The PEB and VA chose different coding options for the condition, but this did not bear on rating.  There is no evidence that </w:t>
      </w:r>
      <w:proofErr w:type="gramStart"/>
      <w:r w:rsidR="005A5C50" w:rsidRPr="005A5C50">
        <w:rPr>
          <w:rFonts w:cs="Times New Roman"/>
          <w:color w:val="auto"/>
        </w:rPr>
        <w:t>DoD</w:t>
      </w:r>
      <w:proofErr w:type="gramEnd"/>
      <w:r w:rsidR="008C4860">
        <w:rPr>
          <w:rFonts w:cs="Times New Roman"/>
          <w:color w:val="auto"/>
        </w:rPr>
        <w:t xml:space="preserve"> or s</w:t>
      </w:r>
      <w:r w:rsidR="005A5C50" w:rsidRPr="005A5C50">
        <w:rPr>
          <w:rFonts w:cs="Times New Roman"/>
          <w:color w:val="auto"/>
        </w:rPr>
        <w:t>ervice specific regulations or policies were applied.  The ratings by the PEB and VA were consistent with VASRD §4.71a standards for rating a</w:t>
      </w:r>
      <w:r w:rsidR="003F2991">
        <w:rPr>
          <w:rFonts w:cs="Times New Roman"/>
          <w:color w:val="auto"/>
        </w:rPr>
        <w:t xml:space="preserve"> painful</w:t>
      </w:r>
      <w:r w:rsidR="005A5C50" w:rsidRPr="005A5C50">
        <w:rPr>
          <w:rFonts w:cs="Times New Roman"/>
          <w:color w:val="auto"/>
        </w:rPr>
        <w:t xml:space="preserve"> joint with non</w:t>
      </w:r>
      <w:r w:rsidR="00400959">
        <w:rPr>
          <w:rFonts w:cs="Times New Roman"/>
          <w:color w:val="auto"/>
        </w:rPr>
        <w:t>-</w:t>
      </w:r>
      <w:r w:rsidR="005A5C50" w:rsidRPr="005A5C50">
        <w:rPr>
          <w:rFonts w:cs="Times New Roman"/>
          <w:color w:val="auto"/>
        </w:rPr>
        <w:t>compensable limitation of motion.</w:t>
      </w:r>
      <w:r w:rsidR="003F2991">
        <w:rPr>
          <w:rFonts w:cs="Times New Roman"/>
          <w:color w:val="auto"/>
        </w:rPr>
        <w:t xml:space="preserve">  </w:t>
      </w:r>
      <w:r w:rsidR="00855D6D">
        <w:rPr>
          <w:rFonts w:cs="Times New Roman"/>
          <w:color w:val="auto"/>
        </w:rPr>
        <w:t>Because of the presence of a possible meniscal tear, t</w:t>
      </w:r>
      <w:r w:rsidR="0065763A">
        <w:rPr>
          <w:rFonts w:cs="Times New Roman"/>
          <w:color w:val="auto"/>
        </w:rPr>
        <w:t>he Board considered rating under the 5259 code</w:t>
      </w:r>
      <w:r w:rsidR="00855D6D">
        <w:rPr>
          <w:rFonts w:cs="Times New Roman"/>
          <w:color w:val="auto"/>
        </w:rPr>
        <w:t>, which also includes painful motion; however,</w:t>
      </w:r>
      <w:r w:rsidR="0065763A">
        <w:rPr>
          <w:rFonts w:cs="Times New Roman"/>
          <w:color w:val="auto"/>
        </w:rPr>
        <w:t xml:space="preserve"> no more than a 10% rating was possible using this pathway.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11C60">
        <w:rPr>
          <w:rFonts w:eastAsia="Calibri" w:cs="Times New Roman"/>
          <w:color w:val="auto"/>
          <w:szCs w:val="24"/>
        </w:rPr>
        <w:t>left knee pain</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1554E4" w:rsidRPr="00F64312" w:rsidRDefault="001554E4" w:rsidP="00241B01">
      <w:pPr>
        <w:jc w:val="both"/>
        <w:rPr>
          <w:rFonts w:eastAsia="Calibri" w:cs="Times New Roman"/>
          <w:color w:val="auto"/>
          <w:szCs w:val="24"/>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3F2991">
        <w:rPr>
          <w:rFonts w:eastAsia="Calibri" w:cs="Times New Roman"/>
          <w:color w:val="auto"/>
          <w:szCs w:val="24"/>
        </w:rPr>
        <w:t xml:space="preserve">as </w:t>
      </w:r>
      <w:r w:rsidR="00280090">
        <w:rPr>
          <w:rFonts w:eastAsia="Calibri" w:cs="Times New Roman"/>
          <w:color w:val="auto"/>
          <w:szCs w:val="24"/>
        </w:rPr>
        <w:t>OSA</w:t>
      </w:r>
      <w:bookmarkStart w:id="0" w:name="_GoBack"/>
      <w:bookmarkEnd w:id="0"/>
      <w:r w:rsidR="005C549B">
        <w:rPr>
          <w:rFonts w:eastAsia="Calibri" w:cs="Times New Roman"/>
          <w:color w:val="auto"/>
          <w:szCs w:val="24"/>
        </w:rPr>
        <w:t>.</w:t>
      </w:r>
      <w:r w:rsidR="003863E9" w:rsidRPr="00792790">
        <w:rPr>
          <w:rFonts w:eastAsia="Calibri" w:cs="Times New Roman"/>
          <w:color w:val="auto"/>
          <w:szCs w:val="24"/>
        </w:rPr>
        <w:t xml:space="preserve">  The Board’s first charge with respect to th</w:t>
      </w:r>
      <w:r w:rsidR="003F2991">
        <w:rPr>
          <w:rFonts w:eastAsia="Calibri" w:cs="Times New Roman"/>
          <w:color w:val="auto"/>
          <w:szCs w:val="24"/>
        </w:rPr>
        <w:t>is</w:t>
      </w:r>
      <w:r w:rsidR="003863E9" w:rsidRPr="00792790">
        <w:rPr>
          <w:rFonts w:eastAsia="Calibri" w:cs="Times New Roman"/>
          <w:color w:val="auto"/>
          <w:szCs w:val="24"/>
        </w:rPr>
        <w:t xml:space="preserve"> condition is an assessment of the appropriateness of the PEB’s fitness adjudication.  The Board’s threshold for countering fitness determinations is higher than the VASRD §4.3 (reasonable doubt) standard used for its rating recommendations, but remains adherent to the DoDI 6040.44 “fair and equitable” standard.  </w:t>
      </w:r>
      <w:r w:rsidR="00F03796">
        <w:rPr>
          <w:rFonts w:eastAsia="Calibri" w:cs="Times New Roman"/>
          <w:color w:val="auto"/>
          <w:szCs w:val="24"/>
        </w:rPr>
        <w:t>In 2004 the CI had surgery</w:t>
      </w:r>
      <w:r w:rsidR="00E76D84">
        <w:rPr>
          <w:rFonts w:eastAsia="Calibri" w:cs="Times New Roman"/>
          <w:color w:val="auto"/>
          <w:szCs w:val="24"/>
        </w:rPr>
        <w:t xml:space="preserve"> to remove large tonsils thought to be contributing to sleeping problems.  In February 2008 he present</w:t>
      </w:r>
      <w:r w:rsidR="001A6A9B">
        <w:rPr>
          <w:rFonts w:eastAsia="Calibri" w:cs="Times New Roman"/>
          <w:color w:val="auto"/>
          <w:szCs w:val="24"/>
        </w:rPr>
        <w:t>ed with symptoms suggestive of sleep apnea</w:t>
      </w:r>
      <w:r w:rsidR="00664F7C">
        <w:rPr>
          <w:rFonts w:eastAsia="Calibri" w:cs="Times New Roman"/>
          <w:color w:val="auto"/>
          <w:szCs w:val="24"/>
        </w:rPr>
        <w:t>,</w:t>
      </w:r>
      <w:r w:rsidR="001A6A9B">
        <w:rPr>
          <w:rFonts w:eastAsia="Calibri" w:cs="Times New Roman"/>
          <w:color w:val="auto"/>
          <w:szCs w:val="24"/>
        </w:rPr>
        <w:t xml:space="preserve"> and per the VA examiner was subsequently diagnosed with th</w:t>
      </w:r>
      <w:r w:rsidR="005314EE">
        <w:rPr>
          <w:rFonts w:eastAsia="Calibri" w:cs="Times New Roman"/>
          <w:color w:val="auto"/>
          <w:szCs w:val="24"/>
        </w:rPr>
        <w:t>is</w:t>
      </w:r>
      <w:r w:rsidR="001A6A9B">
        <w:rPr>
          <w:rFonts w:eastAsia="Calibri" w:cs="Times New Roman"/>
          <w:color w:val="auto"/>
          <w:szCs w:val="24"/>
        </w:rPr>
        <w:t xml:space="preserve"> condition.  </w:t>
      </w:r>
      <w:r w:rsidR="005314EE">
        <w:rPr>
          <w:rFonts w:eastAsia="Calibri" w:cs="Times New Roman"/>
          <w:color w:val="auto"/>
          <w:szCs w:val="24"/>
        </w:rPr>
        <w:t>The examiner stated that his</w:t>
      </w:r>
      <w:r w:rsidR="001A6A9B">
        <w:rPr>
          <w:rFonts w:eastAsia="Calibri" w:cs="Times New Roman"/>
          <w:color w:val="auto"/>
          <w:szCs w:val="24"/>
        </w:rPr>
        <w:t xml:space="preserve"> symptoms were “considerably helped” with CPAP</w:t>
      </w:r>
      <w:r w:rsidR="001A6A9B" w:rsidRPr="00201501">
        <w:rPr>
          <w:rFonts w:eastAsia="Calibri" w:cs="Times New Roman"/>
          <w:color w:val="auto"/>
          <w:szCs w:val="24"/>
        </w:rPr>
        <w:t xml:space="preserve">. </w:t>
      </w:r>
      <w:r w:rsidR="00F03796" w:rsidRPr="00201501">
        <w:rPr>
          <w:rFonts w:eastAsia="Calibri" w:cs="Times New Roman"/>
          <w:color w:val="auto"/>
          <w:szCs w:val="24"/>
        </w:rPr>
        <w:t xml:space="preserve"> </w:t>
      </w:r>
      <w:r w:rsidR="00201501" w:rsidRPr="00201501">
        <w:rPr>
          <w:rFonts w:eastAsia="Calibri" w:cs="Times New Roman"/>
          <w:color w:val="auto"/>
          <w:szCs w:val="24"/>
        </w:rPr>
        <w:t xml:space="preserve">Routinely OSA is not considered unfitting solely on the basis of field and operational impediments to the use of </w:t>
      </w:r>
      <w:r w:rsidR="00201501" w:rsidRPr="00666CDE">
        <w:rPr>
          <w:rFonts w:eastAsia="Calibri" w:cs="Times New Roman"/>
          <w:color w:val="auto"/>
          <w:szCs w:val="24"/>
        </w:rPr>
        <w:t xml:space="preserve">CPAP.  There is no evidence in this case that OSA was associated with any unfitting impairments not corrected by CPAP.  The condition was not profiled, was not implicated in the commander’s statement and was not judged to fail retention standards.  </w:t>
      </w:r>
      <w:r w:rsidR="00666CDE" w:rsidRPr="00666CDE">
        <w:rPr>
          <w:rFonts w:eastAsia="Calibri" w:cs="Times New Roman"/>
          <w:color w:val="auto"/>
          <w:szCs w:val="24"/>
        </w:rPr>
        <w:t xml:space="preserve">The condition was reviewed by the action officer and considered by the Board.  There was no indication from the record that it significantly interfered with satisfactory duty performance.  </w:t>
      </w:r>
      <w:r w:rsidR="00201501" w:rsidRPr="00666CDE">
        <w:rPr>
          <w:rFonts w:eastAsia="Calibri" w:cs="Times New Roman"/>
          <w:color w:val="auto"/>
          <w:szCs w:val="24"/>
        </w:rPr>
        <w:t>The PEB’s fitness adjudication was therefore expected and reasonable.</w:t>
      </w:r>
      <w:r w:rsidR="00666CDE" w:rsidRPr="00666CDE">
        <w:rPr>
          <w:rFonts w:eastAsia="Calibri" w:cs="Times New Roman"/>
          <w:color w:val="auto"/>
          <w:szCs w:val="24"/>
        </w:rPr>
        <w:t xml:space="preserve">  </w:t>
      </w:r>
      <w:r w:rsidR="003863E9" w:rsidRPr="00666CDE">
        <w:rPr>
          <w:rFonts w:eastAsia="Calibri" w:cs="Times New Roman"/>
          <w:color w:val="auto"/>
          <w:szCs w:val="24"/>
        </w:rPr>
        <w:t>A</w:t>
      </w:r>
      <w:r w:rsidR="003863E9" w:rsidRPr="00792790">
        <w:rPr>
          <w:rFonts w:eastAsia="Calibri" w:cs="Times New Roman"/>
          <w:color w:val="auto"/>
          <w:szCs w:val="24"/>
        </w:rPr>
        <w:t xml:space="preserve">fter due deliberation in consideration of the preponderance of the evidence, the Board concluded that there was insufficient cause to recommend a change in the PEB fitness determination for the </w:t>
      </w:r>
      <w:r w:rsidR="00666CDE">
        <w:rPr>
          <w:rFonts w:eastAsia="Calibri" w:cs="Times New Roman"/>
          <w:color w:val="auto"/>
          <w:szCs w:val="24"/>
        </w:rPr>
        <w:t>obstructive sleep apnea</w:t>
      </w:r>
      <w:r w:rsidR="003863E9" w:rsidRPr="00792790">
        <w:rPr>
          <w:rFonts w:eastAsia="Calibri" w:cs="Times New Roman"/>
          <w:color w:val="auto"/>
          <w:szCs w:val="24"/>
        </w:rPr>
        <w:t xml:space="preserve"> condition</w:t>
      </w:r>
      <w:r w:rsidR="00666CDE">
        <w:rPr>
          <w:rFonts w:eastAsia="Calibri" w:cs="Times New Roman"/>
          <w:color w:val="auto"/>
          <w:szCs w:val="24"/>
        </w:rPr>
        <w:t>,</w:t>
      </w:r>
      <w:r w:rsidR="003863E9" w:rsidRPr="00792790">
        <w:rPr>
          <w:rFonts w:eastAsia="Calibri" w:cs="Times New Roman"/>
          <w:color w:val="auto"/>
          <w:szCs w:val="24"/>
        </w:rPr>
        <w:t xml:space="preserve"> and</w:t>
      </w:r>
      <w:r w:rsidR="00666CDE">
        <w:rPr>
          <w:rFonts w:eastAsia="Calibri" w:cs="Times New Roman"/>
          <w:color w:val="auto"/>
          <w:szCs w:val="24"/>
        </w:rPr>
        <w:t xml:space="preserve"> </w:t>
      </w:r>
      <w:r w:rsidR="003863E9" w:rsidRPr="00792790">
        <w:rPr>
          <w:rFonts w:eastAsia="Calibri" w:cs="Times New Roman"/>
          <w:color w:val="auto"/>
          <w:szCs w:val="24"/>
        </w:rPr>
        <w:t>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lastRenderedPageBreak/>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265BA">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3D0CA3">
        <w:rPr>
          <w:rFonts w:cs="Times New Roman"/>
          <w:color w:val="auto"/>
        </w:rPr>
        <w:t xml:space="preserve">  </w:t>
      </w:r>
      <w:r w:rsidR="00560F12" w:rsidRPr="00F64312">
        <w:rPr>
          <w:rFonts w:eastAsia="Calibri" w:cs="Times New Roman"/>
          <w:color w:val="auto"/>
          <w:szCs w:val="24"/>
        </w:rPr>
        <w:t xml:space="preserve">In the matter of the </w:t>
      </w:r>
      <w:r w:rsidR="006265BA">
        <w:rPr>
          <w:rFonts w:eastAsia="Calibri" w:cs="Times New Roman"/>
          <w:color w:val="auto"/>
          <w:szCs w:val="24"/>
        </w:rPr>
        <w:t>left knee pain</w:t>
      </w:r>
      <w:r w:rsidR="00560F12" w:rsidRPr="00F64312">
        <w:rPr>
          <w:rFonts w:eastAsia="Calibri" w:cs="Times New Roman"/>
          <w:color w:val="auto"/>
          <w:szCs w:val="24"/>
        </w:rPr>
        <w:t xml:space="preserve"> condition and IAW VASRD </w:t>
      </w:r>
      <w:r w:rsidR="00560F12" w:rsidRPr="006265BA">
        <w:rPr>
          <w:rFonts w:eastAsia="Calibri" w:cs="Times New Roman"/>
          <w:color w:val="auto"/>
          <w:szCs w:val="24"/>
        </w:rPr>
        <w:t>§4.71a,</w:t>
      </w:r>
      <w:r w:rsidR="00560F12" w:rsidRPr="00F64312">
        <w:rPr>
          <w:rFonts w:eastAsia="Calibri" w:cs="Times New Roman"/>
          <w:color w:val="auto"/>
          <w:szCs w:val="24"/>
        </w:rPr>
        <w:t xml:space="preserve"> the Board </w:t>
      </w:r>
      <w:r w:rsidR="00560F12" w:rsidRPr="003D0CA3">
        <w:rPr>
          <w:rFonts w:eastAsia="Calibri" w:cs="Times New Roman"/>
          <w:color w:val="auto"/>
          <w:szCs w:val="24"/>
        </w:rPr>
        <w:t>unanimously r</w:t>
      </w:r>
      <w:r w:rsidR="00560F12" w:rsidRPr="00F64312">
        <w:rPr>
          <w:rFonts w:eastAsia="Calibri" w:cs="Times New Roman"/>
          <w:color w:val="auto"/>
          <w:szCs w:val="24"/>
        </w:rPr>
        <w:t>ecommends no change in the PEB adjudication.</w:t>
      </w:r>
      <w:r w:rsidR="003D0CA3">
        <w:rPr>
          <w:rFonts w:eastAsia="Calibri" w:cs="Times New Roman"/>
          <w:color w:val="auto"/>
          <w:szCs w:val="24"/>
        </w:rPr>
        <w:t xml:space="preserve">  </w:t>
      </w:r>
      <w:r w:rsidR="00560F12" w:rsidRPr="00F64312">
        <w:rPr>
          <w:rFonts w:eastAsia="Calibri" w:cs="Times New Roman"/>
          <w:color w:val="auto"/>
          <w:szCs w:val="24"/>
        </w:rPr>
        <w:t xml:space="preserve">In the matter of the contended </w:t>
      </w:r>
      <w:r w:rsidR="003D0519">
        <w:rPr>
          <w:rFonts w:eastAsia="Calibri" w:cs="Times New Roman"/>
          <w:color w:val="auto"/>
          <w:szCs w:val="24"/>
        </w:rPr>
        <w:t>OSA</w:t>
      </w:r>
      <w:r w:rsidR="00560F12" w:rsidRPr="00F64312">
        <w:rPr>
          <w:rFonts w:eastAsia="Calibri" w:cs="Times New Roman"/>
          <w:color w:val="auto"/>
          <w:szCs w:val="24"/>
        </w:rPr>
        <w:t xml:space="preserve"> condition, the </w:t>
      </w:r>
      <w:r w:rsidR="00560F12" w:rsidRPr="003D0CA3">
        <w:rPr>
          <w:rFonts w:eastAsia="Calibri" w:cs="Times New Roman"/>
          <w:color w:val="auto"/>
          <w:szCs w:val="24"/>
        </w:rPr>
        <w:t>Board 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recommends no change from the PEB determination as not unfitting.</w:t>
      </w:r>
      <w:r w:rsidR="003D0CA3">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6265BA" w:rsidP="006B690F">
            <w:pPr>
              <w:tabs>
                <w:tab w:val="left" w:pos="288"/>
                <w:tab w:val="left" w:pos="4752"/>
              </w:tabs>
              <w:jc w:val="left"/>
              <w:rPr>
                <w:color w:val="auto"/>
              </w:rPr>
            </w:pPr>
            <w:r>
              <w:rPr>
                <w:color w:val="auto"/>
              </w:rPr>
              <w:t>Left Knee Pain</w:t>
            </w:r>
          </w:p>
        </w:tc>
        <w:tc>
          <w:tcPr>
            <w:tcW w:w="1530" w:type="dxa"/>
            <w:vAlign w:val="center"/>
          </w:tcPr>
          <w:p w:rsidR="00AD2379" w:rsidRPr="006265BA" w:rsidRDefault="006265BA" w:rsidP="006B690F">
            <w:pPr>
              <w:tabs>
                <w:tab w:val="left" w:pos="288"/>
                <w:tab w:val="left" w:pos="4752"/>
              </w:tabs>
              <w:rPr>
                <w:color w:val="auto"/>
              </w:rPr>
            </w:pPr>
            <w:r w:rsidRPr="006265BA">
              <w:rPr>
                <w:color w:val="auto"/>
              </w:rPr>
              <w:t>5003</w:t>
            </w:r>
          </w:p>
        </w:tc>
        <w:tc>
          <w:tcPr>
            <w:tcW w:w="1026" w:type="dxa"/>
            <w:vAlign w:val="center"/>
          </w:tcPr>
          <w:p w:rsidR="00AD2379" w:rsidRPr="006265BA" w:rsidRDefault="006265BA" w:rsidP="006B690F">
            <w:pPr>
              <w:tabs>
                <w:tab w:val="left" w:pos="288"/>
                <w:tab w:val="left" w:pos="4752"/>
              </w:tabs>
              <w:rPr>
                <w:color w:val="auto"/>
              </w:rPr>
            </w:pPr>
            <w:r w:rsidRPr="006265BA">
              <w:rPr>
                <w:color w:val="auto"/>
              </w:rPr>
              <w:t>1</w:t>
            </w:r>
            <w:r w:rsidR="00AD2379" w:rsidRPr="006265BA">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6265BA" w:rsidP="006B690F">
            <w:pPr>
              <w:tabs>
                <w:tab w:val="left" w:pos="288"/>
                <w:tab w:val="left" w:pos="4752"/>
              </w:tabs>
              <w:rPr>
                <w:b/>
                <w:color w:val="auto"/>
              </w:rPr>
            </w:pPr>
            <w:r w:rsidRPr="006265BA">
              <w:rPr>
                <w:b/>
                <w:color w:val="auto"/>
              </w:rPr>
              <w:t>1</w:t>
            </w:r>
            <w:r w:rsidR="00AD2379" w:rsidRPr="006265BA">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0C501D">
        <w:rPr>
          <w:color w:val="auto"/>
        </w:rPr>
        <w:t>20</w:t>
      </w:r>
      <w:r w:rsidR="000C501D">
        <w:rPr>
          <w:color w:val="auto"/>
        </w:rPr>
        <w:t>110909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01CD9">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801CD9" w:rsidRDefault="00801CD9" w:rsidP="00BF0E94">
      <w:pPr>
        <w:tabs>
          <w:tab w:val="left" w:pos="0"/>
          <w:tab w:val="left" w:pos="4320"/>
        </w:tabs>
        <w:jc w:val="both"/>
        <w:rPr>
          <w:color w:val="auto"/>
        </w:rPr>
      </w:pPr>
    </w:p>
    <w:p w:rsidR="00801CD9" w:rsidRDefault="00801CD9">
      <w:pPr>
        <w:spacing w:line="240" w:lineRule="auto"/>
        <w:jc w:val="left"/>
        <w:rPr>
          <w:color w:val="auto"/>
        </w:rPr>
      </w:pPr>
      <w:r>
        <w:rPr>
          <w:color w:val="auto"/>
        </w:rPr>
        <w:br w:type="page"/>
      </w:r>
    </w:p>
    <w:p w:rsidR="00801CD9" w:rsidRDefault="00801CD9" w:rsidP="00801CD9">
      <w:pPr>
        <w:sectPr w:rsidR="00801CD9">
          <w:pgSz w:w="12240" w:h="15840"/>
          <w:pgMar w:top="2160" w:right="1440" w:bottom="1440" w:left="1440" w:header="720" w:footer="720" w:gutter="0"/>
          <w:cols w:space="720"/>
        </w:sectPr>
      </w:pPr>
    </w:p>
    <w:p w:rsidR="00801CD9" w:rsidRDefault="00801CD9" w:rsidP="00801CD9">
      <w:pPr>
        <w:pStyle w:val="Header"/>
        <w:tabs>
          <w:tab w:val="left" w:pos="720"/>
        </w:tabs>
        <w:jc w:val="left"/>
      </w:pPr>
      <w:r>
        <w:lastRenderedPageBreak/>
        <w:t>SFMR-RB</w:t>
      </w:r>
      <w:r>
        <w:tab/>
      </w:r>
      <w:r>
        <w:tab/>
      </w:r>
      <w:r>
        <w:tab/>
      </w:r>
      <w:r>
        <w:tab/>
      </w:r>
      <w:r>
        <w:tab/>
      </w:r>
      <w:r>
        <w:tab/>
      </w:r>
      <w:r>
        <w:tab/>
      </w:r>
      <w:r>
        <w:tab/>
      </w:r>
      <w:r>
        <w:tab/>
      </w:r>
    </w:p>
    <w:p w:rsidR="00801CD9" w:rsidRDefault="00801CD9" w:rsidP="00801CD9">
      <w:pPr>
        <w:pStyle w:val="Header"/>
        <w:tabs>
          <w:tab w:val="left" w:pos="720"/>
        </w:tabs>
        <w:jc w:val="left"/>
      </w:pPr>
    </w:p>
    <w:p w:rsidR="00801CD9" w:rsidRDefault="00801CD9" w:rsidP="00801CD9">
      <w:pPr>
        <w:jc w:val="left"/>
      </w:pPr>
    </w:p>
    <w:p w:rsidR="00801CD9" w:rsidRDefault="00801CD9" w:rsidP="00801CD9">
      <w:pPr>
        <w:jc w:val="left"/>
      </w:pPr>
      <w:r>
        <w:t xml:space="preserve">MEMORANDUM FOR Commander, US Army Physical Disability Agency </w:t>
      </w:r>
    </w:p>
    <w:p w:rsidR="00801CD9" w:rsidRDefault="00801CD9" w:rsidP="00801CD9">
      <w:pPr>
        <w:jc w:val="left"/>
      </w:pPr>
      <w:r>
        <w:t xml:space="preserve">(TAPD-ZB </w:t>
      </w:r>
      <w:proofErr w:type="gramStart"/>
      <w:r>
        <w:t>/  )</w:t>
      </w:r>
      <w:proofErr w:type="gramEnd"/>
      <w:r>
        <w:t>, 2900 Crystal Drive, Suite 300, Arlington, VA  22202</w:t>
      </w:r>
    </w:p>
    <w:p w:rsidR="00801CD9" w:rsidRDefault="00801CD9" w:rsidP="00801CD9">
      <w:pPr>
        <w:jc w:val="left"/>
      </w:pPr>
    </w:p>
    <w:p w:rsidR="00801CD9" w:rsidRDefault="00801CD9" w:rsidP="00801CD9">
      <w:pPr>
        <w:ind w:right="-180"/>
        <w:jc w:val="left"/>
      </w:pPr>
      <w:r>
        <w:t>SUBJECT:  Department of Defense Physical Disability Board of Review Recommendation for XXXXXXXXXXXXXXXXXXXX, AR20120014280 ()</w:t>
      </w:r>
    </w:p>
    <w:p w:rsidR="00801CD9" w:rsidRDefault="00801CD9" w:rsidP="00801CD9">
      <w:pPr>
        <w:pStyle w:val="Header"/>
        <w:tabs>
          <w:tab w:val="left" w:pos="720"/>
        </w:tabs>
        <w:jc w:val="left"/>
      </w:pPr>
    </w:p>
    <w:p w:rsidR="00801CD9" w:rsidRDefault="00801CD9" w:rsidP="00801CD9">
      <w:pPr>
        <w:jc w:val="left"/>
      </w:pPr>
    </w:p>
    <w:p w:rsidR="00801CD9" w:rsidRDefault="00801CD9" w:rsidP="00801CD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01CD9" w:rsidRDefault="00801CD9" w:rsidP="00801CD9">
      <w:pPr>
        <w:jc w:val="left"/>
      </w:pPr>
      <w:r>
        <w:t>This decision is final.  The individual concerned, counsel (if any), and any Members of Congress who have shown interest in this application have been notified of this decision by mail.</w:t>
      </w:r>
    </w:p>
    <w:p w:rsidR="00801CD9" w:rsidRDefault="00801CD9" w:rsidP="00801CD9">
      <w:pPr>
        <w:jc w:val="left"/>
      </w:pPr>
    </w:p>
    <w:p w:rsidR="00801CD9" w:rsidRDefault="00801CD9" w:rsidP="00801CD9">
      <w:pPr>
        <w:jc w:val="left"/>
      </w:pPr>
      <w:r>
        <w:t>BY ORDER OF THE SECRETARY OF THE ARMY:</w:t>
      </w:r>
    </w:p>
    <w:p w:rsidR="00801CD9" w:rsidRDefault="00801CD9" w:rsidP="00801CD9">
      <w:pPr>
        <w:jc w:val="left"/>
      </w:pPr>
    </w:p>
    <w:p w:rsidR="00801CD9" w:rsidRDefault="00801CD9" w:rsidP="00801CD9">
      <w:pPr>
        <w:jc w:val="left"/>
      </w:pPr>
    </w:p>
    <w:p w:rsidR="00801CD9" w:rsidRDefault="00801CD9" w:rsidP="00801CD9">
      <w:pPr>
        <w:pStyle w:val="Header"/>
        <w:tabs>
          <w:tab w:val="left" w:pos="720"/>
        </w:tabs>
        <w:jc w:val="left"/>
      </w:pPr>
    </w:p>
    <w:p w:rsidR="00801CD9" w:rsidRDefault="00801CD9" w:rsidP="00801CD9">
      <w:pPr>
        <w:jc w:val="left"/>
      </w:pPr>
    </w:p>
    <w:p w:rsidR="00801CD9" w:rsidRDefault="00801CD9" w:rsidP="00801CD9">
      <w:pPr>
        <w:jc w:val="left"/>
      </w:pPr>
      <w:bookmarkStart w:id="1" w:name="OLE_LINK4"/>
      <w:bookmarkStart w:id="2" w:name="OLE_LINK3"/>
      <w:r>
        <w:t>Encl</w:t>
      </w:r>
      <w:r>
        <w:tab/>
      </w:r>
      <w:r>
        <w:tab/>
      </w:r>
      <w:r>
        <w:tab/>
      </w:r>
      <w:r>
        <w:tab/>
      </w:r>
      <w:r>
        <w:tab/>
      </w:r>
      <w:r>
        <w:tab/>
        <w:t xml:space="preserve">     XXXXXXXXXXXXXXXXXXXX</w:t>
      </w:r>
    </w:p>
    <w:p w:rsidR="00801CD9" w:rsidRDefault="00801CD9" w:rsidP="00801CD9">
      <w:pPr>
        <w:jc w:val="left"/>
      </w:pPr>
      <w:r>
        <w:tab/>
      </w:r>
      <w:r>
        <w:tab/>
      </w:r>
      <w:r>
        <w:tab/>
      </w:r>
      <w:r>
        <w:tab/>
      </w:r>
      <w:r>
        <w:tab/>
      </w:r>
      <w:r>
        <w:tab/>
        <w:t xml:space="preserve">     Deputy Assistant Secretary</w:t>
      </w:r>
    </w:p>
    <w:p w:rsidR="00801CD9" w:rsidRDefault="00801CD9" w:rsidP="00801CD9">
      <w:pPr>
        <w:jc w:val="left"/>
      </w:pPr>
      <w:r>
        <w:tab/>
      </w:r>
      <w:r>
        <w:tab/>
      </w:r>
      <w:r>
        <w:tab/>
      </w:r>
      <w:r>
        <w:tab/>
      </w:r>
      <w:r>
        <w:tab/>
      </w:r>
      <w:r>
        <w:tab/>
        <w:t xml:space="preserve">         (Army Review Boards)</w:t>
      </w:r>
      <w:bookmarkEnd w:id="1"/>
      <w:bookmarkEnd w:id="2"/>
    </w:p>
    <w:p w:rsidR="00801CD9" w:rsidRDefault="00801CD9" w:rsidP="00801CD9">
      <w:pPr>
        <w:jc w:val="left"/>
      </w:pPr>
    </w:p>
    <w:p w:rsidR="00801CD9" w:rsidRDefault="00801CD9" w:rsidP="00801CD9">
      <w:pPr>
        <w:jc w:val="left"/>
      </w:pPr>
      <w:r>
        <w:t xml:space="preserve">CF: </w:t>
      </w:r>
    </w:p>
    <w:p w:rsidR="00801CD9" w:rsidRDefault="00801CD9" w:rsidP="00801CD9">
      <w:pPr>
        <w:jc w:val="left"/>
      </w:pPr>
      <w:r>
        <w:t xml:space="preserve">(  ) </w:t>
      </w:r>
      <w:proofErr w:type="spellStart"/>
      <w:proofErr w:type="gramStart"/>
      <w:r>
        <w:t>DoD</w:t>
      </w:r>
      <w:proofErr w:type="spellEnd"/>
      <w:proofErr w:type="gramEnd"/>
      <w:r>
        <w:t xml:space="preserve"> PDBR</w:t>
      </w:r>
    </w:p>
    <w:p w:rsidR="00801CD9" w:rsidRDefault="00801CD9" w:rsidP="00801CD9">
      <w:pPr>
        <w:jc w:val="left"/>
      </w:pPr>
      <w:r>
        <w:t>(  ) DVA</w:t>
      </w:r>
    </w:p>
    <w:p w:rsidR="00801CD9" w:rsidRDefault="00801CD9" w:rsidP="00801CD9">
      <w:pPr>
        <w:jc w:val="left"/>
      </w:pPr>
    </w:p>
    <w:p w:rsidR="00DF3B06" w:rsidRDefault="00DF3B06" w:rsidP="00801CD9">
      <w:pPr>
        <w:tabs>
          <w:tab w:val="left" w:pos="0"/>
          <w:tab w:val="left" w:pos="4320"/>
        </w:tabs>
        <w:jc w:val="left"/>
        <w:rPr>
          <w:color w:val="auto"/>
        </w:rPr>
      </w:pP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63" w:rsidRDefault="00581363">
      <w:r>
        <w:separator/>
      </w:r>
    </w:p>
  </w:endnote>
  <w:endnote w:type="continuationSeparator" w:id="0">
    <w:p w:rsidR="00581363" w:rsidRDefault="00581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01D" w:rsidRPr="00374247" w:rsidRDefault="000C501D" w:rsidP="00726F84">
    <w:pPr>
      <w:pStyle w:val="Footer"/>
      <w:ind w:firstLine="4320"/>
      <w:rPr>
        <w:color w:val="auto"/>
      </w:rPr>
    </w:pPr>
    <w:r w:rsidRPr="00374247">
      <w:rPr>
        <w:color w:val="auto"/>
      </w:rPr>
      <w:t xml:space="preserve">   </w:t>
    </w:r>
    <w:r w:rsidR="00A01B73" w:rsidRPr="00A01B73">
      <w:fldChar w:fldCharType="begin"/>
    </w:r>
    <w:r w:rsidR="00581363">
      <w:instrText xml:space="preserve"> PAGE   \* MERGEFORMAT </w:instrText>
    </w:r>
    <w:r w:rsidR="00A01B73" w:rsidRPr="00A01B73">
      <w:fldChar w:fldCharType="separate"/>
    </w:r>
    <w:r w:rsidR="00801CD9" w:rsidRPr="00801CD9">
      <w:rPr>
        <w:noProof/>
        <w:color w:val="auto"/>
      </w:rPr>
      <w:t>5</w:t>
    </w:r>
    <w:r w:rsidR="00A01B73">
      <w:rPr>
        <w:noProof/>
        <w:color w:val="auto"/>
      </w:rPr>
      <w:fldChar w:fldCharType="end"/>
    </w:r>
    <w:r w:rsidRPr="00374247">
      <w:rPr>
        <w:color w:val="auto"/>
      </w:rPr>
      <w:t xml:space="preserve">                                                           </w:t>
    </w:r>
    <w:r w:rsidR="008C4860">
      <w:rPr>
        <w:color w:val="auto"/>
      </w:rPr>
      <w:t>PD11</w:t>
    </w:r>
    <w:r w:rsidRPr="000C501D">
      <w:rPr>
        <w:color w:val="auto"/>
      </w:rPr>
      <w:t>00825</w:t>
    </w:r>
  </w:p>
  <w:p w:rsidR="000C501D" w:rsidRPr="00684CE6" w:rsidRDefault="000C501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63" w:rsidRDefault="00581363">
      <w:r>
        <w:separator/>
      </w:r>
    </w:p>
  </w:footnote>
  <w:footnote w:type="continuationSeparator" w:id="0">
    <w:p w:rsidR="00581363" w:rsidRDefault="00581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2F48"/>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BAB"/>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01D"/>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451"/>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3C15"/>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487C"/>
    <w:rsid w:val="001A5320"/>
    <w:rsid w:val="001A5E62"/>
    <w:rsid w:val="001A6848"/>
    <w:rsid w:val="001A6A9B"/>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327"/>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1501"/>
    <w:rsid w:val="00202325"/>
    <w:rsid w:val="00202736"/>
    <w:rsid w:val="00203652"/>
    <w:rsid w:val="00204562"/>
    <w:rsid w:val="00205B4F"/>
    <w:rsid w:val="002060B6"/>
    <w:rsid w:val="002066B5"/>
    <w:rsid w:val="00210EAC"/>
    <w:rsid w:val="00211612"/>
    <w:rsid w:val="002119B6"/>
    <w:rsid w:val="00211C60"/>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A85"/>
    <w:rsid w:val="00274E46"/>
    <w:rsid w:val="002752AE"/>
    <w:rsid w:val="00275AFD"/>
    <w:rsid w:val="002769AF"/>
    <w:rsid w:val="00276C86"/>
    <w:rsid w:val="00276FD0"/>
    <w:rsid w:val="00277217"/>
    <w:rsid w:val="00280090"/>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4E22"/>
    <w:rsid w:val="002B6FA0"/>
    <w:rsid w:val="002B7710"/>
    <w:rsid w:val="002C0910"/>
    <w:rsid w:val="002C0DEA"/>
    <w:rsid w:val="002C289C"/>
    <w:rsid w:val="002C34F6"/>
    <w:rsid w:val="002C3B6D"/>
    <w:rsid w:val="002C3F59"/>
    <w:rsid w:val="002C5D9D"/>
    <w:rsid w:val="002C5F10"/>
    <w:rsid w:val="002C6E5B"/>
    <w:rsid w:val="002D08F3"/>
    <w:rsid w:val="002D0E46"/>
    <w:rsid w:val="002D18B4"/>
    <w:rsid w:val="002D2058"/>
    <w:rsid w:val="002D231A"/>
    <w:rsid w:val="002D5330"/>
    <w:rsid w:val="002D5F57"/>
    <w:rsid w:val="002D6DB2"/>
    <w:rsid w:val="002D73D4"/>
    <w:rsid w:val="002D7787"/>
    <w:rsid w:val="002E058C"/>
    <w:rsid w:val="002E0E47"/>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04"/>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6CF"/>
    <w:rsid w:val="003A4FA3"/>
    <w:rsid w:val="003A5491"/>
    <w:rsid w:val="003A5958"/>
    <w:rsid w:val="003A6A99"/>
    <w:rsid w:val="003A6E60"/>
    <w:rsid w:val="003A74F6"/>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519"/>
    <w:rsid w:val="003D0CA3"/>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991"/>
    <w:rsid w:val="003F2EEE"/>
    <w:rsid w:val="003F3AC1"/>
    <w:rsid w:val="003F44FD"/>
    <w:rsid w:val="003F58B0"/>
    <w:rsid w:val="003F776F"/>
    <w:rsid w:val="004007E9"/>
    <w:rsid w:val="00400810"/>
    <w:rsid w:val="00400959"/>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CD"/>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77F"/>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29BB"/>
    <w:rsid w:val="00493209"/>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C7C0B"/>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4A83"/>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4EE"/>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46B"/>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3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5C50"/>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49B"/>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42DF"/>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5BA"/>
    <w:rsid w:val="00626902"/>
    <w:rsid w:val="00626A0F"/>
    <w:rsid w:val="006274B4"/>
    <w:rsid w:val="006307BA"/>
    <w:rsid w:val="006315BA"/>
    <w:rsid w:val="006315CB"/>
    <w:rsid w:val="00634C4A"/>
    <w:rsid w:val="0063532E"/>
    <w:rsid w:val="0063579F"/>
    <w:rsid w:val="00635BFB"/>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5763A"/>
    <w:rsid w:val="00661BA2"/>
    <w:rsid w:val="006628CB"/>
    <w:rsid w:val="00662AD0"/>
    <w:rsid w:val="00662F08"/>
    <w:rsid w:val="00663589"/>
    <w:rsid w:val="00664296"/>
    <w:rsid w:val="00664427"/>
    <w:rsid w:val="00664840"/>
    <w:rsid w:val="006649CD"/>
    <w:rsid w:val="00664F7C"/>
    <w:rsid w:val="00665D75"/>
    <w:rsid w:val="0066684A"/>
    <w:rsid w:val="00666CDE"/>
    <w:rsid w:val="006708E3"/>
    <w:rsid w:val="00670DDC"/>
    <w:rsid w:val="00671389"/>
    <w:rsid w:val="00671EB4"/>
    <w:rsid w:val="00673CDC"/>
    <w:rsid w:val="006742A8"/>
    <w:rsid w:val="0067443B"/>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2EFC"/>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1B82"/>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6B57"/>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02B"/>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940"/>
    <w:rsid w:val="0080064F"/>
    <w:rsid w:val="00801B85"/>
    <w:rsid w:val="00801CD9"/>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B68"/>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D6D"/>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86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4A2"/>
    <w:rsid w:val="009F491F"/>
    <w:rsid w:val="009F6292"/>
    <w:rsid w:val="009F6EC5"/>
    <w:rsid w:val="009F7809"/>
    <w:rsid w:val="009F7822"/>
    <w:rsid w:val="009F7AF5"/>
    <w:rsid w:val="00A00613"/>
    <w:rsid w:val="00A006F1"/>
    <w:rsid w:val="00A007A7"/>
    <w:rsid w:val="00A00D14"/>
    <w:rsid w:val="00A01408"/>
    <w:rsid w:val="00A01B73"/>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4C1F"/>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5F"/>
    <w:rsid w:val="00B06930"/>
    <w:rsid w:val="00B076B6"/>
    <w:rsid w:val="00B0773A"/>
    <w:rsid w:val="00B07955"/>
    <w:rsid w:val="00B1176B"/>
    <w:rsid w:val="00B11858"/>
    <w:rsid w:val="00B13A51"/>
    <w:rsid w:val="00B140B8"/>
    <w:rsid w:val="00B14FAA"/>
    <w:rsid w:val="00B15947"/>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6AF"/>
    <w:rsid w:val="00BB1F04"/>
    <w:rsid w:val="00BB2B33"/>
    <w:rsid w:val="00BB45B5"/>
    <w:rsid w:val="00BB4DDE"/>
    <w:rsid w:val="00BB6064"/>
    <w:rsid w:val="00BB65CE"/>
    <w:rsid w:val="00BB7012"/>
    <w:rsid w:val="00BC08E4"/>
    <w:rsid w:val="00BC09D1"/>
    <w:rsid w:val="00BC1C6A"/>
    <w:rsid w:val="00BC1CF3"/>
    <w:rsid w:val="00BC2BE0"/>
    <w:rsid w:val="00BC3573"/>
    <w:rsid w:val="00BC5860"/>
    <w:rsid w:val="00BC60A5"/>
    <w:rsid w:val="00BC7F82"/>
    <w:rsid w:val="00BD1844"/>
    <w:rsid w:val="00BD2A49"/>
    <w:rsid w:val="00BD3683"/>
    <w:rsid w:val="00BD40AB"/>
    <w:rsid w:val="00BD40DE"/>
    <w:rsid w:val="00BD5825"/>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C45"/>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27AEB"/>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5EC4"/>
    <w:rsid w:val="00C4652E"/>
    <w:rsid w:val="00C472C7"/>
    <w:rsid w:val="00C5019E"/>
    <w:rsid w:val="00C50C8C"/>
    <w:rsid w:val="00C51962"/>
    <w:rsid w:val="00C5377C"/>
    <w:rsid w:val="00C53E8A"/>
    <w:rsid w:val="00C54DF3"/>
    <w:rsid w:val="00C560A7"/>
    <w:rsid w:val="00C566C9"/>
    <w:rsid w:val="00C56FC8"/>
    <w:rsid w:val="00C60F23"/>
    <w:rsid w:val="00C6168A"/>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91F"/>
    <w:rsid w:val="00CB3F63"/>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A7FCD"/>
    <w:rsid w:val="00DB0015"/>
    <w:rsid w:val="00DB0359"/>
    <w:rsid w:val="00DB0ABB"/>
    <w:rsid w:val="00DB0C6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4E60"/>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6D84"/>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49AF"/>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796"/>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77D52"/>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0DB"/>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C6168A"/>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278541">
      <w:bodyDiv w:val="1"/>
      <w:marLeft w:val="0"/>
      <w:marRight w:val="0"/>
      <w:marTop w:val="0"/>
      <w:marBottom w:val="0"/>
      <w:divBdr>
        <w:top w:val="none" w:sz="0" w:space="0" w:color="auto"/>
        <w:left w:val="none" w:sz="0" w:space="0" w:color="auto"/>
        <w:bottom w:val="none" w:sz="0" w:space="0" w:color="auto"/>
        <w:right w:val="none" w:sz="0" w:space="0" w:color="auto"/>
      </w:divBdr>
      <w:divsChild>
        <w:div w:id="44376761">
          <w:marLeft w:val="0"/>
          <w:marRight w:val="0"/>
          <w:marTop w:val="100"/>
          <w:marBottom w:val="100"/>
          <w:divBdr>
            <w:top w:val="none" w:sz="0" w:space="0" w:color="auto"/>
            <w:left w:val="none" w:sz="0" w:space="0" w:color="auto"/>
            <w:bottom w:val="none" w:sz="0" w:space="0" w:color="auto"/>
            <w:right w:val="none" w:sz="0" w:space="0" w:color="auto"/>
          </w:divBdr>
          <w:divsChild>
            <w:div w:id="1047990446">
              <w:marLeft w:val="0"/>
              <w:marRight w:val="69"/>
              <w:marTop w:val="0"/>
              <w:marBottom w:val="0"/>
              <w:divBdr>
                <w:top w:val="none" w:sz="0" w:space="0" w:color="auto"/>
                <w:left w:val="none" w:sz="0" w:space="0" w:color="auto"/>
                <w:bottom w:val="none" w:sz="0" w:space="0" w:color="auto"/>
                <w:right w:val="none" w:sz="0" w:space="0" w:color="auto"/>
              </w:divBdr>
              <w:divsChild>
                <w:div w:id="2024167919">
                  <w:marLeft w:val="0"/>
                  <w:marRight w:val="0"/>
                  <w:marTop w:val="0"/>
                  <w:marBottom w:val="0"/>
                  <w:divBdr>
                    <w:top w:val="none" w:sz="0" w:space="0" w:color="auto"/>
                    <w:left w:val="none" w:sz="0" w:space="0" w:color="auto"/>
                    <w:bottom w:val="none" w:sz="0" w:space="0" w:color="auto"/>
                    <w:right w:val="none" w:sz="0" w:space="0" w:color="auto"/>
                  </w:divBdr>
                  <w:divsChild>
                    <w:div w:id="7994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5615">
      <w:bodyDiv w:val="1"/>
      <w:marLeft w:val="0"/>
      <w:marRight w:val="0"/>
      <w:marTop w:val="0"/>
      <w:marBottom w:val="0"/>
      <w:divBdr>
        <w:top w:val="none" w:sz="0" w:space="0" w:color="auto"/>
        <w:left w:val="none" w:sz="0" w:space="0" w:color="auto"/>
        <w:bottom w:val="none" w:sz="0" w:space="0" w:color="auto"/>
        <w:right w:val="none" w:sz="0" w:space="0" w:color="auto"/>
      </w:divBdr>
      <w:divsChild>
        <w:div w:id="1418165685">
          <w:marLeft w:val="0"/>
          <w:marRight w:val="0"/>
          <w:marTop w:val="100"/>
          <w:marBottom w:val="100"/>
          <w:divBdr>
            <w:top w:val="none" w:sz="0" w:space="0" w:color="auto"/>
            <w:left w:val="none" w:sz="0" w:space="0" w:color="auto"/>
            <w:bottom w:val="none" w:sz="0" w:space="0" w:color="auto"/>
            <w:right w:val="none" w:sz="0" w:space="0" w:color="auto"/>
          </w:divBdr>
          <w:divsChild>
            <w:div w:id="872620734">
              <w:marLeft w:val="0"/>
              <w:marRight w:val="69"/>
              <w:marTop w:val="0"/>
              <w:marBottom w:val="0"/>
              <w:divBdr>
                <w:top w:val="none" w:sz="0" w:space="0" w:color="auto"/>
                <w:left w:val="none" w:sz="0" w:space="0" w:color="auto"/>
                <w:bottom w:val="none" w:sz="0" w:space="0" w:color="auto"/>
                <w:right w:val="none" w:sz="0" w:space="0" w:color="auto"/>
              </w:divBdr>
              <w:divsChild>
                <w:div w:id="577599297">
                  <w:marLeft w:val="0"/>
                  <w:marRight w:val="0"/>
                  <w:marTop w:val="0"/>
                  <w:marBottom w:val="0"/>
                  <w:divBdr>
                    <w:top w:val="none" w:sz="0" w:space="0" w:color="auto"/>
                    <w:left w:val="none" w:sz="0" w:space="0" w:color="auto"/>
                    <w:bottom w:val="none" w:sz="0" w:space="0" w:color="auto"/>
                    <w:right w:val="none" w:sz="0" w:space="0" w:color="auto"/>
                  </w:divBdr>
                  <w:divsChild>
                    <w:div w:id="3135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87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2012-08-08T13:47:00Z</cp:lastPrinted>
  <dcterms:created xsi:type="dcterms:W3CDTF">2012-09-05T19:20:00Z</dcterms:created>
  <dcterms:modified xsi:type="dcterms:W3CDTF">2012-09-05T19:20:00Z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