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162986">
      <w:pPr>
        <w:tabs>
          <w:tab w:val="right" w:pos="9360"/>
        </w:tabs>
        <w:jc w:val="both"/>
        <w:rPr>
          <w:caps/>
          <w:color w:val="000000" w:themeColor="text1"/>
        </w:rPr>
      </w:pPr>
      <w:r w:rsidRPr="001F29F9">
        <w:rPr>
          <w:caps/>
          <w:color w:val="000000" w:themeColor="text1"/>
        </w:rPr>
        <w:t>NAME</w:t>
      </w:r>
      <w:r w:rsidR="003D2C90">
        <w:rPr>
          <w:caps/>
          <w:color w:val="000000" w:themeColor="text1"/>
        </w:rPr>
        <w:t>:</w:t>
      </w:r>
      <w:r w:rsidR="003D2C90" w:rsidRPr="003D2C90">
        <w:rPr>
          <w:caps/>
          <w:color w:val="000000" w:themeColor="text1"/>
        </w:rPr>
        <w:t xml:space="preserve"> </w:t>
      </w:r>
      <w:r w:rsidR="00720E57">
        <w:rPr>
          <w:caps/>
          <w:color w:val="000000" w:themeColor="text1"/>
        </w:rPr>
        <w:t>XXXXXXXXXXXX</w:t>
      </w:r>
      <w:r w:rsidRPr="001F29F9">
        <w:rPr>
          <w:caps/>
          <w:color w:val="000000" w:themeColor="text1"/>
        </w:rPr>
        <w:t xml:space="preserve">               </w:t>
      </w:r>
      <w:r>
        <w:rPr>
          <w:caps/>
          <w:color w:val="000000" w:themeColor="text1"/>
        </w:rPr>
        <w:tab/>
        <w:t xml:space="preserve">                             </w:t>
      </w:r>
      <w:r w:rsidRPr="001F29F9">
        <w:rPr>
          <w:caps/>
          <w:color w:val="000000" w:themeColor="text1"/>
        </w:rPr>
        <w:t xml:space="preserve">BRANCH OF </w:t>
      </w:r>
      <w:r w:rsidRPr="003D2C90">
        <w:rPr>
          <w:caps/>
          <w:color w:val="000000" w:themeColor="text1"/>
        </w:rPr>
        <w:t>SERVICE:  Army</w:t>
      </w:r>
    </w:p>
    <w:p w:rsidR="0095270D" w:rsidRDefault="0095270D" w:rsidP="00162986">
      <w:pPr>
        <w:tabs>
          <w:tab w:val="left" w:pos="5130"/>
          <w:tab w:val="right" w:pos="9360"/>
        </w:tabs>
        <w:jc w:val="both"/>
        <w:rPr>
          <w:color w:val="000000" w:themeColor="text1"/>
        </w:rPr>
      </w:pPr>
      <w:r w:rsidRPr="001F29F9">
        <w:rPr>
          <w:caps/>
          <w:color w:val="000000" w:themeColor="text1"/>
        </w:rPr>
        <w:t xml:space="preserve">CASE NUMBER:  </w:t>
      </w:r>
      <w:r w:rsidR="003D2C90" w:rsidRPr="001F29F9">
        <w:rPr>
          <w:caps/>
          <w:color w:val="000000" w:themeColor="text1"/>
        </w:rPr>
        <w:t>PD11</w:t>
      </w:r>
      <w:r w:rsidR="003D2C90">
        <w:rPr>
          <w:caps/>
          <w:color w:val="000000" w:themeColor="text1"/>
        </w:rPr>
        <w:t>00801</w:t>
      </w:r>
      <w:r>
        <w:rPr>
          <w:color w:val="000000" w:themeColor="text1"/>
        </w:rPr>
        <w:tab/>
      </w:r>
      <w:r>
        <w:rPr>
          <w:color w:val="000000" w:themeColor="text1"/>
        </w:rPr>
        <w:tab/>
        <w:t xml:space="preserve">          </w:t>
      </w:r>
      <w:r w:rsidRPr="001F29F9">
        <w:rPr>
          <w:color w:val="000000" w:themeColor="text1"/>
        </w:rPr>
        <w:t xml:space="preserve"> SEPARATION DATE:  </w:t>
      </w:r>
      <w:r w:rsidR="003D2C90" w:rsidRPr="001F29F9">
        <w:rPr>
          <w:color w:val="000000" w:themeColor="text1"/>
        </w:rPr>
        <w:t>200</w:t>
      </w:r>
      <w:r w:rsidR="003D2C90">
        <w:rPr>
          <w:color w:val="000000" w:themeColor="text1"/>
        </w:rPr>
        <w:t>40916</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A703BF">
        <w:rPr>
          <w:caps/>
          <w:color w:val="000000"/>
        </w:rPr>
        <w:t>0525</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94F76" w:rsidRPr="00744954" w:rsidRDefault="00AD2379" w:rsidP="00744954">
      <w:pPr>
        <w:tabs>
          <w:tab w:val="left" w:pos="288"/>
          <w:tab w:val="left" w:pos="4752"/>
        </w:tabs>
        <w:jc w:val="both"/>
        <w:rPr>
          <w:color w:val="000000"/>
        </w:rPr>
      </w:pPr>
      <w:r w:rsidRPr="001F29F9">
        <w:rPr>
          <w:color w:val="000000"/>
          <w:u w:val="single"/>
        </w:rPr>
        <w:t>SUMMARY OF CASE</w:t>
      </w:r>
      <w:r w:rsidRPr="001F29F9">
        <w:rPr>
          <w:color w:val="000000"/>
        </w:rPr>
        <w:t xml:space="preserve">: </w:t>
      </w:r>
      <w:r w:rsidR="00FA51A9">
        <w:rPr>
          <w:color w:val="000000"/>
        </w:rPr>
        <w:t xml:space="preserve"> </w:t>
      </w:r>
      <w:r w:rsidRPr="001F29F9">
        <w:rPr>
          <w:color w:val="000000"/>
        </w:rPr>
        <w:t xml:space="preserve">Data extracted from the available evidence of record reflects that this covered individual (CI) was </w:t>
      </w:r>
      <w:r w:rsidR="00A70270">
        <w:rPr>
          <w:color w:val="000000"/>
        </w:rPr>
        <w:t xml:space="preserve">an active duty </w:t>
      </w:r>
      <w:r w:rsidR="00744954">
        <w:rPr>
          <w:color w:val="000000" w:themeColor="text1"/>
          <w:szCs w:val="24"/>
        </w:rPr>
        <w:t>SSG</w:t>
      </w:r>
      <w:r w:rsidR="00744954" w:rsidRPr="001F29F9">
        <w:rPr>
          <w:color w:val="000000" w:themeColor="text1"/>
          <w:szCs w:val="24"/>
        </w:rPr>
        <w:t>/E-</w:t>
      </w:r>
      <w:r w:rsidR="00744954">
        <w:rPr>
          <w:color w:val="000000" w:themeColor="text1"/>
          <w:szCs w:val="24"/>
        </w:rPr>
        <w:t>6</w:t>
      </w:r>
      <w:r w:rsidR="00744954" w:rsidRPr="001F29F9">
        <w:rPr>
          <w:color w:val="000000" w:themeColor="text1"/>
          <w:szCs w:val="24"/>
        </w:rPr>
        <w:t xml:space="preserve"> (</w:t>
      </w:r>
      <w:r w:rsidR="00744954">
        <w:rPr>
          <w:color w:val="000000" w:themeColor="text1"/>
          <w:szCs w:val="24"/>
        </w:rPr>
        <w:t>91W, Health Care Specialist</w:t>
      </w:r>
      <w:r w:rsidR="00744954" w:rsidRPr="001F29F9">
        <w:rPr>
          <w:color w:val="000000" w:themeColor="text1"/>
          <w:szCs w:val="24"/>
        </w:rPr>
        <w:t>)</w:t>
      </w:r>
      <w:r w:rsidR="00A70270">
        <w:rPr>
          <w:color w:val="000000"/>
        </w:rPr>
        <w:t xml:space="preserve"> </w:t>
      </w:r>
      <w:r w:rsidRPr="001F29F9">
        <w:rPr>
          <w:color w:val="000000"/>
        </w:rPr>
        <w:t xml:space="preserve">medically separated for </w:t>
      </w:r>
      <w:r w:rsidR="00261B7E">
        <w:rPr>
          <w:color w:val="000000"/>
        </w:rPr>
        <w:t xml:space="preserve">a </w:t>
      </w:r>
      <w:r w:rsidR="00744954">
        <w:rPr>
          <w:color w:val="000000"/>
        </w:rPr>
        <w:t>cervical spine</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375D5A">
        <w:rPr>
          <w:color w:val="000000"/>
        </w:rPr>
        <w:t xml:space="preserve">The CI experienced on onset of neck pain in 1994, which progressed </w:t>
      </w:r>
      <w:r w:rsidR="001A5343">
        <w:rPr>
          <w:color w:val="000000"/>
        </w:rPr>
        <w:t>over time</w:t>
      </w:r>
      <w:r w:rsidR="00375D5A">
        <w:rPr>
          <w:color w:val="000000"/>
        </w:rPr>
        <w:t>.  In 2003 she was diagnosed with cervical disc disease</w:t>
      </w:r>
      <w:r w:rsidR="00061533">
        <w:rPr>
          <w:color w:val="000000"/>
        </w:rPr>
        <w:t>,</w:t>
      </w:r>
      <w:r w:rsidR="00375D5A">
        <w:rPr>
          <w:color w:val="000000"/>
        </w:rPr>
        <w:t xml:space="preserve"> electing conservative management over a surgical option.  The condition, however,</w:t>
      </w:r>
      <w:r w:rsidR="00F566B7" w:rsidRPr="00F566B7">
        <w:rPr>
          <w:color w:val="000000"/>
        </w:rPr>
        <w:t xml:space="preserve"> could not be adequately rehabilitated to meet the physical requirements of </w:t>
      </w:r>
      <w:r w:rsidR="00A703BF">
        <w:rPr>
          <w:color w:val="000000"/>
        </w:rPr>
        <w:t>her</w:t>
      </w:r>
      <w:r w:rsidR="00F566B7" w:rsidRPr="00F566B7">
        <w:rPr>
          <w:color w:val="000000"/>
        </w:rPr>
        <w:t xml:space="preserve"> Military </w:t>
      </w:r>
      <w:r w:rsidR="00F566B7" w:rsidRPr="00375D5A">
        <w:rPr>
          <w:color w:val="000000"/>
        </w:rPr>
        <w:t>Occupational Specialty (MOS) or satis</w:t>
      </w:r>
      <w:r w:rsidR="009C12A1" w:rsidRPr="00375D5A">
        <w:rPr>
          <w:color w:val="000000"/>
        </w:rPr>
        <w:t>fy physical fitness standards.</w:t>
      </w:r>
      <w:r w:rsidR="00F566B7" w:rsidRPr="00375D5A">
        <w:rPr>
          <w:color w:val="000000"/>
        </w:rPr>
        <w:t xml:space="preserve"> </w:t>
      </w:r>
      <w:r w:rsidR="00744954" w:rsidRPr="00375D5A">
        <w:rPr>
          <w:color w:val="000000"/>
        </w:rPr>
        <w:t xml:space="preserve"> Sh</w:t>
      </w:r>
      <w:r w:rsidR="009C12A1" w:rsidRPr="00375D5A">
        <w:rPr>
          <w:color w:val="000000"/>
        </w:rPr>
        <w:t xml:space="preserve">e </w:t>
      </w:r>
      <w:r w:rsidR="00F566B7" w:rsidRPr="00375D5A">
        <w:rPr>
          <w:color w:val="000000"/>
        </w:rPr>
        <w:t xml:space="preserve">was </w:t>
      </w:r>
      <w:r w:rsidR="00271871" w:rsidRPr="00375D5A">
        <w:rPr>
          <w:color w:val="000000"/>
        </w:rPr>
        <w:t>consequently</w:t>
      </w:r>
      <w:r w:rsidR="009C12A1" w:rsidRPr="00375D5A">
        <w:rPr>
          <w:color w:val="000000"/>
        </w:rPr>
        <w:t xml:space="preserve"> </w:t>
      </w:r>
      <w:r w:rsidR="00F566B7" w:rsidRPr="00375D5A">
        <w:rPr>
          <w:color w:val="000000"/>
        </w:rPr>
        <w:t xml:space="preserve">issued a permanent </w:t>
      </w:r>
      <w:r w:rsidR="00744954" w:rsidRPr="00375D5A">
        <w:rPr>
          <w:color w:val="000000"/>
        </w:rPr>
        <w:t>U</w:t>
      </w:r>
      <w:r w:rsidR="00F566B7" w:rsidRPr="00375D5A">
        <w:rPr>
          <w:color w:val="000000"/>
        </w:rPr>
        <w:t>3 profile and</w:t>
      </w:r>
      <w:r w:rsidR="009C12A1" w:rsidRPr="00375D5A">
        <w:rPr>
          <w:color w:val="000000"/>
        </w:rPr>
        <w:t xml:space="preserve"> </w:t>
      </w:r>
      <w:r w:rsidR="00F566B7" w:rsidRPr="00375D5A">
        <w:rPr>
          <w:color w:val="000000"/>
        </w:rPr>
        <w:t xml:space="preserve">referred for a Medical Evaluation Board (MEB).  The </w:t>
      </w:r>
      <w:r w:rsidR="00744954" w:rsidRPr="00375D5A">
        <w:rPr>
          <w:color w:val="000000"/>
        </w:rPr>
        <w:t xml:space="preserve">cervical spine </w:t>
      </w:r>
      <w:r w:rsidR="00F566B7" w:rsidRPr="00375D5A">
        <w:rPr>
          <w:color w:val="000000"/>
        </w:rPr>
        <w:t>condition</w:t>
      </w:r>
      <w:r w:rsidR="00744954" w:rsidRPr="00375D5A">
        <w:rPr>
          <w:color w:val="000000"/>
        </w:rPr>
        <w:t xml:space="preserve"> </w:t>
      </w:r>
      <w:r w:rsidR="00F566B7" w:rsidRPr="00375D5A">
        <w:rPr>
          <w:color w:val="000000"/>
        </w:rPr>
        <w:t xml:space="preserve">was forwarded to the Physical Evaluation Board (PEB) as medically unacceptable IAW AR 40-501.  </w:t>
      </w:r>
      <w:r w:rsidR="00744954" w:rsidRPr="00375D5A">
        <w:rPr>
          <w:color w:val="000000"/>
        </w:rPr>
        <w:t xml:space="preserve">Three </w:t>
      </w:r>
      <w:r w:rsidR="00B144AE" w:rsidRPr="00375D5A">
        <w:rPr>
          <w:color w:val="000000"/>
        </w:rPr>
        <w:t>other conditions (as identified in the rating chart below) were addressed by the MEB, and forwarded as meeting retention standards.</w:t>
      </w:r>
      <w:r w:rsidR="00380601" w:rsidRPr="00375D5A">
        <w:rPr>
          <w:color w:val="000000"/>
        </w:rPr>
        <w:t xml:space="preserve">  </w:t>
      </w:r>
      <w:r w:rsidRPr="00375D5A">
        <w:rPr>
          <w:color w:val="000000"/>
        </w:rPr>
        <w:t xml:space="preserve">The PEB adjudicated the </w:t>
      </w:r>
      <w:r w:rsidR="00375D5A" w:rsidRPr="00375D5A">
        <w:rPr>
          <w:color w:val="000000"/>
        </w:rPr>
        <w:t xml:space="preserve">cervical spine </w:t>
      </w:r>
      <w:r w:rsidR="008530E3" w:rsidRPr="00375D5A">
        <w:rPr>
          <w:color w:val="000000"/>
        </w:rPr>
        <w:t xml:space="preserve">condition as unfitting, rated </w:t>
      </w:r>
      <w:r w:rsidR="00375D5A" w:rsidRPr="00375D5A">
        <w:rPr>
          <w:color w:val="000000"/>
        </w:rPr>
        <w:t>1</w:t>
      </w:r>
      <w:r w:rsidRPr="00375D5A">
        <w:rPr>
          <w:color w:val="000000"/>
        </w:rPr>
        <w:t xml:space="preserve">0%, </w:t>
      </w:r>
      <w:r w:rsidR="00261B7E" w:rsidRPr="00375D5A">
        <w:rPr>
          <w:color w:val="000000"/>
        </w:rPr>
        <w:t>citing criteria of</w:t>
      </w:r>
      <w:r w:rsidRPr="00375D5A">
        <w:rPr>
          <w:color w:val="000000"/>
        </w:rPr>
        <w:t xml:space="preserve"> the Veterans</w:t>
      </w:r>
      <w:r w:rsidR="00162986">
        <w:rPr>
          <w:color w:val="000000"/>
        </w:rPr>
        <w:t>’</w:t>
      </w:r>
      <w:r w:rsidRPr="00375D5A">
        <w:rPr>
          <w:color w:val="000000"/>
        </w:rPr>
        <w:t xml:space="preserve"> Administration Schedule for Rating Disabilities (VASRD). </w:t>
      </w:r>
      <w:r w:rsidR="00261B7E" w:rsidRPr="00375D5A">
        <w:rPr>
          <w:color w:val="000000"/>
        </w:rPr>
        <w:t xml:space="preserve"> </w:t>
      </w:r>
      <w:r w:rsidR="00380601" w:rsidRPr="00375D5A">
        <w:rPr>
          <w:color w:val="000000"/>
        </w:rPr>
        <w:t xml:space="preserve">The remaining conditions were determined to be not unfitting.  </w:t>
      </w:r>
      <w:r w:rsidRPr="00375D5A">
        <w:rPr>
          <w:color w:val="000000"/>
        </w:rPr>
        <w:t xml:space="preserve">The CI made no appeals, and was medically separated with </w:t>
      </w:r>
      <w:r w:rsidR="005D0C3A">
        <w:rPr>
          <w:color w:val="000000"/>
        </w:rPr>
        <w:t>a 10%</w:t>
      </w:r>
      <w:r w:rsidRPr="00375D5A">
        <w:rPr>
          <w:color w:val="000000"/>
        </w:rPr>
        <w:t xml:space="preserve"> disability rating.</w:t>
      </w:r>
      <w:r w:rsidR="00E438A4">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D16DBA">
      <w:pPr>
        <w:tabs>
          <w:tab w:val="left" w:pos="288"/>
          <w:tab w:val="left" w:pos="4752"/>
        </w:tabs>
        <w:jc w:val="both"/>
        <w:rPr>
          <w:color w:val="000000"/>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D16DBA" w:rsidRPr="00CB6824">
        <w:rPr>
          <w:color w:val="000000" w:themeColor="text1"/>
        </w:rPr>
        <w:t xml:space="preserve">I do not believe that my duties were hindered by my condition. </w:t>
      </w:r>
      <w:r w:rsidR="00D16DBA">
        <w:rPr>
          <w:color w:val="000000" w:themeColor="text1"/>
        </w:rPr>
        <w:t xml:space="preserve"> </w:t>
      </w:r>
      <w:r w:rsidR="00D16DBA" w:rsidRPr="00CB6824">
        <w:rPr>
          <w:color w:val="000000" w:themeColor="text1"/>
        </w:rPr>
        <w:t xml:space="preserve">If it did hinder my duties, </w:t>
      </w:r>
      <w:r w:rsidR="00D16DBA" w:rsidRPr="00D16DBA">
        <w:rPr>
          <w:color w:val="000000" w:themeColor="text1"/>
        </w:rPr>
        <w:t>then I should have been given an opportunity to reclassify to another MOS.</w:t>
      </w:r>
      <w:r w:rsidR="00773C45" w:rsidRPr="00D16DBA">
        <w:rPr>
          <w:color w:val="000000"/>
        </w:rPr>
        <w:t>”</w:t>
      </w:r>
      <w:r w:rsidR="004A2728" w:rsidRPr="00D16DBA">
        <w:rPr>
          <w:color w:val="000000"/>
        </w:rPr>
        <w:t xml:space="preserve"> </w:t>
      </w:r>
      <w:r w:rsidR="00D16DBA" w:rsidRPr="00D16DBA">
        <w:rPr>
          <w:rFonts w:eastAsiaTheme="minorHAnsi"/>
          <w:color w:val="000000" w:themeColor="text1"/>
          <w:szCs w:val="24"/>
        </w:rPr>
        <w:t>Sh</w:t>
      </w:r>
      <w:r w:rsidR="004A2728" w:rsidRPr="00D16DBA">
        <w:rPr>
          <w:rFonts w:eastAsiaTheme="minorHAnsi"/>
          <w:color w:val="000000" w:themeColor="text1"/>
          <w:szCs w:val="24"/>
        </w:rPr>
        <w:t xml:space="preserve">e </w:t>
      </w:r>
      <w:r w:rsidR="00D16DBA" w:rsidRPr="00D16DBA">
        <w:rPr>
          <w:rFonts w:eastAsiaTheme="minorHAnsi"/>
          <w:color w:val="000000" w:themeColor="text1"/>
          <w:szCs w:val="24"/>
        </w:rPr>
        <w:t>does not elaborate further or specify a request for Board consideration of any additional conditions.</w:t>
      </w:r>
    </w:p>
    <w:p w:rsidR="00191846" w:rsidRPr="001F29F9" w:rsidRDefault="00191846" w:rsidP="00191846">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162986">
        <w:rPr>
          <w:color w:val="auto"/>
        </w:rPr>
        <w:t>.</w:t>
      </w:r>
      <w:r w:rsidRPr="00C566C9">
        <w:rPr>
          <w:color w:val="auto"/>
        </w:rPr>
        <w:t>”</w:t>
      </w:r>
      <w:r>
        <w:rPr>
          <w:color w:val="auto"/>
        </w:rPr>
        <w:t xml:space="preserve">  </w:t>
      </w:r>
      <w:r w:rsidR="00D16DBA" w:rsidRPr="00D16DBA">
        <w:rPr>
          <w:color w:val="auto"/>
        </w:rPr>
        <w:t>Since none of the conditions determined to be unfitting by the PEB are requested for review, only the rated cervical spine condition falls w</w:t>
      </w:r>
      <w:r w:rsidR="00D16DBA">
        <w:rPr>
          <w:color w:val="auto"/>
        </w:rPr>
        <w:t>ithin the Board’s purview.</w:t>
      </w:r>
      <w:r w:rsidR="00D16DBA" w:rsidRPr="00C566C9">
        <w:rPr>
          <w:color w:val="auto"/>
        </w:rPr>
        <w:t xml:space="preserve"> </w:t>
      </w:r>
      <w:r w:rsidR="00D16DBA">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D16DBA">
        <w:rPr>
          <w:color w:val="auto"/>
        </w:rPr>
        <w:t>the Army Board for the Correction of Military Records (</w:t>
      </w:r>
      <w:r w:rsidR="00D16DBA">
        <w:rPr>
          <w:color w:val="auto"/>
        </w:rPr>
        <w:t>A</w:t>
      </w:r>
      <w:r w:rsidRPr="00D16DBA">
        <w:rPr>
          <w:color w:val="auto"/>
        </w:rPr>
        <w:t>BCMR)</w:t>
      </w:r>
      <w:r w:rsidR="00D16DBA">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718"/>
        <w:gridCol w:w="630"/>
        <w:gridCol w:w="810"/>
        <w:gridCol w:w="2430"/>
        <w:gridCol w:w="1080"/>
        <w:gridCol w:w="720"/>
        <w:gridCol w:w="960"/>
      </w:tblGrid>
      <w:tr w:rsidR="00926C0A" w:rsidRPr="000D5DBE" w:rsidTr="0028112E">
        <w:trPr>
          <w:trHeight w:val="170"/>
        </w:trPr>
        <w:tc>
          <w:tcPr>
            <w:tcW w:w="4158" w:type="dxa"/>
            <w:gridSpan w:val="3"/>
            <w:tcBorders>
              <w:right w:val="thinThickThinSmallGap" w:sz="24" w:space="0" w:color="auto"/>
            </w:tcBorders>
            <w:shd w:val="clear" w:color="auto" w:fill="D9D9D9"/>
            <w:vAlign w:val="center"/>
          </w:tcPr>
          <w:p w:rsidR="00926C0A" w:rsidRPr="00947728" w:rsidRDefault="0028112E" w:rsidP="00375D5A">
            <w:pPr>
              <w:spacing w:line="220" w:lineRule="exact"/>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Pr="001F29F9">
              <w:rPr>
                <w:rFonts w:cs="Calibri"/>
                <w:b/>
                <w:color w:val="000000" w:themeColor="text1"/>
                <w:sz w:val="18"/>
                <w:szCs w:val="18"/>
              </w:rPr>
              <w:t>200</w:t>
            </w:r>
            <w:r>
              <w:rPr>
                <w:rFonts w:cs="Calibri"/>
                <w:b/>
                <w:color w:val="000000" w:themeColor="text1"/>
                <w:sz w:val="18"/>
                <w:szCs w:val="18"/>
              </w:rPr>
              <w:t>40527</w:t>
            </w:r>
          </w:p>
        </w:tc>
        <w:tc>
          <w:tcPr>
            <w:tcW w:w="5190" w:type="dxa"/>
            <w:gridSpan w:val="4"/>
            <w:tcBorders>
              <w:left w:val="thinThickThinSmallGap" w:sz="24" w:space="0" w:color="auto"/>
            </w:tcBorders>
            <w:shd w:val="clear" w:color="auto" w:fill="D9D9D9"/>
            <w:vAlign w:val="center"/>
          </w:tcPr>
          <w:p w:rsidR="00926C0A" w:rsidRPr="00947728" w:rsidRDefault="0028112E" w:rsidP="00375D5A">
            <w:pPr>
              <w:spacing w:line="220" w:lineRule="exact"/>
              <w:contextualSpacing/>
              <w:rPr>
                <w:rFonts w:cs="Calibri"/>
                <w:b/>
                <w:color w:val="auto"/>
                <w:sz w:val="18"/>
              </w:rPr>
            </w:pPr>
            <w:r>
              <w:rPr>
                <w:b/>
                <w:color w:val="auto"/>
                <w:sz w:val="18"/>
              </w:rPr>
              <w:t>VA (2 Mo. Pre</w:t>
            </w:r>
            <w:r w:rsidR="00926C0A" w:rsidRPr="00947728">
              <w:rPr>
                <w:b/>
                <w:color w:val="auto"/>
                <w:sz w:val="18"/>
              </w:rPr>
              <w:t xml:space="preserve">-Separation) – All Effective Date </w:t>
            </w:r>
            <w:r w:rsidRPr="00033681">
              <w:rPr>
                <w:rFonts w:cs="Calibri"/>
                <w:b/>
                <w:color w:val="000000" w:themeColor="text1"/>
                <w:sz w:val="18"/>
                <w:szCs w:val="18"/>
              </w:rPr>
              <w:t>2004091</w:t>
            </w:r>
            <w:r>
              <w:rPr>
                <w:rFonts w:cs="Calibri"/>
                <w:b/>
                <w:color w:val="000000" w:themeColor="text1"/>
                <w:sz w:val="18"/>
                <w:szCs w:val="18"/>
              </w:rPr>
              <w:t>7</w:t>
            </w:r>
          </w:p>
        </w:tc>
      </w:tr>
      <w:tr w:rsidR="00261B7E" w:rsidRPr="000D5DBE" w:rsidTr="00D16DBA">
        <w:trPr>
          <w:trHeight w:val="97"/>
        </w:trPr>
        <w:tc>
          <w:tcPr>
            <w:tcW w:w="2718" w:type="dxa"/>
            <w:tcBorders>
              <w:right w:val="single" w:sz="4" w:space="0" w:color="auto"/>
            </w:tcBorders>
            <w:shd w:val="clear" w:color="auto" w:fill="D9D9D9"/>
            <w:vAlign w:val="center"/>
          </w:tcPr>
          <w:p w:rsidR="00AD2379" w:rsidRPr="000D5DBE" w:rsidRDefault="00AD2379" w:rsidP="00375D5A">
            <w:pPr>
              <w:spacing w:line="220" w:lineRule="exact"/>
              <w:contextualSpacing/>
              <w:rPr>
                <w:rFonts w:cs="Calibri"/>
                <w:b/>
                <w:color w:val="000000"/>
                <w:sz w:val="18"/>
              </w:rPr>
            </w:pPr>
            <w:r w:rsidRPr="000D5DBE">
              <w:rPr>
                <w:b/>
                <w:color w:val="000000"/>
                <w:sz w:val="18"/>
              </w:rPr>
              <w:t>Condition</w:t>
            </w:r>
          </w:p>
        </w:tc>
        <w:tc>
          <w:tcPr>
            <w:tcW w:w="630" w:type="dxa"/>
            <w:tcBorders>
              <w:left w:val="single" w:sz="4" w:space="0" w:color="auto"/>
            </w:tcBorders>
            <w:shd w:val="clear" w:color="auto" w:fill="D9D9D9"/>
            <w:vAlign w:val="center"/>
          </w:tcPr>
          <w:p w:rsidR="00AD2379" w:rsidRPr="000D5DBE" w:rsidRDefault="00AD2379" w:rsidP="00375D5A">
            <w:pPr>
              <w:spacing w:line="220" w:lineRule="exact"/>
              <w:contextualSpacing/>
              <w:rPr>
                <w:rFonts w:cs="Calibri"/>
                <w:b/>
                <w:color w:val="000000"/>
                <w:sz w:val="18"/>
              </w:rPr>
            </w:pPr>
            <w:r w:rsidRPr="000D5DBE">
              <w:rPr>
                <w:b/>
                <w:color w:val="000000"/>
                <w:sz w:val="18"/>
              </w:rPr>
              <w:t>Code</w:t>
            </w:r>
          </w:p>
        </w:tc>
        <w:tc>
          <w:tcPr>
            <w:tcW w:w="810" w:type="dxa"/>
            <w:tcBorders>
              <w:right w:val="thinThickThinSmallGap" w:sz="24" w:space="0" w:color="auto"/>
            </w:tcBorders>
            <w:shd w:val="clear" w:color="auto" w:fill="D9D9D9"/>
            <w:vAlign w:val="center"/>
          </w:tcPr>
          <w:p w:rsidR="00AD2379" w:rsidRPr="000D5DBE" w:rsidRDefault="00AD2379" w:rsidP="00375D5A">
            <w:pPr>
              <w:spacing w:line="220" w:lineRule="exact"/>
              <w:contextualSpacing/>
              <w:rPr>
                <w:rFonts w:cs="Calibri"/>
                <w:b/>
                <w:color w:val="000000"/>
                <w:sz w:val="18"/>
              </w:rPr>
            </w:pPr>
            <w:r w:rsidRPr="000D5DBE">
              <w:rPr>
                <w:b/>
                <w:color w:val="000000"/>
                <w:sz w:val="18"/>
              </w:rPr>
              <w:t>Rating</w:t>
            </w:r>
          </w:p>
        </w:tc>
        <w:tc>
          <w:tcPr>
            <w:tcW w:w="2430" w:type="dxa"/>
            <w:tcBorders>
              <w:left w:val="thinThickThinSmallGap" w:sz="24" w:space="0" w:color="auto"/>
            </w:tcBorders>
            <w:shd w:val="clear" w:color="auto" w:fill="D9D9D9"/>
            <w:vAlign w:val="center"/>
          </w:tcPr>
          <w:p w:rsidR="00AD2379" w:rsidRPr="000D5DBE" w:rsidRDefault="00AD2379" w:rsidP="00375D5A">
            <w:pPr>
              <w:spacing w:line="220" w:lineRule="exact"/>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375D5A">
            <w:pPr>
              <w:spacing w:line="220" w:lineRule="exact"/>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375D5A">
            <w:pPr>
              <w:spacing w:line="220" w:lineRule="exact"/>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375D5A">
            <w:pPr>
              <w:spacing w:line="220" w:lineRule="exact"/>
              <w:contextualSpacing/>
              <w:rPr>
                <w:rFonts w:cs="Calibri"/>
                <w:b/>
                <w:color w:val="000000"/>
                <w:sz w:val="18"/>
              </w:rPr>
            </w:pPr>
            <w:r w:rsidRPr="000D5DBE">
              <w:rPr>
                <w:b/>
                <w:color w:val="000000"/>
                <w:sz w:val="18"/>
              </w:rPr>
              <w:t>Exam</w:t>
            </w:r>
          </w:p>
        </w:tc>
      </w:tr>
      <w:tr w:rsidR="0028112E" w:rsidRPr="000D5DBE" w:rsidTr="00D16DBA">
        <w:trPr>
          <w:trHeight w:val="118"/>
        </w:trPr>
        <w:tc>
          <w:tcPr>
            <w:tcW w:w="2718" w:type="dxa"/>
            <w:tcBorders>
              <w:right w:val="single" w:sz="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Neck Pain, Degenerative Disc</w:t>
            </w:r>
          </w:p>
        </w:tc>
        <w:tc>
          <w:tcPr>
            <w:tcW w:w="630" w:type="dxa"/>
            <w:tcBorders>
              <w:left w:val="single" w:sz="4" w:space="0" w:color="auto"/>
            </w:tcBorders>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5237</w:t>
            </w:r>
          </w:p>
        </w:tc>
        <w:tc>
          <w:tcPr>
            <w:tcW w:w="810" w:type="dxa"/>
            <w:tcBorders>
              <w:right w:val="thinThickThinSmallGap" w:sz="24" w:space="0" w:color="auto"/>
            </w:tcBorders>
            <w:shd w:val="clear" w:color="auto" w:fill="FFFFFF"/>
            <w:vAlign w:val="center"/>
          </w:tcPr>
          <w:p w:rsidR="0028112E" w:rsidRPr="001F29F9" w:rsidRDefault="0028112E" w:rsidP="00375D5A">
            <w:pPr>
              <w:spacing w:line="200" w:lineRule="exact"/>
              <w:rPr>
                <w:rFonts w:cs="Calibri"/>
                <w:color w:val="000000" w:themeColor="text1"/>
                <w:sz w:val="18"/>
                <w:szCs w:val="18"/>
              </w:rPr>
            </w:pPr>
            <w:r>
              <w:rPr>
                <w:rFonts w:cs="Calibri"/>
                <w:color w:val="000000" w:themeColor="text1"/>
                <w:sz w:val="18"/>
                <w:szCs w:val="18"/>
              </w:rPr>
              <w:t>10%</w:t>
            </w:r>
          </w:p>
        </w:tc>
        <w:tc>
          <w:tcPr>
            <w:tcW w:w="2430" w:type="dxa"/>
            <w:tcBorders>
              <w:left w:val="thinThickThinSmallGap" w:sz="2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Cervical Stenosis, Bulging Disc</w:t>
            </w:r>
          </w:p>
        </w:tc>
        <w:tc>
          <w:tcPr>
            <w:tcW w:w="108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5243</w:t>
            </w:r>
          </w:p>
        </w:tc>
        <w:tc>
          <w:tcPr>
            <w:tcW w:w="72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0%</w:t>
            </w:r>
          </w:p>
        </w:tc>
        <w:tc>
          <w:tcPr>
            <w:tcW w:w="96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20040721</w:t>
            </w:r>
          </w:p>
        </w:tc>
      </w:tr>
      <w:tr w:rsidR="0028112E" w:rsidRPr="000D5DBE" w:rsidTr="00D16DBA">
        <w:trPr>
          <w:trHeight w:val="97"/>
        </w:trPr>
        <w:tc>
          <w:tcPr>
            <w:tcW w:w="2718" w:type="dxa"/>
            <w:tcBorders>
              <w:right w:val="single" w:sz="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Migraines</w:t>
            </w:r>
          </w:p>
        </w:tc>
        <w:tc>
          <w:tcPr>
            <w:tcW w:w="1440" w:type="dxa"/>
            <w:gridSpan w:val="2"/>
            <w:tcBorders>
              <w:left w:val="single" w:sz="4" w:space="0" w:color="auto"/>
              <w:right w:val="thinThickThinSmallGap" w:sz="24" w:space="0" w:color="auto"/>
            </w:tcBorders>
            <w:shd w:val="clear" w:color="auto" w:fill="FFFFFF"/>
            <w:vAlign w:val="center"/>
          </w:tcPr>
          <w:p w:rsidR="0028112E" w:rsidRPr="001F29F9" w:rsidRDefault="0028112E" w:rsidP="00375D5A">
            <w:pPr>
              <w:spacing w:line="200" w:lineRule="exact"/>
              <w:rPr>
                <w:rFonts w:cs="Calibri"/>
                <w:color w:val="000000" w:themeColor="text1"/>
                <w:sz w:val="18"/>
                <w:szCs w:val="18"/>
              </w:rPr>
            </w:pPr>
            <w:r>
              <w:rPr>
                <w:rFonts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Migraine Headaches</w:t>
            </w:r>
          </w:p>
        </w:tc>
        <w:tc>
          <w:tcPr>
            <w:tcW w:w="1080" w:type="dxa"/>
            <w:tcBorders>
              <w:left w:val="single" w:sz="4" w:space="0" w:color="auto"/>
            </w:tcBorders>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8100</w:t>
            </w:r>
          </w:p>
        </w:tc>
        <w:tc>
          <w:tcPr>
            <w:tcW w:w="72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20040721</w:t>
            </w:r>
          </w:p>
        </w:tc>
      </w:tr>
      <w:tr w:rsidR="0028112E" w:rsidRPr="000D5DBE" w:rsidTr="00D16DBA">
        <w:trPr>
          <w:trHeight w:val="97"/>
        </w:trPr>
        <w:tc>
          <w:tcPr>
            <w:tcW w:w="2718" w:type="dxa"/>
            <w:tcBorders>
              <w:right w:val="single" w:sz="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Bilateral Knee Pain</w:t>
            </w:r>
          </w:p>
        </w:tc>
        <w:tc>
          <w:tcPr>
            <w:tcW w:w="1440" w:type="dxa"/>
            <w:gridSpan w:val="2"/>
            <w:tcBorders>
              <w:left w:val="single" w:sz="4" w:space="0" w:color="auto"/>
              <w:right w:val="thinThickThinSmallGap" w:sz="24" w:space="0" w:color="auto"/>
            </w:tcBorders>
            <w:shd w:val="clear" w:color="auto" w:fill="FFFFFF"/>
            <w:vAlign w:val="center"/>
          </w:tcPr>
          <w:p w:rsidR="0028112E" w:rsidRPr="001F29F9" w:rsidRDefault="0028112E" w:rsidP="00375D5A">
            <w:pPr>
              <w:spacing w:line="200" w:lineRule="exact"/>
              <w:contextualSpacing/>
              <w:rPr>
                <w:rFonts w:cs="Calibri"/>
                <w:color w:val="000000" w:themeColor="text1"/>
                <w:sz w:val="18"/>
                <w:szCs w:val="18"/>
                <w:highlight w:val="yellow"/>
              </w:rPr>
            </w:pPr>
            <w:r>
              <w:rPr>
                <w:rFonts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 xml:space="preserve">Bilateral Knee Pain </w:t>
            </w:r>
          </w:p>
        </w:tc>
        <w:tc>
          <w:tcPr>
            <w:tcW w:w="1080" w:type="dxa"/>
            <w:tcBorders>
              <w:left w:val="single" w:sz="4" w:space="0" w:color="auto"/>
            </w:tcBorders>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5099-5019</w:t>
            </w:r>
          </w:p>
        </w:tc>
        <w:tc>
          <w:tcPr>
            <w:tcW w:w="72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NSC</w:t>
            </w:r>
          </w:p>
        </w:tc>
        <w:tc>
          <w:tcPr>
            <w:tcW w:w="96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highlight w:val="yellow"/>
              </w:rPr>
            </w:pPr>
            <w:r>
              <w:rPr>
                <w:rFonts w:cs="Calibri"/>
                <w:color w:val="000000" w:themeColor="text1"/>
                <w:sz w:val="18"/>
                <w:szCs w:val="18"/>
              </w:rPr>
              <w:t>20040721</w:t>
            </w:r>
          </w:p>
        </w:tc>
      </w:tr>
      <w:tr w:rsidR="0028112E" w:rsidRPr="000D5DBE" w:rsidTr="00D16DBA">
        <w:trPr>
          <w:trHeight w:val="97"/>
        </w:trPr>
        <w:tc>
          <w:tcPr>
            <w:tcW w:w="2718" w:type="dxa"/>
            <w:tcBorders>
              <w:right w:val="single" w:sz="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Gastroesophageal Reflux</w:t>
            </w:r>
            <w:r w:rsidR="00D16DBA">
              <w:rPr>
                <w:rFonts w:cs="Calibri"/>
                <w:color w:val="000000" w:themeColor="text1"/>
                <w:sz w:val="18"/>
                <w:szCs w:val="18"/>
              </w:rPr>
              <w:t xml:space="preserve"> Disease</w:t>
            </w:r>
          </w:p>
        </w:tc>
        <w:tc>
          <w:tcPr>
            <w:tcW w:w="1440" w:type="dxa"/>
            <w:gridSpan w:val="2"/>
            <w:tcBorders>
              <w:left w:val="single" w:sz="4" w:space="0" w:color="auto"/>
              <w:right w:val="thinThickThinSmallGap" w:sz="24" w:space="0" w:color="auto"/>
            </w:tcBorders>
            <w:shd w:val="clear" w:color="auto" w:fill="FFFFFF"/>
            <w:vAlign w:val="center"/>
          </w:tcPr>
          <w:p w:rsidR="0028112E" w:rsidRPr="001F29F9" w:rsidRDefault="0028112E" w:rsidP="00375D5A">
            <w:pPr>
              <w:spacing w:line="200" w:lineRule="exact"/>
              <w:contextualSpacing/>
              <w:rPr>
                <w:rFonts w:cs="Calibri"/>
                <w:color w:val="000000" w:themeColor="text1"/>
                <w:sz w:val="18"/>
                <w:szCs w:val="18"/>
                <w:highlight w:val="yellow"/>
              </w:rPr>
            </w:pPr>
            <w:r>
              <w:rPr>
                <w:rFonts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vAlign w:val="center"/>
          </w:tcPr>
          <w:p w:rsidR="0028112E" w:rsidRPr="001F29F9"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GERD</w:t>
            </w:r>
          </w:p>
        </w:tc>
        <w:tc>
          <w:tcPr>
            <w:tcW w:w="1080" w:type="dxa"/>
            <w:tcBorders>
              <w:left w:val="single" w:sz="4" w:space="0" w:color="auto"/>
            </w:tcBorders>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7399-7346</w:t>
            </w:r>
          </w:p>
        </w:tc>
        <w:tc>
          <w:tcPr>
            <w:tcW w:w="72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0%</w:t>
            </w:r>
          </w:p>
        </w:tc>
        <w:tc>
          <w:tcPr>
            <w:tcW w:w="960" w:type="dxa"/>
            <w:shd w:val="clear" w:color="auto" w:fill="FFFFFF"/>
            <w:vAlign w:val="center"/>
          </w:tcPr>
          <w:p w:rsidR="0028112E" w:rsidRPr="001F29F9" w:rsidRDefault="0028112E" w:rsidP="00375D5A">
            <w:pPr>
              <w:spacing w:line="200" w:lineRule="exact"/>
              <w:contextualSpacing/>
              <w:rPr>
                <w:rFonts w:cs="Calibri"/>
                <w:color w:val="000000" w:themeColor="text1"/>
                <w:sz w:val="18"/>
                <w:szCs w:val="18"/>
                <w:highlight w:val="yellow"/>
              </w:rPr>
            </w:pPr>
            <w:r>
              <w:rPr>
                <w:rFonts w:cs="Calibri"/>
                <w:color w:val="000000" w:themeColor="text1"/>
                <w:sz w:val="18"/>
                <w:szCs w:val="18"/>
              </w:rPr>
              <w:t>20040721</w:t>
            </w:r>
          </w:p>
        </w:tc>
      </w:tr>
      <w:tr w:rsidR="0028112E" w:rsidRPr="000D5DBE" w:rsidTr="0028112E">
        <w:trPr>
          <w:trHeight w:val="97"/>
        </w:trPr>
        <w:tc>
          <w:tcPr>
            <w:tcW w:w="4158" w:type="dxa"/>
            <w:gridSpan w:val="3"/>
            <w:vMerge w:val="restart"/>
            <w:tcBorders>
              <w:right w:val="thinThickThinSmallGap" w:sz="24" w:space="0" w:color="auto"/>
            </w:tcBorders>
            <w:shd w:val="clear" w:color="auto" w:fill="FFFFFF"/>
            <w:vAlign w:val="center"/>
          </w:tcPr>
          <w:p w:rsidR="0028112E" w:rsidRDefault="0028112E" w:rsidP="00375D5A">
            <w:pPr>
              <w:spacing w:line="200" w:lineRule="exact"/>
              <w:contextualSpacing/>
              <w:rPr>
                <w:color w:val="000000" w:themeColor="text1"/>
                <w:sz w:val="18"/>
                <w:szCs w:val="18"/>
              </w:rPr>
            </w:pPr>
            <w:r w:rsidRPr="000D5DBE">
              <w:rPr>
                <w:color w:val="000000"/>
                <w:sz w:val="18"/>
              </w:rPr>
              <w:t>No Additional MEB/PEB Entries</w:t>
            </w:r>
          </w:p>
        </w:tc>
        <w:tc>
          <w:tcPr>
            <w:tcW w:w="2430" w:type="dxa"/>
            <w:tcBorders>
              <w:left w:val="thinThickThinSmallGap" w:sz="24" w:space="0" w:color="auto"/>
              <w:right w:val="single" w:sz="4" w:space="0" w:color="auto"/>
            </w:tcBorders>
            <w:shd w:val="clear" w:color="auto" w:fill="FFFFFF"/>
            <w:vAlign w:val="center"/>
          </w:tcPr>
          <w:p w:rsidR="0028112E"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Chronic R Shoulder Strain</w:t>
            </w:r>
          </w:p>
        </w:tc>
        <w:tc>
          <w:tcPr>
            <w:tcW w:w="1080" w:type="dxa"/>
            <w:tcBorders>
              <w:left w:val="single" w:sz="4" w:space="0" w:color="auto"/>
            </w:tcBorders>
            <w:shd w:val="clear" w:color="auto" w:fill="FFFFFF"/>
            <w:vAlign w:val="center"/>
          </w:tcPr>
          <w:p w:rsidR="0028112E"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5010-5201</w:t>
            </w:r>
          </w:p>
        </w:tc>
        <w:tc>
          <w:tcPr>
            <w:tcW w:w="720" w:type="dxa"/>
            <w:shd w:val="clear" w:color="auto" w:fill="FFFFFF"/>
            <w:vAlign w:val="center"/>
          </w:tcPr>
          <w:p w:rsidR="0028112E"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28112E" w:rsidRPr="000E27A2" w:rsidRDefault="0028112E" w:rsidP="00375D5A">
            <w:pPr>
              <w:spacing w:line="200" w:lineRule="exact"/>
              <w:contextualSpacing/>
              <w:rPr>
                <w:rFonts w:cs="Calibri"/>
                <w:color w:val="000000" w:themeColor="text1"/>
                <w:sz w:val="18"/>
                <w:szCs w:val="18"/>
              </w:rPr>
            </w:pPr>
            <w:r w:rsidRPr="000E27A2">
              <w:rPr>
                <w:rFonts w:cs="Calibri"/>
                <w:color w:val="000000" w:themeColor="text1"/>
                <w:sz w:val="18"/>
                <w:szCs w:val="18"/>
              </w:rPr>
              <w:t>20050309</w:t>
            </w:r>
          </w:p>
        </w:tc>
      </w:tr>
      <w:tr w:rsidR="0028112E" w:rsidRPr="000D5DBE" w:rsidTr="0028112E">
        <w:trPr>
          <w:trHeight w:val="97"/>
        </w:trPr>
        <w:tc>
          <w:tcPr>
            <w:tcW w:w="4158" w:type="dxa"/>
            <w:gridSpan w:val="3"/>
            <w:vMerge/>
            <w:tcBorders>
              <w:right w:val="thinThickThinSmallGap" w:sz="24" w:space="0" w:color="auto"/>
            </w:tcBorders>
            <w:shd w:val="clear" w:color="auto" w:fill="FFFFFF"/>
            <w:vAlign w:val="center"/>
          </w:tcPr>
          <w:p w:rsidR="0028112E" w:rsidRDefault="0028112E" w:rsidP="00375D5A">
            <w:pPr>
              <w:spacing w:line="200" w:lineRule="exact"/>
              <w:contextualSpacing/>
              <w:rPr>
                <w:color w:val="000000" w:themeColor="text1"/>
                <w:sz w:val="18"/>
                <w:szCs w:val="18"/>
              </w:rPr>
            </w:pPr>
          </w:p>
        </w:tc>
        <w:tc>
          <w:tcPr>
            <w:tcW w:w="2430" w:type="dxa"/>
            <w:tcBorders>
              <w:left w:val="thinThickThinSmallGap" w:sz="24" w:space="0" w:color="auto"/>
              <w:right w:val="single" w:sz="4" w:space="0" w:color="auto"/>
            </w:tcBorders>
            <w:shd w:val="clear" w:color="auto" w:fill="FFFFFF"/>
            <w:vAlign w:val="center"/>
          </w:tcPr>
          <w:p w:rsidR="0028112E" w:rsidRDefault="0028112E" w:rsidP="00375D5A">
            <w:pPr>
              <w:spacing w:line="200" w:lineRule="exact"/>
              <w:contextualSpacing/>
              <w:jc w:val="left"/>
              <w:rPr>
                <w:rFonts w:cs="Calibri"/>
                <w:color w:val="000000" w:themeColor="text1"/>
                <w:sz w:val="18"/>
                <w:szCs w:val="18"/>
              </w:rPr>
            </w:pPr>
            <w:r>
              <w:rPr>
                <w:rFonts w:cs="Calibri"/>
                <w:color w:val="000000" w:themeColor="text1"/>
                <w:sz w:val="18"/>
                <w:szCs w:val="18"/>
              </w:rPr>
              <w:t>Chronic R Ankle Strain</w:t>
            </w:r>
          </w:p>
        </w:tc>
        <w:tc>
          <w:tcPr>
            <w:tcW w:w="1080" w:type="dxa"/>
            <w:tcBorders>
              <w:left w:val="single" w:sz="4" w:space="0" w:color="auto"/>
            </w:tcBorders>
            <w:shd w:val="clear" w:color="auto" w:fill="FFFFFF"/>
            <w:vAlign w:val="center"/>
          </w:tcPr>
          <w:p w:rsidR="0028112E"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 xml:space="preserve">5271-5024 </w:t>
            </w:r>
          </w:p>
        </w:tc>
        <w:tc>
          <w:tcPr>
            <w:tcW w:w="720" w:type="dxa"/>
            <w:shd w:val="clear" w:color="auto" w:fill="FFFFFF"/>
            <w:vAlign w:val="center"/>
          </w:tcPr>
          <w:p w:rsidR="0028112E" w:rsidRDefault="0028112E" w:rsidP="00375D5A">
            <w:pPr>
              <w:spacing w:line="20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28112E" w:rsidRPr="000E27A2" w:rsidRDefault="0028112E" w:rsidP="00375D5A">
            <w:pPr>
              <w:spacing w:line="200" w:lineRule="exact"/>
              <w:contextualSpacing/>
              <w:rPr>
                <w:rFonts w:cs="Calibri"/>
                <w:color w:val="000000" w:themeColor="text1"/>
                <w:sz w:val="18"/>
                <w:szCs w:val="18"/>
              </w:rPr>
            </w:pPr>
            <w:r w:rsidRPr="000E27A2">
              <w:rPr>
                <w:rFonts w:cs="Calibri"/>
                <w:color w:val="000000" w:themeColor="text1"/>
                <w:sz w:val="18"/>
                <w:szCs w:val="18"/>
              </w:rPr>
              <w:t>20050309</w:t>
            </w:r>
          </w:p>
        </w:tc>
      </w:tr>
      <w:tr w:rsidR="0028112E" w:rsidRPr="000D5DBE" w:rsidTr="0028112E">
        <w:trPr>
          <w:trHeight w:val="172"/>
        </w:trPr>
        <w:tc>
          <w:tcPr>
            <w:tcW w:w="4158" w:type="dxa"/>
            <w:gridSpan w:val="3"/>
            <w:vMerge/>
            <w:tcBorders>
              <w:right w:val="thinThickThinSmallGap" w:sz="24" w:space="0" w:color="auto"/>
            </w:tcBorders>
            <w:shd w:val="clear" w:color="auto" w:fill="FFFFFF"/>
            <w:vAlign w:val="center"/>
          </w:tcPr>
          <w:p w:rsidR="0028112E" w:rsidRPr="001F29F9" w:rsidRDefault="0028112E" w:rsidP="00375D5A">
            <w:pPr>
              <w:spacing w:line="200" w:lineRule="exact"/>
              <w:contextualSpacing/>
              <w:jc w:val="both"/>
              <w:rPr>
                <w:rFonts w:cs="Calibri"/>
                <w:color w:val="000000"/>
                <w:sz w:val="18"/>
              </w:rPr>
            </w:pPr>
          </w:p>
        </w:tc>
        <w:tc>
          <w:tcPr>
            <w:tcW w:w="4230" w:type="dxa"/>
            <w:gridSpan w:val="3"/>
            <w:tcBorders>
              <w:left w:val="thinThickThinSmallGap" w:sz="24" w:space="0" w:color="auto"/>
            </w:tcBorders>
            <w:shd w:val="clear" w:color="auto" w:fill="FFFFFF"/>
            <w:vAlign w:val="center"/>
          </w:tcPr>
          <w:p w:rsidR="0028112E" w:rsidRPr="001F29F9" w:rsidRDefault="0028112E" w:rsidP="00375D5A">
            <w:pPr>
              <w:spacing w:line="200" w:lineRule="exact"/>
              <w:contextualSpacing/>
              <w:rPr>
                <w:rFonts w:cs="Calibri"/>
                <w:color w:val="000000"/>
                <w:sz w:val="18"/>
              </w:rPr>
            </w:pPr>
            <w:r>
              <w:rPr>
                <w:color w:val="000000"/>
                <w:sz w:val="18"/>
              </w:rPr>
              <w:t xml:space="preserve">0% X 2 </w:t>
            </w:r>
            <w:r w:rsidRPr="000D5DBE">
              <w:rPr>
                <w:color w:val="000000"/>
                <w:sz w:val="18"/>
              </w:rPr>
              <w:t>/</w:t>
            </w:r>
            <w:r>
              <w:rPr>
                <w:color w:val="000000"/>
                <w:sz w:val="18"/>
              </w:rPr>
              <w:t xml:space="preserve"> </w:t>
            </w:r>
            <w:r w:rsidRPr="000D5DBE">
              <w:rPr>
                <w:color w:val="000000"/>
                <w:sz w:val="18"/>
              </w:rPr>
              <w:t xml:space="preserve">Not Service Connected x </w:t>
            </w:r>
            <w:r>
              <w:rPr>
                <w:color w:val="000000"/>
                <w:sz w:val="18"/>
              </w:rPr>
              <w:t>5</w:t>
            </w:r>
          </w:p>
        </w:tc>
        <w:tc>
          <w:tcPr>
            <w:tcW w:w="960" w:type="dxa"/>
            <w:shd w:val="clear" w:color="auto" w:fill="FFFFFF"/>
            <w:vAlign w:val="center"/>
          </w:tcPr>
          <w:p w:rsidR="0028112E" w:rsidRPr="001F29F9" w:rsidRDefault="0028112E" w:rsidP="00375D5A">
            <w:pPr>
              <w:spacing w:line="200" w:lineRule="exact"/>
              <w:contextualSpacing/>
              <w:rPr>
                <w:rFonts w:cs="Calibri"/>
                <w:color w:val="000000"/>
                <w:sz w:val="18"/>
              </w:rPr>
            </w:pPr>
            <w:r>
              <w:rPr>
                <w:rFonts w:cs="Calibri"/>
                <w:color w:val="000000" w:themeColor="text1"/>
                <w:sz w:val="18"/>
                <w:szCs w:val="18"/>
              </w:rPr>
              <w:t>20040721</w:t>
            </w:r>
          </w:p>
        </w:tc>
      </w:tr>
      <w:tr w:rsidR="00AD2379" w:rsidRPr="000D5DBE" w:rsidTr="0028112E">
        <w:trPr>
          <w:trHeight w:val="124"/>
        </w:trPr>
        <w:tc>
          <w:tcPr>
            <w:tcW w:w="4158" w:type="dxa"/>
            <w:gridSpan w:val="3"/>
            <w:tcBorders>
              <w:right w:val="thinThickThinSmallGap" w:sz="24" w:space="0" w:color="auto"/>
            </w:tcBorders>
            <w:shd w:val="clear" w:color="auto" w:fill="D9D9D9"/>
          </w:tcPr>
          <w:p w:rsidR="00AD2379" w:rsidRPr="000D5DBE" w:rsidRDefault="0028112E" w:rsidP="00375D5A">
            <w:pPr>
              <w:spacing w:line="220" w:lineRule="exact"/>
              <w:contextualSpacing/>
              <w:rPr>
                <w:rFonts w:cs="Calibri"/>
                <w:b/>
                <w:color w:val="000000"/>
                <w:sz w:val="18"/>
              </w:rPr>
            </w:pPr>
            <w:r>
              <w:rPr>
                <w:b/>
                <w:color w:val="000000"/>
                <w:sz w:val="18"/>
              </w:rPr>
              <w:t>Combined:  1</w:t>
            </w:r>
            <w:r w:rsidR="00AD2379" w:rsidRPr="000D5DBE">
              <w:rPr>
                <w:b/>
                <w:color w:val="000000"/>
                <w:sz w:val="18"/>
              </w:rPr>
              <w:t>0%</w:t>
            </w:r>
          </w:p>
        </w:tc>
        <w:tc>
          <w:tcPr>
            <w:tcW w:w="5190" w:type="dxa"/>
            <w:gridSpan w:val="4"/>
            <w:tcBorders>
              <w:left w:val="thinThickThinSmallGap" w:sz="24" w:space="0" w:color="auto"/>
            </w:tcBorders>
            <w:shd w:val="clear" w:color="auto" w:fill="D9D9D9"/>
          </w:tcPr>
          <w:p w:rsidR="00AD2379" w:rsidRPr="000D5DBE" w:rsidRDefault="0028112E" w:rsidP="00375D5A">
            <w:pPr>
              <w:spacing w:line="220" w:lineRule="exact"/>
              <w:contextualSpacing/>
              <w:rPr>
                <w:rFonts w:cs="Calibri"/>
                <w:b/>
                <w:color w:val="000000"/>
                <w:sz w:val="18"/>
              </w:rPr>
            </w:pPr>
            <w:r>
              <w:rPr>
                <w:b/>
                <w:color w:val="000000"/>
                <w:sz w:val="18"/>
              </w:rPr>
              <w:t>Combined:  3</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5D0C3A" w:rsidRDefault="005D0C3A" w:rsidP="00B22D42">
      <w:pPr>
        <w:jc w:val="both"/>
        <w:rPr>
          <w:color w:val="000000"/>
          <w:u w:val="single"/>
        </w:rPr>
        <w:sectPr w:rsidR="005D0C3A" w:rsidSect="005D0C3A">
          <w:footerReference w:type="default" r:id="rId7"/>
          <w:footerReference w:type="first" r:id="rId8"/>
          <w:footnotePr>
            <w:numRestart w:val="eachSect"/>
          </w:footnotePr>
          <w:pgSz w:w="12240" w:h="15840" w:code="1"/>
          <w:pgMar w:top="1440" w:right="1440" w:bottom="1296" w:left="1440" w:header="720" w:footer="720" w:gutter="0"/>
          <w:cols w:space="720"/>
          <w:titlePg/>
          <w:docGrid w:linePitch="326"/>
        </w:sectPr>
      </w:pPr>
    </w:p>
    <w:p w:rsidR="00AD2379" w:rsidRDefault="00AD2379" w:rsidP="00B22D42">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00191846">
        <w:rPr>
          <w:color w:val="000000"/>
        </w:rPr>
        <w:t xml:space="preserve"> </w:t>
      </w:r>
      <w:r w:rsidR="00572A04">
        <w:rPr>
          <w:color w:val="000000"/>
        </w:rPr>
        <w:t xml:space="preserve">The Board acknowledges </w:t>
      </w:r>
      <w:r w:rsidR="00191846">
        <w:rPr>
          <w:color w:val="000000"/>
        </w:rPr>
        <w:t xml:space="preserve">the CI’s contention </w:t>
      </w:r>
      <w:r w:rsidR="00572A04">
        <w:rPr>
          <w:color w:val="000000"/>
        </w:rPr>
        <w:t>suggesting</w:t>
      </w:r>
      <w:r w:rsidR="00191846">
        <w:rPr>
          <w:color w:val="000000"/>
        </w:rPr>
        <w:t xml:space="preserve"> that she is contesting the </w:t>
      </w:r>
      <w:r w:rsidR="001A0104">
        <w:rPr>
          <w:color w:val="000000"/>
        </w:rPr>
        <w:t xml:space="preserve">PEB </w:t>
      </w:r>
      <w:r w:rsidR="00191846">
        <w:rPr>
          <w:color w:val="000000"/>
        </w:rPr>
        <w:t xml:space="preserve">decision </w:t>
      </w:r>
      <w:r w:rsidR="001A0104">
        <w:rPr>
          <w:color w:val="000000"/>
        </w:rPr>
        <w:t xml:space="preserve">that she was medically unfit for continued service, </w:t>
      </w:r>
      <w:r w:rsidR="00167B27">
        <w:rPr>
          <w:color w:val="000000"/>
        </w:rPr>
        <w:t>believing</w:t>
      </w:r>
      <w:r w:rsidR="001A0104">
        <w:rPr>
          <w:color w:val="000000"/>
        </w:rPr>
        <w:t xml:space="preserve"> that she was inappropriately denied an opportunity to </w:t>
      </w:r>
      <w:r w:rsidR="00167B27">
        <w:rPr>
          <w:color w:val="000000"/>
        </w:rPr>
        <w:t>reclassify</w:t>
      </w:r>
      <w:r w:rsidR="001A0104">
        <w:rPr>
          <w:color w:val="000000"/>
        </w:rPr>
        <w:t xml:space="preserve"> </w:t>
      </w:r>
      <w:r w:rsidR="00572A04">
        <w:rPr>
          <w:color w:val="000000"/>
        </w:rPr>
        <w:t>into</w:t>
      </w:r>
      <w:r w:rsidR="001A0104">
        <w:rPr>
          <w:color w:val="000000"/>
        </w:rPr>
        <w:t xml:space="preserve"> a different MOS.  </w:t>
      </w:r>
      <w:r w:rsidR="00572A04" w:rsidRPr="00572A04">
        <w:rPr>
          <w:color w:val="000000"/>
        </w:rPr>
        <w:t>It is noted for the record that the Board has neither the jurisdiction nor authority to scrutinize</w:t>
      </w:r>
      <w:r w:rsidR="00167B27">
        <w:rPr>
          <w:color w:val="000000"/>
        </w:rPr>
        <w:t>,</w:t>
      </w:r>
      <w:r w:rsidR="00572A04" w:rsidRPr="00572A04">
        <w:rPr>
          <w:color w:val="000000"/>
        </w:rPr>
        <w:t xml:space="preserve"> render opinions</w:t>
      </w:r>
      <w:r w:rsidR="00167B27">
        <w:rPr>
          <w:color w:val="000000"/>
        </w:rPr>
        <w:t>, or offer remedy</w:t>
      </w:r>
      <w:r w:rsidR="00572A04" w:rsidRPr="00572A04">
        <w:rPr>
          <w:color w:val="000000"/>
        </w:rPr>
        <w:t xml:space="preserve"> in reference to</w:t>
      </w:r>
      <w:r w:rsidR="00162986">
        <w:rPr>
          <w:color w:val="000000"/>
        </w:rPr>
        <w:t xml:space="preserve"> s</w:t>
      </w:r>
      <w:r w:rsidR="00572A04">
        <w:rPr>
          <w:color w:val="000000"/>
        </w:rPr>
        <w:t xml:space="preserve">ervice </w:t>
      </w:r>
      <w:r w:rsidR="00167B27">
        <w:rPr>
          <w:color w:val="000000"/>
        </w:rPr>
        <w:t>decisions</w:t>
      </w:r>
      <w:r w:rsidR="00572A04">
        <w:rPr>
          <w:color w:val="000000"/>
        </w:rPr>
        <w:t xml:space="preserve"> of this nature.  </w:t>
      </w:r>
      <w:r w:rsidR="00A703BF">
        <w:rPr>
          <w:color w:val="000000"/>
        </w:rPr>
        <w:t>That</w:t>
      </w:r>
      <w:r w:rsidR="00167B27">
        <w:rPr>
          <w:color w:val="000000"/>
        </w:rPr>
        <w:t xml:space="preserve"> jurisdiction and authority resides with the ABCMR.  </w:t>
      </w:r>
      <w:r w:rsidR="00572A04">
        <w:rPr>
          <w:color w:val="000000"/>
        </w:rPr>
        <w:t>IAW DoDI 6040.44,</w:t>
      </w:r>
      <w:r w:rsidR="00572A04" w:rsidRPr="00572A04">
        <w:rPr>
          <w:color w:val="000000"/>
        </w:rPr>
        <w:t xml:space="preserve"> the Board</w:t>
      </w:r>
      <w:r w:rsidR="00572A04">
        <w:rPr>
          <w:color w:val="000000"/>
        </w:rPr>
        <w:t>’s</w:t>
      </w:r>
      <w:r w:rsidR="00572A04" w:rsidRPr="00572A04">
        <w:rPr>
          <w:color w:val="000000"/>
        </w:rPr>
        <w:t xml:space="preserve"> authority is limited to making recommendations on correcting disability determinations. </w:t>
      </w:r>
      <w:r w:rsidR="00572A04">
        <w:rPr>
          <w:color w:val="000000"/>
        </w:rPr>
        <w:t xml:space="preserve"> </w:t>
      </w:r>
      <w:r w:rsidR="00572A04" w:rsidRPr="00572A04">
        <w:rPr>
          <w:color w:val="000000"/>
        </w:rPr>
        <w:t xml:space="preserve">The Board’s role is </w:t>
      </w:r>
      <w:r w:rsidR="00572A04">
        <w:rPr>
          <w:color w:val="000000"/>
        </w:rPr>
        <w:t xml:space="preserve">thus </w:t>
      </w:r>
      <w:r w:rsidR="00572A04" w:rsidRPr="00572A04">
        <w:rPr>
          <w:color w:val="000000"/>
        </w:rPr>
        <w:t>confined to the review of medical records and all evidence at hand to assess the fairness of PEB rating determinations, compared to VASRD standards, based on severity at the time of separation.</w:t>
      </w:r>
    </w:p>
    <w:p w:rsidR="00572A04" w:rsidRPr="001F29F9" w:rsidRDefault="00572A04" w:rsidP="00B22D42">
      <w:pPr>
        <w:jc w:val="both"/>
        <w:rPr>
          <w:color w:val="000000"/>
          <w:highlight w:val="yellow"/>
        </w:rPr>
      </w:pPr>
    </w:p>
    <w:p w:rsidR="0069687C" w:rsidRPr="007E04CC" w:rsidRDefault="00670EC6" w:rsidP="0069687C">
      <w:pPr>
        <w:jc w:val="both"/>
        <w:rPr>
          <w:color w:val="000000"/>
        </w:rPr>
      </w:pPr>
      <w:proofErr w:type="gramStart"/>
      <w:r>
        <w:rPr>
          <w:color w:val="000000"/>
          <w:u w:val="single"/>
        </w:rPr>
        <w:t>Cervical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074FB4">
        <w:rPr>
          <w:color w:val="000000"/>
        </w:rPr>
        <w:t>The CI attributed the 1994 onset of symptoms to “working out</w:t>
      </w:r>
      <w:r w:rsidR="00162986">
        <w:rPr>
          <w:color w:val="000000"/>
        </w:rPr>
        <w:t>.</w:t>
      </w:r>
      <w:r w:rsidR="00074FB4">
        <w:rPr>
          <w:color w:val="000000"/>
        </w:rPr>
        <w:t xml:space="preserve">”  At that time she had associated pain in the right shoulder, but developed radiation down the right arm associated with intermittent paresthesias.  Her symptoms were managed with anti-inflammatories and temporary profiles, but worsened in 2002.  </w:t>
      </w:r>
      <w:r w:rsidR="00061533">
        <w:rPr>
          <w:color w:val="000000"/>
        </w:rPr>
        <w:t xml:space="preserve">Imaging in 2003 revealed degenerative changes with bulging discs at C5/6 and C6/7, with left foraminal encroachment (contralateral to the radicular symptoms).  Surgery was offered, and </w:t>
      </w:r>
      <w:r w:rsidR="00973CF8">
        <w:rPr>
          <w:color w:val="000000"/>
        </w:rPr>
        <w:t>recommended</w:t>
      </w:r>
      <w:r w:rsidR="00061533">
        <w:rPr>
          <w:color w:val="000000"/>
        </w:rPr>
        <w:t xml:space="preserve">, </w:t>
      </w:r>
      <w:r w:rsidR="00973CF8">
        <w:rPr>
          <w:color w:val="000000"/>
        </w:rPr>
        <w:t>although</w:t>
      </w:r>
      <w:r w:rsidR="00061533">
        <w:rPr>
          <w:color w:val="000000"/>
        </w:rPr>
        <w:t xml:space="preserve"> </w:t>
      </w:r>
      <w:r w:rsidR="00973CF8">
        <w:rPr>
          <w:color w:val="000000"/>
        </w:rPr>
        <w:t xml:space="preserve">it was noted that </w:t>
      </w:r>
      <w:r w:rsidR="00061533">
        <w:rPr>
          <w:color w:val="000000"/>
        </w:rPr>
        <w:t xml:space="preserve">the expected results were questionable given the </w:t>
      </w:r>
      <w:r w:rsidR="0033693E">
        <w:rPr>
          <w:color w:val="000000"/>
        </w:rPr>
        <w:t xml:space="preserve">anatomic </w:t>
      </w:r>
      <w:r w:rsidR="00061533">
        <w:rPr>
          <w:color w:val="000000"/>
        </w:rPr>
        <w:t>disparity between findings and symptoms; thus, the CI declined surgical intervention.  A further trial of conservative measures, including epidural steroid injections, was unsuccessful.</w:t>
      </w:r>
      <w:r w:rsidR="007E04CC">
        <w:rPr>
          <w:color w:val="000000"/>
        </w:rPr>
        <w:t xml:space="preserve">  </w:t>
      </w:r>
      <w:r w:rsidR="0069687C" w:rsidRPr="00B652C3">
        <w:rPr>
          <w:color w:val="000000"/>
          <w:szCs w:val="24"/>
        </w:rPr>
        <w:t xml:space="preserve">There were </w:t>
      </w:r>
      <w:r w:rsidR="00636146">
        <w:rPr>
          <w:color w:val="000000"/>
          <w:szCs w:val="24"/>
        </w:rPr>
        <w:t>two</w:t>
      </w:r>
      <w:r w:rsidR="007E04CC">
        <w:rPr>
          <w:color w:val="000000"/>
          <w:szCs w:val="24"/>
        </w:rPr>
        <w:t xml:space="preserve"> </w:t>
      </w:r>
      <w:r w:rsidR="0069687C" w:rsidRPr="00B652C3">
        <w:rPr>
          <w:color w:val="000000"/>
          <w:szCs w:val="24"/>
        </w:rPr>
        <w:t xml:space="preserve">goniometric </w:t>
      </w:r>
      <w:proofErr w:type="gramStart"/>
      <w:r w:rsidR="0069687C" w:rsidRPr="00B652C3">
        <w:rPr>
          <w:color w:val="000000"/>
          <w:szCs w:val="24"/>
        </w:rPr>
        <w:t>range</w:t>
      </w:r>
      <w:proofErr w:type="gramEnd"/>
      <w:r w:rsidR="0069687C" w:rsidRPr="00B652C3">
        <w:rPr>
          <w:color w:val="000000"/>
          <w:szCs w:val="24"/>
        </w:rPr>
        <w:t xml:space="preserve"> of motion (ROM) evaluations in evidence, with documentation of additional ratable criteria, which the Board weighed in arriving at its rating recommendation; as summarized in the chart below.</w:t>
      </w:r>
    </w:p>
    <w:p w:rsidR="00CF0280" w:rsidRDefault="00CF0280" w:rsidP="0069687C">
      <w:pPr>
        <w:jc w:val="both"/>
        <w:rPr>
          <w:color w:val="000000"/>
          <w:szCs w:val="24"/>
        </w:rPr>
      </w:pPr>
    </w:p>
    <w:tbl>
      <w:tblPr>
        <w:tblW w:w="7665" w:type="dxa"/>
        <w:jc w:val="center"/>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6"/>
        <w:gridCol w:w="2372"/>
        <w:gridCol w:w="3197"/>
      </w:tblGrid>
      <w:tr w:rsidR="00670EC6" w:rsidRPr="00670EC6" w:rsidTr="00670EC6">
        <w:trPr>
          <w:jc w:val="center"/>
        </w:trPr>
        <w:tc>
          <w:tcPr>
            <w:tcW w:w="2096" w:type="dxa"/>
            <w:shd w:val="clear" w:color="auto" w:fill="D9D9D9"/>
            <w:vAlign w:val="center"/>
          </w:tcPr>
          <w:p w:rsidR="00670EC6" w:rsidRPr="00670EC6" w:rsidRDefault="00670EC6" w:rsidP="00670EC6">
            <w:pPr>
              <w:contextualSpacing/>
              <w:rPr>
                <w:rFonts w:cs="Times New Roman"/>
                <w:color w:val="auto"/>
                <w:sz w:val="22"/>
              </w:rPr>
            </w:pPr>
            <w:r w:rsidRPr="00670EC6">
              <w:rPr>
                <w:rFonts w:cs="Times New Roman"/>
                <w:color w:val="auto"/>
                <w:sz w:val="22"/>
              </w:rPr>
              <w:t>Cervical ROM</w:t>
            </w:r>
          </w:p>
        </w:tc>
        <w:tc>
          <w:tcPr>
            <w:tcW w:w="2372" w:type="dxa"/>
            <w:shd w:val="clear" w:color="auto" w:fill="D9D9D9"/>
            <w:vAlign w:val="center"/>
          </w:tcPr>
          <w:p w:rsidR="00670EC6" w:rsidRPr="00670EC6" w:rsidRDefault="00670EC6" w:rsidP="00670EC6">
            <w:pPr>
              <w:contextualSpacing/>
              <w:rPr>
                <w:rFonts w:cs="Times New Roman"/>
                <w:color w:val="auto"/>
                <w:sz w:val="22"/>
              </w:rPr>
            </w:pPr>
            <w:r w:rsidRPr="00670EC6">
              <w:rPr>
                <w:rFonts w:cs="Times New Roman"/>
                <w:color w:val="auto"/>
                <w:sz w:val="22"/>
              </w:rPr>
              <w:t xml:space="preserve">MEB </w:t>
            </w:r>
            <w:r>
              <w:rPr>
                <w:rFonts w:cs="Times New Roman"/>
                <w:color w:val="auto"/>
                <w:sz w:val="22"/>
              </w:rPr>
              <w:t xml:space="preserve">PT </w:t>
            </w:r>
            <w:r w:rsidRPr="00670EC6">
              <w:rPr>
                <w:rFonts w:cs="Times New Roman"/>
                <w:color w:val="auto"/>
                <w:sz w:val="22"/>
              </w:rPr>
              <w:t>~5 Mo. Pre-Sep</w:t>
            </w:r>
          </w:p>
        </w:tc>
        <w:tc>
          <w:tcPr>
            <w:tcW w:w="3197" w:type="dxa"/>
            <w:shd w:val="clear" w:color="auto" w:fill="D9D9D9"/>
            <w:vAlign w:val="center"/>
          </w:tcPr>
          <w:p w:rsidR="00670EC6" w:rsidRPr="00670EC6" w:rsidRDefault="00670EC6" w:rsidP="00670EC6">
            <w:pPr>
              <w:contextualSpacing/>
              <w:rPr>
                <w:rFonts w:cs="Times New Roman"/>
                <w:color w:val="auto"/>
                <w:sz w:val="22"/>
              </w:rPr>
            </w:pPr>
            <w:r>
              <w:rPr>
                <w:rFonts w:cs="Times New Roman"/>
                <w:color w:val="auto"/>
                <w:sz w:val="22"/>
              </w:rPr>
              <w:t>VA C&amp;P ~2 Mo. Pre</w:t>
            </w:r>
            <w:r w:rsidRPr="00670EC6">
              <w:rPr>
                <w:rFonts w:cs="Times New Roman"/>
                <w:color w:val="auto"/>
                <w:sz w:val="22"/>
              </w:rPr>
              <w:t>-Sep</w:t>
            </w:r>
          </w:p>
        </w:tc>
      </w:tr>
      <w:tr w:rsidR="00670EC6" w:rsidRPr="00670EC6" w:rsidTr="00670EC6">
        <w:trPr>
          <w:jc w:val="center"/>
        </w:trPr>
        <w:tc>
          <w:tcPr>
            <w:tcW w:w="2096" w:type="dxa"/>
            <w:vAlign w:val="center"/>
          </w:tcPr>
          <w:p w:rsidR="00670EC6" w:rsidRPr="00670EC6" w:rsidRDefault="00670EC6" w:rsidP="00670EC6">
            <w:pPr>
              <w:contextualSpacing/>
              <w:rPr>
                <w:rFonts w:cs="Times New Roman"/>
                <w:color w:val="auto"/>
                <w:sz w:val="22"/>
              </w:rPr>
            </w:pPr>
            <w:r w:rsidRPr="00670EC6">
              <w:rPr>
                <w:rFonts w:cs="Times New Roman"/>
                <w:color w:val="auto"/>
                <w:sz w:val="22"/>
              </w:rPr>
              <w:t>Flexion (45⁰ Normal)</w:t>
            </w:r>
          </w:p>
        </w:tc>
        <w:tc>
          <w:tcPr>
            <w:tcW w:w="2372" w:type="dxa"/>
            <w:vAlign w:val="center"/>
          </w:tcPr>
          <w:p w:rsidR="00670EC6" w:rsidRPr="00670EC6" w:rsidRDefault="00670EC6" w:rsidP="00670EC6">
            <w:pPr>
              <w:contextualSpacing/>
              <w:rPr>
                <w:rFonts w:cs="Times New Roman"/>
                <w:color w:val="auto"/>
                <w:sz w:val="22"/>
              </w:rPr>
            </w:pPr>
            <w:r>
              <w:rPr>
                <w:rFonts w:cs="Times New Roman"/>
                <w:color w:val="auto"/>
                <w:sz w:val="22"/>
              </w:rPr>
              <w:t>30</w:t>
            </w:r>
            <w:r w:rsidRPr="00670EC6">
              <w:rPr>
                <w:rFonts w:cs="Times New Roman"/>
                <w:color w:val="auto"/>
                <w:sz w:val="22"/>
              </w:rPr>
              <w:t>⁰</w:t>
            </w:r>
          </w:p>
        </w:tc>
        <w:tc>
          <w:tcPr>
            <w:tcW w:w="3197" w:type="dxa"/>
            <w:vAlign w:val="center"/>
          </w:tcPr>
          <w:p w:rsidR="00670EC6" w:rsidRPr="00670EC6" w:rsidRDefault="00670EC6" w:rsidP="00670EC6">
            <w:pPr>
              <w:contextualSpacing/>
              <w:rPr>
                <w:rFonts w:cs="Times New Roman"/>
                <w:color w:val="auto"/>
                <w:sz w:val="22"/>
              </w:rPr>
            </w:pPr>
            <w:r>
              <w:rPr>
                <w:rFonts w:cs="Times New Roman"/>
                <w:color w:val="auto"/>
                <w:sz w:val="22"/>
              </w:rPr>
              <w:t>6</w:t>
            </w:r>
            <w:r w:rsidRPr="00670EC6">
              <w:rPr>
                <w:rFonts w:cs="Times New Roman"/>
                <w:color w:val="auto"/>
                <w:sz w:val="22"/>
              </w:rPr>
              <w:t>5⁰</w:t>
            </w:r>
          </w:p>
        </w:tc>
      </w:tr>
      <w:tr w:rsidR="00670EC6" w:rsidRPr="00670EC6" w:rsidTr="00670EC6">
        <w:trPr>
          <w:jc w:val="center"/>
        </w:trPr>
        <w:tc>
          <w:tcPr>
            <w:tcW w:w="2096" w:type="dxa"/>
            <w:vAlign w:val="center"/>
          </w:tcPr>
          <w:p w:rsidR="00670EC6" w:rsidRPr="00670EC6" w:rsidRDefault="00670EC6" w:rsidP="00670EC6">
            <w:pPr>
              <w:contextualSpacing/>
              <w:rPr>
                <w:rFonts w:cs="Times New Roman"/>
                <w:color w:val="auto"/>
                <w:sz w:val="22"/>
              </w:rPr>
            </w:pPr>
            <w:r w:rsidRPr="00670EC6">
              <w:rPr>
                <w:rFonts w:cs="Times New Roman"/>
                <w:color w:val="auto"/>
                <w:sz w:val="22"/>
              </w:rPr>
              <w:t>Combined (340⁰)</w:t>
            </w:r>
          </w:p>
        </w:tc>
        <w:tc>
          <w:tcPr>
            <w:tcW w:w="2372" w:type="dxa"/>
            <w:vAlign w:val="center"/>
          </w:tcPr>
          <w:p w:rsidR="00670EC6" w:rsidRPr="00670EC6" w:rsidRDefault="00670EC6" w:rsidP="00670EC6">
            <w:pPr>
              <w:contextualSpacing/>
              <w:rPr>
                <w:rFonts w:cs="Times New Roman"/>
                <w:color w:val="auto"/>
                <w:sz w:val="22"/>
              </w:rPr>
            </w:pPr>
            <w:r>
              <w:rPr>
                <w:rFonts w:cs="Times New Roman"/>
                <w:color w:val="auto"/>
                <w:sz w:val="22"/>
              </w:rPr>
              <w:t>25</w:t>
            </w:r>
            <w:r w:rsidRPr="00670EC6">
              <w:rPr>
                <w:rFonts w:cs="Times New Roman"/>
                <w:color w:val="auto"/>
                <w:sz w:val="22"/>
              </w:rPr>
              <w:t>0⁰</w:t>
            </w:r>
          </w:p>
        </w:tc>
        <w:tc>
          <w:tcPr>
            <w:tcW w:w="3197" w:type="dxa"/>
            <w:vAlign w:val="center"/>
          </w:tcPr>
          <w:p w:rsidR="00670EC6" w:rsidRPr="00670EC6" w:rsidRDefault="00670EC6" w:rsidP="00670EC6">
            <w:pPr>
              <w:contextualSpacing/>
              <w:rPr>
                <w:rFonts w:cs="Times New Roman"/>
                <w:color w:val="auto"/>
                <w:sz w:val="22"/>
              </w:rPr>
            </w:pPr>
            <w:r w:rsidRPr="00670EC6">
              <w:rPr>
                <w:rFonts w:cs="Times New Roman"/>
                <w:color w:val="auto"/>
                <w:sz w:val="22"/>
              </w:rPr>
              <w:t>340⁰+</w:t>
            </w:r>
          </w:p>
        </w:tc>
      </w:tr>
      <w:tr w:rsidR="00670EC6" w:rsidRPr="00670EC6" w:rsidTr="00670EC6">
        <w:trPr>
          <w:trHeight w:val="58"/>
          <w:jc w:val="center"/>
        </w:trPr>
        <w:tc>
          <w:tcPr>
            <w:tcW w:w="2096" w:type="dxa"/>
            <w:vAlign w:val="center"/>
          </w:tcPr>
          <w:p w:rsidR="00670EC6" w:rsidRPr="00670EC6" w:rsidRDefault="00670EC6" w:rsidP="00670EC6">
            <w:pPr>
              <w:tabs>
                <w:tab w:val="left" w:pos="288"/>
                <w:tab w:val="left" w:pos="4752"/>
              </w:tabs>
              <w:rPr>
                <w:rFonts w:cs="Times New Roman"/>
                <w:color w:val="auto"/>
                <w:sz w:val="22"/>
              </w:rPr>
            </w:pPr>
            <w:r w:rsidRPr="00670EC6">
              <w:rPr>
                <w:rFonts w:cs="Times New Roman"/>
                <w:color w:val="auto"/>
                <w:sz w:val="22"/>
              </w:rPr>
              <w:t>Comments</w:t>
            </w:r>
          </w:p>
        </w:tc>
        <w:tc>
          <w:tcPr>
            <w:tcW w:w="2372" w:type="dxa"/>
            <w:vAlign w:val="center"/>
          </w:tcPr>
          <w:p w:rsidR="00670EC6" w:rsidRPr="00670EC6" w:rsidRDefault="00670EC6" w:rsidP="00670EC6">
            <w:pPr>
              <w:tabs>
                <w:tab w:val="left" w:pos="288"/>
                <w:tab w:val="left" w:pos="4752"/>
              </w:tabs>
              <w:spacing w:line="200" w:lineRule="exact"/>
              <w:rPr>
                <w:rFonts w:cs="Times New Roman"/>
                <w:color w:val="auto"/>
                <w:sz w:val="22"/>
              </w:rPr>
            </w:pPr>
            <w:r w:rsidRPr="00670EC6">
              <w:rPr>
                <w:rFonts w:cs="Times New Roman"/>
                <w:color w:val="auto"/>
                <w:sz w:val="22"/>
              </w:rPr>
              <w:t>+ Tenderness</w:t>
            </w:r>
            <w:r>
              <w:rPr>
                <w:rFonts w:cs="Times New Roman"/>
                <w:color w:val="auto"/>
                <w:sz w:val="22"/>
              </w:rPr>
              <w:t xml:space="preserve">; ROM limited by pain. </w:t>
            </w:r>
          </w:p>
        </w:tc>
        <w:tc>
          <w:tcPr>
            <w:tcW w:w="3197" w:type="dxa"/>
            <w:vAlign w:val="center"/>
          </w:tcPr>
          <w:p w:rsidR="00670EC6" w:rsidRPr="00670EC6" w:rsidRDefault="00670EC6" w:rsidP="00670EC6">
            <w:pPr>
              <w:tabs>
                <w:tab w:val="left" w:pos="288"/>
                <w:tab w:val="left" w:pos="4752"/>
              </w:tabs>
              <w:spacing w:line="200" w:lineRule="exact"/>
              <w:rPr>
                <w:rFonts w:cs="Times New Roman"/>
                <w:color w:val="auto"/>
                <w:sz w:val="22"/>
              </w:rPr>
            </w:pPr>
            <w:r>
              <w:rPr>
                <w:rFonts w:cs="Times New Roman"/>
                <w:color w:val="auto"/>
                <w:sz w:val="22"/>
              </w:rPr>
              <w:t>No spasm, tenderness, abnormal contour, or p</w:t>
            </w:r>
            <w:r w:rsidRPr="00670EC6">
              <w:rPr>
                <w:rFonts w:cs="Times New Roman"/>
                <w:color w:val="auto"/>
                <w:sz w:val="22"/>
              </w:rPr>
              <w:t>ainful motion.</w:t>
            </w:r>
          </w:p>
        </w:tc>
      </w:tr>
      <w:tr w:rsidR="00670EC6" w:rsidRPr="00670EC6" w:rsidTr="00670EC6">
        <w:trPr>
          <w:trHeight w:val="70"/>
          <w:jc w:val="center"/>
        </w:trPr>
        <w:tc>
          <w:tcPr>
            <w:tcW w:w="2096" w:type="dxa"/>
            <w:vAlign w:val="center"/>
          </w:tcPr>
          <w:p w:rsidR="00670EC6" w:rsidRPr="00670EC6" w:rsidRDefault="00670EC6" w:rsidP="00670EC6">
            <w:pPr>
              <w:tabs>
                <w:tab w:val="left" w:pos="288"/>
                <w:tab w:val="left" w:pos="4752"/>
              </w:tabs>
              <w:rPr>
                <w:rFonts w:cs="Times New Roman"/>
                <w:color w:val="auto"/>
                <w:sz w:val="22"/>
              </w:rPr>
            </w:pPr>
            <w:r w:rsidRPr="00670EC6">
              <w:rPr>
                <w:rFonts w:cs="Times New Roman"/>
                <w:color w:val="auto"/>
                <w:sz w:val="22"/>
              </w:rPr>
              <w:t>§4.71a Rating</w:t>
            </w:r>
          </w:p>
        </w:tc>
        <w:tc>
          <w:tcPr>
            <w:tcW w:w="2372" w:type="dxa"/>
            <w:vAlign w:val="center"/>
          </w:tcPr>
          <w:p w:rsidR="00670EC6" w:rsidRPr="00670EC6" w:rsidRDefault="00670EC6" w:rsidP="00670EC6">
            <w:pPr>
              <w:tabs>
                <w:tab w:val="left" w:pos="288"/>
                <w:tab w:val="left" w:pos="4752"/>
              </w:tabs>
              <w:rPr>
                <w:rFonts w:cs="Times New Roman"/>
                <w:color w:val="auto"/>
                <w:sz w:val="22"/>
              </w:rPr>
            </w:pPr>
            <w:r>
              <w:rPr>
                <w:rFonts w:cs="Times New Roman"/>
                <w:color w:val="auto"/>
                <w:sz w:val="22"/>
              </w:rPr>
              <w:t>2</w:t>
            </w:r>
            <w:r w:rsidRPr="00670EC6">
              <w:rPr>
                <w:rFonts w:cs="Times New Roman"/>
                <w:color w:val="auto"/>
                <w:sz w:val="22"/>
              </w:rPr>
              <w:t>0%</w:t>
            </w:r>
          </w:p>
        </w:tc>
        <w:tc>
          <w:tcPr>
            <w:tcW w:w="3197" w:type="dxa"/>
            <w:vAlign w:val="center"/>
          </w:tcPr>
          <w:p w:rsidR="00670EC6" w:rsidRPr="00670EC6" w:rsidRDefault="00670EC6" w:rsidP="00670EC6">
            <w:pPr>
              <w:tabs>
                <w:tab w:val="left" w:pos="288"/>
                <w:tab w:val="left" w:pos="4752"/>
              </w:tabs>
              <w:rPr>
                <w:rFonts w:cs="Times New Roman"/>
                <w:color w:val="auto"/>
                <w:sz w:val="22"/>
              </w:rPr>
            </w:pPr>
            <w:r w:rsidRPr="00670EC6">
              <w:rPr>
                <w:rFonts w:cs="Times New Roman"/>
                <w:color w:val="auto"/>
                <w:sz w:val="22"/>
              </w:rPr>
              <w:t>0%</w:t>
            </w:r>
          </w:p>
        </w:tc>
      </w:tr>
    </w:tbl>
    <w:p w:rsidR="00670EC6" w:rsidRDefault="00670EC6" w:rsidP="0069687C">
      <w:pPr>
        <w:jc w:val="both"/>
        <w:rPr>
          <w:color w:val="000000"/>
          <w:szCs w:val="24"/>
        </w:rPr>
      </w:pPr>
    </w:p>
    <w:p w:rsidR="00973CF8" w:rsidRDefault="00973CF8" w:rsidP="0069687C">
      <w:pPr>
        <w:jc w:val="both"/>
        <w:rPr>
          <w:color w:val="000000"/>
          <w:szCs w:val="24"/>
        </w:rPr>
      </w:pPr>
      <w:r>
        <w:rPr>
          <w:color w:val="000000"/>
          <w:szCs w:val="24"/>
        </w:rPr>
        <w:t xml:space="preserve">The MEB examiner noted only </w:t>
      </w:r>
      <w:r w:rsidR="001A5343">
        <w:rPr>
          <w:color w:val="000000"/>
          <w:szCs w:val="24"/>
        </w:rPr>
        <w:t>the standard</w:t>
      </w:r>
      <w:r>
        <w:rPr>
          <w:color w:val="000000"/>
          <w:szCs w:val="24"/>
        </w:rPr>
        <w:t xml:space="preserve"> profile limitations as functional impairment</w:t>
      </w:r>
      <w:r w:rsidR="001A5343">
        <w:rPr>
          <w:color w:val="000000"/>
          <w:szCs w:val="24"/>
        </w:rPr>
        <w:t>s</w:t>
      </w:r>
      <w:r>
        <w:rPr>
          <w:color w:val="000000"/>
          <w:szCs w:val="24"/>
        </w:rPr>
        <w:t xml:space="preserve"> </w:t>
      </w:r>
      <w:r w:rsidR="001A5343">
        <w:rPr>
          <w:color w:val="000000"/>
          <w:szCs w:val="24"/>
        </w:rPr>
        <w:t>associated with the</w:t>
      </w:r>
      <w:r>
        <w:rPr>
          <w:color w:val="000000"/>
          <w:szCs w:val="24"/>
        </w:rPr>
        <w:t xml:space="preserve"> condition, stating that </w:t>
      </w:r>
      <w:r w:rsidR="001A5343">
        <w:rPr>
          <w:color w:val="000000"/>
          <w:szCs w:val="24"/>
        </w:rPr>
        <w:t xml:space="preserve">she was </w:t>
      </w:r>
      <w:r>
        <w:rPr>
          <w:color w:val="000000"/>
          <w:szCs w:val="24"/>
        </w:rPr>
        <w:t>“</w:t>
      </w:r>
      <w:r w:rsidR="001A5343">
        <w:rPr>
          <w:color w:val="000000"/>
          <w:szCs w:val="24"/>
        </w:rPr>
        <w:t xml:space="preserve">able to perform the </w:t>
      </w:r>
      <w:r>
        <w:rPr>
          <w:color w:val="000000"/>
          <w:szCs w:val="24"/>
        </w:rPr>
        <w:t>activities of daily living including driving</w:t>
      </w:r>
      <w:r w:rsidR="00636146">
        <w:rPr>
          <w:color w:val="000000"/>
          <w:szCs w:val="24"/>
        </w:rPr>
        <w:t>;</w:t>
      </w:r>
      <w:r>
        <w:rPr>
          <w:color w:val="000000"/>
          <w:szCs w:val="24"/>
        </w:rPr>
        <w:t xml:space="preserve">” but, noted a statement </w:t>
      </w:r>
      <w:r w:rsidR="00EE5B56">
        <w:rPr>
          <w:color w:val="000000"/>
          <w:szCs w:val="24"/>
        </w:rPr>
        <w:t xml:space="preserve">from the CI </w:t>
      </w:r>
      <w:r>
        <w:rPr>
          <w:color w:val="000000"/>
          <w:szCs w:val="24"/>
        </w:rPr>
        <w:t xml:space="preserve">that </w:t>
      </w:r>
      <w:r w:rsidR="007D2FE0">
        <w:rPr>
          <w:color w:val="000000"/>
          <w:szCs w:val="24"/>
        </w:rPr>
        <w:t xml:space="preserve">she “has a hard time doing IV’s” due to right hand </w:t>
      </w:r>
      <w:r w:rsidR="00D53E7B">
        <w:rPr>
          <w:color w:val="000000"/>
          <w:szCs w:val="24"/>
        </w:rPr>
        <w:t>“weakness and numbness</w:t>
      </w:r>
      <w:r w:rsidR="00636146">
        <w:rPr>
          <w:color w:val="000000"/>
          <w:szCs w:val="24"/>
        </w:rPr>
        <w:t>.</w:t>
      </w:r>
      <w:r w:rsidR="00D53E7B">
        <w:rPr>
          <w:color w:val="000000"/>
          <w:szCs w:val="24"/>
        </w:rPr>
        <w:t>”</w:t>
      </w:r>
      <w:r w:rsidR="007D2FE0">
        <w:rPr>
          <w:color w:val="000000"/>
          <w:szCs w:val="24"/>
        </w:rPr>
        <w:t xml:space="preserve">  The CI remained active in her MOS in a supervisory role.  The MEB physical exam noted mid-line cervical and right trapezial tenderness without mention of spasm.  </w:t>
      </w:r>
      <w:r w:rsidR="004E4B63" w:rsidRPr="004E4B63">
        <w:rPr>
          <w:color w:val="000000"/>
          <w:szCs w:val="24"/>
        </w:rPr>
        <w:t xml:space="preserve">ROM measurements were </w:t>
      </w:r>
      <w:r w:rsidR="007D2FE0">
        <w:rPr>
          <w:color w:val="000000"/>
          <w:szCs w:val="24"/>
        </w:rPr>
        <w:t>deferred to physical therapy (PT) as charted above.  The neuro exam noted biceps, triceps, and deltoid strengt</w:t>
      </w:r>
      <w:r w:rsidR="00367916">
        <w:rPr>
          <w:color w:val="000000"/>
          <w:szCs w:val="24"/>
        </w:rPr>
        <w:t xml:space="preserve">h of “4/5 limited only by pain”; but </w:t>
      </w:r>
      <w:r w:rsidR="007D2FE0">
        <w:rPr>
          <w:color w:val="000000"/>
          <w:szCs w:val="24"/>
        </w:rPr>
        <w:t>was otherwise normal.  The pre-separation</w:t>
      </w:r>
      <w:r w:rsidR="007D2FE0" w:rsidRPr="007D2FE0">
        <w:rPr>
          <w:color w:val="000000"/>
          <w:szCs w:val="24"/>
        </w:rPr>
        <w:t xml:space="preserve"> </w:t>
      </w:r>
      <w:r w:rsidR="007D2FE0">
        <w:rPr>
          <w:color w:val="000000"/>
          <w:szCs w:val="24"/>
        </w:rPr>
        <w:t xml:space="preserve">VA </w:t>
      </w:r>
      <w:r w:rsidR="007D2FE0" w:rsidRPr="00CF0280">
        <w:rPr>
          <w:color w:val="000000"/>
          <w:szCs w:val="24"/>
        </w:rPr>
        <w:t>Compensation and Pension (C&amp;P)</w:t>
      </w:r>
      <w:r w:rsidR="007D2FE0">
        <w:rPr>
          <w:color w:val="000000"/>
          <w:szCs w:val="24"/>
        </w:rPr>
        <w:t xml:space="preserve"> examiner reported that “the condition does not interfere with her ordinary lifting or carrying, activities of daily living service functions.”  </w:t>
      </w:r>
      <w:r w:rsidR="004E4B63">
        <w:rPr>
          <w:color w:val="000000"/>
          <w:szCs w:val="24"/>
        </w:rPr>
        <w:t xml:space="preserve">The VA examiner reported normal physical findings and ROM measurements greater than the normal range as charted above.  The neurological examination reported 5/5 muscle strength in all groups and normal reflexes.  The only comparison evidence found in the record to corroborate the disparate ROM evaluations noted above was a neurology consultant </w:t>
      </w:r>
      <w:r w:rsidR="005F7415">
        <w:rPr>
          <w:color w:val="000000"/>
          <w:szCs w:val="24"/>
        </w:rPr>
        <w:t>(12 months pre-separation) who commented that cervical ROM “was mildly decreased</w:t>
      </w:r>
      <w:r w:rsidR="00636146">
        <w:rPr>
          <w:color w:val="000000"/>
          <w:szCs w:val="24"/>
        </w:rPr>
        <w:t>.</w:t>
      </w:r>
      <w:r w:rsidR="005F7415">
        <w:rPr>
          <w:color w:val="000000"/>
          <w:szCs w:val="24"/>
        </w:rPr>
        <w:t xml:space="preserve">” </w:t>
      </w:r>
      <w:r w:rsidR="00EA4911">
        <w:rPr>
          <w:color w:val="000000"/>
          <w:szCs w:val="24"/>
        </w:rPr>
        <w:t xml:space="preserve"> </w:t>
      </w:r>
      <w:r w:rsidR="005F7415">
        <w:rPr>
          <w:color w:val="000000"/>
          <w:szCs w:val="24"/>
        </w:rPr>
        <w:t>His detailed neurological examination noted no abnormal findings regarding cervical radiculopathy or otherwise.  There were numerous corroborating neurologic examinations of the rig</w:t>
      </w:r>
      <w:r w:rsidR="00D53E7B">
        <w:rPr>
          <w:color w:val="000000"/>
          <w:szCs w:val="24"/>
        </w:rPr>
        <w:t>ht upper extremity in evidence (</w:t>
      </w:r>
      <w:r w:rsidR="005F7415">
        <w:rPr>
          <w:color w:val="000000"/>
          <w:szCs w:val="24"/>
        </w:rPr>
        <w:t xml:space="preserve">including </w:t>
      </w:r>
      <w:r w:rsidR="00D53E7B">
        <w:rPr>
          <w:color w:val="000000"/>
          <w:szCs w:val="24"/>
        </w:rPr>
        <w:t xml:space="preserve">by </w:t>
      </w:r>
      <w:r w:rsidR="005F7415">
        <w:rPr>
          <w:color w:val="000000"/>
          <w:szCs w:val="24"/>
        </w:rPr>
        <w:t>specialty consultants</w:t>
      </w:r>
      <w:r w:rsidR="005A72D0">
        <w:rPr>
          <w:color w:val="000000"/>
          <w:szCs w:val="24"/>
        </w:rPr>
        <w:t>);</w:t>
      </w:r>
      <w:r w:rsidR="00D53E7B">
        <w:rPr>
          <w:color w:val="000000"/>
          <w:szCs w:val="24"/>
        </w:rPr>
        <w:t xml:space="preserve"> all of which noted normal strength, reflex, and sensory findings</w:t>
      </w:r>
      <w:r w:rsidR="005A72D0">
        <w:rPr>
          <w:color w:val="000000"/>
          <w:szCs w:val="24"/>
        </w:rPr>
        <w:t xml:space="preserve">. </w:t>
      </w:r>
      <w:r w:rsidR="005F7415">
        <w:rPr>
          <w:color w:val="000000"/>
          <w:szCs w:val="24"/>
        </w:rPr>
        <w:t xml:space="preserve"> </w:t>
      </w:r>
      <w:r w:rsidR="005A72D0">
        <w:rPr>
          <w:color w:val="000000"/>
          <w:szCs w:val="24"/>
        </w:rPr>
        <w:t>A</w:t>
      </w:r>
      <w:r w:rsidR="005F7415">
        <w:rPr>
          <w:color w:val="000000"/>
          <w:szCs w:val="24"/>
        </w:rPr>
        <w:t xml:space="preserve"> complaint of right cervical radicular type pain was frequent</w:t>
      </w:r>
      <w:r w:rsidR="005A72D0">
        <w:rPr>
          <w:color w:val="000000"/>
          <w:szCs w:val="24"/>
        </w:rPr>
        <w:t>, however</w:t>
      </w:r>
      <w:r w:rsidR="005F7415">
        <w:rPr>
          <w:color w:val="000000"/>
          <w:szCs w:val="24"/>
        </w:rPr>
        <w:t xml:space="preserve">. </w:t>
      </w:r>
    </w:p>
    <w:p w:rsidR="0006388E" w:rsidRDefault="0006388E" w:rsidP="0069687C">
      <w:pPr>
        <w:jc w:val="both"/>
        <w:rPr>
          <w:color w:val="000000"/>
          <w:szCs w:val="24"/>
        </w:rPr>
      </w:pPr>
    </w:p>
    <w:p w:rsidR="00C36EA7" w:rsidRDefault="0006388E" w:rsidP="00C36EA7">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The PEB’s DA Form 199 quoted the </w:t>
      </w:r>
      <w:r w:rsidRPr="00367916">
        <w:rPr>
          <w:rFonts w:cs="Times New Roman"/>
          <w:i/>
          <w:color w:val="auto"/>
        </w:rPr>
        <w:t>passive</w:t>
      </w:r>
      <w:r>
        <w:rPr>
          <w:rFonts w:cs="Times New Roman"/>
          <w:color w:val="auto"/>
        </w:rPr>
        <w:t xml:space="preserve"> ROMs measured by the PT examiner</w:t>
      </w:r>
      <w:r w:rsidR="00367916">
        <w:rPr>
          <w:rFonts w:cs="Times New Roman"/>
          <w:color w:val="auto"/>
        </w:rPr>
        <w:t xml:space="preserve"> (flexion 45⁰, combined 340⁰)</w:t>
      </w:r>
      <w:r>
        <w:rPr>
          <w:rFonts w:cs="Times New Roman"/>
          <w:color w:val="auto"/>
        </w:rPr>
        <w:t xml:space="preserve">, and cited cervical tenderness as the VASRD §4.71a basis for its 10% </w:t>
      </w:r>
      <w:r>
        <w:rPr>
          <w:rFonts w:cs="Times New Roman"/>
          <w:color w:val="auto"/>
        </w:rPr>
        <w:lastRenderedPageBreak/>
        <w:t>determination.  The Board relies on active ROM measurements (</w:t>
      </w:r>
      <w:r w:rsidR="00367916">
        <w:rPr>
          <w:rFonts w:cs="Times New Roman"/>
          <w:color w:val="auto"/>
        </w:rPr>
        <w:t>as charted</w:t>
      </w:r>
      <w:r>
        <w:rPr>
          <w:rFonts w:cs="Times New Roman"/>
          <w:color w:val="auto"/>
        </w:rPr>
        <w:t xml:space="preserve">) </w:t>
      </w:r>
      <w:r w:rsidR="00367916">
        <w:rPr>
          <w:rFonts w:cs="Times New Roman"/>
          <w:color w:val="auto"/>
        </w:rPr>
        <w:t>to reflect</w:t>
      </w:r>
      <w:r>
        <w:rPr>
          <w:rFonts w:cs="Times New Roman"/>
          <w:color w:val="auto"/>
        </w:rPr>
        <w:t xml:space="preserve"> pain-limited ROM for rating purposes.  </w:t>
      </w:r>
      <w:r w:rsidR="00635AC6">
        <w:rPr>
          <w:rFonts w:cs="Times New Roman"/>
          <w:color w:val="auto"/>
        </w:rPr>
        <w:t xml:space="preserve">Given the conflicting evidence from the VA exam, however, the Board must make a probative value judgment in its selection of ROM evaluations on which to base its recommendation.  The 30⁰ active flexion </w:t>
      </w:r>
      <w:r w:rsidR="00367916">
        <w:rPr>
          <w:rFonts w:cs="Times New Roman"/>
          <w:color w:val="auto"/>
        </w:rPr>
        <w:t>per</w:t>
      </w:r>
      <w:r w:rsidR="00635AC6">
        <w:rPr>
          <w:rFonts w:cs="Times New Roman"/>
          <w:color w:val="auto"/>
        </w:rPr>
        <w:t xml:space="preserve"> the </w:t>
      </w:r>
      <w:r w:rsidR="00367916">
        <w:rPr>
          <w:rFonts w:cs="Times New Roman"/>
          <w:color w:val="auto"/>
        </w:rPr>
        <w:t>MEB physical therapist</w:t>
      </w:r>
      <w:r w:rsidR="00635AC6">
        <w:rPr>
          <w:rFonts w:cs="Times New Roman"/>
          <w:color w:val="auto"/>
        </w:rPr>
        <w:t xml:space="preserve"> is the threshold for a 20% rating IAW §4.71a.  After deliberation</w:t>
      </w:r>
      <w:r w:rsidR="00367916">
        <w:rPr>
          <w:rFonts w:cs="Times New Roman"/>
          <w:color w:val="auto"/>
        </w:rPr>
        <w:t>,</w:t>
      </w:r>
      <w:r w:rsidR="00635AC6">
        <w:rPr>
          <w:rFonts w:cs="Times New Roman"/>
          <w:color w:val="auto"/>
        </w:rPr>
        <w:t xml:space="preserve"> members agreed that this single finding was not sufficiently probative as a basis for the higher recomm</w:t>
      </w:r>
      <w:r w:rsidR="00C36EA7">
        <w:rPr>
          <w:rFonts w:cs="Times New Roman"/>
          <w:color w:val="auto"/>
        </w:rPr>
        <w:t xml:space="preserve">endation for the following reasons: </w:t>
      </w:r>
      <w:r w:rsidR="00635AC6">
        <w:rPr>
          <w:rFonts w:cs="Times New Roman"/>
          <w:color w:val="auto"/>
        </w:rPr>
        <w:t>the only corroborating evidence was more consistent with minimally impaired ROM</w:t>
      </w:r>
      <w:r w:rsidR="00C36EA7">
        <w:rPr>
          <w:rFonts w:cs="Times New Roman"/>
          <w:color w:val="auto"/>
        </w:rPr>
        <w:t>;</w:t>
      </w:r>
      <w:r w:rsidR="00635AC6">
        <w:rPr>
          <w:rFonts w:cs="Times New Roman"/>
          <w:color w:val="auto"/>
        </w:rPr>
        <w:t xml:space="preserve"> the combined active ROM was incongruent with th</w:t>
      </w:r>
      <w:r w:rsidR="00C36EA7">
        <w:rPr>
          <w:rFonts w:cs="Times New Roman"/>
          <w:color w:val="auto"/>
        </w:rPr>
        <w:t>e significantly limited flexion;</w:t>
      </w:r>
      <w:r w:rsidR="00635AC6">
        <w:rPr>
          <w:rFonts w:cs="Times New Roman"/>
          <w:color w:val="auto"/>
        </w:rPr>
        <w:t xml:space="preserve"> the VA evaluation was temporally c</w:t>
      </w:r>
      <w:r w:rsidR="00C36EA7">
        <w:rPr>
          <w:rFonts w:cs="Times New Roman"/>
          <w:color w:val="auto"/>
        </w:rPr>
        <w:t>loser to the date of separation;</w:t>
      </w:r>
      <w:r w:rsidR="00635AC6">
        <w:rPr>
          <w:rFonts w:cs="Times New Roman"/>
          <w:color w:val="auto"/>
        </w:rPr>
        <w:t xml:space="preserve"> and</w:t>
      </w:r>
      <w:r w:rsidR="00C36EA7">
        <w:rPr>
          <w:rFonts w:cs="Times New Roman"/>
          <w:color w:val="auto"/>
        </w:rPr>
        <w:t>,</w:t>
      </w:r>
      <w:r w:rsidR="00635AC6">
        <w:rPr>
          <w:rFonts w:cs="Times New Roman"/>
          <w:color w:val="auto"/>
        </w:rPr>
        <w:t xml:space="preserve"> the </w:t>
      </w:r>
      <w:r w:rsidR="00C36EA7">
        <w:rPr>
          <w:rFonts w:cs="Times New Roman"/>
          <w:color w:val="auto"/>
        </w:rPr>
        <w:t xml:space="preserve">VA and corroborating evidence was derived from physician evaluators.  </w:t>
      </w:r>
      <w:r w:rsidR="00C36EA7"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C36EA7">
        <w:rPr>
          <w:rFonts w:eastAsia="Calibri" w:cs="Times New Roman"/>
          <w:color w:val="auto"/>
          <w:szCs w:val="24"/>
        </w:rPr>
        <w:t>cervical spine</w:t>
      </w:r>
      <w:r w:rsidR="00C36EA7" w:rsidRPr="00626902">
        <w:rPr>
          <w:rFonts w:eastAsia="Calibri" w:cs="Times New Roman"/>
          <w:color w:val="auto"/>
          <w:szCs w:val="24"/>
        </w:rPr>
        <w:t xml:space="preserve"> condition.</w:t>
      </w:r>
    </w:p>
    <w:p w:rsidR="00C36EA7" w:rsidRDefault="00C36EA7" w:rsidP="00C36EA7">
      <w:pPr>
        <w:jc w:val="both"/>
        <w:rPr>
          <w:rFonts w:eastAsia="Calibri" w:cs="Times New Roman"/>
          <w:color w:val="auto"/>
          <w:szCs w:val="24"/>
        </w:rPr>
      </w:pPr>
    </w:p>
    <w:p w:rsidR="005A72D0" w:rsidRPr="00C36EA7" w:rsidRDefault="00C36EA7" w:rsidP="00C36EA7">
      <w:pPr>
        <w:jc w:val="both"/>
        <w:rPr>
          <w:rFonts w:eastAsia="Calibri" w:cs="Times New Roman"/>
          <w:color w:val="auto"/>
          <w:szCs w:val="24"/>
        </w:rPr>
      </w:pPr>
      <w:r w:rsidRPr="00C36EA7">
        <w:rPr>
          <w:rFonts w:eastAsia="Calibri" w:cs="Times New Roman"/>
          <w:color w:val="auto"/>
          <w:szCs w:val="24"/>
        </w:rPr>
        <w:t xml:space="preserve">The Board </w:t>
      </w:r>
      <w:r>
        <w:rPr>
          <w:rFonts w:eastAsia="Calibri" w:cs="Times New Roman"/>
          <w:color w:val="auto"/>
          <w:szCs w:val="24"/>
        </w:rPr>
        <w:t xml:space="preserve">additionally </w:t>
      </w:r>
      <w:r w:rsidRPr="00C36EA7">
        <w:rPr>
          <w:rFonts w:eastAsia="Calibri" w:cs="Times New Roman"/>
          <w:color w:val="auto"/>
          <w:szCs w:val="24"/>
        </w:rPr>
        <w:t>considered whether additional rating could be recommended under a peripheral ne</w:t>
      </w:r>
      <w:r>
        <w:rPr>
          <w:rFonts w:eastAsia="Calibri" w:cs="Times New Roman"/>
          <w:color w:val="auto"/>
          <w:szCs w:val="24"/>
        </w:rPr>
        <w:t xml:space="preserve">rve code </w:t>
      </w:r>
      <w:r w:rsidRPr="00C36EA7">
        <w:rPr>
          <w:rFonts w:eastAsia="Calibri" w:cs="Times New Roman"/>
          <w:color w:val="auto"/>
          <w:szCs w:val="24"/>
        </w:rPr>
        <w:t xml:space="preserve">for the </w:t>
      </w:r>
      <w:r>
        <w:rPr>
          <w:rFonts w:eastAsia="Calibri" w:cs="Times New Roman"/>
          <w:color w:val="auto"/>
          <w:szCs w:val="24"/>
        </w:rPr>
        <w:t>associated cervical</w:t>
      </w:r>
      <w:r w:rsidRPr="00C36EA7">
        <w:rPr>
          <w:rFonts w:eastAsia="Calibri" w:cs="Times New Roman"/>
          <w:color w:val="auto"/>
          <w:szCs w:val="24"/>
        </w:rPr>
        <w:t xml:space="preserve"> radiculopathy </w:t>
      </w:r>
      <w:r>
        <w:rPr>
          <w:rFonts w:eastAsia="Calibri" w:cs="Times New Roman"/>
          <w:color w:val="auto"/>
          <w:szCs w:val="24"/>
        </w:rPr>
        <w:t>in this case</w:t>
      </w:r>
      <w:r w:rsidRPr="00C36EA7">
        <w:rPr>
          <w:rFonts w:eastAsia="Calibri" w:cs="Times New Roman"/>
          <w:color w:val="auto"/>
          <w:szCs w:val="24"/>
        </w:rPr>
        <w:t xml:space="preserve">.  Firm Board precedence requires a functional impairment tied to fitness to support a recommendation for addition of a peripheral nerve rating disability in spine cases.  The pain component of a radiculopathy is subsumed under the general spine rating as specified in §4.71a.  </w:t>
      </w:r>
      <w:r w:rsidR="00D53E7B">
        <w:rPr>
          <w:rFonts w:eastAsia="Calibri" w:cs="Times New Roman"/>
          <w:color w:val="auto"/>
          <w:szCs w:val="24"/>
        </w:rPr>
        <w:t xml:space="preserve">The only evidence for any functional impairment from the radiculopathy, unrelated to pain, was the CI’s comment to the MEB examiner </w:t>
      </w:r>
      <w:r w:rsidR="005A72D0">
        <w:rPr>
          <w:rFonts w:eastAsia="Calibri" w:cs="Times New Roman"/>
          <w:color w:val="auto"/>
          <w:szCs w:val="24"/>
        </w:rPr>
        <w:t>regarding problems with her MOS task of starting IV’s; but, there is no basis for a conclusion that this rendered her unfit for the MOS</w:t>
      </w:r>
      <w:r w:rsidR="00367916">
        <w:rPr>
          <w:rFonts w:eastAsia="Calibri" w:cs="Times New Roman"/>
          <w:color w:val="auto"/>
          <w:szCs w:val="24"/>
        </w:rPr>
        <w:t xml:space="preserve"> in her grade</w:t>
      </w:r>
      <w:r w:rsidR="005A72D0">
        <w:rPr>
          <w:rFonts w:eastAsia="Calibri" w:cs="Times New Roman"/>
          <w:color w:val="auto"/>
          <w:szCs w:val="24"/>
        </w:rPr>
        <w:t xml:space="preserve">; and, there is no indication of any objective impairment </w:t>
      </w:r>
      <w:r w:rsidR="00615CCA">
        <w:rPr>
          <w:rFonts w:eastAsia="Calibri" w:cs="Times New Roman"/>
          <w:color w:val="auto"/>
          <w:szCs w:val="24"/>
        </w:rPr>
        <w:t>attributable to cervical</w:t>
      </w:r>
      <w:r w:rsidR="005A72D0">
        <w:rPr>
          <w:rFonts w:eastAsia="Calibri" w:cs="Times New Roman"/>
          <w:color w:val="auto"/>
          <w:szCs w:val="24"/>
        </w:rPr>
        <w:t xml:space="preserve"> neuropathy.  It is further n</w:t>
      </w:r>
      <w:r w:rsidR="00615CCA">
        <w:rPr>
          <w:rFonts w:eastAsia="Calibri" w:cs="Times New Roman"/>
          <w:color w:val="auto"/>
          <w:szCs w:val="24"/>
        </w:rPr>
        <w:t>oted that the VA did not confer</w:t>
      </w:r>
      <w:r w:rsidR="005A72D0">
        <w:rPr>
          <w:rFonts w:eastAsia="Calibri" w:cs="Times New Roman"/>
          <w:color w:val="auto"/>
          <w:szCs w:val="24"/>
        </w:rPr>
        <w:t xml:space="preserve"> </w:t>
      </w:r>
      <w:r w:rsidR="00615CCA">
        <w:rPr>
          <w:rFonts w:eastAsia="Calibri" w:cs="Times New Roman"/>
          <w:color w:val="auto"/>
          <w:szCs w:val="24"/>
        </w:rPr>
        <w:t xml:space="preserve">(and has not since conferred) </w:t>
      </w:r>
      <w:r w:rsidR="005A72D0">
        <w:rPr>
          <w:rFonts w:eastAsia="Calibri" w:cs="Times New Roman"/>
          <w:color w:val="auto"/>
          <w:szCs w:val="24"/>
        </w:rPr>
        <w:t xml:space="preserve">a peripheral nerve rating for radiculopathy.  </w:t>
      </w:r>
      <w:r w:rsidRPr="00C36EA7">
        <w:rPr>
          <w:rFonts w:eastAsia="Calibri" w:cs="Times New Roman"/>
          <w:color w:val="auto"/>
          <w:szCs w:val="24"/>
        </w:rPr>
        <w:t xml:space="preserve">There is thus no evidence of a separately ratable functional impairment (with fitness implications) from the </w:t>
      </w:r>
      <w:r w:rsidR="005A72D0">
        <w:rPr>
          <w:rFonts w:eastAsia="Calibri" w:cs="Times New Roman"/>
          <w:color w:val="auto"/>
          <w:szCs w:val="24"/>
        </w:rPr>
        <w:t>cervical</w:t>
      </w:r>
      <w:r w:rsidRPr="00C36EA7">
        <w:rPr>
          <w:rFonts w:eastAsia="Calibri" w:cs="Times New Roman"/>
          <w:color w:val="auto"/>
          <w:szCs w:val="24"/>
        </w:rPr>
        <w:t xml:space="preserve"> radiculopathy; and, the Board cannot support a recommendation for an additional disability rating on this basis.</w:t>
      </w:r>
      <w:r w:rsidR="006911DB">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EA4911" w:rsidRDefault="00AD2379" w:rsidP="00560F12">
      <w:pPr>
        <w:jc w:val="both"/>
        <w:rPr>
          <w:rFonts w:cs="Times New Roman"/>
          <w:color w:val="auto"/>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w:t>
      </w:r>
      <w:r w:rsidRPr="00EA4911">
        <w:rPr>
          <w:rFonts w:cs="Times New Roman"/>
          <w:color w:val="auto"/>
        </w:rPr>
        <w:t>record or PEB ruling in this case that any prerogatives outside the VASRD were exercised.</w:t>
      </w:r>
      <w:r w:rsidR="008734E7" w:rsidRPr="00EA4911">
        <w:rPr>
          <w:rFonts w:cs="Times New Roman"/>
          <w:color w:val="auto"/>
        </w:rPr>
        <w:t xml:space="preserve"> </w:t>
      </w:r>
      <w:r w:rsidRPr="00EA4911">
        <w:rPr>
          <w:rFonts w:cs="Times New Roman"/>
          <w:color w:val="auto"/>
        </w:rPr>
        <w:t xml:space="preserve"> </w:t>
      </w:r>
      <w:r w:rsidR="006911DB" w:rsidRPr="00EA4911">
        <w:rPr>
          <w:rFonts w:cs="Times New Roman"/>
          <w:color w:val="auto"/>
        </w:rPr>
        <w:t xml:space="preserve">In the matter of the cervical spine condition and IAW VASRD §4.71a, the Board unanimously recommends no change in the PEB adjudication.  In the matter of cervical radiculopathy associated with the unfitting spine condition, the Board unanimously agrees that it cannot recommend additional rating for peripheral nerve impairment.  </w:t>
      </w:r>
      <w:r w:rsidR="00B55FB5" w:rsidRPr="00EA4911">
        <w:rPr>
          <w:rFonts w:eastAsia="Calibri" w:cs="Times New Roman"/>
          <w:color w:val="auto"/>
          <w:szCs w:val="24"/>
        </w:rPr>
        <w:t>There were no other conditions within the Board’s scope of review for consideration.</w:t>
      </w:r>
    </w:p>
    <w:p w:rsidR="00AD2379" w:rsidRPr="00EA4911" w:rsidRDefault="00AD2379" w:rsidP="00BF0E94">
      <w:pPr>
        <w:pBdr>
          <w:bottom w:val="single" w:sz="12" w:space="1" w:color="auto"/>
        </w:pBdr>
        <w:tabs>
          <w:tab w:val="left" w:pos="288"/>
          <w:tab w:val="left" w:pos="4752"/>
        </w:tabs>
        <w:jc w:val="both"/>
        <w:rPr>
          <w:color w:val="000000"/>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6911DB" w:rsidP="00BF0E94">
            <w:pPr>
              <w:tabs>
                <w:tab w:val="left" w:pos="288"/>
                <w:tab w:val="left" w:pos="4752"/>
              </w:tabs>
              <w:jc w:val="left"/>
              <w:rPr>
                <w:color w:val="000000"/>
              </w:rPr>
            </w:pPr>
            <w:r>
              <w:rPr>
                <w:color w:val="000000"/>
              </w:rPr>
              <w:t>Cervical Degenerative Disc Disease</w:t>
            </w:r>
          </w:p>
        </w:tc>
        <w:tc>
          <w:tcPr>
            <w:tcW w:w="1530" w:type="dxa"/>
            <w:vAlign w:val="center"/>
          </w:tcPr>
          <w:p w:rsidR="00AD2379" w:rsidRPr="000D5DBE" w:rsidRDefault="006911DB" w:rsidP="00BF0E94">
            <w:pPr>
              <w:tabs>
                <w:tab w:val="left" w:pos="288"/>
                <w:tab w:val="left" w:pos="4752"/>
              </w:tabs>
              <w:rPr>
                <w:color w:val="000000"/>
              </w:rPr>
            </w:pPr>
            <w:r>
              <w:rPr>
                <w:color w:val="000000"/>
              </w:rPr>
              <w:t>5237</w:t>
            </w:r>
          </w:p>
        </w:tc>
        <w:tc>
          <w:tcPr>
            <w:tcW w:w="1026" w:type="dxa"/>
            <w:vAlign w:val="center"/>
          </w:tcPr>
          <w:p w:rsidR="00AD2379" w:rsidRPr="000D5DBE" w:rsidRDefault="006911DB"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6911DB" w:rsidP="00BF0E94">
            <w:pPr>
              <w:tabs>
                <w:tab w:val="left" w:pos="288"/>
                <w:tab w:val="left" w:pos="4752"/>
              </w:tabs>
              <w:rPr>
                <w:b/>
                <w:color w:val="000000"/>
              </w:rPr>
            </w:pPr>
            <w:r>
              <w:rPr>
                <w:b/>
                <w:color w:val="000000"/>
              </w:rPr>
              <w:t>1</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EA4911" w:rsidRDefault="00EA4911">
      <w:pPr>
        <w:spacing w:line="240" w:lineRule="auto"/>
        <w:jc w:val="left"/>
        <w:rPr>
          <w:color w:val="000000"/>
        </w:rPr>
      </w:pPr>
    </w:p>
    <w:p w:rsidR="00AD237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3D2C90" w:rsidRPr="001F29F9">
        <w:rPr>
          <w:color w:val="000000" w:themeColor="text1"/>
          <w:szCs w:val="24"/>
        </w:rPr>
        <w:t>201</w:t>
      </w:r>
      <w:r w:rsidR="003D2C90">
        <w:rPr>
          <w:color w:val="000000" w:themeColor="text1"/>
          <w:szCs w:val="24"/>
        </w:rPr>
        <w:t>10919</w:t>
      </w:r>
      <w:r w:rsidR="00735FFB">
        <w:rPr>
          <w:color w:val="000000"/>
        </w:rPr>
        <w:t>, w/</w:t>
      </w:r>
      <w:proofErr w:type="spellStart"/>
      <w:r w:rsidR="00735FFB">
        <w:rPr>
          <w:color w:val="000000"/>
        </w:rPr>
        <w:t>atchs</w:t>
      </w:r>
      <w:proofErr w:type="spellEnd"/>
    </w:p>
    <w:p w:rsidR="00AD2379" w:rsidRPr="001F29F9" w:rsidRDefault="00AD2379" w:rsidP="005144A7">
      <w:pPr>
        <w:tabs>
          <w:tab w:val="left" w:pos="288"/>
          <w:tab w:val="left" w:pos="4752"/>
        </w:tabs>
        <w:jc w:val="both"/>
        <w:rPr>
          <w:color w:val="000000"/>
        </w:rPr>
      </w:pPr>
      <w:r w:rsidRPr="001F29F9">
        <w:rPr>
          <w:color w:val="000000"/>
        </w:rPr>
        <w:t>Exhib</w:t>
      </w:r>
      <w:r w:rsidR="00735FFB">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735FFB">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720E57">
        <w:rPr>
          <w:color w:val="000000"/>
        </w:rPr>
        <w:t>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720E57" w:rsidRDefault="00AD2379" w:rsidP="00BF0E94">
      <w:pPr>
        <w:tabs>
          <w:tab w:val="left" w:pos="0"/>
          <w:tab w:val="left" w:pos="4320"/>
        </w:tabs>
        <w:jc w:val="both"/>
        <w:rPr>
          <w:color w:val="000000"/>
        </w:rPr>
      </w:pPr>
      <w:r w:rsidRPr="001F29F9">
        <w:rPr>
          <w:color w:val="000000"/>
        </w:rPr>
        <w:tab/>
        <w:t xml:space="preserve">           Physical Disability Board of Review</w:t>
      </w:r>
    </w:p>
    <w:p w:rsidR="00720E57" w:rsidRDefault="00720E57">
      <w:pPr>
        <w:spacing w:line="240" w:lineRule="auto"/>
        <w:jc w:val="left"/>
        <w:rPr>
          <w:color w:val="000000"/>
        </w:rPr>
      </w:pPr>
      <w:r>
        <w:rPr>
          <w:color w:val="000000"/>
        </w:rPr>
        <w:br w:type="page"/>
      </w:r>
    </w:p>
    <w:p w:rsidR="00720E57" w:rsidRDefault="00720E57" w:rsidP="00720E57">
      <w:pPr>
        <w:sectPr w:rsidR="00720E57">
          <w:pgSz w:w="12240" w:h="15840"/>
          <w:pgMar w:top="2160" w:right="1440" w:bottom="1440" w:left="1440" w:header="720" w:footer="720" w:gutter="0"/>
          <w:cols w:space="720"/>
        </w:sectPr>
      </w:pPr>
    </w:p>
    <w:p w:rsidR="00720E57" w:rsidRDefault="00720E57" w:rsidP="00720E57">
      <w:pPr>
        <w:pStyle w:val="Header"/>
        <w:tabs>
          <w:tab w:val="left" w:pos="720"/>
        </w:tabs>
        <w:jc w:val="left"/>
      </w:pPr>
      <w:r>
        <w:t>SFMR-RB</w:t>
      </w:r>
      <w:r>
        <w:tab/>
      </w:r>
      <w:r>
        <w:tab/>
      </w:r>
      <w:r>
        <w:tab/>
      </w:r>
      <w:r>
        <w:tab/>
      </w:r>
      <w:r>
        <w:tab/>
      </w:r>
      <w:r>
        <w:tab/>
      </w:r>
      <w:r>
        <w:tab/>
      </w:r>
      <w:r>
        <w:tab/>
      </w:r>
      <w:r>
        <w:tab/>
      </w:r>
    </w:p>
    <w:p w:rsidR="00720E57" w:rsidRDefault="00720E57" w:rsidP="00720E57">
      <w:pPr>
        <w:pStyle w:val="Header"/>
        <w:tabs>
          <w:tab w:val="left" w:pos="720"/>
        </w:tabs>
        <w:jc w:val="left"/>
      </w:pPr>
    </w:p>
    <w:p w:rsidR="00720E57" w:rsidRDefault="00720E57" w:rsidP="00720E57">
      <w:pPr>
        <w:jc w:val="left"/>
      </w:pPr>
    </w:p>
    <w:p w:rsidR="00720E57" w:rsidRDefault="00720E57" w:rsidP="00720E57">
      <w:pPr>
        <w:jc w:val="left"/>
      </w:pPr>
      <w:r>
        <w:t xml:space="preserve">MEMORANDUM FOR Commander, US Army Physical Disability Agency </w:t>
      </w:r>
    </w:p>
    <w:p w:rsidR="00720E57" w:rsidRDefault="00720E57" w:rsidP="00720E57">
      <w:pPr>
        <w:jc w:val="left"/>
      </w:pPr>
      <w:r>
        <w:t xml:space="preserve">(TAPD-ZB </w:t>
      </w:r>
      <w:proofErr w:type="gramStart"/>
      <w:r>
        <w:t>/  )</w:t>
      </w:r>
      <w:proofErr w:type="gramEnd"/>
      <w:r>
        <w:t>, 2900 Crystal Drive, Suite 300, Arlington, VA  22202</w:t>
      </w:r>
    </w:p>
    <w:p w:rsidR="00720E57" w:rsidRDefault="00720E57" w:rsidP="00720E57">
      <w:pPr>
        <w:jc w:val="left"/>
      </w:pPr>
    </w:p>
    <w:p w:rsidR="00720E57" w:rsidRDefault="00720E57" w:rsidP="00720E57">
      <w:pPr>
        <w:ind w:right="-180"/>
        <w:jc w:val="left"/>
      </w:pPr>
      <w:r>
        <w:t>SUBJECT:  Department of Defense Physical Disability Board of Review Recommendation for XXXXXXXXXXXXX, AR20120010151 (PD201100801)</w:t>
      </w:r>
    </w:p>
    <w:p w:rsidR="00720E57" w:rsidRDefault="00720E57" w:rsidP="00720E57">
      <w:pPr>
        <w:pStyle w:val="Header"/>
        <w:tabs>
          <w:tab w:val="left" w:pos="720"/>
        </w:tabs>
        <w:jc w:val="left"/>
      </w:pPr>
    </w:p>
    <w:p w:rsidR="00720E57" w:rsidRDefault="00720E57" w:rsidP="00720E57">
      <w:pPr>
        <w:jc w:val="left"/>
      </w:pPr>
    </w:p>
    <w:p w:rsidR="00720E57" w:rsidRDefault="00720E57" w:rsidP="00720E57">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20E57" w:rsidRDefault="00720E57" w:rsidP="00720E57">
      <w:pPr>
        <w:jc w:val="left"/>
      </w:pPr>
      <w:r>
        <w:t>This decision is final.  The individual concerned, counsel (if any), and any Members of Congress who have shown interest in this application have been notified of this decision by mail.</w:t>
      </w:r>
    </w:p>
    <w:p w:rsidR="00720E57" w:rsidRDefault="00720E57" w:rsidP="00720E57">
      <w:pPr>
        <w:jc w:val="left"/>
      </w:pPr>
    </w:p>
    <w:p w:rsidR="00720E57" w:rsidRDefault="00720E57" w:rsidP="00720E57">
      <w:pPr>
        <w:jc w:val="left"/>
      </w:pPr>
      <w:r>
        <w:t xml:space="preserve"> BY ORDER OF THE SECRETARY OF THE ARMY:</w:t>
      </w:r>
    </w:p>
    <w:p w:rsidR="00720E57" w:rsidRDefault="00720E57" w:rsidP="00720E57">
      <w:pPr>
        <w:jc w:val="left"/>
      </w:pPr>
    </w:p>
    <w:p w:rsidR="00720E57" w:rsidRDefault="00720E57" w:rsidP="00720E57">
      <w:pPr>
        <w:jc w:val="left"/>
      </w:pPr>
    </w:p>
    <w:p w:rsidR="00720E57" w:rsidRDefault="00720E57" w:rsidP="00720E57">
      <w:pPr>
        <w:pStyle w:val="Header"/>
        <w:tabs>
          <w:tab w:val="left" w:pos="720"/>
        </w:tabs>
        <w:jc w:val="left"/>
      </w:pPr>
    </w:p>
    <w:p w:rsidR="00720E57" w:rsidRDefault="00720E57" w:rsidP="00720E57">
      <w:pPr>
        <w:jc w:val="left"/>
      </w:pPr>
    </w:p>
    <w:p w:rsidR="00720E57" w:rsidRDefault="00720E57" w:rsidP="00720E57">
      <w:pPr>
        <w:jc w:val="left"/>
      </w:pPr>
      <w:bookmarkStart w:id="0" w:name="OLE_LINK4"/>
      <w:bookmarkStart w:id="1" w:name="OLE_LINK3"/>
      <w:r>
        <w:t>Encl</w:t>
      </w:r>
      <w:r>
        <w:tab/>
      </w:r>
      <w:r>
        <w:tab/>
      </w:r>
      <w:r>
        <w:tab/>
      </w:r>
      <w:r>
        <w:tab/>
      </w:r>
      <w:r>
        <w:tab/>
      </w:r>
      <w:r>
        <w:tab/>
        <w:t xml:space="preserve">     XXXXXXXXXXX</w:t>
      </w:r>
    </w:p>
    <w:p w:rsidR="00720E57" w:rsidRDefault="00720E57" w:rsidP="00720E57">
      <w:pPr>
        <w:jc w:val="left"/>
      </w:pPr>
      <w:r>
        <w:tab/>
      </w:r>
      <w:r>
        <w:tab/>
      </w:r>
      <w:r>
        <w:tab/>
      </w:r>
      <w:r>
        <w:tab/>
      </w:r>
      <w:r>
        <w:tab/>
      </w:r>
      <w:r>
        <w:tab/>
        <w:t xml:space="preserve">     Deputy Assistant Secretary</w:t>
      </w:r>
    </w:p>
    <w:p w:rsidR="00720E57" w:rsidRDefault="00720E57" w:rsidP="00720E57">
      <w:pPr>
        <w:jc w:val="left"/>
      </w:pPr>
      <w:r>
        <w:tab/>
      </w:r>
      <w:r>
        <w:tab/>
      </w:r>
      <w:r>
        <w:tab/>
      </w:r>
      <w:r>
        <w:tab/>
      </w:r>
      <w:r>
        <w:tab/>
      </w:r>
      <w:r>
        <w:tab/>
        <w:t xml:space="preserve">         (Army Review Boards)</w:t>
      </w:r>
      <w:bookmarkEnd w:id="0"/>
      <w:bookmarkEnd w:id="1"/>
    </w:p>
    <w:p w:rsidR="00720E57" w:rsidRDefault="00720E57" w:rsidP="00720E57">
      <w:pPr>
        <w:jc w:val="left"/>
      </w:pPr>
    </w:p>
    <w:p w:rsidR="00720E57" w:rsidRDefault="00720E57" w:rsidP="00720E57">
      <w:pPr>
        <w:jc w:val="left"/>
      </w:pPr>
      <w:r>
        <w:t xml:space="preserve">CF: </w:t>
      </w:r>
    </w:p>
    <w:p w:rsidR="00720E57" w:rsidRDefault="00720E57" w:rsidP="00720E57">
      <w:pPr>
        <w:jc w:val="left"/>
      </w:pPr>
      <w:r>
        <w:t xml:space="preserve">(  ) </w:t>
      </w:r>
      <w:proofErr w:type="spellStart"/>
      <w:proofErr w:type="gramStart"/>
      <w:r>
        <w:t>DoD</w:t>
      </w:r>
      <w:proofErr w:type="spellEnd"/>
      <w:proofErr w:type="gramEnd"/>
      <w:r>
        <w:t xml:space="preserve"> PDBR</w:t>
      </w:r>
    </w:p>
    <w:p w:rsidR="00720E57" w:rsidRDefault="00720E57" w:rsidP="00720E57">
      <w:pPr>
        <w:jc w:val="left"/>
      </w:pPr>
      <w:r>
        <w:t>(  ) DVA</w:t>
      </w:r>
    </w:p>
    <w:p w:rsidR="00720E57" w:rsidRDefault="00720E57" w:rsidP="00720E57">
      <w:pPr>
        <w:jc w:val="left"/>
      </w:pPr>
    </w:p>
    <w:p w:rsidR="00AD2379" w:rsidRPr="001F29F9" w:rsidRDefault="00AD2379" w:rsidP="00720E57">
      <w:pPr>
        <w:tabs>
          <w:tab w:val="left" w:pos="0"/>
          <w:tab w:val="left" w:pos="4320"/>
        </w:tabs>
        <w:jc w:val="left"/>
        <w:rPr>
          <w:color w:val="000000"/>
        </w:rPr>
      </w:pPr>
    </w:p>
    <w:sectPr w:rsidR="00AD2379" w:rsidRPr="001F29F9" w:rsidSect="005D0C3A">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BF" w:rsidRDefault="00E933BF">
      <w:r>
        <w:separator/>
      </w:r>
    </w:p>
  </w:endnote>
  <w:endnote w:type="continuationSeparator" w:id="0">
    <w:p w:rsidR="00E933BF" w:rsidRDefault="00E93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720E57" w:rsidRPr="00720E57">
        <w:rPr>
          <w:noProof/>
          <w:color w:val="auto"/>
        </w:rPr>
        <w:t>4</w:t>
      </w:r>
    </w:fldSimple>
    <w:r w:rsidRPr="00374247">
      <w:rPr>
        <w:color w:val="auto"/>
      </w:rPr>
      <w:t xml:space="preserve">                                                           </w:t>
    </w:r>
    <w:r w:rsidRPr="001D64F3">
      <w:rPr>
        <w:color w:val="auto"/>
      </w:rPr>
      <w:t>PD1</w:t>
    </w:r>
    <w:r w:rsidRPr="009369A6">
      <w:rPr>
        <w:color w:val="auto"/>
      </w:rPr>
      <w:t>100</w:t>
    </w:r>
    <w:r w:rsidR="005D0C3A">
      <w:rPr>
        <w:color w:val="auto"/>
      </w:rPr>
      <w:t>801</w:t>
    </w:r>
  </w:p>
  <w:p w:rsidR="00AD2379" w:rsidRPr="00684CE6" w:rsidRDefault="00AD2379">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3A" w:rsidRPr="00374247" w:rsidRDefault="00243983" w:rsidP="005D0C3A">
    <w:pPr>
      <w:pStyle w:val="Footer"/>
      <w:ind w:firstLine="4320"/>
      <w:rPr>
        <w:color w:val="auto"/>
      </w:rPr>
    </w:pPr>
    <w:fldSimple w:instr=" PAGE   \* MERGEFORMAT ">
      <w:r w:rsidR="00720E57" w:rsidRPr="00720E57">
        <w:rPr>
          <w:noProof/>
          <w:color w:val="auto"/>
        </w:rPr>
        <w:t>5</w:t>
      </w:r>
    </w:fldSimple>
    <w:r w:rsidR="005D0C3A" w:rsidRPr="00374247">
      <w:rPr>
        <w:color w:val="auto"/>
      </w:rPr>
      <w:t xml:space="preserve">                                                           </w:t>
    </w:r>
    <w:r w:rsidR="005D0C3A" w:rsidRPr="001D64F3">
      <w:rPr>
        <w:color w:val="auto"/>
      </w:rPr>
      <w:t>PD1</w:t>
    </w:r>
    <w:r w:rsidR="005D0C3A" w:rsidRPr="009369A6">
      <w:rPr>
        <w:color w:val="auto"/>
      </w:rPr>
      <w:t>100</w:t>
    </w:r>
    <w:r w:rsidR="005D0C3A">
      <w:rPr>
        <w:color w:val="auto"/>
      </w:rPr>
      <w:t>801</w:t>
    </w:r>
    <w:r w:rsidR="005D0C3A" w:rsidRPr="00374247">
      <w:rPr>
        <w:color w:val="auto"/>
      </w:rPr>
      <w:t xml:space="preserve">   </w:t>
    </w:r>
  </w:p>
  <w:p w:rsidR="005D0C3A" w:rsidRDefault="005D0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BF" w:rsidRDefault="00E933BF">
      <w:r>
        <w:separator/>
      </w:r>
    </w:p>
  </w:footnote>
  <w:footnote w:type="continuationSeparator" w:id="0">
    <w:p w:rsidR="00E933BF" w:rsidRDefault="00E93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533"/>
    <w:rsid w:val="00061D69"/>
    <w:rsid w:val="0006388E"/>
    <w:rsid w:val="0006431E"/>
    <w:rsid w:val="000652EA"/>
    <w:rsid w:val="00065E21"/>
    <w:rsid w:val="000673ED"/>
    <w:rsid w:val="00067854"/>
    <w:rsid w:val="00070DED"/>
    <w:rsid w:val="00071071"/>
    <w:rsid w:val="00072433"/>
    <w:rsid w:val="00072B3E"/>
    <w:rsid w:val="0007488B"/>
    <w:rsid w:val="00074FB4"/>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1670"/>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2986"/>
    <w:rsid w:val="00164413"/>
    <w:rsid w:val="00166182"/>
    <w:rsid w:val="00167B2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878"/>
    <w:rsid w:val="00185DA8"/>
    <w:rsid w:val="00185ECB"/>
    <w:rsid w:val="001865E0"/>
    <w:rsid w:val="001870F0"/>
    <w:rsid w:val="00190E48"/>
    <w:rsid w:val="0019114B"/>
    <w:rsid w:val="00191846"/>
    <w:rsid w:val="00192392"/>
    <w:rsid w:val="0019273F"/>
    <w:rsid w:val="00193814"/>
    <w:rsid w:val="00193AAB"/>
    <w:rsid w:val="00193AD5"/>
    <w:rsid w:val="00193BAF"/>
    <w:rsid w:val="00194930"/>
    <w:rsid w:val="00195AAC"/>
    <w:rsid w:val="001968BB"/>
    <w:rsid w:val="001A0104"/>
    <w:rsid w:val="001A025E"/>
    <w:rsid w:val="001A08CD"/>
    <w:rsid w:val="001A0A1E"/>
    <w:rsid w:val="001A2182"/>
    <w:rsid w:val="001A323E"/>
    <w:rsid w:val="001A5320"/>
    <w:rsid w:val="001A5343"/>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3983"/>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112E"/>
    <w:rsid w:val="0028261C"/>
    <w:rsid w:val="00282DB6"/>
    <w:rsid w:val="002833E3"/>
    <w:rsid w:val="00284A26"/>
    <w:rsid w:val="00285095"/>
    <w:rsid w:val="00287006"/>
    <w:rsid w:val="00287122"/>
    <w:rsid w:val="0029030A"/>
    <w:rsid w:val="00292397"/>
    <w:rsid w:val="00292AB2"/>
    <w:rsid w:val="00292B82"/>
    <w:rsid w:val="00292E3B"/>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654"/>
    <w:rsid w:val="00307DA6"/>
    <w:rsid w:val="00310CD7"/>
    <w:rsid w:val="00310F21"/>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93E"/>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16"/>
    <w:rsid w:val="00367D4F"/>
    <w:rsid w:val="00370743"/>
    <w:rsid w:val="00370EF5"/>
    <w:rsid w:val="0037135B"/>
    <w:rsid w:val="003718CD"/>
    <w:rsid w:val="00372251"/>
    <w:rsid w:val="00373F64"/>
    <w:rsid w:val="00374247"/>
    <w:rsid w:val="00374EA1"/>
    <w:rsid w:val="0037520D"/>
    <w:rsid w:val="00375724"/>
    <w:rsid w:val="00375809"/>
    <w:rsid w:val="00375CF1"/>
    <w:rsid w:val="00375D5A"/>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2C90"/>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55D3"/>
    <w:rsid w:val="004D6E90"/>
    <w:rsid w:val="004D6F2B"/>
    <w:rsid w:val="004E0248"/>
    <w:rsid w:val="004E21A3"/>
    <w:rsid w:val="004E32EA"/>
    <w:rsid w:val="004E3517"/>
    <w:rsid w:val="004E4B63"/>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2A04"/>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2D0"/>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0C3A"/>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5F7415"/>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5CCA"/>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5AC6"/>
    <w:rsid w:val="00636146"/>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0EC6"/>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1DB"/>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E57"/>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5FFB"/>
    <w:rsid w:val="00736A49"/>
    <w:rsid w:val="007419A1"/>
    <w:rsid w:val="00743B71"/>
    <w:rsid w:val="00743C2D"/>
    <w:rsid w:val="00743C3A"/>
    <w:rsid w:val="00743E36"/>
    <w:rsid w:val="00743F05"/>
    <w:rsid w:val="007441C1"/>
    <w:rsid w:val="007446F7"/>
    <w:rsid w:val="00744954"/>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FE0"/>
    <w:rsid w:val="007D3882"/>
    <w:rsid w:val="007D39E4"/>
    <w:rsid w:val="007D3FE7"/>
    <w:rsid w:val="007D4CFC"/>
    <w:rsid w:val="007D568A"/>
    <w:rsid w:val="007D574E"/>
    <w:rsid w:val="007D57C0"/>
    <w:rsid w:val="007D67CB"/>
    <w:rsid w:val="007D6BFE"/>
    <w:rsid w:val="007E04CC"/>
    <w:rsid w:val="007E14BD"/>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053"/>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20E"/>
    <w:rsid w:val="00907FE6"/>
    <w:rsid w:val="009102BF"/>
    <w:rsid w:val="00911490"/>
    <w:rsid w:val="009115F2"/>
    <w:rsid w:val="00911B11"/>
    <w:rsid w:val="00914438"/>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1B"/>
    <w:rsid w:val="0096168C"/>
    <w:rsid w:val="00961840"/>
    <w:rsid w:val="009625E3"/>
    <w:rsid w:val="00962F2D"/>
    <w:rsid w:val="00963A7A"/>
    <w:rsid w:val="009672CD"/>
    <w:rsid w:val="00971810"/>
    <w:rsid w:val="00972996"/>
    <w:rsid w:val="009730B4"/>
    <w:rsid w:val="0097320E"/>
    <w:rsid w:val="009732B8"/>
    <w:rsid w:val="00973CF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F8F"/>
    <w:rsid w:val="00A1105B"/>
    <w:rsid w:val="00A1213C"/>
    <w:rsid w:val="00A130E8"/>
    <w:rsid w:val="00A15B6B"/>
    <w:rsid w:val="00A15EB4"/>
    <w:rsid w:val="00A16172"/>
    <w:rsid w:val="00A16876"/>
    <w:rsid w:val="00A200AA"/>
    <w:rsid w:val="00A20558"/>
    <w:rsid w:val="00A211DD"/>
    <w:rsid w:val="00A2186F"/>
    <w:rsid w:val="00A226E9"/>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3BF"/>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4E8"/>
    <w:rsid w:val="00AB4BA4"/>
    <w:rsid w:val="00AB592E"/>
    <w:rsid w:val="00AC0C1C"/>
    <w:rsid w:val="00AC1305"/>
    <w:rsid w:val="00AC25DD"/>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2D59"/>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6EA7"/>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6DBA"/>
    <w:rsid w:val="00D17DD9"/>
    <w:rsid w:val="00D20AC0"/>
    <w:rsid w:val="00D229E7"/>
    <w:rsid w:val="00D2321B"/>
    <w:rsid w:val="00D23350"/>
    <w:rsid w:val="00D237E7"/>
    <w:rsid w:val="00D23DE4"/>
    <w:rsid w:val="00D25A5C"/>
    <w:rsid w:val="00D26873"/>
    <w:rsid w:val="00D27C99"/>
    <w:rsid w:val="00D30E6F"/>
    <w:rsid w:val="00D312BB"/>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E7B"/>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33BF"/>
    <w:rsid w:val="00E956DB"/>
    <w:rsid w:val="00E957D7"/>
    <w:rsid w:val="00E9763D"/>
    <w:rsid w:val="00EA00A4"/>
    <w:rsid w:val="00EA1177"/>
    <w:rsid w:val="00EA118B"/>
    <w:rsid w:val="00EA11B6"/>
    <w:rsid w:val="00EA2181"/>
    <w:rsid w:val="00EA2DD8"/>
    <w:rsid w:val="00EA30FC"/>
    <w:rsid w:val="00EA4475"/>
    <w:rsid w:val="00EA4911"/>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B56"/>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8EF"/>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1A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3821450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2012-06-28T13:45:00Z</dcterms:created>
  <dcterms:modified xsi:type="dcterms:W3CDTF">2012-06-28T13:45:00Z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