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461231" w:rsidRDefault="00540BEF" w:rsidP="00BF0E94">
      <w:pPr>
        <w:tabs>
          <w:tab w:val="left" w:pos="288"/>
          <w:tab w:val="left" w:pos="4752"/>
        </w:tabs>
        <w:rPr>
          <w:color w:val="000000" w:themeColor="text1"/>
        </w:rPr>
      </w:pPr>
      <w:r w:rsidRPr="00461231">
        <w:rPr>
          <w:color w:val="000000" w:themeColor="text1"/>
        </w:rPr>
        <w:t>RECORD OF PROCEEDINGS</w:t>
      </w:r>
    </w:p>
    <w:p w:rsidR="00540BEF" w:rsidRPr="00461231" w:rsidRDefault="00540BEF" w:rsidP="00BF0E94">
      <w:pPr>
        <w:tabs>
          <w:tab w:val="left" w:pos="288"/>
          <w:tab w:val="left" w:pos="4752"/>
        </w:tabs>
        <w:rPr>
          <w:color w:val="000000" w:themeColor="text1"/>
        </w:rPr>
      </w:pPr>
      <w:r w:rsidRPr="00461231">
        <w:rPr>
          <w:color w:val="000000" w:themeColor="text1"/>
        </w:rPr>
        <w:t>PHYSICAL DISABILITY BOARD OF REVIEW</w:t>
      </w:r>
    </w:p>
    <w:p w:rsidR="00540BEF" w:rsidRPr="00461231" w:rsidRDefault="00540BEF" w:rsidP="00BF0E94">
      <w:pPr>
        <w:tabs>
          <w:tab w:val="left" w:pos="288"/>
          <w:tab w:val="left" w:pos="4752"/>
        </w:tabs>
        <w:jc w:val="both"/>
        <w:rPr>
          <w:caps/>
          <w:color w:val="000000" w:themeColor="text1"/>
        </w:rPr>
      </w:pPr>
    </w:p>
    <w:p w:rsidR="00E0346A" w:rsidRPr="00461231" w:rsidRDefault="00F629C0" w:rsidP="00BF0E94">
      <w:pPr>
        <w:tabs>
          <w:tab w:val="left" w:pos="288"/>
          <w:tab w:val="left" w:pos="4752"/>
          <w:tab w:val="left" w:pos="5130"/>
          <w:tab w:val="left" w:pos="9270"/>
        </w:tabs>
        <w:jc w:val="both"/>
        <w:rPr>
          <w:caps/>
          <w:color w:val="000000" w:themeColor="text1"/>
        </w:rPr>
      </w:pPr>
      <w:r w:rsidRPr="00461231">
        <w:rPr>
          <w:caps/>
          <w:color w:val="000000" w:themeColor="text1"/>
        </w:rPr>
        <w:t xml:space="preserve">NAME:  </w:t>
      </w:r>
      <w:r w:rsidR="002A666B">
        <w:rPr>
          <w:caps/>
          <w:color w:val="000000" w:themeColor="text1"/>
        </w:rPr>
        <w:t xml:space="preserve">XXXXXXXXX               </w:t>
      </w:r>
      <w:r w:rsidR="004216DA" w:rsidRPr="00461231">
        <w:rPr>
          <w:caps/>
          <w:color w:val="000000" w:themeColor="text1"/>
        </w:rPr>
        <w:t xml:space="preserve">             </w:t>
      </w:r>
      <w:r w:rsidR="00332DE3" w:rsidRPr="00461231">
        <w:rPr>
          <w:caps/>
          <w:color w:val="000000" w:themeColor="text1"/>
        </w:rPr>
        <w:t xml:space="preserve"> </w:t>
      </w:r>
      <w:r w:rsidR="004216DA" w:rsidRPr="00461231">
        <w:rPr>
          <w:caps/>
          <w:color w:val="000000" w:themeColor="text1"/>
        </w:rPr>
        <w:t xml:space="preserve">  </w:t>
      </w:r>
      <w:r w:rsidR="00A76C9E" w:rsidRPr="00461231">
        <w:rPr>
          <w:caps/>
          <w:color w:val="000000" w:themeColor="text1"/>
        </w:rPr>
        <w:t xml:space="preserve">                                                  </w:t>
      </w:r>
      <w:r w:rsidRPr="00461231">
        <w:rPr>
          <w:caps/>
          <w:color w:val="000000" w:themeColor="text1"/>
        </w:rPr>
        <w:t xml:space="preserve">BRANCH OF SERVICE: </w:t>
      </w:r>
      <w:r w:rsidR="004C24C5" w:rsidRPr="00461231">
        <w:rPr>
          <w:caps/>
          <w:color w:val="000000" w:themeColor="text1"/>
        </w:rPr>
        <w:t xml:space="preserve"> </w:t>
      </w:r>
      <w:r w:rsidR="00332DE3" w:rsidRPr="00461231">
        <w:rPr>
          <w:caps/>
          <w:color w:val="000000" w:themeColor="text1"/>
        </w:rPr>
        <w:t xml:space="preserve">Army </w:t>
      </w:r>
    </w:p>
    <w:p w:rsidR="00DE3AAD" w:rsidRPr="00461231" w:rsidRDefault="00012733" w:rsidP="0068098E">
      <w:pPr>
        <w:tabs>
          <w:tab w:val="left" w:pos="288"/>
          <w:tab w:val="left" w:pos="4166"/>
          <w:tab w:val="left" w:pos="4752"/>
          <w:tab w:val="left" w:pos="5130"/>
          <w:tab w:val="left" w:pos="9270"/>
        </w:tabs>
        <w:jc w:val="both"/>
        <w:rPr>
          <w:caps/>
          <w:color w:val="000000" w:themeColor="text1"/>
        </w:rPr>
      </w:pPr>
      <w:r w:rsidRPr="00461231">
        <w:rPr>
          <w:caps/>
          <w:color w:val="000000" w:themeColor="text1"/>
        </w:rPr>
        <w:t>C</w:t>
      </w:r>
      <w:r w:rsidR="00DE3AAD" w:rsidRPr="00461231">
        <w:rPr>
          <w:caps/>
          <w:color w:val="000000" w:themeColor="text1"/>
        </w:rPr>
        <w:t>ASE NUMBER:  PD</w:t>
      </w:r>
      <w:r w:rsidR="008F58E1" w:rsidRPr="00461231">
        <w:rPr>
          <w:caps/>
          <w:color w:val="000000" w:themeColor="text1"/>
        </w:rPr>
        <w:t>11</w:t>
      </w:r>
      <w:r w:rsidR="00DE3AAD" w:rsidRPr="00461231">
        <w:rPr>
          <w:caps/>
          <w:color w:val="000000" w:themeColor="text1"/>
        </w:rPr>
        <w:t>00</w:t>
      </w:r>
      <w:r w:rsidR="00A76C9E" w:rsidRPr="00461231">
        <w:rPr>
          <w:caps/>
          <w:color w:val="000000" w:themeColor="text1"/>
        </w:rPr>
        <w:t>800</w:t>
      </w:r>
      <w:r w:rsidR="00DE3AAD" w:rsidRPr="00461231">
        <w:rPr>
          <w:color w:val="000000" w:themeColor="text1"/>
        </w:rPr>
        <w:t xml:space="preserve"> </w:t>
      </w:r>
      <w:r w:rsidR="00DE3AAD" w:rsidRPr="00461231">
        <w:rPr>
          <w:color w:val="000000" w:themeColor="text1"/>
        </w:rPr>
        <w:tab/>
      </w:r>
      <w:r w:rsidR="0068098E" w:rsidRPr="00461231">
        <w:rPr>
          <w:color w:val="000000" w:themeColor="text1"/>
        </w:rPr>
        <w:tab/>
      </w:r>
      <w:r w:rsidR="00DE3AAD" w:rsidRPr="00461231">
        <w:rPr>
          <w:color w:val="000000" w:themeColor="text1"/>
        </w:rPr>
        <w:t xml:space="preserve">         </w:t>
      </w:r>
      <w:r w:rsidR="00E0346A" w:rsidRPr="00461231">
        <w:rPr>
          <w:color w:val="000000" w:themeColor="text1"/>
        </w:rPr>
        <w:t xml:space="preserve">                    </w:t>
      </w:r>
      <w:r w:rsidR="00DE3AAD" w:rsidRPr="00461231">
        <w:rPr>
          <w:color w:val="000000" w:themeColor="text1"/>
        </w:rPr>
        <w:t>SEPARATION DATE:  200</w:t>
      </w:r>
      <w:r w:rsidR="0002486E" w:rsidRPr="00461231">
        <w:rPr>
          <w:color w:val="000000" w:themeColor="text1"/>
        </w:rPr>
        <w:t>40229</w:t>
      </w:r>
    </w:p>
    <w:p w:rsidR="003B2143" w:rsidRPr="00461231" w:rsidRDefault="004F3639" w:rsidP="00BF0E94">
      <w:pPr>
        <w:tabs>
          <w:tab w:val="left" w:pos="288"/>
          <w:tab w:val="left" w:pos="5130"/>
        </w:tabs>
        <w:jc w:val="both"/>
        <w:rPr>
          <w:color w:val="000000" w:themeColor="text1"/>
        </w:rPr>
      </w:pPr>
      <w:r w:rsidRPr="00461231">
        <w:rPr>
          <w:caps/>
          <w:color w:val="000000" w:themeColor="text1"/>
        </w:rPr>
        <w:t>BOARD DATE:  201</w:t>
      </w:r>
      <w:r w:rsidR="00F57C31" w:rsidRPr="00461231">
        <w:rPr>
          <w:caps/>
          <w:color w:val="000000" w:themeColor="text1"/>
        </w:rPr>
        <w:t>2</w:t>
      </w:r>
      <w:r w:rsidR="00F5066A" w:rsidRPr="00461231">
        <w:rPr>
          <w:caps/>
          <w:color w:val="000000" w:themeColor="text1"/>
        </w:rPr>
        <w:t>0522</w:t>
      </w:r>
      <w:r w:rsidR="003B2143" w:rsidRPr="00461231">
        <w:rPr>
          <w:caps/>
          <w:color w:val="000000" w:themeColor="text1"/>
        </w:rPr>
        <w:tab/>
      </w:r>
    </w:p>
    <w:p w:rsidR="00FF4C90" w:rsidRPr="00461231" w:rsidRDefault="00F57C31" w:rsidP="00BF0E94">
      <w:pPr>
        <w:tabs>
          <w:tab w:val="left" w:pos="288"/>
          <w:tab w:val="left" w:pos="4752"/>
        </w:tabs>
        <w:jc w:val="both"/>
        <w:rPr>
          <w:b/>
          <w:color w:val="000000" w:themeColor="text1"/>
        </w:rPr>
      </w:pPr>
      <w:r w:rsidRPr="00461231">
        <w:rPr>
          <w:b/>
          <w:color w:val="000000" w:themeColor="text1"/>
        </w:rPr>
        <w:t>_____________________________________________________________________________</w:t>
      </w:r>
    </w:p>
    <w:p w:rsidR="003F1206" w:rsidRPr="00461231" w:rsidRDefault="003F1206" w:rsidP="00BF0E94">
      <w:pPr>
        <w:tabs>
          <w:tab w:val="left" w:pos="288"/>
          <w:tab w:val="left" w:pos="4752"/>
        </w:tabs>
        <w:jc w:val="both"/>
        <w:rPr>
          <w:color w:val="000000" w:themeColor="text1"/>
        </w:rPr>
      </w:pPr>
    </w:p>
    <w:p w:rsidR="00F63FC7" w:rsidRPr="00461231" w:rsidRDefault="00FB0E80" w:rsidP="0028587A">
      <w:pPr>
        <w:autoSpaceDE w:val="0"/>
        <w:autoSpaceDN w:val="0"/>
        <w:adjustRightInd w:val="0"/>
        <w:jc w:val="both"/>
        <w:rPr>
          <w:color w:val="000000" w:themeColor="text1"/>
        </w:rPr>
      </w:pPr>
      <w:r w:rsidRPr="00461231">
        <w:rPr>
          <w:color w:val="000000" w:themeColor="text1"/>
          <w:u w:val="single"/>
        </w:rPr>
        <w:t>SUMMARY OF CASE</w:t>
      </w:r>
      <w:r w:rsidRPr="00461231">
        <w:rPr>
          <w:color w:val="000000" w:themeColor="text1"/>
        </w:rPr>
        <w:t xml:space="preserve">:  </w:t>
      </w:r>
      <w:r w:rsidR="009759C2" w:rsidRPr="00461231">
        <w:rPr>
          <w:color w:val="000000" w:themeColor="text1"/>
        </w:rPr>
        <w:t>Data extracted from the available evidence of record reflects that this covered individual (CI)</w:t>
      </w:r>
      <w:r w:rsidR="00570754" w:rsidRPr="00461231">
        <w:rPr>
          <w:color w:val="000000" w:themeColor="text1"/>
        </w:rPr>
        <w:t xml:space="preserve"> </w:t>
      </w:r>
      <w:r w:rsidR="002C6E5B" w:rsidRPr="00461231">
        <w:rPr>
          <w:color w:val="000000" w:themeColor="text1"/>
          <w:szCs w:val="24"/>
        </w:rPr>
        <w:t xml:space="preserve">was </w:t>
      </w:r>
      <w:r w:rsidR="00E322F7" w:rsidRPr="00461231">
        <w:rPr>
          <w:color w:val="000000" w:themeColor="text1"/>
          <w:szCs w:val="24"/>
        </w:rPr>
        <w:t xml:space="preserve">a </w:t>
      </w:r>
      <w:r w:rsidR="006D4E0E" w:rsidRPr="00461231">
        <w:rPr>
          <w:color w:val="000000" w:themeColor="text1"/>
          <w:szCs w:val="24"/>
        </w:rPr>
        <w:t xml:space="preserve">National Guard </w:t>
      </w:r>
      <w:r w:rsidR="002E65E6" w:rsidRPr="00461231">
        <w:rPr>
          <w:color w:val="000000" w:themeColor="text1"/>
          <w:szCs w:val="24"/>
        </w:rPr>
        <w:t xml:space="preserve"> </w:t>
      </w:r>
      <w:r w:rsidR="00661BA2" w:rsidRPr="00461231">
        <w:rPr>
          <w:color w:val="000000" w:themeColor="text1"/>
          <w:szCs w:val="24"/>
        </w:rPr>
        <w:t>SGT/E-5</w:t>
      </w:r>
      <w:r w:rsidR="00705C40" w:rsidRPr="00461231">
        <w:rPr>
          <w:color w:val="000000" w:themeColor="text1"/>
          <w:szCs w:val="24"/>
        </w:rPr>
        <w:t xml:space="preserve"> (</w:t>
      </w:r>
      <w:r w:rsidR="00744477" w:rsidRPr="00461231">
        <w:rPr>
          <w:color w:val="000000" w:themeColor="text1"/>
          <w:szCs w:val="24"/>
        </w:rPr>
        <w:t>13R</w:t>
      </w:r>
      <w:r w:rsidR="00C75F3D" w:rsidRPr="00461231">
        <w:rPr>
          <w:color w:val="000000" w:themeColor="text1"/>
          <w:szCs w:val="24"/>
        </w:rPr>
        <w:t xml:space="preserve">, </w:t>
      </w:r>
      <w:r w:rsidR="00744477" w:rsidRPr="00461231">
        <w:rPr>
          <w:color w:val="000000" w:themeColor="text1"/>
          <w:szCs w:val="24"/>
        </w:rPr>
        <w:t>Firefinder Radar Operator</w:t>
      </w:r>
      <w:r w:rsidR="00E322F7" w:rsidRPr="00461231">
        <w:rPr>
          <w:color w:val="000000" w:themeColor="text1"/>
          <w:szCs w:val="24"/>
        </w:rPr>
        <w:t>)</w:t>
      </w:r>
      <w:r w:rsidR="00C75F3D" w:rsidRPr="00461231">
        <w:rPr>
          <w:color w:val="000000" w:themeColor="text1"/>
          <w:szCs w:val="24"/>
        </w:rPr>
        <w:t xml:space="preserve">, </w:t>
      </w:r>
      <w:r w:rsidR="002C6E5B" w:rsidRPr="00461231">
        <w:rPr>
          <w:color w:val="000000" w:themeColor="text1"/>
          <w:szCs w:val="24"/>
        </w:rPr>
        <w:t xml:space="preserve">medically separated for </w:t>
      </w:r>
      <w:r w:rsidR="00744477" w:rsidRPr="00461231">
        <w:rPr>
          <w:color w:val="000000" w:themeColor="text1"/>
          <w:szCs w:val="24"/>
        </w:rPr>
        <w:t xml:space="preserve">cervical spondylosis with neck pain and chronic mild left arm (non-dominant) weakness, with mild atrophy of biceps/triceps and forearm, without electrodiagnostic abnormality.  The CI reported </w:t>
      </w:r>
      <w:r w:rsidR="0028587A" w:rsidRPr="00461231">
        <w:rPr>
          <w:color w:val="000000" w:themeColor="text1"/>
          <w:szCs w:val="24"/>
        </w:rPr>
        <w:t xml:space="preserve">a </w:t>
      </w:r>
      <w:r w:rsidR="00BD7ECC">
        <w:rPr>
          <w:color w:val="000000" w:themeColor="text1"/>
          <w:szCs w:val="24"/>
        </w:rPr>
        <w:t>6-</w:t>
      </w:r>
      <w:r w:rsidR="00744477" w:rsidRPr="00461231">
        <w:rPr>
          <w:rFonts w:cs="Times New Roman"/>
          <w:color w:val="000000" w:themeColor="text1"/>
          <w:szCs w:val="24"/>
        </w:rPr>
        <w:t xml:space="preserve">year history of intermittent pain of the left </w:t>
      </w:r>
      <w:r w:rsidR="00744477" w:rsidRPr="00461231">
        <w:rPr>
          <w:rFonts w:cs="Arial"/>
          <w:color w:val="000000" w:themeColor="text1"/>
          <w:szCs w:val="24"/>
        </w:rPr>
        <w:t xml:space="preserve">arm </w:t>
      </w:r>
      <w:r w:rsidR="00744477" w:rsidRPr="00461231">
        <w:rPr>
          <w:rFonts w:cs="Times New Roman"/>
          <w:color w:val="000000" w:themeColor="text1"/>
          <w:szCs w:val="24"/>
        </w:rPr>
        <w:t xml:space="preserve">and forearm with numbness and paresthesias </w:t>
      </w:r>
      <w:r w:rsidR="00744477" w:rsidRPr="00461231">
        <w:rPr>
          <w:rFonts w:cs="Arial"/>
          <w:color w:val="000000" w:themeColor="text1"/>
          <w:szCs w:val="24"/>
        </w:rPr>
        <w:t xml:space="preserve">in </w:t>
      </w:r>
      <w:r w:rsidR="00744477" w:rsidRPr="00461231">
        <w:rPr>
          <w:rFonts w:cs="Times New Roman"/>
          <w:color w:val="000000" w:themeColor="text1"/>
          <w:szCs w:val="24"/>
        </w:rPr>
        <w:t>the</w:t>
      </w:r>
      <w:r w:rsidR="0028587A" w:rsidRPr="00461231">
        <w:rPr>
          <w:rFonts w:cs="Times New Roman"/>
          <w:color w:val="000000" w:themeColor="text1"/>
          <w:szCs w:val="24"/>
        </w:rPr>
        <w:t xml:space="preserve"> </w:t>
      </w:r>
      <w:r w:rsidR="00744477" w:rsidRPr="00461231">
        <w:rPr>
          <w:rFonts w:cs="Times New Roman"/>
          <w:color w:val="000000" w:themeColor="text1"/>
          <w:szCs w:val="24"/>
        </w:rPr>
        <w:t>left fing</w:t>
      </w:r>
      <w:r w:rsidR="0028587A" w:rsidRPr="00461231">
        <w:rPr>
          <w:rFonts w:cs="Times New Roman"/>
          <w:color w:val="000000" w:themeColor="text1"/>
          <w:szCs w:val="24"/>
        </w:rPr>
        <w:t xml:space="preserve">ers intermittently. </w:t>
      </w:r>
      <w:r w:rsidR="00BD7ECC">
        <w:rPr>
          <w:rFonts w:cs="Times New Roman"/>
          <w:color w:val="000000" w:themeColor="text1"/>
          <w:szCs w:val="24"/>
        </w:rPr>
        <w:t xml:space="preserve"> </w:t>
      </w:r>
      <w:r w:rsidR="0028587A" w:rsidRPr="00461231">
        <w:rPr>
          <w:rFonts w:cs="Times New Roman"/>
          <w:color w:val="000000" w:themeColor="text1"/>
          <w:szCs w:val="24"/>
        </w:rPr>
        <w:t>He described</w:t>
      </w:r>
      <w:r w:rsidR="00744477" w:rsidRPr="00461231">
        <w:rPr>
          <w:rFonts w:cs="Times New Roman"/>
          <w:color w:val="000000" w:themeColor="text1"/>
          <w:szCs w:val="24"/>
        </w:rPr>
        <w:t xml:space="preserve"> symptoms of weakness and dropping objects as a result</w:t>
      </w:r>
      <w:r w:rsidR="0028587A" w:rsidRPr="00461231">
        <w:rPr>
          <w:rFonts w:cs="Times New Roman"/>
          <w:color w:val="000000" w:themeColor="text1"/>
          <w:szCs w:val="24"/>
        </w:rPr>
        <w:t xml:space="preserve">.  </w:t>
      </w:r>
      <w:r w:rsidR="00643C8F" w:rsidRPr="00461231">
        <w:rPr>
          <w:color w:val="000000" w:themeColor="text1"/>
          <w:szCs w:val="24"/>
        </w:rPr>
        <w:t xml:space="preserve">He did not respond adequately to treatment and was unable to perform within his Military Occupational Specialty (MOS) or meet physical fitness standards.  He was issued a permanent </w:t>
      </w:r>
      <w:r w:rsidR="0028587A" w:rsidRPr="00461231">
        <w:rPr>
          <w:color w:val="000000" w:themeColor="text1"/>
          <w:szCs w:val="24"/>
        </w:rPr>
        <w:t>U3</w:t>
      </w:r>
      <w:r w:rsidR="00643C8F" w:rsidRPr="00461231">
        <w:rPr>
          <w:color w:val="000000" w:themeColor="text1"/>
          <w:szCs w:val="24"/>
        </w:rPr>
        <w:t xml:space="preserve"> profile </w:t>
      </w:r>
      <w:r w:rsidR="002D63FE" w:rsidRPr="00461231">
        <w:rPr>
          <w:color w:val="000000" w:themeColor="text1"/>
          <w:szCs w:val="24"/>
        </w:rPr>
        <w:t xml:space="preserve">for cervical stenosis </w:t>
      </w:r>
      <w:r w:rsidR="00643C8F" w:rsidRPr="00461231">
        <w:rPr>
          <w:color w:val="000000" w:themeColor="text1"/>
          <w:szCs w:val="24"/>
        </w:rPr>
        <w:t>and underwent a Medical Evaluation Board (MEB).</w:t>
      </w:r>
      <w:r w:rsidR="0028587A" w:rsidRPr="00461231">
        <w:rPr>
          <w:color w:val="000000" w:themeColor="text1"/>
          <w:szCs w:val="24"/>
        </w:rPr>
        <w:t xml:space="preserve">  Cervical spondylosis with neck pain and chronic mild left arm </w:t>
      </w:r>
      <w:r w:rsidR="000A33C8" w:rsidRPr="00461231">
        <w:rPr>
          <w:color w:val="000000" w:themeColor="text1"/>
          <w:szCs w:val="24"/>
        </w:rPr>
        <w:t>were forwarded to the Physical Evaluation Board (PEB) as medically unacceptable IAW AR 40-501</w:t>
      </w:r>
      <w:r w:rsidR="00376E08" w:rsidRPr="00461231">
        <w:rPr>
          <w:color w:val="000000" w:themeColor="text1"/>
          <w:szCs w:val="24"/>
        </w:rPr>
        <w:t>.</w:t>
      </w:r>
      <w:r w:rsidR="0028587A" w:rsidRPr="00461231">
        <w:rPr>
          <w:color w:val="000000" w:themeColor="text1"/>
          <w:szCs w:val="24"/>
        </w:rPr>
        <w:t xml:space="preserve">  Four</w:t>
      </w:r>
      <w:r w:rsidR="009C5C56" w:rsidRPr="00461231">
        <w:rPr>
          <w:color w:val="000000" w:themeColor="text1"/>
          <w:szCs w:val="24"/>
        </w:rPr>
        <w:t xml:space="preserve"> </w:t>
      </w:r>
      <w:r w:rsidR="00954E5B" w:rsidRPr="00461231">
        <w:rPr>
          <w:color w:val="000000" w:themeColor="text1"/>
          <w:szCs w:val="24"/>
        </w:rPr>
        <w:t xml:space="preserve">other conditions, as identified in the rating chart below, were forwarded on the </w:t>
      </w:r>
      <w:r w:rsidR="00B04562" w:rsidRPr="00461231">
        <w:rPr>
          <w:color w:val="000000" w:themeColor="text1"/>
          <w:szCs w:val="24"/>
        </w:rPr>
        <w:t xml:space="preserve">MEB submission </w:t>
      </w:r>
      <w:r w:rsidR="00954E5B" w:rsidRPr="00461231">
        <w:rPr>
          <w:color w:val="000000" w:themeColor="text1"/>
          <w:szCs w:val="24"/>
        </w:rPr>
        <w:t>as medically acceptable conditions</w:t>
      </w:r>
      <w:r w:rsidR="00B04562" w:rsidRPr="00461231">
        <w:rPr>
          <w:color w:val="000000" w:themeColor="text1"/>
          <w:szCs w:val="24"/>
        </w:rPr>
        <w:t>.</w:t>
      </w:r>
      <w:r w:rsidR="0028587A" w:rsidRPr="00461231">
        <w:rPr>
          <w:color w:val="000000" w:themeColor="text1"/>
          <w:szCs w:val="24"/>
        </w:rPr>
        <w:t xml:space="preserve">  </w:t>
      </w:r>
      <w:r w:rsidR="00842BAA" w:rsidRPr="00461231">
        <w:rPr>
          <w:color w:val="000000" w:themeColor="text1"/>
          <w:szCs w:val="24"/>
        </w:rPr>
        <w:t xml:space="preserve">The PEB adjudicated the </w:t>
      </w:r>
      <w:r w:rsidR="0028587A" w:rsidRPr="00461231">
        <w:rPr>
          <w:color w:val="000000" w:themeColor="text1"/>
          <w:szCs w:val="24"/>
        </w:rPr>
        <w:t xml:space="preserve">cervical spondylosis with neck pain and chronic mild left arm </w:t>
      </w:r>
      <w:r w:rsidR="00842BAA" w:rsidRPr="00461231">
        <w:rPr>
          <w:color w:val="000000" w:themeColor="text1"/>
          <w:szCs w:val="24"/>
        </w:rPr>
        <w:t>condition</w:t>
      </w:r>
      <w:r w:rsidR="0028587A" w:rsidRPr="00461231">
        <w:rPr>
          <w:color w:val="000000" w:themeColor="text1"/>
          <w:szCs w:val="24"/>
        </w:rPr>
        <w:t>s</w:t>
      </w:r>
      <w:r w:rsidR="00842BAA" w:rsidRPr="00461231">
        <w:rPr>
          <w:color w:val="000000" w:themeColor="text1"/>
          <w:szCs w:val="24"/>
        </w:rPr>
        <w:t xml:space="preserve"> as unfitting, rated </w:t>
      </w:r>
      <w:r w:rsidR="00720D87" w:rsidRPr="00461231">
        <w:rPr>
          <w:color w:val="000000" w:themeColor="text1"/>
          <w:szCs w:val="24"/>
        </w:rPr>
        <w:t xml:space="preserve">at </w:t>
      </w:r>
      <w:r w:rsidR="0028587A" w:rsidRPr="00461231">
        <w:rPr>
          <w:color w:val="000000" w:themeColor="text1"/>
          <w:szCs w:val="24"/>
        </w:rPr>
        <w:t>20</w:t>
      </w:r>
      <w:r w:rsidR="00720D87" w:rsidRPr="00461231">
        <w:rPr>
          <w:color w:val="000000" w:themeColor="text1"/>
          <w:szCs w:val="24"/>
        </w:rPr>
        <w:t>% for mild, incomplete paralysis.</w:t>
      </w:r>
      <w:r w:rsidR="00BD7ECC">
        <w:rPr>
          <w:color w:val="000000" w:themeColor="text1"/>
          <w:szCs w:val="24"/>
        </w:rPr>
        <w:t xml:space="preserve"> </w:t>
      </w:r>
      <w:r w:rsidR="00842BAA" w:rsidRPr="00461231">
        <w:rPr>
          <w:color w:val="000000" w:themeColor="text1"/>
          <w:szCs w:val="24"/>
        </w:rPr>
        <w:t xml:space="preserve"> </w:t>
      </w:r>
      <w:r w:rsidR="00B20624" w:rsidRPr="00461231">
        <w:rPr>
          <w:color w:val="000000" w:themeColor="text1"/>
        </w:rPr>
        <w:t xml:space="preserve">The CI </w:t>
      </w:r>
      <w:r w:rsidR="00190E48" w:rsidRPr="00461231">
        <w:rPr>
          <w:color w:val="000000" w:themeColor="text1"/>
        </w:rPr>
        <w:t xml:space="preserve">made no appeals, </w:t>
      </w:r>
      <w:r w:rsidR="00B20624" w:rsidRPr="00461231">
        <w:rPr>
          <w:color w:val="000000" w:themeColor="text1"/>
        </w:rPr>
        <w:t xml:space="preserve">and was medically separated with a </w:t>
      </w:r>
      <w:r w:rsidR="0028587A" w:rsidRPr="00461231">
        <w:rPr>
          <w:color w:val="000000" w:themeColor="text1"/>
        </w:rPr>
        <w:t>20</w:t>
      </w:r>
      <w:r w:rsidR="00B20624" w:rsidRPr="00461231">
        <w:rPr>
          <w:color w:val="000000" w:themeColor="text1"/>
        </w:rPr>
        <w:t>% disability rating.</w:t>
      </w:r>
    </w:p>
    <w:p w:rsidR="004174F0" w:rsidRPr="00461231" w:rsidRDefault="004174F0" w:rsidP="00BF0E94">
      <w:pPr>
        <w:pBdr>
          <w:bottom w:val="single" w:sz="12" w:space="1" w:color="auto"/>
        </w:pBdr>
        <w:tabs>
          <w:tab w:val="left" w:pos="288"/>
          <w:tab w:val="left" w:pos="4752"/>
        </w:tabs>
        <w:jc w:val="both"/>
        <w:rPr>
          <w:color w:val="000000" w:themeColor="text1"/>
        </w:rPr>
      </w:pPr>
    </w:p>
    <w:p w:rsidR="004174F0" w:rsidRPr="00461231" w:rsidRDefault="004174F0" w:rsidP="00BF0E94">
      <w:pPr>
        <w:tabs>
          <w:tab w:val="left" w:pos="288"/>
          <w:tab w:val="left" w:pos="4752"/>
        </w:tabs>
        <w:jc w:val="both"/>
        <w:rPr>
          <w:color w:val="000000" w:themeColor="text1"/>
        </w:rPr>
      </w:pPr>
    </w:p>
    <w:p w:rsidR="00ED5284" w:rsidRPr="00461231" w:rsidRDefault="002C6E5B" w:rsidP="00BF0E94">
      <w:pPr>
        <w:tabs>
          <w:tab w:val="left" w:pos="288"/>
          <w:tab w:val="left" w:pos="4752"/>
        </w:tabs>
        <w:jc w:val="both"/>
        <w:rPr>
          <w:rFonts w:eastAsiaTheme="minorHAnsi"/>
          <w:color w:val="000000" w:themeColor="text1"/>
          <w:szCs w:val="24"/>
        </w:rPr>
      </w:pPr>
      <w:r w:rsidRPr="00461231">
        <w:rPr>
          <w:color w:val="000000" w:themeColor="text1"/>
          <w:u w:val="single"/>
        </w:rPr>
        <w:t>CI CONTENTION</w:t>
      </w:r>
      <w:r w:rsidRPr="00461231">
        <w:rPr>
          <w:color w:val="000000" w:themeColor="text1"/>
        </w:rPr>
        <w:t>:</w:t>
      </w:r>
      <w:r w:rsidR="00164B09" w:rsidRPr="00461231">
        <w:rPr>
          <w:color w:val="000000" w:themeColor="text1"/>
        </w:rPr>
        <w:t xml:space="preserve">  The</w:t>
      </w:r>
      <w:r w:rsidR="004E64B7" w:rsidRPr="00461231">
        <w:rPr>
          <w:color w:val="000000" w:themeColor="text1"/>
        </w:rPr>
        <w:t xml:space="preserve"> CI states:  “On 9 May 02, I me</w:t>
      </w:r>
      <w:r w:rsidR="001F468C" w:rsidRPr="00461231">
        <w:rPr>
          <w:color w:val="000000" w:themeColor="text1"/>
        </w:rPr>
        <w:t>e</w:t>
      </w:r>
      <w:r w:rsidR="004E64B7" w:rsidRPr="00461231">
        <w:rPr>
          <w:color w:val="000000" w:themeColor="text1"/>
        </w:rPr>
        <w:t>t with the Chief S</w:t>
      </w:r>
      <w:r w:rsidR="001F468C" w:rsidRPr="00461231">
        <w:rPr>
          <w:color w:val="000000" w:themeColor="text1"/>
        </w:rPr>
        <w:t>e</w:t>
      </w:r>
      <w:r w:rsidR="004E64B7" w:rsidRPr="00461231">
        <w:rPr>
          <w:color w:val="000000" w:themeColor="text1"/>
        </w:rPr>
        <w:t>rgen</w:t>
      </w:r>
      <w:r w:rsidR="001F468C" w:rsidRPr="00461231">
        <w:rPr>
          <w:color w:val="000000" w:themeColor="text1"/>
        </w:rPr>
        <w:t>t</w:t>
      </w:r>
      <w:r w:rsidR="004E64B7" w:rsidRPr="00461231">
        <w:rPr>
          <w:color w:val="000000" w:themeColor="text1"/>
        </w:rPr>
        <w:t xml:space="preserve"> of Neuro Surgery, Donald Patkins, MD, MAJ, MC, at BAMC Fort Sam Houston. </w:t>
      </w:r>
      <w:r w:rsidR="00BD7ECC">
        <w:rPr>
          <w:color w:val="000000" w:themeColor="text1"/>
        </w:rPr>
        <w:t xml:space="preserve"> </w:t>
      </w:r>
      <w:r w:rsidR="004E64B7" w:rsidRPr="00461231">
        <w:rPr>
          <w:color w:val="000000" w:themeColor="text1"/>
        </w:rPr>
        <w:t xml:space="preserve">At the time of our review, doctor Patkins </w:t>
      </w:r>
      <w:r w:rsidR="001F468C" w:rsidRPr="00461231">
        <w:rPr>
          <w:color w:val="000000" w:themeColor="text1"/>
        </w:rPr>
        <w:t>mention</w:t>
      </w:r>
      <w:r w:rsidR="004E64B7" w:rsidRPr="00461231">
        <w:rPr>
          <w:color w:val="000000" w:themeColor="text1"/>
        </w:rPr>
        <w:t xml:space="preserve"> to me that he was retiring soon.  And that because of that</w:t>
      </w:r>
      <w:r w:rsidR="001F468C" w:rsidRPr="00461231">
        <w:rPr>
          <w:color w:val="000000" w:themeColor="text1"/>
        </w:rPr>
        <w:t xml:space="preserve"> their was nothing he could do to help me get better.  And that because I am a guardmens it be best I got out of the Army.</w:t>
      </w:r>
      <w:r w:rsidR="00BD7ECC">
        <w:rPr>
          <w:color w:val="000000" w:themeColor="text1"/>
        </w:rPr>
        <w:t xml:space="preserve"> </w:t>
      </w:r>
      <w:r w:rsidR="001F468C" w:rsidRPr="00461231">
        <w:rPr>
          <w:color w:val="000000" w:themeColor="text1"/>
        </w:rPr>
        <w:t xml:space="preserve"> He put me on a profile and </w:t>
      </w:r>
      <w:proofErr w:type="gramStart"/>
      <w:r w:rsidR="001F468C" w:rsidRPr="00461231">
        <w:rPr>
          <w:color w:val="000000" w:themeColor="text1"/>
        </w:rPr>
        <w:t>recommend</w:t>
      </w:r>
      <w:proofErr w:type="gramEnd"/>
      <w:r w:rsidR="001F468C" w:rsidRPr="00461231">
        <w:rPr>
          <w:color w:val="000000" w:themeColor="text1"/>
        </w:rPr>
        <w:t xml:space="preserve"> me to the PEB for discharge under medical condition.</w:t>
      </w:r>
      <w:r w:rsidR="00BD7ECC">
        <w:rPr>
          <w:color w:val="000000" w:themeColor="text1"/>
        </w:rPr>
        <w:t xml:space="preserve"> </w:t>
      </w:r>
      <w:r w:rsidR="001F468C" w:rsidRPr="00461231">
        <w:rPr>
          <w:color w:val="000000" w:themeColor="text1"/>
        </w:rPr>
        <w:t xml:space="preserve"> I was given a 20% rating from the Army and sent on my way.</w:t>
      </w:r>
      <w:r w:rsidR="00BD7ECC">
        <w:rPr>
          <w:color w:val="000000" w:themeColor="text1"/>
        </w:rPr>
        <w:t xml:space="preserve"> </w:t>
      </w:r>
      <w:r w:rsidR="001F468C" w:rsidRPr="00461231">
        <w:rPr>
          <w:color w:val="000000" w:themeColor="text1"/>
        </w:rPr>
        <w:t xml:space="preserve"> The VA, after review of my medical problem</w:t>
      </w:r>
      <w:r w:rsidR="0016105D" w:rsidRPr="00461231">
        <w:rPr>
          <w:color w:val="000000" w:themeColor="text1"/>
        </w:rPr>
        <w:t>,</w:t>
      </w:r>
      <w:r w:rsidR="001F468C" w:rsidRPr="00461231">
        <w:rPr>
          <w:color w:val="000000" w:themeColor="text1"/>
        </w:rPr>
        <w:t xml:space="preserve"> gave</w:t>
      </w:r>
      <w:r w:rsidR="0016105D" w:rsidRPr="00461231">
        <w:rPr>
          <w:color w:val="000000" w:themeColor="text1"/>
        </w:rPr>
        <w:t xml:space="preserve"> </w:t>
      </w:r>
      <w:r w:rsidR="001F468C" w:rsidRPr="00461231">
        <w:rPr>
          <w:color w:val="000000" w:themeColor="text1"/>
        </w:rPr>
        <w:t>m</w:t>
      </w:r>
      <w:r w:rsidR="0016105D" w:rsidRPr="00461231">
        <w:rPr>
          <w:color w:val="000000" w:themeColor="text1"/>
        </w:rPr>
        <w:t>e</w:t>
      </w:r>
      <w:r w:rsidR="001F468C" w:rsidRPr="00461231">
        <w:rPr>
          <w:color w:val="000000" w:themeColor="text1"/>
        </w:rPr>
        <w:t xml:space="preserve"> a 30% for my cervical problem and now to date has me rated at 80%.</w:t>
      </w:r>
      <w:r w:rsidR="0016105D" w:rsidRPr="00461231">
        <w:rPr>
          <w:color w:val="000000" w:themeColor="text1"/>
        </w:rPr>
        <w:t xml:space="preserve">”  </w:t>
      </w:r>
      <w:r w:rsidR="00ED5284" w:rsidRPr="00461231">
        <w:rPr>
          <w:rFonts w:eastAsiaTheme="minorHAnsi"/>
          <w:color w:val="000000" w:themeColor="text1"/>
          <w:szCs w:val="24"/>
        </w:rPr>
        <w:t>He elaborates no specific contentions regarding rating or coding and mentions no additionally contended conditions.</w:t>
      </w:r>
    </w:p>
    <w:p w:rsidR="004174F0" w:rsidRPr="00461231" w:rsidRDefault="004174F0" w:rsidP="00BF0E94">
      <w:pPr>
        <w:pBdr>
          <w:bottom w:val="single" w:sz="12" w:space="1" w:color="auto"/>
        </w:pBdr>
        <w:tabs>
          <w:tab w:val="left" w:pos="288"/>
          <w:tab w:val="left" w:pos="4752"/>
        </w:tabs>
        <w:jc w:val="both"/>
        <w:rPr>
          <w:color w:val="000000" w:themeColor="text1"/>
        </w:rPr>
      </w:pPr>
    </w:p>
    <w:p w:rsidR="004174F0" w:rsidRPr="00461231" w:rsidRDefault="004174F0" w:rsidP="00BF0E94">
      <w:pPr>
        <w:tabs>
          <w:tab w:val="left" w:pos="288"/>
          <w:tab w:val="left" w:pos="4752"/>
        </w:tabs>
        <w:jc w:val="both"/>
        <w:rPr>
          <w:color w:val="000000" w:themeColor="text1"/>
        </w:rPr>
      </w:pPr>
    </w:p>
    <w:p w:rsidR="004C3BC1" w:rsidRPr="00461231" w:rsidRDefault="004C3BC1" w:rsidP="004C3BC1">
      <w:pPr>
        <w:jc w:val="both"/>
        <w:rPr>
          <w:color w:val="auto"/>
          <w:u w:val="single"/>
        </w:rPr>
      </w:pPr>
      <w:r w:rsidRPr="00461231">
        <w:rPr>
          <w:color w:val="auto"/>
          <w:u w:val="single"/>
        </w:rPr>
        <w:t>SCOPE OF REVIEW</w:t>
      </w:r>
      <w:r w:rsidRPr="00461231">
        <w:rPr>
          <w:color w:val="auto"/>
        </w:rPr>
        <w:t>:  The Board wishes to clarify that the scope of its review as defined in DoDI 6040.44, Enclosure 3, paragraph 5.e</w:t>
      </w:r>
      <w:proofErr w:type="gramStart"/>
      <w:r w:rsidRPr="00461231">
        <w:rPr>
          <w:color w:val="auto"/>
        </w:rPr>
        <w:t>.(</w:t>
      </w:r>
      <w:proofErr w:type="gramEnd"/>
      <w:r w:rsidRPr="00461231">
        <w:rPr>
          <w:color w:val="auto"/>
        </w:rPr>
        <w:t xml:space="preserve">2) is limited to those conditions which were determined by the PEB to be specifically unfitting for continued military service; or, when requested by the CI, those condition(s) “identified but not determined to be unfitting by the PEB.”  No specific request for consideration of conditions determined to be not unfitting by the PEB is noted. Any conditions or contention not requested in this application, or otherwise outside the Board’s defined scope of review, remain eligible for future consideration by the Army Board for the Correction of Military Records (BCMR).  </w:t>
      </w:r>
    </w:p>
    <w:p w:rsidR="004C3BC1" w:rsidRPr="00461231" w:rsidRDefault="004C3BC1" w:rsidP="004C3BC1">
      <w:pPr>
        <w:pBdr>
          <w:bottom w:val="single" w:sz="12" w:space="1" w:color="auto"/>
        </w:pBdr>
        <w:tabs>
          <w:tab w:val="left" w:pos="288"/>
          <w:tab w:val="left" w:pos="4752"/>
        </w:tabs>
        <w:jc w:val="both"/>
        <w:rPr>
          <w:color w:val="auto"/>
        </w:rPr>
      </w:pPr>
    </w:p>
    <w:p w:rsidR="004C3BC1" w:rsidRPr="00461231" w:rsidRDefault="004C3BC1" w:rsidP="004C3BC1">
      <w:pPr>
        <w:jc w:val="both"/>
        <w:rPr>
          <w:color w:val="auto"/>
          <w:u w:val="single"/>
        </w:rPr>
      </w:pPr>
    </w:p>
    <w:p w:rsidR="00F5066A" w:rsidRPr="00461231" w:rsidRDefault="00F5066A">
      <w:pPr>
        <w:rPr>
          <w:color w:val="000000" w:themeColor="text1"/>
          <w:u w:val="single"/>
        </w:rPr>
      </w:pPr>
      <w:r w:rsidRPr="00461231">
        <w:rPr>
          <w:color w:val="000000" w:themeColor="text1"/>
          <w:u w:val="single"/>
        </w:rPr>
        <w:br w:type="page"/>
      </w:r>
    </w:p>
    <w:p w:rsidR="00C8590C" w:rsidRPr="00461231" w:rsidRDefault="007F0AB7" w:rsidP="00BF0E94">
      <w:pPr>
        <w:jc w:val="left"/>
        <w:rPr>
          <w:color w:val="000000" w:themeColor="text1"/>
          <w:szCs w:val="28"/>
        </w:rPr>
      </w:pPr>
      <w:r w:rsidRPr="00461231">
        <w:rPr>
          <w:color w:val="000000" w:themeColor="text1"/>
          <w:u w:val="single"/>
        </w:rPr>
        <w:lastRenderedPageBreak/>
        <w:t>R</w:t>
      </w:r>
      <w:r w:rsidR="002C6E5B" w:rsidRPr="00461231">
        <w:rPr>
          <w:color w:val="000000" w:themeColor="text1"/>
          <w:u w:val="single"/>
        </w:rPr>
        <w:t>ATING COMPARISON</w:t>
      </w:r>
      <w:r w:rsidR="002C6E5B" w:rsidRPr="00461231">
        <w:rPr>
          <w:color w:val="000000" w:themeColor="text1"/>
        </w:rPr>
        <w:t>:</w:t>
      </w:r>
    </w:p>
    <w:p w:rsidR="002151AB" w:rsidRPr="00461231" w:rsidRDefault="002151AB" w:rsidP="00BF0E94">
      <w:pPr>
        <w:rPr>
          <w:color w:val="000000" w:themeColor="text1"/>
        </w:rPr>
      </w:pPr>
    </w:p>
    <w:tbl>
      <w:tblPr>
        <w:tblStyle w:val="TableGrid"/>
        <w:tblpPr w:leftFromText="187" w:rightFromText="187" w:vertAnchor="text" w:tblpXSpec="center" w:tblpY="1"/>
        <w:tblOverlap w:val="never"/>
        <w:tblW w:w="9324" w:type="dxa"/>
        <w:jc w:val="center"/>
        <w:tblLayout w:type="fixed"/>
        <w:tblLook w:val="04A0"/>
      </w:tblPr>
      <w:tblGrid>
        <w:gridCol w:w="2120"/>
        <w:gridCol w:w="1080"/>
        <w:gridCol w:w="900"/>
        <w:gridCol w:w="2362"/>
        <w:gridCol w:w="1041"/>
        <w:gridCol w:w="795"/>
        <w:gridCol w:w="36"/>
        <w:gridCol w:w="990"/>
      </w:tblGrid>
      <w:tr w:rsidR="002B4E22" w:rsidRPr="00461231" w:rsidTr="00174BDD">
        <w:trPr>
          <w:trHeight w:val="233"/>
          <w:jc w:val="center"/>
        </w:trPr>
        <w:tc>
          <w:tcPr>
            <w:tcW w:w="4100" w:type="dxa"/>
            <w:gridSpan w:val="3"/>
            <w:tcBorders>
              <w:right w:val="thinThickThinSmallGap" w:sz="24" w:space="0" w:color="auto"/>
            </w:tcBorders>
            <w:shd w:val="clear" w:color="auto" w:fill="D9D9D9" w:themeFill="background1" w:themeFillShade="D9"/>
            <w:vAlign w:val="center"/>
          </w:tcPr>
          <w:p w:rsidR="002B4E22" w:rsidRPr="00461231" w:rsidRDefault="00B731E4" w:rsidP="0016105D">
            <w:pPr>
              <w:contextualSpacing/>
              <w:rPr>
                <w:rFonts w:ascii="Calibri" w:hAnsi="Calibri" w:cs="Calibri"/>
                <w:b/>
                <w:color w:val="000000" w:themeColor="text1"/>
                <w:sz w:val="18"/>
                <w:szCs w:val="18"/>
              </w:rPr>
            </w:pPr>
            <w:r w:rsidRPr="00461231">
              <w:rPr>
                <w:rFonts w:ascii="Calibri" w:hAnsi="Calibri" w:cs="Calibri"/>
                <w:b/>
                <w:color w:val="000000" w:themeColor="text1"/>
                <w:sz w:val="18"/>
                <w:szCs w:val="18"/>
              </w:rPr>
              <w:t xml:space="preserve">Service </w:t>
            </w:r>
            <w:r w:rsidR="0016105D" w:rsidRPr="00461231">
              <w:rPr>
                <w:rFonts w:ascii="Calibri" w:hAnsi="Calibri" w:cs="Calibri"/>
                <w:b/>
                <w:color w:val="000000" w:themeColor="text1"/>
                <w:sz w:val="18"/>
                <w:szCs w:val="18"/>
              </w:rPr>
              <w:t>I</w:t>
            </w:r>
            <w:r w:rsidRPr="00461231">
              <w:rPr>
                <w:rFonts w:ascii="Calibri" w:hAnsi="Calibri" w:cs="Calibri"/>
                <w:b/>
                <w:color w:val="000000" w:themeColor="text1"/>
                <w:sz w:val="18"/>
                <w:szCs w:val="18"/>
              </w:rPr>
              <w:t>PEB – Dated 200</w:t>
            </w:r>
            <w:r w:rsidR="0016105D" w:rsidRPr="00461231">
              <w:rPr>
                <w:rFonts w:ascii="Calibri" w:hAnsi="Calibri" w:cs="Calibri"/>
                <w:b/>
                <w:color w:val="000000" w:themeColor="text1"/>
                <w:sz w:val="18"/>
                <w:szCs w:val="18"/>
              </w:rPr>
              <w:t>30327</w:t>
            </w:r>
          </w:p>
        </w:tc>
        <w:tc>
          <w:tcPr>
            <w:tcW w:w="5224" w:type="dxa"/>
            <w:gridSpan w:val="5"/>
            <w:tcBorders>
              <w:left w:val="thinThickThinSmallGap" w:sz="24" w:space="0" w:color="auto"/>
            </w:tcBorders>
            <w:shd w:val="clear" w:color="auto" w:fill="D9D9D9" w:themeFill="background1" w:themeFillShade="D9"/>
            <w:vAlign w:val="center"/>
          </w:tcPr>
          <w:p w:rsidR="00E029C4" w:rsidRPr="00461231" w:rsidRDefault="00E029C4" w:rsidP="00A065C4">
            <w:pPr>
              <w:contextualSpacing/>
              <w:rPr>
                <w:rFonts w:ascii="Calibri" w:hAnsi="Calibri" w:cs="Calibri"/>
                <w:b/>
                <w:color w:val="000000" w:themeColor="text1"/>
                <w:sz w:val="18"/>
                <w:szCs w:val="18"/>
              </w:rPr>
            </w:pPr>
            <w:r w:rsidRPr="00461231">
              <w:rPr>
                <w:rFonts w:ascii="Calibri" w:hAnsi="Calibri" w:cs="Calibri"/>
                <w:b/>
                <w:color w:val="000000" w:themeColor="text1"/>
                <w:sz w:val="18"/>
                <w:szCs w:val="18"/>
              </w:rPr>
              <w:t xml:space="preserve">VA </w:t>
            </w:r>
            <w:r w:rsidR="00720D87" w:rsidRPr="00461231">
              <w:rPr>
                <w:rFonts w:ascii="Calibri" w:hAnsi="Calibri" w:cs="Calibri"/>
                <w:b/>
                <w:color w:val="000000" w:themeColor="text1"/>
                <w:sz w:val="18"/>
                <w:szCs w:val="18"/>
              </w:rPr>
              <w:t>4</w:t>
            </w:r>
            <w:r w:rsidR="008A6F0D" w:rsidRPr="00461231">
              <w:rPr>
                <w:rFonts w:ascii="Calibri" w:hAnsi="Calibri" w:cs="Calibri"/>
                <w:b/>
                <w:color w:val="000000" w:themeColor="text1"/>
                <w:sz w:val="18"/>
                <w:szCs w:val="18"/>
              </w:rPr>
              <w:t xml:space="preserve"> </w:t>
            </w:r>
            <w:r w:rsidRPr="00461231">
              <w:rPr>
                <w:rFonts w:ascii="Calibri" w:hAnsi="Calibri" w:cs="Calibri"/>
                <w:b/>
                <w:color w:val="000000" w:themeColor="text1"/>
                <w:sz w:val="18"/>
                <w:szCs w:val="18"/>
              </w:rPr>
              <w:t>Months</w:t>
            </w:r>
            <w:r w:rsidR="002B4E22" w:rsidRPr="00461231">
              <w:rPr>
                <w:rFonts w:ascii="Calibri" w:hAnsi="Calibri" w:cs="Calibri"/>
                <w:b/>
                <w:color w:val="000000" w:themeColor="text1"/>
                <w:sz w:val="18"/>
                <w:szCs w:val="18"/>
              </w:rPr>
              <w:t xml:space="preserve"> </w:t>
            </w:r>
            <w:r w:rsidR="00720D87" w:rsidRPr="00461231">
              <w:rPr>
                <w:rFonts w:ascii="Calibri" w:hAnsi="Calibri" w:cs="Calibri"/>
                <w:b/>
                <w:color w:val="000000" w:themeColor="text1"/>
                <w:sz w:val="18"/>
                <w:szCs w:val="18"/>
              </w:rPr>
              <w:t>Pre-</w:t>
            </w:r>
            <w:r w:rsidRPr="00461231">
              <w:rPr>
                <w:rFonts w:ascii="Calibri" w:hAnsi="Calibri" w:cs="Calibri"/>
                <w:b/>
                <w:color w:val="000000" w:themeColor="text1"/>
                <w:sz w:val="18"/>
                <w:szCs w:val="18"/>
              </w:rPr>
              <w:t>Separation</w:t>
            </w:r>
          </w:p>
          <w:p w:rsidR="002B4E22" w:rsidRPr="00461231" w:rsidRDefault="002B4E22" w:rsidP="00A065C4">
            <w:pPr>
              <w:contextualSpacing/>
              <w:rPr>
                <w:rFonts w:ascii="Calibri" w:hAnsi="Calibri" w:cs="Calibri"/>
                <w:b/>
                <w:color w:val="000000" w:themeColor="text1"/>
                <w:sz w:val="18"/>
                <w:szCs w:val="18"/>
              </w:rPr>
            </w:pPr>
            <w:r w:rsidRPr="00461231">
              <w:rPr>
                <w:rFonts w:ascii="Calibri" w:hAnsi="Calibri" w:cs="Calibri"/>
                <w:b/>
                <w:color w:val="000000" w:themeColor="text1"/>
                <w:sz w:val="18"/>
                <w:szCs w:val="18"/>
              </w:rPr>
              <w:t xml:space="preserve">Effective Date </w:t>
            </w:r>
            <w:r w:rsidR="002D08F3" w:rsidRPr="00461231">
              <w:rPr>
                <w:rFonts w:ascii="Calibri" w:hAnsi="Calibri" w:cs="Calibri"/>
                <w:b/>
                <w:color w:val="000000" w:themeColor="text1"/>
                <w:sz w:val="18"/>
                <w:szCs w:val="18"/>
              </w:rPr>
              <w:t>200</w:t>
            </w:r>
            <w:r w:rsidR="00A92D0B" w:rsidRPr="00461231">
              <w:rPr>
                <w:rFonts w:ascii="Calibri" w:hAnsi="Calibri" w:cs="Calibri"/>
                <w:b/>
                <w:color w:val="000000" w:themeColor="text1"/>
                <w:sz w:val="18"/>
                <w:szCs w:val="18"/>
              </w:rPr>
              <w:t>31106</w:t>
            </w:r>
            <w:r w:rsidR="00A065C4" w:rsidRPr="00461231">
              <w:rPr>
                <w:rFonts w:ascii="Calibri" w:hAnsi="Calibri" w:cs="Calibri"/>
                <w:b/>
                <w:color w:val="000000" w:themeColor="text1"/>
                <w:sz w:val="18"/>
                <w:szCs w:val="18"/>
                <w:vertAlign w:val="superscript"/>
              </w:rPr>
              <w:t>1</w:t>
            </w:r>
            <w:r w:rsidR="00A065C4" w:rsidRPr="00461231">
              <w:rPr>
                <w:rFonts w:ascii="Calibri" w:hAnsi="Calibri" w:cs="Calibri"/>
                <w:b/>
                <w:color w:val="000000" w:themeColor="text1"/>
                <w:sz w:val="18"/>
                <w:szCs w:val="18"/>
              </w:rPr>
              <w:t xml:space="preserve"> or 19990430</w:t>
            </w:r>
            <w:r w:rsidR="00A065C4" w:rsidRPr="00461231">
              <w:rPr>
                <w:rFonts w:ascii="Calibri" w:hAnsi="Calibri" w:cs="Calibri"/>
                <w:b/>
                <w:color w:val="000000" w:themeColor="text1"/>
                <w:sz w:val="18"/>
                <w:szCs w:val="18"/>
                <w:vertAlign w:val="superscript"/>
              </w:rPr>
              <w:t>2</w:t>
            </w:r>
          </w:p>
        </w:tc>
      </w:tr>
      <w:tr w:rsidR="002B4E22" w:rsidRPr="00461231" w:rsidTr="006E259D">
        <w:trPr>
          <w:trHeight w:val="278"/>
          <w:jc w:val="center"/>
        </w:trPr>
        <w:tc>
          <w:tcPr>
            <w:tcW w:w="2120" w:type="dxa"/>
            <w:tcBorders>
              <w:bottom w:val="single" w:sz="4" w:space="0" w:color="000000" w:themeColor="text1"/>
              <w:right w:val="single" w:sz="4" w:space="0" w:color="auto"/>
            </w:tcBorders>
            <w:shd w:val="clear" w:color="auto" w:fill="D9D9D9" w:themeFill="background1" w:themeFillShade="D9"/>
            <w:vAlign w:val="center"/>
          </w:tcPr>
          <w:p w:rsidR="002B4E22" w:rsidRPr="00461231" w:rsidRDefault="002B4E22" w:rsidP="00BF0E94">
            <w:pPr>
              <w:contextualSpacing/>
              <w:rPr>
                <w:rFonts w:ascii="Calibri" w:hAnsi="Calibri" w:cs="Calibri"/>
                <w:b/>
                <w:color w:val="000000" w:themeColor="text1"/>
                <w:sz w:val="18"/>
                <w:szCs w:val="18"/>
              </w:rPr>
            </w:pPr>
            <w:r w:rsidRPr="00461231">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461231" w:rsidRDefault="002B4E22" w:rsidP="00BF0E94">
            <w:pPr>
              <w:contextualSpacing/>
              <w:rPr>
                <w:rFonts w:ascii="Calibri" w:hAnsi="Calibri" w:cs="Calibri"/>
                <w:b/>
                <w:color w:val="000000" w:themeColor="text1"/>
                <w:sz w:val="18"/>
                <w:szCs w:val="18"/>
              </w:rPr>
            </w:pPr>
            <w:r w:rsidRPr="00461231">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461231" w:rsidRDefault="002B4E22" w:rsidP="00BF0E94">
            <w:pPr>
              <w:contextualSpacing/>
              <w:rPr>
                <w:rFonts w:ascii="Calibri" w:hAnsi="Calibri" w:cs="Calibri"/>
                <w:b/>
                <w:color w:val="000000" w:themeColor="text1"/>
                <w:sz w:val="18"/>
                <w:szCs w:val="18"/>
              </w:rPr>
            </w:pPr>
            <w:r w:rsidRPr="00461231">
              <w:rPr>
                <w:rFonts w:ascii="Calibri" w:hAnsi="Calibri" w:cs="Calibri"/>
                <w:b/>
                <w:color w:val="000000" w:themeColor="text1"/>
                <w:sz w:val="18"/>
                <w:szCs w:val="18"/>
              </w:rPr>
              <w:t>Rating</w:t>
            </w:r>
          </w:p>
        </w:tc>
        <w:tc>
          <w:tcPr>
            <w:tcW w:w="236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461231" w:rsidRDefault="002B4E22" w:rsidP="00BF0E94">
            <w:pPr>
              <w:contextualSpacing/>
              <w:rPr>
                <w:rFonts w:ascii="Calibri" w:hAnsi="Calibri" w:cs="Calibri"/>
                <w:b/>
                <w:color w:val="000000" w:themeColor="text1"/>
                <w:sz w:val="18"/>
                <w:szCs w:val="18"/>
              </w:rPr>
            </w:pPr>
            <w:r w:rsidRPr="00461231">
              <w:rPr>
                <w:rFonts w:ascii="Calibri" w:hAnsi="Calibri" w:cs="Calibri"/>
                <w:b/>
                <w:color w:val="000000" w:themeColor="text1"/>
                <w:sz w:val="18"/>
                <w:szCs w:val="18"/>
              </w:rPr>
              <w:t>Condition</w:t>
            </w:r>
          </w:p>
        </w:tc>
        <w:tc>
          <w:tcPr>
            <w:tcW w:w="1041" w:type="dxa"/>
            <w:tcBorders>
              <w:bottom w:val="single" w:sz="4" w:space="0" w:color="000000" w:themeColor="text1"/>
            </w:tcBorders>
            <w:shd w:val="clear" w:color="auto" w:fill="D9D9D9" w:themeFill="background1" w:themeFillShade="D9"/>
            <w:vAlign w:val="center"/>
          </w:tcPr>
          <w:p w:rsidR="002B4E22" w:rsidRPr="00461231" w:rsidRDefault="002B4E22" w:rsidP="00BF0E94">
            <w:pPr>
              <w:contextualSpacing/>
              <w:rPr>
                <w:rFonts w:ascii="Calibri" w:hAnsi="Calibri" w:cs="Calibri"/>
                <w:b/>
                <w:color w:val="000000" w:themeColor="text1"/>
                <w:sz w:val="18"/>
                <w:szCs w:val="18"/>
              </w:rPr>
            </w:pPr>
            <w:r w:rsidRPr="00461231">
              <w:rPr>
                <w:rFonts w:ascii="Calibri" w:hAnsi="Calibri" w:cs="Calibri"/>
                <w:b/>
                <w:color w:val="000000" w:themeColor="text1"/>
                <w:sz w:val="18"/>
                <w:szCs w:val="18"/>
              </w:rPr>
              <w:t>Code</w:t>
            </w:r>
          </w:p>
        </w:tc>
        <w:tc>
          <w:tcPr>
            <w:tcW w:w="795" w:type="dxa"/>
            <w:tcBorders>
              <w:bottom w:val="single" w:sz="4" w:space="0" w:color="000000" w:themeColor="text1"/>
            </w:tcBorders>
            <w:shd w:val="clear" w:color="auto" w:fill="D9D9D9" w:themeFill="background1" w:themeFillShade="D9"/>
            <w:vAlign w:val="center"/>
          </w:tcPr>
          <w:p w:rsidR="002B4E22" w:rsidRPr="00461231" w:rsidRDefault="002B4E22" w:rsidP="00BF0E94">
            <w:pPr>
              <w:contextualSpacing/>
              <w:rPr>
                <w:rFonts w:ascii="Calibri" w:hAnsi="Calibri" w:cs="Calibri"/>
                <w:b/>
                <w:color w:val="000000" w:themeColor="text1"/>
                <w:sz w:val="18"/>
                <w:szCs w:val="18"/>
              </w:rPr>
            </w:pPr>
            <w:r w:rsidRPr="00461231">
              <w:rPr>
                <w:rFonts w:ascii="Calibri" w:hAnsi="Calibri" w:cs="Calibri"/>
                <w:b/>
                <w:color w:val="000000" w:themeColor="text1"/>
                <w:sz w:val="18"/>
                <w:szCs w:val="18"/>
              </w:rPr>
              <w:t>Rating</w:t>
            </w:r>
          </w:p>
        </w:tc>
        <w:tc>
          <w:tcPr>
            <w:tcW w:w="1026" w:type="dxa"/>
            <w:gridSpan w:val="2"/>
            <w:tcBorders>
              <w:bottom w:val="single" w:sz="4" w:space="0" w:color="000000" w:themeColor="text1"/>
            </w:tcBorders>
            <w:shd w:val="clear" w:color="auto" w:fill="D9D9D9" w:themeFill="background1" w:themeFillShade="D9"/>
            <w:vAlign w:val="center"/>
          </w:tcPr>
          <w:p w:rsidR="002B4E22" w:rsidRPr="00461231" w:rsidRDefault="002B4E22" w:rsidP="00BF0E94">
            <w:pPr>
              <w:contextualSpacing/>
              <w:rPr>
                <w:rFonts w:ascii="Calibri" w:hAnsi="Calibri" w:cs="Calibri"/>
                <w:b/>
                <w:color w:val="000000" w:themeColor="text1"/>
                <w:sz w:val="18"/>
                <w:szCs w:val="18"/>
              </w:rPr>
            </w:pPr>
            <w:r w:rsidRPr="00461231">
              <w:rPr>
                <w:rFonts w:ascii="Calibri" w:hAnsi="Calibri" w:cs="Calibri"/>
                <w:b/>
                <w:color w:val="000000" w:themeColor="text1"/>
                <w:sz w:val="18"/>
                <w:szCs w:val="18"/>
              </w:rPr>
              <w:t>Exam</w:t>
            </w:r>
          </w:p>
        </w:tc>
      </w:tr>
      <w:tr w:rsidR="00001D80" w:rsidRPr="00461231" w:rsidTr="006E259D">
        <w:trPr>
          <w:trHeight w:val="287"/>
          <w:jc w:val="center"/>
        </w:trPr>
        <w:tc>
          <w:tcPr>
            <w:tcW w:w="2120" w:type="dxa"/>
            <w:vMerge w:val="restart"/>
            <w:tcBorders>
              <w:right w:val="single" w:sz="4" w:space="0" w:color="auto"/>
            </w:tcBorders>
            <w:shd w:val="clear" w:color="auto" w:fill="FFFFFF" w:themeFill="background1"/>
            <w:vAlign w:val="center"/>
          </w:tcPr>
          <w:p w:rsidR="00001D80" w:rsidRPr="00461231" w:rsidRDefault="00001D80">
            <w:pPr>
              <w:spacing w:line="180" w:lineRule="exact"/>
              <w:contextualSpacing/>
              <w:jc w:val="left"/>
              <w:rPr>
                <w:rFonts w:ascii="Calibri" w:eastAsia="Times New Roman" w:hAnsi="Calibri" w:cs="Calibri"/>
                <w:color w:val="000000" w:themeColor="text1"/>
                <w:sz w:val="18"/>
                <w:szCs w:val="18"/>
              </w:rPr>
            </w:pPr>
            <w:r w:rsidRPr="00461231">
              <w:rPr>
                <w:rFonts w:ascii="Calibri" w:hAnsi="Calibri" w:cs="Calibri"/>
                <w:color w:val="000000" w:themeColor="text1"/>
                <w:sz w:val="18"/>
                <w:szCs w:val="18"/>
              </w:rPr>
              <w:t>Cervical Spondylosis, With Neck Pain And Chronic Mild Left (Non-Dominant) Arm Weakness, With Mild Atrophy Of Biceps/Triceps And Forearm, Without Electrodiagnostic Abnormality.</w:t>
            </w:r>
          </w:p>
        </w:tc>
        <w:tc>
          <w:tcPr>
            <w:tcW w:w="1080" w:type="dxa"/>
            <w:vMerge w:val="restart"/>
            <w:tcBorders>
              <w:left w:val="single" w:sz="4" w:space="0" w:color="auto"/>
            </w:tcBorders>
            <w:shd w:val="clear" w:color="auto" w:fill="FFFFFF" w:themeFill="background1"/>
            <w:vAlign w:val="center"/>
          </w:tcPr>
          <w:p w:rsidR="00001D80" w:rsidRPr="00461231" w:rsidRDefault="00001D80">
            <w:pPr>
              <w:spacing w:line="180" w:lineRule="exact"/>
              <w:contextualSpacing/>
              <w:rPr>
                <w:rFonts w:ascii="Calibri" w:eastAsia="Times New Roman" w:hAnsi="Calibri" w:cs="Calibri"/>
                <w:color w:val="000000" w:themeColor="text1"/>
                <w:sz w:val="18"/>
                <w:szCs w:val="18"/>
              </w:rPr>
            </w:pPr>
            <w:r w:rsidRPr="00461231">
              <w:rPr>
                <w:rFonts w:ascii="Calibri" w:hAnsi="Calibri" w:cs="Calibri"/>
                <w:color w:val="000000" w:themeColor="text1"/>
                <w:sz w:val="18"/>
                <w:szCs w:val="18"/>
              </w:rPr>
              <w:t>8599-8513</w:t>
            </w:r>
          </w:p>
        </w:tc>
        <w:tc>
          <w:tcPr>
            <w:tcW w:w="900" w:type="dxa"/>
            <w:vMerge w:val="restart"/>
            <w:tcBorders>
              <w:right w:val="thinThickThinSmallGap" w:sz="24" w:space="0" w:color="auto"/>
            </w:tcBorders>
            <w:shd w:val="clear" w:color="auto" w:fill="FFFFFF" w:themeFill="background1"/>
            <w:vAlign w:val="center"/>
          </w:tcPr>
          <w:p w:rsidR="00001D80" w:rsidRPr="00461231" w:rsidRDefault="00001D80">
            <w:pPr>
              <w:spacing w:line="180" w:lineRule="exact"/>
              <w:rPr>
                <w:rFonts w:ascii="Calibri" w:eastAsia="Times New Roman" w:hAnsi="Calibri" w:cs="Calibri"/>
                <w:color w:val="000000" w:themeColor="text1"/>
                <w:sz w:val="18"/>
                <w:szCs w:val="18"/>
              </w:rPr>
            </w:pPr>
            <w:r w:rsidRPr="00461231">
              <w:rPr>
                <w:rFonts w:ascii="Calibri" w:hAnsi="Calibri" w:cs="Calibri"/>
                <w:color w:val="000000" w:themeColor="text1"/>
                <w:sz w:val="18"/>
                <w:szCs w:val="18"/>
              </w:rPr>
              <w:t>20%</w:t>
            </w:r>
          </w:p>
        </w:tc>
        <w:tc>
          <w:tcPr>
            <w:tcW w:w="2362" w:type="dxa"/>
            <w:tcBorders>
              <w:left w:val="thinThickThinSmallGap" w:sz="24" w:space="0" w:color="auto"/>
            </w:tcBorders>
            <w:shd w:val="clear" w:color="auto" w:fill="FFFFFF" w:themeFill="background1"/>
            <w:vAlign w:val="center"/>
          </w:tcPr>
          <w:p w:rsidR="00001D80" w:rsidRPr="00461231" w:rsidRDefault="00001D80">
            <w:pPr>
              <w:spacing w:line="180" w:lineRule="exact"/>
              <w:contextualSpacing/>
              <w:jc w:val="left"/>
              <w:rPr>
                <w:rFonts w:ascii="Calibri" w:eastAsia="Times New Roman" w:hAnsi="Calibri" w:cs="Calibri"/>
                <w:color w:val="000000" w:themeColor="text1"/>
                <w:sz w:val="18"/>
                <w:szCs w:val="18"/>
              </w:rPr>
            </w:pPr>
            <w:r w:rsidRPr="00461231">
              <w:rPr>
                <w:rFonts w:ascii="Calibri" w:hAnsi="Calibri" w:cs="Calibri"/>
                <w:color w:val="000000" w:themeColor="text1"/>
                <w:sz w:val="18"/>
                <w:szCs w:val="18"/>
              </w:rPr>
              <w:t>Cervical Spondylosis</w:t>
            </w:r>
          </w:p>
        </w:tc>
        <w:tc>
          <w:tcPr>
            <w:tcW w:w="1041" w:type="dxa"/>
            <w:shd w:val="clear" w:color="auto" w:fill="FFFFFF" w:themeFill="background1"/>
            <w:vAlign w:val="center"/>
          </w:tcPr>
          <w:p w:rsidR="00001D80" w:rsidRPr="00461231" w:rsidRDefault="00001D80">
            <w:pPr>
              <w:spacing w:line="180" w:lineRule="exact"/>
              <w:contextualSpacing/>
              <w:rPr>
                <w:rFonts w:ascii="Calibri" w:eastAsia="Times New Roman" w:hAnsi="Calibri" w:cs="Calibri"/>
                <w:color w:val="000000" w:themeColor="text1"/>
                <w:sz w:val="18"/>
                <w:szCs w:val="18"/>
              </w:rPr>
            </w:pPr>
            <w:r w:rsidRPr="00461231">
              <w:rPr>
                <w:rFonts w:ascii="Calibri" w:hAnsi="Calibri" w:cs="Calibri"/>
                <w:color w:val="000000" w:themeColor="text1"/>
                <w:sz w:val="18"/>
                <w:szCs w:val="18"/>
              </w:rPr>
              <w:t>5242</w:t>
            </w:r>
          </w:p>
        </w:tc>
        <w:tc>
          <w:tcPr>
            <w:tcW w:w="795" w:type="dxa"/>
            <w:shd w:val="clear" w:color="auto" w:fill="FFFFFF" w:themeFill="background1"/>
            <w:vAlign w:val="center"/>
          </w:tcPr>
          <w:p w:rsidR="00001D80" w:rsidRPr="00461231" w:rsidRDefault="00174BDD" w:rsidP="00174BDD">
            <w:pPr>
              <w:spacing w:line="180" w:lineRule="exact"/>
              <w:contextualSpacing/>
              <w:rPr>
                <w:rFonts w:ascii="Calibri" w:eastAsia="Times New Roman" w:hAnsi="Calibri" w:cs="Calibri"/>
                <w:color w:val="000000" w:themeColor="text1"/>
                <w:sz w:val="18"/>
                <w:szCs w:val="18"/>
              </w:rPr>
            </w:pPr>
            <w:r w:rsidRPr="00461231">
              <w:rPr>
                <w:rFonts w:ascii="Calibri" w:hAnsi="Calibri" w:cs="Calibri"/>
                <w:color w:val="000000" w:themeColor="text1"/>
                <w:sz w:val="18"/>
                <w:szCs w:val="18"/>
              </w:rPr>
              <w:t>*</w:t>
            </w:r>
            <w:r w:rsidR="00001D80" w:rsidRPr="00461231">
              <w:rPr>
                <w:rFonts w:ascii="Calibri" w:hAnsi="Calibri" w:cs="Calibri"/>
                <w:color w:val="000000" w:themeColor="text1"/>
                <w:sz w:val="18"/>
                <w:szCs w:val="18"/>
              </w:rPr>
              <w:t>10%</w:t>
            </w:r>
            <w:r w:rsidRPr="00461231">
              <w:rPr>
                <w:rFonts w:ascii="Calibri" w:hAnsi="Calibri" w:cs="Calibri"/>
                <w:color w:val="000000" w:themeColor="text1"/>
                <w:sz w:val="18"/>
                <w:szCs w:val="18"/>
                <w:vertAlign w:val="superscript"/>
              </w:rPr>
              <w:t>1</w:t>
            </w:r>
          </w:p>
        </w:tc>
        <w:tc>
          <w:tcPr>
            <w:tcW w:w="1026" w:type="dxa"/>
            <w:gridSpan w:val="2"/>
            <w:shd w:val="clear" w:color="auto" w:fill="FFFFFF" w:themeFill="background1"/>
            <w:vAlign w:val="center"/>
          </w:tcPr>
          <w:p w:rsidR="00001D80" w:rsidRPr="00461231" w:rsidRDefault="00001D80" w:rsidP="00A92D0B">
            <w:pPr>
              <w:spacing w:line="180" w:lineRule="exact"/>
              <w:contextualSpacing/>
              <w:rPr>
                <w:rFonts w:ascii="Calibri" w:eastAsia="Times New Roman" w:hAnsi="Calibri" w:cs="Calibri"/>
                <w:color w:val="000000" w:themeColor="text1"/>
                <w:sz w:val="18"/>
                <w:szCs w:val="18"/>
              </w:rPr>
            </w:pPr>
            <w:r w:rsidRPr="00461231">
              <w:rPr>
                <w:rFonts w:ascii="Calibri" w:hAnsi="Calibri" w:cs="Calibri"/>
                <w:color w:val="000000" w:themeColor="text1"/>
                <w:sz w:val="18"/>
                <w:szCs w:val="18"/>
              </w:rPr>
              <w:t>20040217</w:t>
            </w:r>
          </w:p>
        </w:tc>
      </w:tr>
      <w:tr w:rsidR="00001D80" w:rsidRPr="00461231" w:rsidTr="006E259D">
        <w:trPr>
          <w:trHeight w:val="287"/>
          <w:jc w:val="center"/>
        </w:trPr>
        <w:tc>
          <w:tcPr>
            <w:tcW w:w="2120" w:type="dxa"/>
            <w:vMerge/>
            <w:tcBorders>
              <w:right w:val="single" w:sz="4" w:space="0" w:color="auto"/>
            </w:tcBorders>
            <w:shd w:val="clear" w:color="auto" w:fill="FFFFFF" w:themeFill="background1"/>
            <w:vAlign w:val="center"/>
          </w:tcPr>
          <w:p w:rsidR="00001D80" w:rsidRPr="00461231" w:rsidRDefault="00001D80">
            <w:pPr>
              <w:spacing w:line="180" w:lineRule="exact"/>
              <w:contextualSpacing/>
              <w:jc w:val="left"/>
              <w:rPr>
                <w:rFonts w:cs="Calibri"/>
                <w:color w:val="000000" w:themeColor="text1"/>
                <w:sz w:val="18"/>
                <w:szCs w:val="18"/>
              </w:rPr>
            </w:pPr>
          </w:p>
        </w:tc>
        <w:tc>
          <w:tcPr>
            <w:tcW w:w="1080" w:type="dxa"/>
            <w:vMerge/>
            <w:tcBorders>
              <w:left w:val="single" w:sz="4" w:space="0" w:color="auto"/>
            </w:tcBorders>
            <w:shd w:val="clear" w:color="auto" w:fill="FFFFFF" w:themeFill="background1"/>
            <w:vAlign w:val="center"/>
          </w:tcPr>
          <w:p w:rsidR="00001D80" w:rsidRPr="00461231" w:rsidRDefault="00001D80">
            <w:pPr>
              <w:spacing w:line="180" w:lineRule="exact"/>
              <w:contextualSpacing/>
              <w:rPr>
                <w:rFonts w:cs="Calibri"/>
                <w:color w:val="000000" w:themeColor="text1"/>
                <w:sz w:val="18"/>
                <w:szCs w:val="18"/>
              </w:rPr>
            </w:pPr>
          </w:p>
        </w:tc>
        <w:tc>
          <w:tcPr>
            <w:tcW w:w="900" w:type="dxa"/>
            <w:vMerge/>
            <w:tcBorders>
              <w:right w:val="thinThickThinSmallGap" w:sz="24" w:space="0" w:color="auto"/>
            </w:tcBorders>
            <w:shd w:val="clear" w:color="auto" w:fill="FFFFFF" w:themeFill="background1"/>
            <w:vAlign w:val="center"/>
          </w:tcPr>
          <w:p w:rsidR="00001D80" w:rsidRPr="00461231" w:rsidRDefault="00001D80">
            <w:pPr>
              <w:spacing w:line="180" w:lineRule="exact"/>
              <w:rPr>
                <w:rFonts w:cs="Calibri"/>
                <w:color w:val="000000" w:themeColor="text1"/>
                <w:sz w:val="18"/>
                <w:szCs w:val="18"/>
              </w:rPr>
            </w:pPr>
          </w:p>
        </w:tc>
        <w:tc>
          <w:tcPr>
            <w:tcW w:w="2362" w:type="dxa"/>
            <w:tcBorders>
              <w:left w:val="thinThickThinSmallGap" w:sz="24" w:space="0" w:color="auto"/>
            </w:tcBorders>
            <w:shd w:val="clear" w:color="auto" w:fill="FFFFFF" w:themeFill="background1"/>
            <w:vAlign w:val="center"/>
          </w:tcPr>
          <w:p w:rsidR="00001D80" w:rsidRPr="00461231" w:rsidRDefault="00001D80">
            <w:pPr>
              <w:spacing w:line="180" w:lineRule="exact"/>
              <w:contextualSpacing/>
              <w:jc w:val="left"/>
              <w:rPr>
                <w:rFonts w:cs="Calibri"/>
                <w:color w:val="000000" w:themeColor="text1"/>
                <w:sz w:val="18"/>
                <w:szCs w:val="18"/>
              </w:rPr>
            </w:pPr>
            <w:r w:rsidRPr="00461231">
              <w:rPr>
                <w:rFonts w:cs="Calibri"/>
                <w:color w:val="000000" w:themeColor="text1"/>
                <w:sz w:val="18"/>
                <w:szCs w:val="18"/>
              </w:rPr>
              <w:t>Neurological Impairment, Left Upper Extremity Associated With Cervical Spondylosis</w:t>
            </w:r>
          </w:p>
        </w:tc>
        <w:tc>
          <w:tcPr>
            <w:tcW w:w="1041" w:type="dxa"/>
            <w:shd w:val="clear" w:color="auto" w:fill="FFFFFF" w:themeFill="background1"/>
            <w:vAlign w:val="center"/>
          </w:tcPr>
          <w:p w:rsidR="00001D80" w:rsidRPr="00461231" w:rsidRDefault="00001D80">
            <w:pPr>
              <w:spacing w:line="180" w:lineRule="exact"/>
              <w:contextualSpacing/>
              <w:rPr>
                <w:rFonts w:cs="Calibri"/>
                <w:color w:val="000000" w:themeColor="text1"/>
                <w:sz w:val="18"/>
                <w:szCs w:val="18"/>
              </w:rPr>
            </w:pPr>
            <w:r w:rsidRPr="00461231">
              <w:rPr>
                <w:rFonts w:cs="Calibri"/>
                <w:color w:val="000000" w:themeColor="text1"/>
                <w:sz w:val="18"/>
                <w:szCs w:val="18"/>
              </w:rPr>
              <w:t>8599-8515</w:t>
            </w:r>
          </w:p>
        </w:tc>
        <w:tc>
          <w:tcPr>
            <w:tcW w:w="795" w:type="dxa"/>
            <w:shd w:val="clear" w:color="auto" w:fill="FFFFFF" w:themeFill="background1"/>
            <w:vAlign w:val="center"/>
          </w:tcPr>
          <w:p w:rsidR="00001D80" w:rsidRPr="00461231" w:rsidRDefault="00174BDD" w:rsidP="00174BDD">
            <w:pPr>
              <w:spacing w:line="180" w:lineRule="exact"/>
              <w:contextualSpacing/>
              <w:rPr>
                <w:rFonts w:cs="Calibri"/>
                <w:color w:val="000000" w:themeColor="text1"/>
                <w:sz w:val="18"/>
                <w:szCs w:val="18"/>
              </w:rPr>
            </w:pPr>
            <w:r w:rsidRPr="00461231">
              <w:rPr>
                <w:rFonts w:cs="Calibri"/>
                <w:color w:val="000000" w:themeColor="text1"/>
                <w:sz w:val="18"/>
                <w:szCs w:val="18"/>
              </w:rPr>
              <w:t>*</w:t>
            </w:r>
            <w:r w:rsidR="00001D80" w:rsidRPr="00461231">
              <w:rPr>
                <w:rFonts w:cs="Calibri"/>
                <w:color w:val="000000" w:themeColor="text1"/>
                <w:sz w:val="18"/>
                <w:szCs w:val="18"/>
              </w:rPr>
              <w:t>10%</w:t>
            </w:r>
            <w:r w:rsidRPr="00461231">
              <w:rPr>
                <w:rFonts w:cs="Calibri"/>
                <w:color w:val="000000" w:themeColor="text1"/>
                <w:sz w:val="18"/>
                <w:szCs w:val="18"/>
                <w:vertAlign w:val="superscript"/>
              </w:rPr>
              <w:t>1</w:t>
            </w:r>
          </w:p>
        </w:tc>
        <w:tc>
          <w:tcPr>
            <w:tcW w:w="1026" w:type="dxa"/>
            <w:gridSpan w:val="2"/>
            <w:shd w:val="clear" w:color="auto" w:fill="FFFFFF" w:themeFill="background1"/>
            <w:vAlign w:val="center"/>
          </w:tcPr>
          <w:p w:rsidR="00001D80" w:rsidRPr="00461231" w:rsidRDefault="00001D80" w:rsidP="00A92D0B">
            <w:pPr>
              <w:spacing w:line="180" w:lineRule="exact"/>
              <w:contextualSpacing/>
              <w:rPr>
                <w:rFonts w:cs="Calibri"/>
                <w:color w:val="000000" w:themeColor="text1"/>
                <w:sz w:val="18"/>
                <w:szCs w:val="18"/>
              </w:rPr>
            </w:pPr>
            <w:r w:rsidRPr="00461231">
              <w:rPr>
                <w:rFonts w:cs="Calibri"/>
                <w:color w:val="000000" w:themeColor="text1"/>
                <w:sz w:val="18"/>
                <w:szCs w:val="18"/>
              </w:rPr>
              <w:t>20040217</w:t>
            </w:r>
          </w:p>
        </w:tc>
      </w:tr>
      <w:tr w:rsidR="00001D80" w:rsidRPr="00461231" w:rsidTr="006E259D">
        <w:trPr>
          <w:trHeight w:val="287"/>
          <w:jc w:val="center"/>
        </w:trPr>
        <w:tc>
          <w:tcPr>
            <w:tcW w:w="2120" w:type="dxa"/>
            <w:vMerge/>
            <w:tcBorders>
              <w:right w:val="single" w:sz="4" w:space="0" w:color="auto"/>
            </w:tcBorders>
            <w:shd w:val="clear" w:color="auto" w:fill="FFFFFF" w:themeFill="background1"/>
            <w:vAlign w:val="center"/>
          </w:tcPr>
          <w:p w:rsidR="00001D80" w:rsidRPr="00461231" w:rsidRDefault="00001D80">
            <w:pPr>
              <w:spacing w:line="180" w:lineRule="exact"/>
              <w:contextualSpacing/>
              <w:jc w:val="left"/>
              <w:rPr>
                <w:rFonts w:cs="Calibri"/>
                <w:color w:val="000000" w:themeColor="text1"/>
                <w:sz w:val="18"/>
                <w:szCs w:val="18"/>
              </w:rPr>
            </w:pPr>
          </w:p>
        </w:tc>
        <w:tc>
          <w:tcPr>
            <w:tcW w:w="1080" w:type="dxa"/>
            <w:vMerge/>
            <w:tcBorders>
              <w:left w:val="single" w:sz="4" w:space="0" w:color="auto"/>
            </w:tcBorders>
            <w:shd w:val="clear" w:color="auto" w:fill="FFFFFF" w:themeFill="background1"/>
            <w:vAlign w:val="center"/>
          </w:tcPr>
          <w:p w:rsidR="00001D80" w:rsidRPr="00461231" w:rsidRDefault="00001D80">
            <w:pPr>
              <w:spacing w:line="180" w:lineRule="exact"/>
              <w:contextualSpacing/>
              <w:rPr>
                <w:rFonts w:cs="Calibri"/>
                <w:color w:val="000000" w:themeColor="text1"/>
                <w:sz w:val="18"/>
                <w:szCs w:val="18"/>
              </w:rPr>
            </w:pPr>
          </w:p>
        </w:tc>
        <w:tc>
          <w:tcPr>
            <w:tcW w:w="900" w:type="dxa"/>
            <w:vMerge/>
            <w:tcBorders>
              <w:right w:val="thinThickThinSmallGap" w:sz="24" w:space="0" w:color="auto"/>
            </w:tcBorders>
            <w:shd w:val="clear" w:color="auto" w:fill="FFFFFF" w:themeFill="background1"/>
            <w:vAlign w:val="center"/>
          </w:tcPr>
          <w:p w:rsidR="00001D80" w:rsidRPr="00461231" w:rsidRDefault="00001D80">
            <w:pPr>
              <w:spacing w:line="180" w:lineRule="exact"/>
              <w:rPr>
                <w:rFonts w:cs="Calibri"/>
                <w:color w:val="000000" w:themeColor="text1"/>
                <w:sz w:val="18"/>
                <w:szCs w:val="18"/>
              </w:rPr>
            </w:pPr>
          </w:p>
        </w:tc>
        <w:tc>
          <w:tcPr>
            <w:tcW w:w="2362" w:type="dxa"/>
            <w:tcBorders>
              <w:left w:val="thinThickThinSmallGap" w:sz="24" w:space="0" w:color="auto"/>
            </w:tcBorders>
            <w:shd w:val="clear" w:color="auto" w:fill="FFFFFF" w:themeFill="background1"/>
            <w:vAlign w:val="center"/>
          </w:tcPr>
          <w:p w:rsidR="00001D80" w:rsidRPr="00461231" w:rsidRDefault="00001D80">
            <w:pPr>
              <w:spacing w:line="180" w:lineRule="exact"/>
              <w:contextualSpacing/>
              <w:jc w:val="left"/>
              <w:rPr>
                <w:rFonts w:cs="Calibri"/>
                <w:color w:val="000000" w:themeColor="text1"/>
                <w:sz w:val="18"/>
                <w:szCs w:val="18"/>
              </w:rPr>
            </w:pPr>
            <w:r w:rsidRPr="00461231">
              <w:rPr>
                <w:rFonts w:cs="Calibri"/>
                <w:color w:val="000000" w:themeColor="text1"/>
                <w:sz w:val="18"/>
                <w:szCs w:val="18"/>
              </w:rPr>
              <w:t>Neurological Impairment, Right Upper Extremity Associated With Cervical Spondylosis</w:t>
            </w:r>
          </w:p>
        </w:tc>
        <w:tc>
          <w:tcPr>
            <w:tcW w:w="1041" w:type="dxa"/>
            <w:shd w:val="clear" w:color="auto" w:fill="FFFFFF" w:themeFill="background1"/>
            <w:vAlign w:val="center"/>
          </w:tcPr>
          <w:p w:rsidR="00001D80" w:rsidRPr="00461231" w:rsidRDefault="00001D80">
            <w:pPr>
              <w:spacing w:line="180" w:lineRule="exact"/>
              <w:contextualSpacing/>
              <w:rPr>
                <w:rFonts w:cs="Calibri"/>
                <w:color w:val="000000" w:themeColor="text1"/>
                <w:sz w:val="18"/>
                <w:szCs w:val="18"/>
              </w:rPr>
            </w:pPr>
            <w:r w:rsidRPr="00461231">
              <w:rPr>
                <w:rFonts w:cs="Calibri"/>
                <w:color w:val="000000" w:themeColor="text1"/>
                <w:sz w:val="18"/>
                <w:szCs w:val="18"/>
              </w:rPr>
              <w:t>8599-8515</w:t>
            </w:r>
          </w:p>
        </w:tc>
        <w:tc>
          <w:tcPr>
            <w:tcW w:w="795" w:type="dxa"/>
            <w:shd w:val="clear" w:color="auto" w:fill="FFFFFF" w:themeFill="background1"/>
            <w:vAlign w:val="center"/>
          </w:tcPr>
          <w:p w:rsidR="00001D80" w:rsidRPr="00461231" w:rsidRDefault="00174BDD" w:rsidP="00174BDD">
            <w:pPr>
              <w:spacing w:line="180" w:lineRule="exact"/>
              <w:contextualSpacing/>
              <w:rPr>
                <w:rFonts w:cs="Calibri"/>
                <w:color w:val="000000" w:themeColor="text1"/>
                <w:sz w:val="18"/>
                <w:szCs w:val="18"/>
              </w:rPr>
            </w:pPr>
            <w:r w:rsidRPr="00461231">
              <w:rPr>
                <w:rFonts w:cs="Calibri"/>
                <w:color w:val="000000" w:themeColor="text1"/>
                <w:sz w:val="18"/>
                <w:szCs w:val="18"/>
              </w:rPr>
              <w:t>*</w:t>
            </w:r>
            <w:r w:rsidR="00001D80" w:rsidRPr="00461231">
              <w:rPr>
                <w:rFonts w:cs="Calibri"/>
                <w:color w:val="000000" w:themeColor="text1"/>
                <w:sz w:val="18"/>
                <w:szCs w:val="18"/>
              </w:rPr>
              <w:t>10%</w:t>
            </w:r>
            <w:r w:rsidRPr="00461231">
              <w:rPr>
                <w:rFonts w:cs="Calibri"/>
                <w:color w:val="000000" w:themeColor="text1"/>
                <w:sz w:val="18"/>
                <w:szCs w:val="18"/>
                <w:vertAlign w:val="superscript"/>
              </w:rPr>
              <w:t>1</w:t>
            </w:r>
          </w:p>
        </w:tc>
        <w:tc>
          <w:tcPr>
            <w:tcW w:w="1026" w:type="dxa"/>
            <w:gridSpan w:val="2"/>
            <w:shd w:val="clear" w:color="auto" w:fill="FFFFFF" w:themeFill="background1"/>
            <w:vAlign w:val="center"/>
          </w:tcPr>
          <w:p w:rsidR="00001D80" w:rsidRPr="00461231" w:rsidRDefault="00001D80" w:rsidP="00A92D0B">
            <w:pPr>
              <w:spacing w:line="180" w:lineRule="exact"/>
              <w:contextualSpacing/>
              <w:rPr>
                <w:rFonts w:cs="Calibri"/>
                <w:color w:val="000000" w:themeColor="text1"/>
                <w:sz w:val="18"/>
                <w:szCs w:val="18"/>
              </w:rPr>
            </w:pPr>
            <w:r w:rsidRPr="00461231">
              <w:rPr>
                <w:rFonts w:cs="Calibri"/>
                <w:color w:val="000000" w:themeColor="text1"/>
                <w:sz w:val="18"/>
                <w:szCs w:val="18"/>
              </w:rPr>
              <w:t>20040217</w:t>
            </w:r>
          </w:p>
        </w:tc>
      </w:tr>
      <w:tr w:rsidR="0070623C" w:rsidRPr="00461231" w:rsidTr="006E259D">
        <w:trPr>
          <w:trHeight w:val="287"/>
          <w:jc w:val="center"/>
        </w:trPr>
        <w:tc>
          <w:tcPr>
            <w:tcW w:w="2120" w:type="dxa"/>
            <w:tcBorders>
              <w:right w:val="single" w:sz="4" w:space="0" w:color="auto"/>
            </w:tcBorders>
            <w:shd w:val="clear" w:color="auto" w:fill="FFFFFF" w:themeFill="background1"/>
            <w:vAlign w:val="center"/>
          </w:tcPr>
          <w:p w:rsidR="0070623C" w:rsidRPr="00461231" w:rsidRDefault="0070623C">
            <w:pPr>
              <w:spacing w:line="180" w:lineRule="exact"/>
              <w:contextualSpacing/>
              <w:jc w:val="left"/>
              <w:rPr>
                <w:rFonts w:ascii="Calibri" w:eastAsia="Times New Roman" w:hAnsi="Calibri" w:cs="Calibri"/>
                <w:color w:val="000000" w:themeColor="text1"/>
                <w:sz w:val="18"/>
                <w:szCs w:val="18"/>
              </w:rPr>
            </w:pPr>
            <w:r w:rsidRPr="00461231">
              <w:rPr>
                <w:rFonts w:ascii="Calibri" w:hAnsi="Calibri" w:cs="Calibri"/>
                <w:color w:val="000000" w:themeColor="text1"/>
                <w:sz w:val="18"/>
                <w:szCs w:val="18"/>
              </w:rPr>
              <w:t>High Frequency Hearing Loss</w:t>
            </w:r>
          </w:p>
        </w:tc>
        <w:tc>
          <w:tcPr>
            <w:tcW w:w="1980" w:type="dxa"/>
            <w:gridSpan w:val="2"/>
            <w:tcBorders>
              <w:left w:val="single" w:sz="4" w:space="0" w:color="auto"/>
              <w:right w:val="thinThickThinSmallGap" w:sz="24" w:space="0" w:color="auto"/>
            </w:tcBorders>
            <w:shd w:val="clear" w:color="auto" w:fill="FFFFFF" w:themeFill="background1"/>
            <w:vAlign w:val="center"/>
          </w:tcPr>
          <w:p w:rsidR="0070623C" w:rsidRPr="00461231" w:rsidRDefault="0070623C" w:rsidP="0070623C">
            <w:pPr>
              <w:spacing w:line="180" w:lineRule="exact"/>
              <w:rPr>
                <w:rFonts w:ascii="Calibri" w:eastAsia="Times New Roman" w:hAnsi="Calibri" w:cs="Calibri"/>
                <w:color w:val="000000" w:themeColor="text1"/>
                <w:sz w:val="18"/>
                <w:szCs w:val="18"/>
              </w:rPr>
            </w:pPr>
            <w:r w:rsidRPr="00461231">
              <w:rPr>
                <w:rFonts w:ascii="Calibri" w:eastAsia="Times New Roman" w:hAnsi="Calibri" w:cs="Calibri"/>
                <w:color w:val="000000" w:themeColor="text1"/>
                <w:sz w:val="18"/>
                <w:szCs w:val="18"/>
              </w:rPr>
              <w:t>Not Unfitting</w:t>
            </w:r>
          </w:p>
        </w:tc>
        <w:tc>
          <w:tcPr>
            <w:tcW w:w="2362" w:type="dxa"/>
            <w:tcBorders>
              <w:left w:val="thinThickThinSmallGap" w:sz="24" w:space="0" w:color="auto"/>
              <w:right w:val="single" w:sz="4" w:space="0" w:color="auto"/>
            </w:tcBorders>
            <w:shd w:val="clear" w:color="auto" w:fill="FFFFFF" w:themeFill="background1"/>
            <w:vAlign w:val="center"/>
          </w:tcPr>
          <w:p w:rsidR="0070623C" w:rsidRPr="00461231" w:rsidRDefault="00A92D0B">
            <w:pPr>
              <w:spacing w:line="180" w:lineRule="exact"/>
              <w:contextualSpacing/>
              <w:jc w:val="left"/>
              <w:rPr>
                <w:rFonts w:ascii="Calibri" w:eastAsia="Times New Roman" w:hAnsi="Calibri" w:cs="Calibri"/>
                <w:color w:val="000000" w:themeColor="text1"/>
                <w:sz w:val="18"/>
                <w:szCs w:val="18"/>
              </w:rPr>
            </w:pPr>
            <w:r w:rsidRPr="00461231">
              <w:rPr>
                <w:rFonts w:ascii="Calibri" w:hAnsi="Calibri" w:cs="Calibri"/>
                <w:color w:val="000000" w:themeColor="text1"/>
                <w:sz w:val="18"/>
                <w:szCs w:val="18"/>
              </w:rPr>
              <w:t>Hearing Loss</w:t>
            </w:r>
          </w:p>
        </w:tc>
        <w:tc>
          <w:tcPr>
            <w:tcW w:w="1041" w:type="dxa"/>
            <w:tcBorders>
              <w:left w:val="single" w:sz="4" w:space="0" w:color="auto"/>
            </w:tcBorders>
            <w:shd w:val="clear" w:color="auto" w:fill="FFFFFF" w:themeFill="background1"/>
            <w:vAlign w:val="center"/>
          </w:tcPr>
          <w:p w:rsidR="0070623C" w:rsidRPr="00461231" w:rsidRDefault="00A92D0B">
            <w:pPr>
              <w:spacing w:line="180" w:lineRule="exact"/>
              <w:contextualSpacing/>
              <w:rPr>
                <w:rFonts w:ascii="Calibri" w:eastAsia="Times New Roman" w:hAnsi="Calibri" w:cs="Calibri"/>
                <w:color w:val="000000" w:themeColor="text1"/>
                <w:sz w:val="18"/>
                <w:szCs w:val="18"/>
              </w:rPr>
            </w:pPr>
            <w:r w:rsidRPr="00461231">
              <w:rPr>
                <w:rFonts w:ascii="Calibri" w:hAnsi="Calibri" w:cs="Calibri"/>
                <w:color w:val="000000" w:themeColor="text1"/>
                <w:sz w:val="18"/>
                <w:szCs w:val="18"/>
              </w:rPr>
              <w:t>6100</w:t>
            </w:r>
          </w:p>
        </w:tc>
        <w:tc>
          <w:tcPr>
            <w:tcW w:w="795" w:type="dxa"/>
            <w:shd w:val="clear" w:color="auto" w:fill="FFFFFF" w:themeFill="background1"/>
            <w:vAlign w:val="center"/>
          </w:tcPr>
          <w:p w:rsidR="0070623C" w:rsidRPr="00461231" w:rsidRDefault="00A92D0B" w:rsidP="00174BDD">
            <w:pPr>
              <w:spacing w:line="180" w:lineRule="exact"/>
              <w:contextualSpacing/>
              <w:rPr>
                <w:rFonts w:ascii="Calibri" w:eastAsia="Times New Roman" w:hAnsi="Calibri" w:cs="Calibri"/>
                <w:color w:val="000000" w:themeColor="text1"/>
                <w:sz w:val="18"/>
                <w:szCs w:val="18"/>
              </w:rPr>
            </w:pPr>
            <w:r w:rsidRPr="00461231">
              <w:rPr>
                <w:rFonts w:ascii="Calibri" w:hAnsi="Calibri" w:cs="Calibri"/>
                <w:color w:val="000000" w:themeColor="text1"/>
                <w:sz w:val="18"/>
                <w:szCs w:val="18"/>
              </w:rPr>
              <w:t>0</w:t>
            </w:r>
            <w:r w:rsidR="0070623C" w:rsidRPr="00461231">
              <w:rPr>
                <w:rFonts w:ascii="Calibri" w:hAnsi="Calibri" w:cs="Calibri"/>
                <w:color w:val="000000" w:themeColor="text1"/>
                <w:sz w:val="18"/>
                <w:szCs w:val="18"/>
              </w:rPr>
              <w:t>%</w:t>
            </w:r>
            <w:r w:rsidR="00174BDD" w:rsidRPr="00461231">
              <w:rPr>
                <w:rFonts w:ascii="Calibri" w:hAnsi="Calibri" w:cs="Calibri"/>
                <w:color w:val="000000" w:themeColor="text1"/>
                <w:sz w:val="18"/>
                <w:szCs w:val="18"/>
                <w:vertAlign w:val="superscript"/>
              </w:rPr>
              <w:t>2</w:t>
            </w:r>
          </w:p>
        </w:tc>
        <w:tc>
          <w:tcPr>
            <w:tcW w:w="1026" w:type="dxa"/>
            <w:gridSpan w:val="2"/>
            <w:shd w:val="clear" w:color="auto" w:fill="FFFFFF" w:themeFill="background1"/>
            <w:vAlign w:val="center"/>
          </w:tcPr>
          <w:p w:rsidR="0070623C" w:rsidRPr="00461231" w:rsidRDefault="00A92D0B">
            <w:pPr>
              <w:spacing w:line="180" w:lineRule="exact"/>
              <w:contextualSpacing/>
              <w:rPr>
                <w:rFonts w:ascii="Calibri" w:eastAsia="Times New Roman" w:hAnsi="Calibri" w:cs="Calibri"/>
                <w:color w:val="000000" w:themeColor="text1"/>
                <w:sz w:val="18"/>
                <w:szCs w:val="18"/>
              </w:rPr>
            </w:pPr>
            <w:r w:rsidRPr="00461231">
              <w:rPr>
                <w:rFonts w:ascii="Calibri" w:hAnsi="Calibri" w:cs="Calibri"/>
                <w:color w:val="000000" w:themeColor="text1"/>
                <w:sz w:val="18"/>
                <w:szCs w:val="18"/>
              </w:rPr>
              <w:t>19990701</w:t>
            </w:r>
          </w:p>
        </w:tc>
      </w:tr>
      <w:tr w:rsidR="0070623C" w:rsidRPr="00461231" w:rsidTr="006E259D">
        <w:trPr>
          <w:trHeight w:val="287"/>
          <w:jc w:val="center"/>
        </w:trPr>
        <w:tc>
          <w:tcPr>
            <w:tcW w:w="2120" w:type="dxa"/>
            <w:tcBorders>
              <w:right w:val="single" w:sz="4" w:space="0" w:color="auto"/>
            </w:tcBorders>
            <w:shd w:val="clear" w:color="auto" w:fill="FFFFFF" w:themeFill="background1"/>
            <w:vAlign w:val="center"/>
          </w:tcPr>
          <w:p w:rsidR="0070623C" w:rsidRPr="00461231" w:rsidRDefault="0070623C">
            <w:pPr>
              <w:spacing w:line="180" w:lineRule="exact"/>
              <w:contextualSpacing/>
              <w:jc w:val="left"/>
              <w:rPr>
                <w:rFonts w:ascii="Calibri" w:eastAsia="Times New Roman" w:hAnsi="Calibri" w:cs="Calibri"/>
                <w:color w:val="000000" w:themeColor="text1"/>
                <w:sz w:val="18"/>
                <w:szCs w:val="18"/>
              </w:rPr>
            </w:pPr>
            <w:r w:rsidRPr="00461231">
              <w:rPr>
                <w:rFonts w:ascii="Calibri" w:eastAsia="Times New Roman" w:hAnsi="Calibri" w:cs="Calibri"/>
                <w:color w:val="000000" w:themeColor="text1"/>
                <w:sz w:val="18"/>
                <w:szCs w:val="18"/>
              </w:rPr>
              <w:t>Hypert</w:t>
            </w:r>
            <w:r w:rsidR="0025326D" w:rsidRPr="00461231">
              <w:rPr>
                <w:rFonts w:ascii="Calibri" w:eastAsia="Times New Roman" w:hAnsi="Calibri" w:cs="Calibri"/>
                <w:color w:val="000000" w:themeColor="text1"/>
                <w:sz w:val="18"/>
                <w:szCs w:val="18"/>
              </w:rPr>
              <w:t>e</w:t>
            </w:r>
            <w:r w:rsidRPr="00461231">
              <w:rPr>
                <w:rFonts w:ascii="Calibri" w:eastAsia="Times New Roman" w:hAnsi="Calibri" w:cs="Calibri"/>
                <w:color w:val="000000" w:themeColor="text1"/>
                <w:sz w:val="18"/>
                <w:szCs w:val="18"/>
              </w:rPr>
              <w:t>nsion, Controlled</w:t>
            </w:r>
          </w:p>
        </w:tc>
        <w:tc>
          <w:tcPr>
            <w:tcW w:w="1980" w:type="dxa"/>
            <w:gridSpan w:val="2"/>
            <w:tcBorders>
              <w:left w:val="single" w:sz="4" w:space="0" w:color="auto"/>
              <w:right w:val="thinThickThinSmallGap" w:sz="24" w:space="0" w:color="auto"/>
            </w:tcBorders>
            <w:shd w:val="clear" w:color="auto" w:fill="FFFFFF" w:themeFill="background1"/>
            <w:vAlign w:val="center"/>
          </w:tcPr>
          <w:p w:rsidR="0070623C" w:rsidRPr="00461231" w:rsidRDefault="0070623C">
            <w:pPr>
              <w:spacing w:line="180" w:lineRule="exact"/>
              <w:contextualSpacing/>
              <w:rPr>
                <w:rFonts w:ascii="Calibri" w:eastAsia="Times New Roman" w:hAnsi="Calibri" w:cs="Calibri"/>
                <w:color w:val="000000" w:themeColor="text1"/>
                <w:sz w:val="18"/>
                <w:szCs w:val="18"/>
              </w:rPr>
            </w:pPr>
            <w:r w:rsidRPr="00461231">
              <w:rPr>
                <w:rFonts w:ascii="Calibri" w:eastAsia="Times New Roman" w:hAnsi="Calibri" w:cs="Calibri"/>
                <w:color w:val="000000" w:themeColor="text1"/>
                <w:sz w:val="18"/>
                <w:szCs w:val="18"/>
              </w:rPr>
              <w:t>Not Unfitting</w:t>
            </w:r>
          </w:p>
        </w:tc>
        <w:tc>
          <w:tcPr>
            <w:tcW w:w="2362" w:type="dxa"/>
            <w:tcBorders>
              <w:left w:val="thinThickThinSmallGap" w:sz="24" w:space="0" w:color="auto"/>
              <w:right w:val="single" w:sz="4" w:space="0" w:color="auto"/>
            </w:tcBorders>
            <w:shd w:val="clear" w:color="auto" w:fill="FFFFFF" w:themeFill="background1"/>
            <w:vAlign w:val="center"/>
          </w:tcPr>
          <w:p w:rsidR="0070623C" w:rsidRPr="00461231" w:rsidRDefault="00A92D0B">
            <w:pPr>
              <w:spacing w:line="180" w:lineRule="exact"/>
              <w:contextualSpacing/>
              <w:jc w:val="left"/>
              <w:rPr>
                <w:rFonts w:ascii="Calibri" w:eastAsia="Times New Roman" w:hAnsi="Calibri" w:cs="Calibri"/>
                <w:color w:val="000000" w:themeColor="text1"/>
                <w:sz w:val="18"/>
                <w:szCs w:val="18"/>
              </w:rPr>
            </w:pPr>
            <w:r w:rsidRPr="00461231">
              <w:rPr>
                <w:rFonts w:ascii="Calibri" w:eastAsia="Times New Roman" w:hAnsi="Calibri" w:cs="Calibri"/>
                <w:color w:val="000000" w:themeColor="text1"/>
                <w:sz w:val="18"/>
                <w:szCs w:val="18"/>
              </w:rPr>
              <w:t>Hypertension</w:t>
            </w:r>
          </w:p>
        </w:tc>
        <w:tc>
          <w:tcPr>
            <w:tcW w:w="1041" w:type="dxa"/>
            <w:tcBorders>
              <w:left w:val="single" w:sz="4" w:space="0" w:color="auto"/>
            </w:tcBorders>
            <w:shd w:val="clear" w:color="auto" w:fill="FFFFFF" w:themeFill="background1"/>
            <w:vAlign w:val="center"/>
          </w:tcPr>
          <w:p w:rsidR="0070623C" w:rsidRPr="00461231" w:rsidRDefault="00A92D0B">
            <w:pPr>
              <w:spacing w:line="180" w:lineRule="exact"/>
              <w:contextualSpacing/>
              <w:rPr>
                <w:rFonts w:ascii="Calibri" w:eastAsia="Times New Roman" w:hAnsi="Calibri" w:cs="Calibri"/>
                <w:color w:val="000000" w:themeColor="text1"/>
                <w:sz w:val="18"/>
                <w:szCs w:val="18"/>
              </w:rPr>
            </w:pPr>
            <w:r w:rsidRPr="00461231">
              <w:rPr>
                <w:rFonts w:ascii="Calibri" w:eastAsia="Times New Roman" w:hAnsi="Calibri" w:cs="Calibri"/>
                <w:color w:val="000000" w:themeColor="text1"/>
                <w:sz w:val="18"/>
                <w:szCs w:val="18"/>
              </w:rPr>
              <w:t>7101</w:t>
            </w:r>
          </w:p>
        </w:tc>
        <w:tc>
          <w:tcPr>
            <w:tcW w:w="795" w:type="dxa"/>
            <w:shd w:val="clear" w:color="auto" w:fill="FFFFFF" w:themeFill="background1"/>
            <w:vAlign w:val="center"/>
          </w:tcPr>
          <w:p w:rsidR="0070623C" w:rsidRPr="00461231" w:rsidRDefault="00A92D0B" w:rsidP="00174BDD">
            <w:pPr>
              <w:spacing w:line="180" w:lineRule="exact"/>
              <w:contextualSpacing/>
              <w:rPr>
                <w:rFonts w:ascii="Calibri" w:eastAsia="Times New Roman" w:hAnsi="Calibri" w:cs="Calibri"/>
                <w:color w:val="000000" w:themeColor="text1"/>
                <w:sz w:val="18"/>
                <w:szCs w:val="18"/>
              </w:rPr>
            </w:pPr>
            <w:r w:rsidRPr="00461231">
              <w:rPr>
                <w:rFonts w:ascii="Calibri" w:eastAsia="Times New Roman" w:hAnsi="Calibri" w:cs="Calibri"/>
                <w:color w:val="000000" w:themeColor="text1"/>
                <w:sz w:val="18"/>
                <w:szCs w:val="18"/>
              </w:rPr>
              <w:t>10%</w:t>
            </w:r>
            <w:r w:rsidR="00174BDD" w:rsidRPr="00461231">
              <w:rPr>
                <w:rFonts w:ascii="Calibri" w:eastAsia="Times New Roman" w:hAnsi="Calibri" w:cs="Calibri"/>
                <w:color w:val="000000" w:themeColor="text1"/>
                <w:sz w:val="18"/>
                <w:szCs w:val="18"/>
                <w:vertAlign w:val="superscript"/>
              </w:rPr>
              <w:t>2</w:t>
            </w:r>
          </w:p>
        </w:tc>
        <w:tc>
          <w:tcPr>
            <w:tcW w:w="1026" w:type="dxa"/>
            <w:gridSpan w:val="2"/>
            <w:shd w:val="clear" w:color="auto" w:fill="FFFFFF" w:themeFill="background1"/>
            <w:vAlign w:val="center"/>
          </w:tcPr>
          <w:p w:rsidR="0070623C" w:rsidRPr="00461231" w:rsidRDefault="00CF2695">
            <w:pPr>
              <w:spacing w:line="180" w:lineRule="exact"/>
              <w:contextualSpacing/>
              <w:rPr>
                <w:rFonts w:ascii="Calibri" w:eastAsia="Times New Roman" w:hAnsi="Calibri" w:cs="Calibri"/>
                <w:color w:val="000000" w:themeColor="text1"/>
                <w:sz w:val="18"/>
                <w:szCs w:val="18"/>
              </w:rPr>
            </w:pPr>
            <w:r w:rsidRPr="00461231">
              <w:rPr>
                <w:rFonts w:ascii="Calibri" w:eastAsia="Times New Roman" w:hAnsi="Calibri" w:cs="Calibri"/>
                <w:color w:val="000000" w:themeColor="text1"/>
                <w:sz w:val="18"/>
                <w:szCs w:val="18"/>
              </w:rPr>
              <w:t>Records</w:t>
            </w:r>
          </w:p>
        </w:tc>
      </w:tr>
      <w:tr w:rsidR="00AD07DF" w:rsidRPr="00461231" w:rsidTr="00174BDD">
        <w:trPr>
          <w:trHeight w:val="287"/>
          <w:jc w:val="center"/>
        </w:trPr>
        <w:tc>
          <w:tcPr>
            <w:tcW w:w="2120" w:type="dxa"/>
            <w:tcBorders>
              <w:right w:val="single" w:sz="4" w:space="0" w:color="auto"/>
            </w:tcBorders>
            <w:shd w:val="clear" w:color="auto" w:fill="FFFFFF" w:themeFill="background1"/>
            <w:vAlign w:val="center"/>
          </w:tcPr>
          <w:p w:rsidR="00AD07DF" w:rsidRPr="00461231" w:rsidRDefault="00AD07DF">
            <w:pPr>
              <w:spacing w:line="180" w:lineRule="exact"/>
              <w:contextualSpacing/>
              <w:jc w:val="left"/>
              <w:rPr>
                <w:rFonts w:ascii="Calibri" w:eastAsia="Times New Roman" w:hAnsi="Calibri" w:cs="Calibri"/>
                <w:color w:val="000000" w:themeColor="text1"/>
                <w:sz w:val="18"/>
                <w:szCs w:val="18"/>
              </w:rPr>
            </w:pPr>
            <w:r w:rsidRPr="00461231">
              <w:rPr>
                <w:rFonts w:ascii="Calibri" w:eastAsia="Times New Roman" w:hAnsi="Calibri" w:cs="Calibri"/>
                <w:color w:val="000000" w:themeColor="text1"/>
                <w:sz w:val="18"/>
                <w:szCs w:val="18"/>
              </w:rPr>
              <w:t>Seasonal Allergic Rhinoconjunctivitis</w:t>
            </w:r>
          </w:p>
        </w:tc>
        <w:tc>
          <w:tcPr>
            <w:tcW w:w="1980" w:type="dxa"/>
            <w:gridSpan w:val="2"/>
            <w:tcBorders>
              <w:left w:val="single" w:sz="4" w:space="0" w:color="auto"/>
              <w:right w:val="thinThickThinSmallGap" w:sz="24" w:space="0" w:color="auto"/>
            </w:tcBorders>
            <w:shd w:val="clear" w:color="auto" w:fill="FFFFFF" w:themeFill="background1"/>
            <w:vAlign w:val="center"/>
          </w:tcPr>
          <w:p w:rsidR="00AD07DF" w:rsidRPr="00461231" w:rsidRDefault="00AD07DF">
            <w:pPr>
              <w:spacing w:line="180" w:lineRule="exact"/>
              <w:contextualSpacing/>
              <w:rPr>
                <w:rFonts w:ascii="Calibri" w:eastAsia="Times New Roman" w:hAnsi="Calibri" w:cs="Calibri"/>
                <w:color w:val="000000" w:themeColor="text1"/>
                <w:sz w:val="18"/>
                <w:szCs w:val="18"/>
              </w:rPr>
            </w:pPr>
            <w:r w:rsidRPr="00461231">
              <w:rPr>
                <w:rFonts w:ascii="Calibri" w:eastAsia="Times New Roman" w:hAnsi="Calibri" w:cs="Calibri"/>
                <w:color w:val="000000" w:themeColor="text1"/>
                <w:sz w:val="18"/>
                <w:szCs w:val="18"/>
              </w:rPr>
              <w:t xml:space="preserve">Not Unfitting </w:t>
            </w:r>
          </w:p>
        </w:tc>
        <w:tc>
          <w:tcPr>
            <w:tcW w:w="5224" w:type="dxa"/>
            <w:gridSpan w:val="5"/>
            <w:tcBorders>
              <w:left w:val="thinThickThinSmallGap" w:sz="24" w:space="0" w:color="auto"/>
            </w:tcBorders>
            <w:shd w:val="clear" w:color="auto" w:fill="FFFFFF" w:themeFill="background1"/>
            <w:vAlign w:val="center"/>
          </w:tcPr>
          <w:p w:rsidR="00AD07DF" w:rsidRPr="00461231" w:rsidRDefault="00AD07DF">
            <w:pPr>
              <w:spacing w:line="180" w:lineRule="exact"/>
              <w:contextualSpacing/>
              <w:rPr>
                <w:rFonts w:ascii="Calibri" w:eastAsia="Times New Roman" w:hAnsi="Calibri" w:cs="Calibri"/>
                <w:color w:val="000000" w:themeColor="text1"/>
                <w:sz w:val="18"/>
                <w:szCs w:val="18"/>
              </w:rPr>
            </w:pPr>
            <w:r w:rsidRPr="00461231">
              <w:rPr>
                <w:rFonts w:ascii="Calibri" w:eastAsia="Times New Roman" w:hAnsi="Calibri" w:cs="Calibri"/>
                <w:color w:val="000000" w:themeColor="text1"/>
                <w:sz w:val="18"/>
                <w:szCs w:val="18"/>
              </w:rPr>
              <w:t>No VA Entry</w:t>
            </w:r>
          </w:p>
        </w:tc>
      </w:tr>
      <w:tr w:rsidR="007A65A9" w:rsidRPr="00461231" w:rsidTr="00174BDD">
        <w:trPr>
          <w:trHeight w:val="287"/>
          <w:jc w:val="center"/>
        </w:trPr>
        <w:tc>
          <w:tcPr>
            <w:tcW w:w="2120" w:type="dxa"/>
            <w:tcBorders>
              <w:right w:val="single" w:sz="4" w:space="0" w:color="auto"/>
            </w:tcBorders>
            <w:shd w:val="clear" w:color="auto" w:fill="FFFFFF" w:themeFill="background1"/>
            <w:vAlign w:val="center"/>
          </w:tcPr>
          <w:p w:rsidR="00BC5860" w:rsidRPr="00461231" w:rsidRDefault="0025326D">
            <w:pPr>
              <w:spacing w:line="180" w:lineRule="exact"/>
              <w:contextualSpacing/>
              <w:jc w:val="left"/>
              <w:rPr>
                <w:rFonts w:ascii="Calibri" w:eastAsia="Times New Roman" w:hAnsi="Calibri" w:cs="Calibri"/>
                <w:color w:val="000000" w:themeColor="text1"/>
                <w:sz w:val="18"/>
                <w:szCs w:val="18"/>
              </w:rPr>
            </w:pPr>
            <w:r w:rsidRPr="00461231">
              <w:rPr>
                <w:rFonts w:ascii="Calibri" w:hAnsi="Calibri" w:cs="Calibri"/>
                <w:color w:val="000000" w:themeColor="text1"/>
                <w:sz w:val="18"/>
                <w:szCs w:val="18"/>
              </w:rPr>
              <w:t>Cubital Tunnel Syndrome</w:t>
            </w:r>
          </w:p>
        </w:tc>
        <w:tc>
          <w:tcPr>
            <w:tcW w:w="1980" w:type="dxa"/>
            <w:gridSpan w:val="2"/>
            <w:tcBorders>
              <w:left w:val="single" w:sz="4" w:space="0" w:color="auto"/>
              <w:right w:val="thinThickThinSmallGap" w:sz="24" w:space="0" w:color="auto"/>
            </w:tcBorders>
            <w:shd w:val="clear" w:color="auto" w:fill="FFFFFF" w:themeFill="background1"/>
            <w:vAlign w:val="center"/>
          </w:tcPr>
          <w:p w:rsidR="00BC5860" w:rsidRPr="00461231" w:rsidRDefault="007A65A9">
            <w:pPr>
              <w:spacing w:line="180" w:lineRule="exact"/>
              <w:contextualSpacing/>
              <w:rPr>
                <w:rFonts w:ascii="Calibri" w:eastAsia="Times New Roman" w:hAnsi="Calibri" w:cs="Calibri"/>
                <w:color w:val="000000" w:themeColor="text1"/>
                <w:sz w:val="18"/>
                <w:szCs w:val="18"/>
              </w:rPr>
            </w:pPr>
            <w:r w:rsidRPr="00461231">
              <w:rPr>
                <w:rFonts w:ascii="Calibri" w:hAnsi="Calibri" w:cs="Calibri"/>
                <w:color w:val="000000" w:themeColor="text1"/>
                <w:sz w:val="18"/>
                <w:szCs w:val="18"/>
              </w:rPr>
              <w:t>Not Unfitting</w:t>
            </w:r>
          </w:p>
        </w:tc>
        <w:tc>
          <w:tcPr>
            <w:tcW w:w="2362" w:type="dxa"/>
            <w:tcBorders>
              <w:left w:val="thinThickThinSmallGap" w:sz="24" w:space="0" w:color="auto"/>
              <w:right w:val="single" w:sz="4" w:space="0" w:color="auto"/>
            </w:tcBorders>
            <w:shd w:val="clear" w:color="auto" w:fill="FFFFFF" w:themeFill="background1"/>
            <w:vAlign w:val="center"/>
          </w:tcPr>
          <w:p w:rsidR="00BC5860" w:rsidRPr="00461231" w:rsidRDefault="00AD07DF">
            <w:pPr>
              <w:spacing w:line="180" w:lineRule="exact"/>
              <w:contextualSpacing/>
              <w:jc w:val="left"/>
              <w:rPr>
                <w:rFonts w:ascii="Calibri" w:eastAsia="Times New Roman" w:hAnsi="Calibri" w:cs="Calibri"/>
                <w:color w:val="000000" w:themeColor="text1"/>
                <w:sz w:val="18"/>
                <w:szCs w:val="18"/>
              </w:rPr>
            </w:pPr>
            <w:r w:rsidRPr="00461231">
              <w:rPr>
                <w:rFonts w:ascii="Calibri" w:eastAsia="Times New Roman" w:hAnsi="Calibri" w:cs="Calibri"/>
                <w:color w:val="000000" w:themeColor="text1"/>
                <w:sz w:val="18"/>
                <w:szCs w:val="18"/>
              </w:rPr>
              <w:t>Bilateral Elbow Condition</w:t>
            </w:r>
          </w:p>
        </w:tc>
        <w:tc>
          <w:tcPr>
            <w:tcW w:w="1041" w:type="dxa"/>
            <w:tcBorders>
              <w:left w:val="single" w:sz="4" w:space="0" w:color="auto"/>
              <w:right w:val="single" w:sz="4" w:space="0" w:color="auto"/>
            </w:tcBorders>
            <w:shd w:val="clear" w:color="auto" w:fill="FFFFFF" w:themeFill="background1"/>
            <w:vAlign w:val="center"/>
          </w:tcPr>
          <w:p w:rsidR="00BC5860" w:rsidRPr="00461231" w:rsidRDefault="00AD07DF">
            <w:pPr>
              <w:spacing w:line="180" w:lineRule="exact"/>
              <w:contextualSpacing/>
              <w:rPr>
                <w:rFonts w:ascii="Calibri" w:eastAsia="Times New Roman" w:hAnsi="Calibri" w:cs="Calibri"/>
                <w:color w:val="000000" w:themeColor="text1"/>
                <w:sz w:val="18"/>
                <w:szCs w:val="18"/>
              </w:rPr>
            </w:pPr>
            <w:r w:rsidRPr="00461231">
              <w:rPr>
                <w:rFonts w:ascii="Calibri" w:eastAsia="Times New Roman" w:hAnsi="Calibri" w:cs="Calibri"/>
                <w:color w:val="000000" w:themeColor="text1"/>
                <w:sz w:val="18"/>
                <w:szCs w:val="18"/>
              </w:rPr>
              <w:t>5299-5213</w:t>
            </w:r>
          </w:p>
        </w:tc>
        <w:tc>
          <w:tcPr>
            <w:tcW w:w="831" w:type="dxa"/>
            <w:gridSpan w:val="2"/>
            <w:tcBorders>
              <w:left w:val="single" w:sz="4" w:space="0" w:color="auto"/>
            </w:tcBorders>
            <w:shd w:val="clear" w:color="auto" w:fill="FFFFFF" w:themeFill="background1"/>
            <w:vAlign w:val="center"/>
          </w:tcPr>
          <w:p w:rsidR="00BC5860" w:rsidRPr="00461231" w:rsidRDefault="00AD07DF">
            <w:pPr>
              <w:spacing w:line="180" w:lineRule="exact"/>
              <w:contextualSpacing/>
              <w:rPr>
                <w:rFonts w:ascii="Calibri" w:eastAsia="Times New Roman" w:hAnsi="Calibri" w:cs="Calibri"/>
                <w:color w:val="000000" w:themeColor="text1"/>
                <w:sz w:val="18"/>
                <w:szCs w:val="18"/>
              </w:rPr>
            </w:pPr>
            <w:r w:rsidRPr="00461231">
              <w:rPr>
                <w:rFonts w:ascii="Calibri" w:eastAsia="Times New Roman" w:hAnsi="Calibri" w:cs="Calibri"/>
                <w:color w:val="000000" w:themeColor="text1"/>
                <w:sz w:val="18"/>
                <w:szCs w:val="18"/>
              </w:rPr>
              <w:t>NSC</w:t>
            </w:r>
          </w:p>
        </w:tc>
        <w:tc>
          <w:tcPr>
            <w:tcW w:w="990" w:type="dxa"/>
            <w:shd w:val="clear" w:color="auto" w:fill="FFFFFF" w:themeFill="background1"/>
            <w:vAlign w:val="center"/>
          </w:tcPr>
          <w:p w:rsidR="00BC5860" w:rsidRPr="00461231" w:rsidRDefault="00AD07DF">
            <w:pPr>
              <w:spacing w:line="180" w:lineRule="exact"/>
              <w:contextualSpacing/>
              <w:rPr>
                <w:rFonts w:ascii="Calibri" w:eastAsia="Times New Roman" w:hAnsi="Calibri" w:cs="Calibri"/>
                <w:color w:val="000000" w:themeColor="text1"/>
                <w:sz w:val="18"/>
                <w:szCs w:val="18"/>
              </w:rPr>
            </w:pPr>
            <w:r w:rsidRPr="00461231">
              <w:rPr>
                <w:rFonts w:ascii="Calibri" w:eastAsia="Times New Roman" w:hAnsi="Calibri" w:cs="Calibri"/>
                <w:color w:val="000000" w:themeColor="text1"/>
                <w:sz w:val="18"/>
                <w:szCs w:val="18"/>
              </w:rPr>
              <w:t>STR</w:t>
            </w:r>
          </w:p>
        </w:tc>
      </w:tr>
      <w:tr w:rsidR="00AD07DF" w:rsidRPr="00461231" w:rsidTr="00174BDD">
        <w:trPr>
          <w:trHeight w:val="287"/>
          <w:jc w:val="center"/>
        </w:trPr>
        <w:tc>
          <w:tcPr>
            <w:tcW w:w="4100" w:type="dxa"/>
            <w:gridSpan w:val="3"/>
            <w:vMerge w:val="restart"/>
            <w:tcBorders>
              <w:right w:val="thinThickThinSmallGap" w:sz="24" w:space="0" w:color="auto"/>
            </w:tcBorders>
            <w:shd w:val="clear" w:color="auto" w:fill="FFFFFF" w:themeFill="background1"/>
            <w:vAlign w:val="center"/>
          </w:tcPr>
          <w:p w:rsidR="00AD07DF" w:rsidRPr="00461231" w:rsidRDefault="00AD07DF" w:rsidP="00AD07DF">
            <w:pPr>
              <w:spacing w:line="180" w:lineRule="exact"/>
              <w:contextualSpacing/>
              <w:rPr>
                <w:rFonts w:ascii="Calibri" w:eastAsia="Times New Roman" w:hAnsi="Calibri" w:cs="Calibri"/>
                <w:color w:val="000000" w:themeColor="text1"/>
                <w:sz w:val="18"/>
                <w:szCs w:val="18"/>
              </w:rPr>
            </w:pPr>
            <w:r w:rsidRPr="00461231">
              <w:rPr>
                <w:rFonts w:ascii="Calibri" w:hAnsi="Calibri" w:cs="Calibri"/>
                <w:color w:val="000000" w:themeColor="text1"/>
                <w:sz w:val="18"/>
                <w:szCs w:val="18"/>
              </w:rPr>
              <w:t>↓No Additional MEB/PEB Entries↓</w:t>
            </w:r>
          </w:p>
        </w:tc>
        <w:tc>
          <w:tcPr>
            <w:tcW w:w="2362" w:type="dxa"/>
            <w:tcBorders>
              <w:left w:val="thinThickThinSmallGap" w:sz="24" w:space="0" w:color="auto"/>
              <w:right w:val="single" w:sz="4" w:space="0" w:color="auto"/>
            </w:tcBorders>
            <w:shd w:val="clear" w:color="auto" w:fill="FFFFFF" w:themeFill="background1"/>
            <w:vAlign w:val="center"/>
          </w:tcPr>
          <w:p w:rsidR="00AD07DF" w:rsidRPr="00461231" w:rsidRDefault="00AD07DF" w:rsidP="00AD07DF">
            <w:pPr>
              <w:spacing w:line="180" w:lineRule="exact"/>
              <w:contextualSpacing/>
              <w:jc w:val="left"/>
              <w:rPr>
                <w:rFonts w:ascii="Calibri" w:eastAsia="Times New Roman" w:hAnsi="Calibri" w:cs="Calibri"/>
                <w:color w:val="000000" w:themeColor="text1"/>
                <w:sz w:val="18"/>
                <w:szCs w:val="18"/>
              </w:rPr>
            </w:pPr>
            <w:r w:rsidRPr="00461231">
              <w:rPr>
                <w:rFonts w:ascii="Calibri" w:eastAsia="Times New Roman" w:hAnsi="Calibri" w:cs="Calibri"/>
                <w:color w:val="000000" w:themeColor="text1"/>
                <w:sz w:val="18"/>
                <w:szCs w:val="18"/>
              </w:rPr>
              <w:t>Tinnitus</w:t>
            </w:r>
          </w:p>
        </w:tc>
        <w:tc>
          <w:tcPr>
            <w:tcW w:w="1041" w:type="dxa"/>
            <w:tcBorders>
              <w:left w:val="single" w:sz="4" w:space="0" w:color="auto"/>
              <w:right w:val="single" w:sz="4" w:space="0" w:color="auto"/>
            </w:tcBorders>
            <w:shd w:val="clear" w:color="auto" w:fill="FFFFFF" w:themeFill="background1"/>
            <w:vAlign w:val="center"/>
          </w:tcPr>
          <w:p w:rsidR="00AD07DF" w:rsidRPr="00461231" w:rsidRDefault="00AD07DF">
            <w:pPr>
              <w:spacing w:line="180" w:lineRule="exact"/>
              <w:contextualSpacing/>
              <w:rPr>
                <w:rFonts w:cs="Calibri"/>
                <w:color w:val="000000" w:themeColor="text1"/>
                <w:sz w:val="18"/>
                <w:szCs w:val="18"/>
              </w:rPr>
            </w:pPr>
            <w:r w:rsidRPr="00461231">
              <w:rPr>
                <w:rFonts w:cs="Calibri"/>
                <w:color w:val="000000" w:themeColor="text1"/>
                <w:sz w:val="18"/>
                <w:szCs w:val="18"/>
              </w:rPr>
              <w:t>6260</w:t>
            </w:r>
          </w:p>
        </w:tc>
        <w:tc>
          <w:tcPr>
            <w:tcW w:w="831" w:type="dxa"/>
            <w:gridSpan w:val="2"/>
            <w:tcBorders>
              <w:left w:val="single" w:sz="4" w:space="0" w:color="auto"/>
            </w:tcBorders>
            <w:shd w:val="clear" w:color="auto" w:fill="FFFFFF" w:themeFill="background1"/>
            <w:vAlign w:val="center"/>
          </w:tcPr>
          <w:p w:rsidR="00AD07DF" w:rsidRPr="00461231" w:rsidRDefault="00AD07DF" w:rsidP="00174BDD">
            <w:pPr>
              <w:spacing w:line="180" w:lineRule="exact"/>
              <w:contextualSpacing/>
              <w:rPr>
                <w:rFonts w:cs="Calibri"/>
                <w:color w:val="000000" w:themeColor="text1"/>
                <w:sz w:val="18"/>
                <w:szCs w:val="18"/>
              </w:rPr>
            </w:pPr>
            <w:r w:rsidRPr="00461231">
              <w:rPr>
                <w:rFonts w:cs="Calibri"/>
                <w:color w:val="000000" w:themeColor="text1"/>
                <w:sz w:val="18"/>
                <w:szCs w:val="18"/>
              </w:rPr>
              <w:t>10%</w:t>
            </w:r>
            <w:r w:rsidR="00174BDD" w:rsidRPr="00461231">
              <w:rPr>
                <w:rFonts w:cs="Calibri"/>
                <w:color w:val="000000" w:themeColor="text1"/>
                <w:sz w:val="18"/>
                <w:szCs w:val="18"/>
                <w:vertAlign w:val="superscript"/>
              </w:rPr>
              <w:t>2</w:t>
            </w:r>
          </w:p>
        </w:tc>
        <w:tc>
          <w:tcPr>
            <w:tcW w:w="990" w:type="dxa"/>
            <w:shd w:val="clear" w:color="auto" w:fill="FFFFFF" w:themeFill="background1"/>
            <w:vAlign w:val="center"/>
          </w:tcPr>
          <w:p w:rsidR="00AD07DF" w:rsidRPr="00461231" w:rsidRDefault="00AD07DF">
            <w:pPr>
              <w:spacing w:line="180" w:lineRule="exact"/>
              <w:contextualSpacing/>
              <w:rPr>
                <w:rFonts w:ascii="Calibri" w:eastAsia="Times New Roman" w:hAnsi="Calibri" w:cs="Calibri"/>
                <w:color w:val="000000" w:themeColor="text1"/>
                <w:sz w:val="18"/>
                <w:szCs w:val="18"/>
              </w:rPr>
            </w:pPr>
            <w:r w:rsidRPr="00461231">
              <w:rPr>
                <w:rFonts w:ascii="Calibri" w:eastAsia="Times New Roman" w:hAnsi="Calibri" w:cs="Calibri"/>
                <w:color w:val="000000" w:themeColor="text1"/>
                <w:sz w:val="18"/>
                <w:szCs w:val="18"/>
              </w:rPr>
              <w:t>20040219</w:t>
            </w:r>
          </w:p>
        </w:tc>
      </w:tr>
      <w:tr w:rsidR="0025326D" w:rsidRPr="00461231" w:rsidTr="00174BDD">
        <w:trPr>
          <w:trHeight w:val="260"/>
          <w:jc w:val="center"/>
        </w:trPr>
        <w:tc>
          <w:tcPr>
            <w:tcW w:w="4100" w:type="dxa"/>
            <w:gridSpan w:val="3"/>
            <w:vMerge/>
            <w:tcBorders>
              <w:right w:val="thinThickThinSmallGap" w:sz="24" w:space="0" w:color="auto"/>
            </w:tcBorders>
            <w:shd w:val="clear" w:color="auto" w:fill="FFFFFF" w:themeFill="background1"/>
            <w:vAlign w:val="center"/>
          </w:tcPr>
          <w:p w:rsidR="0025326D" w:rsidRPr="00461231" w:rsidRDefault="0025326D">
            <w:pPr>
              <w:spacing w:line="180" w:lineRule="exact"/>
              <w:contextualSpacing/>
              <w:rPr>
                <w:rFonts w:ascii="Calibri" w:eastAsia="Times New Roman" w:hAnsi="Calibri" w:cs="Calibri"/>
                <w:color w:val="000000" w:themeColor="text1"/>
                <w:sz w:val="18"/>
                <w:szCs w:val="18"/>
              </w:rPr>
            </w:pPr>
          </w:p>
        </w:tc>
        <w:tc>
          <w:tcPr>
            <w:tcW w:w="2362" w:type="dxa"/>
            <w:tcBorders>
              <w:left w:val="thinThickThinSmallGap" w:sz="24" w:space="0" w:color="auto"/>
              <w:right w:val="single" w:sz="4" w:space="0" w:color="auto"/>
            </w:tcBorders>
            <w:shd w:val="clear" w:color="auto" w:fill="FFFFFF" w:themeFill="background1"/>
            <w:vAlign w:val="center"/>
          </w:tcPr>
          <w:p w:rsidR="0025326D" w:rsidRPr="00461231" w:rsidRDefault="00AD07DF" w:rsidP="00A40356">
            <w:pPr>
              <w:spacing w:line="180" w:lineRule="exact"/>
              <w:jc w:val="left"/>
              <w:rPr>
                <w:rFonts w:ascii="Calibri" w:eastAsia="Times New Roman" w:hAnsi="Calibri" w:cs="Calibri"/>
                <w:color w:val="000000" w:themeColor="text1"/>
                <w:sz w:val="18"/>
                <w:szCs w:val="18"/>
              </w:rPr>
            </w:pPr>
            <w:r w:rsidRPr="00461231">
              <w:rPr>
                <w:rFonts w:ascii="Calibri" w:eastAsia="Times New Roman" w:hAnsi="Calibri" w:cs="Calibri"/>
                <w:color w:val="000000" w:themeColor="text1"/>
                <w:sz w:val="18"/>
                <w:szCs w:val="18"/>
              </w:rPr>
              <w:t>Lumbar Spondylosis</w:t>
            </w:r>
          </w:p>
        </w:tc>
        <w:tc>
          <w:tcPr>
            <w:tcW w:w="1041" w:type="dxa"/>
            <w:tcBorders>
              <w:left w:val="single" w:sz="4" w:space="0" w:color="auto"/>
            </w:tcBorders>
            <w:shd w:val="clear" w:color="auto" w:fill="FFFFFF" w:themeFill="background1"/>
            <w:vAlign w:val="center"/>
          </w:tcPr>
          <w:p w:rsidR="0025326D" w:rsidRPr="00461231" w:rsidRDefault="00AD07DF">
            <w:pPr>
              <w:spacing w:line="180" w:lineRule="exact"/>
              <w:contextualSpacing/>
              <w:rPr>
                <w:rFonts w:ascii="Calibri" w:eastAsia="Times New Roman" w:hAnsi="Calibri" w:cs="Calibri"/>
                <w:color w:val="000000" w:themeColor="text1"/>
                <w:sz w:val="18"/>
                <w:szCs w:val="18"/>
              </w:rPr>
            </w:pPr>
            <w:r w:rsidRPr="00461231">
              <w:rPr>
                <w:rFonts w:ascii="Calibri" w:eastAsia="Times New Roman" w:hAnsi="Calibri" w:cs="Calibri"/>
                <w:color w:val="000000" w:themeColor="text1"/>
                <w:sz w:val="18"/>
                <w:szCs w:val="18"/>
              </w:rPr>
              <w:t>5003-5292</w:t>
            </w:r>
          </w:p>
        </w:tc>
        <w:tc>
          <w:tcPr>
            <w:tcW w:w="831" w:type="dxa"/>
            <w:gridSpan w:val="2"/>
            <w:shd w:val="clear" w:color="auto" w:fill="FFFFFF" w:themeFill="background1"/>
            <w:vAlign w:val="center"/>
          </w:tcPr>
          <w:p w:rsidR="0025326D" w:rsidRPr="00461231" w:rsidRDefault="006E259D" w:rsidP="00174BDD">
            <w:pPr>
              <w:spacing w:line="180" w:lineRule="exact"/>
              <w:contextualSpacing/>
              <w:rPr>
                <w:rFonts w:ascii="Calibri" w:eastAsia="Times New Roman" w:hAnsi="Calibri" w:cs="Calibri"/>
                <w:color w:val="000000" w:themeColor="text1"/>
                <w:sz w:val="18"/>
                <w:szCs w:val="18"/>
              </w:rPr>
            </w:pPr>
            <w:r w:rsidRPr="00461231">
              <w:rPr>
                <w:rFonts w:ascii="Calibri" w:eastAsia="Times New Roman" w:hAnsi="Calibri" w:cs="Calibri"/>
                <w:color w:val="000000" w:themeColor="text1"/>
                <w:sz w:val="18"/>
                <w:szCs w:val="18"/>
              </w:rPr>
              <w:t>**</w:t>
            </w:r>
            <w:r w:rsidR="00AD07DF" w:rsidRPr="00461231">
              <w:rPr>
                <w:rFonts w:ascii="Calibri" w:eastAsia="Times New Roman" w:hAnsi="Calibri" w:cs="Calibri"/>
                <w:color w:val="000000" w:themeColor="text1"/>
                <w:sz w:val="18"/>
                <w:szCs w:val="18"/>
              </w:rPr>
              <w:t>10%</w:t>
            </w:r>
            <w:r w:rsidR="00174BDD" w:rsidRPr="00461231">
              <w:rPr>
                <w:rFonts w:ascii="Calibri" w:eastAsia="Times New Roman" w:hAnsi="Calibri" w:cs="Calibri"/>
                <w:color w:val="000000" w:themeColor="text1"/>
                <w:sz w:val="18"/>
                <w:szCs w:val="18"/>
                <w:vertAlign w:val="superscript"/>
              </w:rPr>
              <w:t>2</w:t>
            </w:r>
          </w:p>
        </w:tc>
        <w:tc>
          <w:tcPr>
            <w:tcW w:w="990" w:type="dxa"/>
            <w:shd w:val="clear" w:color="auto" w:fill="FFFFFF" w:themeFill="background1"/>
            <w:vAlign w:val="center"/>
          </w:tcPr>
          <w:p w:rsidR="0025326D" w:rsidRPr="00461231" w:rsidRDefault="00AD07DF">
            <w:pPr>
              <w:spacing w:line="180" w:lineRule="exact"/>
              <w:contextualSpacing/>
              <w:rPr>
                <w:rFonts w:ascii="Calibri" w:eastAsia="Times New Roman" w:hAnsi="Calibri" w:cs="Calibri"/>
                <w:color w:val="000000" w:themeColor="text1"/>
                <w:sz w:val="18"/>
                <w:szCs w:val="18"/>
              </w:rPr>
            </w:pPr>
            <w:r w:rsidRPr="00461231">
              <w:rPr>
                <w:rFonts w:ascii="Calibri" w:eastAsia="Times New Roman" w:hAnsi="Calibri" w:cs="Calibri"/>
                <w:color w:val="000000" w:themeColor="text1"/>
                <w:sz w:val="18"/>
                <w:szCs w:val="18"/>
              </w:rPr>
              <w:t>19990720</w:t>
            </w:r>
          </w:p>
        </w:tc>
      </w:tr>
      <w:tr w:rsidR="00174BDD" w:rsidRPr="00461231" w:rsidTr="00174BDD">
        <w:trPr>
          <w:trHeight w:val="260"/>
          <w:jc w:val="center"/>
        </w:trPr>
        <w:tc>
          <w:tcPr>
            <w:tcW w:w="4100" w:type="dxa"/>
            <w:gridSpan w:val="3"/>
            <w:vMerge/>
            <w:tcBorders>
              <w:right w:val="thinThickThinSmallGap" w:sz="24" w:space="0" w:color="auto"/>
            </w:tcBorders>
            <w:shd w:val="clear" w:color="auto" w:fill="FFFFFF" w:themeFill="background1"/>
            <w:vAlign w:val="center"/>
          </w:tcPr>
          <w:p w:rsidR="00174BDD" w:rsidRPr="00461231" w:rsidRDefault="00174BDD">
            <w:pPr>
              <w:spacing w:line="180" w:lineRule="exact"/>
              <w:contextualSpacing/>
              <w:rPr>
                <w:rFonts w:cs="Calibri"/>
                <w:color w:val="000000" w:themeColor="text1"/>
                <w:sz w:val="18"/>
                <w:szCs w:val="18"/>
              </w:rPr>
            </w:pPr>
          </w:p>
        </w:tc>
        <w:tc>
          <w:tcPr>
            <w:tcW w:w="2362" w:type="dxa"/>
            <w:tcBorders>
              <w:left w:val="thinThickThinSmallGap" w:sz="24" w:space="0" w:color="auto"/>
              <w:right w:val="single" w:sz="4" w:space="0" w:color="auto"/>
            </w:tcBorders>
            <w:shd w:val="clear" w:color="auto" w:fill="FFFFFF" w:themeFill="background1"/>
            <w:vAlign w:val="center"/>
          </w:tcPr>
          <w:p w:rsidR="00174BDD" w:rsidRPr="00461231" w:rsidRDefault="00174BDD" w:rsidP="00174BDD">
            <w:pPr>
              <w:spacing w:line="180" w:lineRule="exact"/>
              <w:jc w:val="left"/>
              <w:rPr>
                <w:rFonts w:cs="Calibri"/>
                <w:color w:val="000000" w:themeColor="text1"/>
                <w:sz w:val="18"/>
                <w:szCs w:val="18"/>
              </w:rPr>
            </w:pPr>
            <w:r w:rsidRPr="00461231">
              <w:rPr>
                <w:rFonts w:cs="Calibri"/>
                <w:color w:val="000000" w:themeColor="text1"/>
                <w:sz w:val="18"/>
                <w:szCs w:val="18"/>
              </w:rPr>
              <w:t>Left Knee Patellofemoral Syndrome</w:t>
            </w:r>
          </w:p>
        </w:tc>
        <w:tc>
          <w:tcPr>
            <w:tcW w:w="1041" w:type="dxa"/>
            <w:tcBorders>
              <w:left w:val="single" w:sz="4" w:space="0" w:color="auto"/>
            </w:tcBorders>
            <w:shd w:val="clear" w:color="auto" w:fill="FFFFFF" w:themeFill="background1"/>
            <w:vAlign w:val="center"/>
          </w:tcPr>
          <w:p w:rsidR="00174BDD" w:rsidRPr="00461231" w:rsidRDefault="006E259D">
            <w:pPr>
              <w:spacing w:line="180" w:lineRule="exact"/>
              <w:contextualSpacing/>
              <w:rPr>
                <w:rFonts w:cs="Calibri"/>
                <w:color w:val="000000" w:themeColor="text1"/>
                <w:sz w:val="18"/>
                <w:szCs w:val="18"/>
              </w:rPr>
            </w:pPr>
            <w:r w:rsidRPr="00461231">
              <w:rPr>
                <w:rFonts w:cs="Calibri"/>
                <w:color w:val="000000" w:themeColor="text1"/>
                <w:sz w:val="18"/>
                <w:szCs w:val="18"/>
              </w:rPr>
              <w:t>5260</w:t>
            </w:r>
          </w:p>
        </w:tc>
        <w:tc>
          <w:tcPr>
            <w:tcW w:w="831" w:type="dxa"/>
            <w:gridSpan w:val="2"/>
            <w:shd w:val="clear" w:color="auto" w:fill="FFFFFF" w:themeFill="background1"/>
            <w:vAlign w:val="center"/>
          </w:tcPr>
          <w:p w:rsidR="00174BDD" w:rsidRPr="00461231" w:rsidRDefault="006E259D" w:rsidP="00174BDD">
            <w:pPr>
              <w:spacing w:line="180" w:lineRule="exact"/>
              <w:contextualSpacing/>
              <w:rPr>
                <w:rFonts w:cs="Calibri"/>
                <w:color w:val="000000" w:themeColor="text1"/>
                <w:sz w:val="18"/>
                <w:szCs w:val="18"/>
              </w:rPr>
            </w:pPr>
            <w:r w:rsidRPr="00461231">
              <w:rPr>
                <w:rFonts w:cs="Calibri"/>
                <w:color w:val="000000" w:themeColor="text1"/>
                <w:sz w:val="18"/>
                <w:szCs w:val="18"/>
              </w:rPr>
              <w:t>**10%</w:t>
            </w:r>
            <w:r w:rsidRPr="00461231">
              <w:rPr>
                <w:rFonts w:cs="Calibri"/>
                <w:color w:val="000000" w:themeColor="text1"/>
                <w:sz w:val="18"/>
                <w:szCs w:val="18"/>
                <w:vertAlign w:val="superscript"/>
              </w:rPr>
              <w:t>1</w:t>
            </w:r>
          </w:p>
        </w:tc>
        <w:tc>
          <w:tcPr>
            <w:tcW w:w="990" w:type="dxa"/>
            <w:shd w:val="clear" w:color="auto" w:fill="FFFFFF" w:themeFill="background1"/>
            <w:vAlign w:val="center"/>
          </w:tcPr>
          <w:p w:rsidR="00174BDD" w:rsidRPr="00461231" w:rsidRDefault="006E259D">
            <w:pPr>
              <w:spacing w:line="180" w:lineRule="exact"/>
              <w:contextualSpacing/>
              <w:rPr>
                <w:rFonts w:cs="Calibri"/>
                <w:color w:val="000000" w:themeColor="text1"/>
                <w:sz w:val="18"/>
                <w:szCs w:val="18"/>
              </w:rPr>
            </w:pPr>
            <w:r w:rsidRPr="00461231">
              <w:rPr>
                <w:rFonts w:cs="Calibri"/>
                <w:color w:val="000000" w:themeColor="text1"/>
                <w:sz w:val="18"/>
                <w:szCs w:val="18"/>
              </w:rPr>
              <w:t>20040217</w:t>
            </w:r>
          </w:p>
        </w:tc>
      </w:tr>
      <w:tr w:rsidR="006E259D" w:rsidRPr="00461231" w:rsidTr="006E259D">
        <w:trPr>
          <w:trHeight w:val="260"/>
          <w:jc w:val="center"/>
        </w:trPr>
        <w:tc>
          <w:tcPr>
            <w:tcW w:w="4100" w:type="dxa"/>
            <w:gridSpan w:val="3"/>
            <w:vMerge/>
            <w:tcBorders>
              <w:right w:val="thinThickThinSmallGap" w:sz="24" w:space="0" w:color="auto"/>
            </w:tcBorders>
            <w:shd w:val="clear" w:color="auto" w:fill="FFFFFF" w:themeFill="background1"/>
            <w:vAlign w:val="center"/>
          </w:tcPr>
          <w:p w:rsidR="006E259D" w:rsidRPr="00461231" w:rsidRDefault="006E259D">
            <w:pPr>
              <w:spacing w:line="180" w:lineRule="exact"/>
              <w:contextualSpacing/>
              <w:rPr>
                <w:rFonts w:cs="Calibri"/>
                <w:color w:val="000000" w:themeColor="text1"/>
                <w:sz w:val="18"/>
                <w:szCs w:val="18"/>
              </w:rPr>
            </w:pPr>
          </w:p>
        </w:tc>
        <w:tc>
          <w:tcPr>
            <w:tcW w:w="5224" w:type="dxa"/>
            <w:gridSpan w:val="5"/>
            <w:tcBorders>
              <w:left w:val="thinThickThinSmallGap" w:sz="24" w:space="0" w:color="auto"/>
            </w:tcBorders>
            <w:shd w:val="clear" w:color="auto" w:fill="FFFFFF" w:themeFill="background1"/>
            <w:vAlign w:val="center"/>
          </w:tcPr>
          <w:p w:rsidR="006E259D" w:rsidRPr="00461231" w:rsidRDefault="006E259D">
            <w:pPr>
              <w:spacing w:line="180" w:lineRule="exact"/>
              <w:contextualSpacing/>
              <w:rPr>
                <w:rFonts w:cs="Calibri"/>
                <w:color w:val="000000" w:themeColor="text1"/>
                <w:sz w:val="18"/>
                <w:szCs w:val="18"/>
              </w:rPr>
            </w:pPr>
            <w:r w:rsidRPr="00461231">
              <w:rPr>
                <w:rFonts w:ascii="Calibri" w:hAnsi="Calibri" w:cs="Calibri"/>
                <w:color w:val="000000" w:themeColor="text1"/>
                <w:sz w:val="18"/>
                <w:szCs w:val="18"/>
              </w:rPr>
              <w:t>0%</w:t>
            </w:r>
            <w:r w:rsidRPr="00461231">
              <w:rPr>
                <w:rFonts w:ascii="Calibri" w:hAnsi="Calibri" w:cs="Calibri"/>
                <w:color w:val="000000" w:themeColor="text1"/>
                <w:sz w:val="18"/>
                <w:szCs w:val="18"/>
                <w:vertAlign w:val="superscript"/>
              </w:rPr>
              <w:t>1</w:t>
            </w:r>
            <w:r w:rsidRPr="00461231">
              <w:rPr>
                <w:rFonts w:ascii="Calibri" w:hAnsi="Calibri" w:cs="Calibri"/>
                <w:color w:val="000000" w:themeColor="text1"/>
                <w:sz w:val="18"/>
                <w:szCs w:val="18"/>
              </w:rPr>
              <w:t xml:space="preserve"> x 1 other/Nonservice connected x 1 other</w:t>
            </w:r>
          </w:p>
        </w:tc>
      </w:tr>
      <w:tr w:rsidR="006E259D" w:rsidRPr="00461231" w:rsidTr="00174BDD">
        <w:trPr>
          <w:trHeight w:val="242"/>
          <w:jc w:val="center"/>
        </w:trPr>
        <w:tc>
          <w:tcPr>
            <w:tcW w:w="4100" w:type="dxa"/>
            <w:gridSpan w:val="3"/>
            <w:tcBorders>
              <w:right w:val="thinThickThinSmallGap" w:sz="24" w:space="0" w:color="auto"/>
            </w:tcBorders>
            <w:shd w:val="clear" w:color="auto" w:fill="D9D9D9" w:themeFill="background1" w:themeFillShade="D9"/>
            <w:vAlign w:val="center"/>
          </w:tcPr>
          <w:p w:rsidR="006E259D" w:rsidRPr="00461231" w:rsidRDefault="006E259D" w:rsidP="0025326D">
            <w:pPr>
              <w:contextualSpacing/>
              <w:rPr>
                <w:rFonts w:ascii="Calibri" w:hAnsi="Calibri" w:cs="Calibri"/>
                <w:b/>
                <w:color w:val="000000" w:themeColor="text1"/>
                <w:sz w:val="18"/>
                <w:szCs w:val="18"/>
              </w:rPr>
            </w:pPr>
            <w:r w:rsidRPr="00461231">
              <w:rPr>
                <w:rFonts w:ascii="Calibri" w:hAnsi="Calibri" w:cs="Calibri"/>
                <w:b/>
                <w:color w:val="000000" w:themeColor="text1"/>
                <w:sz w:val="18"/>
                <w:szCs w:val="18"/>
              </w:rPr>
              <w:t>Combined:  20%</w:t>
            </w:r>
          </w:p>
        </w:tc>
        <w:tc>
          <w:tcPr>
            <w:tcW w:w="5224" w:type="dxa"/>
            <w:gridSpan w:val="5"/>
            <w:tcBorders>
              <w:left w:val="thinThickThinSmallGap" w:sz="24" w:space="0" w:color="auto"/>
            </w:tcBorders>
            <w:shd w:val="clear" w:color="auto" w:fill="D9D9D9" w:themeFill="background1" w:themeFillShade="D9"/>
            <w:vAlign w:val="center"/>
          </w:tcPr>
          <w:p w:rsidR="006E259D" w:rsidRPr="00461231" w:rsidRDefault="006E259D" w:rsidP="00001D80">
            <w:pPr>
              <w:contextualSpacing/>
              <w:rPr>
                <w:rFonts w:ascii="Calibri" w:hAnsi="Calibri" w:cs="Calibri"/>
                <w:b/>
                <w:color w:val="000000" w:themeColor="text1"/>
                <w:sz w:val="18"/>
                <w:szCs w:val="18"/>
              </w:rPr>
            </w:pPr>
            <w:r w:rsidRPr="00461231">
              <w:rPr>
                <w:rFonts w:ascii="Calibri" w:hAnsi="Calibri" w:cs="Calibri"/>
                <w:b/>
                <w:color w:val="000000" w:themeColor="text1"/>
                <w:sz w:val="18"/>
                <w:szCs w:val="18"/>
              </w:rPr>
              <w:t>Combined:  50%</w:t>
            </w:r>
            <w:r w:rsidR="00CF2695" w:rsidRPr="00461231">
              <w:rPr>
                <w:rFonts w:ascii="Calibri" w:hAnsi="Calibri" w:cs="Calibri"/>
                <w:b/>
                <w:color w:val="000000" w:themeColor="text1"/>
                <w:sz w:val="18"/>
                <w:szCs w:val="18"/>
              </w:rPr>
              <w:t>****</w:t>
            </w:r>
          </w:p>
        </w:tc>
      </w:tr>
    </w:tbl>
    <w:p w:rsidR="00346F81" w:rsidRPr="00461231" w:rsidRDefault="00CF2695" w:rsidP="0016105D">
      <w:pPr>
        <w:pBdr>
          <w:bottom w:val="single" w:sz="12" w:space="0" w:color="auto"/>
        </w:pBdr>
        <w:tabs>
          <w:tab w:val="left" w:pos="288"/>
          <w:tab w:val="left" w:pos="4752"/>
        </w:tabs>
        <w:jc w:val="both"/>
        <w:rPr>
          <w:i/>
          <w:color w:val="000000" w:themeColor="text1"/>
          <w:sz w:val="18"/>
          <w:szCs w:val="18"/>
        </w:rPr>
      </w:pPr>
      <w:r w:rsidRPr="00461231">
        <w:rPr>
          <w:color w:val="000000" w:themeColor="text1"/>
          <w:sz w:val="18"/>
          <w:szCs w:val="18"/>
        </w:rPr>
        <w:t>*</w:t>
      </w:r>
      <w:r w:rsidR="00174BDD" w:rsidRPr="00461231">
        <w:rPr>
          <w:color w:val="000000" w:themeColor="text1"/>
          <w:sz w:val="18"/>
          <w:szCs w:val="18"/>
        </w:rPr>
        <w:t>Cervical Spondylosis increased to 100% 20041115</w:t>
      </w:r>
      <w:r w:rsidR="00FE5C84" w:rsidRPr="00461231">
        <w:rPr>
          <w:color w:val="000000" w:themeColor="text1"/>
          <w:sz w:val="18"/>
          <w:szCs w:val="18"/>
        </w:rPr>
        <w:t xml:space="preserve"> (nine months after separation)</w:t>
      </w:r>
      <w:r w:rsidR="005B1B63" w:rsidRPr="00461231">
        <w:rPr>
          <w:color w:val="000000" w:themeColor="text1"/>
          <w:sz w:val="18"/>
          <w:szCs w:val="18"/>
        </w:rPr>
        <w:t xml:space="preserve">, decreased </w:t>
      </w:r>
      <w:r w:rsidR="00174BDD" w:rsidRPr="00461231">
        <w:rPr>
          <w:color w:val="000000" w:themeColor="text1"/>
          <w:sz w:val="18"/>
          <w:szCs w:val="18"/>
        </w:rPr>
        <w:t>to 30% 20050601; Left and right upper extremity neuropathy increased to 20% each 20100426</w:t>
      </w:r>
      <w:r w:rsidR="00174BDD" w:rsidRPr="00461231">
        <w:rPr>
          <w:i/>
          <w:color w:val="000000" w:themeColor="text1"/>
          <w:sz w:val="18"/>
          <w:szCs w:val="18"/>
        </w:rPr>
        <w:t>.</w:t>
      </w:r>
      <w:r w:rsidR="00FE5C84" w:rsidRPr="00461231">
        <w:rPr>
          <w:i/>
          <w:color w:val="000000" w:themeColor="text1"/>
          <w:sz w:val="18"/>
          <w:szCs w:val="18"/>
        </w:rPr>
        <w:t xml:space="preserve"> </w:t>
      </w:r>
    </w:p>
    <w:p w:rsidR="004174F0" w:rsidRPr="00461231" w:rsidRDefault="00AD07DF" w:rsidP="0016105D">
      <w:pPr>
        <w:pBdr>
          <w:bottom w:val="single" w:sz="12" w:space="0" w:color="auto"/>
        </w:pBdr>
        <w:tabs>
          <w:tab w:val="left" w:pos="288"/>
          <w:tab w:val="left" w:pos="4752"/>
        </w:tabs>
        <w:jc w:val="both"/>
        <w:rPr>
          <w:color w:val="000000" w:themeColor="text1"/>
          <w:sz w:val="18"/>
          <w:szCs w:val="18"/>
        </w:rPr>
      </w:pPr>
      <w:r w:rsidRPr="00461231">
        <w:rPr>
          <w:color w:val="000000" w:themeColor="text1"/>
          <w:sz w:val="18"/>
          <w:szCs w:val="18"/>
        </w:rPr>
        <w:t>**</w:t>
      </w:r>
      <w:r w:rsidR="006E259D" w:rsidRPr="00461231">
        <w:rPr>
          <w:color w:val="000000" w:themeColor="text1"/>
          <w:sz w:val="18"/>
          <w:szCs w:val="18"/>
        </w:rPr>
        <w:t>Lumbar Spondylosis increased to 20% 20050615.</w:t>
      </w:r>
    </w:p>
    <w:p w:rsidR="006E259D" w:rsidRPr="00461231" w:rsidRDefault="006E259D" w:rsidP="0016105D">
      <w:pPr>
        <w:pBdr>
          <w:bottom w:val="single" w:sz="12" w:space="0" w:color="auto"/>
        </w:pBdr>
        <w:tabs>
          <w:tab w:val="left" w:pos="288"/>
          <w:tab w:val="left" w:pos="4752"/>
        </w:tabs>
        <w:jc w:val="both"/>
        <w:rPr>
          <w:color w:val="000000" w:themeColor="text1"/>
          <w:sz w:val="18"/>
          <w:szCs w:val="18"/>
        </w:rPr>
      </w:pPr>
      <w:r w:rsidRPr="00461231">
        <w:rPr>
          <w:color w:val="000000" w:themeColor="text1"/>
          <w:sz w:val="18"/>
          <w:szCs w:val="18"/>
        </w:rPr>
        <w:t>***Left Knee Patellofemoral Syndrome originally rated at 0% but increased to 10% with same effective date after a de novo review of the original examination.</w:t>
      </w:r>
    </w:p>
    <w:p w:rsidR="00CF2695" w:rsidRPr="00461231" w:rsidRDefault="00CF2695" w:rsidP="0016105D">
      <w:pPr>
        <w:pBdr>
          <w:bottom w:val="single" w:sz="12" w:space="0" w:color="auto"/>
        </w:pBdr>
        <w:tabs>
          <w:tab w:val="left" w:pos="288"/>
          <w:tab w:val="left" w:pos="4752"/>
        </w:tabs>
        <w:jc w:val="both"/>
        <w:rPr>
          <w:color w:val="000000" w:themeColor="text1"/>
          <w:sz w:val="18"/>
          <w:szCs w:val="18"/>
        </w:rPr>
      </w:pPr>
      <w:r w:rsidRPr="00461231">
        <w:rPr>
          <w:color w:val="000000" w:themeColor="text1"/>
          <w:sz w:val="18"/>
          <w:szCs w:val="18"/>
        </w:rPr>
        <w:t xml:space="preserve">****Combined rating </w:t>
      </w:r>
      <w:r w:rsidR="005B1B63" w:rsidRPr="00461231">
        <w:rPr>
          <w:color w:val="000000" w:themeColor="text1"/>
          <w:sz w:val="18"/>
          <w:szCs w:val="18"/>
        </w:rPr>
        <w:t>60% effective 20050601, 70% effective 20050615, and 8</w:t>
      </w:r>
      <w:r w:rsidRPr="00461231">
        <w:rPr>
          <w:color w:val="000000" w:themeColor="text1"/>
          <w:sz w:val="18"/>
          <w:szCs w:val="18"/>
        </w:rPr>
        <w:t>0% effective 20</w:t>
      </w:r>
      <w:r w:rsidR="005B1B63" w:rsidRPr="00461231">
        <w:rPr>
          <w:color w:val="000000" w:themeColor="text1"/>
          <w:sz w:val="18"/>
          <w:szCs w:val="18"/>
        </w:rPr>
        <w:t>100426.</w:t>
      </w:r>
    </w:p>
    <w:p w:rsidR="00F57C31" w:rsidRPr="00461231" w:rsidRDefault="00F57C31" w:rsidP="0016105D">
      <w:pPr>
        <w:pBdr>
          <w:bottom w:val="single" w:sz="12" w:space="0" w:color="auto"/>
        </w:pBdr>
        <w:tabs>
          <w:tab w:val="left" w:pos="288"/>
          <w:tab w:val="left" w:pos="4752"/>
        </w:tabs>
        <w:jc w:val="both"/>
        <w:rPr>
          <w:color w:val="000000" w:themeColor="text1"/>
          <w:sz w:val="18"/>
          <w:szCs w:val="18"/>
        </w:rPr>
      </w:pPr>
    </w:p>
    <w:p w:rsidR="009369A6" w:rsidRPr="00461231" w:rsidRDefault="009369A6" w:rsidP="009369A6">
      <w:pPr>
        <w:rPr>
          <w:color w:val="000000" w:themeColor="text1"/>
          <w:szCs w:val="24"/>
          <w:u w:val="single"/>
        </w:rPr>
      </w:pPr>
    </w:p>
    <w:p w:rsidR="002C6E5B" w:rsidRPr="00461231" w:rsidRDefault="002C6E5B" w:rsidP="00720D87">
      <w:pPr>
        <w:jc w:val="both"/>
        <w:rPr>
          <w:color w:val="000000" w:themeColor="text1"/>
          <w:szCs w:val="24"/>
          <w:u w:val="single"/>
        </w:rPr>
      </w:pPr>
      <w:r w:rsidRPr="00461231">
        <w:rPr>
          <w:color w:val="auto"/>
          <w:szCs w:val="24"/>
          <w:u w:val="single"/>
        </w:rPr>
        <w:t>ANALYSIS SUMMARY</w:t>
      </w:r>
      <w:r w:rsidRPr="00461231">
        <w:rPr>
          <w:color w:val="auto"/>
          <w:szCs w:val="24"/>
        </w:rPr>
        <w:t>:</w:t>
      </w:r>
      <w:r w:rsidR="005F3323" w:rsidRPr="00461231">
        <w:rPr>
          <w:color w:val="auto"/>
          <w:szCs w:val="24"/>
        </w:rPr>
        <w:t xml:space="preserve">  </w:t>
      </w:r>
      <w:r w:rsidR="003D34FA" w:rsidRPr="00461231">
        <w:rPr>
          <w:color w:val="auto"/>
          <w:szCs w:val="24"/>
        </w:rPr>
        <w:t>The Board ackno</w:t>
      </w:r>
      <w:r w:rsidR="0017299E">
        <w:rPr>
          <w:color w:val="auto"/>
          <w:szCs w:val="24"/>
        </w:rPr>
        <w:t xml:space="preserve">wledges the CI’s assertions of, </w:t>
      </w:r>
      <w:r w:rsidR="003D34FA" w:rsidRPr="00461231">
        <w:rPr>
          <w:color w:val="auto"/>
          <w:szCs w:val="24"/>
        </w:rPr>
        <w:t xml:space="preserve">“At the time of our review, doctor Patkins mention to me that he was retiring soon.  And that because of that their was nothing he could do to help me get better.  And that because I am a guardmens it be best I got out of the Army.” </w:t>
      </w:r>
      <w:r w:rsidR="0017299E">
        <w:rPr>
          <w:color w:val="auto"/>
          <w:szCs w:val="24"/>
        </w:rPr>
        <w:t xml:space="preserve"> </w:t>
      </w:r>
      <w:r w:rsidR="003D34FA" w:rsidRPr="00461231">
        <w:rPr>
          <w:color w:val="auto"/>
          <w:szCs w:val="24"/>
        </w:rPr>
        <w:t xml:space="preserve">It is noted for the record that the Board has neither the jurisdiction nor </w:t>
      </w:r>
      <w:r w:rsidR="00720D87" w:rsidRPr="00461231">
        <w:rPr>
          <w:color w:val="auto"/>
          <w:szCs w:val="24"/>
        </w:rPr>
        <w:t xml:space="preserve">the </w:t>
      </w:r>
      <w:r w:rsidR="003D34FA" w:rsidRPr="00461231">
        <w:rPr>
          <w:color w:val="auto"/>
          <w:szCs w:val="24"/>
        </w:rPr>
        <w:t xml:space="preserve">authority to scrutinize or render opinions in reference to the CI’s statements in the application regarding suspected Service improprieties in the processing of his case. </w:t>
      </w:r>
      <w:r w:rsidR="0017299E">
        <w:rPr>
          <w:color w:val="auto"/>
          <w:szCs w:val="24"/>
        </w:rPr>
        <w:t xml:space="preserve"> </w:t>
      </w:r>
      <w:r w:rsidR="00720D87" w:rsidRPr="00461231">
        <w:rPr>
          <w:color w:val="auto"/>
          <w:szCs w:val="24"/>
        </w:rPr>
        <w:t xml:space="preserve">The Board also acknowledges the sentiment expressed in the CI’s application, i.e., that the gravity of his condition and predictable consequences which merit consideration for a higher separation rating. </w:t>
      </w:r>
      <w:r w:rsidR="0017299E">
        <w:rPr>
          <w:color w:val="auto"/>
          <w:szCs w:val="24"/>
        </w:rPr>
        <w:t xml:space="preserve"> </w:t>
      </w:r>
      <w:r w:rsidR="00720D87" w:rsidRPr="00461231">
        <w:rPr>
          <w:color w:val="auto"/>
          <w:szCs w:val="24"/>
        </w:rPr>
        <w:t xml:space="preserve">It is a fact, however, that the DES has neither the role nor the authority to compensate service members for anticipated future severity or potential complications of conditions resulting in medical separation. </w:t>
      </w:r>
      <w:r w:rsidR="0017299E">
        <w:rPr>
          <w:color w:val="auto"/>
          <w:szCs w:val="24"/>
        </w:rPr>
        <w:t xml:space="preserve"> </w:t>
      </w:r>
      <w:r w:rsidR="00720D87" w:rsidRPr="00461231">
        <w:rPr>
          <w:color w:val="auto"/>
          <w:szCs w:val="24"/>
        </w:rPr>
        <w:t xml:space="preserve">This role and authority is granted by Congress to the </w:t>
      </w:r>
      <w:r w:rsidR="00BD7ECC">
        <w:rPr>
          <w:color w:val="auto"/>
          <w:szCs w:val="24"/>
        </w:rPr>
        <w:t>Department of Veterans' Affairs</w:t>
      </w:r>
      <w:r w:rsidR="0017299E">
        <w:rPr>
          <w:color w:val="auto"/>
          <w:szCs w:val="24"/>
        </w:rPr>
        <w:t xml:space="preserve">.  </w:t>
      </w:r>
      <w:r w:rsidR="00720D87" w:rsidRPr="00461231">
        <w:rPr>
          <w:color w:val="auto"/>
          <w:szCs w:val="24"/>
        </w:rPr>
        <w:t xml:space="preserve">The Board utilizes </w:t>
      </w:r>
      <w:r w:rsidR="00BD7ECC">
        <w:rPr>
          <w:color w:val="auto"/>
          <w:szCs w:val="24"/>
        </w:rPr>
        <w:t>D</w:t>
      </w:r>
      <w:r w:rsidR="00720D87" w:rsidRPr="00461231">
        <w:rPr>
          <w:color w:val="auto"/>
          <w:szCs w:val="24"/>
        </w:rPr>
        <w:t xml:space="preserve">VA evidence proximal to separation in arriving at its recommendations; and, DoDI 6040.44 defines a 12-month interval for special consideration to post-separation evidence. The Board’s authority as defined in DoDI 6040.44, however, resides in evaluating the fairness of DES fitness determinations and rating decisions for disability at the time of separation. </w:t>
      </w:r>
      <w:r w:rsidR="0017299E">
        <w:rPr>
          <w:color w:val="auto"/>
          <w:szCs w:val="24"/>
        </w:rPr>
        <w:t xml:space="preserve"> </w:t>
      </w:r>
      <w:r w:rsidR="00720D87" w:rsidRPr="00461231">
        <w:rPr>
          <w:color w:val="auto"/>
          <w:szCs w:val="24"/>
        </w:rPr>
        <w:t>Post-separation evidence therefore is probative only to the extent that it reasonably reflects the disability and fitness implications at the time of separation.</w:t>
      </w:r>
    </w:p>
    <w:p w:rsidR="002F6AD8" w:rsidRPr="00461231" w:rsidRDefault="002F6AD8" w:rsidP="00BF0E94">
      <w:pPr>
        <w:jc w:val="left"/>
        <w:rPr>
          <w:color w:val="000000" w:themeColor="text1"/>
          <w:szCs w:val="24"/>
          <w:u w:val="single"/>
        </w:rPr>
      </w:pPr>
    </w:p>
    <w:p w:rsidR="00BF70F4" w:rsidRPr="00461231" w:rsidRDefault="007C25C2" w:rsidP="00BD55F0">
      <w:pPr>
        <w:autoSpaceDE w:val="0"/>
        <w:autoSpaceDN w:val="0"/>
        <w:adjustRightInd w:val="0"/>
        <w:jc w:val="both"/>
        <w:rPr>
          <w:color w:val="000000" w:themeColor="text1"/>
          <w:szCs w:val="24"/>
        </w:rPr>
      </w:pPr>
      <w:proofErr w:type="gramStart"/>
      <w:r w:rsidRPr="00461231">
        <w:rPr>
          <w:color w:val="000000" w:themeColor="text1"/>
          <w:szCs w:val="24"/>
          <w:u w:val="single"/>
        </w:rPr>
        <w:t>Cervical Spine</w:t>
      </w:r>
      <w:r w:rsidR="0080588E" w:rsidRPr="00461231">
        <w:rPr>
          <w:color w:val="000000" w:themeColor="text1"/>
          <w:szCs w:val="24"/>
          <w:u w:val="single"/>
        </w:rPr>
        <w:t xml:space="preserve"> </w:t>
      </w:r>
      <w:r w:rsidR="003F2EEE" w:rsidRPr="00461231">
        <w:rPr>
          <w:color w:val="000000" w:themeColor="text1"/>
          <w:szCs w:val="24"/>
          <w:u w:val="single"/>
        </w:rPr>
        <w:t>Condition</w:t>
      </w:r>
      <w:r w:rsidR="003F2EEE" w:rsidRPr="00461231">
        <w:rPr>
          <w:color w:val="000000" w:themeColor="text1"/>
          <w:szCs w:val="24"/>
        </w:rPr>
        <w:t>.</w:t>
      </w:r>
      <w:proofErr w:type="gramEnd"/>
      <w:r w:rsidR="003F2EEE" w:rsidRPr="00461231">
        <w:rPr>
          <w:color w:val="000000" w:themeColor="text1"/>
          <w:szCs w:val="24"/>
        </w:rPr>
        <w:t xml:space="preserve">  </w:t>
      </w:r>
      <w:r w:rsidRPr="00461231">
        <w:rPr>
          <w:color w:val="000000" w:themeColor="text1"/>
          <w:szCs w:val="24"/>
        </w:rPr>
        <w:t>The CI initially injured his upper back in September 1997 while he was serving in Bosnia.</w:t>
      </w:r>
      <w:r w:rsidR="0017299E">
        <w:rPr>
          <w:color w:val="000000" w:themeColor="text1"/>
          <w:szCs w:val="24"/>
        </w:rPr>
        <w:t xml:space="preserve">  </w:t>
      </w:r>
      <w:r w:rsidRPr="00461231">
        <w:rPr>
          <w:color w:val="000000" w:themeColor="text1"/>
          <w:szCs w:val="24"/>
        </w:rPr>
        <w:t xml:space="preserve">He fell off a ladder from a height of two feet and experienced tingling in his whole hand as well as upper back pain. </w:t>
      </w:r>
      <w:r w:rsidR="0017299E">
        <w:rPr>
          <w:color w:val="000000" w:themeColor="text1"/>
          <w:szCs w:val="24"/>
        </w:rPr>
        <w:t xml:space="preserve"> </w:t>
      </w:r>
      <w:r w:rsidRPr="00461231">
        <w:rPr>
          <w:color w:val="000000" w:themeColor="text1"/>
          <w:szCs w:val="24"/>
        </w:rPr>
        <w:t xml:space="preserve">He was treated conservatively for musculoskeletal back pain and also received trigger point injections. </w:t>
      </w:r>
      <w:r w:rsidR="0017299E">
        <w:rPr>
          <w:color w:val="000000" w:themeColor="text1"/>
          <w:szCs w:val="24"/>
        </w:rPr>
        <w:t xml:space="preserve"> </w:t>
      </w:r>
      <w:r w:rsidRPr="00461231">
        <w:rPr>
          <w:color w:val="000000" w:themeColor="text1"/>
          <w:szCs w:val="24"/>
        </w:rPr>
        <w:t xml:space="preserve">He continued to have pain and was evaluated by orthopedics in June 1998. </w:t>
      </w:r>
      <w:r w:rsidR="0017299E">
        <w:rPr>
          <w:color w:val="000000" w:themeColor="text1"/>
          <w:szCs w:val="24"/>
        </w:rPr>
        <w:t xml:space="preserve"> </w:t>
      </w:r>
      <w:r w:rsidR="005254DB" w:rsidRPr="00461231">
        <w:rPr>
          <w:color w:val="000000" w:themeColor="text1"/>
          <w:szCs w:val="24"/>
        </w:rPr>
        <w:t>At that time</w:t>
      </w:r>
      <w:r w:rsidR="0017299E">
        <w:rPr>
          <w:color w:val="000000" w:themeColor="text1"/>
          <w:szCs w:val="24"/>
        </w:rPr>
        <w:t>,</w:t>
      </w:r>
      <w:r w:rsidR="005254DB" w:rsidRPr="00461231">
        <w:rPr>
          <w:color w:val="000000" w:themeColor="text1"/>
          <w:szCs w:val="24"/>
        </w:rPr>
        <w:t xml:space="preserve"> he had full range of motion of his cervical spine and had no tenderness to palpation of the paraspinal muscles. </w:t>
      </w:r>
      <w:r w:rsidR="0017299E">
        <w:rPr>
          <w:color w:val="000000" w:themeColor="text1"/>
          <w:szCs w:val="24"/>
        </w:rPr>
        <w:t xml:space="preserve"> </w:t>
      </w:r>
      <w:r w:rsidR="005254DB" w:rsidRPr="00461231">
        <w:rPr>
          <w:color w:val="000000" w:themeColor="text1"/>
          <w:szCs w:val="24"/>
        </w:rPr>
        <w:t xml:space="preserve">His reflexes were diminished bilaterally but he had normal strength of 5/5 bilaterally and normal sensation. </w:t>
      </w:r>
      <w:r w:rsidR="0017299E">
        <w:rPr>
          <w:color w:val="000000" w:themeColor="text1"/>
          <w:szCs w:val="24"/>
        </w:rPr>
        <w:t xml:space="preserve"> </w:t>
      </w:r>
      <w:r w:rsidR="005254DB" w:rsidRPr="00461231">
        <w:rPr>
          <w:color w:val="000000" w:themeColor="text1"/>
          <w:szCs w:val="24"/>
        </w:rPr>
        <w:t xml:space="preserve">He was referred for further trigger point injections. </w:t>
      </w:r>
      <w:r w:rsidR="0017299E">
        <w:rPr>
          <w:color w:val="000000" w:themeColor="text1"/>
          <w:szCs w:val="24"/>
        </w:rPr>
        <w:t xml:space="preserve"> </w:t>
      </w:r>
      <w:r w:rsidRPr="00461231">
        <w:rPr>
          <w:color w:val="000000" w:themeColor="text1"/>
          <w:szCs w:val="24"/>
        </w:rPr>
        <w:t>He continued to have neck pain radiating into his left shoulder and down his left arm and was evaluated in May 2000 for difficulty gripping things with his left hand.</w:t>
      </w:r>
      <w:r w:rsidR="005254DB" w:rsidRPr="00461231">
        <w:rPr>
          <w:color w:val="000000" w:themeColor="text1"/>
          <w:szCs w:val="24"/>
        </w:rPr>
        <w:t xml:space="preserve"> </w:t>
      </w:r>
      <w:r w:rsidR="0017299E">
        <w:rPr>
          <w:color w:val="000000" w:themeColor="text1"/>
          <w:szCs w:val="24"/>
        </w:rPr>
        <w:t xml:space="preserve"> </w:t>
      </w:r>
      <w:r w:rsidR="005254DB" w:rsidRPr="00461231">
        <w:rPr>
          <w:color w:val="000000" w:themeColor="text1"/>
          <w:szCs w:val="24"/>
        </w:rPr>
        <w:t xml:space="preserve">In March </w:t>
      </w:r>
      <w:r w:rsidR="0006196C" w:rsidRPr="00461231">
        <w:rPr>
          <w:color w:val="000000" w:themeColor="text1"/>
          <w:szCs w:val="24"/>
        </w:rPr>
        <w:t>2002 he was referred to occupational therapy for</w:t>
      </w:r>
      <w:r w:rsidR="00C17758" w:rsidRPr="00461231">
        <w:rPr>
          <w:color w:val="000000" w:themeColor="text1"/>
          <w:szCs w:val="24"/>
        </w:rPr>
        <w:t xml:space="preserve"> pain, weakness, and numbness</w:t>
      </w:r>
      <w:r w:rsidR="0006196C" w:rsidRPr="00461231">
        <w:rPr>
          <w:color w:val="000000" w:themeColor="text1"/>
          <w:szCs w:val="24"/>
        </w:rPr>
        <w:t xml:space="preserve"> and tingling from his left shoulder down to the tips of the fingers in his left hand. Examination noted grip strength in left hand less than half that of hi</w:t>
      </w:r>
      <w:r w:rsidR="00C17758" w:rsidRPr="00461231">
        <w:rPr>
          <w:color w:val="000000" w:themeColor="text1"/>
          <w:szCs w:val="24"/>
        </w:rPr>
        <w:t xml:space="preserve">s right hand (40 vs. 92 pounds) and decreased muscle mass in the left thenar eminence. </w:t>
      </w:r>
      <w:r w:rsidR="0017299E">
        <w:rPr>
          <w:color w:val="000000" w:themeColor="text1"/>
          <w:szCs w:val="24"/>
        </w:rPr>
        <w:t xml:space="preserve"> </w:t>
      </w:r>
      <w:r w:rsidR="00C17758" w:rsidRPr="00461231">
        <w:rPr>
          <w:color w:val="000000" w:themeColor="text1"/>
          <w:szCs w:val="24"/>
        </w:rPr>
        <w:t xml:space="preserve">He was seen multiple times by neurosurgery, </w:t>
      </w:r>
      <w:r w:rsidR="0017299E">
        <w:rPr>
          <w:color w:val="000000" w:themeColor="text1"/>
          <w:szCs w:val="24"/>
        </w:rPr>
        <w:t>occupational therapy (OT)</w:t>
      </w:r>
      <w:r w:rsidR="00C17758" w:rsidRPr="00461231">
        <w:rPr>
          <w:color w:val="000000" w:themeColor="text1"/>
          <w:szCs w:val="24"/>
        </w:rPr>
        <w:t xml:space="preserve"> and physical therapy (PT), and physical medicine and rehabilitation (PMR) over the next few years but his symptoms did not resolve. </w:t>
      </w:r>
      <w:r w:rsidR="0017299E">
        <w:rPr>
          <w:color w:val="000000" w:themeColor="text1"/>
          <w:szCs w:val="24"/>
        </w:rPr>
        <w:t xml:space="preserve"> </w:t>
      </w:r>
      <w:r w:rsidR="00BD7ECC">
        <w:rPr>
          <w:color w:val="000000" w:themeColor="text1"/>
          <w:szCs w:val="24"/>
        </w:rPr>
        <w:t xml:space="preserve">Magnetic Resonance Imaging (MRI) </w:t>
      </w:r>
      <w:r w:rsidR="00C17758" w:rsidRPr="00461231">
        <w:rPr>
          <w:color w:val="000000" w:themeColor="text1"/>
          <w:szCs w:val="24"/>
        </w:rPr>
        <w:t>was performed in 2002 and although the radiologist’s report is not present in the record, both the original MEB NARSUM in May 2002 and the updated MEB NARSUM in December 2002 noted this test documented diffuse spondylitic changes f</w:t>
      </w:r>
      <w:r w:rsidR="00345518" w:rsidRPr="00461231">
        <w:rPr>
          <w:color w:val="000000" w:themeColor="text1"/>
          <w:szCs w:val="24"/>
        </w:rPr>
        <w:t>ro</w:t>
      </w:r>
      <w:r w:rsidR="00C17758" w:rsidRPr="00461231">
        <w:rPr>
          <w:color w:val="000000" w:themeColor="text1"/>
          <w:szCs w:val="24"/>
        </w:rPr>
        <w:t xml:space="preserve">m C3-4 to C6-7, severe spinal stenosis at C5-6, moderate spinal stenosis at C6-7, and mild to moderate spinal stenosis at C3-4 and C4-5. </w:t>
      </w:r>
      <w:r w:rsidR="0017299E">
        <w:rPr>
          <w:color w:val="000000" w:themeColor="text1"/>
          <w:szCs w:val="24"/>
        </w:rPr>
        <w:t xml:space="preserve"> </w:t>
      </w:r>
      <w:r w:rsidR="00C17758" w:rsidRPr="00461231">
        <w:rPr>
          <w:color w:val="000000" w:themeColor="text1"/>
          <w:szCs w:val="24"/>
        </w:rPr>
        <w:t xml:space="preserve">Both NARSUMs also noted the </w:t>
      </w:r>
      <w:r w:rsidR="00345518" w:rsidRPr="00461231">
        <w:rPr>
          <w:color w:val="000000" w:themeColor="text1"/>
          <w:szCs w:val="24"/>
        </w:rPr>
        <w:t xml:space="preserve">MRI showed moderate to severe neuroforaminal stenosis (worse on the right) at C5-6, moderate bilateral neuroforaminal stenosis at C4-5 and C6-7 (worse on the right at C6-7), and mild bilateral neuroforaminal stenosis at C3-4.  An EMG completed 20020412 was reported as consistent with mild/possible chronic C-7 radiculopathy and very mild demyelinating sensory median neuropathy at the left wrist. </w:t>
      </w:r>
      <w:r w:rsidR="0017299E">
        <w:rPr>
          <w:color w:val="000000" w:themeColor="text1"/>
          <w:szCs w:val="24"/>
        </w:rPr>
        <w:t xml:space="preserve"> </w:t>
      </w:r>
      <w:r w:rsidR="00345518" w:rsidRPr="00461231">
        <w:rPr>
          <w:color w:val="000000" w:themeColor="text1"/>
          <w:szCs w:val="24"/>
        </w:rPr>
        <w:t>However, EMG studies of</w:t>
      </w:r>
      <w:r w:rsidR="00BD7ECC">
        <w:rPr>
          <w:color w:val="000000" w:themeColor="text1"/>
          <w:szCs w:val="24"/>
        </w:rPr>
        <w:t xml:space="preserve"> </w:t>
      </w:r>
      <w:r w:rsidR="0017299E">
        <w:rPr>
          <w:color w:val="000000" w:themeColor="text1"/>
          <w:szCs w:val="24"/>
        </w:rPr>
        <w:t>30 January</w:t>
      </w:r>
      <w:r w:rsidR="00345518" w:rsidRPr="00461231">
        <w:rPr>
          <w:color w:val="000000" w:themeColor="text1"/>
          <w:szCs w:val="24"/>
        </w:rPr>
        <w:t xml:space="preserve"> 2003 and </w:t>
      </w:r>
      <w:r w:rsidR="0017299E">
        <w:rPr>
          <w:color w:val="000000" w:themeColor="text1"/>
          <w:szCs w:val="24"/>
        </w:rPr>
        <w:t>28 February 2003</w:t>
      </w:r>
      <w:r w:rsidR="00345518" w:rsidRPr="00461231">
        <w:rPr>
          <w:color w:val="000000" w:themeColor="text1"/>
          <w:szCs w:val="24"/>
        </w:rPr>
        <w:t xml:space="preserve"> were reported as normal.</w:t>
      </w:r>
    </w:p>
    <w:p w:rsidR="00345F96" w:rsidRPr="00461231" w:rsidRDefault="00345F96" w:rsidP="00BD55F0">
      <w:pPr>
        <w:autoSpaceDE w:val="0"/>
        <w:autoSpaceDN w:val="0"/>
        <w:adjustRightInd w:val="0"/>
        <w:jc w:val="both"/>
        <w:rPr>
          <w:color w:val="000000" w:themeColor="text1"/>
          <w:szCs w:val="24"/>
        </w:rPr>
      </w:pPr>
    </w:p>
    <w:p w:rsidR="002961EA" w:rsidRPr="00461231" w:rsidRDefault="002961EA" w:rsidP="00BD55F0">
      <w:pPr>
        <w:autoSpaceDE w:val="0"/>
        <w:autoSpaceDN w:val="0"/>
        <w:adjustRightInd w:val="0"/>
        <w:jc w:val="both"/>
        <w:rPr>
          <w:color w:val="000000" w:themeColor="text1"/>
          <w:szCs w:val="24"/>
        </w:rPr>
      </w:pPr>
      <w:r w:rsidRPr="00461231">
        <w:rPr>
          <w:color w:val="000000" w:themeColor="text1"/>
          <w:szCs w:val="24"/>
        </w:rPr>
        <w:t xml:space="preserve">An MEB NARSUM was completed by a neurosurgeon </w:t>
      </w:r>
      <w:r w:rsidR="0017299E">
        <w:rPr>
          <w:color w:val="000000" w:themeColor="text1"/>
          <w:szCs w:val="24"/>
        </w:rPr>
        <w:t xml:space="preserve">on 9 May </w:t>
      </w:r>
      <w:r w:rsidRPr="00461231">
        <w:rPr>
          <w:color w:val="000000" w:themeColor="text1"/>
          <w:szCs w:val="24"/>
        </w:rPr>
        <w:t xml:space="preserve">2002 and it noted the CI continued to have pain in his neck, left shoulder, near the elbow, and an aching pain in the forearm and hand. </w:t>
      </w:r>
      <w:r w:rsidR="0017299E">
        <w:rPr>
          <w:color w:val="000000" w:themeColor="text1"/>
          <w:szCs w:val="24"/>
        </w:rPr>
        <w:t xml:space="preserve"> </w:t>
      </w:r>
      <w:r w:rsidRPr="00461231">
        <w:rPr>
          <w:color w:val="000000" w:themeColor="text1"/>
          <w:szCs w:val="24"/>
        </w:rPr>
        <w:t xml:space="preserve">He reported mild intermittent paresthesias in an ulnar distribution on the left side. </w:t>
      </w:r>
      <w:r w:rsidR="0017299E">
        <w:rPr>
          <w:color w:val="000000" w:themeColor="text1"/>
          <w:szCs w:val="24"/>
        </w:rPr>
        <w:t xml:space="preserve"> </w:t>
      </w:r>
      <w:r w:rsidRPr="00461231">
        <w:rPr>
          <w:color w:val="000000" w:themeColor="text1"/>
          <w:szCs w:val="24"/>
        </w:rPr>
        <w:t xml:space="preserve">Examination noted normal motor strength in both upper extremities with normal sensation and neurologic examination. </w:t>
      </w:r>
      <w:r w:rsidR="0017299E">
        <w:rPr>
          <w:color w:val="000000" w:themeColor="text1"/>
          <w:szCs w:val="24"/>
        </w:rPr>
        <w:t xml:space="preserve"> </w:t>
      </w:r>
      <w:r w:rsidRPr="00461231">
        <w:rPr>
          <w:color w:val="000000" w:themeColor="text1"/>
          <w:szCs w:val="24"/>
        </w:rPr>
        <w:t>The neck was supple with flexion of 90 degrees and extension of 30 degrees.</w:t>
      </w:r>
      <w:r w:rsidR="00FC3562" w:rsidRPr="00461231">
        <w:rPr>
          <w:color w:val="000000" w:themeColor="text1"/>
          <w:szCs w:val="24"/>
        </w:rPr>
        <w:t xml:space="preserve"> </w:t>
      </w:r>
      <w:r w:rsidR="0017299E">
        <w:rPr>
          <w:color w:val="000000" w:themeColor="text1"/>
          <w:szCs w:val="24"/>
        </w:rPr>
        <w:t xml:space="preserve"> </w:t>
      </w:r>
      <w:r w:rsidR="00FC3562" w:rsidRPr="00461231">
        <w:rPr>
          <w:color w:val="000000" w:themeColor="text1"/>
          <w:szCs w:val="24"/>
        </w:rPr>
        <w:t xml:space="preserve">Moderate myofascial tenderness was present in the interscapular region on the left as well as in the paraspinals at the base of the neck. </w:t>
      </w:r>
      <w:r w:rsidR="0017299E">
        <w:rPr>
          <w:color w:val="000000" w:themeColor="text1"/>
          <w:szCs w:val="24"/>
        </w:rPr>
        <w:t xml:space="preserve"> </w:t>
      </w:r>
      <w:r w:rsidR="00FC3562" w:rsidRPr="00461231">
        <w:rPr>
          <w:color w:val="000000" w:themeColor="text1"/>
          <w:szCs w:val="24"/>
        </w:rPr>
        <w:t xml:space="preserve">Motor strength was noted as 5/5 throughout the upper extremities with some give away weakness in “various muscle groups” and sensation was intact to light touch and pinprick. </w:t>
      </w:r>
      <w:r w:rsidR="0017299E">
        <w:rPr>
          <w:color w:val="000000" w:themeColor="text1"/>
          <w:szCs w:val="24"/>
        </w:rPr>
        <w:t xml:space="preserve"> </w:t>
      </w:r>
      <w:r w:rsidR="00FC3562" w:rsidRPr="00461231">
        <w:rPr>
          <w:color w:val="000000" w:themeColor="text1"/>
          <w:szCs w:val="24"/>
        </w:rPr>
        <w:t xml:space="preserve">Reflexes were </w:t>
      </w:r>
      <w:r w:rsidR="002F5F46" w:rsidRPr="00461231">
        <w:rPr>
          <w:color w:val="000000" w:themeColor="text1"/>
          <w:szCs w:val="24"/>
        </w:rPr>
        <w:t>2+ throughout and gait and coordination were normal.</w:t>
      </w:r>
      <w:r w:rsidR="002F5EA1" w:rsidRPr="00461231">
        <w:rPr>
          <w:color w:val="000000" w:themeColor="text1"/>
          <w:szCs w:val="24"/>
        </w:rPr>
        <w:t xml:space="preserve"> </w:t>
      </w:r>
      <w:r w:rsidR="0017299E">
        <w:rPr>
          <w:color w:val="000000" w:themeColor="text1"/>
          <w:szCs w:val="24"/>
        </w:rPr>
        <w:t xml:space="preserve"> </w:t>
      </w:r>
      <w:r w:rsidR="002F5EA1" w:rsidRPr="00461231">
        <w:rPr>
          <w:color w:val="000000" w:themeColor="text1"/>
          <w:szCs w:val="24"/>
        </w:rPr>
        <w:t>The diagnosis was listed as cervical spondylosis with neck pain and radiculopathy with slight and constant pain.</w:t>
      </w:r>
    </w:p>
    <w:p w:rsidR="00442947" w:rsidRPr="00461231" w:rsidRDefault="00442947" w:rsidP="00BD55F0">
      <w:pPr>
        <w:autoSpaceDE w:val="0"/>
        <w:autoSpaceDN w:val="0"/>
        <w:adjustRightInd w:val="0"/>
        <w:jc w:val="both"/>
        <w:rPr>
          <w:color w:val="000000" w:themeColor="text1"/>
          <w:szCs w:val="24"/>
        </w:rPr>
      </w:pPr>
    </w:p>
    <w:p w:rsidR="00A74BF7" w:rsidRPr="00461231" w:rsidRDefault="00442947" w:rsidP="00BD55F0">
      <w:pPr>
        <w:autoSpaceDE w:val="0"/>
        <w:autoSpaceDN w:val="0"/>
        <w:adjustRightInd w:val="0"/>
        <w:jc w:val="both"/>
        <w:rPr>
          <w:rFonts w:cs="Times New Roman"/>
          <w:color w:val="000000" w:themeColor="text1"/>
          <w:szCs w:val="24"/>
        </w:rPr>
      </w:pPr>
      <w:r w:rsidRPr="00461231">
        <w:rPr>
          <w:color w:val="000000" w:themeColor="text1"/>
          <w:szCs w:val="24"/>
        </w:rPr>
        <w:t>An updated MEB NARSUM was completed in December 2002</w:t>
      </w:r>
      <w:r w:rsidR="0017299E">
        <w:rPr>
          <w:color w:val="000000" w:themeColor="text1"/>
          <w:szCs w:val="24"/>
        </w:rPr>
        <w:t>,</w:t>
      </w:r>
      <w:r w:rsidRPr="00461231">
        <w:rPr>
          <w:color w:val="000000" w:themeColor="text1"/>
          <w:szCs w:val="24"/>
        </w:rPr>
        <w:t xml:space="preserve"> but no new examination was completed. </w:t>
      </w:r>
      <w:r w:rsidR="0017299E">
        <w:rPr>
          <w:color w:val="000000" w:themeColor="text1"/>
          <w:szCs w:val="24"/>
        </w:rPr>
        <w:t xml:space="preserve"> </w:t>
      </w:r>
      <w:r w:rsidRPr="00461231">
        <w:rPr>
          <w:color w:val="000000" w:themeColor="text1"/>
          <w:szCs w:val="24"/>
        </w:rPr>
        <w:t xml:space="preserve">The provider noted an examination date of </w:t>
      </w:r>
      <w:r w:rsidR="0017299E">
        <w:rPr>
          <w:color w:val="000000" w:themeColor="text1"/>
          <w:szCs w:val="24"/>
        </w:rPr>
        <w:t>14 May 2</w:t>
      </w:r>
      <w:r w:rsidRPr="00461231">
        <w:rPr>
          <w:color w:val="000000" w:themeColor="text1"/>
          <w:szCs w:val="24"/>
        </w:rPr>
        <w:t>002 and referenced the MEB physical</w:t>
      </w:r>
      <w:r w:rsidR="00BD7ECC">
        <w:rPr>
          <w:color w:val="000000" w:themeColor="text1"/>
          <w:szCs w:val="24"/>
        </w:rPr>
        <w:t xml:space="preserve"> (DD Form 2808)</w:t>
      </w:r>
      <w:r w:rsidRPr="00461231">
        <w:rPr>
          <w:color w:val="000000" w:themeColor="text1"/>
          <w:szCs w:val="24"/>
        </w:rPr>
        <w:t xml:space="preserve">. </w:t>
      </w:r>
      <w:r w:rsidR="0017299E">
        <w:rPr>
          <w:color w:val="000000" w:themeColor="text1"/>
          <w:szCs w:val="24"/>
        </w:rPr>
        <w:t xml:space="preserve"> </w:t>
      </w:r>
      <w:r w:rsidRPr="00461231">
        <w:rPr>
          <w:color w:val="000000" w:themeColor="text1"/>
          <w:szCs w:val="24"/>
        </w:rPr>
        <w:t xml:space="preserve">An undated and unsigned DD </w:t>
      </w:r>
      <w:r w:rsidR="00BD7ECC">
        <w:rPr>
          <w:color w:val="000000" w:themeColor="text1"/>
          <w:szCs w:val="24"/>
        </w:rPr>
        <w:t xml:space="preserve">Form </w:t>
      </w:r>
      <w:r w:rsidRPr="00461231">
        <w:rPr>
          <w:color w:val="000000" w:themeColor="text1"/>
          <w:szCs w:val="24"/>
        </w:rPr>
        <w:t xml:space="preserve">2808 was available in the record and the physical findings in this document matched those documented in the updated MEB NARSUM. </w:t>
      </w:r>
      <w:r w:rsidR="00BD7ECC">
        <w:rPr>
          <w:color w:val="000000" w:themeColor="text1"/>
          <w:szCs w:val="24"/>
        </w:rPr>
        <w:t xml:space="preserve"> </w:t>
      </w:r>
      <w:r w:rsidRPr="00461231">
        <w:rPr>
          <w:color w:val="000000" w:themeColor="text1"/>
          <w:szCs w:val="24"/>
        </w:rPr>
        <w:t xml:space="preserve">This examiner noted a </w:t>
      </w:r>
      <w:r w:rsidR="00BD7ECC">
        <w:rPr>
          <w:color w:val="000000" w:themeColor="text1"/>
          <w:szCs w:val="24"/>
        </w:rPr>
        <w:t>6-</w:t>
      </w:r>
      <w:r w:rsidRPr="00461231">
        <w:rPr>
          <w:color w:val="000000" w:themeColor="text1"/>
          <w:szCs w:val="24"/>
        </w:rPr>
        <w:t xml:space="preserve">year history of intermittent pain of the left arm and forearm with numbness and paresthesias in the left fingers intermittently. </w:t>
      </w:r>
      <w:r w:rsidR="0017299E">
        <w:rPr>
          <w:color w:val="000000" w:themeColor="text1"/>
          <w:szCs w:val="24"/>
        </w:rPr>
        <w:t xml:space="preserve"> </w:t>
      </w:r>
      <w:r w:rsidRPr="00461231">
        <w:rPr>
          <w:color w:val="000000" w:themeColor="text1"/>
          <w:szCs w:val="24"/>
        </w:rPr>
        <w:t xml:space="preserve">It also noted the CI was right-handed and that he described symptoms of weakness and dropping items. </w:t>
      </w:r>
      <w:r w:rsidR="0017299E">
        <w:rPr>
          <w:color w:val="000000" w:themeColor="text1"/>
          <w:szCs w:val="24"/>
        </w:rPr>
        <w:t xml:space="preserve"> </w:t>
      </w:r>
      <w:r w:rsidRPr="00461231">
        <w:rPr>
          <w:color w:val="000000" w:themeColor="text1"/>
          <w:szCs w:val="24"/>
        </w:rPr>
        <w:t xml:space="preserve">The physical examination noted mild atrophy in the left forearm in addition to motor weakness in the left upper extremity with strength noted to be 4/5 for grip, 4+/5 </w:t>
      </w:r>
      <w:r w:rsidR="002F5EA1" w:rsidRPr="00461231">
        <w:rPr>
          <w:color w:val="000000" w:themeColor="text1"/>
          <w:szCs w:val="24"/>
        </w:rPr>
        <w:t>interosseus</w:t>
      </w:r>
      <w:r w:rsidRPr="00461231">
        <w:rPr>
          <w:color w:val="000000" w:themeColor="text1"/>
          <w:szCs w:val="24"/>
        </w:rPr>
        <w:t xml:space="preserve">, and 4/5 for elbow extension. </w:t>
      </w:r>
      <w:r w:rsidR="0017299E">
        <w:rPr>
          <w:color w:val="000000" w:themeColor="text1"/>
          <w:szCs w:val="24"/>
        </w:rPr>
        <w:t xml:space="preserve"> </w:t>
      </w:r>
      <w:r w:rsidRPr="00461231">
        <w:rPr>
          <w:color w:val="000000" w:themeColor="text1"/>
          <w:szCs w:val="24"/>
        </w:rPr>
        <w:t>He also documented moderate myofascial tenderness in the interscapular region on the left and in the paraspinals at the base of the neck.</w:t>
      </w:r>
      <w:r w:rsidR="002F5EA1" w:rsidRPr="00461231">
        <w:rPr>
          <w:color w:val="000000" w:themeColor="text1"/>
          <w:szCs w:val="24"/>
        </w:rPr>
        <w:t xml:space="preserve"> </w:t>
      </w:r>
      <w:r w:rsidR="0017299E">
        <w:rPr>
          <w:color w:val="000000" w:themeColor="text1"/>
          <w:szCs w:val="24"/>
        </w:rPr>
        <w:t xml:space="preserve"> </w:t>
      </w:r>
      <w:r w:rsidR="002F5EA1" w:rsidRPr="00461231">
        <w:rPr>
          <w:color w:val="000000" w:themeColor="text1"/>
          <w:szCs w:val="24"/>
        </w:rPr>
        <w:t xml:space="preserve">The diagnosis was listed as cervical </w:t>
      </w:r>
      <w:r w:rsidR="002F5EA1" w:rsidRPr="00461231">
        <w:rPr>
          <w:color w:val="000000" w:themeColor="text1"/>
          <w:szCs w:val="24"/>
        </w:rPr>
        <w:lastRenderedPageBreak/>
        <w:t>spondylosis with radiculopathy at left C6-7 with pain slight and constant.</w:t>
      </w:r>
      <w:r w:rsidR="00261677" w:rsidRPr="00461231">
        <w:rPr>
          <w:color w:val="000000" w:themeColor="text1"/>
          <w:szCs w:val="24"/>
        </w:rPr>
        <w:t xml:space="preserve"> </w:t>
      </w:r>
      <w:r w:rsidR="0017299E">
        <w:rPr>
          <w:color w:val="000000" w:themeColor="text1"/>
          <w:szCs w:val="24"/>
        </w:rPr>
        <w:t xml:space="preserve"> </w:t>
      </w:r>
      <w:r w:rsidR="00261677" w:rsidRPr="00461231">
        <w:rPr>
          <w:rFonts w:cs="Times New Roman"/>
          <w:color w:val="000000" w:themeColor="text1"/>
          <w:szCs w:val="24"/>
        </w:rPr>
        <w:t>The CI continued to receive care and underwent t</w:t>
      </w:r>
      <w:r w:rsidR="00A74BF7" w:rsidRPr="00461231">
        <w:rPr>
          <w:rFonts w:cs="Times New Roman"/>
          <w:color w:val="000000" w:themeColor="text1"/>
          <w:szCs w:val="24"/>
        </w:rPr>
        <w:t>rigger point injection</w:t>
      </w:r>
      <w:r w:rsidR="00261677" w:rsidRPr="00461231">
        <w:rPr>
          <w:rFonts w:cs="Times New Roman"/>
          <w:color w:val="000000" w:themeColor="text1"/>
          <w:szCs w:val="24"/>
        </w:rPr>
        <w:t xml:space="preserve"> of the left mid-trapezius with good pain</w:t>
      </w:r>
      <w:r w:rsidR="00A74BF7" w:rsidRPr="00461231">
        <w:rPr>
          <w:rFonts w:cs="Times New Roman"/>
          <w:color w:val="000000" w:themeColor="text1"/>
          <w:szCs w:val="24"/>
        </w:rPr>
        <w:t xml:space="preserve"> relief </w:t>
      </w:r>
      <w:r w:rsidR="00261677" w:rsidRPr="00461231">
        <w:rPr>
          <w:rFonts w:cs="Times New Roman"/>
          <w:color w:val="000000" w:themeColor="text1"/>
          <w:szCs w:val="24"/>
        </w:rPr>
        <w:t>in his left upper extremity.</w:t>
      </w:r>
    </w:p>
    <w:p w:rsidR="00A74BF7" w:rsidRPr="00461231" w:rsidRDefault="00A74BF7" w:rsidP="00BD55F0">
      <w:pPr>
        <w:autoSpaceDE w:val="0"/>
        <w:autoSpaceDN w:val="0"/>
        <w:adjustRightInd w:val="0"/>
        <w:jc w:val="both"/>
        <w:rPr>
          <w:rFonts w:cs="Times New Roman"/>
          <w:color w:val="000000" w:themeColor="text1"/>
          <w:szCs w:val="24"/>
        </w:rPr>
      </w:pPr>
    </w:p>
    <w:p w:rsidR="008B0EE6" w:rsidRPr="00461231" w:rsidRDefault="00261677" w:rsidP="00BD55F0">
      <w:pPr>
        <w:autoSpaceDE w:val="0"/>
        <w:autoSpaceDN w:val="0"/>
        <w:adjustRightInd w:val="0"/>
        <w:jc w:val="both"/>
        <w:rPr>
          <w:rFonts w:cs="Times New Roman"/>
          <w:color w:val="000000" w:themeColor="text1"/>
          <w:szCs w:val="24"/>
        </w:rPr>
      </w:pPr>
      <w:r w:rsidRPr="00461231">
        <w:rPr>
          <w:rFonts w:cs="Times New Roman"/>
          <w:color w:val="000000" w:themeColor="text1"/>
          <w:szCs w:val="24"/>
        </w:rPr>
        <w:t xml:space="preserve">The IPEB convened in </w:t>
      </w:r>
      <w:r w:rsidR="005C77F0" w:rsidRPr="00461231">
        <w:rPr>
          <w:rFonts w:cs="Times New Roman"/>
          <w:color w:val="000000" w:themeColor="text1"/>
          <w:szCs w:val="24"/>
        </w:rPr>
        <w:t xml:space="preserve">late </w:t>
      </w:r>
      <w:r w:rsidRPr="00461231">
        <w:rPr>
          <w:rFonts w:cs="Times New Roman"/>
          <w:color w:val="000000" w:themeColor="text1"/>
          <w:szCs w:val="24"/>
        </w:rPr>
        <w:t xml:space="preserve">March 2003 and determined the CI was unfit for cervical spondylosis with neck pain and radiculopathy at C6-7 with slight and constant pain. </w:t>
      </w:r>
      <w:r w:rsidR="0017299E">
        <w:rPr>
          <w:rFonts w:cs="Times New Roman"/>
          <w:color w:val="000000" w:themeColor="text1"/>
          <w:szCs w:val="24"/>
        </w:rPr>
        <w:t xml:space="preserve"> </w:t>
      </w:r>
      <w:r w:rsidRPr="00461231">
        <w:rPr>
          <w:rFonts w:cs="Times New Roman"/>
          <w:color w:val="000000" w:themeColor="text1"/>
          <w:szCs w:val="24"/>
        </w:rPr>
        <w:t>This was rated analogous to mild incomplete paralysis of all radicular groups 8599-8513 at 20% for symptoms in the non-dominant side.</w:t>
      </w:r>
    </w:p>
    <w:p w:rsidR="00261677" w:rsidRPr="00461231" w:rsidRDefault="00261677" w:rsidP="00BD55F0">
      <w:pPr>
        <w:autoSpaceDE w:val="0"/>
        <w:autoSpaceDN w:val="0"/>
        <w:adjustRightInd w:val="0"/>
        <w:jc w:val="both"/>
        <w:rPr>
          <w:rFonts w:cs="Times New Roman"/>
          <w:color w:val="000000" w:themeColor="text1"/>
          <w:szCs w:val="24"/>
        </w:rPr>
      </w:pPr>
    </w:p>
    <w:p w:rsidR="008B0EE6" w:rsidRPr="00461231" w:rsidRDefault="00261677" w:rsidP="008B0EE6">
      <w:pPr>
        <w:autoSpaceDE w:val="0"/>
        <w:autoSpaceDN w:val="0"/>
        <w:adjustRightInd w:val="0"/>
        <w:jc w:val="both"/>
        <w:rPr>
          <w:rFonts w:cs="Times New Roman"/>
          <w:color w:val="000000" w:themeColor="text1"/>
          <w:szCs w:val="24"/>
        </w:rPr>
      </w:pPr>
      <w:r w:rsidRPr="00461231">
        <w:rPr>
          <w:rFonts w:cs="Times New Roman"/>
          <w:color w:val="000000" w:themeColor="text1"/>
          <w:szCs w:val="24"/>
        </w:rPr>
        <w:t xml:space="preserve">However, the CI continued to have symptoms and receive care after the date of the PEB but prior to his date of separation to the retired reserve in February 2004. </w:t>
      </w:r>
      <w:r w:rsidR="0017299E">
        <w:rPr>
          <w:rFonts w:cs="Times New Roman"/>
          <w:color w:val="000000" w:themeColor="text1"/>
          <w:szCs w:val="24"/>
        </w:rPr>
        <w:t xml:space="preserve"> </w:t>
      </w:r>
      <w:r w:rsidRPr="00461231">
        <w:rPr>
          <w:rFonts w:cs="Times New Roman"/>
          <w:color w:val="000000" w:themeColor="text1"/>
          <w:szCs w:val="24"/>
        </w:rPr>
        <w:t xml:space="preserve">In late March 2003 the CI was seen in PT for left upper extremity weakness, pain, numbness and tingling with pain at 4/10 at rest and 9/10 with a flare-up. </w:t>
      </w:r>
      <w:r w:rsidR="0017299E">
        <w:rPr>
          <w:rFonts w:cs="Times New Roman"/>
          <w:color w:val="000000" w:themeColor="text1"/>
          <w:szCs w:val="24"/>
        </w:rPr>
        <w:t xml:space="preserve"> </w:t>
      </w:r>
      <w:r w:rsidRPr="00461231">
        <w:rPr>
          <w:rFonts w:cs="Times New Roman"/>
          <w:color w:val="000000" w:themeColor="text1"/>
          <w:szCs w:val="24"/>
        </w:rPr>
        <w:t>Atrophy of the left bicep</w:t>
      </w:r>
      <w:r w:rsidR="005C77F0" w:rsidRPr="00461231">
        <w:rPr>
          <w:rFonts w:cs="Times New Roman"/>
          <w:color w:val="000000" w:themeColor="text1"/>
          <w:szCs w:val="24"/>
        </w:rPr>
        <w:t>s</w:t>
      </w:r>
      <w:r w:rsidRPr="00461231">
        <w:rPr>
          <w:rFonts w:cs="Times New Roman"/>
          <w:color w:val="000000" w:themeColor="text1"/>
          <w:szCs w:val="24"/>
        </w:rPr>
        <w:t>, tricep</w:t>
      </w:r>
      <w:r w:rsidR="005C77F0" w:rsidRPr="00461231">
        <w:rPr>
          <w:rFonts w:cs="Times New Roman"/>
          <w:color w:val="000000" w:themeColor="text1"/>
          <w:szCs w:val="24"/>
        </w:rPr>
        <w:t>s</w:t>
      </w:r>
      <w:r w:rsidRPr="00461231">
        <w:rPr>
          <w:rFonts w:cs="Times New Roman"/>
          <w:color w:val="000000" w:themeColor="text1"/>
          <w:szCs w:val="24"/>
        </w:rPr>
        <w:t>, and deltoid was noted</w:t>
      </w:r>
      <w:r w:rsidR="005C77F0" w:rsidRPr="00461231">
        <w:rPr>
          <w:rFonts w:cs="Times New Roman"/>
          <w:color w:val="000000" w:themeColor="text1"/>
          <w:szCs w:val="24"/>
        </w:rPr>
        <w:t xml:space="preserve"> as well as motor strength of 4/5 in the all muscles of the left upper extremity except finger abduction and thumb opposition which were 2/5. </w:t>
      </w:r>
      <w:r w:rsidR="0017299E">
        <w:rPr>
          <w:rFonts w:cs="Times New Roman"/>
          <w:color w:val="000000" w:themeColor="text1"/>
          <w:szCs w:val="24"/>
        </w:rPr>
        <w:t xml:space="preserve"> </w:t>
      </w:r>
      <w:r w:rsidR="005C77F0" w:rsidRPr="00461231">
        <w:rPr>
          <w:rFonts w:cs="Times New Roman"/>
          <w:color w:val="000000" w:themeColor="text1"/>
          <w:szCs w:val="24"/>
        </w:rPr>
        <w:t xml:space="preserve">Decreased sensation over the left C5-8 and T1 dermatomes was also present. </w:t>
      </w:r>
      <w:r w:rsidR="0017299E">
        <w:rPr>
          <w:rFonts w:cs="Times New Roman"/>
          <w:color w:val="000000" w:themeColor="text1"/>
          <w:szCs w:val="24"/>
        </w:rPr>
        <w:t xml:space="preserve"> </w:t>
      </w:r>
      <w:r w:rsidR="005C77F0" w:rsidRPr="00461231">
        <w:rPr>
          <w:rFonts w:cs="Times New Roman"/>
          <w:color w:val="000000" w:themeColor="text1"/>
          <w:szCs w:val="24"/>
        </w:rPr>
        <w:t xml:space="preserve">Home cervical traction and strengthening exercises were prescribed. </w:t>
      </w:r>
      <w:r w:rsidR="0017299E">
        <w:rPr>
          <w:rFonts w:cs="Times New Roman"/>
          <w:color w:val="000000" w:themeColor="text1"/>
          <w:szCs w:val="24"/>
        </w:rPr>
        <w:t xml:space="preserve"> </w:t>
      </w:r>
      <w:r w:rsidR="005C77F0" w:rsidRPr="00461231">
        <w:rPr>
          <w:rFonts w:cs="Times New Roman"/>
          <w:color w:val="000000" w:themeColor="text1"/>
          <w:szCs w:val="24"/>
        </w:rPr>
        <w:t xml:space="preserve">The CI was seen in follow-up in PT on 20030421 and noted to have global atrophy of the left upper extremity and increasing weakness with deltoid, biceps, triceps, and finger flexion all 3/5 and interosseus at 2/5. Strength of wrist flexion was 4/5 and extension was 5/5. The CI was also seen twice in OT during April 2003 with continued left </w:t>
      </w:r>
      <w:r w:rsidR="003D533C" w:rsidRPr="00461231">
        <w:rPr>
          <w:rFonts w:cs="Times New Roman"/>
          <w:color w:val="000000" w:themeColor="text1"/>
          <w:szCs w:val="24"/>
        </w:rPr>
        <w:t>u</w:t>
      </w:r>
      <w:r w:rsidR="005C77F0" w:rsidRPr="00461231">
        <w:rPr>
          <w:rFonts w:cs="Times New Roman"/>
          <w:color w:val="000000" w:themeColor="text1"/>
          <w:szCs w:val="24"/>
        </w:rPr>
        <w:t>pper extremity weakness, numbness, tingling, and pain</w:t>
      </w:r>
      <w:r w:rsidR="003D533C" w:rsidRPr="00461231">
        <w:rPr>
          <w:rFonts w:cs="Times New Roman"/>
          <w:color w:val="000000" w:themeColor="text1"/>
          <w:szCs w:val="24"/>
        </w:rPr>
        <w:t xml:space="preserve">. </w:t>
      </w:r>
      <w:r w:rsidR="0017299E">
        <w:rPr>
          <w:rFonts w:cs="Times New Roman"/>
          <w:color w:val="000000" w:themeColor="text1"/>
          <w:szCs w:val="24"/>
        </w:rPr>
        <w:t xml:space="preserve"> </w:t>
      </w:r>
      <w:r w:rsidR="003D533C" w:rsidRPr="00461231">
        <w:rPr>
          <w:rFonts w:cs="Times New Roman"/>
          <w:color w:val="000000" w:themeColor="text1"/>
          <w:szCs w:val="24"/>
        </w:rPr>
        <w:t xml:space="preserve">His pain was now rated at 5/10 at rest and 8/10 with overhead work. </w:t>
      </w:r>
      <w:r w:rsidR="0017299E">
        <w:rPr>
          <w:rFonts w:cs="Times New Roman"/>
          <w:color w:val="000000" w:themeColor="text1"/>
          <w:szCs w:val="24"/>
        </w:rPr>
        <w:t xml:space="preserve"> </w:t>
      </w:r>
      <w:r w:rsidR="003D533C" w:rsidRPr="00461231">
        <w:rPr>
          <w:rFonts w:cs="Times New Roman"/>
          <w:color w:val="000000" w:themeColor="text1"/>
          <w:szCs w:val="24"/>
        </w:rPr>
        <w:t xml:space="preserve">On 10 April hand grip was noted to be 50 pounds on the left and 90 pounds on the right. </w:t>
      </w:r>
      <w:r w:rsidR="0017299E">
        <w:rPr>
          <w:rFonts w:cs="Times New Roman"/>
          <w:color w:val="000000" w:themeColor="text1"/>
          <w:szCs w:val="24"/>
        </w:rPr>
        <w:t xml:space="preserve"> </w:t>
      </w:r>
      <w:r w:rsidR="003D533C" w:rsidRPr="00461231">
        <w:rPr>
          <w:rFonts w:cs="Times New Roman"/>
          <w:color w:val="000000" w:themeColor="text1"/>
          <w:szCs w:val="24"/>
        </w:rPr>
        <w:t xml:space="preserve">On 14 April a more complete strength examination was completed with the results in the table below. </w:t>
      </w:r>
      <w:r w:rsidR="0017299E">
        <w:rPr>
          <w:rFonts w:cs="Times New Roman"/>
          <w:color w:val="000000" w:themeColor="text1"/>
          <w:szCs w:val="24"/>
        </w:rPr>
        <w:t xml:space="preserve"> </w:t>
      </w:r>
      <w:r w:rsidR="003D533C" w:rsidRPr="00461231">
        <w:rPr>
          <w:rFonts w:cs="Times New Roman"/>
          <w:color w:val="000000" w:themeColor="text1"/>
          <w:szCs w:val="24"/>
        </w:rPr>
        <w:t>Overall the strength of the left upper extremity was only 35% of that in the right upper extremity on average.</w:t>
      </w:r>
    </w:p>
    <w:p w:rsidR="003D533C" w:rsidRPr="00461231" w:rsidRDefault="003D533C" w:rsidP="008B0EE6">
      <w:pPr>
        <w:autoSpaceDE w:val="0"/>
        <w:autoSpaceDN w:val="0"/>
        <w:adjustRightInd w:val="0"/>
        <w:jc w:val="both"/>
        <w:rPr>
          <w:color w:val="000000" w:themeColor="text1"/>
          <w:szCs w:val="24"/>
        </w:rPr>
      </w:pPr>
    </w:p>
    <w:tbl>
      <w:tblPr>
        <w:tblStyle w:val="TableGrid"/>
        <w:tblW w:w="0" w:type="auto"/>
        <w:tblLayout w:type="fixed"/>
        <w:tblLook w:val="04A0"/>
      </w:tblPr>
      <w:tblGrid>
        <w:gridCol w:w="4068"/>
        <w:gridCol w:w="810"/>
        <w:gridCol w:w="720"/>
        <w:gridCol w:w="720"/>
        <w:gridCol w:w="720"/>
        <w:gridCol w:w="1260"/>
        <w:gridCol w:w="1170"/>
      </w:tblGrid>
      <w:tr w:rsidR="008B0EE6" w:rsidRPr="00461231" w:rsidTr="00B76755">
        <w:tc>
          <w:tcPr>
            <w:tcW w:w="4068" w:type="dxa"/>
            <w:vMerge w:val="restart"/>
          </w:tcPr>
          <w:p w:rsidR="008B0EE6" w:rsidRPr="00461231" w:rsidRDefault="008B0EE6" w:rsidP="00B76755">
            <w:pPr>
              <w:autoSpaceDE w:val="0"/>
              <w:autoSpaceDN w:val="0"/>
              <w:adjustRightInd w:val="0"/>
              <w:jc w:val="both"/>
              <w:rPr>
                <w:color w:val="000000" w:themeColor="text1"/>
                <w:szCs w:val="24"/>
              </w:rPr>
            </w:pPr>
            <w:r w:rsidRPr="00461231">
              <w:rPr>
                <w:color w:val="000000" w:themeColor="text1"/>
                <w:szCs w:val="24"/>
              </w:rPr>
              <w:t>All in #s</w:t>
            </w:r>
          </w:p>
        </w:tc>
        <w:tc>
          <w:tcPr>
            <w:tcW w:w="1530" w:type="dxa"/>
            <w:gridSpan w:val="2"/>
          </w:tcPr>
          <w:p w:rsidR="008B0EE6" w:rsidRPr="00461231" w:rsidRDefault="008B0EE6" w:rsidP="00B76755">
            <w:pPr>
              <w:autoSpaceDE w:val="0"/>
              <w:autoSpaceDN w:val="0"/>
              <w:adjustRightInd w:val="0"/>
              <w:rPr>
                <w:color w:val="000000" w:themeColor="text1"/>
                <w:szCs w:val="24"/>
              </w:rPr>
            </w:pPr>
            <w:r w:rsidRPr="00461231">
              <w:rPr>
                <w:color w:val="000000" w:themeColor="text1"/>
                <w:szCs w:val="24"/>
              </w:rPr>
              <w:t>Elbow</w:t>
            </w:r>
          </w:p>
        </w:tc>
        <w:tc>
          <w:tcPr>
            <w:tcW w:w="1440" w:type="dxa"/>
            <w:gridSpan w:val="2"/>
          </w:tcPr>
          <w:p w:rsidR="008B0EE6" w:rsidRPr="00461231" w:rsidRDefault="008B0EE6" w:rsidP="00B76755">
            <w:pPr>
              <w:autoSpaceDE w:val="0"/>
              <w:autoSpaceDN w:val="0"/>
              <w:adjustRightInd w:val="0"/>
              <w:rPr>
                <w:color w:val="000000" w:themeColor="text1"/>
                <w:szCs w:val="24"/>
              </w:rPr>
            </w:pPr>
            <w:r w:rsidRPr="00461231">
              <w:rPr>
                <w:color w:val="000000" w:themeColor="text1"/>
                <w:szCs w:val="24"/>
              </w:rPr>
              <w:t>Wrist</w:t>
            </w:r>
          </w:p>
        </w:tc>
        <w:tc>
          <w:tcPr>
            <w:tcW w:w="2430" w:type="dxa"/>
            <w:gridSpan w:val="2"/>
          </w:tcPr>
          <w:p w:rsidR="008B0EE6" w:rsidRPr="00461231" w:rsidRDefault="008B0EE6" w:rsidP="00B76755">
            <w:pPr>
              <w:autoSpaceDE w:val="0"/>
              <w:autoSpaceDN w:val="0"/>
              <w:adjustRightInd w:val="0"/>
              <w:rPr>
                <w:color w:val="000000" w:themeColor="text1"/>
                <w:szCs w:val="24"/>
              </w:rPr>
            </w:pPr>
          </w:p>
        </w:tc>
      </w:tr>
      <w:tr w:rsidR="008B0EE6" w:rsidRPr="00461231" w:rsidTr="00B76755">
        <w:tc>
          <w:tcPr>
            <w:tcW w:w="4068" w:type="dxa"/>
            <w:vMerge/>
          </w:tcPr>
          <w:p w:rsidR="008B0EE6" w:rsidRPr="00461231" w:rsidRDefault="008B0EE6" w:rsidP="00B76755">
            <w:pPr>
              <w:autoSpaceDE w:val="0"/>
              <w:autoSpaceDN w:val="0"/>
              <w:adjustRightInd w:val="0"/>
              <w:jc w:val="both"/>
              <w:rPr>
                <w:color w:val="000000" w:themeColor="text1"/>
                <w:szCs w:val="24"/>
              </w:rPr>
            </w:pPr>
          </w:p>
        </w:tc>
        <w:tc>
          <w:tcPr>
            <w:tcW w:w="810" w:type="dxa"/>
          </w:tcPr>
          <w:p w:rsidR="008B0EE6" w:rsidRPr="00461231" w:rsidRDefault="008B0EE6" w:rsidP="00B76755">
            <w:pPr>
              <w:autoSpaceDE w:val="0"/>
              <w:autoSpaceDN w:val="0"/>
              <w:adjustRightInd w:val="0"/>
              <w:rPr>
                <w:color w:val="000000" w:themeColor="text1"/>
                <w:szCs w:val="24"/>
              </w:rPr>
            </w:pPr>
            <w:r w:rsidRPr="00461231">
              <w:rPr>
                <w:color w:val="000000" w:themeColor="text1"/>
                <w:szCs w:val="24"/>
              </w:rPr>
              <w:t>Flex</w:t>
            </w:r>
          </w:p>
        </w:tc>
        <w:tc>
          <w:tcPr>
            <w:tcW w:w="720" w:type="dxa"/>
          </w:tcPr>
          <w:p w:rsidR="008B0EE6" w:rsidRPr="00461231" w:rsidRDefault="008B0EE6" w:rsidP="00B76755">
            <w:pPr>
              <w:autoSpaceDE w:val="0"/>
              <w:autoSpaceDN w:val="0"/>
              <w:adjustRightInd w:val="0"/>
              <w:rPr>
                <w:color w:val="000000" w:themeColor="text1"/>
                <w:szCs w:val="24"/>
              </w:rPr>
            </w:pPr>
            <w:r w:rsidRPr="00461231">
              <w:rPr>
                <w:color w:val="000000" w:themeColor="text1"/>
                <w:szCs w:val="24"/>
              </w:rPr>
              <w:t>Ext</w:t>
            </w:r>
          </w:p>
        </w:tc>
        <w:tc>
          <w:tcPr>
            <w:tcW w:w="720" w:type="dxa"/>
          </w:tcPr>
          <w:p w:rsidR="008B0EE6" w:rsidRPr="00461231" w:rsidRDefault="008B0EE6" w:rsidP="00B76755">
            <w:pPr>
              <w:autoSpaceDE w:val="0"/>
              <w:autoSpaceDN w:val="0"/>
              <w:adjustRightInd w:val="0"/>
              <w:rPr>
                <w:color w:val="000000" w:themeColor="text1"/>
                <w:szCs w:val="24"/>
              </w:rPr>
            </w:pPr>
            <w:r w:rsidRPr="00461231">
              <w:rPr>
                <w:color w:val="000000" w:themeColor="text1"/>
                <w:szCs w:val="24"/>
              </w:rPr>
              <w:t>Flex</w:t>
            </w:r>
          </w:p>
        </w:tc>
        <w:tc>
          <w:tcPr>
            <w:tcW w:w="720" w:type="dxa"/>
          </w:tcPr>
          <w:p w:rsidR="008B0EE6" w:rsidRPr="00461231" w:rsidRDefault="008B0EE6" w:rsidP="00B76755">
            <w:pPr>
              <w:autoSpaceDE w:val="0"/>
              <w:autoSpaceDN w:val="0"/>
              <w:adjustRightInd w:val="0"/>
              <w:rPr>
                <w:color w:val="000000" w:themeColor="text1"/>
                <w:szCs w:val="24"/>
              </w:rPr>
            </w:pPr>
            <w:r w:rsidRPr="00461231">
              <w:rPr>
                <w:color w:val="000000" w:themeColor="text1"/>
                <w:szCs w:val="24"/>
              </w:rPr>
              <w:t>Ext</w:t>
            </w:r>
          </w:p>
        </w:tc>
        <w:tc>
          <w:tcPr>
            <w:tcW w:w="1260" w:type="dxa"/>
          </w:tcPr>
          <w:p w:rsidR="008B0EE6" w:rsidRPr="00461231" w:rsidRDefault="008B0EE6" w:rsidP="00B76755">
            <w:pPr>
              <w:autoSpaceDE w:val="0"/>
              <w:autoSpaceDN w:val="0"/>
              <w:adjustRightInd w:val="0"/>
              <w:rPr>
                <w:color w:val="000000" w:themeColor="text1"/>
                <w:szCs w:val="24"/>
              </w:rPr>
            </w:pPr>
            <w:r w:rsidRPr="00461231">
              <w:rPr>
                <w:color w:val="000000" w:themeColor="text1"/>
                <w:szCs w:val="24"/>
              </w:rPr>
              <w:t>Supination</w:t>
            </w:r>
          </w:p>
        </w:tc>
        <w:tc>
          <w:tcPr>
            <w:tcW w:w="1170" w:type="dxa"/>
          </w:tcPr>
          <w:p w:rsidR="008B0EE6" w:rsidRPr="00461231" w:rsidRDefault="008B0EE6" w:rsidP="00B76755">
            <w:pPr>
              <w:autoSpaceDE w:val="0"/>
              <w:autoSpaceDN w:val="0"/>
              <w:adjustRightInd w:val="0"/>
              <w:rPr>
                <w:color w:val="000000" w:themeColor="text1"/>
                <w:szCs w:val="24"/>
              </w:rPr>
            </w:pPr>
            <w:r w:rsidRPr="00461231">
              <w:rPr>
                <w:color w:val="000000" w:themeColor="text1"/>
                <w:szCs w:val="24"/>
              </w:rPr>
              <w:t>Pronation</w:t>
            </w:r>
          </w:p>
        </w:tc>
      </w:tr>
      <w:tr w:rsidR="008B0EE6" w:rsidRPr="00461231" w:rsidTr="00B76755">
        <w:tc>
          <w:tcPr>
            <w:tcW w:w="4068" w:type="dxa"/>
          </w:tcPr>
          <w:p w:rsidR="008B0EE6" w:rsidRPr="00461231" w:rsidRDefault="008B0EE6" w:rsidP="00B76755">
            <w:pPr>
              <w:autoSpaceDE w:val="0"/>
              <w:autoSpaceDN w:val="0"/>
              <w:adjustRightInd w:val="0"/>
              <w:jc w:val="both"/>
              <w:rPr>
                <w:color w:val="000000" w:themeColor="text1"/>
                <w:szCs w:val="24"/>
              </w:rPr>
            </w:pPr>
            <w:r w:rsidRPr="00461231">
              <w:rPr>
                <w:color w:val="000000" w:themeColor="text1"/>
                <w:szCs w:val="24"/>
              </w:rPr>
              <w:t xml:space="preserve">Left </w:t>
            </w:r>
          </w:p>
        </w:tc>
        <w:tc>
          <w:tcPr>
            <w:tcW w:w="810" w:type="dxa"/>
          </w:tcPr>
          <w:p w:rsidR="008B0EE6" w:rsidRPr="00461231" w:rsidRDefault="008B0EE6" w:rsidP="00B76755">
            <w:pPr>
              <w:autoSpaceDE w:val="0"/>
              <w:autoSpaceDN w:val="0"/>
              <w:adjustRightInd w:val="0"/>
              <w:rPr>
                <w:color w:val="000000" w:themeColor="text1"/>
                <w:szCs w:val="24"/>
              </w:rPr>
            </w:pPr>
            <w:r w:rsidRPr="00461231">
              <w:rPr>
                <w:color w:val="000000" w:themeColor="text1"/>
                <w:szCs w:val="24"/>
              </w:rPr>
              <w:t>86</w:t>
            </w:r>
          </w:p>
        </w:tc>
        <w:tc>
          <w:tcPr>
            <w:tcW w:w="720" w:type="dxa"/>
          </w:tcPr>
          <w:p w:rsidR="008B0EE6" w:rsidRPr="00461231" w:rsidRDefault="008B0EE6" w:rsidP="00B76755">
            <w:pPr>
              <w:autoSpaceDE w:val="0"/>
              <w:autoSpaceDN w:val="0"/>
              <w:adjustRightInd w:val="0"/>
              <w:rPr>
                <w:color w:val="000000" w:themeColor="text1"/>
                <w:szCs w:val="24"/>
              </w:rPr>
            </w:pPr>
            <w:r w:rsidRPr="00461231">
              <w:rPr>
                <w:color w:val="000000" w:themeColor="text1"/>
                <w:szCs w:val="24"/>
              </w:rPr>
              <w:t>73</w:t>
            </w:r>
          </w:p>
        </w:tc>
        <w:tc>
          <w:tcPr>
            <w:tcW w:w="720" w:type="dxa"/>
          </w:tcPr>
          <w:p w:rsidR="008B0EE6" w:rsidRPr="00461231" w:rsidRDefault="008B0EE6" w:rsidP="00B76755">
            <w:pPr>
              <w:autoSpaceDE w:val="0"/>
              <w:autoSpaceDN w:val="0"/>
              <w:adjustRightInd w:val="0"/>
              <w:rPr>
                <w:color w:val="000000" w:themeColor="text1"/>
                <w:szCs w:val="24"/>
              </w:rPr>
            </w:pPr>
            <w:r w:rsidRPr="00461231">
              <w:rPr>
                <w:color w:val="000000" w:themeColor="text1"/>
                <w:szCs w:val="24"/>
              </w:rPr>
              <w:t>16</w:t>
            </w:r>
          </w:p>
        </w:tc>
        <w:tc>
          <w:tcPr>
            <w:tcW w:w="720" w:type="dxa"/>
          </w:tcPr>
          <w:p w:rsidR="008B0EE6" w:rsidRPr="00461231" w:rsidRDefault="008B0EE6" w:rsidP="00B76755">
            <w:pPr>
              <w:autoSpaceDE w:val="0"/>
              <w:autoSpaceDN w:val="0"/>
              <w:adjustRightInd w:val="0"/>
              <w:rPr>
                <w:color w:val="000000" w:themeColor="text1"/>
                <w:szCs w:val="24"/>
              </w:rPr>
            </w:pPr>
            <w:r w:rsidRPr="00461231">
              <w:rPr>
                <w:color w:val="000000" w:themeColor="text1"/>
                <w:szCs w:val="24"/>
              </w:rPr>
              <w:t>43</w:t>
            </w:r>
          </w:p>
        </w:tc>
        <w:tc>
          <w:tcPr>
            <w:tcW w:w="1260" w:type="dxa"/>
          </w:tcPr>
          <w:p w:rsidR="008B0EE6" w:rsidRPr="00461231" w:rsidRDefault="008B0EE6" w:rsidP="00B76755">
            <w:pPr>
              <w:autoSpaceDE w:val="0"/>
              <w:autoSpaceDN w:val="0"/>
              <w:adjustRightInd w:val="0"/>
              <w:rPr>
                <w:color w:val="000000" w:themeColor="text1"/>
                <w:szCs w:val="24"/>
              </w:rPr>
            </w:pPr>
            <w:r w:rsidRPr="00461231">
              <w:rPr>
                <w:color w:val="000000" w:themeColor="text1"/>
                <w:szCs w:val="24"/>
              </w:rPr>
              <w:t>24</w:t>
            </w:r>
          </w:p>
        </w:tc>
        <w:tc>
          <w:tcPr>
            <w:tcW w:w="1170" w:type="dxa"/>
          </w:tcPr>
          <w:p w:rsidR="008B0EE6" w:rsidRPr="00461231" w:rsidRDefault="008B0EE6" w:rsidP="00B76755">
            <w:pPr>
              <w:autoSpaceDE w:val="0"/>
              <w:autoSpaceDN w:val="0"/>
              <w:adjustRightInd w:val="0"/>
              <w:rPr>
                <w:color w:val="000000" w:themeColor="text1"/>
                <w:szCs w:val="24"/>
              </w:rPr>
            </w:pPr>
            <w:r w:rsidRPr="00461231">
              <w:rPr>
                <w:color w:val="000000" w:themeColor="text1"/>
                <w:szCs w:val="24"/>
              </w:rPr>
              <w:t>22</w:t>
            </w:r>
          </w:p>
        </w:tc>
      </w:tr>
      <w:tr w:rsidR="008B0EE6" w:rsidRPr="00461231" w:rsidTr="00B76755">
        <w:tc>
          <w:tcPr>
            <w:tcW w:w="4068" w:type="dxa"/>
          </w:tcPr>
          <w:p w:rsidR="008B0EE6" w:rsidRPr="00461231" w:rsidRDefault="008B0EE6" w:rsidP="00B76755">
            <w:pPr>
              <w:autoSpaceDE w:val="0"/>
              <w:autoSpaceDN w:val="0"/>
              <w:adjustRightInd w:val="0"/>
              <w:jc w:val="both"/>
              <w:rPr>
                <w:color w:val="000000" w:themeColor="text1"/>
                <w:szCs w:val="24"/>
              </w:rPr>
            </w:pPr>
            <w:r w:rsidRPr="00461231">
              <w:rPr>
                <w:color w:val="000000" w:themeColor="text1"/>
                <w:szCs w:val="24"/>
              </w:rPr>
              <w:t>Right</w:t>
            </w:r>
          </w:p>
        </w:tc>
        <w:tc>
          <w:tcPr>
            <w:tcW w:w="810" w:type="dxa"/>
          </w:tcPr>
          <w:p w:rsidR="008B0EE6" w:rsidRPr="00461231" w:rsidRDefault="008B0EE6" w:rsidP="00B76755">
            <w:pPr>
              <w:autoSpaceDE w:val="0"/>
              <w:autoSpaceDN w:val="0"/>
              <w:adjustRightInd w:val="0"/>
              <w:rPr>
                <w:color w:val="000000" w:themeColor="text1"/>
                <w:szCs w:val="24"/>
              </w:rPr>
            </w:pPr>
            <w:r w:rsidRPr="00461231">
              <w:rPr>
                <w:color w:val="000000" w:themeColor="text1"/>
                <w:szCs w:val="24"/>
              </w:rPr>
              <w:t>274</w:t>
            </w:r>
          </w:p>
        </w:tc>
        <w:tc>
          <w:tcPr>
            <w:tcW w:w="720" w:type="dxa"/>
          </w:tcPr>
          <w:p w:rsidR="008B0EE6" w:rsidRPr="00461231" w:rsidRDefault="008B0EE6" w:rsidP="00B76755">
            <w:pPr>
              <w:autoSpaceDE w:val="0"/>
              <w:autoSpaceDN w:val="0"/>
              <w:adjustRightInd w:val="0"/>
              <w:rPr>
                <w:color w:val="000000" w:themeColor="text1"/>
                <w:szCs w:val="24"/>
              </w:rPr>
            </w:pPr>
            <w:r w:rsidRPr="00461231">
              <w:rPr>
                <w:color w:val="000000" w:themeColor="text1"/>
                <w:szCs w:val="24"/>
              </w:rPr>
              <w:t>231</w:t>
            </w:r>
          </w:p>
        </w:tc>
        <w:tc>
          <w:tcPr>
            <w:tcW w:w="720" w:type="dxa"/>
          </w:tcPr>
          <w:p w:rsidR="008B0EE6" w:rsidRPr="00461231" w:rsidRDefault="008B0EE6" w:rsidP="00B76755">
            <w:pPr>
              <w:autoSpaceDE w:val="0"/>
              <w:autoSpaceDN w:val="0"/>
              <w:adjustRightInd w:val="0"/>
              <w:rPr>
                <w:color w:val="000000" w:themeColor="text1"/>
                <w:szCs w:val="24"/>
              </w:rPr>
            </w:pPr>
            <w:r w:rsidRPr="00461231">
              <w:rPr>
                <w:color w:val="000000" w:themeColor="text1"/>
                <w:szCs w:val="24"/>
              </w:rPr>
              <w:t>68</w:t>
            </w:r>
          </w:p>
        </w:tc>
        <w:tc>
          <w:tcPr>
            <w:tcW w:w="720" w:type="dxa"/>
          </w:tcPr>
          <w:p w:rsidR="008B0EE6" w:rsidRPr="00461231" w:rsidRDefault="008B0EE6" w:rsidP="00B76755">
            <w:pPr>
              <w:autoSpaceDE w:val="0"/>
              <w:autoSpaceDN w:val="0"/>
              <w:adjustRightInd w:val="0"/>
              <w:rPr>
                <w:color w:val="000000" w:themeColor="text1"/>
                <w:szCs w:val="24"/>
              </w:rPr>
            </w:pPr>
            <w:r w:rsidRPr="00461231">
              <w:rPr>
                <w:color w:val="000000" w:themeColor="text1"/>
                <w:szCs w:val="24"/>
              </w:rPr>
              <w:t>88</w:t>
            </w:r>
          </w:p>
        </w:tc>
        <w:tc>
          <w:tcPr>
            <w:tcW w:w="1260" w:type="dxa"/>
          </w:tcPr>
          <w:p w:rsidR="008B0EE6" w:rsidRPr="00461231" w:rsidRDefault="008B0EE6" w:rsidP="00B76755">
            <w:pPr>
              <w:autoSpaceDE w:val="0"/>
              <w:autoSpaceDN w:val="0"/>
              <w:adjustRightInd w:val="0"/>
              <w:rPr>
                <w:color w:val="000000" w:themeColor="text1"/>
                <w:szCs w:val="24"/>
              </w:rPr>
            </w:pPr>
            <w:r w:rsidRPr="00461231">
              <w:rPr>
                <w:color w:val="000000" w:themeColor="text1"/>
                <w:szCs w:val="24"/>
              </w:rPr>
              <w:t>63</w:t>
            </w:r>
          </w:p>
        </w:tc>
        <w:tc>
          <w:tcPr>
            <w:tcW w:w="1170" w:type="dxa"/>
          </w:tcPr>
          <w:p w:rsidR="008B0EE6" w:rsidRPr="00461231" w:rsidRDefault="008B0EE6" w:rsidP="00B76755">
            <w:pPr>
              <w:autoSpaceDE w:val="0"/>
              <w:autoSpaceDN w:val="0"/>
              <w:adjustRightInd w:val="0"/>
              <w:rPr>
                <w:color w:val="000000" w:themeColor="text1"/>
                <w:szCs w:val="24"/>
              </w:rPr>
            </w:pPr>
            <w:r w:rsidRPr="00461231">
              <w:rPr>
                <w:color w:val="000000" w:themeColor="text1"/>
                <w:szCs w:val="24"/>
              </w:rPr>
              <w:t>61</w:t>
            </w:r>
          </w:p>
        </w:tc>
      </w:tr>
      <w:tr w:rsidR="008B0EE6" w:rsidRPr="00461231" w:rsidTr="00B76755">
        <w:tc>
          <w:tcPr>
            <w:tcW w:w="4068" w:type="dxa"/>
          </w:tcPr>
          <w:p w:rsidR="008B0EE6" w:rsidRPr="00461231" w:rsidRDefault="008B0EE6" w:rsidP="00B76755">
            <w:pPr>
              <w:autoSpaceDE w:val="0"/>
              <w:autoSpaceDN w:val="0"/>
              <w:adjustRightInd w:val="0"/>
              <w:jc w:val="both"/>
              <w:rPr>
                <w:color w:val="000000" w:themeColor="text1"/>
                <w:szCs w:val="24"/>
              </w:rPr>
            </w:pPr>
            <w:r w:rsidRPr="00461231">
              <w:rPr>
                <w:color w:val="000000" w:themeColor="text1"/>
                <w:szCs w:val="24"/>
              </w:rPr>
              <w:t>Coefficient of variation (CV) Left</w:t>
            </w:r>
          </w:p>
          <w:p w:rsidR="008B0EE6" w:rsidRPr="00461231" w:rsidRDefault="008B0EE6" w:rsidP="00B76755">
            <w:pPr>
              <w:autoSpaceDE w:val="0"/>
              <w:autoSpaceDN w:val="0"/>
              <w:adjustRightInd w:val="0"/>
              <w:jc w:val="both"/>
              <w:rPr>
                <w:color w:val="000000" w:themeColor="text1"/>
                <w:szCs w:val="24"/>
              </w:rPr>
            </w:pPr>
            <w:r w:rsidRPr="00461231">
              <w:rPr>
                <w:color w:val="000000" w:themeColor="text1"/>
                <w:szCs w:val="24"/>
              </w:rPr>
              <w:t>(3 measurements)</w:t>
            </w:r>
          </w:p>
        </w:tc>
        <w:tc>
          <w:tcPr>
            <w:tcW w:w="810" w:type="dxa"/>
          </w:tcPr>
          <w:p w:rsidR="008B0EE6" w:rsidRPr="00461231" w:rsidRDefault="008B0EE6" w:rsidP="00B76755">
            <w:pPr>
              <w:autoSpaceDE w:val="0"/>
              <w:autoSpaceDN w:val="0"/>
              <w:adjustRightInd w:val="0"/>
              <w:rPr>
                <w:color w:val="000000" w:themeColor="text1"/>
                <w:szCs w:val="24"/>
              </w:rPr>
            </w:pPr>
            <w:r w:rsidRPr="00461231">
              <w:rPr>
                <w:color w:val="000000" w:themeColor="text1"/>
                <w:szCs w:val="24"/>
              </w:rPr>
              <w:t>38%</w:t>
            </w:r>
          </w:p>
        </w:tc>
        <w:tc>
          <w:tcPr>
            <w:tcW w:w="720" w:type="dxa"/>
          </w:tcPr>
          <w:p w:rsidR="008B0EE6" w:rsidRPr="00461231" w:rsidRDefault="008B0EE6" w:rsidP="00B76755">
            <w:pPr>
              <w:autoSpaceDE w:val="0"/>
              <w:autoSpaceDN w:val="0"/>
              <w:adjustRightInd w:val="0"/>
              <w:rPr>
                <w:color w:val="000000" w:themeColor="text1"/>
                <w:szCs w:val="24"/>
              </w:rPr>
            </w:pPr>
            <w:r w:rsidRPr="00461231">
              <w:rPr>
                <w:color w:val="000000" w:themeColor="text1"/>
                <w:szCs w:val="24"/>
              </w:rPr>
              <w:t>12%</w:t>
            </w:r>
          </w:p>
        </w:tc>
        <w:tc>
          <w:tcPr>
            <w:tcW w:w="720" w:type="dxa"/>
          </w:tcPr>
          <w:p w:rsidR="008B0EE6" w:rsidRPr="00461231" w:rsidRDefault="008B0EE6" w:rsidP="00B76755">
            <w:pPr>
              <w:autoSpaceDE w:val="0"/>
              <w:autoSpaceDN w:val="0"/>
              <w:adjustRightInd w:val="0"/>
              <w:rPr>
                <w:color w:val="000000" w:themeColor="text1"/>
                <w:szCs w:val="24"/>
              </w:rPr>
            </w:pPr>
            <w:r w:rsidRPr="00461231">
              <w:rPr>
                <w:color w:val="000000" w:themeColor="text1"/>
                <w:szCs w:val="24"/>
              </w:rPr>
              <w:t>15%</w:t>
            </w:r>
          </w:p>
        </w:tc>
        <w:tc>
          <w:tcPr>
            <w:tcW w:w="720" w:type="dxa"/>
          </w:tcPr>
          <w:p w:rsidR="008B0EE6" w:rsidRPr="00461231" w:rsidRDefault="008B0EE6" w:rsidP="00B76755">
            <w:pPr>
              <w:autoSpaceDE w:val="0"/>
              <w:autoSpaceDN w:val="0"/>
              <w:adjustRightInd w:val="0"/>
              <w:rPr>
                <w:color w:val="000000" w:themeColor="text1"/>
                <w:szCs w:val="24"/>
              </w:rPr>
            </w:pPr>
            <w:r w:rsidRPr="00461231">
              <w:rPr>
                <w:color w:val="000000" w:themeColor="text1"/>
                <w:szCs w:val="24"/>
              </w:rPr>
              <w:t>5%</w:t>
            </w:r>
          </w:p>
        </w:tc>
        <w:tc>
          <w:tcPr>
            <w:tcW w:w="1260" w:type="dxa"/>
          </w:tcPr>
          <w:p w:rsidR="008B0EE6" w:rsidRPr="00461231" w:rsidRDefault="008B0EE6" w:rsidP="00B76755">
            <w:r w:rsidRPr="00461231">
              <w:rPr>
                <w:color w:val="000000" w:themeColor="text1"/>
                <w:szCs w:val="24"/>
              </w:rPr>
              <w:t>6%</w:t>
            </w:r>
          </w:p>
        </w:tc>
        <w:tc>
          <w:tcPr>
            <w:tcW w:w="1170" w:type="dxa"/>
          </w:tcPr>
          <w:p w:rsidR="008B0EE6" w:rsidRPr="00461231" w:rsidRDefault="008B0EE6" w:rsidP="00B76755">
            <w:r w:rsidRPr="00461231">
              <w:rPr>
                <w:color w:val="000000" w:themeColor="text1"/>
                <w:szCs w:val="24"/>
              </w:rPr>
              <w:t>17%</w:t>
            </w:r>
          </w:p>
        </w:tc>
      </w:tr>
      <w:tr w:rsidR="008B0EE6" w:rsidRPr="00461231" w:rsidTr="00B76755">
        <w:tc>
          <w:tcPr>
            <w:tcW w:w="4068" w:type="dxa"/>
          </w:tcPr>
          <w:p w:rsidR="008B0EE6" w:rsidRPr="00461231" w:rsidRDefault="008B0EE6" w:rsidP="00B76755">
            <w:pPr>
              <w:autoSpaceDE w:val="0"/>
              <w:autoSpaceDN w:val="0"/>
              <w:adjustRightInd w:val="0"/>
              <w:jc w:val="both"/>
              <w:rPr>
                <w:color w:val="000000" w:themeColor="text1"/>
                <w:szCs w:val="24"/>
              </w:rPr>
            </w:pPr>
            <w:r w:rsidRPr="00461231">
              <w:rPr>
                <w:color w:val="000000" w:themeColor="text1"/>
                <w:szCs w:val="24"/>
              </w:rPr>
              <w:t>CV right</w:t>
            </w:r>
          </w:p>
        </w:tc>
        <w:tc>
          <w:tcPr>
            <w:tcW w:w="810" w:type="dxa"/>
          </w:tcPr>
          <w:p w:rsidR="008B0EE6" w:rsidRPr="00461231" w:rsidRDefault="008B0EE6" w:rsidP="00B76755">
            <w:pPr>
              <w:autoSpaceDE w:val="0"/>
              <w:autoSpaceDN w:val="0"/>
              <w:adjustRightInd w:val="0"/>
              <w:rPr>
                <w:color w:val="000000" w:themeColor="text1"/>
                <w:szCs w:val="24"/>
              </w:rPr>
            </w:pPr>
            <w:r w:rsidRPr="00461231">
              <w:rPr>
                <w:color w:val="000000" w:themeColor="text1"/>
                <w:szCs w:val="24"/>
              </w:rPr>
              <w:t>8%</w:t>
            </w:r>
          </w:p>
        </w:tc>
        <w:tc>
          <w:tcPr>
            <w:tcW w:w="720" w:type="dxa"/>
          </w:tcPr>
          <w:p w:rsidR="008B0EE6" w:rsidRPr="00461231" w:rsidRDefault="008B0EE6" w:rsidP="00B76755">
            <w:pPr>
              <w:autoSpaceDE w:val="0"/>
              <w:autoSpaceDN w:val="0"/>
              <w:adjustRightInd w:val="0"/>
              <w:rPr>
                <w:color w:val="000000" w:themeColor="text1"/>
                <w:szCs w:val="24"/>
              </w:rPr>
            </w:pPr>
            <w:r w:rsidRPr="00461231">
              <w:rPr>
                <w:color w:val="000000" w:themeColor="text1"/>
                <w:szCs w:val="24"/>
              </w:rPr>
              <w:t>18%</w:t>
            </w:r>
          </w:p>
        </w:tc>
        <w:tc>
          <w:tcPr>
            <w:tcW w:w="720" w:type="dxa"/>
          </w:tcPr>
          <w:p w:rsidR="008B0EE6" w:rsidRPr="00461231" w:rsidRDefault="008B0EE6" w:rsidP="00B76755">
            <w:pPr>
              <w:autoSpaceDE w:val="0"/>
              <w:autoSpaceDN w:val="0"/>
              <w:adjustRightInd w:val="0"/>
              <w:rPr>
                <w:color w:val="000000" w:themeColor="text1"/>
                <w:szCs w:val="24"/>
              </w:rPr>
            </w:pPr>
            <w:r w:rsidRPr="00461231">
              <w:rPr>
                <w:color w:val="000000" w:themeColor="text1"/>
                <w:szCs w:val="24"/>
              </w:rPr>
              <w:t>5%</w:t>
            </w:r>
          </w:p>
        </w:tc>
        <w:tc>
          <w:tcPr>
            <w:tcW w:w="720" w:type="dxa"/>
          </w:tcPr>
          <w:p w:rsidR="008B0EE6" w:rsidRPr="00461231" w:rsidRDefault="008B0EE6" w:rsidP="00B76755">
            <w:pPr>
              <w:autoSpaceDE w:val="0"/>
              <w:autoSpaceDN w:val="0"/>
              <w:adjustRightInd w:val="0"/>
              <w:rPr>
                <w:color w:val="000000" w:themeColor="text1"/>
                <w:szCs w:val="24"/>
              </w:rPr>
            </w:pPr>
            <w:r w:rsidRPr="00461231">
              <w:rPr>
                <w:color w:val="000000" w:themeColor="text1"/>
                <w:szCs w:val="24"/>
              </w:rPr>
              <w:t>5%</w:t>
            </w:r>
          </w:p>
        </w:tc>
        <w:tc>
          <w:tcPr>
            <w:tcW w:w="1260" w:type="dxa"/>
          </w:tcPr>
          <w:p w:rsidR="008B0EE6" w:rsidRPr="00461231" w:rsidRDefault="008B0EE6" w:rsidP="00B76755">
            <w:r w:rsidRPr="00461231">
              <w:rPr>
                <w:color w:val="000000" w:themeColor="text1"/>
                <w:szCs w:val="24"/>
              </w:rPr>
              <w:t>5%</w:t>
            </w:r>
          </w:p>
        </w:tc>
        <w:tc>
          <w:tcPr>
            <w:tcW w:w="1170" w:type="dxa"/>
          </w:tcPr>
          <w:p w:rsidR="008B0EE6" w:rsidRPr="00461231" w:rsidRDefault="008B0EE6" w:rsidP="00B76755">
            <w:r w:rsidRPr="00461231">
              <w:rPr>
                <w:color w:val="000000" w:themeColor="text1"/>
                <w:szCs w:val="24"/>
              </w:rPr>
              <w:t>5%</w:t>
            </w:r>
          </w:p>
        </w:tc>
      </w:tr>
      <w:tr w:rsidR="008B0EE6" w:rsidRPr="00461231" w:rsidTr="00B76755">
        <w:tc>
          <w:tcPr>
            <w:tcW w:w="4068" w:type="dxa"/>
          </w:tcPr>
          <w:p w:rsidR="008B0EE6" w:rsidRPr="00461231" w:rsidRDefault="008B0EE6" w:rsidP="00B76755">
            <w:pPr>
              <w:autoSpaceDE w:val="0"/>
              <w:autoSpaceDN w:val="0"/>
              <w:adjustRightInd w:val="0"/>
              <w:jc w:val="both"/>
              <w:rPr>
                <w:color w:val="000000" w:themeColor="text1"/>
                <w:szCs w:val="24"/>
              </w:rPr>
            </w:pPr>
            <w:r w:rsidRPr="00461231">
              <w:rPr>
                <w:color w:val="000000" w:themeColor="text1"/>
                <w:szCs w:val="24"/>
              </w:rPr>
              <w:t>Left % &lt; Right</w:t>
            </w:r>
          </w:p>
        </w:tc>
        <w:tc>
          <w:tcPr>
            <w:tcW w:w="810" w:type="dxa"/>
          </w:tcPr>
          <w:p w:rsidR="008B0EE6" w:rsidRPr="00461231" w:rsidRDefault="008B0EE6" w:rsidP="00B76755">
            <w:pPr>
              <w:autoSpaceDE w:val="0"/>
              <w:autoSpaceDN w:val="0"/>
              <w:adjustRightInd w:val="0"/>
              <w:rPr>
                <w:color w:val="000000" w:themeColor="text1"/>
                <w:szCs w:val="24"/>
              </w:rPr>
            </w:pPr>
            <w:r w:rsidRPr="00461231">
              <w:rPr>
                <w:color w:val="000000" w:themeColor="text1"/>
                <w:szCs w:val="24"/>
              </w:rPr>
              <w:t>&lt;68%</w:t>
            </w:r>
          </w:p>
        </w:tc>
        <w:tc>
          <w:tcPr>
            <w:tcW w:w="720" w:type="dxa"/>
          </w:tcPr>
          <w:p w:rsidR="008B0EE6" w:rsidRPr="00461231" w:rsidRDefault="008B0EE6" w:rsidP="00B76755">
            <w:pPr>
              <w:autoSpaceDE w:val="0"/>
              <w:autoSpaceDN w:val="0"/>
              <w:adjustRightInd w:val="0"/>
              <w:rPr>
                <w:color w:val="000000" w:themeColor="text1"/>
                <w:szCs w:val="24"/>
              </w:rPr>
            </w:pPr>
            <w:r w:rsidRPr="00461231">
              <w:rPr>
                <w:color w:val="000000" w:themeColor="text1"/>
                <w:szCs w:val="24"/>
              </w:rPr>
              <w:t>&lt;68%</w:t>
            </w:r>
          </w:p>
        </w:tc>
        <w:tc>
          <w:tcPr>
            <w:tcW w:w="720" w:type="dxa"/>
          </w:tcPr>
          <w:p w:rsidR="008B0EE6" w:rsidRPr="00461231" w:rsidRDefault="008B0EE6" w:rsidP="00B76755">
            <w:pPr>
              <w:autoSpaceDE w:val="0"/>
              <w:autoSpaceDN w:val="0"/>
              <w:adjustRightInd w:val="0"/>
              <w:rPr>
                <w:color w:val="000000" w:themeColor="text1"/>
                <w:szCs w:val="24"/>
              </w:rPr>
            </w:pPr>
            <w:r w:rsidRPr="00461231">
              <w:rPr>
                <w:color w:val="000000" w:themeColor="text1"/>
                <w:szCs w:val="24"/>
              </w:rPr>
              <w:t>&lt;76%</w:t>
            </w:r>
          </w:p>
        </w:tc>
        <w:tc>
          <w:tcPr>
            <w:tcW w:w="720" w:type="dxa"/>
          </w:tcPr>
          <w:p w:rsidR="008B0EE6" w:rsidRPr="00461231" w:rsidRDefault="008B0EE6" w:rsidP="00B76755">
            <w:pPr>
              <w:autoSpaceDE w:val="0"/>
              <w:autoSpaceDN w:val="0"/>
              <w:adjustRightInd w:val="0"/>
              <w:rPr>
                <w:color w:val="000000" w:themeColor="text1"/>
                <w:szCs w:val="24"/>
              </w:rPr>
            </w:pPr>
            <w:r w:rsidRPr="00461231">
              <w:rPr>
                <w:color w:val="000000" w:themeColor="text1"/>
                <w:szCs w:val="24"/>
              </w:rPr>
              <w:t>&lt;51%</w:t>
            </w:r>
          </w:p>
        </w:tc>
        <w:tc>
          <w:tcPr>
            <w:tcW w:w="1260" w:type="dxa"/>
          </w:tcPr>
          <w:p w:rsidR="008B0EE6" w:rsidRPr="00461231" w:rsidRDefault="008B0EE6" w:rsidP="00B76755">
            <w:pPr>
              <w:autoSpaceDE w:val="0"/>
              <w:autoSpaceDN w:val="0"/>
              <w:adjustRightInd w:val="0"/>
              <w:rPr>
                <w:color w:val="000000" w:themeColor="text1"/>
                <w:szCs w:val="24"/>
              </w:rPr>
            </w:pPr>
            <w:r w:rsidRPr="00461231">
              <w:rPr>
                <w:color w:val="000000" w:themeColor="text1"/>
                <w:szCs w:val="24"/>
              </w:rPr>
              <w:t>&lt;62%</w:t>
            </w:r>
          </w:p>
        </w:tc>
        <w:tc>
          <w:tcPr>
            <w:tcW w:w="1170" w:type="dxa"/>
          </w:tcPr>
          <w:p w:rsidR="008B0EE6" w:rsidRPr="00461231" w:rsidRDefault="008B0EE6" w:rsidP="00B76755">
            <w:pPr>
              <w:autoSpaceDE w:val="0"/>
              <w:autoSpaceDN w:val="0"/>
              <w:adjustRightInd w:val="0"/>
              <w:rPr>
                <w:color w:val="000000" w:themeColor="text1"/>
                <w:szCs w:val="24"/>
              </w:rPr>
            </w:pPr>
            <w:r w:rsidRPr="00461231">
              <w:rPr>
                <w:color w:val="000000" w:themeColor="text1"/>
                <w:szCs w:val="24"/>
              </w:rPr>
              <w:t>&lt;64%</w:t>
            </w:r>
          </w:p>
        </w:tc>
      </w:tr>
      <w:tr w:rsidR="00BE287E" w:rsidRPr="00461231" w:rsidTr="00B76755">
        <w:tc>
          <w:tcPr>
            <w:tcW w:w="4068" w:type="dxa"/>
          </w:tcPr>
          <w:p w:rsidR="00BE287E" w:rsidRPr="00461231" w:rsidRDefault="00BE287E" w:rsidP="00B76755">
            <w:pPr>
              <w:autoSpaceDE w:val="0"/>
              <w:autoSpaceDN w:val="0"/>
              <w:adjustRightInd w:val="0"/>
              <w:jc w:val="both"/>
              <w:rPr>
                <w:color w:val="000000" w:themeColor="text1"/>
                <w:szCs w:val="24"/>
              </w:rPr>
            </w:pPr>
            <w:r w:rsidRPr="00461231">
              <w:rPr>
                <w:color w:val="000000" w:themeColor="text1"/>
                <w:szCs w:val="24"/>
              </w:rPr>
              <w:t>Av</w:t>
            </w:r>
            <w:r w:rsidR="00346F81" w:rsidRPr="00461231">
              <w:rPr>
                <w:color w:val="000000" w:themeColor="text1"/>
                <w:szCs w:val="24"/>
              </w:rPr>
              <w:t>era</w:t>
            </w:r>
            <w:r w:rsidRPr="00461231">
              <w:rPr>
                <w:color w:val="000000" w:themeColor="text1"/>
                <w:szCs w:val="24"/>
              </w:rPr>
              <w:t>g</w:t>
            </w:r>
            <w:r w:rsidR="00346F81" w:rsidRPr="00461231">
              <w:rPr>
                <w:color w:val="000000" w:themeColor="text1"/>
                <w:szCs w:val="24"/>
              </w:rPr>
              <w:t>e</w:t>
            </w:r>
            <w:r w:rsidRPr="00461231">
              <w:rPr>
                <w:color w:val="000000" w:themeColor="text1"/>
                <w:szCs w:val="24"/>
              </w:rPr>
              <w:t xml:space="preserve"> 35%</w:t>
            </w:r>
          </w:p>
        </w:tc>
        <w:tc>
          <w:tcPr>
            <w:tcW w:w="810" w:type="dxa"/>
          </w:tcPr>
          <w:p w:rsidR="00BE287E" w:rsidRPr="00461231" w:rsidRDefault="00BE287E" w:rsidP="00B76755">
            <w:pPr>
              <w:autoSpaceDE w:val="0"/>
              <w:autoSpaceDN w:val="0"/>
              <w:adjustRightInd w:val="0"/>
              <w:rPr>
                <w:color w:val="000000" w:themeColor="text1"/>
                <w:szCs w:val="24"/>
              </w:rPr>
            </w:pPr>
            <w:r w:rsidRPr="00461231">
              <w:rPr>
                <w:color w:val="000000" w:themeColor="text1"/>
                <w:szCs w:val="24"/>
              </w:rPr>
              <w:t>31%</w:t>
            </w:r>
          </w:p>
        </w:tc>
        <w:tc>
          <w:tcPr>
            <w:tcW w:w="720" w:type="dxa"/>
          </w:tcPr>
          <w:p w:rsidR="00BE287E" w:rsidRPr="00461231" w:rsidRDefault="00BE287E" w:rsidP="00B76755">
            <w:pPr>
              <w:autoSpaceDE w:val="0"/>
              <w:autoSpaceDN w:val="0"/>
              <w:adjustRightInd w:val="0"/>
              <w:rPr>
                <w:color w:val="000000" w:themeColor="text1"/>
                <w:szCs w:val="24"/>
              </w:rPr>
            </w:pPr>
            <w:r w:rsidRPr="00461231">
              <w:rPr>
                <w:color w:val="000000" w:themeColor="text1"/>
                <w:szCs w:val="24"/>
              </w:rPr>
              <w:t>32%</w:t>
            </w:r>
          </w:p>
        </w:tc>
        <w:tc>
          <w:tcPr>
            <w:tcW w:w="720" w:type="dxa"/>
          </w:tcPr>
          <w:p w:rsidR="00BE287E" w:rsidRPr="00461231" w:rsidRDefault="00BE287E" w:rsidP="00B76755">
            <w:pPr>
              <w:autoSpaceDE w:val="0"/>
              <w:autoSpaceDN w:val="0"/>
              <w:adjustRightInd w:val="0"/>
              <w:rPr>
                <w:color w:val="000000" w:themeColor="text1"/>
                <w:szCs w:val="24"/>
              </w:rPr>
            </w:pPr>
            <w:r w:rsidRPr="00461231">
              <w:rPr>
                <w:color w:val="000000" w:themeColor="text1"/>
                <w:szCs w:val="24"/>
              </w:rPr>
              <w:t>24%</w:t>
            </w:r>
          </w:p>
        </w:tc>
        <w:tc>
          <w:tcPr>
            <w:tcW w:w="720" w:type="dxa"/>
          </w:tcPr>
          <w:p w:rsidR="00BE287E" w:rsidRPr="00461231" w:rsidRDefault="00BE287E" w:rsidP="00B76755">
            <w:pPr>
              <w:autoSpaceDE w:val="0"/>
              <w:autoSpaceDN w:val="0"/>
              <w:adjustRightInd w:val="0"/>
              <w:rPr>
                <w:color w:val="000000" w:themeColor="text1"/>
                <w:szCs w:val="24"/>
              </w:rPr>
            </w:pPr>
            <w:r w:rsidRPr="00461231">
              <w:rPr>
                <w:color w:val="000000" w:themeColor="text1"/>
                <w:szCs w:val="24"/>
              </w:rPr>
              <w:t>49%</w:t>
            </w:r>
          </w:p>
        </w:tc>
        <w:tc>
          <w:tcPr>
            <w:tcW w:w="1260" w:type="dxa"/>
          </w:tcPr>
          <w:p w:rsidR="00BE287E" w:rsidRPr="00461231" w:rsidRDefault="00BE287E" w:rsidP="00B76755">
            <w:pPr>
              <w:autoSpaceDE w:val="0"/>
              <w:autoSpaceDN w:val="0"/>
              <w:adjustRightInd w:val="0"/>
              <w:rPr>
                <w:color w:val="000000" w:themeColor="text1"/>
                <w:szCs w:val="24"/>
              </w:rPr>
            </w:pPr>
            <w:r w:rsidRPr="00461231">
              <w:rPr>
                <w:color w:val="000000" w:themeColor="text1"/>
                <w:szCs w:val="24"/>
              </w:rPr>
              <w:t>38%</w:t>
            </w:r>
          </w:p>
        </w:tc>
        <w:tc>
          <w:tcPr>
            <w:tcW w:w="1170" w:type="dxa"/>
          </w:tcPr>
          <w:p w:rsidR="00BE287E" w:rsidRPr="00461231" w:rsidRDefault="00BE287E" w:rsidP="00B76755">
            <w:pPr>
              <w:autoSpaceDE w:val="0"/>
              <w:autoSpaceDN w:val="0"/>
              <w:adjustRightInd w:val="0"/>
              <w:rPr>
                <w:color w:val="000000" w:themeColor="text1"/>
                <w:szCs w:val="24"/>
              </w:rPr>
            </w:pPr>
            <w:r w:rsidRPr="00461231">
              <w:rPr>
                <w:color w:val="000000" w:themeColor="text1"/>
                <w:szCs w:val="24"/>
              </w:rPr>
              <w:t>36%</w:t>
            </w:r>
          </w:p>
        </w:tc>
      </w:tr>
    </w:tbl>
    <w:p w:rsidR="005F578E" w:rsidRPr="00461231" w:rsidRDefault="005F578E" w:rsidP="00BD55F0">
      <w:pPr>
        <w:autoSpaceDE w:val="0"/>
        <w:autoSpaceDN w:val="0"/>
        <w:adjustRightInd w:val="0"/>
        <w:jc w:val="both"/>
        <w:rPr>
          <w:rFonts w:cs="Times New Roman"/>
          <w:color w:val="000000" w:themeColor="text1"/>
          <w:szCs w:val="24"/>
        </w:rPr>
      </w:pPr>
    </w:p>
    <w:p w:rsidR="001565A9" w:rsidRDefault="003D533C" w:rsidP="001565A9">
      <w:pPr>
        <w:autoSpaceDE w:val="0"/>
        <w:autoSpaceDN w:val="0"/>
        <w:adjustRightInd w:val="0"/>
        <w:jc w:val="both"/>
        <w:rPr>
          <w:rFonts w:cs="Times New Roman"/>
          <w:color w:val="000000" w:themeColor="text1"/>
          <w:szCs w:val="24"/>
        </w:rPr>
      </w:pPr>
      <w:r w:rsidRPr="00461231">
        <w:rPr>
          <w:rFonts w:cs="Times New Roman"/>
          <w:color w:val="000000" w:themeColor="text1"/>
          <w:szCs w:val="24"/>
        </w:rPr>
        <w:t xml:space="preserve">A repeat </w:t>
      </w:r>
      <w:r w:rsidR="005F578E" w:rsidRPr="00461231">
        <w:rPr>
          <w:rFonts w:cs="Times New Roman"/>
          <w:color w:val="000000" w:themeColor="text1"/>
          <w:szCs w:val="24"/>
        </w:rPr>
        <w:t xml:space="preserve">Cervical MRI </w:t>
      </w:r>
      <w:r w:rsidRPr="00461231">
        <w:rPr>
          <w:rFonts w:cs="Times New Roman"/>
          <w:color w:val="000000" w:themeColor="text1"/>
          <w:szCs w:val="24"/>
        </w:rPr>
        <w:t xml:space="preserve">was completed </w:t>
      </w:r>
      <w:r w:rsidR="00BD7ECC">
        <w:rPr>
          <w:rFonts w:cs="Times New Roman"/>
          <w:color w:val="000000" w:themeColor="text1"/>
          <w:szCs w:val="24"/>
        </w:rPr>
        <w:t>9 February 2004</w:t>
      </w:r>
      <w:r w:rsidR="005F578E" w:rsidRPr="00461231">
        <w:rPr>
          <w:rFonts w:cs="Times New Roman"/>
          <w:color w:val="000000" w:themeColor="text1"/>
          <w:szCs w:val="24"/>
        </w:rPr>
        <w:t xml:space="preserve"> (20 days prior to separation): </w:t>
      </w:r>
      <w:r w:rsidR="001565A9" w:rsidRPr="00461231">
        <w:rPr>
          <w:rFonts w:cs="Times New Roman"/>
          <w:color w:val="000000" w:themeColor="text1"/>
          <w:szCs w:val="24"/>
        </w:rPr>
        <w:t xml:space="preserve"> </w:t>
      </w:r>
    </w:p>
    <w:p w:rsidR="005F578E" w:rsidRPr="00461231" w:rsidRDefault="001565A9" w:rsidP="001565A9">
      <w:pPr>
        <w:autoSpaceDE w:val="0"/>
        <w:autoSpaceDN w:val="0"/>
        <w:adjustRightInd w:val="0"/>
        <w:jc w:val="both"/>
        <w:rPr>
          <w:rFonts w:cs="Times New Roman"/>
          <w:color w:val="000000" w:themeColor="text1"/>
          <w:szCs w:val="24"/>
        </w:rPr>
      </w:pPr>
      <w:r w:rsidRPr="00461231">
        <w:rPr>
          <w:rFonts w:cs="Times New Roman"/>
          <w:color w:val="000000" w:themeColor="text1"/>
          <w:szCs w:val="24"/>
        </w:rPr>
        <w:t>Impression:  Spinal stenosis identified from C3 down through C6, caused by combination of spondylosis and degenerative changes. No disc herniation identified. Edema in the cord noted.</w:t>
      </w:r>
    </w:p>
    <w:p w:rsidR="001565A9" w:rsidRPr="00461231" w:rsidRDefault="001565A9" w:rsidP="001565A9">
      <w:pPr>
        <w:autoSpaceDE w:val="0"/>
        <w:autoSpaceDN w:val="0"/>
        <w:adjustRightInd w:val="0"/>
        <w:jc w:val="both"/>
        <w:rPr>
          <w:rFonts w:cs="Times New Roman"/>
          <w:color w:val="000000" w:themeColor="text1"/>
          <w:szCs w:val="24"/>
        </w:rPr>
      </w:pPr>
      <w:r w:rsidRPr="00461231">
        <w:rPr>
          <w:rFonts w:cs="Times New Roman"/>
          <w:color w:val="000000" w:themeColor="text1"/>
          <w:szCs w:val="24"/>
        </w:rPr>
        <w:t xml:space="preserve">The posterior </w:t>
      </w:r>
      <w:proofErr w:type="spellStart"/>
      <w:r w:rsidRPr="00461231">
        <w:rPr>
          <w:rFonts w:cs="Times New Roman"/>
          <w:color w:val="000000" w:themeColor="text1"/>
          <w:szCs w:val="24"/>
        </w:rPr>
        <w:t>fossa</w:t>
      </w:r>
      <w:proofErr w:type="spellEnd"/>
      <w:r w:rsidRPr="00461231">
        <w:rPr>
          <w:rFonts w:cs="Times New Roman"/>
          <w:color w:val="000000" w:themeColor="text1"/>
          <w:szCs w:val="24"/>
        </w:rPr>
        <w:t xml:space="preserve"> structures are within normal limits. </w:t>
      </w:r>
      <w:r w:rsidR="0017299E">
        <w:rPr>
          <w:rFonts w:cs="Times New Roman"/>
          <w:color w:val="000000" w:themeColor="text1"/>
          <w:szCs w:val="24"/>
        </w:rPr>
        <w:t xml:space="preserve"> </w:t>
      </w:r>
      <w:r w:rsidRPr="00461231">
        <w:rPr>
          <w:rFonts w:cs="Times New Roman"/>
          <w:color w:val="000000" w:themeColor="text1"/>
          <w:szCs w:val="24"/>
        </w:rPr>
        <w:t xml:space="preserve">The spine demonstrates some increased signal in the area between C3 and C7, consistent with edema. </w:t>
      </w:r>
      <w:r w:rsidR="0017299E">
        <w:rPr>
          <w:rFonts w:cs="Times New Roman"/>
          <w:color w:val="000000" w:themeColor="text1"/>
          <w:szCs w:val="24"/>
        </w:rPr>
        <w:t xml:space="preserve"> </w:t>
      </w:r>
      <w:r w:rsidRPr="00461231">
        <w:rPr>
          <w:rFonts w:cs="Times New Roman"/>
          <w:color w:val="000000" w:themeColor="text1"/>
          <w:szCs w:val="24"/>
        </w:rPr>
        <w:t xml:space="preserve">No </w:t>
      </w:r>
      <w:proofErr w:type="spellStart"/>
      <w:r w:rsidRPr="00461231">
        <w:rPr>
          <w:rFonts w:cs="Times New Roman"/>
          <w:color w:val="000000" w:themeColor="text1"/>
          <w:szCs w:val="24"/>
        </w:rPr>
        <w:t>syrinx</w:t>
      </w:r>
      <w:proofErr w:type="spellEnd"/>
      <w:r w:rsidRPr="00461231">
        <w:rPr>
          <w:rFonts w:cs="Times New Roman"/>
          <w:color w:val="000000" w:themeColor="text1"/>
          <w:szCs w:val="24"/>
        </w:rPr>
        <w:t xml:space="preserve"> or masses are seen. The</w:t>
      </w:r>
      <w:r w:rsidR="0017299E">
        <w:rPr>
          <w:rFonts w:cs="Times New Roman"/>
          <w:color w:val="000000" w:themeColor="text1"/>
          <w:szCs w:val="24"/>
        </w:rPr>
        <w:t xml:space="preserve"> </w:t>
      </w:r>
      <w:r w:rsidRPr="00461231">
        <w:rPr>
          <w:rFonts w:cs="Times New Roman"/>
          <w:color w:val="000000" w:themeColor="text1"/>
          <w:szCs w:val="24"/>
        </w:rPr>
        <w:t>vertebral bodies show mild degenerative changes with disc desiccation at multiple levels.</w:t>
      </w:r>
      <w:r w:rsidR="0017299E">
        <w:rPr>
          <w:rFonts w:cs="Times New Roman"/>
          <w:color w:val="000000" w:themeColor="text1"/>
          <w:szCs w:val="24"/>
        </w:rPr>
        <w:t xml:space="preserve">  </w:t>
      </w:r>
      <w:r w:rsidRPr="00461231">
        <w:rPr>
          <w:rFonts w:cs="Times New Roman"/>
          <w:color w:val="000000" w:themeColor="text1"/>
          <w:szCs w:val="24"/>
        </w:rPr>
        <w:t>On the axial images, the following is seen:</w:t>
      </w:r>
    </w:p>
    <w:p w:rsidR="001565A9" w:rsidRPr="00461231" w:rsidRDefault="001565A9" w:rsidP="001565A9">
      <w:pPr>
        <w:autoSpaceDE w:val="0"/>
        <w:autoSpaceDN w:val="0"/>
        <w:adjustRightInd w:val="0"/>
        <w:jc w:val="both"/>
        <w:rPr>
          <w:rFonts w:cs="Times New Roman"/>
          <w:color w:val="000000" w:themeColor="text1"/>
          <w:szCs w:val="24"/>
        </w:rPr>
      </w:pPr>
      <w:r w:rsidRPr="00461231">
        <w:rPr>
          <w:rFonts w:cs="Times New Roman"/>
          <w:color w:val="000000" w:themeColor="text1"/>
          <w:szCs w:val="24"/>
        </w:rPr>
        <w:t xml:space="preserve">C2-C3:  Spondylosis but without significant impingement on the neural foraminal or central canal. </w:t>
      </w:r>
      <w:r w:rsidR="0017299E">
        <w:rPr>
          <w:rFonts w:cs="Times New Roman"/>
          <w:color w:val="000000" w:themeColor="text1"/>
          <w:szCs w:val="24"/>
        </w:rPr>
        <w:t xml:space="preserve"> </w:t>
      </w:r>
      <w:proofErr w:type="gramStart"/>
      <w:r w:rsidRPr="00461231">
        <w:rPr>
          <w:rFonts w:cs="Times New Roman"/>
          <w:color w:val="000000" w:themeColor="text1"/>
          <w:szCs w:val="24"/>
        </w:rPr>
        <w:t>Mild facet degeneration.</w:t>
      </w:r>
      <w:proofErr w:type="gramEnd"/>
    </w:p>
    <w:p w:rsidR="001565A9" w:rsidRPr="00461231" w:rsidRDefault="001565A9" w:rsidP="001565A9">
      <w:pPr>
        <w:autoSpaceDE w:val="0"/>
        <w:autoSpaceDN w:val="0"/>
        <w:adjustRightInd w:val="0"/>
        <w:jc w:val="both"/>
        <w:rPr>
          <w:rFonts w:cs="Times New Roman"/>
          <w:color w:val="000000" w:themeColor="text1"/>
          <w:szCs w:val="24"/>
        </w:rPr>
      </w:pPr>
      <w:r w:rsidRPr="00461231">
        <w:rPr>
          <w:rFonts w:cs="Times New Roman"/>
          <w:color w:val="000000" w:themeColor="text1"/>
          <w:szCs w:val="24"/>
        </w:rPr>
        <w:t xml:space="preserve">C3-C4:  Spondylosis with degenerative changes of the facets. </w:t>
      </w:r>
      <w:r w:rsidR="0017299E">
        <w:rPr>
          <w:rFonts w:cs="Times New Roman"/>
          <w:color w:val="000000" w:themeColor="text1"/>
          <w:szCs w:val="24"/>
        </w:rPr>
        <w:t xml:space="preserve"> </w:t>
      </w:r>
      <w:r w:rsidRPr="00461231">
        <w:rPr>
          <w:rFonts w:cs="Times New Roman"/>
          <w:color w:val="000000" w:themeColor="text1"/>
          <w:szCs w:val="24"/>
        </w:rPr>
        <w:t xml:space="preserve">Impingement on the neural foramina bilaterally, left worse than right. </w:t>
      </w:r>
      <w:r w:rsidR="0017299E">
        <w:rPr>
          <w:rFonts w:cs="Times New Roman"/>
          <w:color w:val="000000" w:themeColor="text1"/>
          <w:szCs w:val="24"/>
        </w:rPr>
        <w:t xml:space="preserve"> </w:t>
      </w:r>
      <w:proofErr w:type="gramStart"/>
      <w:r w:rsidRPr="00461231">
        <w:rPr>
          <w:rFonts w:cs="Times New Roman"/>
          <w:color w:val="000000" w:themeColor="text1"/>
          <w:szCs w:val="24"/>
        </w:rPr>
        <w:t>Narrowing of the spinal canal to 1 cm.</w:t>
      </w:r>
      <w:proofErr w:type="gramEnd"/>
      <w:r w:rsidRPr="00461231">
        <w:rPr>
          <w:rFonts w:cs="Times New Roman"/>
          <w:color w:val="000000" w:themeColor="text1"/>
          <w:szCs w:val="24"/>
        </w:rPr>
        <w:t xml:space="preserve"> </w:t>
      </w:r>
      <w:r w:rsidR="0017299E">
        <w:rPr>
          <w:rFonts w:cs="Times New Roman"/>
          <w:color w:val="000000" w:themeColor="text1"/>
          <w:szCs w:val="24"/>
        </w:rPr>
        <w:t xml:space="preserve"> </w:t>
      </w:r>
      <w:r w:rsidRPr="00461231">
        <w:rPr>
          <w:rFonts w:cs="Times New Roman"/>
          <w:color w:val="000000" w:themeColor="text1"/>
          <w:szCs w:val="24"/>
        </w:rPr>
        <w:t>A bony spur is noted protruding from the disc space and impinging on the spinal canal inferiorly. Increased signal is identified within the spinal cord consistent with edema.</w:t>
      </w:r>
    </w:p>
    <w:p w:rsidR="001565A9" w:rsidRPr="00461231" w:rsidRDefault="001565A9" w:rsidP="001565A9">
      <w:pPr>
        <w:autoSpaceDE w:val="0"/>
        <w:autoSpaceDN w:val="0"/>
        <w:adjustRightInd w:val="0"/>
        <w:jc w:val="both"/>
        <w:rPr>
          <w:rFonts w:cs="Times New Roman"/>
          <w:color w:val="000000" w:themeColor="text1"/>
          <w:szCs w:val="24"/>
        </w:rPr>
      </w:pPr>
      <w:r w:rsidRPr="00461231">
        <w:rPr>
          <w:rFonts w:cs="Times New Roman"/>
          <w:color w:val="000000" w:themeColor="text1"/>
          <w:szCs w:val="24"/>
        </w:rPr>
        <w:lastRenderedPageBreak/>
        <w:t xml:space="preserve">C4-C5:  Spondylosis with significant impingement on the neural foraminal bilaterally, right worse than left. </w:t>
      </w:r>
      <w:r w:rsidR="00A9390D">
        <w:rPr>
          <w:rFonts w:cs="Times New Roman"/>
          <w:color w:val="000000" w:themeColor="text1"/>
          <w:szCs w:val="24"/>
        </w:rPr>
        <w:t xml:space="preserve"> </w:t>
      </w:r>
      <w:r w:rsidRPr="00461231">
        <w:rPr>
          <w:rFonts w:cs="Times New Roman"/>
          <w:color w:val="000000" w:themeColor="text1"/>
          <w:szCs w:val="24"/>
        </w:rPr>
        <w:t>Significant narrowing of the central canal noted consistent with spinal stenosis.</w:t>
      </w:r>
    </w:p>
    <w:p w:rsidR="001565A9" w:rsidRPr="00461231" w:rsidRDefault="001565A9" w:rsidP="001565A9">
      <w:pPr>
        <w:autoSpaceDE w:val="0"/>
        <w:autoSpaceDN w:val="0"/>
        <w:adjustRightInd w:val="0"/>
        <w:jc w:val="both"/>
        <w:rPr>
          <w:rFonts w:cs="Times New Roman"/>
          <w:color w:val="000000" w:themeColor="text1"/>
          <w:szCs w:val="24"/>
        </w:rPr>
      </w:pPr>
      <w:r w:rsidRPr="00461231">
        <w:rPr>
          <w:rFonts w:cs="Times New Roman"/>
          <w:color w:val="000000" w:themeColor="text1"/>
          <w:szCs w:val="24"/>
        </w:rPr>
        <w:t xml:space="preserve">C5-C6: Spondylosis is noted with severe narrowing of the spinal canal. </w:t>
      </w:r>
      <w:r w:rsidR="00A9390D">
        <w:rPr>
          <w:rFonts w:cs="Times New Roman"/>
          <w:color w:val="000000" w:themeColor="text1"/>
          <w:szCs w:val="24"/>
        </w:rPr>
        <w:t xml:space="preserve"> </w:t>
      </w:r>
      <w:proofErr w:type="spellStart"/>
      <w:r w:rsidRPr="00461231">
        <w:rPr>
          <w:rFonts w:cs="Times New Roman"/>
          <w:color w:val="000000" w:themeColor="text1"/>
          <w:szCs w:val="24"/>
        </w:rPr>
        <w:t>Uncovertebral</w:t>
      </w:r>
      <w:proofErr w:type="spellEnd"/>
      <w:r w:rsidRPr="00461231">
        <w:rPr>
          <w:rFonts w:cs="Times New Roman"/>
          <w:color w:val="000000" w:themeColor="text1"/>
          <w:szCs w:val="24"/>
        </w:rPr>
        <w:t xml:space="preserve"> joint degeneration and facet degeneration also present with impingement on the neural foramina bilaterally.</w:t>
      </w:r>
    </w:p>
    <w:p w:rsidR="001565A9" w:rsidRPr="00461231" w:rsidRDefault="001565A9" w:rsidP="001565A9">
      <w:pPr>
        <w:autoSpaceDE w:val="0"/>
        <w:autoSpaceDN w:val="0"/>
        <w:adjustRightInd w:val="0"/>
        <w:jc w:val="both"/>
        <w:rPr>
          <w:rFonts w:cs="Times New Roman"/>
          <w:color w:val="000000" w:themeColor="text1"/>
          <w:szCs w:val="24"/>
        </w:rPr>
      </w:pPr>
      <w:r w:rsidRPr="00461231">
        <w:rPr>
          <w:rFonts w:cs="Times New Roman"/>
          <w:color w:val="000000" w:themeColor="text1"/>
          <w:szCs w:val="24"/>
        </w:rPr>
        <w:t xml:space="preserve">C6-C7: Spondylosis with degenerative changes with impingement on the neural foramina bilaterally. </w:t>
      </w:r>
      <w:r w:rsidR="00A9390D">
        <w:rPr>
          <w:rFonts w:cs="Times New Roman"/>
          <w:color w:val="000000" w:themeColor="text1"/>
          <w:szCs w:val="24"/>
        </w:rPr>
        <w:t xml:space="preserve"> </w:t>
      </w:r>
      <w:proofErr w:type="gramStart"/>
      <w:r w:rsidRPr="00461231">
        <w:rPr>
          <w:rFonts w:cs="Times New Roman"/>
          <w:color w:val="000000" w:themeColor="text1"/>
          <w:szCs w:val="24"/>
        </w:rPr>
        <w:t>Significant narrowing to the central canal consistent with stenosis.</w:t>
      </w:r>
      <w:proofErr w:type="gramEnd"/>
    </w:p>
    <w:p w:rsidR="001565A9" w:rsidRPr="00461231" w:rsidRDefault="001565A9" w:rsidP="001565A9">
      <w:pPr>
        <w:autoSpaceDE w:val="0"/>
        <w:autoSpaceDN w:val="0"/>
        <w:adjustRightInd w:val="0"/>
        <w:jc w:val="both"/>
        <w:rPr>
          <w:rFonts w:cs="Times New Roman"/>
          <w:color w:val="000000" w:themeColor="text1"/>
          <w:szCs w:val="24"/>
        </w:rPr>
      </w:pPr>
      <w:r w:rsidRPr="00461231">
        <w:rPr>
          <w:rFonts w:cs="Times New Roman"/>
          <w:color w:val="000000" w:themeColor="text1"/>
          <w:szCs w:val="24"/>
        </w:rPr>
        <w:t>C7-T1: Mild degenerative changes but without significant impingement on the neural foramina. Central canal is patent</w:t>
      </w:r>
    </w:p>
    <w:p w:rsidR="00720D87" w:rsidRPr="00461231" w:rsidRDefault="00720D87" w:rsidP="00BD55F0">
      <w:pPr>
        <w:autoSpaceDE w:val="0"/>
        <w:autoSpaceDN w:val="0"/>
        <w:adjustRightInd w:val="0"/>
        <w:jc w:val="both"/>
        <w:rPr>
          <w:rFonts w:cs="Times New Roman"/>
          <w:color w:val="000000" w:themeColor="text1"/>
          <w:szCs w:val="24"/>
        </w:rPr>
      </w:pPr>
    </w:p>
    <w:p w:rsidR="005F578E" w:rsidRPr="00461231" w:rsidRDefault="004A3A1E" w:rsidP="00BD55F0">
      <w:pPr>
        <w:autoSpaceDE w:val="0"/>
        <w:autoSpaceDN w:val="0"/>
        <w:adjustRightInd w:val="0"/>
        <w:jc w:val="both"/>
        <w:rPr>
          <w:rFonts w:cs="Times New Roman"/>
          <w:color w:val="000000" w:themeColor="text1"/>
          <w:szCs w:val="24"/>
        </w:rPr>
      </w:pPr>
      <w:r w:rsidRPr="00461231">
        <w:rPr>
          <w:rFonts w:cs="Times New Roman"/>
          <w:color w:val="000000" w:themeColor="text1"/>
          <w:szCs w:val="24"/>
        </w:rPr>
        <w:t xml:space="preserve">The </w:t>
      </w:r>
      <w:r w:rsidR="003D533C" w:rsidRPr="00461231">
        <w:rPr>
          <w:rFonts w:cs="Times New Roman"/>
          <w:color w:val="000000" w:themeColor="text1"/>
          <w:szCs w:val="24"/>
        </w:rPr>
        <w:t xml:space="preserve">VA </w:t>
      </w:r>
      <w:r w:rsidRPr="00461231">
        <w:rPr>
          <w:rFonts w:cs="Times New Roman"/>
          <w:color w:val="000000" w:themeColor="text1"/>
          <w:szCs w:val="24"/>
        </w:rPr>
        <w:t xml:space="preserve">C&amp;P </w:t>
      </w:r>
      <w:r w:rsidR="003D533C" w:rsidRPr="00461231">
        <w:rPr>
          <w:rFonts w:cs="Times New Roman"/>
          <w:color w:val="000000" w:themeColor="text1"/>
          <w:szCs w:val="24"/>
        </w:rPr>
        <w:t xml:space="preserve">completed on </w:t>
      </w:r>
      <w:r w:rsidR="00A9390D">
        <w:rPr>
          <w:rFonts w:cs="Times New Roman"/>
          <w:color w:val="000000" w:themeColor="text1"/>
          <w:szCs w:val="24"/>
        </w:rPr>
        <w:t xml:space="preserve">17 February </w:t>
      </w:r>
      <w:r w:rsidR="005F578E" w:rsidRPr="00461231">
        <w:rPr>
          <w:rFonts w:cs="Times New Roman"/>
          <w:color w:val="000000" w:themeColor="text1"/>
          <w:szCs w:val="24"/>
        </w:rPr>
        <w:t xml:space="preserve">2004, </w:t>
      </w:r>
      <w:r w:rsidR="003D533C" w:rsidRPr="00461231">
        <w:rPr>
          <w:rFonts w:cs="Times New Roman"/>
          <w:color w:val="000000" w:themeColor="text1"/>
          <w:szCs w:val="24"/>
        </w:rPr>
        <w:t>(</w:t>
      </w:r>
      <w:r w:rsidR="005F578E" w:rsidRPr="00461231">
        <w:rPr>
          <w:rFonts w:cs="Times New Roman"/>
          <w:color w:val="000000" w:themeColor="text1"/>
          <w:szCs w:val="24"/>
        </w:rPr>
        <w:t xml:space="preserve">12 days prior to separation) </w:t>
      </w:r>
      <w:r w:rsidRPr="00461231">
        <w:rPr>
          <w:rFonts w:cs="Times New Roman"/>
          <w:color w:val="000000" w:themeColor="text1"/>
          <w:szCs w:val="24"/>
        </w:rPr>
        <w:t xml:space="preserve">revealed </w:t>
      </w:r>
      <w:r w:rsidR="00543D43" w:rsidRPr="00461231">
        <w:rPr>
          <w:rFonts w:cs="Times New Roman"/>
          <w:color w:val="000000" w:themeColor="text1"/>
          <w:szCs w:val="24"/>
        </w:rPr>
        <w:t>the CI had cervical spin</w:t>
      </w:r>
      <w:r w:rsidR="003D533C" w:rsidRPr="00461231">
        <w:rPr>
          <w:rFonts w:cs="Times New Roman"/>
          <w:color w:val="000000" w:themeColor="text1"/>
          <w:szCs w:val="24"/>
        </w:rPr>
        <w:t>al</w:t>
      </w:r>
      <w:r w:rsidR="0052640F" w:rsidRPr="00461231">
        <w:rPr>
          <w:rFonts w:cs="Times New Roman"/>
          <w:color w:val="000000" w:themeColor="text1"/>
          <w:szCs w:val="24"/>
        </w:rPr>
        <w:t xml:space="preserve"> stenosis diagnosed in 1997. </w:t>
      </w:r>
      <w:r w:rsidR="00A9390D">
        <w:rPr>
          <w:rFonts w:cs="Times New Roman"/>
          <w:color w:val="000000" w:themeColor="text1"/>
          <w:szCs w:val="24"/>
        </w:rPr>
        <w:t xml:space="preserve"> </w:t>
      </w:r>
      <w:r w:rsidR="00543D43" w:rsidRPr="00461231">
        <w:rPr>
          <w:rFonts w:cs="Times New Roman"/>
          <w:color w:val="000000" w:themeColor="text1"/>
          <w:szCs w:val="24"/>
        </w:rPr>
        <w:t xml:space="preserve">He complained of pain from his neck radiating into both hands. </w:t>
      </w:r>
      <w:r w:rsidR="00A9390D">
        <w:rPr>
          <w:rFonts w:cs="Times New Roman"/>
          <w:color w:val="000000" w:themeColor="text1"/>
          <w:szCs w:val="24"/>
        </w:rPr>
        <w:t xml:space="preserve"> </w:t>
      </w:r>
      <w:r w:rsidR="00543D43" w:rsidRPr="00461231">
        <w:rPr>
          <w:rFonts w:cs="Times New Roman"/>
          <w:color w:val="000000" w:themeColor="text1"/>
          <w:szCs w:val="24"/>
        </w:rPr>
        <w:t xml:space="preserve">He described the pain as aching, sticking, squeezing, pressing, cramping, sharp, burning, and stressful and rated it as an 8/10.  Pain was elicited with physical activity, stress and daily work as well as coming by itself.  It was alleviated with rest. </w:t>
      </w:r>
      <w:r w:rsidR="00A9390D">
        <w:rPr>
          <w:rFonts w:cs="Times New Roman"/>
          <w:color w:val="000000" w:themeColor="text1"/>
          <w:szCs w:val="24"/>
        </w:rPr>
        <w:t xml:space="preserve"> </w:t>
      </w:r>
      <w:r w:rsidR="00543D43" w:rsidRPr="00461231">
        <w:rPr>
          <w:rFonts w:cs="Times New Roman"/>
          <w:color w:val="000000" w:themeColor="text1"/>
          <w:szCs w:val="24"/>
        </w:rPr>
        <w:t xml:space="preserve">He could function without medications.  He did not require bed rest. </w:t>
      </w:r>
      <w:r w:rsidR="00A9390D">
        <w:rPr>
          <w:rFonts w:cs="Times New Roman"/>
          <w:color w:val="000000" w:themeColor="text1"/>
          <w:szCs w:val="24"/>
        </w:rPr>
        <w:t xml:space="preserve"> </w:t>
      </w:r>
      <w:r w:rsidR="00543D43" w:rsidRPr="00461231">
        <w:rPr>
          <w:rFonts w:cs="Times New Roman"/>
          <w:color w:val="000000" w:themeColor="text1"/>
          <w:szCs w:val="24"/>
        </w:rPr>
        <w:t xml:space="preserve">He did cite functional impairment because he stated he had lost use of his left arm. </w:t>
      </w:r>
      <w:r w:rsidR="00A9390D">
        <w:rPr>
          <w:rFonts w:cs="Times New Roman"/>
          <w:color w:val="000000" w:themeColor="text1"/>
          <w:szCs w:val="24"/>
        </w:rPr>
        <w:t xml:space="preserve"> </w:t>
      </w:r>
      <w:r w:rsidR="00543D43" w:rsidRPr="00461231">
        <w:rPr>
          <w:rFonts w:cs="Times New Roman"/>
          <w:color w:val="000000" w:themeColor="text1"/>
          <w:szCs w:val="24"/>
        </w:rPr>
        <w:t xml:space="preserve">He stated he had multiple days missed from work “on and off” for </w:t>
      </w:r>
      <w:r w:rsidR="003D533C" w:rsidRPr="00461231">
        <w:rPr>
          <w:rFonts w:cs="Times New Roman"/>
          <w:color w:val="000000" w:themeColor="text1"/>
          <w:szCs w:val="24"/>
        </w:rPr>
        <w:t>seven</w:t>
      </w:r>
      <w:r w:rsidR="00543D43" w:rsidRPr="00461231">
        <w:rPr>
          <w:rFonts w:cs="Times New Roman"/>
          <w:color w:val="000000" w:themeColor="text1"/>
          <w:szCs w:val="24"/>
        </w:rPr>
        <w:t xml:space="preserve"> years, but did not quantify. </w:t>
      </w:r>
      <w:r w:rsidR="00A9390D">
        <w:rPr>
          <w:rFonts w:cs="Times New Roman"/>
          <w:color w:val="000000" w:themeColor="text1"/>
          <w:szCs w:val="24"/>
        </w:rPr>
        <w:t xml:space="preserve"> </w:t>
      </w:r>
      <w:r w:rsidR="003D533C" w:rsidRPr="00461231">
        <w:rPr>
          <w:rFonts w:cs="Times New Roman"/>
          <w:color w:val="000000" w:themeColor="text1"/>
          <w:szCs w:val="24"/>
        </w:rPr>
        <w:t>On physical examination the n</w:t>
      </w:r>
      <w:r w:rsidR="00543D43" w:rsidRPr="00461231">
        <w:rPr>
          <w:rFonts w:cs="Times New Roman"/>
          <w:color w:val="000000" w:themeColor="text1"/>
          <w:szCs w:val="24"/>
        </w:rPr>
        <w:t>eck appeared supple, without jugular venous distention or thyromegaly</w:t>
      </w:r>
      <w:r w:rsidR="00683857" w:rsidRPr="00461231">
        <w:rPr>
          <w:rFonts w:cs="Times New Roman"/>
          <w:color w:val="000000" w:themeColor="text1"/>
          <w:szCs w:val="24"/>
        </w:rPr>
        <w:t xml:space="preserve">. </w:t>
      </w:r>
      <w:r w:rsidR="00A9390D">
        <w:rPr>
          <w:rFonts w:cs="Times New Roman"/>
          <w:color w:val="000000" w:themeColor="text1"/>
          <w:szCs w:val="24"/>
        </w:rPr>
        <w:t xml:space="preserve"> </w:t>
      </w:r>
      <w:r w:rsidR="003D533C" w:rsidRPr="00461231">
        <w:rPr>
          <w:rFonts w:cs="Times New Roman"/>
          <w:color w:val="000000" w:themeColor="text1"/>
          <w:szCs w:val="24"/>
        </w:rPr>
        <w:t>Cervical spine ranges</w:t>
      </w:r>
      <w:r w:rsidR="00BD7ECC">
        <w:rPr>
          <w:rFonts w:cs="Times New Roman"/>
          <w:color w:val="000000" w:themeColor="text1"/>
          <w:szCs w:val="24"/>
        </w:rPr>
        <w:t>-</w:t>
      </w:r>
      <w:r w:rsidR="003D533C" w:rsidRPr="00461231">
        <w:rPr>
          <w:rFonts w:cs="Times New Roman"/>
          <w:color w:val="000000" w:themeColor="text1"/>
          <w:szCs w:val="24"/>
        </w:rPr>
        <w:t>of</w:t>
      </w:r>
      <w:r w:rsidR="00BD7ECC">
        <w:rPr>
          <w:rFonts w:cs="Times New Roman"/>
          <w:color w:val="000000" w:themeColor="text1"/>
          <w:szCs w:val="24"/>
        </w:rPr>
        <w:t>-</w:t>
      </w:r>
      <w:r w:rsidR="003D533C" w:rsidRPr="00461231">
        <w:rPr>
          <w:rFonts w:cs="Times New Roman"/>
          <w:color w:val="000000" w:themeColor="text1"/>
          <w:szCs w:val="24"/>
        </w:rPr>
        <w:t xml:space="preserve">motion </w:t>
      </w:r>
      <w:r w:rsidR="00BD7ECC">
        <w:rPr>
          <w:rFonts w:cs="Times New Roman"/>
          <w:color w:val="000000" w:themeColor="text1"/>
          <w:szCs w:val="24"/>
        </w:rPr>
        <w:t xml:space="preserve">(ROMs) </w:t>
      </w:r>
      <w:r w:rsidR="003D533C" w:rsidRPr="00461231">
        <w:rPr>
          <w:rFonts w:cs="Times New Roman"/>
          <w:color w:val="000000" w:themeColor="text1"/>
          <w:szCs w:val="24"/>
        </w:rPr>
        <w:t>included</w:t>
      </w:r>
      <w:r w:rsidR="0040058E" w:rsidRPr="00461231">
        <w:rPr>
          <w:rFonts w:cs="Times New Roman"/>
          <w:color w:val="000000" w:themeColor="text1"/>
          <w:szCs w:val="24"/>
        </w:rPr>
        <w:t xml:space="preserve"> flexion</w:t>
      </w:r>
      <w:r w:rsidR="003D533C" w:rsidRPr="00461231">
        <w:rPr>
          <w:rFonts w:cs="Times New Roman"/>
          <w:color w:val="000000" w:themeColor="text1"/>
          <w:szCs w:val="24"/>
        </w:rPr>
        <w:t xml:space="preserve"> at</w:t>
      </w:r>
      <w:r w:rsidR="0040058E" w:rsidRPr="00461231">
        <w:rPr>
          <w:rFonts w:cs="Times New Roman"/>
          <w:color w:val="000000" w:themeColor="text1"/>
          <w:szCs w:val="24"/>
        </w:rPr>
        <w:t xml:space="preserve"> 45 degrees</w:t>
      </w:r>
      <w:r w:rsidR="003D533C" w:rsidRPr="00461231">
        <w:rPr>
          <w:rFonts w:cs="Times New Roman"/>
          <w:color w:val="000000" w:themeColor="text1"/>
          <w:szCs w:val="24"/>
        </w:rPr>
        <w:t xml:space="preserve"> (normal)</w:t>
      </w:r>
      <w:r w:rsidR="0040058E" w:rsidRPr="00461231">
        <w:rPr>
          <w:rFonts w:cs="Times New Roman"/>
          <w:color w:val="000000" w:themeColor="text1"/>
          <w:szCs w:val="24"/>
        </w:rPr>
        <w:t>; extension</w:t>
      </w:r>
      <w:r w:rsidR="003D533C" w:rsidRPr="00461231">
        <w:rPr>
          <w:rFonts w:cs="Times New Roman"/>
          <w:color w:val="000000" w:themeColor="text1"/>
          <w:szCs w:val="24"/>
        </w:rPr>
        <w:t xml:space="preserve"> at</w:t>
      </w:r>
      <w:r w:rsidR="0040058E" w:rsidRPr="00461231">
        <w:rPr>
          <w:rFonts w:cs="Times New Roman"/>
          <w:color w:val="000000" w:themeColor="text1"/>
          <w:szCs w:val="24"/>
        </w:rPr>
        <w:t xml:space="preserve"> 45 degrees</w:t>
      </w:r>
      <w:r w:rsidR="003D533C" w:rsidRPr="00461231">
        <w:rPr>
          <w:rFonts w:cs="Times New Roman"/>
          <w:color w:val="000000" w:themeColor="text1"/>
          <w:szCs w:val="24"/>
        </w:rPr>
        <w:t xml:space="preserve"> (normal)</w:t>
      </w:r>
      <w:r w:rsidR="0040058E" w:rsidRPr="00461231">
        <w:rPr>
          <w:rFonts w:cs="Times New Roman"/>
          <w:color w:val="000000" w:themeColor="text1"/>
          <w:szCs w:val="24"/>
        </w:rPr>
        <w:t>; right and left lateral flexion</w:t>
      </w:r>
      <w:r w:rsidR="003D533C" w:rsidRPr="00461231">
        <w:rPr>
          <w:rFonts w:cs="Times New Roman"/>
          <w:color w:val="000000" w:themeColor="text1"/>
          <w:szCs w:val="24"/>
        </w:rPr>
        <w:t xml:space="preserve"> at</w:t>
      </w:r>
      <w:r w:rsidR="0040058E" w:rsidRPr="00461231">
        <w:rPr>
          <w:rFonts w:cs="Times New Roman"/>
          <w:color w:val="000000" w:themeColor="text1"/>
          <w:szCs w:val="24"/>
        </w:rPr>
        <w:t xml:space="preserve"> 45 degrees</w:t>
      </w:r>
      <w:r w:rsidR="003D533C" w:rsidRPr="00461231">
        <w:rPr>
          <w:rFonts w:cs="Times New Roman"/>
          <w:color w:val="000000" w:themeColor="text1"/>
          <w:szCs w:val="24"/>
        </w:rPr>
        <w:t xml:space="preserve"> (normal)</w:t>
      </w:r>
      <w:r w:rsidR="0040058E" w:rsidRPr="00461231">
        <w:rPr>
          <w:rFonts w:cs="Times New Roman"/>
          <w:color w:val="000000" w:themeColor="text1"/>
          <w:szCs w:val="24"/>
        </w:rPr>
        <w:t>; right and left rotation</w:t>
      </w:r>
      <w:r w:rsidR="003D533C" w:rsidRPr="00461231">
        <w:rPr>
          <w:rFonts w:cs="Times New Roman"/>
          <w:color w:val="000000" w:themeColor="text1"/>
          <w:szCs w:val="24"/>
        </w:rPr>
        <w:t xml:space="preserve"> at</w:t>
      </w:r>
      <w:r w:rsidR="0040058E" w:rsidRPr="00461231">
        <w:rPr>
          <w:rFonts w:cs="Times New Roman"/>
          <w:color w:val="000000" w:themeColor="text1"/>
          <w:szCs w:val="24"/>
        </w:rPr>
        <w:t xml:space="preserve"> 80 degrees</w:t>
      </w:r>
      <w:r w:rsidR="003D533C" w:rsidRPr="00461231">
        <w:rPr>
          <w:rFonts w:cs="Times New Roman"/>
          <w:color w:val="000000" w:themeColor="text1"/>
          <w:szCs w:val="24"/>
        </w:rPr>
        <w:t xml:space="preserve"> (normal)</w:t>
      </w:r>
      <w:r w:rsidR="0040058E" w:rsidRPr="00461231">
        <w:rPr>
          <w:rFonts w:cs="Times New Roman"/>
          <w:color w:val="000000" w:themeColor="text1"/>
          <w:szCs w:val="24"/>
        </w:rPr>
        <w:t xml:space="preserve">.  </w:t>
      </w:r>
      <w:r w:rsidR="003D533C" w:rsidRPr="00461231">
        <w:rPr>
          <w:rFonts w:cs="Times New Roman"/>
          <w:color w:val="000000" w:themeColor="text1"/>
          <w:szCs w:val="24"/>
        </w:rPr>
        <w:t>B</w:t>
      </w:r>
      <w:r w:rsidR="00683857" w:rsidRPr="00461231">
        <w:rPr>
          <w:rFonts w:cs="Times New Roman"/>
          <w:color w:val="000000" w:themeColor="text1"/>
          <w:szCs w:val="24"/>
        </w:rPr>
        <w:t xml:space="preserve">iceps and triceps reflexes were 1+, bilaterally. </w:t>
      </w:r>
      <w:r w:rsidR="00A9390D">
        <w:rPr>
          <w:rFonts w:cs="Times New Roman"/>
          <w:color w:val="000000" w:themeColor="text1"/>
          <w:szCs w:val="24"/>
        </w:rPr>
        <w:t xml:space="preserve"> </w:t>
      </w:r>
      <w:r w:rsidR="00683857" w:rsidRPr="00461231">
        <w:rPr>
          <w:rFonts w:cs="Times New Roman"/>
          <w:color w:val="000000" w:themeColor="text1"/>
          <w:szCs w:val="24"/>
        </w:rPr>
        <w:t xml:space="preserve">Motor function was within normal limits and was 5/5. </w:t>
      </w:r>
      <w:r w:rsidR="00F223C5" w:rsidRPr="00461231">
        <w:rPr>
          <w:rFonts w:cs="Times New Roman"/>
          <w:color w:val="000000" w:themeColor="text1"/>
          <w:szCs w:val="24"/>
        </w:rPr>
        <w:t xml:space="preserve">Sensation was normal to light touch, pinprick, and two point discrimination. </w:t>
      </w:r>
    </w:p>
    <w:p w:rsidR="00345518" w:rsidRPr="00461231" w:rsidRDefault="00345518" w:rsidP="00345518">
      <w:pPr>
        <w:autoSpaceDE w:val="0"/>
        <w:autoSpaceDN w:val="0"/>
        <w:adjustRightInd w:val="0"/>
        <w:jc w:val="both"/>
        <w:rPr>
          <w:color w:val="000000" w:themeColor="text1"/>
          <w:szCs w:val="24"/>
        </w:rPr>
      </w:pPr>
    </w:p>
    <w:p w:rsidR="00E54634" w:rsidRPr="00461231" w:rsidRDefault="00F223C5" w:rsidP="00E54634">
      <w:pPr>
        <w:autoSpaceDE w:val="0"/>
        <w:autoSpaceDN w:val="0"/>
        <w:adjustRightInd w:val="0"/>
        <w:jc w:val="both"/>
        <w:rPr>
          <w:i/>
          <w:color w:val="000000" w:themeColor="text1"/>
          <w:szCs w:val="24"/>
        </w:rPr>
      </w:pPr>
      <w:r w:rsidRPr="00461231">
        <w:rPr>
          <w:color w:val="000000" w:themeColor="text1"/>
          <w:szCs w:val="24"/>
        </w:rPr>
        <w:t xml:space="preserve">The second cervical spine </w:t>
      </w:r>
      <w:r w:rsidR="00345518" w:rsidRPr="00461231">
        <w:rPr>
          <w:color w:val="000000" w:themeColor="text1"/>
          <w:szCs w:val="24"/>
        </w:rPr>
        <w:t xml:space="preserve">MRI </w:t>
      </w:r>
      <w:r w:rsidRPr="00461231">
        <w:rPr>
          <w:color w:val="000000" w:themeColor="text1"/>
          <w:szCs w:val="24"/>
        </w:rPr>
        <w:t xml:space="preserve">on </w:t>
      </w:r>
      <w:r w:rsidR="00BD7ECC">
        <w:rPr>
          <w:color w:val="000000" w:themeColor="text1"/>
          <w:szCs w:val="24"/>
        </w:rPr>
        <w:t xml:space="preserve">9 February </w:t>
      </w:r>
      <w:r w:rsidR="00345518" w:rsidRPr="00461231">
        <w:rPr>
          <w:color w:val="000000" w:themeColor="text1"/>
          <w:szCs w:val="24"/>
        </w:rPr>
        <w:t xml:space="preserve">2004 </w:t>
      </w:r>
      <w:r w:rsidRPr="00461231">
        <w:rPr>
          <w:color w:val="000000" w:themeColor="text1"/>
          <w:szCs w:val="24"/>
        </w:rPr>
        <w:t>noted s</w:t>
      </w:r>
      <w:r w:rsidR="00345518" w:rsidRPr="00461231">
        <w:rPr>
          <w:color w:val="000000" w:themeColor="text1"/>
          <w:szCs w:val="24"/>
        </w:rPr>
        <w:t xml:space="preserve">pinal stenosis from C3 down through C6, caused by combination of spondylosis and degenerative changes. </w:t>
      </w:r>
      <w:r w:rsidR="00A9390D">
        <w:rPr>
          <w:color w:val="000000" w:themeColor="text1"/>
          <w:szCs w:val="24"/>
        </w:rPr>
        <w:t xml:space="preserve"> </w:t>
      </w:r>
      <w:r w:rsidR="00345518" w:rsidRPr="00461231">
        <w:rPr>
          <w:color w:val="000000" w:themeColor="text1"/>
          <w:szCs w:val="24"/>
        </w:rPr>
        <w:t xml:space="preserve">No disc Herniation identified. Edema in the cord noted. </w:t>
      </w:r>
      <w:r w:rsidR="00A9390D">
        <w:rPr>
          <w:color w:val="000000" w:themeColor="text1"/>
          <w:szCs w:val="24"/>
        </w:rPr>
        <w:t xml:space="preserve"> </w:t>
      </w:r>
      <w:r w:rsidR="00FE0CDF" w:rsidRPr="00461231">
        <w:rPr>
          <w:rFonts w:cs="Times New Roman"/>
          <w:color w:val="000000" w:themeColor="text1"/>
          <w:szCs w:val="24"/>
        </w:rPr>
        <w:t xml:space="preserve">The spinal stenosis was severe at C5-6 and significant at C3-4, C4-5, and C6-7. </w:t>
      </w:r>
      <w:r w:rsidR="00A9390D">
        <w:rPr>
          <w:rFonts w:cs="Times New Roman"/>
          <w:color w:val="000000" w:themeColor="text1"/>
          <w:szCs w:val="24"/>
        </w:rPr>
        <w:t xml:space="preserve"> </w:t>
      </w:r>
      <w:r w:rsidR="00FE0CDF" w:rsidRPr="00461231">
        <w:rPr>
          <w:rFonts w:cs="Times New Roman"/>
          <w:color w:val="000000" w:themeColor="text1"/>
          <w:szCs w:val="24"/>
        </w:rPr>
        <w:t xml:space="preserve">Additionally a bony spur was impinging on the spinal cord at C3-4. </w:t>
      </w:r>
      <w:r w:rsidR="00A9390D">
        <w:rPr>
          <w:rFonts w:cs="Times New Roman"/>
          <w:color w:val="000000" w:themeColor="text1"/>
          <w:szCs w:val="24"/>
        </w:rPr>
        <w:t xml:space="preserve"> </w:t>
      </w:r>
      <w:r w:rsidR="00FE0CDF" w:rsidRPr="00461231">
        <w:rPr>
          <w:rFonts w:cs="Times New Roman"/>
          <w:color w:val="000000" w:themeColor="text1"/>
          <w:szCs w:val="24"/>
        </w:rPr>
        <w:t xml:space="preserve">Bilateral impingement on the neural foramina was noted at C3-4, C4-5, C5-6, and C6-7 with left side worse than right at C3-4 and right side worse than left at C4-5. </w:t>
      </w:r>
      <w:r w:rsidR="00A9390D">
        <w:rPr>
          <w:rFonts w:cs="Times New Roman"/>
          <w:color w:val="000000" w:themeColor="text1"/>
          <w:szCs w:val="24"/>
        </w:rPr>
        <w:t xml:space="preserve"> </w:t>
      </w:r>
      <w:r w:rsidR="00FE0CDF" w:rsidRPr="00461231">
        <w:rPr>
          <w:rFonts w:cs="Times New Roman"/>
          <w:color w:val="000000" w:themeColor="text1"/>
          <w:szCs w:val="24"/>
        </w:rPr>
        <w:t xml:space="preserve">The CI saw a civilian neurosurgeon on </w:t>
      </w:r>
      <w:r w:rsidR="00BD7ECC">
        <w:rPr>
          <w:rFonts w:cs="Times New Roman"/>
          <w:color w:val="000000" w:themeColor="text1"/>
          <w:szCs w:val="24"/>
        </w:rPr>
        <w:t xml:space="preserve">3 March </w:t>
      </w:r>
      <w:r w:rsidR="00345518" w:rsidRPr="00461231">
        <w:rPr>
          <w:color w:val="000000" w:themeColor="text1"/>
          <w:szCs w:val="24"/>
        </w:rPr>
        <w:t>2004</w:t>
      </w:r>
      <w:r w:rsidR="00FE0CDF" w:rsidRPr="00461231">
        <w:rPr>
          <w:color w:val="000000" w:themeColor="text1"/>
          <w:szCs w:val="24"/>
        </w:rPr>
        <w:t xml:space="preserve"> who noted this MRI</w:t>
      </w:r>
      <w:r w:rsidR="00345518" w:rsidRPr="00461231">
        <w:rPr>
          <w:color w:val="000000" w:themeColor="text1"/>
          <w:szCs w:val="24"/>
        </w:rPr>
        <w:t xml:space="preserve"> show</w:t>
      </w:r>
      <w:r w:rsidR="00FE0CDF" w:rsidRPr="00461231">
        <w:rPr>
          <w:color w:val="000000" w:themeColor="text1"/>
          <w:szCs w:val="24"/>
        </w:rPr>
        <w:t>ed</w:t>
      </w:r>
      <w:r w:rsidR="00345518" w:rsidRPr="00461231">
        <w:rPr>
          <w:color w:val="000000" w:themeColor="text1"/>
          <w:szCs w:val="24"/>
        </w:rPr>
        <w:t xml:space="preserve"> evidence of spinal stenosis secondary to spondylosis mild degenerative change with facet arthropathy and ligamentum flavum thickening C3-C7. </w:t>
      </w:r>
      <w:r w:rsidR="00A9390D">
        <w:rPr>
          <w:color w:val="000000" w:themeColor="text1"/>
          <w:szCs w:val="24"/>
        </w:rPr>
        <w:t xml:space="preserve"> </w:t>
      </w:r>
      <w:r w:rsidR="00FE0CDF" w:rsidRPr="00461231">
        <w:rPr>
          <w:color w:val="000000" w:themeColor="text1"/>
          <w:szCs w:val="24"/>
        </w:rPr>
        <w:t>T</w:t>
      </w:r>
      <w:r w:rsidR="00345518" w:rsidRPr="00461231">
        <w:rPr>
          <w:color w:val="000000" w:themeColor="text1"/>
          <w:szCs w:val="24"/>
        </w:rPr>
        <w:t xml:space="preserve">he stenosis </w:t>
      </w:r>
      <w:r w:rsidR="00FE0CDF" w:rsidRPr="00461231">
        <w:rPr>
          <w:color w:val="000000" w:themeColor="text1"/>
          <w:szCs w:val="24"/>
        </w:rPr>
        <w:t>wa</w:t>
      </w:r>
      <w:r w:rsidR="00345518" w:rsidRPr="00461231">
        <w:rPr>
          <w:color w:val="000000" w:themeColor="text1"/>
          <w:szCs w:val="24"/>
        </w:rPr>
        <w:t xml:space="preserve">s such that it produced "edema within the cord" manifested by increased signal. There </w:t>
      </w:r>
      <w:r w:rsidR="00FE0CDF" w:rsidRPr="00461231">
        <w:rPr>
          <w:color w:val="000000" w:themeColor="text1"/>
          <w:szCs w:val="24"/>
        </w:rPr>
        <w:t>wa</w:t>
      </w:r>
      <w:r w:rsidR="00345518" w:rsidRPr="00461231">
        <w:rPr>
          <w:color w:val="000000" w:themeColor="text1"/>
          <w:szCs w:val="24"/>
        </w:rPr>
        <w:t xml:space="preserve">s evidence of myelomalacia within the cervical cord. </w:t>
      </w:r>
      <w:r w:rsidR="00FE0CDF" w:rsidRPr="00461231">
        <w:rPr>
          <w:rFonts w:cs="Times New Roman"/>
          <w:color w:val="000000" w:themeColor="text1"/>
          <w:szCs w:val="24"/>
        </w:rPr>
        <w:t>The CI was reported s</w:t>
      </w:r>
      <w:r w:rsidR="007E0CBF" w:rsidRPr="00461231">
        <w:rPr>
          <w:rFonts w:cs="Times New Roman"/>
          <w:color w:val="000000" w:themeColor="text1"/>
          <w:szCs w:val="24"/>
        </w:rPr>
        <w:t xml:space="preserve">imilar symptoms </w:t>
      </w:r>
      <w:r w:rsidR="009828DD" w:rsidRPr="00461231">
        <w:rPr>
          <w:rFonts w:cs="Times New Roman"/>
          <w:color w:val="000000" w:themeColor="text1"/>
          <w:szCs w:val="24"/>
        </w:rPr>
        <w:t>starting</w:t>
      </w:r>
      <w:r w:rsidR="007E0CBF" w:rsidRPr="00461231">
        <w:rPr>
          <w:rFonts w:cs="Times New Roman"/>
          <w:color w:val="000000" w:themeColor="text1"/>
          <w:szCs w:val="24"/>
        </w:rPr>
        <w:t xml:space="preserve"> in right upper extremity now.</w:t>
      </w:r>
      <w:r w:rsidR="009828DD" w:rsidRPr="00461231">
        <w:rPr>
          <w:rFonts w:cs="Times New Roman"/>
          <w:color w:val="000000" w:themeColor="text1"/>
          <w:szCs w:val="24"/>
        </w:rPr>
        <w:t xml:space="preserve">  </w:t>
      </w:r>
      <w:r w:rsidR="00FE0CDF" w:rsidRPr="00461231">
        <w:rPr>
          <w:rFonts w:cs="Times New Roman"/>
          <w:color w:val="000000" w:themeColor="text1"/>
          <w:szCs w:val="24"/>
        </w:rPr>
        <w:t xml:space="preserve">The physical examination noted moderately limited </w:t>
      </w:r>
      <w:r w:rsidR="00665732">
        <w:rPr>
          <w:rFonts w:cs="Times New Roman"/>
          <w:color w:val="000000" w:themeColor="text1"/>
          <w:szCs w:val="24"/>
        </w:rPr>
        <w:t>ROM</w:t>
      </w:r>
      <w:r w:rsidR="00FE0CDF" w:rsidRPr="00461231">
        <w:rPr>
          <w:rFonts w:cs="Times New Roman"/>
          <w:color w:val="000000" w:themeColor="text1"/>
          <w:szCs w:val="24"/>
        </w:rPr>
        <w:t xml:space="preserve"> of the cervical spine in all directions, especially in forward flexion and extension. </w:t>
      </w:r>
      <w:r w:rsidR="00A9390D">
        <w:rPr>
          <w:rFonts w:cs="Times New Roman"/>
          <w:color w:val="000000" w:themeColor="text1"/>
          <w:szCs w:val="24"/>
        </w:rPr>
        <w:t xml:space="preserve"> </w:t>
      </w:r>
      <w:r w:rsidR="00FE0CDF" w:rsidRPr="00461231">
        <w:rPr>
          <w:rFonts w:cs="Times New Roman"/>
          <w:color w:val="000000" w:themeColor="text1"/>
          <w:szCs w:val="24"/>
        </w:rPr>
        <w:t>The range of motion exam produced some paresthesias in the upper extremities.</w:t>
      </w:r>
      <w:r w:rsidR="00665732">
        <w:rPr>
          <w:rFonts w:cs="Times New Roman"/>
          <w:color w:val="000000" w:themeColor="text1"/>
          <w:szCs w:val="24"/>
        </w:rPr>
        <w:t xml:space="preserve"> </w:t>
      </w:r>
      <w:r w:rsidR="00FE0CDF" w:rsidRPr="00461231">
        <w:rPr>
          <w:rFonts w:cs="Times New Roman"/>
          <w:color w:val="000000" w:themeColor="text1"/>
          <w:szCs w:val="24"/>
        </w:rPr>
        <w:t xml:space="preserve"> Motor testing revealed generalized weakness, especially in the left hand. Sensory exam noted hypalgesia (decreased pain sensation) to pinprick diffusely over both hands but otherwise the sensory examination was normal and reflexes were symmetrically hypo to normative in the upper extremities but more brisk in the lower extremities. </w:t>
      </w:r>
      <w:r w:rsidR="00665732">
        <w:rPr>
          <w:rFonts w:cs="Times New Roman"/>
          <w:color w:val="000000" w:themeColor="text1"/>
          <w:szCs w:val="24"/>
        </w:rPr>
        <w:t xml:space="preserve"> </w:t>
      </w:r>
      <w:r w:rsidR="00FE0CDF" w:rsidRPr="00461231">
        <w:rPr>
          <w:rFonts w:cs="Times New Roman"/>
          <w:color w:val="000000" w:themeColor="text1"/>
          <w:szCs w:val="24"/>
        </w:rPr>
        <w:t xml:space="preserve">The neurosurgeon’s impression was </w:t>
      </w:r>
      <w:r w:rsidR="00E54634" w:rsidRPr="00461231">
        <w:rPr>
          <w:color w:val="000000" w:themeColor="text1"/>
          <w:szCs w:val="24"/>
        </w:rPr>
        <w:t>cervical myeloradiculopathy due to spinal stenosis and spondylosis.</w:t>
      </w:r>
      <w:r w:rsidR="00A9390D">
        <w:rPr>
          <w:color w:val="000000" w:themeColor="text1"/>
          <w:szCs w:val="24"/>
        </w:rPr>
        <w:t xml:space="preserve">  </w:t>
      </w:r>
      <w:r w:rsidR="00E54634" w:rsidRPr="00461231">
        <w:rPr>
          <w:color w:val="000000" w:themeColor="text1"/>
          <w:szCs w:val="24"/>
        </w:rPr>
        <w:t>The cord was compressed both anteriorly and posteriorly. Symptoms had progressed over seven years and there was evidence of myelomalacia within the cord</w:t>
      </w:r>
      <w:r w:rsidR="0052640F" w:rsidRPr="00461231">
        <w:rPr>
          <w:color w:val="000000" w:themeColor="text1"/>
          <w:szCs w:val="24"/>
        </w:rPr>
        <w:t xml:space="preserve"> extending from C3 down to C7. </w:t>
      </w:r>
      <w:r w:rsidR="00665732">
        <w:rPr>
          <w:color w:val="000000" w:themeColor="text1"/>
          <w:szCs w:val="24"/>
        </w:rPr>
        <w:t xml:space="preserve"> </w:t>
      </w:r>
      <w:r w:rsidR="00E54634" w:rsidRPr="00461231">
        <w:rPr>
          <w:color w:val="000000" w:themeColor="text1"/>
          <w:szCs w:val="24"/>
        </w:rPr>
        <w:t>He stated he</w:t>
      </w:r>
      <w:r w:rsidR="009828DD" w:rsidRPr="00461231">
        <w:rPr>
          <w:rFonts w:cs="Times New Roman"/>
          <w:color w:val="000000" w:themeColor="text1"/>
          <w:szCs w:val="24"/>
        </w:rPr>
        <w:t xml:space="preserve"> was concerned about the degree of stenosis, the progression of symptoms, the physical findings, and the myelomalacia seen on MRI scan. All of th</w:t>
      </w:r>
      <w:r w:rsidR="00E54634" w:rsidRPr="00461231">
        <w:rPr>
          <w:rFonts w:cs="Times New Roman"/>
          <w:color w:val="000000" w:themeColor="text1"/>
          <w:szCs w:val="24"/>
        </w:rPr>
        <w:t>ese</w:t>
      </w:r>
      <w:r w:rsidR="009828DD" w:rsidRPr="00461231">
        <w:rPr>
          <w:rFonts w:cs="Times New Roman"/>
          <w:color w:val="000000" w:themeColor="text1"/>
          <w:szCs w:val="24"/>
        </w:rPr>
        <w:t xml:space="preserve"> point</w:t>
      </w:r>
      <w:r w:rsidR="00E54634" w:rsidRPr="00461231">
        <w:rPr>
          <w:rFonts w:cs="Times New Roman"/>
          <w:color w:val="000000" w:themeColor="text1"/>
          <w:szCs w:val="24"/>
        </w:rPr>
        <w:t>ed</w:t>
      </w:r>
      <w:r w:rsidR="009828DD" w:rsidRPr="00461231">
        <w:rPr>
          <w:rFonts w:cs="Times New Roman"/>
          <w:color w:val="000000" w:themeColor="text1"/>
          <w:szCs w:val="24"/>
        </w:rPr>
        <w:t xml:space="preserve"> to a progressive condition, which </w:t>
      </w:r>
      <w:r w:rsidR="00E54634" w:rsidRPr="00461231">
        <w:rPr>
          <w:rFonts w:cs="Times New Roman"/>
          <w:color w:val="000000" w:themeColor="text1"/>
          <w:szCs w:val="24"/>
        </w:rPr>
        <w:t>wa</w:t>
      </w:r>
      <w:r w:rsidR="009828DD" w:rsidRPr="00461231">
        <w:rPr>
          <w:rFonts w:cs="Times New Roman"/>
          <w:color w:val="000000" w:themeColor="text1"/>
          <w:szCs w:val="24"/>
        </w:rPr>
        <w:t>s leading to potential damage to his cervical spinal cord that may</w:t>
      </w:r>
      <w:r w:rsidR="00F970FB" w:rsidRPr="00461231">
        <w:rPr>
          <w:rFonts w:cs="Times New Roman"/>
          <w:color w:val="000000" w:themeColor="text1"/>
          <w:szCs w:val="24"/>
        </w:rPr>
        <w:t xml:space="preserve"> </w:t>
      </w:r>
      <w:r w:rsidR="009828DD" w:rsidRPr="00461231">
        <w:rPr>
          <w:rFonts w:cs="Times New Roman"/>
          <w:color w:val="000000" w:themeColor="text1"/>
          <w:szCs w:val="24"/>
        </w:rPr>
        <w:t xml:space="preserve">or may not </w:t>
      </w:r>
      <w:r w:rsidR="00E54634" w:rsidRPr="00461231">
        <w:rPr>
          <w:rFonts w:cs="Times New Roman"/>
          <w:color w:val="000000" w:themeColor="text1"/>
          <w:szCs w:val="24"/>
        </w:rPr>
        <w:t>have been</w:t>
      </w:r>
      <w:r w:rsidR="009828DD" w:rsidRPr="00461231">
        <w:rPr>
          <w:rFonts w:cs="Times New Roman"/>
          <w:color w:val="000000" w:themeColor="text1"/>
          <w:szCs w:val="24"/>
        </w:rPr>
        <w:t xml:space="preserve"> reversible at th</w:t>
      </w:r>
      <w:r w:rsidR="00E54634" w:rsidRPr="00461231">
        <w:rPr>
          <w:rFonts w:cs="Times New Roman"/>
          <w:color w:val="000000" w:themeColor="text1"/>
          <w:szCs w:val="24"/>
        </w:rPr>
        <w:t>at</w:t>
      </w:r>
      <w:r w:rsidR="009828DD" w:rsidRPr="00461231">
        <w:rPr>
          <w:rFonts w:cs="Times New Roman"/>
          <w:color w:val="000000" w:themeColor="text1"/>
          <w:szCs w:val="24"/>
        </w:rPr>
        <w:t xml:space="preserve"> point. </w:t>
      </w:r>
      <w:r w:rsidR="00A9390D">
        <w:rPr>
          <w:rFonts w:cs="Times New Roman"/>
          <w:color w:val="000000" w:themeColor="text1"/>
          <w:szCs w:val="24"/>
        </w:rPr>
        <w:t xml:space="preserve"> </w:t>
      </w:r>
      <w:r w:rsidR="009828DD" w:rsidRPr="00461231">
        <w:rPr>
          <w:rFonts w:cs="Times New Roman"/>
          <w:color w:val="000000" w:themeColor="text1"/>
          <w:szCs w:val="24"/>
        </w:rPr>
        <w:t xml:space="preserve">Because of this, </w:t>
      </w:r>
      <w:r w:rsidR="00E54634" w:rsidRPr="00461231">
        <w:rPr>
          <w:rFonts w:cs="Times New Roman"/>
          <w:color w:val="000000" w:themeColor="text1"/>
          <w:szCs w:val="24"/>
        </w:rPr>
        <w:t>major surgery was recommended and discussed various surgical approaches with the CI</w:t>
      </w:r>
      <w:r w:rsidR="00F970FB" w:rsidRPr="00461231">
        <w:rPr>
          <w:rFonts w:cs="Times New Roman"/>
          <w:color w:val="000000" w:themeColor="text1"/>
          <w:szCs w:val="24"/>
        </w:rPr>
        <w:t xml:space="preserve">. </w:t>
      </w:r>
      <w:r w:rsidR="00A9390D">
        <w:rPr>
          <w:rFonts w:cs="Times New Roman"/>
          <w:color w:val="000000" w:themeColor="text1"/>
          <w:szCs w:val="24"/>
        </w:rPr>
        <w:t xml:space="preserve"> </w:t>
      </w:r>
      <w:r w:rsidR="00E54634" w:rsidRPr="00461231">
        <w:rPr>
          <w:rFonts w:cs="Times New Roman"/>
          <w:color w:val="000000" w:themeColor="text1"/>
          <w:szCs w:val="24"/>
        </w:rPr>
        <w:t>He noted t</w:t>
      </w:r>
      <w:r w:rsidR="00F970FB" w:rsidRPr="00461231">
        <w:rPr>
          <w:rFonts w:cs="Times New Roman"/>
          <w:color w:val="000000" w:themeColor="text1"/>
          <w:szCs w:val="24"/>
        </w:rPr>
        <w:t>his would be a major operation with serious potential risks and side effects that include</w:t>
      </w:r>
      <w:r w:rsidR="00E54634" w:rsidRPr="00461231">
        <w:rPr>
          <w:rFonts w:cs="Times New Roman"/>
          <w:color w:val="000000" w:themeColor="text1"/>
          <w:szCs w:val="24"/>
        </w:rPr>
        <w:t>d</w:t>
      </w:r>
      <w:r w:rsidR="00F970FB" w:rsidRPr="00461231">
        <w:rPr>
          <w:rFonts w:cs="Times New Roman"/>
          <w:color w:val="000000" w:themeColor="text1"/>
          <w:szCs w:val="24"/>
        </w:rPr>
        <w:t xml:space="preserve">, but </w:t>
      </w:r>
      <w:r w:rsidR="00E54634" w:rsidRPr="00461231">
        <w:rPr>
          <w:rFonts w:cs="Times New Roman"/>
          <w:color w:val="000000" w:themeColor="text1"/>
          <w:szCs w:val="24"/>
        </w:rPr>
        <w:t>we</w:t>
      </w:r>
      <w:r w:rsidR="00F970FB" w:rsidRPr="00461231">
        <w:rPr>
          <w:rFonts w:cs="Times New Roman"/>
          <w:color w:val="000000" w:themeColor="text1"/>
          <w:szCs w:val="24"/>
        </w:rPr>
        <w:t xml:space="preserve">re not limited to complete permanent paralysis from the neck down. </w:t>
      </w:r>
      <w:r w:rsidR="00A9390D">
        <w:rPr>
          <w:rFonts w:cs="Times New Roman"/>
          <w:color w:val="000000" w:themeColor="text1"/>
          <w:szCs w:val="24"/>
        </w:rPr>
        <w:t xml:space="preserve"> </w:t>
      </w:r>
      <w:r w:rsidR="00F970FB" w:rsidRPr="00461231">
        <w:rPr>
          <w:rFonts w:cs="Times New Roman"/>
          <w:color w:val="000000" w:themeColor="text1"/>
          <w:szCs w:val="24"/>
        </w:rPr>
        <w:t xml:space="preserve">Furthermore, </w:t>
      </w:r>
      <w:r w:rsidR="00E54634" w:rsidRPr="00461231">
        <w:rPr>
          <w:rFonts w:cs="Times New Roman"/>
          <w:color w:val="000000" w:themeColor="text1"/>
          <w:szCs w:val="24"/>
        </w:rPr>
        <w:t>t</w:t>
      </w:r>
      <w:r w:rsidR="00F970FB" w:rsidRPr="00461231">
        <w:rPr>
          <w:rFonts w:cs="Times New Roman"/>
          <w:color w:val="000000" w:themeColor="text1"/>
          <w:szCs w:val="24"/>
        </w:rPr>
        <w:t xml:space="preserve">here </w:t>
      </w:r>
      <w:r w:rsidR="00F970FB" w:rsidRPr="00461231">
        <w:rPr>
          <w:rFonts w:cs="Times New Roman"/>
          <w:color w:val="000000" w:themeColor="text1"/>
          <w:szCs w:val="24"/>
        </w:rPr>
        <w:lastRenderedPageBreak/>
        <w:t>would be no guarantee of symptom relief or that he would be able to return to unrestricted activity and/or work following it.</w:t>
      </w:r>
      <w:r w:rsidR="00E54634" w:rsidRPr="00461231">
        <w:rPr>
          <w:rFonts w:cs="Times New Roman"/>
          <w:color w:val="000000" w:themeColor="text1"/>
          <w:szCs w:val="24"/>
        </w:rPr>
        <w:t xml:space="preserve"> </w:t>
      </w:r>
      <w:r w:rsidR="00A9390D">
        <w:rPr>
          <w:rFonts w:cs="Times New Roman"/>
          <w:color w:val="000000" w:themeColor="text1"/>
          <w:szCs w:val="24"/>
        </w:rPr>
        <w:t xml:space="preserve"> </w:t>
      </w:r>
      <w:r w:rsidR="00E54634" w:rsidRPr="00461231">
        <w:rPr>
          <w:rFonts w:cs="Times New Roman"/>
          <w:color w:val="000000" w:themeColor="text1"/>
          <w:szCs w:val="24"/>
        </w:rPr>
        <w:t xml:space="preserve">The CI underwent major surgery with diskectomy and fusion with bone graft and anterior plated of C3-4, C4-5, C5-6, and C6-7 in November </w:t>
      </w:r>
      <w:r w:rsidR="00D83FBB" w:rsidRPr="00461231">
        <w:rPr>
          <w:rFonts w:cs="Times New Roman"/>
          <w:color w:val="000000" w:themeColor="text1"/>
          <w:szCs w:val="24"/>
        </w:rPr>
        <w:t>2004</w:t>
      </w:r>
      <w:r w:rsidR="00E54634" w:rsidRPr="00461231">
        <w:rPr>
          <w:rFonts w:cs="Times New Roman"/>
          <w:color w:val="000000" w:themeColor="text1"/>
          <w:szCs w:val="24"/>
        </w:rPr>
        <w:t xml:space="preserve"> approximately </w:t>
      </w:r>
      <w:r w:rsidR="00A9390D">
        <w:rPr>
          <w:rFonts w:cs="Times New Roman"/>
          <w:color w:val="000000" w:themeColor="text1"/>
          <w:szCs w:val="24"/>
        </w:rPr>
        <w:t>eight and a half</w:t>
      </w:r>
      <w:r w:rsidR="00E54634" w:rsidRPr="00461231">
        <w:rPr>
          <w:rFonts w:cs="Times New Roman"/>
          <w:color w:val="000000" w:themeColor="text1"/>
          <w:szCs w:val="24"/>
        </w:rPr>
        <w:t xml:space="preserve"> months after separated.</w:t>
      </w:r>
      <w:r w:rsidR="00DB5EE9" w:rsidRPr="00461231">
        <w:rPr>
          <w:rFonts w:cs="Times New Roman"/>
          <w:color w:val="000000" w:themeColor="text1"/>
          <w:szCs w:val="24"/>
        </w:rPr>
        <w:t xml:space="preserve"> </w:t>
      </w:r>
      <w:r w:rsidR="00A9390D">
        <w:rPr>
          <w:rFonts w:cs="Times New Roman"/>
          <w:color w:val="000000" w:themeColor="text1"/>
          <w:szCs w:val="24"/>
        </w:rPr>
        <w:t xml:space="preserve"> </w:t>
      </w:r>
      <w:r w:rsidR="00DB5EE9" w:rsidRPr="00461231">
        <w:rPr>
          <w:rFonts w:cs="Times New Roman"/>
          <w:color w:val="000000" w:themeColor="text1"/>
          <w:szCs w:val="24"/>
        </w:rPr>
        <w:t xml:space="preserve">An </w:t>
      </w:r>
      <w:r w:rsidR="00DB5EE9" w:rsidRPr="00461231">
        <w:rPr>
          <w:color w:val="000000" w:themeColor="text1"/>
          <w:szCs w:val="24"/>
        </w:rPr>
        <w:t>EMG performed by the VA much later in August 2005 documented severe and chronic C5-T1 bilateral motor radiculopathy.</w:t>
      </w:r>
    </w:p>
    <w:p w:rsidR="005F578E" w:rsidRPr="00461231" w:rsidRDefault="005F578E" w:rsidP="00F970FB">
      <w:pPr>
        <w:autoSpaceDE w:val="0"/>
        <w:autoSpaceDN w:val="0"/>
        <w:adjustRightInd w:val="0"/>
        <w:jc w:val="both"/>
        <w:rPr>
          <w:rFonts w:cs="Times New Roman"/>
          <w:color w:val="000000" w:themeColor="text1"/>
          <w:szCs w:val="24"/>
        </w:rPr>
      </w:pPr>
    </w:p>
    <w:p w:rsidR="001565A9" w:rsidRPr="00461231" w:rsidRDefault="00E54634" w:rsidP="00BF70F4">
      <w:pPr>
        <w:autoSpaceDE w:val="0"/>
        <w:autoSpaceDN w:val="0"/>
        <w:adjustRightInd w:val="0"/>
        <w:jc w:val="both"/>
        <w:rPr>
          <w:rFonts w:cs="Times New Roman"/>
          <w:color w:val="000000" w:themeColor="text1"/>
          <w:szCs w:val="24"/>
        </w:rPr>
      </w:pPr>
      <w:r w:rsidRPr="00461231">
        <w:rPr>
          <w:rFonts w:cs="Times New Roman"/>
          <w:color w:val="000000" w:themeColor="text1"/>
          <w:szCs w:val="24"/>
        </w:rPr>
        <w:t xml:space="preserve">Although the VA examination was essentially normal, the VA considered the information from this neurosurgical evaluation in making its rating determination. </w:t>
      </w:r>
      <w:r w:rsidR="00A9390D">
        <w:rPr>
          <w:rFonts w:cs="Times New Roman"/>
          <w:color w:val="000000" w:themeColor="text1"/>
          <w:szCs w:val="24"/>
        </w:rPr>
        <w:t xml:space="preserve"> </w:t>
      </w:r>
      <w:r w:rsidRPr="00461231">
        <w:rPr>
          <w:rFonts w:cs="Times New Roman"/>
          <w:color w:val="000000" w:themeColor="text1"/>
          <w:szCs w:val="24"/>
        </w:rPr>
        <w:t xml:space="preserve">The </w:t>
      </w:r>
      <w:r w:rsidR="001565A9" w:rsidRPr="00461231">
        <w:rPr>
          <w:rFonts w:cs="Times New Roman"/>
          <w:color w:val="000000" w:themeColor="text1"/>
          <w:szCs w:val="24"/>
        </w:rPr>
        <w:t xml:space="preserve">VA rated a combined 30% based on </w:t>
      </w:r>
      <w:r w:rsidRPr="00461231">
        <w:rPr>
          <w:rFonts w:cs="Times New Roman"/>
          <w:color w:val="000000" w:themeColor="text1"/>
          <w:szCs w:val="24"/>
        </w:rPr>
        <w:t xml:space="preserve">the February 2004 </w:t>
      </w:r>
      <w:r w:rsidR="001565A9" w:rsidRPr="00461231">
        <w:rPr>
          <w:rFonts w:cs="Times New Roman"/>
          <w:color w:val="000000" w:themeColor="text1"/>
          <w:szCs w:val="24"/>
        </w:rPr>
        <w:t xml:space="preserve">MRI and neurosurgical exam of </w:t>
      </w:r>
      <w:r w:rsidR="00665732">
        <w:rPr>
          <w:rFonts w:cs="Times New Roman"/>
          <w:color w:val="000000" w:themeColor="text1"/>
          <w:szCs w:val="24"/>
        </w:rPr>
        <w:t>3 March 2004</w:t>
      </w:r>
      <w:r w:rsidR="00BE287E" w:rsidRPr="00461231">
        <w:rPr>
          <w:rFonts w:cs="Times New Roman"/>
          <w:color w:val="000000" w:themeColor="text1"/>
          <w:szCs w:val="24"/>
        </w:rPr>
        <w:t xml:space="preserve"> that documented limited </w:t>
      </w:r>
      <w:r w:rsidR="00665732">
        <w:rPr>
          <w:rFonts w:cs="Times New Roman"/>
          <w:color w:val="000000" w:themeColor="text1"/>
          <w:szCs w:val="24"/>
        </w:rPr>
        <w:t>ROM</w:t>
      </w:r>
      <w:r w:rsidR="00BE287E" w:rsidRPr="00461231">
        <w:rPr>
          <w:rFonts w:cs="Times New Roman"/>
          <w:color w:val="000000" w:themeColor="text1"/>
          <w:szCs w:val="24"/>
        </w:rPr>
        <w:t xml:space="preserve"> in all directions, esp</w:t>
      </w:r>
      <w:r w:rsidRPr="00461231">
        <w:rPr>
          <w:rFonts w:cs="Times New Roman"/>
          <w:color w:val="000000" w:themeColor="text1"/>
          <w:szCs w:val="24"/>
        </w:rPr>
        <w:t>ecially</w:t>
      </w:r>
      <w:r w:rsidR="00BE287E" w:rsidRPr="00461231">
        <w:rPr>
          <w:rFonts w:cs="Times New Roman"/>
          <w:color w:val="000000" w:themeColor="text1"/>
          <w:szCs w:val="24"/>
        </w:rPr>
        <w:t xml:space="preserve"> flexion and extension that produced paresthesias in the upper extremities (no goniometer)</w:t>
      </w:r>
      <w:r w:rsidR="00DB5EE9" w:rsidRPr="00461231">
        <w:rPr>
          <w:rFonts w:cs="Times New Roman"/>
          <w:color w:val="000000" w:themeColor="text1"/>
          <w:szCs w:val="24"/>
        </w:rPr>
        <w:t xml:space="preserve"> along with radiculopathy in each upper extremity</w:t>
      </w:r>
      <w:r w:rsidR="00BE287E" w:rsidRPr="00461231">
        <w:rPr>
          <w:rFonts w:cs="Times New Roman"/>
          <w:color w:val="000000" w:themeColor="text1"/>
          <w:szCs w:val="24"/>
        </w:rPr>
        <w:t xml:space="preserve">. </w:t>
      </w:r>
      <w:r w:rsidR="00A9390D">
        <w:rPr>
          <w:rFonts w:cs="Times New Roman"/>
          <w:color w:val="000000" w:themeColor="text1"/>
          <w:szCs w:val="24"/>
        </w:rPr>
        <w:t xml:space="preserve"> </w:t>
      </w:r>
      <w:r w:rsidR="00DB5EE9" w:rsidRPr="00461231">
        <w:rPr>
          <w:rFonts w:cs="Times New Roman"/>
          <w:color w:val="000000" w:themeColor="text1"/>
          <w:szCs w:val="24"/>
        </w:rPr>
        <w:t xml:space="preserve">A rating of </w:t>
      </w:r>
      <w:r w:rsidR="00BE287E" w:rsidRPr="00461231">
        <w:rPr>
          <w:rFonts w:cs="Times New Roman"/>
          <w:color w:val="000000" w:themeColor="text1"/>
          <w:szCs w:val="24"/>
        </w:rPr>
        <w:t xml:space="preserve">10% </w:t>
      </w:r>
      <w:r w:rsidR="00DB5EE9" w:rsidRPr="00461231">
        <w:rPr>
          <w:rFonts w:cs="Times New Roman"/>
          <w:color w:val="000000" w:themeColor="text1"/>
          <w:szCs w:val="24"/>
        </w:rPr>
        <w:t xml:space="preserve">was applied </w:t>
      </w:r>
      <w:r w:rsidR="00BE287E" w:rsidRPr="00461231">
        <w:rPr>
          <w:rFonts w:cs="Times New Roman"/>
          <w:color w:val="000000" w:themeColor="text1"/>
          <w:szCs w:val="24"/>
        </w:rPr>
        <w:t xml:space="preserve">for painful motion and </w:t>
      </w:r>
      <w:r w:rsidR="00DB5EE9" w:rsidRPr="00461231">
        <w:rPr>
          <w:rFonts w:cs="Times New Roman"/>
          <w:color w:val="000000" w:themeColor="text1"/>
          <w:szCs w:val="24"/>
        </w:rPr>
        <w:t xml:space="preserve">two </w:t>
      </w:r>
      <w:r w:rsidR="00BE287E" w:rsidRPr="00461231">
        <w:rPr>
          <w:rFonts w:cs="Times New Roman"/>
          <w:color w:val="000000" w:themeColor="text1"/>
          <w:szCs w:val="24"/>
        </w:rPr>
        <w:t xml:space="preserve">10% </w:t>
      </w:r>
      <w:r w:rsidR="00DB5EE9" w:rsidRPr="00461231">
        <w:rPr>
          <w:rFonts w:cs="Times New Roman"/>
          <w:color w:val="000000" w:themeColor="text1"/>
          <w:szCs w:val="24"/>
        </w:rPr>
        <w:t xml:space="preserve">ratings were applied </w:t>
      </w:r>
      <w:r w:rsidR="00BE287E" w:rsidRPr="00461231">
        <w:rPr>
          <w:rFonts w:cs="Times New Roman"/>
          <w:color w:val="000000" w:themeColor="text1"/>
          <w:szCs w:val="24"/>
        </w:rPr>
        <w:t>for sensory radiculopathy in each upper extremity.</w:t>
      </w:r>
      <w:r w:rsidR="001247CA" w:rsidRPr="00461231">
        <w:rPr>
          <w:rFonts w:cs="Times New Roman"/>
          <w:color w:val="000000" w:themeColor="text1"/>
          <w:szCs w:val="24"/>
        </w:rPr>
        <w:t xml:space="preserve"> </w:t>
      </w:r>
      <w:r w:rsidR="00A9390D">
        <w:rPr>
          <w:rFonts w:cs="Times New Roman"/>
          <w:color w:val="000000" w:themeColor="text1"/>
          <w:szCs w:val="24"/>
        </w:rPr>
        <w:t xml:space="preserve"> </w:t>
      </w:r>
      <w:r w:rsidR="001247CA" w:rsidRPr="00461231">
        <w:rPr>
          <w:rFonts w:cs="Times New Roman"/>
          <w:color w:val="000000" w:themeColor="text1"/>
          <w:szCs w:val="24"/>
        </w:rPr>
        <w:t xml:space="preserve">The VA increased the rating to a temporary 100% when the CI had his surgery and convalescence and then determined a 30% rating for the cervical spondylosis </w:t>
      </w:r>
      <w:r w:rsidR="000E634F" w:rsidRPr="00461231">
        <w:rPr>
          <w:rFonts w:cs="Times New Roman"/>
          <w:color w:val="000000" w:themeColor="text1"/>
          <w:szCs w:val="24"/>
        </w:rPr>
        <w:t>at the end of 100% rating (</w:t>
      </w:r>
      <w:r w:rsidR="00665732">
        <w:rPr>
          <w:rFonts w:cs="Times New Roman"/>
          <w:color w:val="000000" w:themeColor="text1"/>
          <w:szCs w:val="24"/>
        </w:rPr>
        <w:t xml:space="preserve">1 June </w:t>
      </w:r>
      <w:r w:rsidR="001247CA" w:rsidRPr="00461231">
        <w:rPr>
          <w:rFonts w:cs="Times New Roman"/>
          <w:color w:val="000000" w:themeColor="text1"/>
          <w:szCs w:val="24"/>
        </w:rPr>
        <w:t>2005</w:t>
      </w:r>
      <w:r w:rsidR="000E634F" w:rsidRPr="00461231">
        <w:rPr>
          <w:rFonts w:cs="Times New Roman"/>
          <w:color w:val="000000" w:themeColor="text1"/>
          <w:szCs w:val="24"/>
        </w:rPr>
        <w:t>)</w:t>
      </w:r>
      <w:r w:rsidR="001247CA" w:rsidRPr="00461231">
        <w:rPr>
          <w:rFonts w:cs="Times New Roman"/>
          <w:color w:val="000000" w:themeColor="text1"/>
          <w:szCs w:val="24"/>
        </w:rPr>
        <w:t xml:space="preserve">. </w:t>
      </w:r>
      <w:r w:rsidR="00A9390D">
        <w:rPr>
          <w:rFonts w:cs="Times New Roman"/>
          <w:color w:val="000000" w:themeColor="text1"/>
          <w:szCs w:val="24"/>
        </w:rPr>
        <w:t xml:space="preserve"> </w:t>
      </w:r>
      <w:r w:rsidR="001247CA" w:rsidRPr="00461231">
        <w:rPr>
          <w:rFonts w:cs="Times New Roman"/>
          <w:color w:val="000000" w:themeColor="text1"/>
          <w:szCs w:val="24"/>
        </w:rPr>
        <w:t xml:space="preserve">The ratings for bilateral radiculopathy were later increased to 20% each, effective </w:t>
      </w:r>
      <w:r w:rsidR="00665732">
        <w:rPr>
          <w:rFonts w:cs="Times New Roman"/>
          <w:color w:val="000000" w:themeColor="text1"/>
          <w:szCs w:val="24"/>
        </w:rPr>
        <w:t xml:space="preserve">6 April </w:t>
      </w:r>
      <w:r w:rsidR="001247CA" w:rsidRPr="00461231">
        <w:rPr>
          <w:rFonts w:cs="Times New Roman"/>
          <w:color w:val="000000" w:themeColor="text1"/>
          <w:szCs w:val="24"/>
        </w:rPr>
        <w:t>2010</w:t>
      </w:r>
      <w:r w:rsidR="00665732">
        <w:rPr>
          <w:rFonts w:cs="Times New Roman"/>
          <w:color w:val="000000" w:themeColor="text1"/>
          <w:szCs w:val="24"/>
        </w:rPr>
        <w:t>, more than 6</w:t>
      </w:r>
      <w:r w:rsidR="001247CA" w:rsidRPr="00461231">
        <w:rPr>
          <w:rFonts w:cs="Times New Roman"/>
          <w:color w:val="000000" w:themeColor="text1"/>
          <w:szCs w:val="24"/>
        </w:rPr>
        <w:t xml:space="preserve"> years after the CI separated.</w:t>
      </w:r>
    </w:p>
    <w:p w:rsidR="005F578E" w:rsidRPr="00461231" w:rsidRDefault="00BF70F4" w:rsidP="00BF70F4">
      <w:pPr>
        <w:autoSpaceDE w:val="0"/>
        <w:autoSpaceDN w:val="0"/>
        <w:adjustRightInd w:val="0"/>
        <w:jc w:val="both"/>
        <w:rPr>
          <w:rFonts w:cs="Times New Roman"/>
          <w:color w:val="000000" w:themeColor="text1"/>
          <w:szCs w:val="24"/>
        </w:rPr>
      </w:pPr>
      <w:r w:rsidRPr="00461231">
        <w:rPr>
          <w:rFonts w:cs="Times New Roman"/>
          <w:color w:val="000000" w:themeColor="text1"/>
          <w:szCs w:val="24"/>
        </w:rPr>
        <w:t xml:space="preserve"> </w:t>
      </w:r>
    </w:p>
    <w:p w:rsidR="00DB5EE9" w:rsidRPr="00461231" w:rsidRDefault="00DB5EE9" w:rsidP="00BF70F4">
      <w:pPr>
        <w:autoSpaceDE w:val="0"/>
        <w:autoSpaceDN w:val="0"/>
        <w:adjustRightInd w:val="0"/>
        <w:jc w:val="both"/>
        <w:rPr>
          <w:rFonts w:cs="Times New Roman"/>
          <w:color w:val="000000" w:themeColor="text1"/>
          <w:szCs w:val="24"/>
        </w:rPr>
      </w:pPr>
      <w:r w:rsidRPr="00461231">
        <w:rPr>
          <w:rFonts w:cs="Times New Roman"/>
          <w:color w:val="000000" w:themeColor="text1"/>
          <w:szCs w:val="24"/>
        </w:rPr>
        <w:t>After reviewing the entire record, including the progression of disease after the PEB had made its determination but before the CI separated, it is clear that the CI had significant</w:t>
      </w:r>
      <w:r w:rsidR="00B64729" w:rsidRPr="00461231">
        <w:rPr>
          <w:rFonts w:cs="Times New Roman"/>
          <w:color w:val="000000" w:themeColor="text1"/>
          <w:szCs w:val="24"/>
        </w:rPr>
        <w:t xml:space="preserve"> spinal stenosis with myelomalacia, </w:t>
      </w:r>
      <w:r w:rsidRPr="00461231">
        <w:rPr>
          <w:rFonts w:cs="Times New Roman"/>
          <w:color w:val="000000" w:themeColor="text1"/>
          <w:szCs w:val="24"/>
        </w:rPr>
        <w:t xml:space="preserve">not simple </w:t>
      </w:r>
      <w:r w:rsidR="00B64729" w:rsidRPr="00461231">
        <w:rPr>
          <w:rFonts w:cs="Times New Roman"/>
          <w:color w:val="000000" w:themeColor="text1"/>
          <w:szCs w:val="24"/>
        </w:rPr>
        <w:t xml:space="preserve">radiculopathy. </w:t>
      </w:r>
      <w:r w:rsidR="00A9390D">
        <w:rPr>
          <w:rFonts w:cs="Times New Roman"/>
          <w:color w:val="000000" w:themeColor="text1"/>
          <w:szCs w:val="24"/>
        </w:rPr>
        <w:t xml:space="preserve"> </w:t>
      </w:r>
      <w:r w:rsidRPr="00461231">
        <w:rPr>
          <w:rFonts w:cs="Times New Roman"/>
          <w:color w:val="000000" w:themeColor="text1"/>
          <w:szCs w:val="24"/>
        </w:rPr>
        <w:t>While there was</w:t>
      </w:r>
      <w:r w:rsidR="00B64729" w:rsidRPr="00461231">
        <w:rPr>
          <w:rFonts w:cs="Times New Roman"/>
          <w:color w:val="000000" w:themeColor="text1"/>
          <w:szCs w:val="24"/>
        </w:rPr>
        <w:t xml:space="preserve"> some </w:t>
      </w:r>
      <w:r w:rsidR="003D6F60" w:rsidRPr="00461231">
        <w:rPr>
          <w:rFonts w:cs="Times New Roman"/>
          <w:color w:val="000000" w:themeColor="text1"/>
          <w:szCs w:val="24"/>
        </w:rPr>
        <w:t>impingement</w:t>
      </w:r>
      <w:r w:rsidR="00B64729" w:rsidRPr="00461231">
        <w:rPr>
          <w:rFonts w:cs="Times New Roman"/>
          <w:color w:val="000000" w:themeColor="text1"/>
          <w:szCs w:val="24"/>
        </w:rPr>
        <w:t xml:space="preserve"> on neural foramina at multiple levels</w:t>
      </w:r>
      <w:r w:rsidRPr="00461231">
        <w:rPr>
          <w:rFonts w:cs="Times New Roman"/>
          <w:color w:val="000000" w:themeColor="text1"/>
          <w:szCs w:val="24"/>
        </w:rPr>
        <w:t xml:space="preserve">, the </w:t>
      </w:r>
      <w:r w:rsidR="00B64729" w:rsidRPr="00461231">
        <w:rPr>
          <w:rFonts w:cs="Times New Roman"/>
          <w:color w:val="000000" w:themeColor="text1"/>
          <w:szCs w:val="24"/>
        </w:rPr>
        <w:t>real problem was central stenosis and the spinal cord itself was damaged</w:t>
      </w:r>
      <w:r w:rsidR="00B92354" w:rsidRPr="00461231">
        <w:rPr>
          <w:rFonts w:cs="Times New Roman"/>
          <w:color w:val="000000" w:themeColor="text1"/>
          <w:szCs w:val="24"/>
        </w:rPr>
        <w:t>.</w:t>
      </w:r>
      <w:r w:rsidRPr="00461231">
        <w:rPr>
          <w:rFonts w:cs="Times New Roman"/>
          <w:color w:val="000000" w:themeColor="text1"/>
          <w:szCs w:val="24"/>
        </w:rPr>
        <w:t xml:space="preserve"> </w:t>
      </w:r>
      <w:r w:rsidR="00A9390D">
        <w:rPr>
          <w:rFonts w:cs="Times New Roman"/>
          <w:color w:val="000000" w:themeColor="text1"/>
          <w:szCs w:val="24"/>
        </w:rPr>
        <w:t xml:space="preserve"> </w:t>
      </w:r>
      <w:r w:rsidR="00BE287E" w:rsidRPr="00461231">
        <w:rPr>
          <w:rFonts w:cs="Times New Roman"/>
          <w:color w:val="000000" w:themeColor="text1"/>
          <w:szCs w:val="24"/>
        </w:rPr>
        <w:t xml:space="preserve">While </w:t>
      </w:r>
      <w:r w:rsidRPr="00461231">
        <w:rPr>
          <w:rFonts w:cs="Times New Roman"/>
          <w:color w:val="000000" w:themeColor="text1"/>
          <w:szCs w:val="24"/>
        </w:rPr>
        <w:t xml:space="preserve">the CI </w:t>
      </w:r>
      <w:r w:rsidR="00BE287E" w:rsidRPr="00461231">
        <w:rPr>
          <w:rFonts w:cs="Times New Roman"/>
          <w:color w:val="000000" w:themeColor="text1"/>
          <w:szCs w:val="24"/>
        </w:rPr>
        <w:t xml:space="preserve">had sensory issues in both </w:t>
      </w:r>
      <w:r w:rsidRPr="00461231">
        <w:rPr>
          <w:rFonts w:cs="Times New Roman"/>
          <w:color w:val="000000" w:themeColor="text1"/>
          <w:szCs w:val="24"/>
        </w:rPr>
        <w:t>upper extremities</w:t>
      </w:r>
      <w:r w:rsidR="00BE287E" w:rsidRPr="00461231">
        <w:rPr>
          <w:rFonts w:cs="Times New Roman"/>
          <w:color w:val="000000" w:themeColor="text1"/>
          <w:szCs w:val="24"/>
        </w:rPr>
        <w:t xml:space="preserve">, </w:t>
      </w:r>
      <w:r w:rsidRPr="00461231">
        <w:rPr>
          <w:rFonts w:cs="Times New Roman"/>
          <w:color w:val="000000" w:themeColor="text1"/>
          <w:szCs w:val="24"/>
        </w:rPr>
        <w:t xml:space="preserve">he </w:t>
      </w:r>
      <w:r w:rsidR="00BE287E" w:rsidRPr="00461231">
        <w:rPr>
          <w:rFonts w:cs="Times New Roman"/>
          <w:color w:val="000000" w:themeColor="text1"/>
          <w:szCs w:val="24"/>
        </w:rPr>
        <w:t xml:space="preserve">only had weakness </w:t>
      </w:r>
      <w:r w:rsidRPr="00461231">
        <w:rPr>
          <w:rFonts w:cs="Times New Roman"/>
          <w:color w:val="000000" w:themeColor="text1"/>
          <w:szCs w:val="24"/>
        </w:rPr>
        <w:t xml:space="preserve">on the left side prior to separation. </w:t>
      </w:r>
    </w:p>
    <w:p w:rsidR="00DB5EE9" w:rsidRPr="00461231" w:rsidRDefault="00DB5EE9" w:rsidP="00BF70F4">
      <w:pPr>
        <w:autoSpaceDE w:val="0"/>
        <w:autoSpaceDN w:val="0"/>
        <w:adjustRightInd w:val="0"/>
        <w:jc w:val="both"/>
        <w:rPr>
          <w:rFonts w:cs="Times New Roman"/>
          <w:color w:val="000000" w:themeColor="text1"/>
          <w:szCs w:val="24"/>
        </w:rPr>
      </w:pPr>
    </w:p>
    <w:p w:rsidR="003D6F60" w:rsidRPr="00461231" w:rsidRDefault="003D6F60" w:rsidP="00BF70F4">
      <w:pPr>
        <w:autoSpaceDE w:val="0"/>
        <w:autoSpaceDN w:val="0"/>
        <w:adjustRightInd w:val="0"/>
        <w:jc w:val="both"/>
        <w:rPr>
          <w:rFonts w:cs="Times New Roman"/>
          <w:color w:val="000000" w:themeColor="text1"/>
          <w:szCs w:val="24"/>
        </w:rPr>
      </w:pPr>
      <w:r w:rsidRPr="00461231">
        <w:rPr>
          <w:rFonts w:cs="Times New Roman"/>
          <w:color w:val="000000" w:themeColor="text1"/>
          <w:szCs w:val="24"/>
        </w:rPr>
        <w:t>Spinal stenosis with evidence of damage to spinal cord itself (myelomalacia) as well as impingement of nerve roots was document</w:t>
      </w:r>
      <w:r w:rsidR="00736A45" w:rsidRPr="00461231">
        <w:rPr>
          <w:rFonts w:cs="Times New Roman"/>
          <w:color w:val="000000" w:themeColor="text1"/>
          <w:szCs w:val="24"/>
        </w:rPr>
        <w:t>ed</w:t>
      </w:r>
      <w:r w:rsidRPr="00461231">
        <w:rPr>
          <w:rFonts w:cs="Times New Roman"/>
          <w:color w:val="000000" w:themeColor="text1"/>
          <w:szCs w:val="24"/>
        </w:rPr>
        <w:t xml:space="preserve"> on MRI</w:t>
      </w:r>
      <w:r w:rsidR="00736A45" w:rsidRPr="00461231">
        <w:rPr>
          <w:rFonts w:cs="Times New Roman"/>
          <w:color w:val="000000" w:themeColor="text1"/>
          <w:szCs w:val="24"/>
        </w:rPr>
        <w:t xml:space="preserve"> prior to separation</w:t>
      </w:r>
      <w:r w:rsidRPr="00461231">
        <w:rPr>
          <w:rFonts w:cs="Times New Roman"/>
          <w:color w:val="000000" w:themeColor="text1"/>
          <w:szCs w:val="24"/>
        </w:rPr>
        <w:t xml:space="preserve"> and is consistent with the clinical picture. </w:t>
      </w:r>
      <w:r w:rsidR="00A9390D">
        <w:rPr>
          <w:rFonts w:cs="Times New Roman"/>
          <w:color w:val="000000" w:themeColor="text1"/>
          <w:szCs w:val="24"/>
        </w:rPr>
        <w:t xml:space="preserve"> </w:t>
      </w:r>
      <w:r w:rsidRPr="00461231">
        <w:rPr>
          <w:rFonts w:cs="Times New Roman"/>
          <w:color w:val="000000" w:themeColor="text1"/>
          <w:szCs w:val="24"/>
        </w:rPr>
        <w:t xml:space="preserve">The spinal stenosis was severe at C5-6 and significant at C3-4, C4-5, and C6-7. </w:t>
      </w:r>
      <w:r w:rsidR="00A9390D">
        <w:rPr>
          <w:rFonts w:cs="Times New Roman"/>
          <w:color w:val="000000" w:themeColor="text1"/>
          <w:szCs w:val="24"/>
        </w:rPr>
        <w:t xml:space="preserve"> </w:t>
      </w:r>
      <w:r w:rsidRPr="00461231">
        <w:rPr>
          <w:rFonts w:cs="Times New Roman"/>
          <w:color w:val="000000" w:themeColor="text1"/>
          <w:szCs w:val="24"/>
        </w:rPr>
        <w:t>Additionally</w:t>
      </w:r>
      <w:r w:rsidR="00A9390D">
        <w:rPr>
          <w:rFonts w:cs="Times New Roman"/>
          <w:color w:val="000000" w:themeColor="text1"/>
          <w:szCs w:val="24"/>
        </w:rPr>
        <w:t>,</w:t>
      </w:r>
      <w:r w:rsidRPr="00461231">
        <w:rPr>
          <w:rFonts w:cs="Times New Roman"/>
          <w:color w:val="000000" w:themeColor="text1"/>
          <w:szCs w:val="24"/>
        </w:rPr>
        <w:t xml:space="preserve"> a bony spur was impinging on the spinal cord at C3-4. </w:t>
      </w:r>
      <w:r w:rsidR="00A9390D">
        <w:rPr>
          <w:rFonts w:cs="Times New Roman"/>
          <w:color w:val="000000" w:themeColor="text1"/>
          <w:szCs w:val="24"/>
        </w:rPr>
        <w:t xml:space="preserve"> </w:t>
      </w:r>
      <w:r w:rsidRPr="00461231">
        <w:rPr>
          <w:rFonts w:cs="Times New Roman"/>
          <w:color w:val="000000" w:themeColor="text1"/>
          <w:szCs w:val="24"/>
        </w:rPr>
        <w:t>Bilateral impingement on the neural foramina was noted at C3-4, C4-5, C5-6, and C6-7 with left side worse than right at C3-4 and right side worse than left at C4-5.</w:t>
      </w:r>
      <w:r w:rsidR="00736A45" w:rsidRPr="00461231">
        <w:rPr>
          <w:rFonts w:cs="Times New Roman"/>
          <w:color w:val="000000" w:themeColor="text1"/>
          <w:szCs w:val="24"/>
        </w:rPr>
        <w:t xml:space="preserve"> </w:t>
      </w:r>
      <w:r w:rsidR="00A9390D">
        <w:rPr>
          <w:rFonts w:cs="Times New Roman"/>
          <w:color w:val="000000" w:themeColor="text1"/>
          <w:szCs w:val="24"/>
        </w:rPr>
        <w:t xml:space="preserve"> </w:t>
      </w:r>
      <w:r w:rsidR="00963ED3" w:rsidRPr="00461231">
        <w:rPr>
          <w:rFonts w:cs="Times New Roman"/>
          <w:color w:val="000000" w:themeColor="text1"/>
          <w:szCs w:val="24"/>
        </w:rPr>
        <w:t>Th</w:t>
      </w:r>
      <w:r w:rsidR="001247CA" w:rsidRPr="00461231">
        <w:rPr>
          <w:rFonts w:cs="Times New Roman"/>
          <w:color w:val="000000" w:themeColor="text1"/>
          <w:szCs w:val="24"/>
        </w:rPr>
        <w:t>e 2004</w:t>
      </w:r>
      <w:r w:rsidR="00963ED3" w:rsidRPr="00461231">
        <w:rPr>
          <w:rFonts w:cs="Times New Roman"/>
          <w:color w:val="000000" w:themeColor="text1"/>
          <w:szCs w:val="24"/>
        </w:rPr>
        <w:t xml:space="preserve"> </w:t>
      </w:r>
      <w:r w:rsidR="007E0CBF" w:rsidRPr="00461231">
        <w:rPr>
          <w:rFonts w:cs="Times New Roman"/>
          <w:color w:val="000000" w:themeColor="text1"/>
          <w:szCs w:val="24"/>
        </w:rPr>
        <w:t xml:space="preserve">MRI </w:t>
      </w:r>
      <w:r w:rsidR="00963ED3" w:rsidRPr="00461231">
        <w:rPr>
          <w:rFonts w:cs="Times New Roman"/>
          <w:color w:val="000000" w:themeColor="text1"/>
          <w:szCs w:val="24"/>
        </w:rPr>
        <w:t xml:space="preserve">documents a worsening of the extensive disease noted on the previous MRI done in 2002 prior to the MEB NARSUM. </w:t>
      </w:r>
      <w:r w:rsidR="00A9390D">
        <w:rPr>
          <w:rFonts w:cs="Times New Roman"/>
          <w:color w:val="000000" w:themeColor="text1"/>
          <w:szCs w:val="24"/>
        </w:rPr>
        <w:t xml:space="preserve"> </w:t>
      </w:r>
      <w:r w:rsidR="00736A45" w:rsidRPr="00461231">
        <w:rPr>
          <w:rFonts w:cs="Times New Roman"/>
          <w:color w:val="000000" w:themeColor="text1"/>
          <w:szCs w:val="24"/>
        </w:rPr>
        <w:t xml:space="preserve">Extensive surgery to attempt to prevent further damage to the spinal cord was completed within eight and a half months of separation. </w:t>
      </w:r>
      <w:r w:rsidR="00A9390D">
        <w:rPr>
          <w:rFonts w:cs="Times New Roman"/>
          <w:color w:val="000000" w:themeColor="text1"/>
          <w:szCs w:val="24"/>
        </w:rPr>
        <w:t xml:space="preserve"> </w:t>
      </w:r>
      <w:r w:rsidR="00736A45" w:rsidRPr="00461231">
        <w:rPr>
          <w:rFonts w:cs="Times New Roman"/>
          <w:color w:val="000000" w:themeColor="text1"/>
          <w:szCs w:val="24"/>
        </w:rPr>
        <w:t xml:space="preserve">This clearly shows a worsening of the CI’s cervical spinal stenosis condition after the PEB convened but prior to separation from service to the retired </w:t>
      </w:r>
      <w:r w:rsidR="00665732">
        <w:rPr>
          <w:rFonts w:cs="Times New Roman"/>
          <w:color w:val="000000" w:themeColor="text1"/>
          <w:szCs w:val="24"/>
        </w:rPr>
        <w:t>R</w:t>
      </w:r>
      <w:r w:rsidR="00736A45" w:rsidRPr="00461231">
        <w:rPr>
          <w:rFonts w:cs="Times New Roman"/>
          <w:color w:val="000000" w:themeColor="text1"/>
          <w:szCs w:val="24"/>
        </w:rPr>
        <w:t xml:space="preserve">eserve on 29 February 2004. </w:t>
      </w:r>
      <w:r w:rsidR="00A9390D">
        <w:rPr>
          <w:rFonts w:cs="Times New Roman"/>
          <w:color w:val="000000" w:themeColor="text1"/>
          <w:szCs w:val="24"/>
        </w:rPr>
        <w:t xml:space="preserve"> </w:t>
      </w:r>
      <w:r w:rsidR="00736A45" w:rsidRPr="00461231">
        <w:rPr>
          <w:rFonts w:cs="Times New Roman"/>
          <w:color w:val="000000" w:themeColor="text1"/>
          <w:szCs w:val="24"/>
        </w:rPr>
        <w:t>His symptoms of pain, weakness, muscle atrophy, and paresthesias more likely than not</w:t>
      </w:r>
      <w:r w:rsidR="00963ED3" w:rsidRPr="00461231">
        <w:rPr>
          <w:rFonts w:cs="Times New Roman"/>
          <w:color w:val="000000" w:themeColor="text1"/>
          <w:szCs w:val="24"/>
        </w:rPr>
        <w:t>,</w:t>
      </w:r>
      <w:r w:rsidR="00736A45" w:rsidRPr="00461231">
        <w:rPr>
          <w:rFonts w:cs="Times New Roman"/>
          <w:color w:val="000000" w:themeColor="text1"/>
          <w:szCs w:val="24"/>
        </w:rPr>
        <w:t xml:space="preserve"> resulted from the injury to the cervical spinal cord itself as a result of the significant to severe narrowing of the central canal rather than </w:t>
      </w:r>
      <w:r w:rsidR="00963ED3" w:rsidRPr="00461231">
        <w:rPr>
          <w:rFonts w:cs="Times New Roman"/>
          <w:color w:val="000000" w:themeColor="text1"/>
          <w:szCs w:val="24"/>
        </w:rPr>
        <w:t xml:space="preserve">from the impingement of the nerve roots as they exited the neuroforaminal canals. </w:t>
      </w:r>
      <w:r w:rsidR="00A9390D">
        <w:rPr>
          <w:rFonts w:cs="Times New Roman"/>
          <w:color w:val="000000" w:themeColor="text1"/>
          <w:szCs w:val="24"/>
        </w:rPr>
        <w:t xml:space="preserve"> </w:t>
      </w:r>
      <w:r w:rsidR="00963ED3" w:rsidRPr="00461231">
        <w:rPr>
          <w:rFonts w:cs="Times New Roman"/>
          <w:color w:val="000000" w:themeColor="text1"/>
          <w:szCs w:val="24"/>
        </w:rPr>
        <w:t xml:space="preserve">This would explain the previously normal EMG and nerve conduction studies. </w:t>
      </w:r>
      <w:r w:rsidR="00665732">
        <w:rPr>
          <w:rFonts w:cs="Times New Roman"/>
          <w:color w:val="000000" w:themeColor="text1"/>
          <w:szCs w:val="24"/>
        </w:rPr>
        <w:t xml:space="preserve"> </w:t>
      </w:r>
      <w:r w:rsidR="00963ED3" w:rsidRPr="00461231">
        <w:rPr>
          <w:rFonts w:cs="Times New Roman"/>
          <w:color w:val="000000" w:themeColor="text1"/>
          <w:szCs w:val="24"/>
        </w:rPr>
        <w:t>However, an EMG performed in May 2005 documented severe and chronic motor radiculopathy bilaterally form C5 through T1 and if another EMG had been completed closer to the time of separation it most likely would have also been abnormal.</w:t>
      </w:r>
    </w:p>
    <w:p w:rsidR="003D6F60" w:rsidRPr="00461231" w:rsidRDefault="003D6F60" w:rsidP="00BF70F4">
      <w:pPr>
        <w:autoSpaceDE w:val="0"/>
        <w:autoSpaceDN w:val="0"/>
        <w:adjustRightInd w:val="0"/>
        <w:jc w:val="both"/>
        <w:rPr>
          <w:rFonts w:cs="Times New Roman"/>
          <w:color w:val="000000" w:themeColor="text1"/>
          <w:szCs w:val="24"/>
        </w:rPr>
      </w:pPr>
    </w:p>
    <w:p w:rsidR="00BE287E" w:rsidRPr="00461231" w:rsidRDefault="00963ED3" w:rsidP="00BF70F4">
      <w:pPr>
        <w:autoSpaceDE w:val="0"/>
        <w:autoSpaceDN w:val="0"/>
        <w:adjustRightInd w:val="0"/>
        <w:jc w:val="both"/>
        <w:rPr>
          <w:rFonts w:eastAsia="HiddenHorzOCR"/>
          <w:color w:val="000000" w:themeColor="text1"/>
          <w:szCs w:val="24"/>
          <w:u w:val="single"/>
        </w:rPr>
      </w:pPr>
      <w:r w:rsidRPr="00461231">
        <w:rPr>
          <w:rFonts w:cs="Times New Roman"/>
          <w:color w:val="000000" w:themeColor="text1"/>
          <w:szCs w:val="24"/>
        </w:rPr>
        <w:t>Visible atrophy of the muscles of the left upper extremity w</w:t>
      </w:r>
      <w:r w:rsidR="007E0CBF" w:rsidRPr="00461231">
        <w:rPr>
          <w:rFonts w:cs="Times New Roman"/>
          <w:color w:val="000000" w:themeColor="text1"/>
          <w:szCs w:val="24"/>
        </w:rPr>
        <w:t>as</w:t>
      </w:r>
      <w:r w:rsidRPr="00461231">
        <w:rPr>
          <w:rFonts w:cs="Times New Roman"/>
          <w:color w:val="000000" w:themeColor="text1"/>
          <w:szCs w:val="24"/>
        </w:rPr>
        <w:t xml:space="preserve"> noted as early as </w:t>
      </w:r>
      <w:r w:rsidR="007E0CBF" w:rsidRPr="00461231">
        <w:rPr>
          <w:rFonts w:cs="Times New Roman"/>
          <w:color w:val="000000" w:themeColor="text1"/>
          <w:szCs w:val="24"/>
        </w:rPr>
        <w:t xml:space="preserve">April 2002 in the left thenar eminence. </w:t>
      </w:r>
      <w:r w:rsidR="00A9390D">
        <w:rPr>
          <w:rFonts w:cs="Times New Roman"/>
          <w:color w:val="000000" w:themeColor="text1"/>
          <w:szCs w:val="24"/>
        </w:rPr>
        <w:t xml:space="preserve"> </w:t>
      </w:r>
      <w:r w:rsidR="007E0CBF" w:rsidRPr="00461231">
        <w:rPr>
          <w:rFonts w:cs="Times New Roman"/>
          <w:color w:val="000000" w:themeColor="text1"/>
          <w:szCs w:val="24"/>
        </w:rPr>
        <w:t xml:space="preserve">Atrophy of the left forearm muscles was noted in May 2002 and global atrophy of the entire left upper extremity was noted in April 2003. </w:t>
      </w:r>
      <w:r w:rsidR="00A9390D">
        <w:rPr>
          <w:rFonts w:cs="Times New Roman"/>
          <w:color w:val="000000" w:themeColor="text1"/>
          <w:szCs w:val="24"/>
        </w:rPr>
        <w:t xml:space="preserve"> </w:t>
      </w:r>
      <w:r w:rsidR="007E0CBF" w:rsidRPr="00461231">
        <w:rPr>
          <w:rFonts w:cs="Times New Roman"/>
          <w:color w:val="000000" w:themeColor="text1"/>
          <w:szCs w:val="24"/>
        </w:rPr>
        <w:t xml:space="preserve">This was consistently noted by a variety of providers over time. </w:t>
      </w:r>
      <w:r w:rsidR="00A9390D">
        <w:rPr>
          <w:rFonts w:cs="Times New Roman"/>
          <w:color w:val="000000" w:themeColor="text1"/>
          <w:szCs w:val="24"/>
        </w:rPr>
        <w:t xml:space="preserve"> </w:t>
      </w:r>
      <w:r w:rsidR="007E0CBF" w:rsidRPr="00461231">
        <w:rPr>
          <w:rFonts w:cs="Times New Roman"/>
          <w:color w:val="000000" w:themeColor="text1"/>
          <w:szCs w:val="24"/>
        </w:rPr>
        <w:t>By April 2003 s</w:t>
      </w:r>
      <w:r w:rsidR="00BE287E" w:rsidRPr="00461231">
        <w:rPr>
          <w:rFonts w:cs="Times New Roman"/>
          <w:color w:val="000000" w:themeColor="text1"/>
          <w:szCs w:val="24"/>
        </w:rPr>
        <w:t xml:space="preserve">trength in </w:t>
      </w:r>
      <w:r w:rsidR="003D6F60" w:rsidRPr="00461231">
        <w:rPr>
          <w:rFonts w:cs="Times New Roman"/>
          <w:color w:val="000000" w:themeColor="text1"/>
          <w:szCs w:val="24"/>
        </w:rPr>
        <w:t>left upper extremity was decreased to an average</w:t>
      </w:r>
      <w:r w:rsidR="00BE287E" w:rsidRPr="00461231">
        <w:rPr>
          <w:rFonts w:cs="Times New Roman"/>
          <w:color w:val="000000" w:themeColor="text1"/>
          <w:szCs w:val="24"/>
        </w:rPr>
        <w:t xml:space="preserve"> only </w:t>
      </w:r>
      <w:r w:rsidR="003D6F60" w:rsidRPr="00461231">
        <w:rPr>
          <w:rFonts w:cs="Times New Roman"/>
          <w:color w:val="000000" w:themeColor="text1"/>
          <w:szCs w:val="24"/>
        </w:rPr>
        <w:t xml:space="preserve">35% of the strength in right upper extremity. </w:t>
      </w:r>
      <w:r w:rsidR="00A9390D">
        <w:rPr>
          <w:rFonts w:cs="Times New Roman"/>
          <w:color w:val="000000" w:themeColor="text1"/>
          <w:szCs w:val="24"/>
        </w:rPr>
        <w:t xml:space="preserve"> </w:t>
      </w:r>
      <w:r w:rsidR="00736A45" w:rsidRPr="00461231">
        <w:rPr>
          <w:rFonts w:cs="Times New Roman"/>
          <w:color w:val="000000" w:themeColor="text1"/>
          <w:szCs w:val="24"/>
        </w:rPr>
        <w:t>The CI was u</w:t>
      </w:r>
      <w:r w:rsidR="003D6F60" w:rsidRPr="00461231">
        <w:rPr>
          <w:rFonts w:cs="Times New Roman"/>
          <w:color w:val="000000" w:themeColor="text1"/>
          <w:szCs w:val="24"/>
        </w:rPr>
        <w:t>nable to lift things over his</w:t>
      </w:r>
      <w:r w:rsidR="00736A45" w:rsidRPr="00461231">
        <w:rPr>
          <w:rFonts w:cs="Times New Roman"/>
          <w:color w:val="000000" w:themeColor="text1"/>
          <w:szCs w:val="24"/>
        </w:rPr>
        <w:t xml:space="preserve"> head and</w:t>
      </w:r>
      <w:r w:rsidR="003D6F60" w:rsidRPr="00461231">
        <w:rPr>
          <w:rFonts w:cs="Times New Roman"/>
          <w:color w:val="000000" w:themeColor="text1"/>
          <w:szCs w:val="24"/>
        </w:rPr>
        <w:t xml:space="preserve"> symptoms </w:t>
      </w:r>
      <w:r w:rsidR="00736A45" w:rsidRPr="00461231">
        <w:rPr>
          <w:rFonts w:cs="Times New Roman"/>
          <w:color w:val="000000" w:themeColor="text1"/>
          <w:szCs w:val="24"/>
        </w:rPr>
        <w:t xml:space="preserve">of increased pain and paresthesias </w:t>
      </w:r>
      <w:r w:rsidR="003D6F60" w:rsidRPr="00461231">
        <w:rPr>
          <w:rFonts w:cs="Times New Roman"/>
          <w:color w:val="000000" w:themeColor="text1"/>
          <w:szCs w:val="24"/>
        </w:rPr>
        <w:t>occurred with liftin</w:t>
      </w:r>
      <w:r w:rsidR="00736A45" w:rsidRPr="00461231">
        <w:rPr>
          <w:rFonts w:cs="Times New Roman"/>
          <w:color w:val="000000" w:themeColor="text1"/>
          <w:szCs w:val="24"/>
        </w:rPr>
        <w:t xml:space="preserve">g things greater than 10 pounds. </w:t>
      </w:r>
      <w:r w:rsidR="00A9390D">
        <w:rPr>
          <w:rFonts w:cs="Times New Roman"/>
          <w:color w:val="000000" w:themeColor="text1"/>
          <w:szCs w:val="24"/>
        </w:rPr>
        <w:t xml:space="preserve"> </w:t>
      </w:r>
      <w:r w:rsidR="00736A45" w:rsidRPr="00461231">
        <w:rPr>
          <w:rFonts w:cs="Times New Roman"/>
          <w:color w:val="000000" w:themeColor="text1"/>
          <w:szCs w:val="24"/>
        </w:rPr>
        <w:t>His</w:t>
      </w:r>
      <w:r w:rsidR="003D6F60" w:rsidRPr="00461231">
        <w:rPr>
          <w:rFonts w:cs="Times New Roman"/>
          <w:color w:val="000000" w:themeColor="text1"/>
          <w:szCs w:val="24"/>
        </w:rPr>
        <w:t xml:space="preserve"> profile limited his lifting to 20 pounds. </w:t>
      </w:r>
      <w:r w:rsidR="00A9390D">
        <w:rPr>
          <w:rFonts w:cs="Times New Roman"/>
          <w:color w:val="000000" w:themeColor="text1"/>
          <w:szCs w:val="24"/>
        </w:rPr>
        <w:t xml:space="preserve"> </w:t>
      </w:r>
      <w:r w:rsidR="00F5066A" w:rsidRPr="00461231">
        <w:rPr>
          <w:rFonts w:cs="Times New Roman"/>
          <w:color w:val="000000" w:themeColor="text1"/>
          <w:szCs w:val="24"/>
        </w:rPr>
        <w:t xml:space="preserve">The Board </w:t>
      </w:r>
      <w:r w:rsidR="00F5066A" w:rsidRPr="00461231">
        <w:rPr>
          <w:rFonts w:cs="Times New Roman"/>
          <w:color w:val="000000" w:themeColor="text1"/>
          <w:szCs w:val="24"/>
        </w:rPr>
        <w:lastRenderedPageBreak/>
        <w:t xml:space="preserve">discussed at length whether this constituted a mild or a moderate incomplete paralysis. </w:t>
      </w:r>
      <w:r w:rsidR="00A9390D">
        <w:rPr>
          <w:rFonts w:cs="Times New Roman"/>
          <w:color w:val="000000" w:themeColor="text1"/>
          <w:szCs w:val="24"/>
        </w:rPr>
        <w:t xml:space="preserve"> </w:t>
      </w:r>
      <w:r w:rsidR="00F5066A" w:rsidRPr="00461231">
        <w:rPr>
          <w:rFonts w:cs="Times New Roman"/>
          <w:color w:val="000000" w:themeColor="text1"/>
          <w:szCs w:val="24"/>
        </w:rPr>
        <w:t xml:space="preserve">After due deliberation in consideration of the totality of the evidence, a Board majority concluded that there was insufficient cause to recommend a change in the PEB fitness adjudication for this condition. </w:t>
      </w:r>
    </w:p>
    <w:p w:rsidR="001031F4" w:rsidRPr="00461231" w:rsidRDefault="001031F4" w:rsidP="00BF0E94">
      <w:pPr>
        <w:pBdr>
          <w:bottom w:val="single" w:sz="12" w:space="1" w:color="auto"/>
        </w:pBdr>
        <w:tabs>
          <w:tab w:val="left" w:pos="288"/>
          <w:tab w:val="left" w:pos="4752"/>
        </w:tabs>
        <w:jc w:val="both"/>
        <w:rPr>
          <w:color w:val="000000" w:themeColor="text1"/>
        </w:rPr>
      </w:pPr>
    </w:p>
    <w:p w:rsidR="00F1737C" w:rsidRPr="00461231" w:rsidRDefault="00F1737C" w:rsidP="006364ED">
      <w:pPr>
        <w:jc w:val="left"/>
        <w:rPr>
          <w:color w:val="000000" w:themeColor="text1"/>
          <w:szCs w:val="24"/>
        </w:rPr>
      </w:pPr>
    </w:p>
    <w:p w:rsidR="00BF4F49" w:rsidRPr="00461231" w:rsidRDefault="00C56FC8" w:rsidP="00C26B27">
      <w:pPr>
        <w:jc w:val="both"/>
        <w:rPr>
          <w:rFonts w:eastAsia="HiddenHorzOCR"/>
          <w:color w:val="000000" w:themeColor="text1"/>
          <w:szCs w:val="24"/>
        </w:rPr>
      </w:pPr>
      <w:r w:rsidRPr="00461231">
        <w:rPr>
          <w:color w:val="000000" w:themeColor="text1"/>
          <w:szCs w:val="24"/>
          <w:u w:val="single"/>
        </w:rPr>
        <w:t>BOARD FINDINGS</w:t>
      </w:r>
      <w:r w:rsidRPr="00461231">
        <w:rPr>
          <w:color w:val="000000" w:themeColor="text1"/>
          <w:szCs w:val="24"/>
        </w:rPr>
        <w:t>:</w:t>
      </w:r>
      <w:r w:rsidRPr="00461231">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1247CA" w:rsidRPr="00461231">
        <w:rPr>
          <w:rFonts w:eastAsiaTheme="minorHAnsi"/>
          <w:color w:val="000000" w:themeColor="text1"/>
          <w:szCs w:val="24"/>
        </w:rPr>
        <w:t xml:space="preserve"> </w:t>
      </w:r>
      <w:r w:rsidR="00A9390D">
        <w:rPr>
          <w:rFonts w:eastAsiaTheme="minorHAnsi"/>
          <w:color w:val="000000" w:themeColor="text1"/>
          <w:szCs w:val="24"/>
        </w:rPr>
        <w:t xml:space="preserve"> </w:t>
      </w:r>
      <w:r w:rsidR="001247CA" w:rsidRPr="00461231">
        <w:rPr>
          <w:rFonts w:eastAsiaTheme="minorHAnsi"/>
          <w:color w:val="000000" w:themeColor="text1"/>
          <w:szCs w:val="24"/>
        </w:rPr>
        <w:t xml:space="preserve">In the matter of the </w:t>
      </w:r>
      <w:r w:rsidR="001247CA" w:rsidRPr="00461231">
        <w:rPr>
          <w:rFonts w:cs="Times New Roman"/>
          <w:color w:val="000000" w:themeColor="text1"/>
          <w:szCs w:val="24"/>
        </w:rPr>
        <w:t>cervical myeloradiculopathy condition</w:t>
      </w:r>
      <w:r w:rsidR="001247CA" w:rsidRPr="00461231">
        <w:rPr>
          <w:rFonts w:eastAsiaTheme="minorHAnsi"/>
          <w:color w:val="000000" w:themeColor="text1"/>
          <w:szCs w:val="24"/>
        </w:rPr>
        <w:t>, the Board</w:t>
      </w:r>
      <w:r w:rsidR="00F5066A" w:rsidRPr="00461231">
        <w:rPr>
          <w:rFonts w:eastAsiaTheme="minorHAnsi"/>
          <w:color w:val="000000" w:themeColor="text1"/>
          <w:szCs w:val="24"/>
        </w:rPr>
        <w:t>, by simple majority,</w:t>
      </w:r>
      <w:r w:rsidR="001247CA" w:rsidRPr="00461231">
        <w:rPr>
          <w:rFonts w:eastAsiaTheme="minorHAnsi"/>
          <w:color w:val="000000" w:themeColor="text1"/>
          <w:szCs w:val="24"/>
        </w:rPr>
        <w:t xml:space="preserve"> </w:t>
      </w:r>
      <w:r w:rsidR="00F5066A" w:rsidRPr="00461231">
        <w:rPr>
          <w:rFonts w:eastAsiaTheme="minorHAnsi"/>
          <w:color w:val="000000" w:themeColor="text1"/>
          <w:szCs w:val="24"/>
        </w:rPr>
        <w:t>recommends no change in the PEB adjudication at separation or permanently</w:t>
      </w:r>
      <w:r w:rsidR="001247CA" w:rsidRPr="00461231">
        <w:rPr>
          <w:rFonts w:eastAsiaTheme="minorHAnsi"/>
          <w:color w:val="000000" w:themeColor="text1"/>
          <w:szCs w:val="24"/>
        </w:rPr>
        <w:t>.</w:t>
      </w:r>
      <w:r w:rsidR="00F5066A" w:rsidRPr="00461231">
        <w:rPr>
          <w:rFonts w:eastAsiaTheme="minorHAnsi"/>
          <w:color w:val="000000" w:themeColor="text1"/>
          <w:szCs w:val="24"/>
        </w:rPr>
        <w:t xml:space="preserve"> </w:t>
      </w:r>
      <w:r w:rsidR="00A9390D">
        <w:rPr>
          <w:rFonts w:eastAsiaTheme="minorHAnsi"/>
          <w:color w:val="000000" w:themeColor="text1"/>
          <w:szCs w:val="24"/>
        </w:rPr>
        <w:t xml:space="preserve"> </w:t>
      </w:r>
      <w:r w:rsidR="00F5066A" w:rsidRPr="00461231">
        <w:rPr>
          <w:rFonts w:eastAsiaTheme="minorHAnsi"/>
          <w:color w:val="000000" w:themeColor="text1"/>
          <w:szCs w:val="24"/>
        </w:rPr>
        <w:t>The single voter for dissent (who recommended adopting the VA rating 8699-8613 at 30% for moderate incomplete paralysis based on the significant muscle weakness in the left upper extremity) submitted the addended minority opinion.</w:t>
      </w:r>
    </w:p>
    <w:p w:rsidR="00F1737C" w:rsidRPr="00461231" w:rsidRDefault="00F1737C" w:rsidP="00BF0E94">
      <w:pPr>
        <w:pBdr>
          <w:bottom w:val="single" w:sz="12" w:space="1" w:color="auto"/>
        </w:pBdr>
        <w:tabs>
          <w:tab w:val="left" w:pos="288"/>
          <w:tab w:val="left" w:pos="4752"/>
        </w:tabs>
        <w:jc w:val="both"/>
        <w:rPr>
          <w:color w:val="000000" w:themeColor="text1"/>
        </w:rPr>
      </w:pPr>
    </w:p>
    <w:p w:rsidR="008208C3" w:rsidRPr="00461231" w:rsidRDefault="00C56FC8" w:rsidP="00B92354">
      <w:pPr>
        <w:jc w:val="left"/>
        <w:rPr>
          <w:color w:val="000000" w:themeColor="text1"/>
          <w:szCs w:val="24"/>
        </w:rPr>
      </w:pPr>
      <w:r w:rsidRPr="00461231">
        <w:rPr>
          <w:color w:val="000000" w:themeColor="text1"/>
          <w:szCs w:val="24"/>
          <w:u w:val="single"/>
        </w:rPr>
        <w:t>RECOMMENDATION</w:t>
      </w:r>
      <w:r w:rsidRPr="00461231">
        <w:rPr>
          <w:color w:val="000000" w:themeColor="text1"/>
          <w:szCs w:val="24"/>
        </w:rPr>
        <w:t>:</w:t>
      </w:r>
      <w:r w:rsidR="00B92354" w:rsidRPr="00461231">
        <w:rPr>
          <w:color w:val="000000" w:themeColor="text1"/>
          <w:szCs w:val="24"/>
        </w:rPr>
        <w:t xml:space="preserve">  </w:t>
      </w:r>
      <w:r w:rsidR="0022352E" w:rsidRPr="00461231">
        <w:rPr>
          <w:color w:val="000000" w:themeColor="text1"/>
          <w:szCs w:val="24"/>
        </w:rPr>
        <w:t>The Board, therefore, recommends that there be no recharacterization of the CI’s disability and separation determination, as follows:</w:t>
      </w:r>
    </w:p>
    <w:p w:rsidR="00BA6A9C" w:rsidRPr="00461231"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461231" w:rsidTr="0080588E">
        <w:trPr>
          <w:trHeight w:val="233"/>
          <w:jc w:val="center"/>
        </w:trPr>
        <w:tc>
          <w:tcPr>
            <w:tcW w:w="6282" w:type="dxa"/>
            <w:shd w:val="clear" w:color="auto" w:fill="D9D9D9"/>
            <w:vAlign w:val="center"/>
          </w:tcPr>
          <w:p w:rsidR="00A95BBA" w:rsidRPr="00461231" w:rsidRDefault="00A95BBA" w:rsidP="00BF0E94">
            <w:pPr>
              <w:tabs>
                <w:tab w:val="left" w:pos="288"/>
                <w:tab w:val="left" w:pos="4752"/>
              </w:tabs>
              <w:rPr>
                <w:b/>
                <w:color w:val="000000" w:themeColor="text1"/>
                <w:szCs w:val="24"/>
              </w:rPr>
            </w:pPr>
            <w:r w:rsidRPr="00461231">
              <w:rPr>
                <w:b/>
                <w:color w:val="000000" w:themeColor="text1"/>
                <w:szCs w:val="24"/>
              </w:rPr>
              <w:t>UNFITTING CONDITION</w:t>
            </w:r>
          </w:p>
        </w:tc>
        <w:tc>
          <w:tcPr>
            <w:tcW w:w="1710" w:type="dxa"/>
            <w:shd w:val="clear" w:color="auto" w:fill="D9D9D9"/>
            <w:vAlign w:val="center"/>
          </w:tcPr>
          <w:p w:rsidR="00A95BBA" w:rsidRPr="00461231" w:rsidRDefault="00A95BBA" w:rsidP="00BF0E94">
            <w:pPr>
              <w:tabs>
                <w:tab w:val="left" w:pos="288"/>
                <w:tab w:val="left" w:pos="4752"/>
              </w:tabs>
              <w:rPr>
                <w:b/>
                <w:color w:val="000000" w:themeColor="text1"/>
                <w:szCs w:val="24"/>
              </w:rPr>
            </w:pPr>
            <w:r w:rsidRPr="00461231">
              <w:rPr>
                <w:b/>
                <w:color w:val="000000" w:themeColor="text1"/>
                <w:szCs w:val="24"/>
              </w:rPr>
              <w:t>VASRD CODE</w:t>
            </w:r>
          </w:p>
        </w:tc>
        <w:tc>
          <w:tcPr>
            <w:tcW w:w="1170" w:type="dxa"/>
            <w:shd w:val="clear" w:color="auto" w:fill="D9D9D9"/>
            <w:vAlign w:val="center"/>
          </w:tcPr>
          <w:p w:rsidR="00A95BBA" w:rsidRPr="00461231" w:rsidRDefault="00A95BBA" w:rsidP="00BF0E94">
            <w:pPr>
              <w:tabs>
                <w:tab w:val="left" w:pos="288"/>
                <w:tab w:val="left" w:pos="4752"/>
              </w:tabs>
              <w:rPr>
                <w:b/>
                <w:color w:val="000000" w:themeColor="text1"/>
                <w:szCs w:val="24"/>
              </w:rPr>
            </w:pPr>
            <w:r w:rsidRPr="00461231">
              <w:rPr>
                <w:b/>
                <w:color w:val="000000" w:themeColor="text1"/>
                <w:szCs w:val="24"/>
              </w:rPr>
              <w:t>RATING</w:t>
            </w:r>
          </w:p>
        </w:tc>
      </w:tr>
      <w:tr w:rsidR="00A95BBA" w:rsidRPr="00461231" w:rsidTr="0080588E">
        <w:trPr>
          <w:jc w:val="center"/>
        </w:trPr>
        <w:tc>
          <w:tcPr>
            <w:tcW w:w="6282" w:type="dxa"/>
            <w:vAlign w:val="center"/>
          </w:tcPr>
          <w:p w:rsidR="00A95BBA" w:rsidRPr="00461231" w:rsidRDefault="00F5066A" w:rsidP="00FE5C84">
            <w:pPr>
              <w:tabs>
                <w:tab w:val="left" w:pos="288"/>
                <w:tab w:val="left" w:pos="4752"/>
              </w:tabs>
              <w:jc w:val="left"/>
              <w:rPr>
                <w:color w:val="000000" w:themeColor="text1"/>
                <w:szCs w:val="24"/>
              </w:rPr>
            </w:pPr>
            <w:r w:rsidRPr="00461231">
              <w:rPr>
                <w:color w:val="000000" w:themeColor="text1"/>
                <w:szCs w:val="24"/>
              </w:rPr>
              <w:t>Cervical Spondylosis, With Neck Pain And Chronic Mild Left (Non-Dominant) Arm Weakness, With Mild Atrophy Of Biceps/Triceps And Forearm, Without Electrodiagnostic Abnormality</w:t>
            </w:r>
          </w:p>
        </w:tc>
        <w:tc>
          <w:tcPr>
            <w:tcW w:w="1710" w:type="dxa"/>
            <w:vAlign w:val="center"/>
          </w:tcPr>
          <w:p w:rsidR="00A95BBA" w:rsidRPr="00461231" w:rsidRDefault="001247CA" w:rsidP="00F5066A">
            <w:pPr>
              <w:tabs>
                <w:tab w:val="left" w:pos="288"/>
                <w:tab w:val="left" w:pos="4752"/>
              </w:tabs>
              <w:rPr>
                <w:color w:val="000000" w:themeColor="text1"/>
                <w:szCs w:val="24"/>
              </w:rPr>
            </w:pPr>
            <w:r w:rsidRPr="00461231">
              <w:rPr>
                <w:color w:val="000000" w:themeColor="text1"/>
                <w:szCs w:val="24"/>
              </w:rPr>
              <w:t>8</w:t>
            </w:r>
            <w:r w:rsidR="00F5066A" w:rsidRPr="00461231">
              <w:rPr>
                <w:color w:val="000000" w:themeColor="text1"/>
                <w:szCs w:val="24"/>
              </w:rPr>
              <w:t>5</w:t>
            </w:r>
            <w:r w:rsidR="00A6683E" w:rsidRPr="00461231">
              <w:rPr>
                <w:color w:val="000000" w:themeColor="text1"/>
                <w:szCs w:val="24"/>
              </w:rPr>
              <w:t>99-8</w:t>
            </w:r>
            <w:r w:rsidR="00F5066A" w:rsidRPr="00461231">
              <w:rPr>
                <w:color w:val="000000" w:themeColor="text1"/>
                <w:szCs w:val="24"/>
              </w:rPr>
              <w:t>5</w:t>
            </w:r>
            <w:r w:rsidR="00A6683E" w:rsidRPr="00461231">
              <w:rPr>
                <w:color w:val="000000" w:themeColor="text1"/>
                <w:szCs w:val="24"/>
              </w:rPr>
              <w:t>13</w:t>
            </w:r>
          </w:p>
        </w:tc>
        <w:tc>
          <w:tcPr>
            <w:tcW w:w="1170" w:type="dxa"/>
            <w:vAlign w:val="center"/>
          </w:tcPr>
          <w:p w:rsidR="00A95BBA" w:rsidRPr="00461231" w:rsidRDefault="00F5066A" w:rsidP="00BF0E94">
            <w:pPr>
              <w:tabs>
                <w:tab w:val="left" w:pos="288"/>
                <w:tab w:val="left" w:pos="4752"/>
              </w:tabs>
              <w:rPr>
                <w:color w:val="000000" w:themeColor="text1"/>
                <w:szCs w:val="24"/>
              </w:rPr>
            </w:pPr>
            <w:r w:rsidRPr="00461231">
              <w:rPr>
                <w:color w:val="000000" w:themeColor="text1"/>
                <w:szCs w:val="24"/>
              </w:rPr>
              <w:t>2</w:t>
            </w:r>
            <w:r w:rsidR="00A6683E" w:rsidRPr="00461231">
              <w:rPr>
                <w:color w:val="000000" w:themeColor="text1"/>
                <w:szCs w:val="24"/>
              </w:rPr>
              <w:t>0</w:t>
            </w:r>
            <w:r w:rsidR="00A95BBA" w:rsidRPr="00461231">
              <w:rPr>
                <w:color w:val="000000" w:themeColor="text1"/>
                <w:szCs w:val="24"/>
              </w:rPr>
              <w:t>%</w:t>
            </w:r>
          </w:p>
        </w:tc>
      </w:tr>
      <w:tr w:rsidR="00A95BBA" w:rsidRPr="00461231"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461231" w:rsidRDefault="00A95BBA" w:rsidP="00BF0E94">
            <w:pPr>
              <w:tabs>
                <w:tab w:val="left" w:pos="288"/>
                <w:tab w:val="left" w:pos="4752"/>
              </w:tabs>
              <w:rPr>
                <w:b/>
                <w:color w:val="000000" w:themeColor="text1"/>
                <w:szCs w:val="24"/>
              </w:rPr>
            </w:pPr>
            <w:r w:rsidRPr="00461231">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461231" w:rsidRDefault="00F5066A" w:rsidP="00BF0E94">
            <w:pPr>
              <w:tabs>
                <w:tab w:val="left" w:pos="288"/>
                <w:tab w:val="left" w:pos="4752"/>
              </w:tabs>
              <w:rPr>
                <w:b/>
                <w:color w:val="000000" w:themeColor="text1"/>
                <w:szCs w:val="24"/>
              </w:rPr>
            </w:pPr>
            <w:r w:rsidRPr="00461231">
              <w:rPr>
                <w:b/>
                <w:color w:val="000000" w:themeColor="text1"/>
                <w:szCs w:val="24"/>
              </w:rPr>
              <w:t>2</w:t>
            </w:r>
            <w:r w:rsidR="00A6683E" w:rsidRPr="00461231">
              <w:rPr>
                <w:b/>
                <w:color w:val="000000" w:themeColor="text1"/>
                <w:szCs w:val="24"/>
              </w:rPr>
              <w:t>0</w:t>
            </w:r>
            <w:r w:rsidR="00A95BBA" w:rsidRPr="00461231">
              <w:rPr>
                <w:b/>
                <w:color w:val="000000" w:themeColor="text1"/>
                <w:szCs w:val="24"/>
              </w:rPr>
              <w:t>%</w:t>
            </w:r>
          </w:p>
        </w:tc>
      </w:tr>
    </w:tbl>
    <w:p w:rsidR="005B1D09" w:rsidRPr="00461231" w:rsidRDefault="005B1D09" w:rsidP="00BF0E94">
      <w:pPr>
        <w:pBdr>
          <w:bottom w:val="single" w:sz="12" w:space="1" w:color="auto"/>
        </w:pBdr>
        <w:tabs>
          <w:tab w:val="left" w:pos="288"/>
          <w:tab w:val="left" w:pos="4752"/>
        </w:tabs>
        <w:jc w:val="both"/>
        <w:rPr>
          <w:color w:val="000000" w:themeColor="text1"/>
        </w:rPr>
      </w:pPr>
    </w:p>
    <w:p w:rsidR="005B1D09" w:rsidRPr="00461231" w:rsidRDefault="005B1D09" w:rsidP="00BF0E94">
      <w:pPr>
        <w:rPr>
          <w:color w:val="000000" w:themeColor="text1"/>
          <w:szCs w:val="24"/>
        </w:rPr>
      </w:pPr>
    </w:p>
    <w:p w:rsidR="00D91DA6" w:rsidRPr="00461231" w:rsidRDefault="00FB1725" w:rsidP="00BF0E94">
      <w:pPr>
        <w:tabs>
          <w:tab w:val="left" w:pos="288"/>
          <w:tab w:val="left" w:pos="4752"/>
        </w:tabs>
        <w:jc w:val="both"/>
        <w:rPr>
          <w:color w:val="000000" w:themeColor="text1"/>
        </w:rPr>
      </w:pPr>
      <w:r w:rsidRPr="00461231">
        <w:rPr>
          <w:color w:val="000000" w:themeColor="text1"/>
        </w:rPr>
        <w:t>The following documentary evidence was considered:</w:t>
      </w:r>
    </w:p>
    <w:p w:rsidR="00EB5EFD" w:rsidRPr="00461231" w:rsidRDefault="00EB5EFD" w:rsidP="00BF0E94">
      <w:pPr>
        <w:tabs>
          <w:tab w:val="left" w:pos="288"/>
          <w:tab w:val="left" w:pos="4752"/>
        </w:tabs>
        <w:jc w:val="both"/>
        <w:rPr>
          <w:color w:val="000000" w:themeColor="text1"/>
        </w:rPr>
      </w:pPr>
    </w:p>
    <w:p w:rsidR="00114F20" w:rsidRPr="00461231" w:rsidRDefault="00FB1725" w:rsidP="00665732">
      <w:pPr>
        <w:tabs>
          <w:tab w:val="left" w:pos="288"/>
          <w:tab w:val="left" w:pos="4752"/>
        </w:tabs>
        <w:jc w:val="both"/>
        <w:rPr>
          <w:color w:val="000000" w:themeColor="text1"/>
        </w:rPr>
      </w:pPr>
      <w:r w:rsidRPr="00461231">
        <w:rPr>
          <w:color w:val="000000" w:themeColor="text1"/>
        </w:rPr>
        <w:t xml:space="preserve">Exhibit A.  DD Form </w:t>
      </w:r>
      <w:proofErr w:type="gramStart"/>
      <w:r w:rsidRPr="00461231">
        <w:rPr>
          <w:color w:val="000000" w:themeColor="text1"/>
        </w:rPr>
        <w:t>294,</w:t>
      </w:r>
      <w:proofErr w:type="gramEnd"/>
      <w:r w:rsidRPr="00461231">
        <w:rPr>
          <w:color w:val="000000" w:themeColor="text1"/>
        </w:rPr>
        <w:t xml:space="preserve"> </w:t>
      </w:r>
      <w:r w:rsidRPr="00665732">
        <w:rPr>
          <w:color w:val="000000" w:themeColor="text1"/>
        </w:rPr>
        <w:t>dated 20</w:t>
      </w:r>
      <w:r w:rsidR="001215DF" w:rsidRPr="00665732">
        <w:rPr>
          <w:color w:val="000000" w:themeColor="text1"/>
        </w:rPr>
        <w:t>1</w:t>
      </w:r>
      <w:r w:rsidR="0016105D" w:rsidRPr="00665732">
        <w:rPr>
          <w:color w:val="000000" w:themeColor="text1"/>
        </w:rPr>
        <w:t>10830</w:t>
      </w:r>
      <w:r w:rsidRPr="00461231">
        <w:rPr>
          <w:color w:val="000000" w:themeColor="text1"/>
        </w:rPr>
        <w:t>, w/atchs.</w:t>
      </w:r>
    </w:p>
    <w:p w:rsidR="00114F20" w:rsidRPr="00461231" w:rsidRDefault="00FB1725" w:rsidP="00BF0E94">
      <w:pPr>
        <w:tabs>
          <w:tab w:val="left" w:pos="288"/>
          <w:tab w:val="left" w:pos="4752"/>
        </w:tabs>
        <w:jc w:val="both"/>
        <w:rPr>
          <w:color w:val="000000" w:themeColor="text1"/>
        </w:rPr>
      </w:pPr>
      <w:r w:rsidRPr="00461231">
        <w:rPr>
          <w:color w:val="000000" w:themeColor="text1"/>
        </w:rPr>
        <w:t xml:space="preserve">Exhibit B.  </w:t>
      </w:r>
      <w:proofErr w:type="gramStart"/>
      <w:r w:rsidRPr="00461231">
        <w:rPr>
          <w:color w:val="000000" w:themeColor="text1"/>
        </w:rPr>
        <w:t>Service Treatment Record.</w:t>
      </w:r>
      <w:proofErr w:type="gramEnd"/>
    </w:p>
    <w:p w:rsidR="00114F20" w:rsidRPr="00461231" w:rsidRDefault="00FB1725" w:rsidP="00BF0E94">
      <w:pPr>
        <w:tabs>
          <w:tab w:val="left" w:pos="288"/>
          <w:tab w:val="left" w:pos="4752"/>
        </w:tabs>
        <w:jc w:val="both"/>
        <w:rPr>
          <w:color w:val="000000" w:themeColor="text1"/>
        </w:rPr>
      </w:pPr>
      <w:r w:rsidRPr="00461231">
        <w:rPr>
          <w:color w:val="000000" w:themeColor="text1"/>
        </w:rPr>
        <w:t xml:space="preserve">Exhibit C.  </w:t>
      </w:r>
      <w:proofErr w:type="gramStart"/>
      <w:r w:rsidRPr="00461231">
        <w:rPr>
          <w:color w:val="000000" w:themeColor="text1"/>
        </w:rPr>
        <w:t>Department of Veterans</w:t>
      </w:r>
      <w:r w:rsidR="00665732">
        <w:rPr>
          <w:color w:val="000000" w:themeColor="text1"/>
        </w:rPr>
        <w:t>'</w:t>
      </w:r>
      <w:r w:rsidRPr="00461231">
        <w:rPr>
          <w:color w:val="000000" w:themeColor="text1"/>
        </w:rPr>
        <w:t xml:space="preserve"> Affairs Treatment Record.</w:t>
      </w:r>
      <w:proofErr w:type="gramEnd"/>
    </w:p>
    <w:p w:rsidR="00D91DA6" w:rsidRPr="00461231" w:rsidRDefault="00D91DA6" w:rsidP="00BF0E94">
      <w:pPr>
        <w:tabs>
          <w:tab w:val="left" w:pos="288"/>
          <w:tab w:val="left" w:pos="4752"/>
        </w:tabs>
        <w:jc w:val="both"/>
        <w:rPr>
          <w:color w:val="000000" w:themeColor="text1"/>
        </w:rPr>
      </w:pPr>
    </w:p>
    <w:p w:rsidR="00114F20" w:rsidRPr="00461231" w:rsidRDefault="00114F20" w:rsidP="00BF0E94">
      <w:pPr>
        <w:tabs>
          <w:tab w:val="left" w:pos="288"/>
          <w:tab w:val="left" w:pos="4752"/>
        </w:tabs>
        <w:jc w:val="both"/>
        <w:rPr>
          <w:color w:val="000000" w:themeColor="text1"/>
        </w:rPr>
      </w:pPr>
    </w:p>
    <w:p w:rsidR="00114F20" w:rsidRPr="00461231" w:rsidRDefault="00114F20" w:rsidP="00BF0E94">
      <w:pPr>
        <w:tabs>
          <w:tab w:val="left" w:pos="288"/>
          <w:tab w:val="left" w:pos="4752"/>
        </w:tabs>
        <w:jc w:val="both"/>
        <w:rPr>
          <w:color w:val="000000" w:themeColor="text1"/>
        </w:rPr>
      </w:pPr>
    </w:p>
    <w:p w:rsidR="00114F20" w:rsidRPr="00461231" w:rsidRDefault="00114F20" w:rsidP="00BF0E94">
      <w:pPr>
        <w:tabs>
          <w:tab w:val="left" w:pos="288"/>
          <w:tab w:val="left" w:pos="4752"/>
        </w:tabs>
        <w:jc w:val="both"/>
        <w:rPr>
          <w:color w:val="000000" w:themeColor="text1"/>
        </w:rPr>
      </w:pPr>
    </w:p>
    <w:p w:rsidR="00E3077F" w:rsidRPr="00461231" w:rsidRDefault="00220FA9" w:rsidP="00BF0E94">
      <w:pPr>
        <w:tabs>
          <w:tab w:val="left" w:pos="0"/>
          <w:tab w:val="left" w:pos="4320"/>
        </w:tabs>
        <w:jc w:val="both"/>
        <w:rPr>
          <w:color w:val="000000" w:themeColor="text1"/>
          <w:szCs w:val="24"/>
        </w:rPr>
      </w:pPr>
      <w:r w:rsidRPr="00461231">
        <w:rPr>
          <w:color w:val="000000" w:themeColor="text1"/>
          <w:szCs w:val="24"/>
        </w:rPr>
        <w:tab/>
      </w:r>
      <w:r w:rsidR="008E3C90" w:rsidRPr="00461231">
        <w:rPr>
          <w:color w:val="000000" w:themeColor="text1"/>
          <w:szCs w:val="24"/>
        </w:rPr>
        <w:t xml:space="preserve">           </w:t>
      </w:r>
      <w:r w:rsidR="002A666B">
        <w:rPr>
          <w:color w:val="000000" w:themeColor="text1"/>
          <w:szCs w:val="24"/>
        </w:rPr>
        <w:t>XXXXXXXXXXXX</w:t>
      </w:r>
    </w:p>
    <w:p w:rsidR="002F195B" w:rsidRPr="00461231" w:rsidRDefault="00220FA9" w:rsidP="00BF0E94">
      <w:pPr>
        <w:tabs>
          <w:tab w:val="left" w:pos="0"/>
          <w:tab w:val="left" w:pos="4320"/>
        </w:tabs>
        <w:jc w:val="both"/>
        <w:rPr>
          <w:color w:val="000000" w:themeColor="text1"/>
          <w:szCs w:val="24"/>
        </w:rPr>
      </w:pPr>
      <w:r w:rsidRPr="00461231">
        <w:rPr>
          <w:color w:val="000000" w:themeColor="text1"/>
          <w:szCs w:val="24"/>
        </w:rPr>
        <w:tab/>
      </w:r>
      <w:r w:rsidR="008E3C90" w:rsidRPr="00461231">
        <w:rPr>
          <w:color w:val="000000" w:themeColor="text1"/>
          <w:szCs w:val="24"/>
        </w:rPr>
        <w:t xml:space="preserve">           </w:t>
      </w:r>
      <w:r w:rsidR="005F73CA" w:rsidRPr="00461231">
        <w:rPr>
          <w:color w:val="000000" w:themeColor="text1"/>
          <w:szCs w:val="24"/>
        </w:rPr>
        <w:t>President</w:t>
      </w:r>
    </w:p>
    <w:p w:rsidR="00E3077F" w:rsidRPr="00461231" w:rsidRDefault="002F195B" w:rsidP="00BF0E94">
      <w:pPr>
        <w:tabs>
          <w:tab w:val="left" w:pos="0"/>
          <w:tab w:val="left" w:pos="4320"/>
        </w:tabs>
        <w:jc w:val="both"/>
        <w:rPr>
          <w:color w:val="000000" w:themeColor="text1"/>
          <w:szCs w:val="24"/>
        </w:rPr>
      </w:pPr>
      <w:r w:rsidRPr="00461231">
        <w:rPr>
          <w:color w:val="000000" w:themeColor="text1"/>
          <w:szCs w:val="24"/>
        </w:rPr>
        <w:tab/>
        <w:t xml:space="preserve">           </w:t>
      </w:r>
      <w:r w:rsidR="00220FA9" w:rsidRPr="00461231">
        <w:rPr>
          <w:color w:val="000000" w:themeColor="text1"/>
          <w:szCs w:val="24"/>
        </w:rPr>
        <w:t>P</w:t>
      </w:r>
      <w:r w:rsidR="00E3077F" w:rsidRPr="00461231">
        <w:rPr>
          <w:color w:val="000000" w:themeColor="text1"/>
          <w:szCs w:val="24"/>
        </w:rPr>
        <w:t>hysical Disability Board of Review</w:t>
      </w:r>
    </w:p>
    <w:p w:rsidR="008E3C90" w:rsidRPr="00461231" w:rsidRDefault="008E3C90" w:rsidP="00BF0E94">
      <w:pPr>
        <w:rPr>
          <w:color w:val="000000" w:themeColor="text1"/>
          <w:szCs w:val="24"/>
          <w:u w:val="single"/>
        </w:rPr>
      </w:pPr>
    </w:p>
    <w:p w:rsidR="00C00C41" w:rsidRPr="00461231" w:rsidRDefault="00C00C41">
      <w:pPr>
        <w:rPr>
          <w:rFonts w:eastAsia="HiddenHorzOCR"/>
          <w:color w:val="000000" w:themeColor="text1"/>
          <w:szCs w:val="24"/>
          <w:u w:val="single"/>
        </w:rPr>
      </w:pPr>
      <w:r w:rsidRPr="00461231">
        <w:rPr>
          <w:rFonts w:eastAsia="HiddenHorzOCR"/>
          <w:color w:val="000000" w:themeColor="text1"/>
          <w:szCs w:val="24"/>
          <w:u w:val="single"/>
        </w:rPr>
        <w:br w:type="page"/>
      </w:r>
    </w:p>
    <w:p w:rsidR="00C00C41" w:rsidRPr="00461231" w:rsidRDefault="00C00C41" w:rsidP="00C00C41">
      <w:pPr>
        <w:tabs>
          <w:tab w:val="left" w:pos="288"/>
          <w:tab w:val="left" w:pos="4752"/>
        </w:tabs>
        <w:rPr>
          <w:color w:val="000000" w:themeColor="text1"/>
        </w:rPr>
      </w:pPr>
      <w:r w:rsidRPr="00461231">
        <w:rPr>
          <w:color w:val="000000" w:themeColor="text1"/>
        </w:rPr>
        <w:lastRenderedPageBreak/>
        <w:t>MINORITY OPINION</w:t>
      </w:r>
    </w:p>
    <w:p w:rsidR="00C00C41" w:rsidRPr="00461231" w:rsidRDefault="00C00C41" w:rsidP="00C00C41">
      <w:pPr>
        <w:tabs>
          <w:tab w:val="left" w:pos="288"/>
          <w:tab w:val="left" w:pos="4752"/>
        </w:tabs>
        <w:jc w:val="both"/>
        <w:rPr>
          <w:color w:val="000000" w:themeColor="text1"/>
        </w:rPr>
      </w:pPr>
    </w:p>
    <w:p w:rsidR="00AD42B9" w:rsidRPr="00461231" w:rsidRDefault="00AD42B9" w:rsidP="00AD42B9">
      <w:pPr>
        <w:autoSpaceDE w:val="0"/>
        <w:autoSpaceDN w:val="0"/>
        <w:adjustRightInd w:val="0"/>
        <w:jc w:val="both"/>
        <w:rPr>
          <w:rFonts w:cs="Times New Roman"/>
          <w:color w:val="000000" w:themeColor="text1"/>
          <w:szCs w:val="24"/>
        </w:rPr>
      </w:pPr>
      <w:r w:rsidRPr="00461231">
        <w:rPr>
          <w:rFonts w:cs="Times New Roman"/>
          <w:color w:val="000000" w:themeColor="text1"/>
          <w:szCs w:val="24"/>
        </w:rPr>
        <w:t xml:space="preserve">After reviewing the entire record, including the progression of disease after the PEB had made its determination but before the CI separated, it is clear that the CI had significant spinal stenosis with myelomalacia, not simple radiculopathy. </w:t>
      </w:r>
      <w:r w:rsidR="00A9390D">
        <w:rPr>
          <w:rFonts w:cs="Times New Roman"/>
          <w:color w:val="000000" w:themeColor="text1"/>
          <w:szCs w:val="24"/>
        </w:rPr>
        <w:t xml:space="preserve"> </w:t>
      </w:r>
      <w:r w:rsidRPr="00461231">
        <w:rPr>
          <w:rFonts w:cs="Times New Roman"/>
          <w:color w:val="000000" w:themeColor="text1"/>
          <w:szCs w:val="24"/>
        </w:rPr>
        <w:t xml:space="preserve">While there was some impingement on neural foramina at multiple levels, the </w:t>
      </w:r>
      <w:r w:rsidR="00E315E0" w:rsidRPr="00461231">
        <w:rPr>
          <w:rFonts w:cs="Times New Roman"/>
          <w:color w:val="000000" w:themeColor="text1"/>
          <w:szCs w:val="24"/>
        </w:rPr>
        <w:t>pertinent</w:t>
      </w:r>
      <w:r w:rsidRPr="00461231">
        <w:rPr>
          <w:rFonts w:cs="Times New Roman"/>
          <w:color w:val="000000" w:themeColor="text1"/>
          <w:szCs w:val="24"/>
        </w:rPr>
        <w:t xml:space="preserve"> </w:t>
      </w:r>
      <w:r w:rsidR="00E315E0" w:rsidRPr="00461231">
        <w:rPr>
          <w:rFonts w:cs="Times New Roman"/>
          <w:color w:val="000000" w:themeColor="text1"/>
          <w:szCs w:val="24"/>
        </w:rPr>
        <w:t>medical issue</w:t>
      </w:r>
      <w:r w:rsidRPr="00461231">
        <w:rPr>
          <w:rFonts w:cs="Times New Roman"/>
          <w:color w:val="000000" w:themeColor="text1"/>
          <w:szCs w:val="24"/>
        </w:rPr>
        <w:t xml:space="preserve"> was central stenosis and the spinal cord itself was damaged. </w:t>
      </w:r>
      <w:r w:rsidR="00A9390D">
        <w:rPr>
          <w:rFonts w:cs="Times New Roman"/>
          <w:color w:val="000000" w:themeColor="text1"/>
          <w:szCs w:val="24"/>
        </w:rPr>
        <w:t xml:space="preserve"> </w:t>
      </w:r>
      <w:r w:rsidRPr="00461231">
        <w:rPr>
          <w:rFonts w:cs="Times New Roman"/>
          <w:color w:val="000000" w:themeColor="text1"/>
          <w:szCs w:val="24"/>
        </w:rPr>
        <w:t xml:space="preserve">While the CI had sensory issues in both upper extremities, he only had weakness on the left side prior to separation. </w:t>
      </w:r>
    </w:p>
    <w:p w:rsidR="00AD42B9" w:rsidRPr="00461231" w:rsidRDefault="00AD42B9" w:rsidP="00AD42B9">
      <w:pPr>
        <w:autoSpaceDE w:val="0"/>
        <w:autoSpaceDN w:val="0"/>
        <w:adjustRightInd w:val="0"/>
        <w:jc w:val="both"/>
        <w:rPr>
          <w:rFonts w:cs="Times New Roman"/>
          <w:color w:val="000000" w:themeColor="text1"/>
          <w:szCs w:val="24"/>
        </w:rPr>
      </w:pPr>
    </w:p>
    <w:p w:rsidR="00D55760" w:rsidRPr="00461231" w:rsidRDefault="00D55760" w:rsidP="00AD42B9">
      <w:pPr>
        <w:autoSpaceDE w:val="0"/>
        <w:autoSpaceDN w:val="0"/>
        <w:adjustRightInd w:val="0"/>
        <w:jc w:val="both"/>
        <w:rPr>
          <w:rFonts w:cs="Times New Roman"/>
          <w:color w:val="000000" w:themeColor="text1"/>
          <w:szCs w:val="24"/>
        </w:rPr>
      </w:pPr>
      <w:r w:rsidRPr="00461231">
        <w:rPr>
          <w:rFonts w:cs="Times New Roman"/>
          <w:color w:val="000000" w:themeColor="text1"/>
          <w:szCs w:val="24"/>
        </w:rPr>
        <w:t xml:space="preserve">A comparison of the 2002 MRI with the 2004 MRI clearly documents significant progression of cervical spinal stenosis. </w:t>
      </w:r>
      <w:r w:rsidR="00A9390D">
        <w:rPr>
          <w:rFonts w:cs="Times New Roman"/>
          <w:color w:val="000000" w:themeColor="text1"/>
          <w:szCs w:val="24"/>
        </w:rPr>
        <w:t xml:space="preserve"> </w:t>
      </w:r>
      <w:r w:rsidRPr="00461231">
        <w:rPr>
          <w:rFonts w:cs="Times New Roman"/>
          <w:color w:val="000000" w:themeColor="text1"/>
          <w:szCs w:val="24"/>
        </w:rPr>
        <w:t>The 2002 study noted</w:t>
      </w:r>
      <w:r w:rsidRPr="00461231">
        <w:rPr>
          <w:color w:val="000000" w:themeColor="text1"/>
          <w:szCs w:val="24"/>
        </w:rPr>
        <w:t xml:space="preserve"> severe spinal stenosis at C5-6, moderate spinal stenosis at C6-7, and mild to moderate spinal stenosis at C3-4 and C4-5. </w:t>
      </w:r>
      <w:r w:rsidR="00A9390D">
        <w:rPr>
          <w:color w:val="000000" w:themeColor="text1"/>
          <w:szCs w:val="24"/>
        </w:rPr>
        <w:t xml:space="preserve"> </w:t>
      </w:r>
      <w:r w:rsidRPr="00461231">
        <w:rPr>
          <w:color w:val="000000" w:themeColor="text1"/>
          <w:szCs w:val="24"/>
        </w:rPr>
        <w:t xml:space="preserve">The 2004 study noted the </w:t>
      </w:r>
      <w:r w:rsidRPr="00461231">
        <w:rPr>
          <w:rFonts w:cs="Times New Roman"/>
          <w:color w:val="000000" w:themeColor="text1"/>
          <w:szCs w:val="24"/>
        </w:rPr>
        <w:t xml:space="preserve">spinal stenosis remained severe at C5-6 and was now significant at C3-4, C4-5, and C6-7. Additionally a bony spur was impinging on the spinal cord at C3-4. </w:t>
      </w:r>
    </w:p>
    <w:p w:rsidR="00AD42B9" w:rsidRPr="00461231" w:rsidRDefault="00AD42B9" w:rsidP="00AD42B9">
      <w:pPr>
        <w:autoSpaceDE w:val="0"/>
        <w:autoSpaceDN w:val="0"/>
        <w:adjustRightInd w:val="0"/>
        <w:jc w:val="both"/>
        <w:rPr>
          <w:rFonts w:cs="Times New Roman"/>
          <w:color w:val="000000" w:themeColor="text1"/>
          <w:szCs w:val="24"/>
        </w:rPr>
      </w:pPr>
    </w:p>
    <w:p w:rsidR="00D55760" w:rsidRPr="00461231" w:rsidRDefault="00D55760" w:rsidP="00AD42B9">
      <w:pPr>
        <w:autoSpaceDE w:val="0"/>
        <w:autoSpaceDN w:val="0"/>
        <w:adjustRightInd w:val="0"/>
        <w:jc w:val="both"/>
        <w:rPr>
          <w:rFonts w:cs="Times New Roman"/>
          <w:color w:val="000000" w:themeColor="text1"/>
          <w:szCs w:val="24"/>
        </w:rPr>
      </w:pPr>
      <w:r w:rsidRPr="00461231">
        <w:rPr>
          <w:rFonts w:cs="Times New Roman"/>
          <w:color w:val="000000" w:themeColor="text1"/>
          <w:szCs w:val="24"/>
        </w:rPr>
        <w:t xml:space="preserve">Muscle atrophy and weakness was noted on the updated December 2002 MEB NARSUM, multiple occupational and physical therapy outpatient visits, and the early March 2004 civilian neurosurgery examination. </w:t>
      </w:r>
      <w:r w:rsidR="00A9390D">
        <w:rPr>
          <w:rFonts w:cs="Times New Roman"/>
          <w:color w:val="000000" w:themeColor="text1"/>
          <w:szCs w:val="24"/>
        </w:rPr>
        <w:t xml:space="preserve"> </w:t>
      </w:r>
      <w:r w:rsidRPr="00461231">
        <w:rPr>
          <w:rFonts w:cs="Times New Roman"/>
          <w:color w:val="000000" w:themeColor="text1"/>
          <w:szCs w:val="24"/>
        </w:rPr>
        <w:t>The areas of the left upper extremity affected by atrophy progressed over time</w:t>
      </w:r>
      <w:r w:rsidR="009639B2" w:rsidRPr="00461231">
        <w:rPr>
          <w:rFonts w:cs="Times New Roman"/>
          <w:color w:val="000000" w:themeColor="text1"/>
          <w:szCs w:val="24"/>
        </w:rPr>
        <w:t>,</w:t>
      </w:r>
      <w:r w:rsidRPr="00461231">
        <w:rPr>
          <w:rFonts w:cs="Times New Roman"/>
          <w:color w:val="000000" w:themeColor="text1"/>
          <w:szCs w:val="24"/>
        </w:rPr>
        <w:t xml:space="preserve"> as did the muscle weakness</w:t>
      </w:r>
      <w:r w:rsidR="009639B2" w:rsidRPr="00461231">
        <w:rPr>
          <w:rFonts w:cs="Times New Roman"/>
          <w:color w:val="000000" w:themeColor="text1"/>
          <w:szCs w:val="24"/>
        </w:rPr>
        <w:t>,</w:t>
      </w:r>
      <w:r w:rsidRPr="00461231">
        <w:rPr>
          <w:rFonts w:cs="Times New Roman"/>
          <w:color w:val="000000" w:themeColor="text1"/>
          <w:szCs w:val="24"/>
        </w:rPr>
        <w:t xml:space="preserve"> except as reported on the February 2004 VA C&amp;P examination. </w:t>
      </w:r>
      <w:r w:rsidR="00A9390D">
        <w:rPr>
          <w:rFonts w:cs="Times New Roman"/>
          <w:color w:val="000000" w:themeColor="text1"/>
          <w:szCs w:val="24"/>
        </w:rPr>
        <w:t xml:space="preserve"> </w:t>
      </w:r>
      <w:r w:rsidRPr="00461231">
        <w:rPr>
          <w:rFonts w:cs="Times New Roman"/>
          <w:color w:val="000000" w:themeColor="text1"/>
          <w:szCs w:val="24"/>
        </w:rPr>
        <w:t>Th</w:t>
      </w:r>
      <w:r w:rsidR="009639B2" w:rsidRPr="00461231">
        <w:rPr>
          <w:rFonts w:cs="Times New Roman"/>
          <w:color w:val="000000" w:themeColor="text1"/>
          <w:szCs w:val="24"/>
        </w:rPr>
        <w:t>is VA</w:t>
      </w:r>
      <w:r w:rsidRPr="00461231">
        <w:rPr>
          <w:rFonts w:cs="Times New Roman"/>
          <w:color w:val="000000" w:themeColor="text1"/>
          <w:szCs w:val="24"/>
        </w:rPr>
        <w:t xml:space="preserve"> examination did not </w:t>
      </w:r>
      <w:r w:rsidR="00242FA0" w:rsidRPr="00461231">
        <w:rPr>
          <w:rFonts w:cs="Times New Roman"/>
          <w:color w:val="000000" w:themeColor="text1"/>
          <w:szCs w:val="24"/>
        </w:rPr>
        <w:t xml:space="preserve">document the presence or absence of muscle atrophy and reported 5/5 motor strength in both upper extremities. </w:t>
      </w:r>
      <w:r w:rsidR="00A9390D">
        <w:rPr>
          <w:rFonts w:cs="Times New Roman"/>
          <w:color w:val="000000" w:themeColor="text1"/>
          <w:szCs w:val="24"/>
        </w:rPr>
        <w:t xml:space="preserve"> </w:t>
      </w:r>
      <w:r w:rsidR="00242FA0" w:rsidRPr="00461231">
        <w:rPr>
          <w:rFonts w:cs="Times New Roman"/>
          <w:color w:val="000000" w:themeColor="text1"/>
          <w:szCs w:val="24"/>
        </w:rPr>
        <w:t xml:space="preserve">It is not clear why this examination failed to document muscle weakness but a preponderance of examinations from December 2002 </w:t>
      </w:r>
      <w:r w:rsidR="00E315E0" w:rsidRPr="00461231">
        <w:rPr>
          <w:rFonts w:cs="Times New Roman"/>
          <w:color w:val="000000" w:themeColor="text1"/>
          <w:szCs w:val="24"/>
        </w:rPr>
        <w:t xml:space="preserve">forward </w:t>
      </w:r>
      <w:r w:rsidR="00242FA0" w:rsidRPr="00461231">
        <w:rPr>
          <w:rFonts w:cs="Times New Roman"/>
          <w:color w:val="000000" w:themeColor="text1"/>
          <w:szCs w:val="24"/>
        </w:rPr>
        <w:t xml:space="preserve">did show weakness. </w:t>
      </w:r>
      <w:r w:rsidR="00A9390D">
        <w:rPr>
          <w:rFonts w:cs="Times New Roman"/>
          <w:color w:val="000000" w:themeColor="text1"/>
          <w:szCs w:val="24"/>
        </w:rPr>
        <w:t xml:space="preserve"> </w:t>
      </w:r>
      <w:r w:rsidR="009639B2" w:rsidRPr="00461231">
        <w:rPr>
          <w:rFonts w:cs="Times New Roman"/>
          <w:color w:val="000000" w:themeColor="text1"/>
          <w:szCs w:val="24"/>
        </w:rPr>
        <w:t xml:space="preserve">The VA rating decision noted this </w:t>
      </w:r>
      <w:r w:rsidR="00E315E0" w:rsidRPr="00461231">
        <w:rPr>
          <w:rFonts w:cs="Times New Roman"/>
          <w:color w:val="000000" w:themeColor="text1"/>
          <w:szCs w:val="24"/>
        </w:rPr>
        <w:t xml:space="preserve">one VA </w:t>
      </w:r>
      <w:r w:rsidR="009639B2" w:rsidRPr="00461231">
        <w:rPr>
          <w:rFonts w:cs="Times New Roman"/>
          <w:color w:val="000000" w:themeColor="text1"/>
          <w:szCs w:val="24"/>
        </w:rPr>
        <w:t xml:space="preserve">examination was not indicative of a significant impairment but noted that the preponderance of medical information available did demonstrate a more serious impairment. </w:t>
      </w:r>
      <w:r w:rsidR="00A9390D">
        <w:rPr>
          <w:rFonts w:cs="Times New Roman"/>
          <w:color w:val="000000" w:themeColor="text1"/>
          <w:szCs w:val="24"/>
        </w:rPr>
        <w:t xml:space="preserve"> </w:t>
      </w:r>
      <w:r w:rsidR="00242FA0" w:rsidRPr="00461231">
        <w:rPr>
          <w:rFonts w:cs="Times New Roman"/>
          <w:color w:val="000000" w:themeColor="text1"/>
          <w:szCs w:val="24"/>
        </w:rPr>
        <w:t xml:space="preserve">Multiple </w:t>
      </w:r>
      <w:r w:rsidR="009639B2" w:rsidRPr="00461231">
        <w:rPr>
          <w:rFonts w:cs="Times New Roman"/>
          <w:color w:val="000000" w:themeColor="text1"/>
          <w:szCs w:val="24"/>
        </w:rPr>
        <w:t xml:space="preserve">objective </w:t>
      </w:r>
      <w:r w:rsidR="00242FA0" w:rsidRPr="00461231">
        <w:rPr>
          <w:rFonts w:cs="Times New Roman"/>
          <w:color w:val="000000" w:themeColor="text1"/>
          <w:szCs w:val="24"/>
        </w:rPr>
        <w:t xml:space="preserve">measurements of grip strength showed significant weakness in the left hand as compared to the right, much greater than what would be expected based on right hand dominance. </w:t>
      </w:r>
      <w:r w:rsidR="00A9390D">
        <w:rPr>
          <w:rFonts w:cs="Times New Roman"/>
          <w:color w:val="000000" w:themeColor="text1"/>
          <w:szCs w:val="24"/>
        </w:rPr>
        <w:t xml:space="preserve"> </w:t>
      </w:r>
      <w:r w:rsidR="00242FA0" w:rsidRPr="00461231">
        <w:rPr>
          <w:rFonts w:cs="Times New Roman"/>
          <w:color w:val="000000" w:themeColor="text1"/>
          <w:szCs w:val="24"/>
        </w:rPr>
        <w:t xml:space="preserve">The occupational therapy examination of April 2003 as noted in the chart on page 4 </w:t>
      </w:r>
      <w:r w:rsidR="00E315E0" w:rsidRPr="00461231">
        <w:rPr>
          <w:rFonts w:cs="Times New Roman"/>
          <w:color w:val="000000" w:themeColor="text1"/>
          <w:szCs w:val="24"/>
        </w:rPr>
        <w:t xml:space="preserve">of the Record of Proceedings </w:t>
      </w:r>
      <w:r w:rsidR="00242FA0" w:rsidRPr="00461231">
        <w:rPr>
          <w:rFonts w:cs="Times New Roman"/>
          <w:color w:val="000000" w:themeColor="text1"/>
          <w:szCs w:val="24"/>
        </w:rPr>
        <w:t xml:space="preserve">provided a more accurate measurement of motor strength as compared to the usual measurement of strength on a 1 to 5 scale which is typically reported on routine physical examinations. </w:t>
      </w:r>
      <w:r w:rsidR="00A9390D">
        <w:rPr>
          <w:rFonts w:cs="Times New Roman"/>
          <w:color w:val="000000" w:themeColor="text1"/>
          <w:szCs w:val="24"/>
        </w:rPr>
        <w:t xml:space="preserve"> </w:t>
      </w:r>
      <w:r w:rsidR="00242FA0" w:rsidRPr="00461231">
        <w:rPr>
          <w:rFonts w:cs="Times New Roman"/>
          <w:color w:val="000000" w:themeColor="text1"/>
          <w:szCs w:val="24"/>
        </w:rPr>
        <w:t xml:space="preserve">This type of exam, with reported pounds of strength, allows for a more consistent and </w:t>
      </w:r>
      <w:r w:rsidR="009639B2" w:rsidRPr="00461231">
        <w:rPr>
          <w:rFonts w:cs="Times New Roman"/>
          <w:color w:val="000000" w:themeColor="text1"/>
          <w:szCs w:val="24"/>
        </w:rPr>
        <w:t>objective</w:t>
      </w:r>
      <w:r w:rsidR="00242FA0" w:rsidRPr="00461231">
        <w:rPr>
          <w:rFonts w:cs="Times New Roman"/>
          <w:color w:val="000000" w:themeColor="text1"/>
          <w:szCs w:val="24"/>
        </w:rPr>
        <w:t xml:space="preserve"> comparison of the affected to the unaffected upper extremity. The low coefficient of variation in all bu</w:t>
      </w:r>
      <w:r w:rsidR="009639B2" w:rsidRPr="00461231">
        <w:rPr>
          <w:rFonts w:cs="Times New Roman"/>
          <w:color w:val="000000" w:themeColor="text1"/>
          <w:szCs w:val="24"/>
        </w:rPr>
        <w:t xml:space="preserve">t one measurement demonstrates supports the accuracy of these measurements and there was no indication of lack of effort by the CI. </w:t>
      </w:r>
      <w:r w:rsidR="00A9390D">
        <w:rPr>
          <w:rFonts w:cs="Times New Roman"/>
          <w:color w:val="000000" w:themeColor="text1"/>
          <w:szCs w:val="24"/>
        </w:rPr>
        <w:t xml:space="preserve"> </w:t>
      </w:r>
      <w:r w:rsidR="009639B2" w:rsidRPr="00461231">
        <w:rPr>
          <w:rFonts w:cs="Times New Roman"/>
          <w:color w:val="000000" w:themeColor="text1"/>
          <w:szCs w:val="24"/>
        </w:rPr>
        <w:t xml:space="preserve">These measurements document that the left upper extremity had only 35% of the strength of the right upper extremity. </w:t>
      </w:r>
      <w:r w:rsidR="00A9390D">
        <w:rPr>
          <w:rFonts w:cs="Times New Roman"/>
          <w:color w:val="000000" w:themeColor="text1"/>
          <w:szCs w:val="24"/>
        </w:rPr>
        <w:t xml:space="preserve"> </w:t>
      </w:r>
      <w:r w:rsidR="009639B2" w:rsidRPr="00461231">
        <w:rPr>
          <w:rFonts w:cs="Times New Roman"/>
          <w:color w:val="000000" w:themeColor="text1"/>
          <w:szCs w:val="24"/>
        </w:rPr>
        <w:t>This loss of more than half of the strength expected cannot be considered mild.</w:t>
      </w:r>
    </w:p>
    <w:p w:rsidR="00D55760" w:rsidRPr="00461231" w:rsidRDefault="00D55760" w:rsidP="00AD42B9">
      <w:pPr>
        <w:autoSpaceDE w:val="0"/>
        <w:autoSpaceDN w:val="0"/>
        <w:adjustRightInd w:val="0"/>
        <w:jc w:val="both"/>
        <w:rPr>
          <w:rFonts w:cs="Times New Roman"/>
          <w:color w:val="000000" w:themeColor="text1"/>
          <w:szCs w:val="24"/>
        </w:rPr>
      </w:pPr>
    </w:p>
    <w:p w:rsidR="00EC4E77" w:rsidRDefault="00AD42B9" w:rsidP="00EC4E77">
      <w:pPr>
        <w:autoSpaceDE w:val="0"/>
        <w:autoSpaceDN w:val="0"/>
        <w:adjustRightInd w:val="0"/>
        <w:jc w:val="both"/>
        <w:rPr>
          <w:rFonts w:cs="Times New Roman"/>
          <w:color w:val="000000" w:themeColor="text1"/>
          <w:szCs w:val="24"/>
        </w:rPr>
      </w:pPr>
      <w:r w:rsidRPr="00461231">
        <w:rPr>
          <w:rFonts w:cs="Times New Roman"/>
          <w:color w:val="000000" w:themeColor="text1"/>
          <w:szCs w:val="24"/>
        </w:rPr>
        <w:t xml:space="preserve">Visible atrophy of the muscles of the left upper extremity was noted as early as April 2002 in the left thenar eminence. </w:t>
      </w:r>
      <w:r w:rsidR="00A9390D">
        <w:rPr>
          <w:rFonts w:cs="Times New Roman"/>
          <w:color w:val="000000" w:themeColor="text1"/>
          <w:szCs w:val="24"/>
        </w:rPr>
        <w:t xml:space="preserve"> </w:t>
      </w:r>
      <w:r w:rsidRPr="00461231">
        <w:rPr>
          <w:rFonts w:cs="Times New Roman"/>
          <w:color w:val="000000" w:themeColor="text1"/>
          <w:szCs w:val="24"/>
        </w:rPr>
        <w:t xml:space="preserve">Atrophy of the left forearm muscles was noted in May 2002 and global atrophy of the entire left upper extremity was noted in April 2003. </w:t>
      </w:r>
      <w:r w:rsidR="00A9390D">
        <w:rPr>
          <w:rFonts w:cs="Times New Roman"/>
          <w:color w:val="000000" w:themeColor="text1"/>
          <w:szCs w:val="24"/>
        </w:rPr>
        <w:t xml:space="preserve"> </w:t>
      </w:r>
      <w:r w:rsidRPr="00461231">
        <w:rPr>
          <w:rFonts w:cs="Times New Roman"/>
          <w:color w:val="000000" w:themeColor="text1"/>
          <w:szCs w:val="24"/>
        </w:rPr>
        <w:t xml:space="preserve">This was consistently noted by a variety of providers over time. By April 2003 strength in left upper extremity was decreased to an average only 35% of the strength in right upper extremity. </w:t>
      </w:r>
      <w:r w:rsidR="00A9390D">
        <w:rPr>
          <w:rFonts w:cs="Times New Roman"/>
          <w:color w:val="000000" w:themeColor="text1"/>
          <w:szCs w:val="24"/>
        </w:rPr>
        <w:t xml:space="preserve"> </w:t>
      </w:r>
      <w:r w:rsidRPr="00461231">
        <w:rPr>
          <w:rFonts w:cs="Times New Roman"/>
          <w:color w:val="000000" w:themeColor="text1"/>
          <w:szCs w:val="24"/>
        </w:rPr>
        <w:t xml:space="preserve">The CI was unable to lift things over his head and symptoms of increased pain and paresthesias occurred with lifting things greater than 10 pounds. </w:t>
      </w:r>
      <w:r w:rsidR="00A9390D">
        <w:rPr>
          <w:rFonts w:cs="Times New Roman"/>
          <w:color w:val="000000" w:themeColor="text1"/>
          <w:szCs w:val="24"/>
        </w:rPr>
        <w:t xml:space="preserve"> </w:t>
      </w:r>
      <w:r w:rsidRPr="00461231">
        <w:rPr>
          <w:rFonts w:cs="Times New Roman"/>
          <w:color w:val="000000" w:themeColor="text1"/>
          <w:szCs w:val="24"/>
        </w:rPr>
        <w:t xml:space="preserve">His profile limited his lifting to 20 pounds. </w:t>
      </w:r>
      <w:r w:rsidR="00EC4E77" w:rsidRPr="00461231">
        <w:rPr>
          <w:rFonts w:cs="Times New Roman"/>
          <w:color w:val="000000" w:themeColor="text1"/>
          <w:szCs w:val="24"/>
        </w:rPr>
        <w:t>Extensive surgery was completed within eight and a half months of separation in an attempt to prevent furth</w:t>
      </w:r>
      <w:r w:rsidR="00E315E0" w:rsidRPr="00461231">
        <w:rPr>
          <w:rFonts w:cs="Times New Roman"/>
          <w:color w:val="000000" w:themeColor="text1"/>
          <w:szCs w:val="24"/>
        </w:rPr>
        <w:t>er damage to the spinal cord</w:t>
      </w:r>
      <w:r w:rsidR="00EC4E77" w:rsidRPr="00461231">
        <w:rPr>
          <w:rFonts w:cs="Times New Roman"/>
          <w:color w:val="000000" w:themeColor="text1"/>
          <w:szCs w:val="24"/>
        </w:rPr>
        <w:t xml:space="preserve">. </w:t>
      </w:r>
    </w:p>
    <w:p w:rsidR="00665732" w:rsidRPr="00461231" w:rsidRDefault="00665732" w:rsidP="00EC4E77">
      <w:pPr>
        <w:autoSpaceDE w:val="0"/>
        <w:autoSpaceDN w:val="0"/>
        <w:adjustRightInd w:val="0"/>
        <w:jc w:val="both"/>
        <w:rPr>
          <w:rFonts w:cs="Times New Roman"/>
          <w:color w:val="000000" w:themeColor="text1"/>
          <w:szCs w:val="24"/>
        </w:rPr>
      </w:pPr>
    </w:p>
    <w:p w:rsidR="00EC4E77" w:rsidRPr="00461231" w:rsidRDefault="00EC4E77" w:rsidP="00EC4E77">
      <w:pPr>
        <w:autoSpaceDE w:val="0"/>
        <w:autoSpaceDN w:val="0"/>
        <w:adjustRightInd w:val="0"/>
        <w:jc w:val="both"/>
        <w:rPr>
          <w:rFonts w:cs="Times New Roman"/>
          <w:color w:val="000000" w:themeColor="text1"/>
          <w:szCs w:val="24"/>
        </w:rPr>
      </w:pPr>
      <w:r w:rsidRPr="00461231">
        <w:rPr>
          <w:rFonts w:cs="Times New Roman"/>
          <w:color w:val="000000" w:themeColor="text1"/>
          <w:szCs w:val="24"/>
        </w:rPr>
        <w:t xml:space="preserve">The evidence presented here clearly shows a worsening of the CI’s cervical spinal stenosis condition after the PEB convened but prior to separation from service to the retired reserve on 29 February 2004. </w:t>
      </w:r>
      <w:r w:rsidR="00A9390D">
        <w:rPr>
          <w:rFonts w:cs="Times New Roman"/>
          <w:color w:val="000000" w:themeColor="text1"/>
          <w:szCs w:val="24"/>
        </w:rPr>
        <w:t xml:space="preserve"> </w:t>
      </w:r>
      <w:r w:rsidRPr="00461231">
        <w:rPr>
          <w:rFonts w:cs="Times New Roman"/>
          <w:color w:val="000000" w:themeColor="text1"/>
          <w:szCs w:val="24"/>
        </w:rPr>
        <w:t xml:space="preserve">His symptoms of pain, weakness, muscle atrophy, and paresthesias more </w:t>
      </w:r>
      <w:r w:rsidRPr="00461231">
        <w:rPr>
          <w:rFonts w:cs="Times New Roman"/>
          <w:color w:val="000000" w:themeColor="text1"/>
          <w:szCs w:val="24"/>
        </w:rPr>
        <w:lastRenderedPageBreak/>
        <w:t xml:space="preserve">likely than not, resulted from the injury to the cervical spinal cord itself as a result of the significant to severe narrowing of the central canal rather than from the impingement of the nerve roots as they exited the neuroforaminal canals. </w:t>
      </w:r>
      <w:r w:rsidR="00A9390D">
        <w:rPr>
          <w:rFonts w:cs="Times New Roman"/>
          <w:color w:val="000000" w:themeColor="text1"/>
          <w:szCs w:val="24"/>
        </w:rPr>
        <w:t xml:space="preserve"> T</w:t>
      </w:r>
      <w:r w:rsidRPr="00461231">
        <w:rPr>
          <w:rFonts w:cs="Times New Roman"/>
          <w:color w:val="000000" w:themeColor="text1"/>
          <w:szCs w:val="24"/>
        </w:rPr>
        <w:t xml:space="preserve">his would explain the previously normal EMG and nerve conduction studies. </w:t>
      </w:r>
      <w:r w:rsidR="00665732">
        <w:rPr>
          <w:rFonts w:cs="Times New Roman"/>
          <w:color w:val="000000" w:themeColor="text1"/>
          <w:szCs w:val="24"/>
        </w:rPr>
        <w:t xml:space="preserve"> </w:t>
      </w:r>
      <w:r w:rsidRPr="00461231">
        <w:rPr>
          <w:rFonts w:cs="Times New Roman"/>
          <w:color w:val="000000" w:themeColor="text1"/>
          <w:szCs w:val="24"/>
        </w:rPr>
        <w:t>However, an EMG performed in May 2005 documented severe and chronic motor radiculopathy bilaterally form C5 through T1 and if another EMG had been completed closer to the time of separation it most likely would have also been abnormal.</w:t>
      </w:r>
    </w:p>
    <w:p w:rsidR="00EC4E77" w:rsidRPr="00461231" w:rsidRDefault="00EC4E77" w:rsidP="00AD42B9">
      <w:pPr>
        <w:autoSpaceDE w:val="0"/>
        <w:autoSpaceDN w:val="0"/>
        <w:adjustRightInd w:val="0"/>
        <w:jc w:val="both"/>
        <w:rPr>
          <w:rFonts w:cs="Times New Roman"/>
          <w:color w:val="000000" w:themeColor="text1"/>
          <w:szCs w:val="24"/>
        </w:rPr>
      </w:pPr>
    </w:p>
    <w:p w:rsidR="00EC4E77" w:rsidRPr="00861A33" w:rsidRDefault="00EC4E77" w:rsidP="00EC4E77">
      <w:pPr>
        <w:jc w:val="both"/>
        <w:rPr>
          <w:rFonts w:eastAsia="HiddenHorzOCR"/>
          <w:color w:val="000000" w:themeColor="text1"/>
          <w:szCs w:val="24"/>
        </w:rPr>
      </w:pPr>
      <w:r w:rsidRPr="00461231">
        <w:rPr>
          <w:color w:val="000000" w:themeColor="text1"/>
        </w:rPr>
        <w:t xml:space="preserve">As discussed in VASRD </w:t>
      </w:r>
      <w:r w:rsidRPr="00461231">
        <w:rPr>
          <w:rFonts w:eastAsia="HiddenHorzOCR"/>
          <w:color w:val="000000" w:themeColor="text1"/>
          <w:szCs w:val="24"/>
        </w:rPr>
        <w:t xml:space="preserve">§4.123 Neuritis, neuritis is characterized by loss of reflexes, muscle atrophy, sensory disturbances, and constant pain whereas neuralgia is characterized by a dull and intermittent pain as described in VASRD §4.124 Neuralgia. </w:t>
      </w:r>
      <w:r w:rsidR="00A9390D">
        <w:rPr>
          <w:rFonts w:eastAsia="HiddenHorzOCR"/>
          <w:color w:val="000000" w:themeColor="text1"/>
          <w:szCs w:val="24"/>
        </w:rPr>
        <w:t xml:space="preserve"> </w:t>
      </w:r>
      <w:r w:rsidRPr="00461231">
        <w:rPr>
          <w:rFonts w:eastAsia="HiddenHorzOCR"/>
          <w:color w:val="000000" w:themeColor="text1"/>
          <w:szCs w:val="24"/>
        </w:rPr>
        <w:t xml:space="preserve">This CI did not have dull, intermittent pain secondary to a nerve root impingement at the neuroforamina; he had a much more significant condition with injury to the spinal cord secondary to serious and significant cervical spinal stenosis and spondylosis that resulted in </w:t>
      </w:r>
      <w:r w:rsidR="00E315E0" w:rsidRPr="00461231">
        <w:rPr>
          <w:rFonts w:eastAsia="HiddenHorzOCR"/>
          <w:color w:val="000000" w:themeColor="text1"/>
          <w:szCs w:val="24"/>
        </w:rPr>
        <w:t xml:space="preserve">muscle atrophy, </w:t>
      </w:r>
      <w:r w:rsidRPr="00461231">
        <w:rPr>
          <w:rFonts w:eastAsia="HiddenHorzOCR"/>
          <w:color w:val="000000" w:themeColor="text1"/>
          <w:szCs w:val="24"/>
        </w:rPr>
        <w:t>the loss of more than half the normal strength throughout his left upper extremity</w:t>
      </w:r>
      <w:r w:rsidR="00E315E0" w:rsidRPr="00461231">
        <w:rPr>
          <w:rFonts w:eastAsia="HiddenHorzOCR"/>
          <w:color w:val="000000" w:themeColor="text1"/>
          <w:szCs w:val="24"/>
        </w:rPr>
        <w:t>,</w:t>
      </w:r>
      <w:r w:rsidRPr="00461231">
        <w:rPr>
          <w:rFonts w:eastAsia="HiddenHorzOCR"/>
          <w:color w:val="000000" w:themeColor="text1"/>
          <w:szCs w:val="24"/>
        </w:rPr>
        <w:t xml:space="preserve"> and significant paresthesias, including the loss of perception of pain</w:t>
      </w:r>
      <w:r w:rsidR="00E315E0" w:rsidRPr="00461231">
        <w:rPr>
          <w:rFonts w:eastAsia="HiddenHorzOCR"/>
          <w:color w:val="000000" w:themeColor="text1"/>
          <w:szCs w:val="24"/>
        </w:rPr>
        <w:t xml:space="preserve">. </w:t>
      </w:r>
      <w:r w:rsidR="00A9390D">
        <w:rPr>
          <w:rFonts w:eastAsia="HiddenHorzOCR"/>
          <w:color w:val="000000" w:themeColor="text1"/>
          <w:szCs w:val="24"/>
        </w:rPr>
        <w:t xml:space="preserve"> </w:t>
      </w:r>
      <w:r w:rsidR="00E315E0" w:rsidRPr="00461231">
        <w:rPr>
          <w:rFonts w:eastAsia="HiddenHorzOCR"/>
          <w:color w:val="000000" w:themeColor="text1"/>
          <w:szCs w:val="24"/>
        </w:rPr>
        <w:t>This is best characterized as neuritis and rated 8699-8613 at 30% for myeloradiculopathy with moderate incomplete paralysis.</w:t>
      </w:r>
    </w:p>
    <w:p w:rsidR="006C736C" w:rsidRDefault="006C736C">
      <w:pPr>
        <w:rPr>
          <w:color w:val="000000" w:themeColor="text1"/>
        </w:rPr>
      </w:pPr>
      <w:r>
        <w:rPr>
          <w:color w:val="000000" w:themeColor="text1"/>
        </w:rPr>
        <w:br w:type="page"/>
      </w:r>
    </w:p>
    <w:p w:rsidR="006C736C" w:rsidRDefault="006C736C" w:rsidP="006C736C">
      <w:pPr>
        <w:pStyle w:val="Header"/>
        <w:tabs>
          <w:tab w:val="clear" w:pos="4320"/>
          <w:tab w:val="clear" w:pos="8640"/>
        </w:tabs>
        <w:sectPr w:rsidR="006C736C">
          <w:footerReference w:type="first" r:id="rId8"/>
          <w:pgSz w:w="12240" w:h="15840" w:code="1"/>
          <w:pgMar w:top="2160" w:right="1440" w:bottom="1440" w:left="1440" w:header="720" w:footer="720" w:gutter="0"/>
          <w:cols w:space="720"/>
          <w:titlePg/>
        </w:sectPr>
      </w:pPr>
    </w:p>
    <w:p w:rsidR="006C736C" w:rsidRDefault="006C736C" w:rsidP="002A666B">
      <w:pPr>
        <w:pStyle w:val="Header"/>
        <w:tabs>
          <w:tab w:val="clear" w:pos="4320"/>
          <w:tab w:val="clear" w:pos="8640"/>
        </w:tabs>
        <w:jc w:val="left"/>
      </w:pPr>
      <w:r>
        <w:lastRenderedPageBreak/>
        <w:t>SFMR-RB</w:t>
      </w:r>
      <w:r>
        <w:tab/>
      </w:r>
      <w:r>
        <w:tab/>
      </w:r>
      <w:r>
        <w:tab/>
      </w:r>
      <w:r>
        <w:tab/>
      </w:r>
      <w:r>
        <w:tab/>
      </w:r>
      <w:r>
        <w:tab/>
      </w:r>
      <w:r>
        <w:tab/>
      </w:r>
      <w:r>
        <w:tab/>
      </w:r>
      <w:r>
        <w:tab/>
      </w:r>
    </w:p>
    <w:p w:rsidR="006C736C" w:rsidRDefault="006C736C" w:rsidP="002A666B">
      <w:pPr>
        <w:pStyle w:val="Header"/>
        <w:tabs>
          <w:tab w:val="clear" w:pos="4320"/>
          <w:tab w:val="clear" w:pos="8640"/>
        </w:tabs>
        <w:jc w:val="left"/>
      </w:pPr>
    </w:p>
    <w:p w:rsidR="006C736C" w:rsidRDefault="006C736C" w:rsidP="002A666B">
      <w:pPr>
        <w:jc w:val="left"/>
      </w:pPr>
    </w:p>
    <w:p w:rsidR="006C736C" w:rsidRDefault="006C736C" w:rsidP="002A666B">
      <w:pPr>
        <w:jc w:val="left"/>
      </w:pPr>
      <w:r>
        <w:t xml:space="preserve">MEMORANDUM FOR Commander, US Army Physical Disability Agency </w:t>
      </w:r>
    </w:p>
    <w:p w:rsidR="006C736C" w:rsidRDefault="006C736C" w:rsidP="002A666B">
      <w:pPr>
        <w:jc w:val="left"/>
      </w:pPr>
      <w:r>
        <w:t xml:space="preserve">(TAPD-ZB </w:t>
      </w:r>
      <w:proofErr w:type="gramStart"/>
      <w:r>
        <w:t xml:space="preserve">/ </w:t>
      </w:r>
      <w:r w:rsidR="002A666B">
        <w:t xml:space="preserve"> </w:t>
      </w:r>
      <w:r>
        <w:t>)</w:t>
      </w:r>
      <w:proofErr w:type="gramEnd"/>
      <w:r>
        <w:t>, 2900 Crystal Drive, Suite 300, Arlington, VA  22202</w:t>
      </w:r>
    </w:p>
    <w:p w:rsidR="006C736C" w:rsidRDefault="006C736C" w:rsidP="002A666B">
      <w:pPr>
        <w:jc w:val="left"/>
      </w:pPr>
    </w:p>
    <w:p w:rsidR="006C736C" w:rsidRDefault="006C736C" w:rsidP="002A666B">
      <w:pPr>
        <w:ind w:right="-180"/>
        <w:jc w:val="left"/>
      </w:pPr>
      <w:r>
        <w:t xml:space="preserve">SUBJECT:  Department of Defense Physical Disability Board of Review Recommendation for </w:t>
      </w:r>
      <w:r w:rsidR="002A666B">
        <w:t>XXXXXXXXXXX</w:t>
      </w:r>
      <w:r>
        <w:t>, AR20120009747 (PD201100800)</w:t>
      </w:r>
    </w:p>
    <w:p w:rsidR="006C736C" w:rsidRDefault="006C736C" w:rsidP="002A666B">
      <w:pPr>
        <w:pStyle w:val="Header"/>
        <w:tabs>
          <w:tab w:val="clear" w:pos="4320"/>
          <w:tab w:val="clear" w:pos="8640"/>
        </w:tabs>
        <w:jc w:val="left"/>
      </w:pPr>
    </w:p>
    <w:p w:rsidR="006C736C" w:rsidRDefault="006C736C" w:rsidP="002A666B">
      <w:pPr>
        <w:jc w:val="left"/>
      </w:pPr>
    </w:p>
    <w:p w:rsidR="006C736C" w:rsidRDefault="006C736C" w:rsidP="002A666B">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6C736C" w:rsidRDefault="006C736C" w:rsidP="002A666B">
      <w:pPr>
        <w:jc w:val="left"/>
      </w:pPr>
      <w:r>
        <w:t>This decision is final.  The individual concerned, counsel (if any), and any Members of Congress who have shown interest in this application have been notified of this decision by mail.</w:t>
      </w:r>
    </w:p>
    <w:p w:rsidR="006C736C" w:rsidRDefault="006C736C" w:rsidP="002A666B">
      <w:pPr>
        <w:jc w:val="left"/>
      </w:pPr>
    </w:p>
    <w:p w:rsidR="006C736C" w:rsidRDefault="006C736C" w:rsidP="002A666B">
      <w:pPr>
        <w:jc w:val="left"/>
      </w:pPr>
      <w:r>
        <w:t xml:space="preserve"> BY ORDER OF THE SECRETARY OF THE ARMY:</w:t>
      </w:r>
    </w:p>
    <w:p w:rsidR="006C736C" w:rsidRDefault="006C736C" w:rsidP="002A666B">
      <w:pPr>
        <w:jc w:val="left"/>
      </w:pPr>
    </w:p>
    <w:p w:rsidR="006C736C" w:rsidRDefault="006C736C" w:rsidP="002A666B">
      <w:pPr>
        <w:jc w:val="left"/>
      </w:pPr>
    </w:p>
    <w:p w:rsidR="006C736C" w:rsidRDefault="006C736C" w:rsidP="002A666B">
      <w:pPr>
        <w:pStyle w:val="Header"/>
        <w:tabs>
          <w:tab w:val="clear" w:pos="4320"/>
          <w:tab w:val="clear" w:pos="8640"/>
        </w:tabs>
        <w:jc w:val="left"/>
      </w:pPr>
    </w:p>
    <w:p w:rsidR="006C736C" w:rsidRDefault="006C736C" w:rsidP="002A666B">
      <w:pPr>
        <w:jc w:val="left"/>
      </w:pPr>
    </w:p>
    <w:p w:rsidR="006C736C" w:rsidRDefault="006C736C" w:rsidP="002A666B">
      <w:pPr>
        <w:jc w:val="left"/>
      </w:pPr>
      <w:bookmarkStart w:id="0" w:name="OLE_LINK3"/>
      <w:bookmarkStart w:id="1" w:name="OLE_LINK4"/>
      <w:r>
        <w:t>Encl</w:t>
      </w:r>
      <w:r>
        <w:tab/>
      </w:r>
      <w:r>
        <w:tab/>
      </w:r>
      <w:r>
        <w:tab/>
      </w:r>
      <w:r>
        <w:tab/>
      </w:r>
      <w:r>
        <w:tab/>
      </w:r>
      <w:r>
        <w:tab/>
        <w:t xml:space="preserve">     </w:t>
      </w:r>
      <w:r w:rsidR="002A666B">
        <w:t>XXXXXXXXXXXX</w:t>
      </w:r>
    </w:p>
    <w:p w:rsidR="006C736C" w:rsidRDefault="006C736C" w:rsidP="002A666B">
      <w:pPr>
        <w:jc w:val="left"/>
      </w:pPr>
      <w:r>
        <w:tab/>
      </w:r>
      <w:r>
        <w:tab/>
      </w:r>
      <w:r>
        <w:tab/>
      </w:r>
      <w:r>
        <w:tab/>
      </w:r>
      <w:r>
        <w:tab/>
      </w:r>
      <w:r>
        <w:tab/>
        <w:t xml:space="preserve">     Deputy Assistant Secretary</w:t>
      </w:r>
    </w:p>
    <w:p w:rsidR="006C736C" w:rsidRDefault="006C736C" w:rsidP="002A666B">
      <w:pPr>
        <w:jc w:val="left"/>
      </w:pPr>
      <w:r>
        <w:tab/>
      </w:r>
      <w:r>
        <w:tab/>
      </w:r>
      <w:r>
        <w:tab/>
      </w:r>
      <w:r>
        <w:tab/>
      </w:r>
      <w:r>
        <w:tab/>
      </w:r>
      <w:r>
        <w:tab/>
        <w:t xml:space="preserve">         (Army Review Boards)</w:t>
      </w:r>
      <w:bookmarkEnd w:id="0"/>
      <w:bookmarkEnd w:id="1"/>
    </w:p>
    <w:p w:rsidR="006C736C" w:rsidRDefault="006C736C" w:rsidP="002A666B">
      <w:pPr>
        <w:jc w:val="left"/>
      </w:pPr>
    </w:p>
    <w:p w:rsidR="006C736C" w:rsidRDefault="006C736C" w:rsidP="002A666B">
      <w:pPr>
        <w:jc w:val="left"/>
      </w:pPr>
      <w:r>
        <w:t xml:space="preserve">CF: </w:t>
      </w:r>
    </w:p>
    <w:p w:rsidR="006C736C" w:rsidRDefault="006C736C" w:rsidP="002A666B">
      <w:pPr>
        <w:jc w:val="left"/>
      </w:pPr>
      <w:r>
        <w:t xml:space="preserve">(  ) </w:t>
      </w:r>
      <w:proofErr w:type="spellStart"/>
      <w:proofErr w:type="gramStart"/>
      <w:r>
        <w:t>DoD</w:t>
      </w:r>
      <w:proofErr w:type="spellEnd"/>
      <w:proofErr w:type="gramEnd"/>
      <w:r>
        <w:t xml:space="preserve"> PDBR</w:t>
      </w:r>
    </w:p>
    <w:p w:rsidR="006C736C" w:rsidRDefault="006C736C" w:rsidP="002A666B">
      <w:pPr>
        <w:jc w:val="left"/>
      </w:pPr>
      <w:r>
        <w:t>(  ) DVA</w:t>
      </w:r>
    </w:p>
    <w:p w:rsidR="006C736C" w:rsidRDefault="006C736C" w:rsidP="002A666B">
      <w:pPr>
        <w:jc w:val="left"/>
      </w:pPr>
    </w:p>
    <w:p w:rsidR="00C00C41" w:rsidRPr="001F29F9" w:rsidRDefault="00C00C41" w:rsidP="002A666B">
      <w:pPr>
        <w:tabs>
          <w:tab w:val="left" w:pos="288"/>
          <w:tab w:val="left" w:pos="4752"/>
        </w:tabs>
        <w:jc w:val="left"/>
        <w:rPr>
          <w:color w:val="000000" w:themeColor="text1"/>
        </w:rPr>
      </w:pPr>
    </w:p>
    <w:sectPr w:rsidR="00C00C41" w:rsidRPr="001F29F9" w:rsidSect="00E70164">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82F" w:rsidRDefault="006C382F">
      <w:r>
        <w:separator/>
      </w:r>
    </w:p>
  </w:endnote>
  <w:endnote w:type="continuationSeparator" w:id="0">
    <w:p w:rsidR="006C382F" w:rsidRDefault="006C38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36C" w:rsidRDefault="006C736C">
    <w:pPr>
      <w:pStyle w:val="Footer"/>
      <w:tabs>
        <w:tab w:val="clear" w:pos="8640"/>
      </w:tabs>
      <w:ind w:left="27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9393" type="#_x0000_t75" style="position:absolute;left:0;text-align:left;margin-left:220.7pt;margin-top:7.2pt;width:24.25pt;height:23.9pt;z-index:251660288" o:preferrelative="f" o:allowincell="f">
          <v:imagedata r:id="rId1" o:title=""/>
          <w10:anchorlock/>
        </v:shape>
      </w:pict>
    </w:r>
    <w:r>
      <w:t>Printed on               Recycled Paper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EC4E77" w:rsidRPr="00374247" w:rsidRDefault="00EC4E77" w:rsidP="00374247">
        <w:pPr>
          <w:pStyle w:val="Footer"/>
          <w:ind w:firstLine="4320"/>
          <w:rPr>
            <w:color w:val="auto"/>
            <w:szCs w:val="24"/>
          </w:rPr>
        </w:pPr>
        <w:r w:rsidRPr="00374247">
          <w:rPr>
            <w:color w:val="auto"/>
            <w:szCs w:val="24"/>
          </w:rPr>
          <w:t xml:space="preserve">   </w:t>
        </w:r>
        <w:r w:rsidR="00CC7077" w:rsidRPr="00374247">
          <w:rPr>
            <w:color w:val="auto"/>
            <w:szCs w:val="24"/>
          </w:rPr>
          <w:fldChar w:fldCharType="begin"/>
        </w:r>
        <w:r w:rsidRPr="00374247">
          <w:rPr>
            <w:color w:val="auto"/>
            <w:szCs w:val="24"/>
          </w:rPr>
          <w:instrText xml:space="preserve"> PAGE   \* MERGEFORMAT </w:instrText>
        </w:r>
        <w:r w:rsidR="00CC7077" w:rsidRPr="00374247">
          <w:rPr>
            <w:color w:val="auto"/>
            <w:szCs w:val="24"/>
          </w:rPr>
          <w:fldChar w:fldCharType="separate"/>
        </w:r>
        <w:r w:rsidR="006C736C" w:rsidRPr="006C736C">
          <w:rPr>
            <w:noProof/>
            <w:color w:val="auto"/>
          </w:rPr>
          <w:t>10</w:t>
        </w:r>
        <w:r w:rsidR="00CC7077" w:rsidRPr="00374247">
          <w:rPr>
            <w:color w:val="auto"/>
            <w:szCs w:val="24"/>
          </w:rPr>
          <w:fldChar w:fldCharType="end"/>
        </w:r>
        <w:r w:rsidRPr="00374247">
          <w:rPr>
            <w:color w:val="auto"/>
            <w:szCs w:val="24"/>
          </w:rPr>
          <w:t xml:space="preserve">                                                           </w:t>
        </w:r>
        <w:r w:rsidRPr="0016105D">
          <w:rPr>
            <w:color w:val="auto"/>
            <w:szCs w:val="24"/>
          </w:rPr>
          <w:t>PD1100</w:t>
        </w:r>
        <w:r>
          <w:rPr>
            <w:color w:val="auto"/>
            <w:szCs w:val="24"/>
          </w:rPr>
          <w:t>800</w:t>
        </w:r>
      </w:p>
    </w:sdtContent>
  </w:sdt>
  <w:p w:rsidR="00EC4E77" w:rsidRPr="00684CE6" w:rsidRDefault="00EC4E77">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82F" w:rsidRDefault="006C382F">
      <w:r>
        <w:separator/>
      </w:r>
    </w:p>
  </w:footnote>
  <w:footnote w:type="continuationSeparator" w:id="0">
    <w:p w:rsidR="006C382F" w:rsidRDefault="006C38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9395"/>
    <o:shapelayout v:ext="edit">
      <o:idmap v:ext="edit" data="58"/>
    </o:shapelayout>
  </w:hdrShapeDefaults>
  <w:footnotePr>
    <w:footnote w:id="-1"/>
    <w:footnote w:id="0"/>
  </w:footnotePr>
  <w:endnotePr>
    <w:endnote w:id="-1"/>
    <w:endnote w:id="0"/>
  </w:endnotePr>
  <w:compat/>
  <w:rsids>
    <w:rsidRoot w:val="001C28D1"/>
    <w:rsid w:val="00001D80"/>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86E"/>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96C"/>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634F"/>
    <w:rsid w:val="000E63B8"/>
    <w:rsid w:val="000E7034"/>
    <w:rsid w:val="000F02BE"/>
    <w:rsid w:val="000F0928"/>
    <w:rsid w:val="000F0B3D"/>
    <w:rsid w:val="000F1E65"/>
    <w:rsid w:val="000F2084"/>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7C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5A9"/>
    <w:rsid w:val="00156BA9"/>
    <w:rsid w:val="0016105D"/>
    <w:rsid w:val="00161642"/>
    <w:rsid w:val="00161761"/>
    <w:rsid w:val="00164B09"/>
    <w:rsid w:val="00166182"/>
    <w:rsid w:val="001665A7"/>
    <w:rsid w:val="0017038B"/>
    <w:rsid w:val="00170C94"/>
    <w:rsid w:val="0017139A"/>
    <w:rsid w:val="001724C8"/>
    <w:rsid w:val="0017299E"/>
    <w:rsid w:val="001732C4"/>
    <w:rsid w:val="001745DD"/>
    <w:rsid w:val="00174BDD"/>
    <w:rsid w:val="00174FDE"/>
    <w:rsid w:val="00174FE3"/>
    <w:rsid w:val="00176D63"/>
    <w:rsid w:val="00177659"/>
    <w:rsid w:val="001779E5"/>
    <w:rsid w:val="00177C3C"/>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3872"/>
    <w:rsid w:val="001F468C"/>
    <w:rsid w:val="001F529D"/>
    <w:rsid w:val="001F6E0B"/>
    <w:rsid w:val="00200AA0"/>
    <w:rsid w:val="00202325"/>
    <w:rsid w:val="00202736"/>
    <w:rsid w:val="00203652"/>
    <w:rsid w:val="00204562"/>
    <w:rsid w:val="00205B4F"/>
    <w:rsid w:val="002060B6"/>
    <w:rsid w:val="002066B5"/>
    <w:rsid w:val="00210EAC"/>
    <w:rsid w:val="00211612"/>
    <w:rsid w:val="002119B6"/>
    <w:rsid w:val="00211E61"/>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352E"/>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2FA0"/>
    <w:rsid w:val="002432F4"/>
    <w:rsid w:val="00246860"/>
    <w:rsid w:val="002468D9"/>
    <w:rsid w:val="00246995"/>
    <w:rsid w:val="00246DFF"/>
    <w:rsid w:val="00246E89"/>
    <w:rsid w:val="0025183C"/>
    <w:rsid w:val="00252351"/>
    <w:rsid w:val="002528EC"/>
    <w:rsid w:val="0025326D"/>
    <w:rsid w:val="00253EAA"/>
    <w:rsid w:val="00255049"/>
    <w:rsid w:val="00257538"/>
    <w:rsid w:val="00257AFF"/>
    <w:rsid w:val="00257DE5"/>
    <w:rsid w:val="00260531"/>
    <w:rsid w:val="00260B9A"/>
    <w:rsid w:val="00260E94"/>
    <w:rsid w:val="00261677"/>
    <w:rsid w:val="00262EA5"/>
    <w:rsid w:val="0026318D"/>
    <w:rsid w:val="00264148"/>
    <w:rsid w:val="002660AF"/>
    <w:rsid w:val="002677E9"/>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87A"/>
    <w:rsid w:val="00287006"/>
    <w:rsid w:val="0029030A"/>
    <w:rsid w:val="00292397"/>
    <w:rsid w:val="00292AB2"/>
    <w:rsid w:val="00292B82"/>
    <w:rsid w:val="00293DB6"/>
    <w:rsid w:val="00293FE8"/>
    <w:rsid w:val="00294437"/>
    <w:rsid w:val="002961EA"/>
    <w:rsid w:val="00296686"/>
    <w:rsid w:val="00297A00"/>
    <w:rsid w:val="00297A45"/>
    <w:rsid w:val="00297E20"/>
    <w:rsid w:val="002A233F"/>
    <w:rsid w:val="002A3237"/>
    <w:rsid w:val="002A4119"/>
    <w:rsid w:val="002A58B7"/>
    <w:rsid w:val="002A5943"/>
    <w:rsid w:val="002A5C3C"/>
    <w:rsid w:val="002A666B"/>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63FE"/>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744"/>
    <w:rsid w:val="002E7C25"/>
    <w:rsid w:val="002F0D6A"/>
    <w:rsid w:val="002F0E28"/>
    <w:rsid w:val="002F195B"/>
    <w:rsid w:val="002F287E"/>
    <w:rsid w:val="002F2981"/>
    <w:rsid w:val="002F2D63"/>
    <w:rsid w:val="002F5EA1"/>
    <w:rsid w:val="002F5F46"/>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5518"/>
    <w:rsid w:val="00345F96"/>
    <w:rsid w:val="0034669F"/>
    <w:rsid w:val="00346F81"/>
    <w:rsid w:val="003470C4"/>
    <w:rsid w:val="00351498"/>
    <w:rsid w:val="00352B22"/>
    <w:rsid w:val="00352CBF"/>
    <w:rsid w:val="00354547"/>
    <w:rsid w:val="003549F5"/>
    <w:rsid w:val="00355ACB"/>
    <w:rsid w:val="003567DE"/>
    <w:rsid w:val="003574F3"/>
    <w:rsid w:val="00357805"/>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4FA"/>
    <w:rsid w:val="003D3C22"/>
    <w:rsid w:val="003D533C"/>
    <w:rsid w:val="003D56A0"/>
    <w:rsid w:val="003D609F"/>
    <w:rsid w:val="003D69F5"/>
    <w:rsid w:val="003D6F60"/>
    <w:rsid w:val="003D7089"/>
    <w:rsid w:val="003D7DDB"/>
    <w:rsid w:val="003E024F"/>
    <w:rsid w:val="003E02C7"/>
    <w:rsid w:val="003E0543"/>
    <w:rsid w:val="003E061D"/>
    <w:rsid w:val="003E0B5A"/>
    <w:rsid w:val="003E1682"/>
    <w:rsid w:val="003E1982"/>
    <w:rsid w:val="003E31E3"/>
    <w:rsid w:val="003E3E93"/>
    <w:rsid w:val="003E46D1"/>
    <w:rsid w:val="003E6214"/>
    <w:rsid w:val="003F070E"/>
    <w:rsid w:val="003F1206"/>
    <w:rsid w:val="003F2418"/>
    <w:rsid w:val="003F28DB"/>
    <w:rsid w:val="003F2EEE"/>
    <w:rsid w:val="003F58B0"/>
    <w:rsid w:val="003F776F"/>
    <w:rsid w:val="0040058E"/>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2947"/>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1231"/>
    <w:rsid w:val="00462F68"/>
    <w:rsid w:val="0046369B"/>
    <w:rsid w:val="00463DFA"/>
    <w:rsid w:val="004640E9"/>
    <w:rsid w:val="004647EB"/>
    <w:rsid w:val="00466CED"/>
    <w:rsid w:val="00466EB5"/>
    <w:rsid w:val="00467592"/>
    <w:rsid w:val="00467690"/>
    <w:rsid w:val="00467A14"/>
    <w:rsid w:val="004718E7"/>
    <w:rsid w:val="00472289"/>
    <w:rsid w:val="00472535"/>
    <w:rsid w:val="00474707"/>
    <w:rsid w:val="00475EE2"/>
    <w:rsid w:val="004761CC"/>
    <w:rsid w:val="004766C9"/>
    <w:rsid w:val="00480D4A"/>
    <w:rsid w:val="00481DA1"/>
    <w:rsid w:val="00483A2B"/>
    <w:rsid w:val="00484212"/>
    <w:rsid w:val="004848C3"/>
    <w:rsid w:val="00484BA9"/>
    <w:rsid w:val="0048599A"/>
    <w:rsid w:val="00486818"/>
    <w:rsid w:val="00492088"/>
    <w:rsid w:val="0049255F"/>
    <w:rsid w:val="0049445D"/>
    <w:rsid w:val="00494D39"/>
    <w:rsid w:val="00495350"/>
    <w:rsid w:val="00495E3C"/>
    <w:rsid w:val="00496041"/>
    <w:rsid w:val="00497156"/>
    <w:rsid w:val="004A0C79"/>
    <w:rsid w:val="004A24D2"/>
    <w:rsid w:val="004A3214"/>
    <w:rsid w:val="004A3A1E"/>
    <w:rsid w:val="004A4136"/>
    <w:rsid w:val="004A417B"/>
    <w:rsid w:val="004A4378"/>
    <w:rsid w:val="004A712D"/>
    <w:rsid w:val="004A7C03"/>
    <w:rsid w:val="004B03F3"/>
    <w:rsid w:val="004B0CC9"/>
    <w:rsid w:val="004B1518"/>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3BC1"/>
    <w:rsid w:val="004C47D5"/>
    <w:rsid w:val="004C4CAF"/>
    <w:rsid w:val="004C5E33"/>
    <w:rsid w:val="004C60A3"/>
    <w:rsid w:val="004C6CDA"/>
    <w:rsid w:val="004D10D4"/>
    <w:rsid w:val="004D16BD"/>
    <w:rsid w:val="004D2AAB"/>
    <w:rsid w:val="004D3C7F"/>
    <w:rsid w:val="004D42CB"/>
    <w:rsid w:val="004D6E90"/>
    <w:rsid w:val="004D6F2B"/>
    <w:rsid w:val="004E0248"/>
    <w:rsid w:val="004E12B8"/>
    <w:rsid w:val="004E1CF2"/>
    <w:rsid w:val="004E21A3"/>
    <w:rsid w:val="004E32EA"/>
    <w:rsid w:val="004E3517"/>
    <w:rsid w:val="004E64B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4DB"/>
    <w:rsid w:val="0052590B"/>
    <w:rsid w:val="0052592B"/>
    <w:rsid w:val="0052640F"/>
    <w:rsid w:val="00526591"/>
    <w:rsid w:val="00527178"/>
    <w:rsid w:val="00527618"/>
    <w:rsid w:val="005278CB"/>
    <w:rsid w:val="00530388"/>
    <w:rsid w:val="00531DA0"/>
    <w:rsid w:val="00532E9D"/>
    <w:rsid w:val="00533075"/>
    <w:rsid w:val="00534D42"/>
    <w:rsid w:val="0053505D"/>
    <w:rsid w:val="005350A5"/>
    <w:rsid w:val="00536379"/>
    <w:rsid w:val="00537238"/>
    <w:rsid w:val="005400C5"/>
    <w:rsid w:val="005404CD"/>
    <w:rsid w:val="00540BE0"/>
    <w:rsid w:val="00540BEF"/>
    <w:rsid w:val="00542B34"/>
    <w:rsid w:val="00542C9A"/>
    <w:rsid w:val="005436C2"/>
    <w:rsid w:val="00543D43"/>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217B"/>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5AA"/>
    <w:rsid w:val="00597E16"/>
    <w:rsid w:val="005A0B1D"/>
    <w:rsid w:val="005A1846"/>
    <w:rsid w:val="005A258C"/>
    <w:rsid w:val="005A3560"/>
    <w:rsid w:val="005A464E"/>
    <w:rsid w:val="005A62FC"/>
    <w:rsid w:val="005A6C99"/>
    <w:rsid w:val="005A7D5D"/>
    <w:rsid w:val="005B0040"/>
    <w:rsid w:val="005B011A"/>
    <w:rsid w:val="005B0283"/>
    <w:rsid w:val="005B1ADA"/>
    <w:rsid w:val="005B1B63"/>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C77F0"/>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323"/>
    <w:rsid w:val="005F3567"/>
    <w:rsid w:val="005F3AFE"/>
    <w:rsid w:val="005F424D"/>
    <w:rsid w:val="005F55F5"/>
    <w:rsid w:val="005F578E"/>
    <w:rsid w:val="005F5EC1"/>
    <w:rsid w:val="005F67A9"/>
    <w:rsid w:val="005F6B6D"/>
    <w:rsid w:val="005F73CA"/>
    <w:rsid w:val="006008F8"/>
    <w:rsid w:val="006036C2"/>
    <w:rsid w:val="00605AAB"/>
    <w:rsid w:val="00606BEB"/>
    <w:rsid w:val="0060709A"/>
    <w:rsid w:val="0061014A"/>
    <w:rsid w:val="0061054B"/>
    <w:rsid w:val="006110FB"/>
    <w:rsid w:val="00612FB0"/>
    <w:rsid w:val="0061356D"/>
    <w:rsid w:val="00613E26"/>
    <w:rsid w:val="00615641"/>
    <w:rsid w:val="00615799"/>
    <w:rsid w:val="00615A66"/>
    <w:rsid w:val="00616959"/>
    <w:rsid w:val="0062036E"/>
    <w:rsid w:val="006211D0"/>
    <w:rsid w:val="00621595"/>
    <w:rsid w:val="0062359D"/>
    <w:rsid w:val="00623634"/>
    <w:rsid w:val="00624AD8"/>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46F79"/>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732"/>
    <w:rsid w:val="00665D75"/>
    <w:rsid w:val="006708E3"/>
    <w:rsid w:val="00670DDC"/>
    <w:rsid w:val="00671389"/>
    <w:rsid w:val="00671EB4"/>
    <w:rsid w:val="00673CDC"/>
    <w:rsid w:val="0067443B"/>
    <w:rsid w:val="006770AA"/>
    <w:rsid w:val="0068098E"/>
    <w:rsid w:val="006810BD"/>
    <w:rsid w:val="00682486"/>
    <w:rsid w:val="006833A7"/>
    <w:rsid w:val="00683857"/>
    <w:rsid w:val="00684CE6"/>
    <w:rsid w:val="00684E2B"/>
    <w:rsid w:val="006854A8"/>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82F"/>
    <w:rsid w:val="006C3A68"/>
    <w:rsid w:val="006C3B08"/>
    <w:rsid w:val="006C6AB1"/>
    <w:rsid w:val="006C6E6B"/>
    <w:rsid w:val="006C736C"/>
    <w:rsid w:val="006C73D4"/>
    <w:rsid w:val="006D145F"/>
    <w:rsid w:val="006D2000"/>
    <w:rsid w:val="006D2D39"/>
    <w:rsid w:val="006D2F31"/>
    <w:rsid w:val="006D4250"/>
    <w:rsid w:val="006D4E0E"/>
    <w:rsid w:val="006D5861"/>
    <w:rsid w:val="006D5CE2"/>
    <w:rsid w:val="006D7854"/>
    <w:rsid w:val="006E06D1"/>
    <w:rsid w:val="006E122E"/>
    <w:rsid w:val="006E1313"/>
    <w:rsid w:val="006E259D"/>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23C"/>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0D87"/>
    <w:rsid w:val="00721705"/>
    <w:rsid w:val="00721B7A"/>
    <w:rsid w:val="00721D12"/>
    <w:rsid w:val="00721F8B"/>
    <w:rsid w:val="007236E0"/>
    <w:rsid w:val="007237CE"/>
    <w:rsid w:val="00724619"/>
    <w:rsid w:val="00724688"/>
    <w:rsid w:val="00724813"/>
    <w:rsid w:val="00725BC5"/>
    <w:rsid w:val="007260A9"/>
    <w:rsid w:val="00726C1D"/>
    <w:rsid w:val="007272F1"/>
    <w:rsid w:val="00727565"/>
    <w:rsid w:val="0073062D"/>
    <w:rsid w:val="0073093B"/>
    <w:rsid w:val="0073254D"/>
    <w:rsid w:val="007340F3"/>
    <w:rsid w:val="007347BB"/>
    <w:rsid w:val="00735704"/>
    <w:rsid w:val="00736A45"/>
    <w:rsid w:val="00736A49"/>
    <w:rsid w:val="007419A1"/>
    <w:rsid w:val="00743B71"/>
    <w:rsid w:val="00743C2D"/>
    <w:rsid w:val="00743C3A"/>
    <w:rsid w:val="00743E36"/>
    <w:rsid w:val="00743F05"/>
    <w:rsid w:val="007441C1"/>
    <w:rsid w:val="00744477"/>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5C2"/>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0CBF"/>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861"/>
    <w:rsid w:val="0080064F"/>
    <w:rsid w:val="0080087C"/>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A33"/>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86CB4"/>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6F0D"/>
    <w:rsid w:val="008A7073"/>
    <w:rsid w:val="008A79F0"/>
    <w:rsid w:val="008A7F7E"/>
    <w:rsid w:val="008B04DB"/>
    <w:rsid w:val="008B09B4"/>
    <w:rsid w:val="008B0EE6"/>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6ADD"/>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173B4"/>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9B2"/>
    <w:rsid w:val="00963A7A"/>
    <w:rsid w:val="00963ED3"/>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28D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0624"/>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29AA"/>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5C4"/>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2E4D"/>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83E"/>
    <w:rsid w:val="00A66A45"/>
    <w:rsid w:val="00A67591"/>
    <w:rsid w:val="00A67911"/>
    <w:rsid w:val="00A67CA6"/>
    <w:rsid w:val="00A70E7B"/>
    <w:rsid w:val="00A717EA"/>
    <w:rsid w:val="00A730B0"/>
    <w:rsid w:val="00A73B84"/>
    <w:rsid w:val="00A7411D"/>
    <w:rsid w:val="00A74BF7"/>
    <w:rsid w:val="00A756C4"/>
    <w:rsid w:val="00A7592B"/>
    <w:rsid w:val="00A75ED7"/>
    <w:rsid w:val="00A76094"/>
    <w:rsid w:val="00A768E2"/>
    <w:rsid w:val="00A76C9E"/>
    <w:rsid w:val="00A80802"/>
    <w:rsid w:val="00A82C52"/>
    <w:rsid w:val="00A838E8"/>
    <w:rsid w:val="00A83C15"/>
    <w:rsid w:val="00A83ECE"/>
    <w:rsid w:val="00A84EC4"/>
    <w:rsid w:val="00A86CB6"/>
    <w:rsid w:val="00A90D55"/>
    <w:rsid w:val="00A9225E"/>
    <w:rsid w:val="00A92D0B"/>
    <w:rsid w:val="00A9390D"/>
    <w:rsid w:val="00A944D8"/>
    <w:rsid w:val="00A959E7"/>
    <w:rsid w:val="00A95BBA"/>
    <w:rsid w:val="00A961EE"/>
    <w:rsid w:val="00A96559"/>
    <w:rsid w:val="00A97B11"/>
    <w:rsid w:val="00A97CD9"/>
    <w:rsid w:val="00AA020A"/>
    <w:rsid w:val="00AA04B3"/>
    <w:rsid w:val="00AA0B85"/>
    <w:rsid w:val="00AA1253"/>
    <w:rsid w:val="00AA1ED0"/>
    <w:rsid w:val="00AA1F5B"/>
    <w:rsid w:val="00AA28EF"/>
    <w:rsid w:val="00AA3593"/>
    <w:rsid w:val="00AA38CA"/>
    <w:rsid w:val="00AA39B9"/>
    <w:rsid w:val="00AA493E"/>
    <w:rsid w:val="00AA73AF"/>
    <w:rsid w:val="00AB062D"/>
    <w:rsid w:val="00AB0A8A"/>
    <w:rsid w:val="00AB1754"/>
    <w:rsid w:val="00AB1F8D"/>
    <w:rsid w:val="00AB27DD"/>
    <w:rsid w:val="00AB4BA4"/>
    <w:rsid w:val="00AB592E"/>
    <w:rsid w:val="00AC0C1C"/>
    <w:rsid w:val="00AC1305"/>
    <w:rsid w:val="00AC15CB"/>
    <w:rsid w:val="00AC37BE"/>
    <w:rsid w:val="00AC439D"/>
    <w:rsid w:val="00AC62CC"/>
    <w:rsid w:val="00AC713F"/>
    <w:rsid w:val="00AC7329"/>
    <w:rsid w:val="00AC7D96"/>
    <w:rsid w:val="00AD00E4"/>
    <w:rsid w:val="00AD067E"/>
    <w:rsid w:val="00AD07DF"/>
    <w:rsid w:val="00AD168B"/>
    <w:rsid w:val="00AD1B4E"/>
    <w:rsid w:val="00AD2801"/>
    <w:rsid w:val="00AD3496"/>
    <w:rsid w:val="00AD426A"/>
    <w:rsid w:val="00AD42B9"/>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5DAB"/>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4E12"/>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729"/>
    <w:rsid w:val="00B64DD6"/>
    <w:rsid w:val="00B66505"/>
    <w:rsid w:val="00B6710C"/>
    <w:rsid w:val="00B67E84"/>
    <w:rsid w:val="00B72076"/>
    <w:rsid w:val="00B72303"/>
    <w:rsid w:val="00B727A9"/>
    <w:rsid w:val="00B72C72"/>
    <w:rsid w:val="00B72ED9"/>
    <w:rsid w:val="00B731E4"/>
    <w:rsid w:val="00B751CE"/>
    <w:rsid w:val="00B75A8B"/>
    <w:rsid w:val="00B75B61"/>
    <w:rsid w:val="00B76755"/>
    <w:rsid w:val="00B76796"/>
    <w:rsid w:val="00B771E0"/>
    <w:rsid w:val="00B7793B"/>
    <w:rsid w:val="00B77EE7"/>
    <w:rsid w:val="00B80EDD"/>
    <w:rsid w:val="00B812BD"/>
    <w:rsid w:val="00B81964"/>
    <w:rsid w:val="00B82277"/>
    <w:rsid w:val="00B83F87"/>
    <w:rsid w:val="00B8478F"/>
    <w:rsid w:val="00B84F93"/>
    <w:rsid w:val="00B91676"/>
    <w:rsid w:val="00B92354"/>
    <w:rsid w:val="00B9322B"/>
    <w:rsid w:val="00B93640"/>
    <w:rsid w:val="00B955D5"/>
    <w:rsid w:val="00B95833"/>
    <w:rsid w:val="00BA1824"/>
    <w:rsid w:val="00BA2D98"/>
    <w:rsid w:val="00BA2F0C"/>
    <w:rsid w:val="00BA30D1"/>
    <w:rsid w:val="00BA30E1"/>
    <w:rsid w:val="00BA4609"/>
    <w:rsid w:val="00BA5BE2"/>
    <w:rsid w:val="00BA6961"/>
    <w:rsid w:val="00BA6A9C"/>
    <w:rsid w:val="00BA7F46"/>
    <w:rsid w:val="00BB0388"/>
    <w:rsid w:val="00BB0A0A"/>
    <w:rsid w:val="00BB133C"/>
    <w:rsid w:val="00BB1F04"/>
    <w:rsid w:val="00BB45B5"/>
    <w:rsid w:val="00BB4DDE"/>
    <w:rsid w:val="00BB6064"/>
    <w:rsid w:val="00BB65CE"/>
    <w:rsid w:val="00BB7012"/>
    <w:rsid w:val="00BB7122"/>
    <w:rsid w:val="00BC09D1"/>
    <w:rsid w:val="00BC1CF3"/>
    <w:rsid w:val="00BC2BE0"/>
    <w:rsid w:val="00BC3573"/>
    <w:rsid w:val="00BC5860"/>
    <w:rsid w:val="00BC7F82"/>
    <w:rsid w:val="00BD1844"/>
    <w:rsid w:val="00BD2A49"/>
    <w:rsid w:val="00BD3683"/>
    <w:rsid w:val="00BD40AB"/>
    <w:rsid w:val="00BD40DE"/>
    <w:rsid w:val="00BD55F0"/>
    <w:rsid w:val="00BD6297"/>
    <w:rsid w:val="00BD6806"/>
    <w:rsid w:val="00BD6939"/>
    <w:rsid w:val="00BD7433"/>
    <w:rsid w:val="00BD7831"/>
    <w:rsid w:val="00BD7C10"/>
    <w:rsid w:val="00BD7ECC"/>
    <w:rsid w:val="00BE046F"/>
    <w:rsid w:val="00BE0DEB"/>
    <w:rsid w:val="00BE229C"/>
    <w:rsid w:val="00BE287E"/>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0F4"/>
    <w:rsid w:val="00BF7B4F"/>
    <w:rsid w:val="00BF7B63"/>
    <w:rsid w:val="00BF7F3C"/>
    <w:rsid w:val="00C005D4"/>
    <w:rsid w:val="00C00C41"/>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58"/>
    <w:rsid w:val="00C177F1"/>
    <w:rsid w:val="00C17EE6"/>
    <w:rsid w:val="00C217F7"/>
    <w:rsid w:val="00C2201A"/>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6C91"/>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3C82"/>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077"/>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16A"/>
    <w:rsid w:val="00CE3722"/>
    <w:rsid w:val="00CF0A71"/>
    <w:rsid w:val="00CF158D"/>
    <w:rsid w:val="00CF2166"/>
    <w:rsid w:val="00CF2695"/>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2401"/>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5760"/>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3FBB"/>
    <w:rsid w:val="00D84133"/>
    <w:rsid w:val="00D84B8D"/>
    <w:rsid w:val="00D8545C"/>
    <w:rsid w:val="00D86571"/>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5EE9"/>
    <w:rsid w:val="00DB626D"/>
    <w:rsid w:val="00DB6365"/>
    <w:rsid w:val="00DB756C"/>
    <w:rsid w:val="00DC07B7"/>
    <w:rsid w:val="00DC0BF1"/>
    <w:rsid w:val="00DC17F2"/>
    <w:rsid w:val="00DC4001"/>
    <w:rsid w:val="00DC41C3"/>
    <w:rsid w:val="00DC4A3C"/>
    <w:rsid w:val="00DC4FA4"/>
    <w:rsid w:val="00DC5B37"/>
    <w:rsid w:val="00DC6D4B"/>
    <w:rsid w:val="00DD286D"/>
    <w:rsid w:val="00DD2CAF"/>
    <w:rsid w:val="00DD3593"/>
    <w:rsid w:val="00DD64E0"/>
    <w:rsid w:val="00DD775C"/>
    <w:rsid w:val="00DD7BE0"/>
    <w:rsid w:val="00DE0C67"/>
    <w:rsid w:val="00DE1861"/>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29C4"/>
    <w:rsid w:val="00E0346A"/>
    <w:rsid w:val="00E041E4"/>
    <w:rsid w:val="00E04AEE"/>
    <w:rsid w:val="00E06BBD"/>
    <w:rsid w:val="00E100E3"/>
    <w:rsid w:val="00E1012B"/>
    <w:rsid w:val="00E103C8"/>
    <w:rsid w:val="00E1085B"/>
    <w:rsid w:val="00E10C0C"/>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15E0"/>
    <w:rsid w:val="00E322F7"/>
    <w:rsid w:val="00E3369B"/>
    <w:rsid w:val="00E362D2"/>
    <w:rsid w:val="00E36D76"/>
    <w:rsid w:val="00E40478"/>
    <w:rsid w:val="00E405EA"/>
    <w:rsid w:val="00E408B7"/>
    <w:rsid w:val="00E412EB"/>
    <w:rsid w:val="00E41637"/>
    <w:rsid w:val="00E42789"/>
    <w:rsid w:val="00E43F59"/>
    <w:rsid w:val="00E464F0"/>
    <w:rsid w:val="00E466FC"/>
    <w:rsid w:val="00E46EF3"/>
    <w:rsid w:val="00E47370"/>
    <w:rsid w:val="00E473E9"/>
    <w:rsid w:val="00E47B47"/>
    <w:rsid w:val="00E50BEB"/>
    <w:rsid w:val="00E53460"/>
    <w:rsid w:val="00E54634"/>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3B4D"/>
    <w:rsid w:val="00E83BBB"/>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4E77"/>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3C5"/>
    <w:rsid w:val="00F22A26"/>
    <w:rsid w:val="00F24072"/>
    <w:rsid w:val="00F26432"/>
    <w:rsid w:val="00F303FA"/>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66A"/>
    <w:rsid w:val="00F50F30"/>
    <w:rsid w:val="00F5126A"/>
    <w:rsid w:val="00F5126E"/>
    <w:rsid w:val="00F516EF"/>
    <w:rsid w:val="00F51755"/>
    <w:rsid w:val="00F531D9"/>
    <w:rsid w:val="00F54D8E"/>
    <w:rsid w:val="00F5580D"/>
    <w:rsid w:val="00F56EA1"/>
    <w:rsid w:val="00F57C31"/>
    <w:rsid w:val="00F606D5"/>
    <w:rsid w:val="00F611B3"/>
    <w:rsid w:val="00F6196E"/>
    <w:rsid w:val="00F61CCC"/>
    <w:rsid w:val="00F624DD"/>
    <w:rsid w:val="00F629C0"/>
    <w:rsid w:val="00F63FC7"/>
    <w:rsid w:val="00F65E1F"/>
    <w:rsid w:val="00F65ED5"/>
    <w:rsid w:val="00F6608B"/>
    <w:rsid w:val="00F6636A"/>
    <w:rsid w:val="00F667C5"/>
    <w:rsid w:val="00F67144"/>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0FB"/>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3562"/>
    <w:rsid w:val="00FC4284"/>
    <w:rsid w:val="00FC4576"/>
    <w:rsid w:val="00FC5FF5"/>
    <w:rsid w:val="00FC6123"/>
    <w:rsid w:val="00FC6285"/>
    <w:rsid w:val="00FC78FB"/>
    <w:rsid w:val="00FC7DBC"/>
    <w:rsid w:val="00FD076A"/>
    <w:rsid w:val="00FD0AA0"/>
    <w:rsid w:val="00FD1D5A"/>
    <w:rsid w:val="00FD5059"/>
    <w:rsid w:val="00FD554D"/>
    <w:rsid w:val="00FD5BCC"/>
    <w:rsid w:val="00FD7B23"/>
    <w:rsid w:val="00FE0CDF"/>
    <w:rsid w:val="00FE128A"/>
    <w:rsid w:val="00FE2A48"/>
    <w:rsid w:val="00FE2DEF"/>
    <w:rsid w:val="00FE323C"/>
    <w:rsid w:val="00FE3A27"/>
    <w:rsid w:val="00FE5C84"/>
    <w:rsid w:val="00FE5D0A"/>
    <w:rsid w:val="00FE6469"/>
    <w:rsid w:val="00FE7C6D"/>
    <w:rsid w:val="00FF05D0"/>
    <w:rsid w:val="00FF06CE"/>
    <w:rsid w:val="00FF0DC2"/>
    <w:rsid w:val="00FF0FF7"/>
    <w:rsid w:val="00FF1022"/>
    <w:rsid w:val="00FF10A2"/>
    <w:rsid w:val="00FF1438"/>
    <w:rsid w:val="00FF2766"/>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6C736C"/>
    <w:rPr>
      <w:color w:val="008080"/>
    </w:rPr>
  </w:style>
  <w:style w:type="paragraph" w:customStyle="1" w:styleId="CompanyName">
    <w:name w:val="Company Name"/>
    <w:basedOn w:val="Subtitle"/>
    <w:uiPriority w:val="99"/>
    <w:rsid w:val="006C736C"/>
    <w:pPr>
      <w:spacing w:line="240" w:lineRule="auto"/>
      <w:jc w:val="left"/>
    </w:pPr>
  </w:style>
  <w:style w:type="paragraph" w:customStyle="1" w:styleId="LHDA">
    <w:name w:val="LHDA"/>
    <w:basedOn w:val="Title"/>
    <w:uiPriority w:val="99"/>
    <w:rsid w:val="006C736C"/>
    <w:pPr>
      <w:jc w:val="left"/>
    </w:pPr>
  </w:style>
  <w:style w:type="paragraph" w:styleId="Subtitle">
    <w:name w:val="Subtitle"/>
    <w:basedOn w:val="Normal"/>
    <w:next w:val="Normal"/>
    <w:link w:val="SubtitleChar"/>
    <w:qFormat/>
    <w:rsid w:val="006C736C"/>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6C736C"/>
    <w:rPr>
      <w:rFonts w:asciiTheme="majorHAnsi" w:eastAsiaTheme="majorEastAsia" w:hAnsiTheme="majorHAnsi" w:cstheme="majorBidi"/>
      <w:i/>
      <w:iCs/>
      <w:color w:val="4F81BD" w:themeColor="accent1"/>
      <w:spacing w:val="15"/>
      <w:szCs w:val="24"/>
    </w:rPr>
  </w:style>
  <w:style w:type="paragraph" w:styleId="Title">
    <w:name w:val="Title"/>
    <w:basedOn w:val="Normal"/>
    <w:next w:val="Normal"/>
    <w:link w:val="TitleChar"/>
    <w:qFormat/>
    <w:rsid w:val="006C73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C736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2976A-DB3E-4A67-A7FE-EEEC1733A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4782</Words>
  <Characters>25770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30492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2012-05-23T14:15:00Z</cp:lastPrinted>
  <dcterms:created xsi:type="dcterms:W3CDTF">2012-07-17T16:37:00Z</dcterms:created>
  <dcterms:modified xsi:type="dcterms:W3CDTF">2012-07-17T16:37:00Z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-736161189</vt:i4>
  </property>
</Properties>
</file>