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11E53">
      <w:pPr>
        <w:tabs>
          <w:tab w:val="right" w:pos="9360"/>
        </w:tabs>
        <w:jc w:val="both"/>
        <w:rPr>
          <w:caps/>
          <w:color w:val="auto"/>
        </w:rPr>
      </w:pPr>
      <w:r w:rsidRPr="00F64312">
        <w:rPr>
          <w:caps/>
          <w:color w:val="auto"/>
        </w:rPr>
        <w:t xml:space="preserve">NAME:  </w:t>
      </w:r>
      <w:r w:rsidR="00C16E7A">
        <w:rPr>
          <w:caps/>
          <w:color w:val="000000"/>
        </w:rPr>
        <w:t xml:space="preserve"> XXXXXXXXXXXXXXXXXXXXXX</w:t>
      </w:r>
      <w:r w:rsidR="00F81D97">
        <w:rPr>
          <w:caps/>
          <w:color w:val="000000"/>
        </w:rPr>
        <w:t xml:space="preserve">      </w:t>
      </w:r>
      <w:r w:rsidR="007C74AA">
        <w:rPr>
          <w:caps/>
          <w:color w:val="000000"/>
        </w:rPr>
        <w:t xml:space="preserve"> </w:t>
      </w:r>
      <w:r w:rsidR="00D11E53">
        <w:rPr>
          <w:caps/>
          <w:color w:val="000000"/>
        </w:rPr>
        <w:tab/>
      </w:r>
      <w:r w:rsidRPr="00F64312">
        <w:rPr>
          <w:caps/>
          <w:color w:val="auto"/>
        </w:rPr>
        <w:t>BRANCH OF SERVICE</w:t>
      </w:r>
      <w:r w:rsidRPr="00F81D97">
        <w:rPr>
          <w:caps/>
          <w:color w:val="auto"/>
        </w:rPr>
        <w:t xml:space="preserve">:  </w:t>
      </w:r>
      <w:r w:rsidR="00F81D97" w:rsidRPr="00F81D97">
        <w:rPr>
          <w:caps/>
          <w:color w:val="auto"/>
        </w:rPr>
        <w:t>NAVY</w:t>
      </w:r>
    </w:p>
    <w:p w:rsidR="0095270D" w:rsidRPr="00F64312" w:rsidRDefault="0095270D" w:rsidP="00D11E53">
      <w:pPr>
        <w:tabs>
          <w:tab w:val="right" w:pos="9360"/>
        </w:tabs>
        <w:jc w:val="both"/>
        <w:rPr>
          <w:color w:val="auto"/>
        </w:rPr>
      </w:pPr>
      <w:r w:rsidRPr="00F64312">
        <w:rPr>
          <w:caps/>
          <w:color w:val="auto"/>
        </w:rPr>
        <w:t xml:space="preserve">CASE NUMBER:  </w:t>
      </w:r>
      <w:r w:rsidRPr="00F81D97">
        <w:rPr>
          <w:caps/>
          <w:color w:val="auto"/>
        </w:rPr>
        <w:t>PD1100</w:t>
      </w:r>
      <w:r w:rsidR="00F81D97" w:rsidRPr="00F81D97">
        <w:rPr>
          <w:caps/>
          <w:color w:val="auto"/>
        </w:rPr>
        <w:t>798</w:t>
      </w:r>
      <w:r w:rsidR="00DD5558">
        <w:rPr>
          <w:color w:val="auto"/>
        </w:rPr>
        <w:tab/>
      </w:r>
      <w:r w:rsidR="0018208F" w:rsidRPr="00F64312">
        <w:rPr>
          <w:color w:val="auto"/>
        </w:rPr>
        <w:t>SE</w:t>
      </w:r>
      <w:r w:rsidRPr="00F64312">
        <w:rPr>
          <w:color w:val="auto"/>
        </w:rPr>
        <w:t xml:space="preserve">PARATION DATE:  </w:t>
      </w:r>
      <w:r w:rsidR="007C74AA" w:rsidRPr="001F29F9">
        <w:rPr>
          <w:color w:val="000000"/>
        </w:rPr>
        <w:t>200</w:t>
      </w:r>
      <w:r w:rsidR="007C74AA">
        <w:rPr>
          <w:color w:val="000000"/>
        </w:rPr>
        <w:t>30419</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5417A1">
        <w:rPr>
          <w:caps/>
          <w:color w:val="auto"/>
        </w:rPr>
        <w:t>0525</w:t>
      </w:r>
      <w:r w:rsidR="00532B33" w:rsidRPr="00F64312">
        <w:rPr>
          <w:caps/>
          <w:color w:val="auto"/>
        </w:rPr>
        <w:t xml:space="preserve">  </w:t>
      </w:r>
    </w:p>
    <w:p w:rsidR="0095270D" w:rsidRPr="00F64312" w:rsidRDefault="0095270D" w:rsidP="002F61E4">
      <w:pPr>
        <w:pBdr>
          <w:bottom w:val="single" w:sz="12" w:space="1" w:color="auto"/>
        </w:pBdr>
        <w:tabs>
          <w:tab w:val="left" w:pos="288"/>
          <w:tab w:val="left" w:pos="4752"/>
        </w:tabs>
        <w:jc w:val="both"/>
        <w:rPr>
          <w:color w:val="auto"/>
        </w:rPr>
      </w:pPr>
    </w:p>
    <w:p w:rsidR="00AD2379" w:rsidRPr="00F64312" w:rsidRDefault="00AD2379" w:rsidP="002F61E4">
      <w:pPr>
        <w:tabs>
          <w:tab w:val="left" w:pos="288"/>
          <w:tab w:val="left" w:pos="4752"/>
        </w:tabs>
        <w:jc w:val="both"/>
        <w:rPr>
          <w:color w:val="auto"/>
        </w:rPr>
      </w:pPr>
    </w:p>
    <w:p w:rsidR="000B1C9E" w:rsidRPr="00F64312" w:rsidRDefault="00AD2379" w:rsidP="002F61E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96662C" w:rsidRPr="001F29F9">
        <w:rPr>
          <w:color w:val="000000"/>
          <w:szCs w:val="24"/>
        </w:rPr>
        <w:t>active duty</w:t>
      </w:r>
      <w:r w:rsidR="0096662C">
        <w:rPr>
          <w:color w:val="000000"/>
          <w:szCs w:val="24"/>
        </w:rPr>
        <w:t xml:space="preserve"> AE3</w:t>
      </w:r>
      <w:r w:rsidR="0096662C" w:rsidRPr="001F29F9">
        <w:rPr>
          <w:color w:val="000000"/>
          <w:szCs w:val="24"/>
        </w:rPr>
        <w:t>/E-</w:t>
      </w:r>
      <w:r w:rsidR="0096662C">
        <w:rPr>
          <w:color w:val="000000"/>
          <w:szCs w:val="24"/>
        </w:rPr>
        <w:t>4</w:t>
      </w:r>
      <w:r w:rsidR="0096662C" w:rsidRPr="001F29F9">
        <w:rPr>
          <w:color w:val="000000"/>
          <w:szCs w:val="24"/>
        </w:rPr>
        <w:t xml:space="preserve"> (</w:t>
      </w:r>
      <w:r w:rsidR="0096662C" w:rsidRPr="005437F3">
        <w:rPr>
          <w:color w:val="000000"/>
          <w:szCs w:val="24"/>
        </w:rPr>
        <w:t>AE-8832-EA-6B</w:t>
      </w:r>
      <w:r w:rsidR="00D11E53">
        <w:rPr>
          <w:color w:val="000000"/>
          <w:szCs w:val="24"/>
        </w:rPr>
        <w:t xml:space="preserve">, </w:t>
      </w:r>
      <w:r w:rsidR="0096662C">
        <w:rPr>
          <w:color w:val="000000"/>
          <w:szCs w:val="24"/>
        </w:rPr>
        <w:t xml:space="preserve">Systems </w:t>
      </w:r>
      <w:r w:rsidR="0096662C" w:rsidRPr="005437F3">
        <w:rPr>
          <w:color w:val="000000"/>
          <w:szCs w:val="24"/>
        </w:rPr>
        <w:t>Organizational</w:t>
      </w:r>
      <w:r w:rsidR="0096662C">
        <w:rPr>
          <w:color w:val="000000"/>
          <w:szCs w:val="24"/>
        </w:rPr>
        <w:t xml:space="preserve"> Initial Maintenance Technician)</w:t>
      </w:r>
      <w:r w:rsidR="00565636" w:rsidRPr="00F64312">
        <w:rPr>
          <w:color w:val="auto"/>
        </w:rPr>
        <w:t>,</w:t>
      </w:r>
      <w:r w:rsidR="00A70270" w:rsidRPr="00F64312">
        <w:rPr>
          <w:color w:val="auto"/>
        </w:rPr>
        <w:t xml:space="preserve"> </w:t>
      </w:r>
      <w:r w:rsidRPr="00F64312">
        <w:rPr>
          <w:color w:val="auto"/>
        </w:rPr>
        <w:t>medically separated for</w:t>
      </w:r>
      <w:r w:rsidR="0096662C">
        <w:rPr>
          <w:color w:val="auto"/>
        </w:rPr>
        <w:t xml:space="preserve"> </w:t>
      </w:r>
      <w:r w:rsidR="0096662C" w:rsidRPr="005437F3">
        <w:rPr>
          <w:color w:val="000000"/>
          <w:szCs w:val="24"/>
        </w:rPr>
        <w:t>recurrent nephrolithiasis, temporomandibular joint disorder, and polycystic ovary disease</w:t>
      </w:r>
      <w:r w:rsidR="0096662C" w:rsidRPr="005437F3">
        <w:rPr>
          <w:i/>
          <w:color w:val="000000"/>
          <w:szCs w:val="24"/>
        </w:rPr>
        <w:t>.</w:t>
      </w:r>
      <w:r w:rsidR="006D5E1E" w:rsidRPr="00F64312">
        <w:rPr>
          <w:color w:val="auto"/>
          <w:szCs w:val="24"/>
        </w:rPr>
        <w:t xml:space="preserve"> </w:t>
      </w:r>
      <w:r w:rsidR="00D11E53">
        <w:rPr>
          <w:color w:val="auto"/>
          <w:szCs w:val="24"/>
        </w:rPr>
        <w:t xml:space="preserve"> </w:t>
      </w:r>
      <w:r w:rsidR="007F4393">
        <w:rPr>
          <w:color w:val="auto"/>
          <w:szCs w:val="24"/>
        </w:rPr>
        <w:t xml:space="preserve">The CI did not respond adequately to treatment and was unable to meet </w:t>
      </w:r>
      <w:r w:rsidR="007F4393" w:rsidRPr="00F64312">
        <w:rPr>
          <w:color w:val="auto"/>
        </w:rPr>
        <w:t xml:space="preserve">the physical </w:t>
      </w:r>
      <w:r w:rsidR="007F4393" w:rsidRPr="007C74AA">
        <w:rPr>
          <w:color w:val="auto"/>
        </w:rPr>
        <w:t>requirements of her Rating or</w:t>
      </w:r>
      <w:r w:rsidR="007F4393" w:rsidRPr="00F64312">
        <w:rPr>
          <w:color w:val="auto"/>
        </w:rPr>
        <w:t xml:space="preserve"> satis</w:t>
      </w:r>
      <w:r w:rsidR="007F4393">
        <w:rPr>
          <w:color w:val="auto"/>
        </w:rPr>
        <w:t xml:space="preserve">fy physical fitness standards </w:t>
      </w:r>
      <w:r w:rsidR="007F4393">
        <w:rPr>
          <w:color w:val="auto"/>
          <w:szCs w:val="24"/>
        </w:rPr>
        <w:t xml:space="preserve">and was therefore referred for a Medical Evaluation Board (MEB). </w:t>
      </w:r>
      <w:r w:rsidR="00D11E53">
        <w:rPr>
          <w:color w:val="auto"/>
          <w:szCs w:val="24"/>
        </w:rPr>
        <w:t xml:space="preserve"> </w:t>
      </w:r>
      <w:r w:rsidR="00D11E53">
        <w:rPr>
          <w:color w:val="auto"/>
        </w:rPr>
        <w:t>The Physical Evaluation Board (</w:t>
      </w:r>
      <w:r w:rsidR="007F4393">
        <w:rPr>
          <w:color w:val="auto"/>
        </w:rPr>
        <w:t>PEB)</w:t>
      </w:r>
      <w:r w:rsidRPr="003F7779">
        <w:rPr>
          <w:color w:val="auto"/>
        </w:rPr>
        <w:t xml:space="preserve"> adjudicated the </w:t>
      </w:r>
      <w:r w:rsidR="008948B4" w:rsidRPr="003F7779">
        <w:rPr>
          <w:color w:val="000000"/>
          <w:szCs w:val="24"/>
        </w:rPr>
        <w:t>recurrent nephrolithiasis and temporomandibular joint disorder</w:t>
      </w:r>
      <w:r w:rsidR="008948B4" w:rsidRPr="003F7779">
        <w:rPr>
          <w:color w:val="auto"/>
        </w:rPr>
        <w:t xml:space="preserve"> </w:t>
      </w:r>
      <w:r w:rsidR="008530E3" w:rsidRPr="003F7779">
        <w:rPr>
          <w:color w:val="auto"/>
        </w:rPr>
        <w:t>condition</w:t>
      </w:r>
      <w:r w:rsidR="000C647D" w:rsidRPr="003F7779">
        <w:rPr>
          <w:color w:val="auto"/>
        </w:rPr>
        <w:t>s</w:t>
      </w:r>
      <w:r w:rsidR="008530E3" w:rsidRPr="003F7779">
        <w:rPr>
          <w:color w:val="auto"/>
        </w:rPr>
        <w:t xml:space="preserve"> as unfitting, rated </w:t>
      </w:r>
      <w:r w:rsidR="008948B4" w:rsidRPr="003F7779">
        <w:rPr>
          <w:color w:val="auto"/>
        </w:rPr>
        <w:t>20</w:t>
      </w:r>
      <w:r w:rsidRPr="003F7779">
        <w:rPr>
          <w:color w:val="auto"/>
        </w:rPr>
        <w:t>%</w:t>
      </w:r>
      <w:r w:rsidR="008948B4" w:rsidRPr="003F7779">
        <w:rPr>
          <w:color w:val="auto"/>
        </w:rPr>
        <w:t xml:space="preserve"> and 0</w:t>
      </w:r>
      <w:r w:rsidR="000C647D" w:rsidRPr="003F7779">
        <w:rPr>
          <w:color w:val="auto"/>
        </w:rPr>
        <w:t>%</w:t>
      </w:r>
      <w:r w:rsidRPr="003F7779">
        <w:rPr>
          <w:color w:val="auto"/>
        </w:rPr>
        <w:t xml:space="preserve">, </w:t>
      </w:r>
      <w:r w:rsidR="00E46D90" w:rsidRPr="003F7779">
        <w:rPr>
          <w:color w:val="auto"/>
        </w:rPr>
        <w:t xml:space="preserve">with application of the </w:t>
      </w:r>
      <w:r w:rsidRPr="003F7779">
        <w:rPr>
          <w:color w:val="auto"/>
        </w:rPr>
        <w:t>Veteran</w:t>
      </w:r>
      <w:r w:rsidR="00BF72CA" w:rsidRPr="003F7779">
        <w:rPr>
          <w:color w:val="auto"/>
        </w:rPr>
        <w:t>’</w:t>
      </w:r>
      <w:r w:rsidRPr="003F7779">
        <w:rPr>
          <w:color w:val="auto"/>
        </w:rPr>
        <w:t>s A</w:t>
      </w:r>
      <w:r w:rsidR="00BF72CA" w:rsidRPr="003F7779">
        <w:rPr>
          <w:color w:val="auto"/>
        </w:rPr>
        <w:t>ffairs</w:t>
      </w:r>
      <w:r w:rsidRPr="003F7779">
        <w:rPr>
          <w:color w:val="auto"/>
        </w:rPr>
        <w:t xml:space="preserve"> Schedule for Rating Disabilities (VASRD)</w:t>
      </w:r>
      <w:r w:rsidR="000B1C9E" w:rsidRPr="003F7779">
        <w:rPr>
          <w:color w:val="auto"/>
        </w:rPr>
        <w:t xml:space="preserve"> </w:t>
      </w:r>
      <w:r w:rsidR="00C914F9">
        <w:rPr>
          <w:color w:val="auto"/>
        </w:rPr>
        <w:t xml:space="preserve">and </w:t>
      </w:r>
      <w:r w:rsidR="008948B4" w:rsidRPr="003F7779">
        <w:rPr>
          <w:color w:val="auto"/>
          <w:szCs w:val="24"/>
        </w:rPr>
        <w:t>SECNAVINST 1850.4E</w:t>
      </w:r>
      <w:r w:rsidR="00BF72CA" w:rsidRPr="00F64312">
        <w:rPr>
          <w:color w:val="auto"/>
        </w:rPr>
        <w:t>.</w:t>
      </w:r>
      <w:r w:rsidR="00C914F9">
        <w:rPr>
          <w:color w:val="auto"/>
        </w:rPr>
        <w:t xml:space="preserve"> </w:t>
      </w:r>
      <w:r w:rsidR="00D11E53">
        <w:rPr>
          <w:color w:val="auto"/>
        </w:rPr>
        <w:t xml:space="preserve"> </w:t>
      </w:r>
      <w:r w:rsidR="007F4393" w:rsidRPr="007F4393">
        <w:rPr>
          <w:color w:val="auto"/>
        </w:rPr>
        <w:t xml:space="preserve">The </w:t>
      </w:r>
      <w:r w:rsidR="007F4393">
        <w:rPr>
          <w:color w:val="auto"/>
        </w:rPr>
        <w:t>PEB determined that the recurrent nephrolithiasis</w:t>
      </w:r>
      <w:r w:rsidR="008948B4" w:rsidRPr="007F4393">
        <w:rPr>
          <w:color w:val="auto"/>
        </w:rPr>
        <w:t xml:space="preserve"> </w:t>
      </w:r>
      <w:r w:rsidR="007F4393">
        <w:rPr>
          <w:color w:val="000000"/>
          <w:szCs w:val="24"/>
        </w:rPr>
        <w:t xml:space="preserve">condition was unfitting but had existed prior to service (EPTS). </w:t>
      </w:r>
      <w:r w:rsidR="00D11E53">
        <w:rPr>
          <w:color w:val="000000"/>
          <w:szCs w:val="24"/>
        </w:rPr>
        <w:t xml:space="preserve"> </w:t>
      </w:r>
      <w:r w:rsidR="00F741F7">
        <w:rPr>
          <w:color w:val="000000"/>
          <w:szCs w:val="24"/>
        </w:rPr>
        <w:t>T</w:t>
      </w:r>
      <w:r w:rsidR="007F4393">
        <w:rPr>
          <w:color w:val="000000"/>
          <w:szCs w:val="24"/>
        </w:rPr>
        <w:t xml:space="preserve">he PEB also determined the condition had been permanently aggravated by service. </w:t>
      </w:r>
      <w:r w:rsidR="00D11E53">
        <w:rPr>
          <w:color w:val="000000"/>
          <w:szCs w:val="24"/>
        </w:rPr>
        <w:t xml:space="preserve"> </w:t>
      </w:r>
      <w:r w:rsidR="007F4393">
        <w:rPr>
          <w:color w:val="000000"/>
          <w:szCs w:val="24"/>
        </w:rPr>
        <w:t>The</w:t>
      </w:r>
      <w:r w:rsidR="00F741F7">
        <w:rPr>
          <w:color w:val="000000"/>
          <w:szCs w:val="24"/>
        </w:rPr>
        <w:t xml:space="preserve"> PEB determination was</w:t>
      </w:r>
      <w:r w:rsidR="007F4393">
        <w:rPr>
          <w:color w:val="000000"/>
          <w:szCs w:val="24"/>
        </w:rPr>
        <w:t xml:space="preserve"> a current rating of 30% for </w:t>
      </w:r>
      <w:r w:rsidR="00F741F7">
        <w:rPr>
          <w:color w:val="000000"/>
          <w:szCs w:val="24"/>
        </w:rPr>
        <w:t>n</w:t>
      </w:r>
      <w:r w:rsidR="007F4393">
        <w:rPr>
          <w:color w:val="000000"/>
          <w:szCs w:val="24"/>
        </w:rPr>
        <w:t xml:space="preserve">ephrolithiasis </w:t>
      </w:r>
      <w:r w:rsidR="00F741F7">
        <w:rPr>
          <w:color w:val="000000"/>
          <w:szCs w:val="24"/>
        </w:rPr>
        <w:t xml:space="preserve">coded 7508 </w:t>
      </w:r>
      <w:r w:rsidR="007F4393">
        <w:rPr>
          <w:color w:val="000000"/>
          <w:szCs w:val="24"/>
        </w:rPr>
        <w:t xml:space="preserve">with a 10% deduction for the level of disability existing at the time of entry into active service. </w:t>
      </w:r>
      <w:r w:rsidR="00D11E53">
        <w:rPr>
          <w:color w:val="000000"/>
          <w:szCs w:val="24"/>
        </w:rPr>
        <w:t xml:space="preserve"> </w:t>
      </w:r>
      <w:r w:rsidR="00380601" w:rsidRPr="003F7779">
        <w:rPr>
          <w:color w:val="auto"/>
        </w:rPr>
        <w:t xml:space="preserve">The </w:t>
      </w:r>
      <w:r w:rsidR="007114D2" w:rsidRPr="003F7779">
        <w:rPr>
          <w:color w:val="000000"/>
          <w:szCs w:val="24"/>
        </w:rPr>
        <w:t>polycystic ovary disease</w:t>
      </w:r>
      <w:r w:rsidR="007114D2" w:rsidRPr="003F7779">
        <w:rPr>
          <w:color w:val="auto"/>
        </w:rPr>
        <w:t xml:space="preserve"> </w:t>
      </w:r>
      <w:r w:rsidR="00380601" w:rsidRPr="003F7779">
        <w:rPr>
          <w:color w:val="auto"/>
        </w:rPr>
        <w:t>condition</w:t>
      </w:r>
      <w:r w:rsidR="007114D2" w:rsidRPr="003F7779">
        <w:rPr>
          <w:color w:val="auto"/>
        </w:rPr>
        <w:t xml:space="preserve"> was</w:t>
      </w:r>
      <w:r w:rsidR="00380601" w:rsidRPr="003F7779">
        <w:rPr>
          <w:color w:val="auto"/>
        </w:rPr>
        <w:t xml:space="preserve"> determined to be </w:t>
      </w:r>
      <w:r w:rsidR="007114D2" w:rsidRPr="003F7779">
        <w:rPr>
          <w:color w:val="auto"/>
        </w:rPr>
        <w:t>EPTS</w:t>
      </w:r>
      <w:r w:rsidR="007F4393">
        <w:rPr>
          <w:color w:val="auto"/>
        </w:rPr>
        <w:t xml:space="preserve"> but not service</w:t>
      </w:r>
      <w:r w:rsidR="00F741F7">
        <w:rPr>
          <w:color w:val="auto"/>
        </w:rPr>
        <w:t>-</w:t>
      </w:r>
      <w:r w:rsidR="007F4393">
        <w:rPr>
          <w:color w:val="auto"/>
        </w:rPr>
        <w:t xml:space="preserve">aggravated. </w:t>
      </w:r>
      <w:r w:rsidR="00D11E53">
        <w:rPr>
          <w:color w:val="auto"/>
        </w:rPr>
        <w:t xml:space="preserve"> </w:t>
      </w:r>
      <w:r w:rsidRPr="003F7779">
        <w:rPr>
          <w:color w:val="auto"/>
        </w:rPr>
        <w:t xml:space="preserve">The CI made no appeals, and was medically separated with </w:t>
      </w:r>
      <w:r w:rsidR="003F7779" w:rsidRPr="003F7779">
        <w:rPr>
          <w:color w:val="auto"/>
        </w:rPr>
        <w:t>a 20</w:t>
      </w:r>
      <w:r w:rsidR="0066684A" w:rsidRPr="003F7779">
        <w:rPr>
          <w:color w:val="auto"/>
        </w:rPr>
        <w:t xml:space="preserve">% </w:t>
      </w:r>
      <w:r w:rsidRPr="003F7779">
        <w:rPr>
          <w:color w:val="auto"/>
        </w:rPr>
        <w:t>disability rating.</w:t>
      </w:r>
      <w:r w:rsidR="00165C7B" w:rsidRPr="00F64312">
        <w:rPr>
          <w:color w:val="auto"/>
        </w:rPr>
        <w:t xml:space="preserve">  </w:t>
      </w:r>
    </w:p>
    <w:p w:rsidR="00042978" w:rsidRPr="00F64312" w:rsidRDefault="00042978" w:rsidP="002F61E4">
      <w:pPr>
        <w:pBdr>
          <w:bottom w:val="single" w:sz="12" w:space="1" w:color="auto"/>
        </w:pBdr>
        <w:tabs>
          <w:tab w:val="left" w:pos="288"/>
          <w:tab w:val="left" w:pos="4752"/>
        </w:tabs>
        <w:jc w:val="both"/>
        <w:rPr>
          <w:color w:val="auto"/>
        </w:rPr>
      </w:pPr>
    </w:p>
    <w:p w:rsidR="00042978" w:rsidRPr="00F64312" w:rsidRDefault="00042978" w:rsidP="002F61E4">
      <w:pPr>
        <w:jc w:val="both"/>
        <w:rPr>
          <w:color w:val="auto"/>
          <w:u w:val="single"/>
        </w:rPr>
      </w:pPr>
    </w:p>
    <w:p w:rsidR="00E212DF" w:rsidRPr="00F64312" w:rsidRDefault="00AD2379" w:rsidP="002F61E4">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3F7779">
        <w:rPr>
          <w:color w:val="000000"/>
        </w:rPr>
        <w:t>“</w:t>
      </w:r>
      <w:r w:rsidR="003F7779" w:rsidRPr="00826272">
        <w:rPr>
          <w:color w:val="000000"/>
        </w:rPr>
        <w:t>I was discharged with only 20% combined rating when one of</w:t>
      </w:r>
      <w:r w:rsidR="003F7779">
        <w:rPr>
          <w:color w:val="000000"/>
        </w:rPr>
        <w:t xml:space="preserve"> </w:t>
      </w:r>
      <w:r w:rsidR="003F7779" w:rsidRPr="00826272">
        <w:rPr>
          <w:color w:val="000000"/>
        </w:rPr>
        <w:t>my conditions according to the rating tables rates 30</w:t>
      </w:r>
      <w:r w:rsidR="003F7779">
        <w:rPr>
          <w:color w:val="000000"/>
        </w:rPr>
        <w:t>%</w:t>
      </w:r>
      <w:r w:rsidR="003F7779" w:rsidRPr="00826272">
        <w:rPr>
          <w:color w:val="000000"/>
        </w:rPr>
        <w:t xml:space="preserve"> by itself. </w:t>
      </w:r>
      <w:r w:rsidR="00D11E53">
        <w:rPr>
          <w:color w:val="000000"/>
        </w:rPr>
        <w:t xml:space="preserve"> </w:t>
      </w:r>
      <w:r w:rsidR="003F7779" w:rsidRPr="00826272">
        <w:rPr>
          <w:color w:val="000000"/>
        </w:rPr>
        <w:t>I was also given a</w:t>
      </w:r>
      <w:r w:rsidR="003F7779">
        <w:rPr>
          <w:color w:val="000000"/>
        </w:rPr>
        <w:t xml:space="preserve"> 60%</w:t>
      </w:r>
      <w:r w:rsidR="003F7779" w:rsidRPr="00826272">
        <w:rPr>
          <w:color w:val="000000"/>
        </w:rPr>
        <w:t xml:space="preserve"> disability rating by the VA upon discharge and application for benefits for the same conditions. </w:t>
      </w:r>
      <w:r w:rsidR="00D11E53">
        <w:rPr>
          <w:color w:val="000000"/>
        </w:rPr>
        <w:t xml:space="preserve"> </w:t>
      </w:r>
      <w:r w:rsidR="003F7779" w:rsidRPr="00826272">
        <w:rPr>
          <w:color w:val="000000"/>
        </w:rPr>
        <w:t xml:space="preserve">I have since been bumped to </w:t>
      </w:r>
      <w:r w:rsidR="003F7779">
        <w:rPr>
          <w:color w:val="000000"/>
        </w:rPr>
        <w:t>90%</w:t>
      </w:r>
      <w:r w:rsidR="003F7779" w:rsidRPr="00826272">
        <w:rPr>
          <w:color w:val="000000"/>
        </w:rPr>
        <w:t xml:space="preserve"> permanent</w:t>
      </w:r>
      <w:r w:rsidR="003F7779">
        <w:rPr>
          <w:color w:val="000000"/>
        </w:rPr>
        <w:t xml:space="preserve"> </w:t>
      </w:r>
      <w:r w:rsidR="003F7779" w:rsidRPr="00826272">
        <w:rPr>
          <w:color w:val="000000"/>
        </w:rPr>
        <w:t>and 100% unemployable rating.</w:t>
      </w:r>
      <w:r w:rsidR="003F7779">
        <w:rPr>
          <w:color w:val="000000"/>
        </w:rPr>
        <w:t>”</w:t>
      </w:r>
      <w:r w:rsidR="004E04D7">
        <w:rPr>
          <w:color w:val="000000"/>
        </w:rPr>
        <w:t xml:space="preserve"> </w:t>
      </w:r>
      <w:r w:rsidR="00D11E53">
        <w:rPr>
          <w:color w:val="000000"/>
        </w:rPr>
        <w:t xml:space="preserve"> </w:t>
      </w:r>
      <w:r w:rsidR="00617605">
        <w:rPr>
          <w:color w:val="000000"/>
        </w:rPr>
        <w:t xml:space="preserve">The CI also submitted a </w:t>
      </w:r>
      <w:r w:rsidR="00E65D24">
        <w:rPr>
          <w:color w:val="000000"/>
        </w:rPr>
        <w:t>“</w:t>
      </w:r>
      <w:r w:rsidR="00617605">
        <w:rPr>
          <w:color w:val="000000"/>
        </w:rPr>
        <w:t xml:space="preserve">Statement </w:t>
      </w:r>
      <w:r w:rsidR="00E65D24">
        <w:rPr>
          <w:color w:val="000000"/>
        </w:rPr>
        <w:t xml:space="preserve">by Danielle Marie Rainbow” </w:t>
      </w:r>
      <w:r w:rsidR="00617605">
        <w:rPr>
          <w:color w:val="000000"/>
        </w:rPr>
        <w:t>dated 2003</w:t>
      </w:r>
      <w:r w:rsidR="00E65D24">
        <w:rPr>
          <w:color w:val="000000"/>
        </w:rPr>
        <w:t>0510 but unsigned, describing her medical history during her time in the Marines and the Navy.</w:t>
      </w:r>
      <w:r w:rsidR="00D11E53">
        <w:rPr>
          <w:color w:val="000000"/>
        </w:rPr>
        <w:t xml:space="preserve"> </w:t>
      </w:r>
      <w:r w:rsidR="009A376C">
        <w:rPr>
          <w:color w:val="000000"/>
        </w:rPr>
        <w:t xml:space="preserve"> No specific contentions are stated.</w:t>
      </w:r>
    </w:p>
    <w:p w:rsidR="004306E0" w:rsidRPr="00F64312" w:rsidRDefault="004306E0" w:rsidP="002F61E4">
      <w:pPr>
        <w:pBdr>
          <w:bottom w:val="single" w:sz="12" w:space="1" w:color="auto"/>
        </w:pBdr>
        <w:tabs>
          <w:tab w:val="left" w:pos="288"/>
          <w:tab w:val="left" w:pos="4752"/>
        </w:tabs>
        <w:jc w:val="both"/>
        <w:rPr>
          <w:color w:val="auto"/>
        </w:rPr>
      </w:pPr>
    </w:p>
    <w:p w:rsidR="007635A8" w:rsidRPr="00F64312" w:rsidRDefault="007635A8" w:rsidP="002F61E4">
      <w:pPr>
        <w:jc w:val="both"/>
        <w:rPr>
          <w:color w:val="auto"/>
          <w:u w:val="single"/>
        </w:rPr>
      </w:pPr>
    </w:p>
    <w:p w:rsidR="009239C0" w:rsidRDefault="009239C0" w:rsidP="002F61E4">
      <w:pPr>
        <w:jc w:val="both"/>
        <w:rPr>
          <w:color w:val="auto"/>
          <w:u w:val="single"/>
        </w:rPr>
      </w:pPr>
      <w:r w:rsidRPr="006A714F">
        <w:rPr>
          <w:color w:val="auto"/>
          <w:u w:val="single"/>
        </w:rPr>
        <w:t>SCOPE OF REVIEW</w:t>
      </w:r>
      <w:r>
        <w:rPr>
          <w:color w:val="auto"/>
        </w:rPr>
        <w:t xml:space="preserve">:  </w:t>
      </w:r>
      <w:r w:rsidRPr="00C566C9">
        <w:rPr>
          <w:color w:val="auto"/>
        </w:rPr>
        <w:t xml:space="preserve">The Board wishes to clarify that </w:t>
      </w:r>
      <w:r w:rsidRPr="005417A1">
        <w:rPr>
          <w:color w:val="auto"/>
        </w:rPr>
        <w:t>the scope of its re</w:t>
      </w:r>
      <w:r w:rsidR="00AE2B85" w:rsidRPr="005417A1">
        <w:rPr>
          <w:color w:val="auto"/>
        </w:rPr>
        <w:t>view as defined in DoDI 6040.44, Enclosure 3, paragraph 5.e.(2)</w:t>
      </w:r>
      <w:r w:rsidRPr="005417A1">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617605" w:rsidRPr="005417A1">
        <w:rPr>
          <w:color w:val="auto"/>
        </w:rPr>
        <w:t>.</w:t>
      </w:r>
      <w:r w:rsidRPr="005417A1">
        <w:rPr>
          <w:color w:val="auto"/>
        </w:rPr>
        <w:t>”</w:t>
      </w:r>
      <w:r w:rsidR="009A376C" w:rsidRPr="005417A1">
        <w:rPr>
          <w:color w:val="auto"/>
        </w:rPr>
        <w:t xml:space="preserve"> </w:t>
      </w:r>
      <w:r w:rsidR="00D11E53">
        <w:rPr>
          <w:color w:val="auto"/>
        </w:rPr>
        <w:t xml:space="preserve"> </w:t>
      </w:r>
      <w:r w:rsidRPr="005417A1">
        <w:rPr>
          <w:color w:val="auto"/>
        </w:rPr>
        <w:t xml:space="preserve">The ratings for unfitting conditions will be reviewed in </w:t>
      </w:r>
      <w:r w:rsidR="009A376C" w:rsidRPr="005417A1">
        <w:rPr>
          <w:color w:val="auto"/>
        </w:rPr>
        <w:t xml:space="preserve">all cases. </w:t>
      </w:r>
      <w:r w:rsidR="00D11E53">
        <w:rPr>
          <w:color w:val="auto"/>
        </w:rPr>
        <w:t xml:space="preserve"> </w:t>
      </w:r>
      <w:r w:rsidRPr="005417A1">
        <w:rPr>
          <w:color w:val="auto"/>
        </w:rPr>
        <w:t>The condition</w:t>
      </w:r>
      <w:r w:rsidR="00617605" w:rsidRPr="005417A1">
        <w:rPr>
          <w:color w:val="auto"/>
        </w:rPr>
        <w:t xml:space="preserve"> polycystic ovar</w:t>
      </w:r>
      <w:r w:rsidR="00C914F9" w:rsidRPr="005417A1">
        <w:rPr>
          <w:color w:val="auto"/>
        </w:rPr>
        <w:t>y</w:t>
      </w:r>
      <w:r w:rsidR="00617605" w:rsidRPr="005417A1">
        <w:rPr>
          <w:color w:val="auto"/>
        </w:rPr>
        <w:t xml:space="preserve"> disease, </w:t>
      </w:r>
      <w:r w:rsidRPr="005417A1">
        <w:rPr>
          <w:color w:val="auto"/>
        </w:rPr>
        <w:t>as requested for consideration</w:t>
      </w:r>
      <w:r w:rsidR="00617605" w:rsidRPr="005417A1">
        <w:rPr>
          <w:color w:val="auto"/>
        </w:rPr>
        <w:t>,</w:t>
      </w:r>
      <w:r w:rsidRPr="005417A1">
        <w:rPr>
          <w:color w:val="auto"/>
        </w:rPr>
        <w:t xml:space="preserve"> meet</w:t>
      </w:r>
      <w:r w:rsidR="00617605" w:rsidRPr="005417A1">
        <w:rPr>
          <w:color w:val="auto"/>
        </w:rPr>
        <w:t>s</w:t>
      </w:r>
      <w:r w:rsidRPr="005417A1">
        <w:rPr>
          <w:color w:val="auto"/>
        </w:rPr>
        <w:t xml:space="preserve"> the criteria prescribed in DoDI 6040.44 for Board purview; and, </w:t>
      </w:r>
      <w:r w:rsidR="00617605" w:rsidRPr="005417A1">
        <w:rPr>
          <w:color w:val="auto"/>
        </w:rPr>
        <w:t>is</w:t>
      </w:r>
      <w:r w:rsidRPr="005417A1">
        <w:rPr>
          <w:color w:val="auto"/>
        </w:rPr>
        <w:t xml:space="preserve"> addressed below, in addition to a r</w:t>
      </w:r>
      <w:r w:rsidR="00D11E53">
        <w:rPr>
          <w:color w:val="auto"/>
        </w:rPr>
        <w:t xml:space="preserve">eview of the </w:t>
      </w:r>
      <w:r w:rsidRPr="005417A1">
        <w:rPr>
          <w:color w:val="auto"/>
        </w:rPr>
        <w:t xml:space="preserve">ratings for </w:t>
      </w:r>
      <w:r w:rsidR="00617605" w:rsidRPr="005417A1">
        <w:rPr>
          <w:color w:val="auto"/>
        </w:rPr>
        <w:t>the unfitting</w:t>
      </w:r>
      <w:r w:rsidRPr="005417A1">
        <w:rPr>
          <w:color w:val="auto"/>
        </w:rPr>
        <w:t xml:space="preserve"> conditions</w:t>
      </w:r>
      <w:r w:rsidR="00617605" w:rsidRPr="005417A1">
        <w:rPr>
          <w:color w:val="auto"/>
        </w:rPr>
        <w:t xml:space="preserve"> of recurrent nephrolithiasis and temporomandibular joint disorder</w:t>
      </w:r>
      <w:r w:rsidRPr="005417A1">
        <w:rPr>
          <w:color w:val="auto"/>
        </w:rPr>
        <w:t>.</w:t>
      </w:r>
      <w:r w:rsidR="009A376C" w:rsidRPr="005417A1">
        <w:rPr>
          <w:color w:val="auto"/>
        </w:rPr>
        <w:t xml:space="preserve"> </w:t>
      </w:r>
      <w:r w:rsidR="00D11E53">
        <w:rPr>
          <w:color w:val="auto"/>
        </w:rPr>
        <w:t xml:space="preserve"> </w:t>
      </w:r>
      <w:r w:rsidRPr="005417A1">
        <w:rPr>
          <w:color w:val="auto"/>
        </w:rPr>
        <w:t>Any conditions or contention not requested in this application, or otherwise outside the Board’s defined scope of review, remain eligible for future consideration by the Board for Correction</w:t>
      </w:r>
      <w:r w:rsidRPr="00C82CA3">
        <w:rPr>
          <w:color w:val="auto"/>
        </w:rPr>
        <w:t xml:space="preserve"> of Naval Records (BCNR).</w:t>
      </w:r>
    </w:p>
    <w:p w:rsidR="000B63CF" w:rsidRPr="00F64312" w:rsidRDefault="000B63CF" w:rsidP="002F61E4">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D11E53" w:rsidP="00BF0E94">
      <w:pPr>
        <w:jc w:val="left"/>
        <w:rPr>
          <w:color w:val="auto"/>
        </w:rPr>
      </w:pPr>
      <w:r>
        <w:rPr>
          <w:color w:val="auto"/>
          <w:u w:val="single"/>
        </w:rPr>
        <w:br w:type="page"/>
      </w:r>
      <w:r w:rsidR="00AD2379" w:rsidRPr="00F64312">
        <w:rPr>
          <w:color w:val="auto"/>
          <w:u w:val="single"/>
        </w:rPr>
        <w:lastRenderedPageBreak/>
        <w:t>RATING COMPARISON</w:t>
      </w:r>
      <w:r w:rsidR="00AD2379"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W w:w="9369" w:type="dxa"/>
        <w:jc w:val="center"/>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5"/>
        <w:gridCol w:w="720"/>
        <w:gridCol w:w="724"/>
        <w:gridCol w:w="2610"/>
        <w:gridCol w:w="1080"/>
        <w:gridCol w:w="716"/>
        <w:gridCol w:w="994"/>
      </w:tblGrid>
      <w:tr w:rsidR="00F90376" w:rsidRPr="00F64312" w:rsidTr="00F16C45">
        <w:trPr>
          <w:trHeight w:val="170"/>
          <w:jc w:val="center"/>
        </w:trPr>
        <w:tc>
          <w:tcPr>
            <w:tcW w:w="3969" w:type="dxa"/>
            <w:gridSpan w:val="3"/>
            <w:tcBorders>
              <w:right w:val="thinThickThinSmallGap" w:sz="24" w:space="0" w:color="auto"/>
            </w:tcBorders>
            <w:shd w:val="clear" w:color="auto" w:fill="D9D9D9"/>
            <w:vAlign w:val="center"/>
          </w:tcPr>
          <w:p w:rsidR="00F90376" w:rsidRPr="00F16C45" w:rsidRDefault="00F90376" w:rsidP="00412F0E">
            <w:pPr>
              <w:spacing w:line="180" w:lineRule="exact"/>
              <w:contextualSpacing/>
              <w:rPr>
                <w:b/>
                <w:color w:val="auto"/>
                <w:sz w:val="18"/>
                <w:szCs w:val="22"/>
              </w:rPr>
            </w:pPr>
            <w:r w:rsidRPr="00F16C45">
              <w:rPr>
                <w:rFonts w:cs="Times New Roman"/>
                <w:b/>
                <w:color w:val="auto"/>
                <w:sz w:val="18"/>
                <w:szCs w:val="22"/>
              </w:rPr>
              <w:t xml:space="preserve">Service </w:t>
            </w:r>
            <w:r w:rsidR="00412F0E">
              <w:rPr>
                <w:rFonts w:cs="Times New Roman"/>
                <w:b/>
                <w:color w:val="auto"/>
                <w:sz w:val="18"/>
                <w:szCs w:val="22"/>
              </w:rPr>
              <w:t>I</w:t>
            </w:r>
            <w:r w:rsidRPr="00F16C45">
              <w:rPr>
                <w:rFonts w:cs="Times New Roman"/>
                <w:b/>
                <w:color w:val="auto"/>
                <w:sz w:val="18"/>
                <w:szCs w:val="22"/>
              </w:rPr>
              <w:t xml:space="preserve">PEB – Dated </w:t>
            </w:r>
            <w:r w:rsidR="00412F0E" w:rsidRPr="003B5F80">
              <w:rPr>
                <w:rFonts w:eastAsia="Calibri"/>
                <w:b/>
                <w:color w:val="000000"/>
                <w:sz w:val="18"/>
                <w:szCs w:val="18"/>
              </w:rPr>
              <w:t>200</w:t>
            </w:r>
            <w:r w:rsidR="00412F0E">
              <w:rPr>
                <w:rFonts w:eastAsia="Calibri"/>
                <w:b/>
                <w:color w:val="000000"/>
                <w:sz w:val="18"/>
                <w:szCs w:val="18"/>
              </w:rPr>
              <w:t>30213</w:t>
            </w:r>
          </w:p>
        </w:tc>
        <w:tc>
          <w:tcPr>
            <w:tcW w:w="5400" w:type="dxa"/>
            <w:gridSpan w:val="4"/>
            <w:tcBorders>
              <w:left w:val="thinThickThinSmallGap" w:sz="24" w:space="0" w:color="auto"/>
            </w:tcBorders>
            <w:shd w:val="clear" w:color="auto" w:fill="D9D9D9"/>
            <w:vAlign w:val="center"/>
          </w:tcPr>
          <w:p w:rsidR="00F90376" w:rsidRPr="00F16C45" w:rsidRDefault="00F90376" w:rsidP="000B5873">
            <w:pPr>
              <w:spacing w:line="180" w:lineRule="exact"/>
              <w:contextualSpacing/>
              <w:rPr>
                <w:b/>
                <w:color w:val="auto"/>
                <w:sz w:val="18"/>
                <w:szCs w:val="22"/>
              </w:rPr>
            </w:pPr>
            <w:r w:rsidRPr="00F16C45">
              <w:rPr>
                <w:rFonts w:cs="Times New Roman"/>
                <w:b/>
                <w:color w:val="auto"/>
                <w:sz w:val="18"/>
                <w:szCs w:val="22"/>
              </w:rPr>
              <w:t>VA (</w:t>
            </w:r>
            <w:r w:rsidR="00F73C51">
              <w:rPr>
                <w:rFonts w:cs="Times New Roman"/>
                <w:b/>
                <w:color w:val="auto"/>
                <w:sz w:val="18"/>
                <w:szCs w:val="22"/>
              </w:rPr>
              <w:t>~</w:t>
            </w:r>
            <w:r w:rsidR="000B5873">
              <w:rPr>
                <w:rFonts w:cs="Times New Roman"/>
                <w:b/>
                <w:color w:val="auto"/>
                <w:sz w:val="18"/>
                <w:szCs w:val="22"/>
              </w:rPr>
              <w:t>8-10</w:t>
            </w:r>
            <w:r w:rsidR="00E65D24">
              <w:rPr>
                <w:rFonts w:cs="Times New Roman"/>
                <w:b/>
                <w:color w:val="auto"/>
                <w:sz w:val="18"/>
                <w:szCs w:val="22"/>
              </w:rPr>
              <w:t xml:space="preserve"> Month</w:t>
            </w:r>
            <w:r w:rsidR="000B5873">
              <w:rPr>
                <w:rFonts w:cs="Times New Roman"/>
                <w:b/>
                <w:color w:val="auto"/>
                <w:sz w:val="18"/>
                <w:szCs w:val="22"/>
              </w:rPr>
              <w:t>s</w:t>
            </w:r>
            <w:r w:rsidRPr="00125551">
              <w:rPr>
                <w:rFonts w:cs="Times New Roman"/>
                <w:b/>
                <w:color w:val="auto"/>
                <w:sz w:val="18"/>
                <w:szCs w:val="22"/>
              </w:rPr>
              <w:t xml:space="preserve"> Post</w:t>
            </w:r>
            <w:r w:rsidRPr="00F16C45">
              <w:rPr>
                <w:rFonts w:cs="Times New Roman"/>
                <w:b/>
                <w:color w:val="auto"/>
                <w:sz w:val="18"/>
                <w:szCs w:val="22"/>
              </w:rPr>
              <w:t xml:space="preserve">-Separation) – All Effective Date </w:t>
            </w:r>
            <w:r w:rsidR="00F73C51" w:rsidRPr="003B5F80">
              <w:rPr>
                <w:rFonts w:eastAsia="Calibri"/>
                <w:b/>
                <w:color w:val="000000"/>
                <w:sz w:val="18"/>
                <w:szCs w:val="18"/>
              </w:rPr>
              <w:t>200</w:t>
            </w:r>
            <w:r w:rsidR="00F73C51">
              <w:rPr>
                <w:rFonts w:eastAsia="Calibri"/>
                <w:b/>
                <w:color w:val="000000"/>
                <w:sz w:val="18"/>
                <w:szCs w:val="18"/>
              </w:rPr>
              <w:t>30420</w:t>
            </w:r>
          </w:p>
        </w:tc>
      </w:tr>
      <w:tr w:rsidR="00E17EF2" w:rsidRPr="00F64312" w:rsidTr="00390C5B">
        <w:trPr>
          <w:trHeight w:val="97"/>
          <w:jc w:val="center"/>
        </w:trPr>
        <w:tc>
          <w:tcPr>
            <w:tcW w:w="2525" w:type="dxa"/>
            <w:tcBorders>
              <w:bottom w:val="single" w:sz="4" w:space="0" w:color="000000"/>
              <w:right w:val="single" w:sz="4" w:space="0" w:color="auto"/>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Condition</w:t>
            </w:r>
          </w:p>
        </w:tc>
        <w:tc>
          <w:tcPr>
            <w:tcW w:w="720" w:type="dxa"/>
            <w:tcBorders>
              <w:left w:val="single" w:sz="4" w:space="0" w:color="auto"/>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Code</w:t>
            </w:r>
          </w:p>
        </w:tc>
        <w:tc>
          <w:tcPr>
            <w:tcW w:w="724" w:type="dxa"/>
            <w:tcBorders>
              <w:bottom w:val="single" w:sz="4" w:space="0" w:color="000000"/>
              <w:right w:val="thinThickThinSmallGap" w:sz="24" w:space="0" w:color="auto"/>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Rating</w:t>
            </w:r>
          </w:p>
        </w:tc>
        <w:tc>
          <w:tcPr>
            <w:tcW w:w="2610" w:type="dxa"/>
            <w:tcBorders>
              <w:left w:val="thinThickThinSmallGap" w:sz="24" w:space="0" w:color="auto"/>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Condition</w:t>
            </w:r>
          </w:p>
        </w:tc>
        <w:tc>
          <w:tcPr>
            <w:tcW w:w="1080"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Code</w:t>
            </w:r>
          </w:p>
        </w:tc>
        <w:tc>
          <w:tcPr>
            <w:tcW w:w="716"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Rating</w:t>
            </w:r>
          </w:p>
        </w:tc>
        <w:tc>
          <w:tcPr>
            <w:tcW w:w="994" w:type="dxa"/>
            <w:tcBorders>
              <w:bottom w:val="single" w:sz="4" w:space="0" w:color="000000"/>
            </w:tcBorders>
            <w:shd w:val="clear" w:color="auto" w:fill="D9D9D9"/>
            <w:vAlign w:val="center"/>
          </w:tcPr>
          <w:p w:rsidR="00F90376" w:rsidRPr="00F16C45" w:rsidRDefault="00F90376" w:rsidP="00F16C45">
            <w:pPr>
              <w:spacing w:line="180" w:lineRule="exact"/>
              <w:contextualSpacing/>
              <w:rPr>
                <w:b/>
                <w:color w:val="auto"/>
                <w:sz w:val="18"/>
                <w:szCs w:val="22"/>
              </w:rPr>
            </w:pPr>
            <w:r w:rsidRPr="00F16C45">
              <w:rPr>
                <w:rFonts w:cs="Times New Roman"/>
                <w:b/>
                <w:color w:val="auto"/>
                <w:sz w:val="18"/>
                <w:szCs w:val="22"/>
              </w:rPr>
              <w:t>Exam</w:t>
            </w:r>
          </w:p>
        </w:tc>
      </w:tr>
      <w:tr w:rsidR="00E17EF2" w:rsidRPr="00F64312" w:rsidTr="00390C5B">
        <w:trPr>
          <w:trHeight w:val="118"/>
          <w:jc w:val="center"/>
        </w:trPr>
        <w:tc>
          <w:tcPr>
            <w:tcW w:w="2525" w:type="dxa"/>
            <w:tcBorders>
              <w:right w:val="single" w:sz="4" w:space="0" w:color="auto"/>
            </w:tcBorders>
            <w:shd w:val="clear" w:color="auto" w:fill="FFFFFF"/>
            <w:vAlign w:val="center"/>
          </w:tcPr>
          <w:p w:rsidR="00F90376" w:rsidRPr="00F16C45" w:rsidRDefault="00412F0E" w:rsidP="00F16C45">
            <w:pPr>
              <w:spacing w:line="180" w:lineRule="exact"/>
              <w:contextualSpacing/>
              <w:jc w:val="left"/>
              <w:rPr>
                <w:color w:val="auto"/>
                <w:sz w:val="18"/>
                <w:szCs w:val="22"/>
              </w:rPr>
            </w:pPr>
            <w:r w:rsidRPr="00412F0E">
              <w:rPr>
                <w:color w:val="auto"/>
                <w:sz w:val="18"/>
                <w:szCs w:val="22"/>
              </w:rPr>
              <w:t>Recurrent Nephrolithiasis</w:t>
            </w:r>
          </w:p>
        </w:tc>
        <w:tc>
          <w:tcPr>
            <w:tcW w:w="720" w:type="dxa"/>
            <w:tcBorders>
              <w:left w:val="single" w:sz="4" w:space="0" w:color="auto"/>
            </w:tcBorders>
            <w:shd w:val="clear" w:color="auto" w:fill="FFFFFF"/>
            <w:vAlign w:val="center"/>
          </w:tcPr>
          <w:p w:rsidR="00F90376" w:rsidRPr="00F16C45" w:rsidRDefault="00412F0E" w:rsidP="00F16C45">
            <w:pPr>
              <w:spacing w:line="180" w:lineRule="exact"/>
              <w:contextualSpacing/>
              <w:rPr>
                <w:color w:val="auto"/>
                <w:sz w:val="18"/>
                <w:szCs w:val="22"/>
              </w:rPr>
            </w:pPr>
            <w:r w:rsidRPr="00412F0E">
              <w:rPr>
                <w:color w:val="auto"/>
                <w:sz w:val="18"/>
                <w:szCs w:val="22"/>
              </w:rPr>
              <w:t>7508</w:t>
            </w:r>
          </w:p>
        </w:tc>
        <w:tc>
          <w:tcPr>
            <w:tcW w:w="724" w:type="dxa"/>
            <w:tcBorders>
              <w:right w:val="thinThickThinSmallGap" w:sz="24" w:space="0" w:color="auto"/>
            </w:tcBorders>
            <w:shd w:val="clear" w:color="auto" w:fill="FFFFFF"/>
            <w:vAlign w:val="center"/>
          </w:tcPr>
          <w:p w:rsidR="00F90376" w:rsidRPr="00F16C45" w:rsidRDefault="00412F0E" w:rsidP="00F16C45">
            <w:pPr>
              <w:spacing w:line="180" w:lineRule="exact"/>
              <w:rPr>
                <w:color w:val="auto"/>
                <w:sz w:val="18"/>
                <w:szCs w:val="22"/>
              </w:rPr>
            </w:pPr>
            <w:r w:rsidRPr="00412F0E">
              <w:rPr>
                <w:color w:val="auto"/>
                <w:sz w:val="18"/>
                <w:szCs w:val="22"/>
              </w:rPr>
              <w:t>20%*</w:t>
            </w:r>
          </w:p>
        </w:tc>
        <w:tc>
          <w:tcPr>
            <w:tcW w:w="2610" w:type="dxa"/>
            <w:tcBorders>
              <w:left w:val="thinThickThinSmallGap" w:sz="24" w:space="0" w:color="auto"/>
            </w:tcBorders>
            <w:shd w:val="clear" w:color="auto" w:fill="FFFFFF"/>
            <w:vAlign w:val="center"/>
          </w:tcPr>
          <w:p w:rsidR="00F90376" w:rsidRPr="00E65D24" w:rsidRDefault="00412F0E" w:rsidP="00F16C45">
            <w:pPr>
              <w:spacing w:line="180" w:lineRule="exact"/>
              <w:contextualSpacing/>
              <w:jc w:val="left"/>
              <w:rPr>
                <w:color w:val="auto"/>
                <w:sz w:val="18"/>
                <w:szCs w:val="22"/>
              </w:rPr>
            </w:pPr>
            <w:r w:rsidRPr="00E65D24">
              <w:rPr>
                <w:rFonts w:eastAsia="Calibri"/>
                <w:color w:val="000000"/>
                <w:sz w:val="18"/>
                <w:szCs w:val="18"/>
              </w:rPr>
              <w:t>Recurrent Nephrolithiasis</w:t>
            </w:r>
          </w:p>
        </w:tc>
        <w:tc>
          <w:tcPr>
            <w:tcW w:w="1080" w:type="dxa"/>
            <w:shd w:val="clear" w:color="auto" w:fill="FFFFFF"/>
            <w:vAlign w:val="center"/>
          </w:tcPr>
          <w:p w:rsidR="00F90376" w:rsidRPr="00E65D24" w:rsidRDefault="00412F0E" w:rsidP="00F16C45">
            <w:pPr>
              <w:spacing w:line="180" w:lineRule="exact"/>
              <w:contextualSpacing/>
              <w:rPr>
                <w:color w:val="auto"/>
                <w:sz w:val="18"/>
                <w:szCs w:val="22"/>
              </w:rPr>
            </w:pPr>
            <w:r w:rsidRPr="00E65D24">
              <w:rPr>
                <w:color w:val="auto"/>
                <w:sz w:val="18"/>
                <w:szCs w:val="22"/>
              </w:rPr>
              <w:t>7508</w:t>
            </w:r>
          </w:p>
        </w:tc>
        <w:tc>
          <w:tcPr>
            <w:tcW w:w="716" w:type="dxa"/>
            <w:shd w:val="clear" w:color="auto" w:fill="FFFFFF"/>
            <w:vAlign w:val="center"/>
          </w:tcPr>
          <w:p w:rsidR="00F90376" w:rsidRPr="00E65D24" w:rsidRDefault="00412F0E" w:rsidP="00F16C45">
            <w:pPr>
              <w:spacing w:line="180" w:lineRule="exact"/>
              <w:contextualSpacing/>
              <w:rPr>
                <w:color w:val="auto"/>
                <w:sz w:val="18"/>
                <w:szCs w:val="22"/>
              </w:rPr>
            </w:pPr>
            <w:r w:rsidRPr="00E65D24">
              <w:rPr>
                <w:rFonts w:eastAsia="Calibri"/>
                <w:color w:val="000000"/>
                <w:sz w:val="18"/>
                <w:szCs w:val="18"/>
              </w:rPr>
              <w:t>20%</w:t>
            </w:r>
          </w:p>
        </w:tc>
        <w:tc>
          <w:tcPr>
            <w:tcW w:w="994" w:type="dxa"/>
            <w:shd w:val="clear" w:color="auto" w:fill="FFFFFF"/>
            <w:vAlign w:val="center"/>
          </w:tcPr>
          <w:p w:rsidR="00F90376" w:rsidRPr="00E65D24" w:rsidRDefault="00E65D24" w:rsidP="00F16C45">
            <w:pPr>
              <w:spacing w:line="180" w:lineRule="exact"/>
              <w:contextualSpacing/>
              <w:rPr>
                <w:color w:val="auto"/>
                <w:sz w:val="18"/>
                <w:szCs w:val="22"/>
              </w:rPr>
            </w:pPr>
            <w:r>
              <w:rPr>
                <w:color w:val="auto"/>
                <w:sz w:val="18"/>
                <w:szCs w:val="22"/>
              </w:rPr>
              <w:t>20031211</w:t>
            </w:r>
          </w:p>
        </w:tc>
      </w:tr>
      <w:tr w:rsidR="00E17EF2" w:rsidRPr="00F64312" w:rsidTr="00390C5B">
        <w:trPr>
          <w:trHeight w:val="118"/>
          <w:jc w:val="center"/>
        </w:trPr>
        <w:tc>
          <w:tcPr>
            <w:tcW w:w="2525" w:type="dxa"/>
            <w:tcBorders>
              <w:right w:val="single" w:sz="4" w:space="0" w:color="auto"/>
            </w:tcBorders>
            <w:shd w:val="clear" w:color="auto" w:fill="FFFFFF"/>
            <w:vAlign w:val="center"/>
          </w:tcPr>
          <w:p w:rsidR="0017172C" w:rsidRPr="00F16C45" w:rsidRDefault="00412F0E" w:rsidP="00F16C45">
            <w:pPr>
              <w:spacing w:line="180" w:lineRule="exact"/>
              <w:contextualSpacing/>
              <w:jc w:val="left"/>
              <w:rPr>
                <w:rFonts w:cs="Times New Roman"/>
                <w:color w:val="auto"/>
                <w:sz w:val="18"/>
                <w:szCs w:val="22"/>
              </w:rPr>
            </w:pPr>
            <w:r w:rsidRPr="004E68F0">
              <w:rPr>
                <w:rFonts w:eastAsia="Calibri"/>
                <w:color w:val="000000"/>
                <w:sz w:val="18"/>
                <w:szCs w:val="18"/>
              </w:rPr>
              <w:t>Temporomandibular Joint Disorder</w:t>
            </w:r>
          </w:p>
        </w:tc>
        <w:tc>
          <w:tcPr>
            <w:tcW w:w="720" w:type="dxa"/>
            <w:tcBorders>
              <w:left w:val="single" w:sz="4" w:space="0" w:color="auto"/>
            </w:tcBorders>
            <w:shd w:val="clear" w:color="auto" w:fill="FFFFFF"/>
            <w:vAlign w:val="center"/>
          </w:tcPr>
          <w:p w:rsidR="0017172C" w:rsidRPr="00F16C45" w:rsidRDefault="00412F0E" w:rsidP="00F16C45">
            <w:pPr>
              <w:spacing w:line="180" w:lineRule="exact"/>
              <w:contextualSpacing/>
              <w:rPr>
                <w:rFonts w:cs="Times New Roman"/>
                <w:color w:val="auto"/>
                <w:sz w:val="18"/>
                <w:szCs w:val="22"/>
              </w:rPr>
            </w:pPr>
            <w:r w:rsidRPr="004E68F0">
              <w:rPr>
                <w:rFonts w:eastAsia="Calibri"/>
                <w:color w:val="000000"/>
                <w:sz w:val="18"/>
                <w:szCs w:val="18"/>
              </w:rPr>
              <w:t>5299-5003</w:t>
            </w:r>
          </w:p>
        </w:tc>
        <w:tc>
          <w:tcPr>
            <w:tcW w:w="724" w:type="dxa"/>
            <w:tcBorders>
              <w:right w:val="thinThickThinSmallGap" w:sz="24" w:space="0" w:color="auto"/>
            </w:tcBorders>
            <w:shd w:val="clear" w:color="auto" w:fill="FFFFFF"/>
            <w:vAlign w:val="center"/>
          </w:tcPr>
          <w:p w:rsidR="0017172C" w:rsidRPr="00F16C45" w:rsidRDefault="00412F0E" w:rsidP="00F16C45">
            <w:pPr>
              <w:spacing w:line="180" w:lineRule="exact"/>
              <w:rPr>
                <w:rFonts w:cs="Times New Roman"/>
                <w:color w:val="auto"/>
                <w:sz w:val="18"/>
                <w:szCs w:val="22"/>
              </w:rPr>
            </w:pPr>
            <w:r>
              <w:rPr>
                <w:rFonts w:eastAsia="Calibri"/>
                <w:color w:val="000000"/>
                <w:sz w:val="18"/>
                <w:szCs w:val="18"/>
              </w:rPr>
              <w:t>0</w:t>
            </w:r>
            <w:r w:rsidRPr="003B5F80">
              <w:rPr>
                <w:rFonts w:eastAsia="Calibri"/>
                <w:color w:val="000000"/>
                <w:sz w:val="18"/>
                <w:szCs w:val="18"/>
              </w:rPr>
              <w:t>%</w:t>
            </w:r>
          </w:p>
        </w:tc>
        <w:tc>
          <w:tcPr>
            <w:tcW w:w="2610" w:type="dxa"/>
            <w:tcBorders>
              <w:left w:val="thinThickThinSmallGap" w:sz="24" w:space="0" w:color="auto"/>
            </w:tcBorders>
            <w:shd w:val="clear" w:color="auto" w:fill="FFFFFF"/>
            <w:vAlign w:val="center"/>
          </w:tcPr>
          <w:p w:rsidR="0017172C" w:rsidRPr="00E65D24" w:rsidRDefault="00412F0E" w:rsidP="00427021">
            <w:pPr>
              <w:spacing w:line="180" w:lineRule="exact"/>
              <w:contextualSpacing/>
              <w:jc w:val="left"/>
              <w:rPr>
                <w:rFonts w:cs="Times New Roman"/>
                <w:color w:val="auto"/>
                <w:sz w:val="18"/>
                <w:szCs w:val="22"/>
              </w:rPr>
            </w:pPr>
            <w:r w:rsidRPr="00E65D24">
              <w:rPr>
                <w:rFonts w:eastAsia="Calibri"/>
                <w:color w:val="000000"/>
                <w:sz w:val="18"/>
                <w:szCs w:val="18"/>
              </w:rPr>
              <w:t xml:space="preserve">Temporomandibular Joint Disease </w:t>
            </w:r>
          </w:p>
        </w:tc>
        <w:tc>
          <w:tcPr>
            <w:tcW w:w="1080" w:type="dxa"/>
            <w:shd w:val="clear" w:color="auto" w:fill="FFFFFF"/>
            <w:vAlign w:val="center"/>
          </w:tcPr>
          <w:p w:rsidR="0017172C" w:rsidRPr="00E65D24" w:rsidRDefault="00412F0E" w:rsidP="00F16C45">
            <w:pPr>
              <w:spacing w:line="180" w:lineRule="exact"/>
              <w:contextualSpacing/>
              <w:rPr>
                <w:rFonts w:cs="Times New Roman"/>
                <w:color w:val="auto"/>
                <w:sz w:val="18"/>
                <w:szCs w:val="22"/>
              </w:rPr>
            </w:pPr>
            <w:r w:rsidRPr="00E65D24">
              <w:rPr>
                <w:rFonts w:eastAsia="Calibri"/>
                <w:color w:val="000000"/>
                <w:sz w:val="18"/>
                <w:szCs w:val="18"/>
              </w:rPr>
              <w:t>9905</w:t>
            </w:r>
          </w:p>
        </w:tc>
        <w:tc>
          <w:tcPr>
            <w:tcW w:w="716" w:type="dxa"/>
            <w:shd w:val="clear" w:color="auto" w:fill="FFFFFF"/>
            <w:vAlign w:val="center"/>
          </w:tcPr>
          <w:p w:rsidR="0017172C" w:rsidRPr="00E65D24" w:rsidRDefault="00412F0E" w:rsidP="00F16C45">
            <w:pPr>
              <w:spacing w:line="180" w:lineRule="exact"/>
              <w:contextualSpacing/>
              <w:rPr>
                <w:rFonts w:cs="Times New Roman"/>
                <w:color w:val="auto"/>
                <w:sz w:val="18"/>
                <w:szCs w:val="22"/>
              </w:rPr>
            </w:pPr>
            <w:r w:rsidRPr="00E65D24">
              <w:rPr>
                <w:rFonts w:eastAsia="Calibri"/>
                <w:color w:val="000000"/>
                <w:sz w:val="18"/>
                <w:szCs w:val="18"/>
              </w:rPr>
              <w:t>0%</w:t>
            </w:r>
            <w:r w:rsidR="00E65D24">
              <w:rPr>
                <w:rFonts w:eastAsia="Calibri"/>
                <w:color w:val="000000"/>
                <w:sz w:val="18"/>
                <w:szCs w:val="18"/>
              </w:rPr>
              <w:t>**</w:t>
            </w:r>
          </w:p>
        </w:tc>
        <w:tc>
          <w:tcPr>
            <w:tcW w:w="994" w:type="dxa"/>
            <w:shd w:val="clear" w:color="auto" w:fill="FFFFFF"/>
            <w:vAlign w:val="center"/>
          </w:tcPr>
          <w:p w:rsidR="0017172C" w:rsidRPr="00E65D24" w:rsidRDefault="00E73310" w:rsidP="00F16C45">
            <w:pPr>
              <w:spacing w:line="180" w:lineRule="exact"/>
              <w:contextualSpacing/>
              <w:rPr>
                <w:rFonts w:cs="Times New Roman"/>
                <w:color w:val="auto"/>
                <w:sz w:val="18"/>
                <w:szCs w:val="22"/>
              </w:rPr>
            </w:pPr>
            <w:r>
              <w:rPr>
                <w:rFonts w:cs="Times New Roman"/>
                <w:color w:val="auto"/>
                <w:sz w:val="18"/>
                <w:szCs w:val="22"/>
              </w:rPr>
              <w:t>STR</w:t>
            </w:r>
          </w:p>
        </w:tc>
      </w:tr>
      <w:tr w:rsidR="00427021" w:rsidRPr="00F64312" w:rsidTr="00427021">
        <w:trPr>
          <w:trHeight w:val="118"/>
          <w:jc w:val="center"/>
        </w:trPr>
        <w:tc>
          <w:tcPr>
            <w:tcW w:w="2525" w:type="dxa"/>
            <w:tcBorders>
              <w:right w:val="single" w:sz="4" w:space="0" w:color="auto"/>
            </w:tcBorders>
            <w:shd w:val="clear" w:color="auto" w:fill="FFFFFF"/>
            <w:vAlign w:val="center"/>
          </w:tcPr>
          <w:p w:rsidR="00427021" w:rsidRPr="00F16C45" w:rsidRDefault="00427021" w:rsidP="00390C5B">
            <w:pPr>
              <w:spacing w:line="180" w:lineRule="exact"/>
              <w:contextualSpacing/>
              <w:jc w:val="left"/>
              <w:rPr>
                <w:rFonts w:cs="Times New Roman"/>
                <w:color w:val="auto"/>
                <w:sz w:val="18"/>
                <w:szCs w:val="22"/>
              </w:rPr>
            </w:pPr>
            <w:r w:rsidRPr="004E68F0">
              <w:rPr>
                <w:color w:val="000000"/>
                <w:sz w:val="18"/>
                <w:szCs w:val="18"/>
              </w:rPr>
              <w:t>Polycystic Ovary Disease</w:t>
            </w:r>
          </w:p>
        </w:tc>
        <w:tc>
          <w:tcPr>
            <w:tcW w:w="1444" w:type="dxa"/>
            <w:gridSpan w:val="2"/>
            <w:tcBorders>
              <w:left w:val="single" w:sz="4" w:space="0" w:color="auto"/>
              <w:right w:val="thinThickThinSmallGap" w:sz="24" w:space="0" w:color="auto"/>
            </w:tcBorders>
            <w:shd w:val="clear" w:color="auto" w:fill="FFFFFF"/>
            <w:vAlign w:val="center"/>
          </w:tcPr>
          <w:p w:rsidR="00427021" w:rsidRPr="00F16C45" w:rsidRDefault="00427021" w:rsidP="00390C5B">
            <w:pPr>
              <w:spacing w:line="180" w:lineRule="exact"/>
              <w:rPr>
                <w:rFonts w:cs="Times New Roman"/>
                <w:color w:val="auto"/>
                <w:sz w:val="18"/>
                <w:szCs w:val="22"/>
              </w:rPr>
            </w:pPr>
            <w:r>
              <w:rPr>
                <w:rFonts w:eastAsia="Calibri"/>
                <w:color w:val="000000"/>
                <w:sz w:val="18"/>
                <w:szCs w:val="18"/>
              </w:rPr>
              <w:t>EPTS</w:t>
            </w:r>
          </w:p>
        </w:tc>
        <w:tc>
          <w:tcPr>
            <w:tcW w:w="2610" w:type="dxa"/>
            <w:tcBorders>
              <w:left w:val="thinThickThinSmallGap" w:sz="24" w:space="0" w:color="auto"/>
            </w:tcBorders>
            <w:shd w:val="clear" w:color="auto" w:fill="FFFFFF"/>
            <w:vAlign w:val="center"/>
          </w:tcPr>
          <w:p w:rsidR="00427021" w:rsidRPr="00E65D24" w:rsidRDefault="00427021" w:rsidP="00427021">
            <w:pPr>
              <w:spacing w:line="180" w:lineRule="exact"/>
              <w:contextualSpacing/>
              <w:jc w:val="left"/>
              <w:rPr>
                <w:rFonts w:cs="Times New Roman"/>
                <w:color w:val="auto"/>
                <w:sz w:val="18"/>
                <w:szCs w:val="22"/>
              </w:rPr>
            </w:pPr>
            <w:r w:rsidRPr="00E65D24">
              <w:rPr>
                <w:color w:val="000000"/>
                <w:sz w:val="18"/>
                <w:szCs w:val="18"/>
              </w:rPr>
              <w:t>Polycystic Ovary Disease</w:t>
            </w:r>
          </w:p>
        </w:tc>
        <w:tc>
          <w:tcPr>
            <w:tcW w:w="2790" w:type="dxa"/>
            <w:gridSpan w:val="3"/>
            <w:shd w:val="clear" w:color="auto" w:fill="FFFFFF"/>
            <w:vAlign w:val="center"/>
          </w:tcPr>
          <w:p w:rsidR="00427021" w:rsidRPr="00E65D24" w:rsidRDefault="00427021" w:rsidP="00390C5B">
            <w:pPr>
              <w:spacing w:line="180" w:lineRule="exact"/>
              <w:contextualSpacing/>
              <w:rPr>
                <w:rFonts w:cs="Times New Roman"/>
                <w:color w:val="auto"/>
                <w:sz w:val="18"/>
                <w:szCs w:val="22"/>
              </w:rPr>
            </w:pPr>
            <w:r w:rsidRPr="00E65D24">
              <w:rPr>
                <w:color w:val="000000"/>
                <w:sz w:val="18"/>
                <w:szCs w:val="18"/>
              </w:rPr>
              <w:t>NSC, Not Aggravated by service</w:t>
            </w:r>
          </w:p>
        </w:tc>
      </w:tr>
      <w:tr w:rsidR="00427021" w:rsidRPr="00F64312" w:rsidTr="00427021">
        <w:trPr>
          <w:trHeight w:val="118"/>
          <w:jc w:val="center"/>
        </w:trPr>
        <w:tc>
          <w:tcPr>
            <w:tcW w:w="3969" w:type="dxa"/>
            <w:gridSpan w:val="3"/>
            <w:vMerge w:val="restart"/>
            <w:tcBorders>
              <w:right w:val="thinThickThinSmallGap" w:sz="24" w:space="0" w:color="auto"/>
            </w:tcBorders>
            <w:shd w:val="clear" w:color="auto" w:fill="FFFFFF"/>
            <w:vAlign w:val="center"/>
          </w:tcPr>
          <w:p w:rsidR="00427021" w:rsidRDefault="00427021" w:rsidP="00F16C45">
            <w:pPr>
              <w:spacing w:line="180" w:lineRule="exact"/>
              <w:contextualSpacing/>
              <w:rPr>
                <w:rFonts w:eastAsia="Calibri"/>
                <w:color w:val="000000"/>
                <w:sz w:val="18"/>
                <w:szCs w:val="18"/>
              </w:rPr>
            </w:pPr>
            <w:r w:rsidRPr="00F16C45">
              <w:rPr>
                <w:color w:val="auto"/>
                <w:sz w:val="18"/>
                <w:szCs w:val="18"/>
              </w:rPr>
              <w:t>↓No Additional MEB/PEB Entries↓</w:t>
            </w:r>
          </w:p>
        </w:tc>
        <w:tc>
          <w:tcPr>
            <w:tcW w:w="2610" w:type="dxa"/>
            <w:tcBorders>
              <w:left w:val="thinThickThinSmallGap" w:sz="24" w:space="0" w:color="auto"/>
            </w:tcBorders>
            <w:shd w:val="clear" w:color="auto" w:fill="FFFFFF"/>
            <w:vAlign w:val="center"/>
          </w:tcPr>
          <w:p w:rsidR="00427021" w:rsidRPr="00E65D24" w:rsidRDefault="00427021" w:rsidP="00F16C45">
            <w:pPr>
              <w:spacing w:line="180" w:lineRule="exact"/>
              <w:contextualSpacing/>
              <w:jc w:val="left"/>
              <w:rPr>
                <w:rFonts w:eastAsia="Calibri"/>
                <w:color w:val="000000"/>
                <w:sz w:val="18"/>
                <w:szCs w:val="18"/>
              </w:rPr>
            </w:pPr>
            <w:r w:rsidRPr="00E65D24">
              <w:rPr>
                <w:rFonts w:eastAsia="Calibri"/>
                <w:color w:val="000000"/>
                <w:sz w:val="18"/>
                <w:szCs w:val="18"/>
              </w:rPr>
              <w:t>Gastroesophageal Reflux Disease</w:t>
            </w:r>
          </w:p>
        </w:tc>
        <w:tc>
          <w:tcPr>
            <w:tcW w:w="1080" w:type="dxa"/>
            <w:shd w:val="clear" w:color="auto" w:fill="FFFFFF"/>
            <w:vAlign w:val="center"/>
          </w:tcPr>
          <w:p w:rsidR="00427021" w:rsidRPr="00E65D24" w:rsidRDefault="00427021" w:rsidP="00F16C45">
            <w:pPr>
              <w:spacing w:line="180" w:lineRule="exact"/>
              <w:contextualSpacing/>
              <w:rPr>
                <w:rFonts w:eastAsia="Calibri"/>
                <w:color w:val="000000"/>
                <w:sz w:val="18"/>
                <w:szCs w:val="18"/>
              </w:rPr>
            </w:pPr>
            <w:r w:rsidRPr="00E65D24">
              <w:rPr>
                <w:rFonts w:eastAsia="Calibri"/>
                <w:color w:val="000000"/>
                <w:sz w:val="18"/>
                <w:szCs w:val="18"/>
              </w:rPr>
              <w:t>7399-7346</w:t>
            </w:r>
          </w:p>
        </w:tc>
        <w:tc>
          <w:tcPr>
            <w:tcW w:w="716" w:type="dxa"/>
            <w:shd w:val="clear" w:color="auto" w:fill="FFFFFF"/>
            <w:vAlign w:val="center"/>
          </w:tcPr>
          <w:p w:rsidR="00427021" w:rsidRPr="00E65D24" w:rsidRDefault="00427021" w:rsidP="00F16C45">
            <w:pPr>
              <w:spacing w:line="180" w:lineRule="exact"/>
              <w:contextualSpacing/>
              <w:rPr>
                <w:rFonts w:eastAsia="Calibri"/>
                <w:color w:val="000000"/>
                <w:sz w:val="18"/>
                <w:szCs w:val="18"/>
              </w:rPr>
            </w:pPr>
            <w:r w:rsidRPr="00E65D24">
              <w:rPr>
                <w:rFonts w:eastAsia="Calibri"/>
                <w:color w:val="000000"/>
                <w:sz w:val="18"/>
                <w:szCs w:val="18"/>
              </w:rPr>
              <w:t>10%</w:t>
            </w:r>
          </w:p>
        </w:tc>
        <w:tc>
          <w:tcPr>
            <w:tcW w:w="994" w:type="dxa"/>
            <w:shd w:val="clear" w:color="auto" w:fill="FFFFFF"/>
            <w:vAlign w:val="center"/>
          </w:tcPr>
          <w:p w:rsidR="00427021" w:rsidRPr="00E65D24" w:rsidRDefault="00E65D24" w:rsidP="00F16C45">
            <w:pPr>
              <w:spacing w:line="180" w:lineRule="exact"/>
              <w:contextualSpacing/>
              <w:rPr>
                <w:rFonts w:eastAsia="Calibri"/>
                <w:color w:val="000000"/>
                <w:sz w:val="18"/>
                <w:szCs w:val="18"/>
              </w:rPr>
            </w:pPr>
            <w:r w:rsidRPr="00E65D24">
              <w:rPr>
                <w:rFonts w:eastAsia="Calibri"/>
                <w:color w:val="000000"/>
                <w:sz w:val="18"/>
                <w:szCs w:val="18"/>
              </w:rPr>
              <w:t>20040123</w:t>
            </w:r>
          </w:p>
        </w:tc>
      </w:tr>
      <w:tr w:rsidR="00427021" w:rsidRPr="00F64312" w:rsidTr="00427021">
        <w:trPr>
          <w:trHeight w:val="118"/>
          <w:jc w:val="center"/>
        </w:trPr>
        <w:tc>
          <w:tcPr>
            <w:tcW w:w="3969" w:type="dxa"/>
            <w:gridSpan w:val="3"/>
            <w:vMerge/>
            <w:tcBorders>
              <w:right w:val="thinThickThinSmallGap" w:sz="24" w:space="0" w:color="auto"/>
            </w:tcBorders>
            <w:shd w:val="clear" w:color="auto" w:fill="FFFFFF"/>
            <w:vAlign w:val="center"/>
          </w:tcPr>
          <w:p w:rsidR="00427021" w:rsidRDefault="00427021" w:rsidP="00F16C45">
            <w:pPr>
              <w:spacing w:line="180" w:lineRule="exact"/>
              <w:contextualSpacing/>
              <w:rPr>
                <w:rFonts w:eastAsia="Calibri"/>
                <w:color w:val="000000"/>
                <w:sz w:val="18"/>
                <w:szCs w:val="18"/>
              </w:rPr>
            </w:pPr>
          </w:p>
        </w:tc>
        <w:tc>
          <w:tcPr>
            <w:tcW w:w="2610" w:type="dxa"/>
            <w:tcBorders>
              <w:left w:val="thinThickThinSmallGap" w:sz="24" w:space="0" w:color="auto"/>
            </w:tcBorders>
            <w:shd w:val="clear" w:color="auto" w:fill="FFFFFF"/>
            <w:vAlign w:val="center"/>
          </w:tcPr>
          <w:p w:rsidR="00427021" w:rsidRPr="00E65D24" w:rsidRDefault="00427021" w:rsidP="00F16C45">
            <w:pPr>
              <w:spacing w:line="180" w:lineRule="exact"/>
              <w:contextualSpacing/>
              <w:jc w:val="left"/>
              <w:rPr>
                <w:rFonts w:eastAsia="Calibri"/>
                <w:color w:val="000000"/>
                <w:sz w:val="18"/>
                <w:szCs w:val="18"/>
              </w:rPr>
            </w:pPr>
            <w:r w:rsidRPr="00E65D24">
              <w:rPr>
                <w:rFonts w:eastAsia="Calibri"/>
                <w:color w:val="000000"/>
                <w:sz w:val="18"/>
                <w:szCs w:val="18"/>
              </w:rPr>
              <w:t>Low Back Strain</w:t>
            </w:r>
          </w:p>
        </w:tc>
        <w:tc>
          <w:tcPr>
            <w:tcW w:w="1080" w:type="dxa"/>
            <w:shd w:val="clear" w:color="auto" w:fill="FFFFFF"/>
            <w:vAlign w:val="center"/>
          </w:tcPr>
          <w:p w:rsidR="00427021" w:rsidRPr="00E65D24" w:rsidRDefault="00427021" w:rsidP="00F16C45">
            <w:pPr>
              <w:spacing w:line="180" w:lineRule="exact"/>
              <w:contextualSpacing/>
              <w:rPr>
                <w:rFonts w:eastAsia="Calibri"/>
                <w:color w:val="000000"/>
                <w:sz w:val="18"/>
                <w:szCs w:val="18"/>
              </w:rPr>
            </w:pPr>
            <w:r w:rsidRPr="00E65D24">
              <w:rPr>
                <w:rFonts w:eastAsia="Calibri"/>
                <w:color w:val="000000"/>
                <w:sz w:val="18"/>
                <w:szCs w:val="18"/>
              </w:rPr>
              <w:t>5237</w:t>
            </w:r>
          </w:p>
        </w:tc>
        <w:tc>
          <w:tcPr>
            <w:tcW w:w="716" w:type="dxa"/>
            <w:shd w:val="clear" w:color="auto" w:fill="FFFFFF"/>
            <w:vAlign w:val="center"/>
          </w:tcPr>
          <w:p w:rsidR="00427021" w:rsidRPr="00E65D24" w:rsidRDefault="00427021" w:rsidP="00F16C45">
            <w:pPr>
              <w:spacing w:line="180" w:lineRule="exact"/>
              <w:contextualSpacing/>
              <w:rPr>
                <w:rFonts w:eastAsia="Calibri"/>
                <w:color w:val="000000"/>
                <w:sz w:val="18"/>
                <w:szCs w:val="18"/>
              </w:rPr>
            </w:pPr>
            <w:r w:rsidRPr="00E65D24">
              <w:rPr>
                <w:rFonts w:eastAsia="Calibri"/>
                <w:color w:val="000000"/>
                <w:sz w:val="18"/>
                <w:szCs w:val="18"/>
              </w:rPr>
              <w:t>10%</w:t>
            </w:r>
          </w:p>
        </w:tc>
        <w:tc>
          <w:tcPr>
            <w:tcW w:w="994" w:type="dxa"/>
            <w:shd w:val="clear" w:color="auto" w:fill="FFFFFF"/>
            <w:vAlign w:val="center"/>
          </w:tcPr>
          <w:p w:rsidR="00427021" w:rsidRPr="00E65D24" w:rsidRDefault="00E65D24" w:rsidP="00F16C45">
            <w:pPr>
              <w:spacing w:line="180" w:lineRule="exact"/>
              <w:contextualSpacing/>
              <w:rPr>
                <w:rFonts w:eastAsia="Calibri"/>
                <w:color w:val="000000"/>
                <w:sz w:val="18"/>
                <w:szCs w:val="18"/>
              </w:rPr>
            </w:pPr>
            <w:r w:rsidRPr="00E65D24">
              <w:rPr>
                <w:rFonts w:eastAsia="Calibri"/>
                <w:color w:val="000000"/>
                <w:sz w:val="18"/>
                <w:szCs w:val="18"/>
              </w:rPr>
              <w:t>20040123</w:t>
            </w:r>
          </w:p>
        </w:tc>
      </w:tr>
      <w:tr w:rsidR="00427021" w:rsidRPr="00F64312" w:rsidTr="00427021">
        <w:trPr>
          <w:trHeight w:val="118"/>
          <w:jc w:val="center"/>
        </w:trPr>
        <w:tc>
          <w:tcPr>
            <w:tcW w:w="3969" w:type="dxa"/>
            <w:gridSpan w:val="3"/>
            <w:vMerge/>
            <w:tcBorders>
              <w:right w:val="thinThickThinSmallGap" w:sz="24" w:space="0" w:color="auto"/>
            </w:tcBorders>
            <w:shd w:val="clear" w:color="auto" w:fill="FFFFFF"/>
            <w:vAlign w:val="center"/>
          </w:tcPr>
          <w:p w:rsidR="00427021" w:rsidRDefault="00427021" w:rsidP="00F16C45">
            <w:pPr>
              <w:spacing w:line="180" w:lineRule="exact"/>
              <w:contextualSpacing/>
              <w:rPr>
                <w:rFonts w:eastAsia="Calibri"/>
                <w:color w:val="000000"/>
                <w:sz w:val="18"/>
                <w:szCs w:val="18"/>
              </w:rPr>
            </w:pPr>
          </w:p>
        </w:tc>
        <w:tc>
          <w:tcPr>
            <w:tcW w:w="2610" w:type="dxa"/>
            <w:tcBorders>
              <w:left w:val="thinThickThinSmallGap" w:sz="24" w:space="0" w:color="auto"/>
            </w:tcBorders>
            <w:shd w:val="clear" w:color="auto" w:fill="FFFFFF"/>
            <w:vAlign w:val="center"/>
          </w:tcPr>
          <w:p w:rsidR="00427021" w:rsidRPr="00E65D24" w:rsidRDefault="00427021" w:rsidP="00F16C45">
            <w:pPr>
              <w:spacing w:line="180" w:lineRule="exact"/>
              <w:contextualSpacing/>
              <w:jc w:val="left"/>
              <w:rPr>
                <w:rFonts w:eastAsia="Calibri"/>
                <w:color w:val="000000"/>
                <w:sz w:val="18"/>
                <w:szCs w:val="18"/>
              </w:rPr>
            </w:pPr>
            <w:r w:rsidRPr="00E65D24">
              <w:rPr>
                <w:rFonts w:eastAsia="Calibri"/>
                <w:color w:val="000000"/>
                <w:sz w:val="18"/>
                <w:szCs w:val="18"/>
              </w:rPr>
              <w:t>Residuals, Left Femoral Stress Fracture</w:t>
            </w:r>
          </w:p>
        </w:tc>
        <w:tc>
          <w:tcPr>
            <w:tcW w:w="1080" w:type="dxa"/>
            <w:shd w:val="clear" w:color="auto" w:fill="FFFFFF"/>
            <w:vAlign w:val="center"/>
          </w:tcPr>
          <w:p w:rsidR="00427021" w:rsidRPr="00E65D24" w:rsidRDefault="00427021" w:rsidP="00F16C45">
            <w:pPr>
              <w:spacing w:line="180" w:lineRule="exact"/>
              <w:contextualSpacing/>
              <w:rPr>
                <w:rFonts w:eastAsia="Calibri"/>
                <w:color w:val="000000"/>
                <w:sz w:val="18"/>
                <w:szCs w:val="18"/>
              </w:rPr>
            </w:pPr>
            <w:r w:rsidRPr="00E65D24">
              <w:rPr>
                <w:rFonts w:eastAsia="Calibri"/>
                <w:color w:val="000000"/>
                <w:sz w:val="18"/>
                <w:szCs w:val="18"/>
              </w:rPr>
              <w:t>5255</w:t>
            </w:r>
          </w:p>
        </w:tc>
        <w:tc>
          <w:tcPr>
            <w:tcW w:w="716" w:type="dxa"/>
            <w:shd w:val="clear" w:color="auto" w:fill="FFFFFF"/>
            <w:vAlign w:val="center"/>
          </w:tcPr>
          <w:p w:rsidR="00427021" w:rsidRPr="00E65D24" w:rsidRDefault="00427021" w:rsidP="00F16C45">
            <w:pPr>
              <w:spacing w:line="180" w:lineRule="exact"/>
              <w:contextualSpacing/>
              <w:rPr>
                <w:rFonts w:eastAsia="Calibri"/>
                <w:color w:val="000000"/>
                <w:sz w:val="18"/>
                <w:szCs w:val="18"/>
              </w:rPr>
            </w:pPr>
            <w:r w:rsidRPr="00E65D24">
              <w:rPr>
                <w:rFonts w:eastAsia="Calibri"/>
                <w:color w:val="000000"/>
                <w:sz w:val="18"/>
                <w:szCs w:val="18"/>
              </w:rPr>
              <w:t>10%</w:t>
            </w:r>
          </w:p>
        </w:tc>
        <w:tc>
          <w:tcPr>
            <w:tcW w:w="994" w:type="dxa"/>
            <w:shd w:val="clear" w:color="auto" w:fill="FFFFFF"/>
            <w:vAlign w:val="center"/>
          </w:tcPr>
          <w:p w:rsidR="00427021" w:rsidRPr="00E65D24" w:rsidRDefault="00E65D24" w:rsidP="00F16C45">
            <w:pPr>
              <w:spacing w:line="180" w:lineRule="exact"/>
              <w:contextualSpacing/>
              <w:rPr>
                <w:rFonts w:eastAsia="Calibri"/>
                <w:color w:val="000000"/>
                <w:sz w:val="18"/>
                <w:szCs w:val="18"/>
              </w:rPr>
            </w:pPr>
            <w:r w:rsidRPr="00E65D24">
              <w:rPr>
                <w:rFonts w:eastAsia="Calibri"/>
                <w:color w:val="000000"/>
                <w:sz w:val="18"/>
                <w:szCs w:val="18"/>
              </w:rPr>
              <w:t>20040123</w:t>
            </w:r>
          </w:p>
        </w:tc>
      </w:tr>
      <w:tr w:rsidR="00427021" w:rsidRPr="00F64312" w:rsidTr="00427021">
        <w:trPr>
          <w:trHeight w:val="118"/>
          <w:jc w:val="center"/>
        </w:trPr>
        <w:tc>
          <w:tcPr>
            <w:tcW w:w="3969" w:type="dxa"/>
            <w:gridSpan w:val="3"/>
            <w:vMerge/>
            <w:tcBorders>
              <w:right w:val="thinThickThinSmallGap" w:sz="24" w:space="0" w:color="auto"/>
            </w:tcBorders>
            <w:shd w:val="clear" w:color="auto" w:fill="FFFFFF"/>
            <w:vAlign w:val="center"/>
          </w:tcPr>
          <w:p w:rsidR="00427021" w:rsidRPr="00F16C45" w:rsidRDefault="00427021" w:rsidP="00F16C45">
            <w:pPr>
              <w:spacing w:line="180" w:lineRule="exact"/>
              <w:contextualSpacing/>
              <w:rPr>
                <w:rFonts w:cs="Times New Roman"/>
                <w:color w:val="auto"/>
                <w:sz w:val="18"/>
                <w:szCs w:val="22"/>
              </w:rPr>
            </w:pPr>
          </w:p>
        </w:tc>
        <w:tc>
          <w:tcPr>
            <w:tcW w:w="2610" w:type="dxa"/>
            <w:tcBorders>
              <w:left w:val="thinThickThinSmallGap" w:sz="24" w:space="0" w:color="auto"/>
            </w:tcBorders>
            <w:shd w:val="clear" w:color="auto" w:fill="FFFFFF"/>
            <w:vAlign w:val="center"/>
          </w:tcPr>
          <w:p w:rsidR="00427021" w:rsidRPr="00E65D24" w:rsidRDefault="00427021" w:rsidP="00F16C45">
            <w:pPr>
              <w:spacing w:line="180" w:lineRule="exact"/>
              <w:contextualSpacing/>
              <w:jc w:val="left"/>
              <w:rPr>
                <w:rFonts w:cs="Times New Roman"/>
                <w:color w:val="auto"/>
                <w:sz w:val="18"/>
                <w:szCs w:val="22"/>
              </w:rPr>
            </w:pPr>
            <w:r w:rsidRPr="00E65D24">
              <w:rPr>
                <w:rFonts w:eastAsia="Calibri"/>
                <w:color w:val="000000"/>
                <w:sz w:val="18"/>
                <w:szCs w:val="18"/>
              </w:rPr>
              <w:t>Bilateral Tinnitus</w:t>
            </w:r>
          </w:p>
        </w:tc>
        <w:tc>
          <w:tcPr>
            <w:tcW w:w="1080" w:type="dxa"/>
            <w:shd w:val="clear" w:color="auto" w:fill="FFFFFF"/>
            <w:vAlign w:val="center"/>
          </w:tcPr>
          <w:p w:rsidR="00427021" w:rsidRPr="00E65D24" w:rsidRDefault="00427021" w:rsidP="00F16C45">
            <w:pPr>
              <w:spacing w:line="180" w:lineRule="exact"/>
              <w:contextualSpacing/>
              <w:rPr>
                <w:rFonts w:cs="Times New Roman"/>
                <w:color w:val="auto"/>
                <w:sz w:val="18"/>
                <w:szCs w:val="22"/>
              </w:rPr>
            </w:pPr>
            <w:r w:rsidRPr="00E65D24">
              <w:rPr>
                <w:rFonts w:cs="Times New Roman"/>
                <w:color w:val="auto"/>
                <w:sz w:val="18"/>
                <w:szCs w:val="22"/>
              </w:rPr>
              <w:t>6260</w:t>
            </w:r>
          </w:p>
        </w:tc>
        <w:tc>
          <w:tcPr>
            <w:tcW w:w="716" w:type="dxa"/>
            <w:shd w:val="clear" w:color="auto" w:fill="FFFFFF"/>
            <w:vAlign w:val="center"/>
          </w:tcPr>
          <w:p w:rsidR="00427021" w:rsidRPr="00E65D24" w:rsidRDefault="00427021" w:rsidP="00F16C45">
            <w:pPr>
              <w:spacing w:line="180" w:lineRule="exact"/>
              <w:contextualSpacing/>
              <w:rPr>
                <w:rFonts w:cs="Times New Roman"/>
                <w:color w:val="auto"/>
                <w:sz w:val="18"/>
                <w:szCs w:val="22"/>
              </w:rPr>
            </w:pPr>
            <w:r w:rsidRPr="00E65D24">
              <w:rPr>
                <w:rFonts w:cs="Times New Roman"/>
                <w:color w:val="auto"/>
                <w:sz w:val="18"/>
                <w:szCs w:val="22"/>
              </w:rPr>
              <w:t>10%</w:t>
            </w:r>
          </w:p>
        </w:tc>
        <w:tc>
          <w:tcPr>
            <w:tcW w:w="994" w:type="dxa"/>
            <w:shd w:val="clear" w:color="auto" w:fill="FFFFFF"/>
            <w:vAlign w:val="center"/>
          </w:tcPr>
          <w:p w:rsidR="00427021" w:rsidRPr="00E65D24" w:rsidRDefault="00E65D24" w:rsidP="00F16C45">
            <w:pPr>
              <w:spacing w:line="180" w:lineRule="exact"/>
              <w:contextualSpacing/>
              <w:rPr>
                <w:rFonts w:cs="Times New Roman"/>
                <w:color w:val="auto"/>
                <w:sz w:val="18"/>
                <w:szCs w:val="22"/>
              </w:rPr>
            </w:pPr>
            <w:r w:rsidRPr="00E65D24">
              <w:rPr>
                <w:rFonts w:cs="Times New Roman"/>
                <w:color w:val="auto"/>
                <w:sz w:val="18"/>
                <w:szCs w:val="22"/>
              </w:rPr>
              <w:t>20040206</w:t>
            </w:r>
          </w:p>
        </w:tc>
      </w:tr>
      <w:tr w:rsidR="00E65D24" w:rsidRPr="00F64312" w:rsidTr="00E65D24">
        <w:trPr>
          <w:trHeight w:val="172"/>
          <w:jc w:val="center"/>
        </w:trPr>
        <w:tc>
          <w:tcPr>
            <w:tcW w:w="3969" w:type="dxa"/>
            <w:gridSpan w:val="3"/>
            <w:vMerge/>
            <w:tcBorders>
              <w:right w:val="thinThickThinSmallGap" w:sz="24" w:space="0" w:color="auto"/>
            </w:tcBorders>
            <w:shd w:val="clear" w:color="auto" w:fill="FFFFFF"/>
            <w:vAlign w:val="center"/>
          </w:tcPr>
          <w:p w:rsidR="00E65D24" w:rsidRPr="00F16C45" w:rsidRDefault="00E65D24" w:rsidP="00F16C45">
            <w:pPr>
              <w:spacing w:line="180" w:lineRule="exact"/>
              <w:contextualSpacing/>
              <w:rPr>
                <w:color w:val="auto"/>
                <w:sz w:val="18"/>
                <w:szCs w:val="22"/>
              </w:rPr>
            </w:pPr>
          </w:p>
        </w:tc>
        <w:tc>
          <w:tcPr>
            <w:tcW w:w="5400" w:type="dxa"/>
            <w:gridSpan w:val="4"/>
            <w:tcBorders>
              <w:left w:val="thinThickThinSmallGap" w:sz="24" w:space="0" w:color="auto"/>
            </w:tcBorders>
            <w:shd w:val="clear" w:color="auto" w:fill="FFFFFF"/>
            <w:vAlign w:val="center"/>
          </w:tcPr>
          <w:p w:rsidR="00E65D24" w:rsidRPr="00F16C45" w:rsidRDefault="00E65D24" w:rsidP="00E73310">
            <w:pPr>
              <w:spacing w:line="180" w:lineRule="exact"/>
              <w:contextualSpacing/>
              <w:rPr>
                <w:color w:val="auto"/>
                <w:sz w:val="18"/>
                <w:szCs w:val="22"/>
              </w:rPr>
            </w:pPr>
            <w:r>
              <w:rPr>
                <w:rFonts w:cs="Times New Roman"/>
                <w:color w:val="auto"/>
                <w:sz w:val="18"/>
                <w:szCs w:val="22"/>
              </w:rPr>
              <w:t xml:space="preserve">0% x </w:t>
            </w:r>
            <w:r w:rsidR="00E73310">
              <w:rPr>
                <w:rFonts w:cs="Times New Roman"/>
                <w:color w:val="auto"/>
                <w:sz w:val="18"/>
                <w:szCs w:val="22"/>
              </w:rPr>
              <w:t>2</w:t>
            </w:r>
            <w:r>
              <w:rPr>
                <w:rFonts w:cs="Times New Roman"/>
                <w:color w:val="auto"/>
                <w:sz w:val="18"/>
                <w:szCs w:val="22"/>
              </w:rPr>
              <w:t xml:space="preserve"> </w:t>
            </w:r>
            <w:r w:rsidR="00E73310">
              <w:rPr>
                <w:rFonts w:cs="Times New Roman"/>
                <w:color w:val="auto"/>
                <w:sz w:val="18"/>
                <w:szCs w:val="22"/>
              </w:rPr>
              <w:t>(includes above)</w:t>
            </w:r>
            <w:r w:rsidRPr="00F16C45">
              <w:rPr>
                <w:rFonts w:cs="Times New Roman"/>
                <w:color w:val="auto"/>
                <w:sz w:val="18"/>
                <w:szCs w:val="22"/>
              </w:rPr>
              <w:t xml:space="preserve">/ Not Service-Connected x </w:t>
            </w:r>
            <w:r w:rsidR="00E73310">
              <w:rPr>
                <w:rFonts w:cs="Times New Roman"/>
                <w:color w:val="auto"/>
                <w:sz w:val="18"/>
                <w:szCs w:val="22"/>
              </w:rPr>
              <w:t>9</w:t>
            </w:r>
            <w:r>
              <w:rPr>
                <w:rFonts w:cs="Times New Roman"/>
                <w:color w:val="auto"/>
                <w:sz w:val="18"/>
                <w:szCs w:val="22"/>
              </w:rPr>
              <w:t xml:space="preserve"> </w:t>
            </w:r>
            <w:r w:rsidR="00E73310">
              <w:rPr>
                <w:rFonts w:cs="Times New Roman"/>
                <w:color w:val="auto"/>
                <w:sz w:val="18"/>
                <w:szCs w:val="22"/>
              </w:rPr>
              <w:t>(includes above)</w:t>
            </w:r>
          </w:p>
        </w:tc>
      </w:tr>
      <w:tr w:rsidR="00427021" w:rsidRPr="00F64312" w:rsidTr="00F16C45">
        <w:trPr>
          <w:trHeight w:val="124"/>
          <w:jc w:val="center"/>
        </w:trPr>
        <w:tc>
          <w:tcPr>
            <w:tcW w:w="3969" w:type="dxa"/>
            <w:gridSpan w:val="3"/>
            <w:tcBorders>
              <w:right w:val="thinThickThinSmallGap" w:sz="24" w:space="0" w:color="auto"/>
            </w:tcBorders>
            <w:shd w:val="clear" w:color="auto" w:fill="D9D9D9"/>
          </w:tcPr>
          <w:p w:rsidR="00427021" w:rsidRPr="00F16C45" w:rsidRDefault="00427021" w:rsidP="00F16C45">
            <w:pPr>
              <w:spacing w:line="180" w:lineRule="exact"/>
              <w:contextualSpacing/>
              <w:rPr>
                <w:b/>
                <w:color w:val="auto"/>
                <w:sz w:val="18"/>
                <w:szCs w:val="22"/>
              </w:rPr>
            </w:pPr>
            <w:r w:rsidRPr="00F16C45">
              <w:rPr>
                <w:rFonts w:cs="Times New Roman"/>
                <w:b/>
                <w:color w:val="auto"/>
                <w:sz w:val="18"/>
                <w:szCs w:val="22"/>
              </w:rPr>
              <w:t xml:space="preserve">Combined:  </w:t>
            </w:r>
            <w:r>
              <w:rPr>
                <w:rFonts w:cs="Times New Roman"/>
                <w:b/>
                <w:color w:val="auto"/>
                <w:sz w:val="18"/>
                <w:szCs w:val="22"/>
              </w:rPr>
              <w:t>20</w:t>
            </w:r>
            <w:r w:rsidRPr="00F16C45">
              <w:rPr>
                <w:rFonts w:cs="Times New Roman"/>
                <w:b/>
                <w:color w:val="auto"/>
                <w:sz w:val="18"/>
                <w:szCs w:val="22"/>
              </w:rPr>
              <w:t>%</w:t>
            </w:r>
          </w:p>
        </w:tc>
        <w:tc>
          <w:tcPr>
            <w:tcW w:w="5400" w:type="dxa"/>
            <w:gridSpan w:val="4"/>
            <w:tcBorders>
              <w:left w:val="thinThickThinSmallGap" w:sz="24" w:space="0" w:color="auto"/>
            </w:tcBorders>
            <w:shd w:val="clear" w:color="auto" w:fill="D9D9D9"/>
          </w:tcPr>
          <w:p w:rsidR="00427021" w:rsidRPr="00F16C45" w:rsidRDefault="00427021" w:rsidP="00E65D24">
            <w:pPr>
              <w:spacing w:line="180" w:lineRule="exact"/>
              <w:contextualSpacing/>
              <w:rPr>
                <w:b/>
                <w:color w:val="auto"/>
                <w:sz w:val="18"/>
                <w:szCs w:val="22"/>
              </w:rPr>
            </w:pPr>
            <w:r w:rsidRPr="00F16C45">
              <w:rPr>
                <w:rFonts w:cs="Times New Roman"/>
                <w:b/>
                <w:color w:val="auto"/>
                <w:sz w:val="18"/>
                <w:szCs w:val="22"/>
              </w:rPr>
              <w:t xml:space="preserve">Combined:  </w:t>
            </w:r>
            <w:r w:rsidR="00E65D24">
              <w:rPr>
                <w:rFonts w:cs="Times New Roman"/>
                <w:b/>
                <w:color w:val="auto"/>
                <w:sz w:val="18"/>
                <w:szCs w:val="22"/>
              </w:rPr>
              <w:t>5</w:t>
            </w:r>
            <w:r>
              <w:rPr>
                <w:rFonts w:cs="Times New Roman"/>
                <w:b/>
                <w:color w:val="auto"/>
                <w:sz w:val="18"/>
                <w:szCs w:val="22"/>
              </w:rPr>
              <w:t>0</w:t>
            </w:r>
            <w:r w:rsidRPr="00F16C45">
              <w:rPr>
                <w:rFonts w:cs="Times New Roman"/>
                <w:b/>
                <w:color w:val="auto"/>
                <w:sz w:val="18"/>
                <w:szCs w:val="22"/>
              </w:rPr>
              <w:t>%</w:t>
            </w:r>
            <w:r w:rsidR="00D8249F">
              <w:rPr>
                <w:rFonts w:cs="Times New Roman"/>
                <w:b/>
                <w:color w:val="auto"/>
                <w:sz w:val="18"/>
                <w:szCs w:val="22"/>
              </w:rPr>
              <w:t>***</w:t>
            </w:r>
          </w:p>
        </w:tc>
      </w:tr>
    </w:tbl>
    <w:p w:rsidR="00144617" w:rsidRDefault="00E65D24" w:rsidP="002F61E4">
      <w:pPr>
        <w:pBdr>
          <w:bottom w:val="single" w:sz="12" w:space="1" w:color="auto"/>
        </w:pBdr>
        <w:tabs>
          <w:tab w:val="left" w:pos="288"/>
          <w:tab w:val="left" w:pos="4752"/>
        </w:tabs>
        <w:jc w:val="both"/>
        <w:rPr>
          <w:color w:val="000000"/>
          <w:sz w:val="18"/>
          <w:szCs w:val="18"/>
        </w:rPr>
      </w:pPr>
      <w:r>
        <w:rPr>
          <w:color w:val="000000"/>
          <w:sz w:val="18"/>
          <w:szCs w:val="18"/>
        </w:rPr>
        <w:t>*</w:t>
      </w:r>
      <w:r w:rsidR="001446B1">
        <w:rPr>
          <w:color w:val="000000"/>
          <w:sz w:val="18"/>
          <w:szCs w:val="18"/>
        </w:rPr>
        <w:t>EPTS</w:t>
      </w:r>
      <w:r w:rsidR="00427021">
        <w:rPr>
          <w:color w:val="000000"/>
          <w:sz w:val="18"/>
          <w:szCs w:val="18"/>
        </w:rPr>
        <w:t xml:space="preserve"> but service aggravated</w:t>
      </w:r>
      <w:r w:rsidR="00144617" w:rsidRPr="00144617">
        <w:rPr>
          <w:color w:val="000000"/>
          <w:sz w:val="18"/>
          <w:szCs w:val="18"/>
        </w:rPr>
        <w:t xml:space="preserve"> </w:t>
      </w:r>
      <w:r w:rsidR="00427021">
        <w:rPr>
          <w:color w:val="000000"/>
          <w:sz w:val="18"/>
          <w:szCs w:val="18"/>
        </w:rPr>
        <w:t>–</w:t>
      </w:r>
      <w:r w:rsidR="00144617" w:rsidRPr="00144617">
        <w:rPr>
          <w:color w:val="000000"/>
          <w:sz w:val="18"/>
          <w:szCs w:val="18"/>
        </w:rPr>
        <w:t xml:space="preserve"> R</w:t>
      </w:r>
      <w:r w:rsidR="00427021">
        <w:rPr>
          <w:color w:val="000000"/>
          <w:sz w:val="18"/>
          <w:szCs w:val="18"/>
        </w:rPr>
        <w:t>ating 30%, r</w:t>
      </w:r>
      <w:r w:rsidR="00144617" w:rsidRPr="00144617">
        <w:rPr>
          <w:color w:val="000000"/>
          <w:sz w:val="18"/>
          <w:szCs w:val="18"/>
        </w:rPr>
        <w:t xml:space="preserve">educed by 10%.  </w:t>
      </w:r>
    </w:p>
    <w:p w:rsidR="00E65D24" w:rsidRPr="004E04D7" w:rsidRDefault="00E65D24" w:rsidP="002F61E4">
      <w:pPr>
        <w:pBdr>
          <w:bottom w:val="single" w:sz="12" w:space="1" w:color="auto"/>
        </w:pBdr>
        <w:tabs>
          <w:tab w:val="left" w:pos="288"/>
          <w:tab w:val="left" w:pos="4752"/>
        </w:tabs>
        <w:jc w:val="both"/>
        <w:rPr>
          <w:color w:val="000000"/>
          <w:sz w:val="18"/>
          <w:szCs w:val="18"/>
        </w:rPr>
      </w:pPr>
      <w:r>
        <w:rPr>
          <w:color w:val="000000"/>
          <w:sz w:val="18"/>
          <w:szCs w:val="18"/>
        </w:rPr>
        <w:t>**In</w:t>
      </w:r>
      <w:r w:rsidR="0079396A">
        <w:rPr>
          <w:color w:val="000000"/>
          <w:sz w:val="18"/>
          <w:szCs w:val="18"/>
        </w:rPr>
        <w:t>itially 0% based on the service treatment record (STR) and increased to 10% effective 20030930 after VA C&amp;P exam</w:t>
      </w:r>
      <w:r w:rsidR="00E73310">
        <w:rPr>
          <w:color w:val="000000"/>
          <w:sz w:val="18"/>
          <w:szCs w:val="18"/>
        </w:rPr>
        <w:t xml:space="preserve"> dated </w:t>
      </w:r>
      <w:r w:rsidR="00E73310">
        <w:rPr>
          <w:rFonts w:cs="Times New Roman"/>
          <w:color w:val="auto"/>
          <w:sz w:val="18"/>
          <w:szCs w:val="22"/>
        </w:rPr>
        <w:t>20040121</w:t>
      </w:r>
      <w:r w:rsidR="0079396A">
        <w:rPr>
          <w:color w:val="000000"/>
          <w:sz w:val="18"/>
          <w:szCs w:val="18"/>
        </w:rPr>
        <w:t xml:space="preserve">. </w:t>
      </w:r>
      <w:r w:rsidR="005417A1">
        <w:rPr>
          <w:color w:val="000000"/>
          <w:sz w:val="18"/>
          <w:szCs w:val="18"/>
        </w:rPr>
        <w:t xml:space="preserve">Later </w:t>
      </w:r>
      <w:r w:rsidR="005417A1" w:rsidRPr="004E04D7">
        <w:rPr>
          <w:color w:val="000000"/>
          <w:sz w:val="18"/>
          <w:szCs w:val="18"/>
        </w:rPr>
        <w:t>increased to 30% effective 20070430.</w:t>
      </w:r>
    </w:p>
    <w:p w:rsidR="00F90376" w:rsidRPr="00F64312" w:rsidRDefault="00D8249F" w:rsidP="002F61E4">
      <w:pPr>
        <w:pBdr>
          <w:bottom w:val="single" w:sz="12" w:space="1" w:color="auto"/>
        </w:pBdr>
        <w:tabs>
          <w:tab w:val="left" w:pos="288"/>
          <w:tab w:val="left" w:pos="4752"/>
        </w:tabs>
        <w:jc w:val="both"/>
        <w:rPr>
          <w:color w:val="auto"/>
        </w:rPr>
      </w:pPr>
      <w:r w:rsidRPr="004E04D7">
        <w:rPr>
          <w:color w:val="000000"/>
          <w:sz w:val="18"/>
          <w:szCs w:val="18"/>
        </w:rPr>
        <w:t>***Increased to 60% from 20030930 when 9905 increased to 10%. Increased to 70% from 20070430 when 9905 increased to 30% and 8100 Migraine headache</w:t>
      </w:r>
      <w:r>
        <w:rPr>
          <w:color w:val="000000"/>
          <w:sz w:val="18"/>
          <w:szCs w:val="18"/>
        </w:rPr>
        <w:t xml:space="preserve"> added at 10%. Increased to 90% and individual unemployability added from 20070822 when 8100 increased to 50% and 7399-7346 increased to 30%.</w:t>
      </w:r>
    </w:p>
    <w:p w:rsidR="00AD2379" w:rsidRPr="00F64312" w:rsidRDefault="00AD2379" w:rsidP="002F61E4">
      <w:pPr>
        <w:jc w:val="both"/>
        <w:rPr>
          <w:color w:val="auto"/>
        </w:rPr>
      </w:pPr>
    </w:p>
    <w:p w:rsidR="00AD2379" w:rsidRPr="00F64312" w:rsidRDefault="00AD2379" w:rsidP="002F61E4">
      <w:pPr>
        <w:jc w:val="both"/>
        <w:rPr>
          <w:color w:val="auto"/>
        </w:rPr>
      </w:pPr>
      <w:r w:rsidRPr="004E04D7">
        <w:rPr>
          <w:color w:val="auto"/>
          <w:u w:val="single"/>
        </w:rPr>
        <w:t>ANALYSIS SUMMARY</w:t>
      </w:r>
      <w:r w:rsidRPr="004E04D7">
        <w:rPr>
          <w:color w:val="auto"/>
        </w:rPr>
        <w:t>:</w:t>
      </w:r>
      <w:r w:rsidR="00896C01" w:rsidRPr="004E04D7">
        <w:rPr>
          <w:color w:val="auto"/>
        </w:rPr>
        <w:t xml:space="preserve"> </w:t>
      </w:r>
      <w:r w:rsidRPr="004E04D7">
        <w:rPr>
          <w:color w:val="auto"/>
        </w:rPr>
        <w:t xml:space="preserve"> </w:t>
      </w:r>
      <w:r w:rsidR="009A376C" w:rsidRPr="004E04D7">
        <w:rPr>
          <w:color w:val="auto"/>
        </w:rPr>
        <w:t xml:space="preserve">The Board acknowledges the sentiment expressed in the CI’s application, i.e., that the gravity of her condition and predictable consequences merit consideration for a higher separation rating. </w:t>
      </w:r>
      <w:r w:rsidR="00D11E53">
        <w:rPr>
          <w:color w:val="auto"/>
        </w:rPr>
        <w:t xml:space="preserve"> </w:t>
      </w:r>
      <w:r w:rsidR="009A376C" w:rsidRPr="004E04D7">
        <w:rPr>
          <w:color w:val="auto"/>
        </w:rPr>
        <w:t xml:space="preserve">The Board wishes to clarify that it is subject to the same laws for disability entitlements as those under which the Disability Evaluation System (DES) operates. </w:t>
      </w:r>
      <w:r w:rsidR="00D11E53">
        <w:rPr>
          <w:color w:val="auto"/>
        </w:rPr>
        <w:t xml:space="preserve"> </w:t>
      </w:r>
      <w:r w:rsidR="009A376C" w:rsidRPr="004E04D7">
        <w:rPr>
          <w:color w:val="auto"/>
        </w:rPr>
        <w:t>While the DES considers all of the service member's medical conditions, compensation can only be offered for those medical conditions that cut short a service member’s career, and then only to the degree of severity present at the time of final disposition.</w:t>
      </w:r>
      <w:r w:rsidR="00D11E53">
        <w:rPr>
          <w:color w:val="auto"/>
        </w:rPr>
        <w:t xml:space="preserve"> </w:t>
      </w:r>
      <w:r w:rsidR="009A376C" w:rsidRPr="004E04D7">
        <w:rPr>
          <w:color w:val="auto"/>
        </w:rPr>
        <w:t xml:space="preserve"> However the Department of Veteran Affairs (DVA), operating under a different set of laws (Title 38, United</w:t>
      </w:r>
      <w:r w:rsidR="009A376C" w:rsidRPr="009A376C">
        <w:rPr>
          <w:color w:val="auto"/>
        </w:rPr>
        <w:t xml:space="preserve"> States Code), is empowered to compensate all service</w:t>
      </w:r>
      <w:r w:rsidR="00D11E53">
        <w:rPr>
          <w:color w:val="auto"/>
        </w:rPr>
        <w:t>-</w:t>
      </w:r>
      <w:r w:rsidR="009A376C" w:rsidRPr="009A376C">
        <w:rPr>
          <w:color w:val="auto"/>
        </w:rPr>
        <w:t xml:space="preserve">connected conditions and to periodically reevaluate said conditions for the purpose of adjusting the </w:t>
      </w:r>
      <w:r w:rsidR="00F741F7">
        <w:rPr>
          <w:color w:val="auto"/>
        </w:rPr>
        <w:t>V</w:t>
      </w:r>
      <w:r w:rsidR="009A376C" w:rsidRPr="009A376C">
        <w:rPr>
          <w:color w:val="auto"/>
        </w:rPr>
        <w:t>etera</w:t>
      </w:r>
      <w:r w:rsidR="00D11E53">
        <w:rPr>
          <w:color w:val="auto"/>
        </w:rPr>
        <w:t>n’s disability rating should the</w:t>
      </w:r>
      <w:r w:rsidR="009A376C" w:rsidRPr="009A376C">
        <w:rPr>
          <w:color w:val="auto"/>
        </w:rPr>
        <w:t xml:space="preserve"> degree of impairment vary over time.</w:t>
      </w:r>
      <w:r w:rsidR="009A376C">
        <w:rPr>
          <w:color w:val="auto"/>
        </w:rPr>
        <w:t xml:space="preserve"> </w:t>
      </w:r>
      <w:r w:rsidR="00D11E53">
        <w:rPr>
          <w:color w:val="auto"/>
        </w:rPr>
        <w:t xml:space="preserve"> </w:t>
      </w:r>
      <w:r w:rsidR="009A376C" w:rsidRPr="009A376C">
        <w:rPr>
          <w:color w:val="auto"/>
        </w:rPr>
        <w:t xml:space="preserve">The Board utilizes </w:t>
      </w:r>
      <w:r w:rsidR="00F741F7">
        <w:rPr>
          <w:color w:val="auto"/>
        </w:rPr>
        <w:t>D</w:t>
      </w:r>
      <w:r w:rsidR="009A376C" w:rsidRPr="009A376C">
        <w:rPr>
          <w:color w:val="auto"/>
        </w:rPr>
        <w:t xml:space="preserve">VA evidence proximal to separation in arriving at its recommendations; and, DoDI 6040.44 defines a 12-month interval for special consideration to post-separation evidence. </w:t>
      </w:r>
      <w:r w:rsidR="00D11E53">
        <w:rPr>
          <w:color w:val="auto"/>
        </w:rPr>
        <w:t xml:space="preserve"> </w:t>
      </w:r>
      <w:r w:rsidR="009A376C" w:rsidRPr="009A376C">
        <w:rPr>
          <w:color w:val="auto"/>
        </w:rPr>
        <w:t xml:space="preserve">The Board’s authority as defined in DoDI 6040.44, however, resides in evaluating the fairness of DES fitness determinations and rating decisions for disability at the time of separation. </w:t>
      </w:r>
      <w:r w:rsidR="00D11E53">
        <w:rPr>
          <w:color w:val="auto"/>
        </w:rPr>
        <w:t xml:space="preserve"> </w:t>
      </w:r>
      <w:r w:rsidR="009A376C" w:rsidRPr="009A376C">
        <w:rPr>
          <w:color w:val="auto"/>
        </w:rPr>
        <w:t>Post-separation evidence therefore is probative only to the extent that it reasonably reflects the disability and fitness implications at the time of separation.</w:t>
      </w:r>
    </w:p>
    <w:p w:rsidR="00AD2379" w:rsidRPr="00F64312" w:rsidRDefault="00AD2379" w:rsidP="002F61E4">
      <w:pPr>
        <w:jc w:val="both"/>
        <w:rPr>
          <w:color w:val="auto"/>
          <w:highlight w:val="yellow"/>
        </w:rPr>
      </w:pPr>
    </w:p>
    <w:p w:rsidR="00144617" w:rsidRDefault="00144617" w:rsidP="002F61E4">
      <w:pPr>
        <w:jc w:val="both"/>
        <w:rPr>
          <w:color w:val="000000"/>
          <w:szCs w:val="24"/>
        </w:rPr>
      </w:pPr>
      <w:r w:rsidRPr="001A354D">
        <w:rPr>
          <w:color w:val="000000"/>
          <w:szCs w:val="24"/>
          <w:u w:val="single"/>
        </w:rPr>
        <w:t>Recurrent Nephrolithiasis</w:t>
      </w:r>
      <w:r w:rsidRPr="001A354D">
        <w:rPr>
          <w:color w:val="000000"/>
          <w:szCs w:val="24"/>
        </w:rPr>
        <w:t xml:space="preserve">.  </w:t>
      </w:r>
      <w:r w:rsidR="00B00D79">
        <w:rPr>
          <w:color w:val="000000"/>
          <w:szCs w:val="24"/>
        </w:rPr>
        <w:t xml:space="preserve">The CI had multiple episodes of nephrolithiasis </w:t>
      </w:r>
      <w:r w:rsidR="009A4E22">
        <w:rPr>
          <w:color w:val="000000"/>
          <w:szCs w:val="24"/>
        </w:rPr>
        <w:t xml:space="preserve">of both kidneys </w:t>
      </w:r>
      <w:r w:rsidR="00B00D79">
        <w:rPr>
          <w:color w:val="000000"/>
          <w:szCs w:val="24"/>
        </w:rPr>
        <w:t xml:space="preserve">with no treatable cause identified despite a comprehensive work-up by urology and nephrology. </w:t>
      </w:r>
      <w:r w:rsidR="00D11E53">
        <w:rPr>
          <w:color w:val="000000"/>
          <w:szCs w:val="24"/>
        </w:rPr>
        <w:t xml:space="preserve"> </w:t>
      </w:r>
      <w:r w:rsidR="00B00D79">
        <w:rPr>
          <w:color w:val="000000"/>
          <w:szCs w:val="24"/>
        </w:rPr>
        <w:t>This prevented her from performing activities required of rate and rank and she was not worldwide assignable.</w:t>
      </w:r>
      <w:r w:rsidR="009A4E22">
        <w:rPr>
          <w:color w:val="000000"/>
          <w:szCs w:val="24"/>
        </w:rPr>
        <w:t xml:space="preserve"> </w:t>
      </w:r>
      <w:r w:rsidR="00D11E53">
        <w:rPr>
          <w:color w:val="000000"/>
          <w:szCs w:val="24"/>
        </w:rPr>
        <w:t xml:space="preserve"> </w:t>
      </w:r>
      <w:r w:rsidR="00196196">
        <w:rPr>
          <w:color w:val="000000"/>
          <w:szCs w:val="24"/>
        </w:rPr>
        <w:t>A progress note f</w:t>
      </w:r>
      <w:r w:rsidR="004716E7">
        <w:rPr>
          <w:color w:val="000000"/>
          <w:szCs w:val="24"/>
        </w:rPr>
        <w:t>ro</w:t>
      </w:r>
      <w:r w:rsidR="00196196">
        <w:rPr>
          <w:color w:val="000000"/>
          <w:szCs w:val="24"/>
        </w:rPr>
        <w:t xml:space="preserve">m </w:t>
      </w:r>
      <w:r w:rsidR="00D11E53">
        <w:rPr>
          <w:color w:val="000000"/>
          <w:szCs w:val="24"/>
        </w:rPr>
        <w:t>17 July 2000</w:t>
      </w:r>
      <w:r w:rsidR="00196196">
        <w:rPr>
          <w:color w:val="000000"/>
          <w:szCs w:val="24"/>
        </w:rPr>
        <w:t xml:space="preserve"> documented a history of a kidney stone in June 1997 and obstruction on the left side noted with an </w:t>
      </w:r>
      <w:r w:rsidR="00D11E53" w:rsidRPr="00D11E53">
        <w:rPr>
          <w:color w:val="000000"/>
          <w:szCs w:val="24"/>
        </w:rPr>
        <w:t xml:space="preserve">intravenous pyelogram </w:t>
      </w:r>
      <w:r w:rsidR="00D11E53">
        <w:rPr>
          <w:color w:val="000000"/>
          <w:szCs w:val="24"/>
        </w:rPr>
        <w:t>(</w:t>
      </w:r>
      <w:r w:rsidR="00196196">
        <w:rPr>
          <w:color w:val="000000"/>
          <w:szCs w:val="24"/>
        </w:rPr>
        <w:t>IVP</w:t>
      </w:r>
      <w:r w:rsidR="00D11E53">
        <w:rPr>
          <w:color w:val="000000"/>
          <w:szCs w:val="24"/>
        </w:rPr>
        <w:t>)</w:t>
      </w:r>
      <w:r w:rsidR="00196196">
        <w:rPr>
          <w:color w:val="000000"/>
          <w:szCs w:val="24"/>
        </w:rPr>
        <w:t xml:space="preserve"> in 1999.</w:t>
      </w:r>
      <w:r w:rsidR="004716E7">
        <w:rPr>
          <w:color w:val="000000"/>
          <w:szCs w:val="24"/>
        </w:rPr>
        <w:t xml:space="preserve"> </w:t>
      </w:r>
      <w:r w:rsidR="00D11E53">
        <w:rPr>
          <w:color w:val="000000"/>
          <w:szCs w:val="24"/>
        </w:rPr>
        <w:t xml:space="preserve"> </w:t>
      </w:r>
      <w:r w:rsidR="004716E7">
        <w:rPr>
          <w:color w:val="000000"/>
          <w:szCs w:val="24"/>
        </w:rPr>
        <w:t xml:space="preserve">A nephrology clinic note dated </w:t>
      </w:r>
      <w:r w:rsidR="00D11E53">
        <w:rPr>
          <w:color w:val="000000"/>
          <w:szCs w:val="24"/>
        </w:rPr>
        <w:t xml:space="preserve">9 November </w:t>
      </w:r>
      <w:r w:rsidR="004716E7">
        <w:rPr>
          <w:color w:val="000000"/>
          <w:szCs w:val="24"/>
        </w:rPr>
        <w:t xml:space="preserve">2001 noted a reported history of a passed stone in 1997. </w:t>
      </w:r>
      <w:r w:rsidR="00D11E53">
        <w:rPr>
          <w:color w:val="000000"/>
          <w:szCs w:val="24"/>
        </w:rPr>
        <w:t xml:space="preserve"> </w:t>
      </w:r>
      <w:r w:rsidR="004716E7">
        <w:rPr>
          <w:color w:val="000000"/>
          <w:szCs w:val="24"/>
        </w:rPr>
        <w:t xml:space="preserve">No metabolic reason for stones was found, no treatment was </w:t>
      </w:r>
      <w:r w:rsidR="004716E7" w:rsidRPr="004E04D7">
        <w:rPr>
          <w:color w:val="000000"/>
          <w:szCs w:val="24"/>
        </w:rPr>
        <w:t xml:space="preserve">indicated, and the nephrologist recommended return to full duty. </w:t>
      </w:r>
      <w:r w:rsidR="00D11E53">
        <w:rPr>
          <w:color w:val="000000"/>
          <w:szCs w:val="24"/>
        </w:rPr>
        <w:t xml:space="preserve"> </w:t>
      </w:r>
      <w:r w:rsidR="004716E7" w:rsidRPr="004E04D7">
        <w:rPr>
          <w:color w:val="000000"/>
          <w:szCs w:val="24"/>
        </w:rPr>
        <w:t xml:space="preserve">However, she continued to have </w:t>
      </w:r>
      <w:r w:rsidR="00410159" w:rsidRPr="004E04D7">
        <w:rPr>
          <w:color w:val="000000"/>
          <w:szCs w:val="24"/>
        </w:rPr>
        <w:t>recurrent kidney stones and was referred for MEB.</w:t>
      </w:r>
      <w:r w:rsidR="00D11E53">
        <w:rPr>
          <w:color w:val="000000"/>
          <w:szCs w:val="24"/>
        </w:rPr>
        <w:t xml:space="preserve"> </w:t>
      </w:r>
      <w:r w:rsidR="00410159" w:rsidRPr="004E04D7">
        <w:rPr>
          <w:color w:val="000000"/>
          <w:szCs w:val="24"/>
        </w:rPr>
        <w:t xml:space="preserve"> A physical examination complet</w:t>
      </w:r>
      <w:r w:rsidR="00D11E53">
        <w:rPr>
          <w:color w:val="000000"/>
          <w:szCs w:val="24"/>
        </w:rPr>
        <w:t>ed as part of an MEB narrative s</w:t>
      </w:r>
      <w:r w:rsidR="00410159" w:rsidRPr="004E04D7">
        <w:rPr>
          <w:color w:val="000000"/>
          <w:szCs w:val="24"/>
        </w:rPr>
        <w:t xml:space="preserve">ummary (NARSUM) dated </w:t>
      </w:r>
      <w:r w:rsidR="00D11E53">
        <w:rPr>
          <w:color w:val="000000"/>
          <w:szCs w:val="24"/>
        </w:rPr>
        <w:t xml:space="preserve">27 November </w:t>
      </w:r>
      <w:r w:rsidR="00410159" w:rsidRPr="004E04D7">
        <w:rPr>
          <w:color w:val="000000"/>
          <w:szCs w:val="24"/>
        </w:rPr>
        <w:t>2002</w:t>
      </w:r>
      <w:r w:rsidR="006B1390" w:rsidRPr="004E04D7">
        <w:rPr>
          <w:color w:val="000000"/>
          <w:szCs w:val="24"/>
        </w:rPr>
        <w:t xml:space="preserve"> (four months prior to separation)</w:t>
      </w:r>
      <w:r w:rsidR="00410159" w:rsidRPr="004E04D7">
        <w:rPr>
          <w:color w:val="000000"/>
          <w:szCs w:val="24"/>
        </w:rPr>
        <w:t xml:space="preserve"> was normal and no </w:t>
      </w:r>
      <w:r w:rsidR="00D11E53">
        <w:rPr>
          <w:color w:val="000000"/>
          <w:szCs w:val="24"/>
        </w:rPr>
        <w:t>c</w:t>
      </w:r>
      <w:r w:rsidR="00D11E53" w:rsidRPr="00D11E53">
        <w:rPr>
          <w:color w:val="000000"/>
          <w:szCs w:val="24"/>
        </w:rPr>
        <w:t xml:space="preserve">ostovertebral angle </w:t>
      </w:r>
      <w:r w:rsidR="00D11E53">
        <w:rPr>
          <w:color w:val="000000"/>
          <w:szCs w:val="24"/>
        </w:rPr>
        <w:t>(</w:t>
      </w:r>
      <w:r w:rsidR="00410159" w:rsidRPr="004E04D7">
        <w:rPr>
          <w:color w:val="000000"/>
          <w:szCs w:val="24"/>
        </w:rPr>
        <w:t>CVA</w:t>
      </w:r>
      <w:r w:rsidR="00D11E53">
        <w:rPr>
          <w:color w:val="000000"/>
          <w:szCs w:val="24"/>
        </w:rPr>
        <w:t>)</w:t>
      </w:r>
      <w:r w:rsidR="00410159" w:rsidRPr="004E04D7">
        <w:rPr>
          <w:color w:val="000000"/>
          <w:szCs w:val="24"/>
        </w:rPr>
        <w:t xml:space="preserve"> tenderness was noted at that time. </w:t>
      </w:r>
      <w:r w:rsidR="00E73310">
        <w:rPr>
          <w:color w:val="000000"/>
          <w:szCs w:val="24"/>
        </w:rPr>
        <w:t>A VA C</w:t>
      </w:r>
      <w:r w:rsidR="009A4E22" w:rsidRPr="004E04D7">
        <w:rPr>
          <w:color w:val="000000"/>
          <w:szCs w:val="24"/>
        </w:rPr>
        <w:t xml:space="preserve">ompensation and Pension (C&amp;P) examination completed </w:t>
      </w:r>
      <w:r w:rsidR="00D11E53">
        <w:rPr>
          <w:color w:val="000000"/>
          <w:szCs w:val="24"/>
        </w:rPr>
        <w:t xml:space="preserve">11 December </w:t>
      </w:r>
      <w:r w:rsidR="009A4E22" w:rsidRPr="004E04D7">
        <w:rPr>
          <w:color w:val="000000"/>
          <w:szCs w:val="24"/>
        </w:rPr>
        <w:t xml:space="preserve">2004, </w:t>
      </w:r>
      <w:r w:rsidR="00F741F7">
        <w:rPr>
          <w:color w:val="000000"/>
          <w:szCs w:val="24"/>
        </w:rPr>
        <w:t>8</w:t>
      </w:r>
      <w:r w:rsidR="009A4E22" w:rsidRPr="004E04D7">
        <w:rPr>
          <w:color w:val="000000"/>
          <w:szCs w:val="24"/>
        </w:rPr>
        <w:t xml:space="preserve"> months after separation, revealed a similar history. </w:t>
      </w:r>
      <w:r w:rsidR="00D11E53">
        <w:rPr>
          <w:color w:val="000000"/>
          <w:szCs w:val="24"/>
        </w:rPr>
        <w:t xml:space="preserve"> </w:t>
      </w:r>
      <w:r w:rsidR="009A4E22" w:rsidRPr="004E04D7">
        <w:rPr>
          <w:color w:val="000000"/>
          <w:szCs w:val="24"/>
        </w:rPr>
        <w:t>This examination documented “tenderness to</w:t>
      </w:r>
      <w:r w:rsidR="009A4E22">
        <w:rPr>
          <w:color w:val="000000"/>
          <w:szCs w:val="24"/>
        </w:rPr>
        <w:t xml:space="preserve"> punch over the left CVA.”</w:t>
      </w:r>
      <w:r w:rsidR="00170B41">
        <w:rPr>
          <w:color w:val="000000"/>
          <w:szCs w:val="24"/>
        </w:rPr>
        <w:t xml:space="preserve"> </w:t>
      </w:r>
      <w:r w:rsidR="00D11E53">
        <w:rPr>
          <w:color w:val="000000"/>
          <w:szCs w:val="24"/>
        </w:rPr>
        <w:t xml:space="preserve"> </w:t>
      </w:r>
      <w:r w:rsidR="00170B41">
        <w:rPr>
          <w:color w:val="000000"/>
          <w:szCs w:val="24"/>
        </w:rPr>
        <w:t>However, there was no tenderness on the right side.</w:t>
      </w:r>
      <w:r w:rsidR="00D11E53">
        <w:rPr>
          <w:color w:val="000000"/>
          <w:szCs w:val="24"/>
        </w:rPr>
        <w:t xml:space="preserve"> </w:t>
      </w:r>
      <w:r w:rsidR="009A4E22">
        <w:rPr>
          <w:color w:val="000000"/>
          <w:szCs w:val="24"/>
        </w:rPr>
        <w:t xml:space="preserve"> The diagnosis was nephrolithiasis bilateral, recurrent, intermittently symptomatic.</w:t>
      </w:r>
      <w:r w:rsidR="00196196">
        <w:rPr>
          <w:color w:val="000000"/>
          <w:szCs w:val="24"/>
        </w:rPr>
        <w:t xml:space="preserve"> </w:t>
      </w:r>
    </w:p>
    <w:p w:rsidR="00506A83" w:rsidRDefault="00410159" w:rsidP="002F61E4">
      <w:pPr>
        <w:jc w:val="both"/>
        <w:rPr>
          <w:rFonts w:cs="Times New Roman"/>
          <w:color w:val="auto"/>
        </w:rPr>
      </w:pPr>
      <w:r>
        <w:rPr>
          <w:color w:val="000000"/>
          <w:szCs w:val="24"/>
        </w:rPr>
        <w:lastRenderedPageBreak/>
        <w:t xml:space="preserve">The PEB determined this condition was unfitting but had </w:t>
      </w:r>
      <w:r w:rsidR="001446B1">
        <w:rPr>
          <w:color w:val="000000"/>
          <w:szCs w:val="24"/>
        </w:rPr>
        <w:t>EPTS</w:t>
      </w:r>
      <w:r>
        <w:rPr>
          <w:color w:val="000000"/>
          <w:szCs w:val="24"/>
        </w:rPr>
        <w:t>, presumabl</w:t>
      </w:r>
      <w:r w:rsidR="00E73310">
        <w:rPr>
          <w:color w:val="000000"/>
          <w:szCs w:val="24"/>
        </w:rPr>
        <w:t>y</w:t>
      </w:r>
      <w:r>
        <w:rPr>
          <w:color w:val="000000"/>
          <w:szCs w:val="24"/>
        </w:rPr>
        <w:t xml:space="preserve"> because of the reported history of a kidney stone in 1997. </w:t>
      </w:r>
      <w:r w:rsidR="00D11E53">
        <w:rPr>
          <w:color w:val="000000"/>
          <w:szCs w:val="24"/>
        </w:rPr>
        <w:t xml:space="preserve"> </w:t>
      </w:r>
      <w:r>
        <w:rPr>
          <w:color w:val="000000"/>
          <w:szCs w:val="24"/>
        </w:rPr>
        <w:t>However the PEB also determined the condition had been aggravated by service.</w:t>
      </w:r>
      <w:r w:rsidR="00D11E53">
        <w:rPr>
          <w:color w:val="000000"/>
          <w:szCs w:val="24"/>
        </w:rPr>
        <w:t xml:space="preserve"> </w:t>
      </w:r>
      <w:r>
        <w:rPr>
          <w:color w:val="000000"/>
          <w:szCs w:val="24"/>
        </w:rPr>
        <w:t xml:space="preserve"> They determined a current rating of 30% </w:t>
      </w:r>
      <w:r w:rsidR="001446B1">
        <w:rPr>
          <w:color w:val="000000"/>
          <w:szCs w:val="24"/>
        </w:rPr>
        <w:t>for 7508 n</w:t>
      </w:r>
      <w:r w:rsidR="00506A83">
        <w:rPr>
          <w:color w:val="000000"/>
          <w:szCs w:val="24"/>
        </w:rPr>
        <w:t xml:space="preserve">ephrolithiasis </w:t>
      </w:r>
      <w:r>
        <w:rPr>
          <w:color w:val="000000"/>
          <w:szCs w:val="24"/>
        </w:rPr>
        <w:t xml:space="preserve">with a 10% deduction for the level of disability existing at the time of entry into active service.  Although it is not clear how the 10% rating was determined, this deduction appears to be in compliance with VASRD </w:t>
      </w:r>
      <w:r w:rsidRPr="00410159">
        <w:rPr>
          <w:rFonts w:cs="Times New Roman"/>
          <w:color w:val="auto"/>
        </w:rPr>
        <w:t xml:space="preserve">§4.22 </w:t>
      </w:r>
      <w:r w:rsidR="001446B1">
        <w:rPr>
          <w:rFonts w:cs="Times New Roman"/>
          <w:color w:val="auto"/>
        </w:rPr>
        <w:t>(r</w:t>
      </w:r>
      <w:r w:rsidRPr="00410159">
        <w:rPr>
          <w:rFonts w:cs="Times New Roman"/>
          <w:color w:val="auto"/>
        </w:rPr>
        <w:t>ating of disabilities aggravated by active service</w:t>
      </w:r>
      <w:r w:rsidR="001446B1">
        <w:rPr>
          <w:rFonts w:cs="Times New Roman"/>
          <w:color w:val="auto"/>
        </w:rPr>
        <w:t>)</w:t>
      </w:r>
      <w:r w:rsidRPr="00410159">
        <w:rPr>
          <w:rFonts w:cs="Times New Roman"/>
          <w:color w:val="auto"/>
        </w:rPr>
        <w:t>.</w:t>
      </w:r>
      <w:r w:rsidRPr="00427021">
        <w:rPr>
          <w:rFonts w:cs="Times New Roman"/>
          <w:b/>
          <w:color w:val="auto"/>
        </w:rPr>
        <w:t xml:space="preserve"> </w:t>
      </w:r>
      <w:r w:rsidR="001446B1">
        <w:rPr>
          <w:rFonts w:cs="Times New Roman"/>
          <w:b/>
          <w:color w:val="auto"/>
        </w:rPr>
        <w:t xml:space="preserve"> </w:t>
      </w:r>
      <w:r>
        <w:rPr>
          <w:rFonts w:cs="Times New Roman"/>
          <w:color w:val="auto"/>
        </w:rPr>
        <w:t>This paragraph states, “</w:t>
      </w:r>
      <w:r w:rsidR="001446B1">
        <w:rPr>
          <w:rFonts w:cs="Times New Roman"/>
          <w:color w:val="auto"/>
        </w:rPr>
        <w:t>i</w:t>
      </w:r>
      <w:r w:rsidRPr="00427021">
        <w:rPr>
          <w:rFonts w:cs="Times New Roman"/>
          <w:color w:val="auto"/>
        </w:rPr>
        <w:t>n cases involving aggravation by active service, the rating will reflect only the degree of disability over and above the degree existing at the time of entrance into the active service whether the particular condition was noted at the time of entrance into the active service, or it is determined upon the evidence of record to have existed at that time.</w:t>
      </w:r>
      <w:r>
        <w:rPr>
          <w:rFonts w:cs="Times New Roman"/>
          <w:color w:val="auto"/>
        </w:rPr>
        <w:t xml:space="preserve">” The VA did not consider the condition to have </w:t>
      </w:r>
      <w:r w:rsidR="001446B1">
        <w:rPr>
          <w:rFonts w:cs="Times New Roman"/>
          <w:color w:val="auto"/>
        </w:rPr>
        <w:t>EPTS</w:t>
      </w:r>
      <w:r w:rsidR="00506A83">
        <w:rPr>
          <w:rFonts w:cs="Times New Roman"/>
          <w:color w:val="auto"/>
        </w:rPr>
        <w:t xml:space="preserve"> and assigned a </w:t>
      </w:r>
      <w:r w:rsidR="001446B1">
        <w:rPr>
          <w:rFonts w:cs="Times New Roman"/>
          <w:color w:val="auto"/>
        </w:rPr>
        <w:t>20% disability rating for 7508 n</w:t>
      </w:r>
      <w:r w:rsidR="00506A83">
        <w:rPr>
          <w:rFonts w:cs="Times New Roman"/>
          <w:color w:val="auto"/>
        </w:rPr>
        <w:t>ephrolithiasis for frequent attacks of col</w:t>
      </w:r>
      <w:r w:rsidR="00C914F9">
        <w:rPr>
          <w:rFonts w:cs="Times New Roman"/>
          <w:color w:val="auto"/>
        </w:rPr>
        <w:t>ic requiring catheter drainage.</w:t>
      </w:r>
    </w:p>
    <w:p w:rsidR="00506A83" w:rsidRDefault="00506A83" w:rsidP="002F61E4">
      <w:pPr>
        <w:jc w:val="both"/>
        <w:rPr>
          <w:rFonts w:cs="Times New Roman"/>
          <w:color w:val="auto"/>
        </w:rPr>
      </w:pPr>
    </w:p>
    <w:p w:rsidR="007550D0" w:rsidRPr="00F64312" w:rsidRDefault="00506A83" w:rsidP="002F61E4">
      <w:pPr>
        <w:jc w:val="both"/>
        <w:rPr>
          <w:rFonts w:eastAsia="Calibri" w:cs="Times New Roman"/>
          <w:color w:val="auto"/>
          <w:szCs w:val="24"/>
        </w:rPr>
      </w:pPr>
      <w:r>
        <w:rPr>
          <w:rFonts w:cs="Times New Roman"/>
          <w:color w:val="auto"/>
        </w:rPr>
        <w:t xml:space="preserve">A rating of 30% for VASRD code 7508 is </w:t>
      </w:r>
      <w:r w:rsidRPr="00506A83">
        <w:rPr>
          <w:rFonts w:cs="Times New Roman"/>
          <w:color w:val="auto"/>
        </w:rPr>
        <w:t xml:space="preserve">warranted if there </w:t>
      </w:r>
      <w:r w:rsidR="00E73310">
        <w:rPr>
          <w:rFonts w:cs="Times New Roman"/>
          <w:color w:val="auto"/>
        </w:rPr>
        <w:t>is</w:t>
      </w:r>
      <w:r w:rsidRPr="00506A83">
        <w:rPr>
          <w:rFonts w:cs="Times New Roman"/>
          <w:color w:val="auto"/>
        </w:rPr>
        <w:t xml:space="preserve"> recurrent stone formation requiring one or more of the following: 1</w:t>
      </w:r>
      <w:r w:rsidR="001446B1">
        <w:rPr>
          <w:rFonts w:cs="Times New Roman"/>
          <w:color w:val="auto"/>
        </w:rPr>
        <w:t>)</w:t>
      </w:r>
      <w:r w:rsidRPr="00506A83">
        <w:rPr>
          <w:rFonts w:cs="Times New Roman"/>
          <w:color w:val="auto"/>
        </w:rPr>
        <w:t xml:space="preserve"> diet therapy, 2</w:t>
      </w:r>
      <w:r w:rsidR="001446B1">
        <w:rPr>
          <w:rFonts w:cs="Times New Roman"/>
          <w:color w:val="auto"/>
        </w:rPr>
        <w:t>)</w:t>
      </w:r>
      <w:r w:rsidRPr="00506A83">
        <w:rPr>
          <w:rFonts w:cs="Times New Roman"/>
          <w:color w:val="auto"/>
        </w:rPr>
        <w:t xml:space="preserve"> drug therapy, or 3</w:t>
      </w:r>
      <w:r w:rsidR="001446B1">
        <w:rPr>
          <w:rFonts w:cs="Times New Roman"/>
          <w:color w:val="auto"/>
        </w:rPr>
        <w:t>)</w:t>
      </w:r>
      <w:r w:rsidRPr="00506A83">
        <w:rPr>
          <w:rFonts w:cs="Times New Roman"/>
          <w:color w:val="auto"/>
        </w:rPr>
        <w:t xml:space="preserve"> invasive or non-invasive procedures more than two times/year</w:t>
      </w:r>
      <w:r>
        <w:rPr>
          <w:rFonts w:cs="Times New Roman"/>
          <w:color w:val="auto"/>
        </w:rPr>
        <w:t>.</w:t>
      </w:r>
      <w:r w:rsidR="001446B1">
        <w:rPr>
          <w:rFonts w:cs="Times New Roman"/>
          <w:color w:val="auto"/>
        </w:rPr>
        <w:t xml:space="preserve"> </w:t>
      </w:r>
      <w:r>
        <w:rPr>
          <w:rFonts w:cs="Times New Roman"/>
          <w:color w:val="auto"/>
        </w:rPr>
        <w:t xml:space="preserve"> If none of these are present, the condition is rated </w:t>
      </w:r>
      <w:r w:rsidR="008D3708">
        <w:rPr>
          <w:rFonts w:cs="Times New Roman"/>
          <w:color w:val="auto"/>
        </w:rPr>
        <w:t>under</w:t>
      </w:r>
      <w:r>
        <w:rPr>
          <w:rFonts w:cs="Times New Roman"/>
          <w:color w:val="auto"/>
        </w:rPr>
        <w:t xml:space="preserve"> </w:t>
      </w:r>
      <w:r w:rsidRPr="00506A83">
        <w:rPr>
          <w:rFonts w:cs="Times New Roman"/>
          <w:color w:val="auto"/>
        </w:rPr>
        <w:t>7509</w:t>
      </w:r>
      <w:r w:rsidR="008D3708">
        <w:rPr>
          <w:rFonts w:cs="Times New Roman"/>
          <w:color w:val="auto"/>
        </w:rPr>
        <w:t>,</w:t>
      </w:r>
      <w:r w:rsidR="001446B1">
        <w:rPr>
          <w:rFonts w:cs="Times New Roman"/>
          <w:color w:val="auto"/>
        </w:rPr>
        <w:t xml:space="preserve"> h</w:t>
      </w:r>
      <w:r w:rsidRPr="00506A83">
        <w:rPr>
          <w:rFonts w:cs="Times New Roman"/>
          <w:color w:val="auto"/>
        </w:rPr>
        <w:t>ydronephrosis</w:t>
      </w:r>
      <w:r>
        <w:rPr>
          <w:rFonts w:cs="Times New Roman"/>
          <w:color w:val="auto"/>
        </w:rPr>
        <w:t xml:space="preserve">. </w:t>
      </w:r>
      <w:r w:rsidR="001446B1">
        <w:rPr>
          <w:rFonts w:cs="Times New Roman"/>
          <w:color w:val="auto"/>
        </w:rPr>
        <w:t xml:space="preserve"> </w:t>
      </w:r>
      <w:r>
        <w:rPr>
          <w:rFonts w:cs="Times New Roman"/>
          <w:color w:val="auto"/>
        </w:rPr>
        <w:t>Th</w:t>
      </w:r>
      <w:r w:rsidR="007550D0">
        <w:rPr>
          <w:rFonts w:cs="Times New Roman"/>
          <w:color w:val="auto"/>
        </w:rPr>
        <w:t>e 7509</w:t>
      </w:r>
      <w:r>
        <w:rPr>
          <w:rFonts w:cs="Times New Roman"/>
          <w:color w:val="auto"/>
        </w:rPr>
        <w:t xml:space="preserve"> code requires impaired kidney function for a rating of 30% and this was not present. A 20% rating is warranted for frequent attacks of colic requiring catheter drainage and a 10% rating is warranted for infrequent attacks which are not infected and do not require catheter drainage. </w:t>
      </w:r>
      <w:r w:rsidR="001446B1">
        <w:rPr>
          <w:rFonts w:cs="Times New Roman"/>
          <w:color w:val="auto"/>
        </w:rPr>
        <w:t xml:space="preserve"> </w:t>
      </w:r>
      <w:r>
        <w:rPr>
          <w:rFonts w:cs="Times New Roman"/>
          <w:color w:val="auto"/>
        </w:rPr>
        <w:t xml:space="preserve">The CI did have recurrent stone formation </w:t>
      </w:r>
      <w:r w:rsidR="007550D0">
        <w:rPr>
          <w:rFonts w:cs="Times New Roman"/>
          <w:color w:val="auto"/>
        </w:rPr>
        <w:t xml:space="preserve">which could be considered frequent. </w:t>
      </w:r>
      <w:r w:rsidR="001446B1">
        <w:rPr>
          <w:rFonts w:cs="Times New Roman"/>
          <w:color w:val="auto"/>
        </w:rPr>
        <w:t xml:space="preserve"> </w:t>
      </w:r>
      <w:r w:rsidR="007550D0">
        <w:rPr>
          <w:rFonts w:cs="Times New Roman"/>
          <w:color w:val="auto"/>
        </w:rPr>
        <w:t>However,</w:t>
      </w:r>
      <w:r>
        <w:rPr>
          <w:rFonts w:cs="Times New Roman"/>
          <w:color w:val="auto"/>
        </w:rPr>
        <w:t xml:space="preserve"> she did not require any treatment</w:t>
      </w:r>
      <w:r w:rsidR="007550D0">
        <w:rPr>
          <w:rFonts w:cs="Times New Roman"/>
          <w:color w:val="auto"/>
        </w:rPr>
        <w:t xml:space="preserve">, </w:t>
      </w:r>
      <w:r w:rsidR="007550D0" w:rsidRPr="004E04D7">
        <w:rPr>
          <w:rFonts w:cs="Times New Roman"/>
          <w:color w:val="auto"/>
        </w:rPr>
        <w:t>invasive or noninvasive</w:t>
      </w:r>
      <w:r w:rsidRPr="004E04D7">
        <w:rPr>
          <w:rFonts w:cs="Times New Roman"/>
          <w:color w:val="auto"/>
        </w:rPr>
        <w:t xml:space="preserve"> procedures</w:t>
      </w:r>
      <w:r w:rsidR="007550D0" w:rsidRPr="004E04D7">
        <w:rPr>
          <w:rFonts w:cs="Times New Roman"/>
          <w:color w:val="auto"/>
        </w:rPr>
        <w:t>, or catheter drainage</w:t>
      </w:r>
      <w:r w:rsidRPr="004E04D7">
        <w:rPr>
          <w:rFonts w:cs="Times New Roman"/>
          <w:color w:val="auto"/>
        </w:rPr>
        <w:t xml:space="preserve">. </w:t>
      </w:r>
      <w:r w:rsidR="001446B1">
        <w:rPr>
          <w:rFonts w:cs="Times New Roman"/>
          <w:color w:val="auto"/>
        </w:rPr>
        <w:t xml:space="preserve"> </w:t>
      </w:r>
      <w:r w:rsidR="007550D0" w:rsidRPr="004E04D7">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 recurrent nephrolithiasis</w:t>
      </w:r>
      <w:r w:rsidR="00C914F9" w:rsidRPr="004E04D7">
        <w:rPr>
          <w:rFonts w:eastAsia="Calibri" w:cs="Times New Roman"/>
          <w:color w:val="auto"/>
          <w:szCs w:val="24"/>
        </w:rPr>
        <w:t xml:space="preserve"> condition.</w:t>
      </w:r>
    </w:p>
    <w:p w:rsidR="00B00D79" w:rsidRPr="001A354D" w:rsidRDefault="00B00D79" w:rsidP="002F61E4">
      <w:pPr>
        <w:jc w:val="both"/>
        <w:rPr>
          <w:color w:val="000000"/>
          <w:szCs w:val="24"/>
          <w:u w:val="single"/>
        </w:rPr>
      </w:pPr>
    </w:p>
    <w:p w:rsidR="00144617" w:rsidRDefault="00144617" w:rsidP="002F61E4">
      <w:pPr>
        <w:jc w:val="both"/>
        <w:rPr>
          <w:color w:val="000000"/>
          <w:szCs w:val="24"/>
        </w:rPr>
      </w:pPr>
      <w:r w:rsidRPr="001A354D">
        <w:rPr>
          <w:color w:val="000000"/>
          <w:szCs w:val="24"/>
          <w:u w:val="single"/>
        </w:rPr>
        <w:t>Temporomandibular Joint Disorder</w:t>
      </w:r>
      <w:r w:rsidR="004B2741">
        <w:rPr>
          <w:color w:val="000000"/>
          <w:szCs w:val="24"/>
          <w:u w:val="single"/>
        </w:rPr>
        <w:t xml:space="preserve"> (TMJ)</w:t>
      </w:r>
      <w:r w:rsidRPr="001A354D">
        <w:rPr>
          <w:color w:val="000000"/>
          <w:szCs w:val="24"/>
        </w:rPr>
        <w:t xml:space="preserve">.  </w:t>
      </w:r>
      <w:r w:rsidR="007550D0">
        <w:rPr>
          <w:color w:val="000000"/>
          <w:szCs w:val="24"/>
        </w:rPr>
        <w:t>The CI was evaluated by a dentist in July 2001 for jaw pain and was given a mouth guard and advised to reduce stress.</w:t>
      </w:r>
      <w:r w:rsidR="001446B1">
        <w:rPr>
          <w:color w:val="000000"/>
          <w:szCs w:val="24"/>
        </w:rPr>
        <w:t xml:space="preserve"> </w:t>
      </w:r>
      <w:r w:rsidR="007550D0">
        <w:rPr>
          <w:color w:val="000000"/>
          <w:szCs w:val="24"/>
        </w:rPr>
        <w:t xml:space="preserve"> A consult for TMD (temporomandibular disorder)</w:t>
      </w:r>
      <w:r w:rsidR="006B1390">
        <w:rPr>
          <w:color w:val="000000"/>
          <w:szCs w:val="24"/>
        </w:rPr>
        <w:t xml:space="preserve"> was requested in September 2002 for continued pain. </w:t>
      </w:r>
      <w:r w:rsidR="001446B1">
        <w:rPr>
          <w:color w:val="000000"/>
          <w:szCs w:val="24"/>
        </w:rPr>
        <w:t xml:space="preserve"> </w:t>
      </w:r>
      <w:r w:rsidR="006B1390">
        <w:rPr>
          <w:color w:val="000000"/>
          <w:szCs w:val="24"/>
        </w:rPr>
        <w:t xml:space="preserve">A night guard </w:t>
      </w:r>
      <w:r w:rsidR="006B1390" w:rsidRPr="004E04D7">
        <w:rPr>
          <w:color w:val="000000"/>
          <w:szCs w:val="24"/>
        </w:rPr>
        <w:t xml:space="preserve">and nonsteroidal anti-inflammatory </w:t>
      </w:r>
      <w:r w:rsidR="00946564" w:rsidRPr="004E04D7">
        <w:rPr>
          <w:color w:val="000000"/>
          <w:szCs w:val="24"/>
        </w:rPr>
        <w:t xml:space="preserve">(NSAID) </w:t>
      </w:r>
      <w:r w:rsidR="006B1390" w:rsidRPr="004E04D7">
        <w:rPr>
          <w:color w:val="000000"/>
          <w:szCs w:val="24"/>
        </w:rPr>
        <w:t>medication was prescribed.</w:t>
      </w:r>
      <w:r w:rsidR="001446B1">
        <w:rPr>
          <w:color w:val="000000"/>
          <w:szCs w:val="24"/>
        </w:rPr>
        <w:t xml:space="preserve"> </w:t>
      </w:r>
      <w:r w:rsidR="006B1390" w:rsidRPr="004E04D7">
        <w:rPr>
          <w:color w:val="000000"/>
          <w:szCs w:val="24"/>
        </w:rPr>
        <w:t xml:space="preserve"> In December 2002 she was treated by a chi</w:t>
      </w:r>
      <w:r w:rsidR="001446B1">
        <w:rPr>
          <w:color w:val="000000"/>
          <w:szCs w:val="24"/>
        </w:rPr>
        <w:t>ropractor and in November 2002 e</w:t>
      </w:r>
      <w:r w:rsidR="006B1390" w:rsidRPr="004E04D7">
        <w:rPr>
          <w:color w:val="000000"/>
          <w:szCs w:val="24"/>
        </w:rPr>
        <w:t xml:space="preserve">lavil was added for chronic pain. </w:t>
      </w:r>
      <w:r w:rsidR="001446B1">
        <w:rPr>
          <w:color w:val="000000"/>
          <w:szCs w:val="24"/>
        </w:rPr>
        <w:t xml:space="preserve"> </w:t>
      </w:r>
      <w:r w:rsidR="006B1390" w:rsidRPr="004E04D7">
        <w:rPr>
          <w:color w:val="000000"/>
          <w:szCs w:val="24"/>
        </w:rPr>
        <w:t>The MEB NARSUM examination four months prior to separation note</w:t>
      </w:r>
      <w:r w:rsidR="00946564" w:rsidRPr="004E04D7">
        <w:rPr>
          <w:color w:val="000000"/>
          <w:szCs w:val="24"/>
        </w:rPr>
        <w:t>d</w:t>
      </w:r>
      <w:r w:rsidR="006B1390" w:rsidRPr="004E04D7">
        <w:rPr>
          <w:color w:val="000000"/>
          <w:szCs w:val="24"/>
        </w:rPr>
        <w:t xml:space="preserve"> bilateral masseter tenderness to palpation. </w:t>
      </w:r>
      <w:r w:rsidR="001446B1">
        <w:rPr>
          <w:color w:val="000000"/>
          <w:szCs w:val="24"/>
        </w:rPr>
        <w:t xml:space="preserve"> </w:t>
      </w:r>
      <w:r w:rsidR="006B1390" w:rsidRPr="004E04D7">
        <w:rPr>
          <w:color w:val="000000"/>
          <w:szCs w:val="24"/>
        </w:rPr>
        <w:t xml:space="preserve">Also noted was a popping with closing of the temporomandibular joint that was accompanied by pain. </w:t>
      </w:r>
      <w:r w:rsidR="001446B1">
        <w:rPr>
          <w:color w:val="000000"/>
          <w:szCs w:val="24"/>
        </w:rPr>
        <w:t xml:space="preserve"> </w:t>
      </w:r>
      <w:r w:rsidR="006B1390" w:rsidRPr="004E04D7">
        <w:rPr>
          <w:color w:val="000000"/>
          <w:szCs w:val="24"/>
        </w:rPr>
        <w:t xml:space="preserve">An addendum to the NARSUM dated </w:t>
      </w:r>
      <w:r w:rsidR="001446B1">
        <w:rPr>
          <w:color w:val="000000"/>
          <w:szCs w:val="24"/>
        </w:rPr>
        <w:t xml:space="preserve">17 January </w:t>
      </w:r>
      <w:r w:rsidR="006B1390" w:rsidRPr="004E04D7">
        <w:rPr>
          <w:color w:val="000000"/>
          <w:szCs w:val="24"/>
        </w:rPr>
        <w:t xml:space="preserve">2003 noted a normal </w:t>
      </w:r>
      <w:r w:rsidR="001446B1">
        <w:rPr>
          <w:color w:val="000000"/>
          <w:szCs w:val="24"/>
        </w:rPr>
        <w:t>magnetic resonance image (</w:t>
      </w:r>
      <w:r w:rsidR="006B1390" w:rsidRPr="004E04D7">
        <w:rPr>
          <w:color w:val="000000"/>
          <w:szCs w:val="24"/>
        </w:rPr>
        <w:t>MRI</w:t>
      </w:r>
      <w:r w:rsidR="001446B1">
        <w:rPr>
          <w:color w:val="000000"/>
          <w:szCs w:val="24"/>
        </w:rPr>
        <w:t>)</w:t>
      </w:r>
      <w:r w:rsidR="006B1390" w:rsidRPr="004E04D7">
        <w:rPr>
          <w:color w:val="000000"/>
          <w:szCs w:val="24"/>
        </w:rPr>
        <w:t xml:space="preserve"> in November 2002 and current</w:t>
      </w:r>
      <w:r w:rsidR="00946564" w:rsidRPr="004E04D7">
        <w:rPr>
          <w:color w:val="000000"/>
          <w:szCs w:val="24"/>
        </w:rPr>
        <w:t xml:space="preserve"> treatment with muscle relaxant and narcotic</w:t>
      </w:r>
      <w:r w:rsidR="006B1390" w:rsidRPr="004E04D7">
        <w:rPr>
          <w:color w:val="000000"/>
          <w:szCs w:val="24"/>
        </w:rPr>
        <w:t xml:space="preserve"> pain medication</w:t>
      </w:r>
      <w:r w:rsidR="00946564" w:rsidRPr="004E04D7">
        <w:rPr>
          <w:color w:val="000000"/>
          <w:szCs w:val="24"/>
        </w:rPr>
        <w:t xml:space="preserve"> in addition to NSAIDs</w:t>
      </w:r>
      <w:r w:rsidR="006B1390" w:rsidRPr="004E04D7">
        <w:rPr>
          <w:color w:val="000000"/>
          <w:szCs w:val="24"/>
        </w:rPr>
        <w:t>.</w:t>
      </w:r>
      <w:r w:rsidR="00946564" w:rsidRPr="004E04D7">
        <w:rPr>
          <w:color w:val="000000"/>
          <w:szCs w:val="24"/>
        </w:rPr>
        <w:t xml:space="preserve"> </w:t>
      </w:r>
      <w:r w:rsidR="001446B1">
        <w:rPr>
          <w:color w:val="000000"/>
          <w:szCs w:val="24"/>
        </w:rPr>
        <w:t xml:space="preserve"> </w:t>
      </w:r>
      <w:r w:rsidR="00BA41F3" w:rsidRPr="004E04D7">
        <w:rPr>
          <w:color w:val="000000"/>
          <w:szCs w:val="24"/>
        </w:rPr>
        <w:t>She had been unable to wear gear required for her duties because it significantly increased her pain and this presumabl</w:t>
      </w:r>
      <w:r w:rsidR="008D3708">
        <w:rPr>
          <w:color w:val="000000"/>
          <w:szCs w:val="24"/>
        </w:rPr>
        <w:t>y</w:t>
      </w:r>
      <w:r w:rsidR="00BA41F3" w:rsidRPr="004E04D7">
        <w:rPr>
          <w:color w:val="000000"/>
          <w:szCs w:val="24"/>
        </w:rPr>
        <w:t xml:space="preserve"> was why the PEB determined this to be an unfitting condition. </w:t>
      </w:r>
      <w:r w:rsidR="001446B1">
        <w:rPr>
          <w:color w:val="000000"/>
          <w:szCs w:val="24"/>
        </w:rPr>
        <w:t xml:space="preserve"> </w:t>
      </w:r>
      <w:r w:rsidR="00BD153C" w:rsidRPr="004E04D7">
        <w:rPr>
          <w:color w:val="000000"/>
          <w:szCs w:val="24"/>
        </w:rPr>
        <w:t>A</w:t>
      </w:r>
      <w:r w:rsidR="00F94FB0" w:rsidRPr="004E04D7">
        <w:rPr>
          <w:color w:val="000000"/>
          <w:szCs w:val="24"/>
        </w:rPr>
        <w:t>n oral surgery</w:t>
      </w:r>
      <w:r w:rsidR="00BD153C" w:rsidRPr="004E04D7">
        <w:rPr>
          <w:color w:val="000000"/>
          <w:szCs w:val="24"/>
        </w:rPr>
        <w:t xml:space="preserve"> examination in November 2002 noted extreme tenderness and a midline incisal distance of 25mm. </w:t>
      </w:r>
      <w:r w:rsidR="001446B1">
        <w:rPr>
          <w:color w:val="000000"/>
          <w:szCs w:val="24"/>
        </w:rPr>
        <w:t xml:space="preserve"> </w:t>
      </w:r>
      <w:r w:rsidR="00946564" w:rsidRPr="004E04D7">
        <w:rPr>
          <w:color w:val="000000"/>
          <w:szCs w:val="24"/>
        </w:rPr>
        <w:t xml:space="preserve">A VA dental rating examination was </w:t>
      </w:r>
      <w:r w:rsidR="004E04D7" w:rsidRPr="004E04D7">
        <w:rPr>
          <w:color w:val="000000"/>
          <w:szCs w:val="24"/>
        </w:rPr>
        <w:t>completed</w:t>
      </w:r>
      <w:r w:rsidR="00946564" w:rsidRPr="004E04D7">
        <w:rPr>
          <w:color w:val="000000"/>
          <w:szCs w:val="24"/>
        </w:rPr>
        <w:t xml:space="preserve"> in January 2004, approximately nine months after separation, and it included a history of another servicemember stepping on her head while both were on a ladder. </w:t>
      </w:r>
      <w:r w:rsidR="001446B1">
        <w:rPr>
          <w:color w:val="000000"/>
          <w:szCs w:val="24"/>
        </w:rPr>
        <w:t xml:space="preserve"> </w:t>
      </w:r>
      <w:r w:rsidR="00946564" w:rsidRPr="004E04D7">
        <w:rPr>
          <w:color w:val="000000"/>
          <w:szCs w:val="24"/>
        </w:rPr>
        <w:t xml:space="preserve">She had immediate pain in her jaw and neck and her jaw locked shut. </w:t>
      </w:r>
      <w:r w:rsidR="001446B1">
        <w:rPr>
          <w:color w:val="000000"/>
          <w:szCs w:val="24"/>
        </w:rPr>
        <w:t xml:space="preserve"> </w:t>
      </w:r>
      <w:r w:rsidR="00946564" w:rsidRPr="004E04D7">
        <w:rPr>
          <w:color w:val="000000"/>
          <w:szCs w:val="24"/>
        </w:rPr>
        <w:t xml:space="preserve">She was treated with muscle relaxants and pain medications. </w:t>
      </w:r>
      <w:r w:rsidR="001446B1">
        <w:rPr>
          <w:color w:val="000000"/>
          <w:szCs w:val="24"/>
        </w:rPr>
        <w:t xml:space="preserve"> </w:t>
      </w:r>
      <w:r w:rsidR="00946564" w:rsidRPr="004E04D7">
        <w:rPr>
          <w:color w:val="000000"/>
          <w:szCs w:val="24"/>
        </w:rPr>
        <w:t>The treatment history and lack of response to medication is similar to that reported in the NARSUM and addendum.</w:t>
      </w:r>
      <w:r w:rsidR="00BD153C" w:rsidRPr="004E04D7">
        <w:rPr>
          <w:color w:val="000000"/>
          <w:szCs w:val="24"/>
        </w:rPr>
        <w:t xml:space="preserve"> This examination noted no apparent pain at rest and no asymmetry or lateral deviation.</w:t>
      </w:r>
      <w:r w:rsidR="001446B1">
        <w:rPr>
          <w:color w:val="000000"/>
          <w:szCs w:val="24"/>
        </w:rPr>
        <w:t xml:space="preserve"> </w:t>
      </w:r>
      <w:r w:rsidR="00BD153C" w:rsidRPr="004E04D7">
        <w:rPr>
          <w:color w:val="000000"/>
          <w:szCs w:val="24"/>
        </w:rPr>
        <w:t xml:space="preserve"> The maximal opening was 36mm and she had pain throughout the opening movement. </w:t>
      </w:r>
      <w:r w:rsidR="001446B1">
        <w:rPr>
          <w:color w:val="000000"/>
          <w:szCs w:val="24"/>
        </w:rPr>
        <w:t xml:space="preserve"> </w:t>
      </w:r>
      <w:r w:rsidR="00BD153C" w:rsidRPr="004E04D7">
        <w:rPr>
          <w:color w:val="000000"/>
          <w:szCs w:val="24"/>
        </w:rPr>
        <w:t>Pain was also present with lateral</w:t>
      </w:r>
      <w:r w:rsidR="00BD153C">
        <w:rPr>
          <w:color w:val="000000"/>
          <w:szCs w:val="24"/>
        </w:rPr>
        <w:t xml:space="preserve"> movement but no clicking or popping was observed. </w:t>
      </w:r>
      <w:r w:rsidR="001446B1">
        <w:rPr>
          <w:color w:val="000000"/>
          <w:szCs w:val="24"/>
        </w:rPr>
        <w:t xml:space="preserve"> </w:t>
      </w:r>
      <w:r w:rsidR="00BD153C">
        <w:rPr>
          <w:color w:val="000000"/>
          <w:szCs w:val="24"/>
        </w:rPr>
        <w:t>All muscles of mastication were tender to palpation.</w:t>
      </w:r>
    </w:p>
    <w:p w:rsidR="00BA41F3" w:rsidRDefault="00BA41F3" w:rsidP="002F61E4">
      <w:pPr>
        <w:jc w:val="both"/>
        <w:rPr>
          <w:color w:val="000000"/>
          <w:szCs w:val="24"/>
        </w:rPr>
      </w:pPr>
    </w:p>
    <w:p w:rsidR="00BA41F3" w:rsidRPr="001A354D" w:rsidRDefault="00BA41F3" w:rsidP="002F61E4">
      <w:pPr>
        <w:jc w:val="both"/>
        <w:rPr>
          <w:color w:val="000000"/>
          <w:szCs w:val="24"/>
        </w:rPr>
      </w:pPr>
      <w:r>
        <w:rPr>
          <w:color w:val="000000"/>
          <w:szCs w:val="24"/>
        </w:rPr>
        <w:t xml:space="preserve">The PEB determined this condition was unfitting and applied a 0% </w:t>
      </w:r>
      <w:r w:rsidR="008D3708">
        <w:rPr>
          <w:color w:val="000000"/>
          <w:szCs w:val="24"/>
        </w:rPr>
        <w:t xml:space="preserve">rating under code </w:t>
      </w:r>
      <w:r>
        <w:rPr>
          <w:color w:val="000000"/>
          <w:szCs w:val="24"/>
        </w:rPr>
        <w:t xml:space="preserve">5299-5003. </w:t>
      </w:r>
      <w:r w:rsidR="001446B1">
        <w:rPr>
          <w:color w:val="000000"/>
          <w:szCs w:val="24"/>
        </w:rPr>
        <w:t xml:space="preserve"> </w:t>
      </w:r>
      <w:r>
        <w:rPr>
          <w:color w:val="000000"/>
          <w:szCs w:val="24"/>
        </w:rPr>
        <w:t xml:space="preserve">The VA </w:t>
      </w:r>
      <w:r w:rsidR="008D3708">
        <w:rPr>
          <w:color w:val="000000"/>
          <w:szCs w:val="24"/>
        </w:rPr>
        <w:t>cod</w:t>
      </w:r>
      <w:r>
        <w:rPr>
          <w:color w:val="000000"/>
          <w:szCs w:val="24"/>
        </w:rPr>
        <w:t xml:space="preserve">ed the TMJ </w:t>
      </w:r>
      <w:r w:rsidR="008D3708">
        <w:rPr>
          <w:color w:val="000000"/>
          <w:szCs w:val="24"/>
        </w:rPr>
        <w:t>under</w:t>
      </w:r>
      <w:r>
        <w:rPr>
          <w:color w:val="000000"/>
          <w:szCs w:val="24"/>
        </w:rPr>
        <w:t xml:space="preserve"> 9905. </w:t>
      </w:r>
      <w:r w:rsidR="001446B1">
        <w:rPr>
          <w:color w:val="000000"/>
          <w:szCs w:val="24"/>
        </w:rPr>
        <w:t xml:space="preserve"> </w:t>
      </w:r>
      <w:r>
        <w:rPr>
          <w:color w:val="000000"/>
          <w:szCs w:val="24"/>
        </w:rPr>
        <w:t>Initially a 0% rati</w:t>
      </w:r>
      <w:r w:rsidR="00F94FB0">
        <w:rPr>
          <w:color w:val="000000"/>
          <w:szCs w:val="24"/>
        </w:rPr>
        <w:t>ng</w:t>
      </w:r>
      <w:r>
        <w:rPr>
          <w:color w:val="000000"/>
          <w:szCs w:val="24"/>
        </w:rPr>
        <w:t xml:space="preserve"> was applied</w:t>
      </w:r>
      <w:r w:rsidR="00F94FB0">
        <w:rPr>
          <w:color w:val="000000"/>
          <w:szCs w:val="24"/>
        </w:rPr>
        <w:t xml:space="preserve"> based on the service treatment record (STR). </w:t>
      </w:r>
      <w:r w:rsidR="001446B1">
        <w:rPr>
          <w:color w:val="000000"/>
          <w:szCs w:val="24"/>
        </w:rPr>
        <w:t xml:space="preserve"> </w:t>
      </w:r>
      <w:r w:rsidR="00F94FB0">
        <w:rPr>
          <w:color w:val="000000"/>
          <w:szCs w:val="24"/>
        </w:rPr>
        <w:t>However</w:t>
      </w:r>
      <w:r w:rsidR="00101C45">
        <w:rPr>
          <w:color w:val="000000"/>
          <w:szCs w:val="24"/>
        </w:rPr>
        <w:t>,</w:t>
      </w:r>
      <w:r w:rsidR="00F94FB0">
        <w:rPr>
          <w:color w:val="000000"/>
          <w:szCs w:val="24"/>
        </w:rPr>
        <w:t xml:space="preserve"> there was no mention of the November 2002 examination or the measurement of 25mm.</w:t>
      </w:r>
      <w:r w:rsidR="001446B1">
        <w:rPr>
          <w:color w:val="000000"/>
          <w:szCs w:val="24"/>
        </w:rPr>
        <w:t xml:space="preserve"> </w:t>
      </w:r>
      <w:r w:rsidR="00F94FB0">
        <w:rPr>
          <w:color w:val="000000"/>
          <w:szCs w:val="24"/>
        </w:rPr>
        <w:t xml:space="preserve"> After </w:t>
      </w:r>
      <w:r w:rsidR="008D3708">
        <w:rPr>
          <w:color w:val="000000"/>
          <w:szCs w:val="24"/>
        </w:rPr>
        <w:t xml:space="preserve">a </w:t>
      </w:r>
      <w:r w:rsidR="00F94FB0">
        <w:rPr>
          <w:color w:val="000000"/>
          <w:szCs w:val="24"/>
        </w:rPr>
        <w:t xml:space="preserve">VA dental rating examination was completed in January 2004, the rating was increased to 10% </w:t>
      </w:r>
      <w:r w:rsidR="008D3708">
        <w:rPr>
          <w:color w:val="000000"/>
          <w:szCs w:val="24"/>
        </w:rPr>
        <w:t xml:space="preserve">effective </w:t>
      </w:r>
      <w:r w:rsidR="001446B1">
        <w:rPr>
          <w:color w:val="000000"/>
          <w:szCs w:val="24"/>
        </w:rPr>
        <w:t xml:space="preserve">30 September </w:t>
      </w:r>
      <w:r w:rsidR="008D3708">
        <w:rPr>
          <w:color w:val="000000"/>
          <w:szCs w:val="24"/>
        </w:rPr>
        <w:t xml:space="preserve">2003 </w:t>
      </w:r>
      <w:r w:rsidR="00F94FB0">
        <w:rPr>
          <w:color w:val="000000"/>
          <w:szCs w:val="24"/>
        </w:rPr>
        <w:t xml:space="preserve">based on the maximal </w:t>
      </w:r>
      <w:r w:rsidR="00F94FB0">
        <w:rPr>
          <w:color w:val="000000"/>
          <w:szCs w:val="24"/>
        </w:rPr>
        <w:lastRenderedPageBreak/>
        <w:t xml:space="preserve">inter-incisal range of 36mm documented on that examination. </w:t>
      </w:r>
      <w:r w:rsidR="001446B1">
        <w:rPr>
          <w:color w:val="000000"/>
          <w:szCs w:val="24"/>
        </w:rPr>
        <w:t xml:space="preserve"> </w:t>
      </w:r>
      <w:r w:rsidR="004B2741">
        <w:rPr>
          <w:color w:val="000000"/>
          <w:szCs w:val="24"/>
        </w:rPr>
        <w:t xml:space="preserve">A 10% rating is applied for measurements from 31 to 40mm and a 20% rating is applied for measurements from 21-30mm. </w:t>
      </w:r>
      <w:r w:rsidR="00F94FB0">
        <w:rPr>
          <w:color w:val="000000"/>
          <w:szCs w:val="24"/>
        </w:rPr>
        <w:t xml:space="preserve">The service oral surgery examination was completed five months prior to discharge and the VA examination was </w:t>
      </w:r>
      <w:r w:rsidR="004B2741">
        <w:rPr>
          <w:color w:val="000000"/>
          <w:szCs w:val="24"/>
        </w:rPr>
        <w:t xml:space="preserve">nine months after separation. </w:t>
      </w:r>
      <w:r w:rsidR="001446B1">
        <w:rPr>
          <w:color w:val="000000"/>
          <w:szCs w:val="24"/>
        </w:rPr>
        <w:t xml:space="preserve"> </w:t>
      </w:r>
      <w:r w:rsidR="004B2741">
        <w:rPr>
          <w:color w:val="000000"/>
          <w:szCs w:val="24"/>
        </w:rPr>
        <w:t xml:space="preserve">The CI’s inter-incisal distance </w:t>
      </w:r>
      <w:r w:rsidR="004B2741" w:rsidRPr="004E04D7">
        <w:rPr>
          <w:color w:val="000000"/>
          <w:szCs w:val="24"/>
        </w:rPr>
        <w:t>improved from 25mm to 36mm over this fourteen month time period.</w:t>
      </w:r>
      <w:r w:rsidR="001446B1">
        <w:rPr>
          <w:color w:val="000000"/>
          <w:szCs w:val="24"/>
        </w:rPr>
        <w:t xml:space="preserve"> </w:t>
      </w:r>
      <w:r w:rsidR="004B2741" w:rsidRPr="004E04D7">
        <w:rPr>
          <w:color w:val="000000"/>
          <w:szCs w:val="24"/>
        </w:rPr>
        <w:t xml:space="preserve"> However</w:t>
      </w:r>
      <w:r w:rsidR="00170B41" w:rsidRPr="004E04D7">
        <w:rPr>
          <w:color w:val="000000"/>
          <w:szCs w:val="24"/>
        </w:rPr>
        <w:t>,</w:t>
      </w:r>
      <w:r w:rsidR="004B2741" w:rsidRPr="004E04D7">
        <w:rPr>
          <w:color w:val="000000"/>
          <w:szCs w:val="24"/>
        </w:rPr>
        <w:t xml:space="preserve"> any attempt to estimate the distance present on the day of separation would be mere speculation.</w:t>
      </w:r>
      <w:r w:rsidR="001446B1">
        <w:rPr>
          <w:color w:val="000000"/>
          <w:szCs w:val="24"/>
        </w:rPr>
        <w:t xml:space="preserve"> </w:t>
      </w:r>
      <w:r w:rsidR="004B2741" w:rsidRPr="004E04D7">
        <w:rPr>
          <w:color w:val="000000"/>
          <w:szCs w:val="24"/>
        </w:rPr>
        <w:t xml:space="preserve"> As the service oral surgery examination is closer </w:t>
      </w:r>
      <w:r w:rsidR="008D3708">
        <w:rPr>
          <w:color w:val="000000"/>
          <w:szCs w:val="24"/>
        </w:rPr>
        <w:t>to</w:t>
      </w:r>
      <w:r w:rsidR="004B2741" w:rsidRPr="004E04D7">
        <w:rPr>
          <w:color w:val="000000"/>
          <w:szCs w:val="24"/>
        </w:rPr>
        <w:t xml:space="preserve"> the date of separation, </w:t>
      </w:r>
      <w:r w:rsidR="008D3708" w:rsidRPr="004E04D7">
        <w:rPr>
          <w:color w:val="000000"/>
          <w:szCs w:val="24"/>
        </w:rPr>
        <w:t xml:space="preserve">the Board </w:t>
      </w:r>
      <w:r w:rsidR="008D3708">
        <w:rPr>
          <w:color w:val="000000"/>
          <w:szCs w:val="24"/>
        </w:rPr>
        <w:t xml:space="preserve">majority </w:t>
      </w:r>
      <w:r w:rsidR="004B2741" w:rsidRPr="004E04D7">
        <w:rPr>
          <w:color w:val="000000"/>
          <w:szCs w:val="24"/>
        </w:rPr>
        <w:t xml:space="preserve">afforded </w:t>
      </w:r>
      <w:r w:rsidR="008D3708">
        <w:rPr>
          <w:color w:val="000000"/>
          <w:szCs w:val="24"/>
        </w:rPr>
        <w:t xml:space="preserve">it </w:t>
      </w:r>
      <w:r w:rsidR="004B2741" w:rsidRPr="004E04D7">
        <w:rPr>
          <w:color w:val="000000"/>
          <w:szCs w:val="24"/>
        </w:rPr>
        <w:t xml:space="preserve">higher probative value. </w:t>
      </w:r>
      <w:r w:rsidR="008D3708">
        <w:rPr>
          <w:color w:val="000000"/>
          <w:szCs w:val="24"/>
        </w:rPr>
        <w:t xml:space="preserve"> </w:t>
      </w:r>
      <w:r w:rsidR="004B2741" w:rsidRPr="004E04D7">
        <w:rPr>
          <w:rFonts w:eastAsia="Calibri" w:cs="Times New Roman"/>
          <w:color w:val="auto"/>
          <w:szCs w:val="24"/>
        </w:rPr>
        <w:t>After due deliberation, considering all of the evidence and mindful of VASRD §4.3 (reasonable doubt), the Board</w:t>
      </w:r>
      <w:r w:rsidR="004E04D7">
        <w:rPr>
          <w:rFonts w:eastAsia="Calibri" w:cs="Times New Roman"/>
          <w:color w:val="auto"/>
          <w:szCs w:val="24"/>
        </w:rPr>
        <w:t>, by simple majority,</w:t>
      </w:r>
      <w:r w:rsidR="004B2741" w:rsidRPr="004E04D7">
        <w:rPr>
          <w:rFonts w:eastAsia="Calibri" w:cs="Times New Roman"/>
          <w:color w:val="auto"/>
          <w:szCs w:val="24"/>
        </w:rPr>
        <w:t xml:space="preserve"> recommends a disability rating of 20% for the TMJ condition</w:t>
      </w:r>
      <w:r w:rsidR="00170B41" w:rsidRPr="004E04D7">
        <w:rPr>
          <w:rFonts w:eastAsia="Calibri" w:cs="Times New Roman"/>
          <w:color w:val="auto"/>
          <w:szCs w:val="24"/>
        </w:rPr>
        <w:t xml:space="preserve"> for maximal</w:t>
      </w:r>
      <w:r w:rsidR="00170B41">
        <w:rPr>
          <w:rFonts w:eastAsia="Calibri" w:cs="Times New Roman"/>
          <w:color w:val="auto"/>
          <w:szCs w:val="24"/>
        </w:rPr>
        <w:t xml:space="preserve"> inter-incisal opening of 25mm</w:t>
      </w:r>
      <w:r w:rsidR="004B2741" w:rsidRPr="00F64312">
        <w:rPr>
          <w:rFonts w:eastAsia="Calibri" w:cs="Times New Roman"/>
          <w:color w:val="auto"/>
          <w:szCs w:val="24"/>
        </w:rPr>
        <w:t xml:space="preserve">.  </w:t>
      </w:r>
    </w:p>
    <w:p w:rsidR="00144617" w:rsidRPr="001A354D" w:rsidRDefault="00144617" w:rsidP="002F61E4">
      <w:pPr>
        <w:jc w:val="both"/>
        <w:rPr>
          <w:color w:val="000000"/>
          <w:szCs w:val="24"/>
          <w:u w:val="single"/>
        </w:rPr>
      </w:pPr>
    </w:p>
    <w:p w:rsidR="00542022" w:rsidRDefault="00144617" w:rsidP="002F61E4">
      <w:pPr>
        <w:jc w:val="both"/>
        <w:rPr>
          <w:color w:val="000000"/>
          <w:szCs w:val="24"/>
        </w:rPr>
      </w:pPr>
      <w:r w:rsidRPr="001A354D">
        <w:rPr>
          <w:color w:val="000000"/>
          <w:szCs w:val="24"/>
          <w:u w:val="single"/>
        </w:rPr>
        <w:t>Polycystic Ovary Disease</w:t>
      </w:r>
      <w:r w:rsidRPr="001A354D">
        <w:rPr>
          <w:color w:val="000000"/>
          <w:szCs w:val="24"/>
        </w:rPr>
        <w:t>.</w:t>
      </w:r>
      <w:r w:rsidR="00101C45">
        <w:rPr>
          <w:color w:val="000000"/>
          <w:szCs w:val="24"/>
        </w:rPr>
        <w:t xml:space="preserve">  </w:t>
      </w:r>
      <w:r w:rsidR="003B7D13">
        <w:rPr>
          <w:color w:val="000000"/>
          <w:szCs w:val="24"/>
        </w:rPr>
        <w:t xml:space="preserve">In January of 2003, the CI was noted to have a </w:t>
      </w:r>
      <w:r w:rsidR="004E04D7">
        <w:rPr>
          <w:color w:val="000000"/>
          <w:szCs w:val="24"/>
        </w:rPr>
        <w:t>one</w:t>
      </w:r>
      <w:r w:rsidR="003B7D13">
        <w:rPr>
          <w:color w:val="000000"/>
          <w:szCs w:val="24"/>
        </w:rPr>
        <w:t xml:space="preserve"> year history of abdominal pain and abnormal menstrual periods. </w:t>
      </w:r>
      <w:r w:rsidR="001446B1">
        <w:rPr>
          <w:color w:val="000000"/>
          <w:szCs w:val="24"/>
        </w:rPr>
        <w:t xml:space="preserve"> </w:t>
      </w:r>
      <w:r w:rsidR="001B7A13">
        <w:rPr>
          <w:color w:val="000000"/>
          <w:szCs w:val="24"/>
        </w:rPr>
        <w:t>While at a routine exam, a left adenexal mass was noted on bimanual examination and a p</w:t>
      </w:r>
      <w:r w:rsidR="003B7D13">
        <w:rPr>
          <w:color w:val="000000"/>
          <w:szCs w:val="24"/>
        </w:rPr>
        <w:t>elvic ultrasound in September 2001 noted polycystic ovaries</w:t>
      </w:r>
      <w:r w:rsidR="001B7A13">
        <w:rPr>
          <w:color w:val="000000"/>
          <w:szCs w:val="24"/>
        </w:rPr>
        <w:t xml:space="preserve"> and a retroflexed uterus</w:t>
      </w:r>
      <w:r w:rsidR="003B7D13">
        <w:rPr>
          <w:color w:val="000000"/>
          <w:szCs w:val="24"/>
        </w:rPr>
        <w:t>.</w:t>
      </w:r>
      <w:r w:rsidR="001446B1">
        <w:rPr>
          <w:color w:val="000000"/>
          <w:szCs w:val="24"/>
        </w:rPr>
        <w:t xml:space="preserve"> </w:t>
      </w:r>
      <w:r w:rsidR="001B7A13">
        <w:rPr>
          <w:color w:val="000000"/>
          <w:szCs w:val="24"/>
        </w:rPr>
        <w:t xml:space="preserve"> A few month</w:t>
      </w:r>
      <w:r w:rsidR="008D3708">
        <w:rPr>
          <w:color w:val="000000"/>
          <w:szCs w:val="24"/>
        </w:rPr>
        <w:t>s</w:t>
      </w:r>
      <w:r w:rsidR="001B7A13">
        <w:rPr>
          <w:color w:val="000000"/>
          <w:szCs w:val="24"/>
        </w:rPr>
        <w:t xml:space="preserve"> later the CI experienced symptoms similar to those present with previous kidney stones. </w:t>
      </w:r>
      <w:r w:rsidR="001446B1">
        <w:rPr>
          <w:color w:val="000000"/>
          <w:szCs w:val="24"/>
        </w:rPr>
        <w:t xml:space="preserve"> </w:t>
      </w:r>
      <w:r w:rsidR="001B7A13">
        <w:rPr>
          <w:color w:val="000000"/>
          <w:szCs w:val="24"/>
        </w:rPr>
        <w:t xml:space="preserve">However, the work-up did not reveal any evidence of a stone and this pain may </w:t>
      </w:r>
      <w:r w:rsidR="008D3708">
        <w:rPr>
          <w:color w:val="000000"/>
          <w:szCs w:val="24"/>
        </w:rPr>
        <w:t xml:space="preserve">have </w:t>
      </w:r>
      <w:r w:rsidR="001B7A13">
        <w:rPr>
          <w:color w:val="000000"/>
          <w:szCs w:val="24"/>
        </w:rPr>
        <w:t xml:space="preserve">been due to the polycystic ovarian disease. </w:t>
      </w:r>
      <w:r w:rsidR="001446B1">
        <w:rPr>
          <w:color w:val="000000"/>
          <w:szCs w:val="24"/>
        </w:rPr>
        <w:t xml:space="preserve"> </w:t>
      </w:r>
      <w:r w:rsidR="001B7A13">
        <w:rPr>
          <w:color w:val="000000"/>
          <w:szCs w:val="24"/>
        </w:rPr>
        <w:t xml:space="preserve">Follow-up with gynecology noted recurrent left lower quadrant pain. </w:t>
      </w:r>
      <w:r w:rsidR="001446B1">
        <w:rPr>
          <w:color w:val="000000"/>
          <w:szCs w:val="24"/>
        </w:rPr>
        <w:t xml:space="preserve"> </w:t>
      </w:r>
      <w:r w:rsidR="001B7A13">
        <w:rPr>
          <w:color w:val="000000"/>
          <w:szCs w:val="24"/>
        </w:rPr>
        <w:t xml:space="preserve">Oral contraceptive pills were recommended and the provider planned to perform an ultrasound during the next episode of acute pain. </w:t>
      </w:r>
      <w:r w:rsidR="001446B1">
        <w:rPr>
          <w:color w:val="000000"/>
          <w:szCs w:val="24"/>
        </w:rPr>
        <w:t xml:space="preserve"> </w:t>
      </w:r>
      <w:r w:rsidR="001B7A13">
        <w:rPr>
          <w:color w:val="000000"/>
          <w:szCs w:val="24"/>
        </w:rPr>
        <w:t xml:space="preserve">No evidence of any further testing is available in the STR. </w:t>
      </w:r>
      <w:r w:rsidR="001446B1">
        <w:rPr>
          <w:color w:val="000000"/>
          <w:szCs w:val="24"/>
        </w:rPr>
        <w:t xml:space="preserve"> </w:t>
      </w:r>
      <w:r w:rsidR="001B7A13">
        <w:rPr>
          <w:color w:val="000000"/>
          <w:szCs w:val="24"/>
        </w:rPr>
        <w:t xml:space="preserve">The MEB NARSUM noted a normal abdominal examination although the MEB physical recorded on the DD </w:t>
      </w:r>
      <w:r w:rsidR="008D3708">
        <w:rPr>
          <w:color w:val="000000"/>
          <w:szCs w:val="24"/>
        </w:rPr>
        <w:t xml:space="preserve">Fm </w:t>
      </w:r>
      <w:r w:rsidR="001B7A13">
        <w:rPr>
          <w:color w:val="000000"/>
          <w:szCs w:val="24"/>
        </w:rPr>
        <w:t xml:space="preserve">2808 dated </w:t>
      </w:r>
      <w:r w:rsidR="001446B1">
        <w:rPr>
          <w:color w:val="000000"/>
          <w:szCs w:val="24"/>
        </w:rPr>
        <w:t xml:space="preserve">13 December </w:t>
      </w:r>
      <w:r w:rsidR="001B7A13">
        <w:rPr>
          <w:color w:val="000000"/>
          <w:szCs w:val="24"/>
        </w:rPr>
        <w:t xml:space="preserve">2002 </w:t>
      </w:r>
      <w:r w:rsidR="008D3708">
        <w:rPr>
          <w:color w:val="000000"/>
          <w:szCs w:val="24"/>
        </w:rPr>
        <w:t>documen</w:t>
      </w:r>
      <w:r w:rsidR="001B7A13">
        <w:rPr>
          <w:color w:val="000000"/>
          <w:szCs w:val="24"/>
        </w:rPr>
        <w:t>ted mild tenderness to palpation in both the left and right lower quadrants.</w:t>
      </w:r>
      <w:r w:rsidR="001446B1">
        <w:rPr>
          <w:color w:val="000000"/>
          <w:szCs w:val="24"/>
        </w:rPr>
        <w:t xml:space="preserve"> </w:t>
      </w:r>
      <w:r w:rsidR="004F6AD0">
        <w:rPr>
          <w:color w:val="000000"/>
          <w:szCs w:val="24"/>
        </w:rPr>
        <w:t xml:space="preserve"> The MEB NARSUM Addendum noted the CI started treatment with Provera in January 2003 and she was continuing to follow-up with gynecology.</w:t>
      </w:r>
    </w:p>
    <w:p w:rsidR="004F6AD0" w:rsidRDefault="004F6AD0" w:rsidP="002F61E4">
      <w:pPr>
        <w:jc w:val="both"/>
        <w:rPr>
          <w:color w:val="000000"/>
          <w:szCs w:val="24"/>
        </w:rPr>
      </w:pPr>
    </w:p>
    <w:p w:rsidR="004F6AD0" w:rsidRDefault="004F6AD0" w:rsidP="002F61E4">
      <w:pPr>
        <w:jc w:val="both"/>
        <w:rPr>
          <w:color w:val="000000"/>
          <w:szCs w:val="24"/>
        </w:rPr>
      </w:pPr>
      <w:r>
        <w:rPr>
          <w:color w:val="000000"/>
          <w:szCs w:val="24"/>
        </w:rPr>
        <w:t xml:space="preserve">The PEB determined this condition had </w:t>
      </w:r>
      <w:r w:rsidR="001446B1">
        <w:rPr>
          <w:color w:val="000000"/>
          <w:szCs w:val="24"/>
        </w:rPr>
        <w:t xml:space="preserve">EPTS </w:t>
      </w:r>
      <w:r>
        <w:rPr>
          <w:color w:val="000000"/>
          <w:szCs w:val="24"/>
        </w:rPr>
        <w:t>and was not aggravated by service.</w:t>
      </w:r>
      <w:r w:rsidR="001446B1">
        <w:rPr>
          <w:color w:val="000000"/>
          <w:szCs w:val="24"/>
        </w:rPr>
        <w:t xml:space="preserve"> </w:t>
      </w:r>
      <w:r>
        <w:rPr>
          <w:color w:val="000000"/>
          <w:szCs w:val="24"/>
        </w:rPr>
        <w:t xml:space="preserve"> It is not clear what evidence was used by the PEB to determine this condition was EPTS</w:t>
      </w:r>
      <w:r w:rsidR="006713F3">
        <w:rPr>
          <w:color w:val="000000"/>
          <w:szCs w:val="24"/>
        </w:rPr>
        <w:t>.</w:t>
      </w:r>
      <w:r w:rsidR="001446B1">
        <w:rPr>
          <w:color w:val="000000"/>
          <w:szCs w:val="24"/>
        </w:rPr>
        <w:t xml:space="preserve"> </w:t>
      </w:r>
      <w:r w:rsidR="006713F3">
        <w:rPr>
          <w:color w:val="000000"/>
          <w:szCs w:val="24"/>
        </w:rPr>
        <w:t xml:space="preserve"> The VA based its initial rating decision on the STR and citing the PEB, determined this condition was not service connected because it </w:t>
      </w:r>
      <w:r w:rsidR="001446B1">
        <w:rPr>
          <w:color w:val="000000"/>
          <w:szCs w:val="24"/>
        </w:rPr>
        <w:t>EPTS</w:t>
      </w:r>
      <w:r w:rsidR="006713F3">
        <w:rPr>
          <w:color w:val="000000"/>
          <w:szCs w:val="24"/>
        </w:rPr>
        <w:t xml:space="preserve"> but was not aggravated by service. </w:t>
      </w:r>
    </w:p>
    <w:p w:rsidR="006713F3" w:rsidRDefault="006713F3" w:rsidP="002F61E4">
      <w:pPr>
        <w:jc w:val="both"/>
        <w:rPr>
          <w:color w:val="000000"/>
          <w:szCs w:val="24"/>
        </w:rPr>
      </w:pPr>
    </w:p>
    <w:p w:rsidR="006713F3" w:rsidRPr="00F64312" w:rsidRDefault="006713F3" w:rsidP="002F61E4">
      <w:pPr>
        <w:jc w:val="both"/>
        <w:rPr>
          <w:color w:val="auto"/>
        </w:rPr>
      </w:pPr>
      <w:r w:rsidRPr="006713F3">
        <w:rPr>
          <w:color w:val="auto"/>
        </w:rPr>
        <w:t xml:space="preserve">The Board’s main charge regarding </w:t>
      </w:r>
      <w:r w:rsidRPr="004E04D7">
        <w:rPr>
          <w:color w:val="auto"/>
        </w:rPr>
        <w:t>this condition is evaluation of the PEB’s EPTS determination. The Board’s authority for recommending a change in the service’s EPTS determination is not specified in DoDI 6040.44, but is considered adjunct to its DoD-specified obligation to review service fitness adjudications.</w:t>
      </w:r>
      <w:r w:rsidR="001446B1">
        <w:rPr>
          <w:color w:val="auto"/>
        </w:rPr>
        <w:t xml:space="preserve"> </w:t>
      </w:r>
      <w:r w:rsidRPr="004E04D7">
        <w:rPr>
          <w:color w:val="auto"/>
        </w:rPr>
        <w:t xml:space="preserve"> As with its consideration of fitness adjudications, the Board’s threshold for countering service EPTS determinations is higher than the VASRD §4.3 (reasonable doubt) standard used for its rating recommendations, but remains adherent to the DoDI 6040.44 “fair and equitable” standard. </w:t>
      </w:r>
      <w:r w:rsidR="001446B1">
        <w:rPr>
          <w:color w:val="auto"/>
        </w:rPr>
        <w:t xml:space="preserve"> </w:t>
      </w:r>
      <w:r w:rsidRPr="004E04D7">
        <w:rPr>
          <w:color w:val="auto"/>
        </w:rPr>
        <w:t xml:space="preserve">While there is insufficient evidence present in the record available for Board review to support a determination of EPTS, there is also </w:t>
      </w:r>
      <w:r w:rsidR="00A14B5E" w:rsidRPr="004E04D7">
        <w:rPr>
          <w:color w:val="auto"/>
        </w:rPr>
        <w:t>insufficient</w:t>
      </w:r>
      <w:r w:rsidRPr="004E04D7">
        <w:rPr>
          <w:color w:val="auto"/>
        </w:rPr>
        <w:t xml:space="preserve"> evidence </w:t>
      </w:r>
      <w:r w:rsidR="00A14B5E" w:rsidRPr="004E04D7">
        <w:rPr>
          <w:color w:val="auto"/>
        </w:rPr>
        <w:t>to support addition of polycystic ovary disease</w:t>
      </w:r>
      <w:r w:rsidRPr="004E04D7">
        <w:rPr>
          <w:color w:val="auto"/>
        </w:rPr>
        <w:t xml:space="preserve"> </w:t>
      </w:r>
      <w:r w:rsidR="00A14B5E" w:rsidRPr="004E04D7">
        <w:rPr>
          <w:color w:val="auto"/>
        </w:rPr>
        <w:t xml:space="preserve">as an </w:t>
      </w:r>
      <w:r w:rsidRPr="004E04D7">
        <w:rPr>
          <w:color w:val="auto"/>
        </w:rPr>
        <w:t xml:space="preserve">unfitting </w:t>
      </w:r>
      <w:r w:rsidR="00A14B5E" w:rsidRPr="004E04D7">
        <w:rPr>
          <w:color w:val="auto"/>
        </w:rPr>
        <w:t xml:space="preserve">condition </w:t>
      </w:r>
      <w:r w:rsidRPr="004E04D7">
        <w:rPr>
          <w:color w:val="auto"/>
        </w:rPr>
        <w:t>at the time of separation.</w:t>
      </w:r>
      <w:r w:rsidR="00A14B5E" w:rsidRPr="004E04D7">
        <w:rPr>
          <w:color w:val="auto"/>
        </w:rPr>
        <w:t xml:space="preserve"> </w:t>
      </w:r>
      <w:r w:rsidR="001446B1">
        <w:rPr>
          <w:color w:val="auto"/>
        </w:rPr>
        <w:t xml:space="preserve"> </w:t>
      </w:r>
      <w:r w:rsidRPr="004E04D7">
        <w:rPr>
          <w:color w:val="auto"/>
        </w:rPr>
        <w:t xml:space="preserve">After due deliberation, and in consideration of the totality of the evidence, the Board cannot find adequate justification for recommending the </w:t>
      </w:r>
      <w:r w:rsidR="00A14B5E" w:rsidRPr="004E04D7">
        <w:rPr>
          <w:color w:val="auto"/>
        </w:rPr>
        <w:t>polycystic ovary disease</w:t>
      </w:r>
      <w:r w:rsidRPr="004E04D7">
        <w:rPr>
          <w:color w:val="auto"/>
        </w:rPr>
        <w:t xml:space="preserve"> condition as </w:t>
      </w:r>
      <w:r w:rsidR="008D3708">
        <w:rPr>
          <w:color w:val="auto"/>
        </w:rPr>
        <w:t xml:space="preserve">an </w:t>
      </w:r>
      <w:r w:rsidRPr="004E04D7">
        <w:rPr>
          <w:color w:val="auto"/>
        </w:rPr>
        <w:t xml:space="preserve">additionally unfitting </w:t>
      </w:r>
      <w:r w:rsidR="008D3708">
        <w:rPr>
          <w:color w:val="auto"/>
        </w:rPr>
        <w:t xml:space="preserve">condition </w:t>
      </w:r>
      <w:r w:rsidRPr="004E04D7">
        <w:rPr>
          <w:color w:val="auto"/>
        </w:rPr>
        <w:t>for separation rating.</w:t>
      </w:r>
    </w:p>
    <w:p w:rsidR="003863E9" w:rsidRPr="00F64312" w:rsidRDefault="003863E9" w:rsidP="002F61E4">
      <w:pPr>
        <w:pBdr>
          <w:bottom w:val="single" w:sz="12" w:space="1" w:color="auto"/>
        </w:pBdr>
        <w:tabs>
          <w:tab w:val="left" w:pos="288"/>
          <w:tab w:val="left" w:pos="4752"/>
        </w:tabs>
        <w:jc w:val="both"/>
        <w:rPr>
          <w:color w:val="auto"/>
        </w:rPr>
      </w:pPr>
    </w:p>
    <w:p w:rsidR="00AD2379" w:rsidRPr="00F64312" w:rsidRDefault="00AD2379" w:rsidP="002F61E4">
      <w:pPr>
        <w:jc w:val="both"/>
        <w:rPr>
          <w:color w:val="auto"/>
          <w:highlight w:val="magenta"/>
        </w:rPr>
      </w:pPr>
    </w:p>
    <w:p w:rsidR="00417BED" w:rsidRPr="00F64312" w:rsidRDefault="00AD2379" w:rsidP="002F61E4">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w:t>
      </w:r>
      <w:r w:rsidRPr="00101C45">
        <w:rPr>
          <w:color w:val="auto"/>
        </w:rPr>
        <w:t>upon by the PEB will not be considered by the Board to the extent they were inconsistent with the VASRD in effect at the time of the adjudication</w:t>
      </w:r>
      <w:r w:rsidRPr="00101C45">
        <w:rPr>
          <w:rFonts w:cs="Times New Roman"/>
          <w:color w:val="auto"/>
        </w:rPr>
        <w:t>.</w:t>
      </w:r>
      <w:r w:rsidR="006B690F" w:rsidRPr="00101C45">
        <w:rPr>
          <w:rFonts w:cs="Times New Roman"/>
          <w:color w:val="auto"/>
        </w:rPr>
        <w:t xml:space="preserve"> </w:t>
      </w:r>
      <w:r w:rsidR="001446B1">
        <w:rPr>
          <w:rFonts w:cs="Times New Roman"/>
          <w:color w:val="auto"/>
        </w:rPr>
        <w:t xml:space="preserve"> </w:t>
      </w:r>
      <w:r w:rsidR="00A14B5E" w:rsidRPr="00101C45">
        <w:rPr>
          <w:rFonts w:eastAsia="Calibri" w:cs="Times New Roman"/>
          <w:color w:val="auto"/>
          <w:szCs w:val="24"/>
        </w:rPr>
        <w:t>In the matter of the recurrent nephrolithiasis condition and IAW VASRD §4.115b, the Board unanimously recommends no c</w:t>
      </w:r>
      <w:r w:rsidR="00C914F9" w:rsidRPr="00101C45">
        <w:rPr>
          <w:rFonts w:eastAsia="Calibri" w:cs="Times New Roman"/>
          <w:color w:val="auto"/>
          <w:szCs w:val="24"/>
        </w:rPr>
        <w:t>hange in the PEB adjudication.</w:t>
      </w:r>
      <w:r w:rsidR="00101C45" w:rsidRPr="00101C45">
        <w:rPr>
          <w:rFonts w:eastAsia="Calibri" w:cs="Times New Roman"/>
          <w:color w:val="auto"/>
          <w:szCs w:val="24"/>
        </w:rPr>
        <w:t xml:space="preserve"> </w:t>
      </w:r>
      <w:r w:rsidR="001446B1">
        <w:rPr>
          <w:rFonts w:eastAsia="Calibri" w:cs="Times New Roman"/>
          <w:color w:val="auto"/>
          <w:szCs w:val="24"/>
        </w:rPr>
        <w:t xml:space="preserve"> </w:t>
      </w:r>
      <w:r w:rsidR="00241B01" w:rsidRPr="00101C45">
        <w:rPr>
          <w:rFonts w:eastAsia="Calibri" w:cs="Times New Roman"/>
          <w:color w:val="auto"/>
          <w:szCs w:val="24"/>
        </w:rPr>
        <w:t xml:space="preserve">In the matter of the </w:t>
      </w:r>
      <w:r w:rsidR="00A14B5E" w:rsidRPr="00101C45">
        <w:rPr>
          <w:rFonts w:eastAsia="Calibri" w:cs="Times New Roman"/>
          <w:color w:val="auto"/>
          <w:szCs w:val="24"/>
        </w:rPr>
        <w:t>temporomandibular joint disorder</w:t>
      </w:r>
      <w:r w:rsidR="00241B01" w:rsidRPr="00101C45">
        <w:rPr>
          <w:rFonts w:eastAsia="Calibri" w:cs="Times New Roman"/>
          <w:color w:val="auto"/>
          <w:szCs w:val="24"/>
        </w:rPr>
        <w:t xml:space="preserve"> condition, the Board</w:t>
      </w:r>
      <w:r w:rsidR="00101C45" w:rsidRPr="00101C45">
        <w:rPr>
          <w:rFonts w:eastAsia="Calibri" w:cs="Times New Roman"/>
          <w:color w:val="auto"/>
          <w:szCs w:val="24"/>
        </w:rPr>
        <w:t>, by</w:t>
      </w:r>
      <w:r w:rsidR="00241B01" w:rsidRPr="00101C45">
        <w:rPr>
          <w:rFonts w:eastAsia="Calibri" w:cs="Times New Roman"/>
          <w:color w:val="auto"/>
          <w:szCs w:val="24"/>
        </w:rPr>
        <w:t xml:space="preserve"> </w:t>
      </w:r>
      <w:r w:rsidR="001446B1">
        <w:rPr>
          <w:rFonts w:eastAsia="Calibri" w:cs="Times New Roman"/>
          <w:color w:val="auto"/>
          <w:szCs w:val="24"/>
        </w:rPr>
        <w:t>2 to 1 vote</w:t>
      </w:r>
      <w:r w:rsidR="00101C45" w:rsidRPr="00101C45">
        <w:rPr>
          <w:rFonts w:eastAsia="Calibri" w:cs="Times New Roman"/>
          <w:color w:val="auto"/>
          <w:szCs w:val="24"/>
        </w:rPr>
        <w:t>,</w:t>
      </w:r>
      <w:r w:rsidR="00241B01" w:rsidRPr="00101C45">
        <w:rPr>
          <w:rFonts w:eastAsia="Calibri" w:cs="Times New Roman"/>
          <w:color w:val="auto"/>
          <w:szCs w:val="24"/>
        </w:rPr>
        <w:t xml:space="preserve"> recommends a disability rating of </w:t>
      </w:r>
      <w:r w:rsidR="00A14B5E" w:rsidRPr="00101C45">
        <w:rPr>
          <w:rFonts w:eastAsia="Calibri" w:cs="Times New Roman"/>
          <w:color w:val="auto"/>
          <w:szCs w:val="24"/>
        </w:rPr>
        <w:t>2</w:t>
      </w:r>
      <w:r w:rsidR="00323E57" w:rsidRPr="00101C45">
        <w:rPr>
          <w:rFonts w:eastAsia="Calibri" w:cs="Times New Roman"/>
          <w:color w:val="auto"/>
          <w:szCs w:val="24"/>
        </w:rPr>
        <w:t>0</w:t>
      </w:r>
      <w:r w:rsidR="00241B01" w:rsidRPr="00101C45">
        <w:rPr>
          <w:rFonts w:eastAsia="Calibri" w:cs="Times New Roman"/>
          <w:color w:val="auto"/>
          <w:szCs w:val="24"/>
        </w:rPr>
        <w:t xml:space="preserve">%, coded </w:t>
      </w:r>
      <w:r w:rsidR="00A14B5E" w:rsidRPr="00101C45">
        <w:rPr>
          <w:rFonts w:eastAsia="Calibri" w:cs="Times New Roman"/>
          <w:color w:val="auto"/>
          <w:szCs w:val="24"/>
        </w:rPr>
        <w:t>9905</w:t>
      </w:r>
      <w:r w:rsidR="00241B01" w:rsidRPr="00101C45">
        <w:rPr>
          <w:rFonts w:eastAsia="Calibri" w:cs="Times New Roman"/>
          <w:color w:val="auto"/>
          <w:szCs w:val="24"/>
        </w:rPr>
        <w:t xml:space="preserve"> IAW VASRD §4.</w:t>
      </w:r>
      <w:r w:rsidR="00A14B5E" w:rsidRPr="00101C45">
        <w:rPr>
          <w:rFonts w:eastAsia="Calibri" w:cs="Times New Roman"/>
          <w:color w:val="auto"/>
          <w:szCs w:val="24"/>
        </w:rPr>
        <w:t>150</w:t>
      </w:r>
      <w:r w:rsidR="00241B01" w:rsidRPr="00101C45">
        <w:rPr>
          <w:rFonts w:eastAsia="Calibri" w:cs="Times New Roman"/>
          <w:color w:val="auto"/>
          <w:szCs w:val="24"/>
        </w:rPr>
        <w:t>.</w:t>
      </w:r>
      <w:r w:rsidR="005D3604" w:rsidRPr="00101C45">
        <w:rPr>
          <w:rFonts w:eastAsia="Calibri" w:cs="Times New Roman"/>
          <w:color w:val="auto"/>
          <w:szCs w:val="24"/>
        </w:rPr>
        <w:t xml:space="preserve"> </w:t>
      </w:r>
      <w:r w:rsidR="001446B1">
        <w:rPr>
          <w:rFonts w:eastAsia="Calibri" w:cs="Times New Roman"/>
          <w:color w:val="auto"/>
          <w:szCs w:val="24"/>
        </w:rPr>
        <w:t xml:space="preserve"> </w:t>
      </w:r>
      <w:r w:rsidR="00101C45" w:rsidRPr="00101C45">
        <w:rPr>
          <w:rFonts w:eastAsia="Calibri" w:cs="Times New Roman"/>
          <w:color w:val="auto"/>
          <w:szCs w:val="24"/>
        </w:rPr>
        <w:t xml:space="preserve">The single voter for dissent (who recommended adopting the VA </w:t>
      </w:r>
      <w:r w:rsidR="008D3708">
        <w:rPr>
          <w:rFonts w:eastAsia="Calibri" w:cs="Times New Roman"/>
          <w:color w:val="auto"/>
          <w:szCs w:val="24"/>
        </w:rPr>
        <w:t>cod</w:t>
      </w:r>
      <w:r w:rsidR="00101C45" w:rsidRPr="00101C45">
        <w:rPr>
          <w:rFonts w:eastAsia="Calibri" w:cs="Times New Roman"/>
          <w:color w:val="auto"/>
          <w:szCs w:val="24"/>
        </w:rPr>
        <w:t xml:space="preserve">ing </w:t>
      </w:r>
      <w:r w:rsidR="008D3708">
        <w:rPr>
          <w:rFonts w:eastAsia="Calibri" w:cs="Times New Roman"/>
          <w:color w:val="auto"/>
          <w:szCs w:val="24"/>
        </w:rPr>
        <w:t xml:space="preserve">under </w:t>
      </w:r>
      <w:r w:rsidR="00101C45" w:rsidRPr="00101C45">
        <w:rPr>
          <w:rFonts w:eastAsia="Calibri" w:cs="Times New Roman"/>
          <w:color w:val="auto"/>
          <w:szCs w:val="24"/>
        </w:rPr>
        <w:t xml:space="preserve">9905 at 10%) did not elect to submit a minority opinion. </w:t>
      </w:r>
      <w:r w:rsidR="001446B1">
        <w:rPr>
          <w:rFonts w:eastAsia="Calibri" w:cs="Times New Roman"/>
          <w:color w:val="auto"/>
          <w:szCs w:val="24"/>
        </w:rPr>
        <w:t xml:space="preserve"> </w:t>
      </w:r>
      <w:r w:rsidR="00560F12" w:rsidRPr="00101C45">
        <w:rPr>
          <w:rFonts w:eastAsia="Calibri" w:cs="Times New Roman"/>
          <w:color w:val="auto"/>
          <w:szCs w:val="24"/>
        </w:rPr>
        <w:t xml:space="preserve">In the matter of the </w:t>
      </w:r>
      <w:r w:rsidR="00A14B5E" w:rsidRPr="00101C45">
        <w:rPr>
          <w:rFonts w:eastAsia="Calibri" w:cs="Times New Roman"/>
          <w:color w:val="auto"/>
          <w:szCs w:val="24"/>
        </w:rPr>
        <w:lastRenderedPageBreak/>
        <w:t>polycystic ovary disease</w:t>
      </w:r>
      <w:r w:rsidR="00560F12" w:rsidRPr="00101C45">
        <w:rPr>
          <w:rFonts w:eastAsia="Calibri" w:cs="Times New Roman"/>
          <w:color w:val="auto"/>
          <w:szCs w:val="24"/>
        </w:rPr>
        <w:t xml:space="preserve"> condition, the Board unanimously</w:t>
      </w:r>
      <w:r w:rsidR="00560F12" w:rsidRPr="00F64312">
        <w:rPr>
          <w:rFonts w:eastAsia="Calibri" w:cs="Times New Roman"/>
          <w:color w:val="auto"/>
          <w:szCs w:val="24"/>
        </w:rPr>
        <w:t xml:space="preserve"> </w:t>
      </w:r>
      <w:r w:rsidR="00417BED" w:rsidRPr="00F64312">
        <w:rPr>
          <w:rFonts w:eastAsia="Calibri" w:cs="Times New Roman"/>
          <w:color w:val="auto"/>
          <w:szCs w:val="24"/>
        </w:rPr>
        <w:t>recommends no change from the PEB determination</w:t>
      </w:r>
      <w:r w:rsidR="00A14B5E">
        <w:rPr>
          <w:rFonts w:eastAsia="Calibri" w:cs="Times New Roman"/>
          <w:color w:val="auto"/>
          <w:szCs w:val="24"/>
        </w:rPr>
        <w:t xml:space="preserve"> as EPTS</w:t>
      </w:r>
      <w:r w:rsidR="00417BED" w:rsidRPr="00F64312">
        <w:rPr>
          <w:rFonts w:eastAsia="Calibri" w:cs="Times New Roman"/>
          <w:color w:val="auto"/>
          <w:szCs w:val="24"/>
        </w:rPr>
        <w:t>.</w:t>
      </w:r>
    </w:p>
    <w:p w:rsidR="00AD2379" w:rsidRPr="00F64312" w:rsidRDefault="00AD2379" w:rsidP="002F61E4">
      <w:pPr>
        <w:pBdr>
          <w:bottom w:val="single" w:sz="12" w:space="1" w:color="auto"/>
        </w:pBdr>
        <w:tabs>
          <w:tab w:val="left" w:pos="288"/>
          <w:tab w:val="left" w:pos="4752"/>
        </w:tabs>
        <w:jc w:val="both"/>
        <w:rPr>
          <w:color w:val="auto"/>
          <w:highlight w:val="magenta"/>
        </w:rPr>
      </w:pPr>
    </w:p>
    <w:p w:rsidR="00AD2379" w:rsidRPr="00F64312" w:rsidRDefault="00AD2379" w:rsidP="002F61E4">
      <w:pPr>
        <w:jc w:val="both"/>
        <w:rPr>
          <w:color w:val="auto"/>
          <w:highlight w:val="magenta"/>
        </w:rPr>
      </w:pPr>
    </w:p>
    <w:p w:rsidR="00565636" w:rsidRPr="007405C0" w:rsidRDefault="00AD2379" w:rsidP="008D3708">
      <w:pPr>
        <w:jc w:val="both"/>
        <w:rPr>
          <w:rFonts w:eastAsia="Calibri" w:cs="Times New Roman"/>
          <w:color w:val="auto"/>
          <w:szCs w:val="24"/>
        </w:rPr>
      </w:pPr>
      <w:r w:rsidRPr="00F64312">
        <w:rPr>
          <w:color w:val="auto"/>
          <w:u w:val="single"/>
        </w:rPr>
        <w:t>RECOMMENDATION</w:t>
      </w:r>
      <w:r w:rsidR="008D3708">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w:t>
      </w:r>
      <w:r w:rsidR="00565636" w:rsidRPr="007405C0">
        <w:rPr>
          <w:rFonts w:eastAsia="Calibri" w:cs="Times New Roman"/>
          <w:color w:val="auto"/>
          <w:szCs w:val="24"/>
        </w:rPr>
        <w:t>severance pay be recharacterized to reflect permanent disability retirement, effective as of the date of her</w:t>
      </w:r>
      <w:r w:rsidR="00417BED" w:rsidRPr="007405C0">
        <w:rPr>
          <w:rFonts w:eastAsia="Calibri" w:cs="Times New Roman"/>
          <w:color w:val="auto"/>
          <w:szCs w:val="24"/>
        </w:rPr>
        <w:t xml:space="preserve"> prior medical separation:</w:t>
      </w:r>
    </w:p>
    <w:p w:rsidR="007405C0" w:rsidRPr="00F64312" w:rsidRDefault="007405C0"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82"/>
        <w:gridCol w:w="1530"/>
        <w:gridCol w:w="1512"/>
      </w:tblGrid>
      <w:tr w:rsidR="00AD2379" w:rsidRPr="00F64312" w:rsidTr="00A14B5E">
        <w:trPr>
          <w:trHeight w:val="233"/>
          <w:jc w:val="center"/>
        </w:trPr>
        <w:tc>
          <w:tcPr>
            <w:tcW w:w="628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51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A14B5E">
        <w:trPr>
          <w:jc w:val="center"/>
        </w:trPr>
        <w:tc>
          <w:tcPr>
            <w:tcW w:w="6282" w:type="dxa"/>
            <w:vAlign w:val="center"/>
          </w:tcPr>
          <w:p w:rsidR="00AD2379" w:rsidRPr="00F64312" w:rsidRDefault="007405C0" w:rsidP="007405C0">
            <w:pPr>
              <w:tabs>
                <w:tab w:val="left" w:pos="288"/>
                <w:tab w:val="left" w:pos="4752"/>
              </w:tabs>
              <w:jc w:val="left"/>
              <w:rPr>
                <w:color w:val="auto"/>
              </w:rPr>
            </w:pPr>
            <w:r w:rsidRPr="007405C0">
              <w:rPr>
                <w:color w:val="auto"/>
              </w:rPr>
              <w:t>Recurrent Nephrolithiasis</w:t>
            </w:r>
          </w:p>
        </w:tc>
        <w:tc>
          <w:tcPr>
            <w:tcW w:w="1530" w:type="dxa"/>
            <w:vAlign w:val="center"/>
          </w:tcPr>
          <w:p w:rsidR="00AD2379" w:rsidRPr="007405C0" w:rsidRDefault="007405C0" w:rsidP="006B690F">
            <w:pPr>
              <w:tabs>
                <w:tab w:val="left" w:pos="288"/>
                <w:tab w:val="left" w:pos="4752"/>
              </w:tabs>
              <w:rPr>
                <w:color w:val="auto"/>
              </w:rPr>
            </w:pPr>
            <w:r w:rsidRPr="007405C0">
              <w:rPr>
                <w:color w:val="auto"/>
              </w:rPr>
              <w:t>7508</w:t>
            </w:r>
          </w:p>
        </w:tc>
        <w:tc>
          <w:tcPr>
            <w:tcW w:w="1512" w:type="dxa"/>
            <w:vAlign w:val="center"/>
          </w:tcPr>
          <w:p w:rsidR="00AD2379" w:rsidRPr="007405C0" w:rsidRDefault="004B2741" w:rsidP="006B690F">
            <w:pPr>
              <w:tabs>
                <w:tab w:val="left" w:pos="288"/>
                <w:tab w:val="left" w:pos="4752"/>
              </w:tabs>
              <w:rPr>
                <w:color w:val="auto"/>
              </w:rPr>
            </w:pPr>
            <w:r>
              <w:rPr>
                <w:color w:val="auto"/>
              </w:rPr>
              <w:t>20%</w:t>
            </w:r>
          </w:p>
        </w:tc>
      </w:tr>
      <w:tr w:rsidR="007405C0" w:rsidRPr="00F64312" w:rsidTr="00A14B5E">
        <w:trPr>
          <w:jc w:val="center"/>
        </w:trPr>
        <w:tc>
          <w:tcPr>
            <w:tcW w:w="6282" w:type="dxa"/>
            <w:vAlign w:val="center"/>
          </w:tcPr>
          <w:p w:rsidR="007405C0" w:rsidRPr="00F64312" w:rsidRDefault="007405C0" w:rsidP="006B690F">
            <w:pPr>
              <w:tabs>
                <w:tab w:val="left" w:pos="288"/>
                <w:tab w:val="left" w:pos="4752"/>
              </w:tabs>
              <w:jc w:val="left"/>
              <w:rPr>
                <w:color w:val="auto"/>
              </w:rPr>
            </w:pPr>
            <w:r w:rsidRPr="007405C0">
              <w:rPr>
                <w:color w:val="auto"/>
              </w:rPr>
              <w:t>Temporomandibular Joint Disorder</w:t>
            </w:r>
          </w:p>
        </w:tc>
        <w:tc>
          <w:tcPr>
            <w:tcW w:w="1530" w:type="dxa"/>
            <w:vAlign w:val="center"/>
          </w:tcPr>
          <w:p w:rsidR="007405C0" w:rsidRPr="007405C0" w:rsidRDefault="004B2741" w:rsidP="006B690F">
            <w:pPr>
              <w:tabs>
                <w:tab w:val="left" w:pos="288"/>
                <w:tab w:val="left" w:pos="4752"/>
              </w:tabs>
              <w:rPr>
                <w:color w:val="auto"/>
              </w:rPr>
            </w:pPr>
            <w:r>
              <w:rPr>
                <w:color w:val="auto"/>
              </w:rPr>
              <w:t>9905</w:t>
            </w:r>
          </w:p>
        </w:tc>
        <w:tc>
          <w:tcPr>
            <w:tcW w:w="1512" w:type="dxa"/>
            <w:vAlign w:val="center"/>
          </w:tcPr>
          <w:p w:rsidR="007405C0" w:rsidRPr="007405C0" w:rsidRDefault="004B2741" w:rsidP="006B690F">
            <w:pPr>
              <w:tabs>
                <w:tab w:val="left" w:pos="288"/>
                <w:tab w:val="left" w:pos="4752"/>
              </w:tabs>
              <w:rPr>
                <w:color w:val="auto"/>
              </w:rPr>
            </w:pPr>
            <w:r>
              <w:rPr>
                <w:color w:val="auto"/>
              </w:rPr>
              <w:t>20%</w:t>
            </w:r>
          </w:p>
        </w:tc>
      </w:tr>
      <w:tr w:rsidR="00A14B5E" w:rsidRPr="00F64312" w:rsidTr="00A14B5E">
        <w:trPr>
          <w:jc w:val="center"/>
        </w:trPr>
        <w:tc>
          <w:tcPr>
            <w:tcW w:w="6282" w:type="dxa"/>
            <w:vAlign w:val="center"/>
          </w:tcPr>
          <w:p w:rsidR="00A14B5E" w:rsidRPr="00F64312" w:rsidRDefault="00A14B5E" w:rsidP="006B690F">
            <w:pPr>
              <w:tabs>
                <w:tab w:val="left" w:pos="288"/>
                <w:tab w:val="left" w:pos="4752"/>
              </w:tabs>
              <w:jc w:val="left"/>
              <w:rPr>
                <w:color w:val="auto"/>
              </w:rPr>
            </w:pPr>
            <w:r w:rsidRPr="007405C0">
              <w:rPr>
                <w:color w:val="auto"/>
              </w:rPr>
              <w:t>Polycystic Ovary Disease</w:t>
            </w:r>
          </w:p>
        </w:tc>
        <w:tc>
          <w:tcPr>
            <w:tcW w:w="3042" w:type="dxa"/>
            <w:gridSpan w:val="2"/>
            <w:vAlign w:val="center"/>
          </w:tcPr>
          <w:p w:rsidR="00A14B5E" w:rsidRPr="007405C0" w:rsidRDefault="00A14B5E" w:rsidP="006B690F">
            <w:pPr>
              <w:tabs>
                <w:tab w:val="left" w:pos="288"/>
                <w:tab w:val="left" w:pos="4752"/>
              </w:tabs>
              <w:rPr>
                <w:color w:val="auto"/>
              </w:rPr>
            </w:pPr>
            <w:r>
              <w:rPr>
                <w:color w:val="auto"/>
              </w:rPr>
              <w:t>EPTS</w:t>
            </w:r>
          </w:p>
        </w:tc>
      </w:tr>
      <w:tr w:rsidR="00AD2379" w:rsidRPr="00F64312" w:rsidTr="00A14B5E">
        <w:tblPrEx>
          <w:tblLook w:val="0000" w:firstRow="0" w:lastRow="0" w:firstColumn="0" w:lastColumn="0" w:noHBand="0" w:noVBand="0"/>
        </w:tblPrEx>
        <w:trPr>
          <w:gridBefore w:val="1"/>
          <w:wBefore w:w="6282"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512" w:type="dxa"/>
            <w:shd w:val="clear" w:color="auto" w:fill="D9D9D9"/>
            <w:vAlign w:val="center"/>
          </w:tcPr>
          <w:p w:rsidR="00AD2379" w:rsidRPr="00F64312" w:rsidRDefault="00A14B5E" w:rsidP="006B690F">
            <w:pPr>
              <w:tabs>
                <w:tab w:val="left" w:pos="288"/>
                <w:tab w:val="left" w:pos="4752"/>
              </w:tabs>
              <w:rPr>
                <w:b/>
                <w:color w:val="auto"/>
              </w:rPr>
            </w:pPr>
            <w:r>
              <w:rPr>
                <w:b/>
                <w:color w:val="auto"/>
              </w:rPr>
              <w:t>4</w:t>
            </w:r>
            <w:r w:rsidR="00AD2379" w:rsidRPr="007405C0">
              <w:rPr>
                <w:b/>
                <w:color w:val="auto"/>
              </w:rPr>
              <w:t>0%</w:t>
            </w:r>
          </w:p>
        </w:tc>
      </w:tr>
    </w:tbl>
    <w:p w:rsidR="00AD2379" w:rsidRPr="00F64312" w:rsidRDefault="00AD2379" w:rsidP="007405C0">
      <w:pPr>
        <w:pBdr>
          <w:bottom w:val="single" w:sz="12" w:space="1" w:color="auto"/>
        </w:pBdr>
        <w:tabs>
          <w:tab w:val="left" w:pos="288"/>
          <w:tab w:val="left" w:pos="4752"/>
        </w:tabs>
        <w:jc w:val="both"/>
        <w:rPr>
          <w:color w:val="auto"/>
        </w:rPr>
      </w:pPr>
    </w:p>
    <w:p w:rsidR="00AD2379" w:rsidRPr="00F64312" w:rsidRDefault="00AD2379" w:rsidP="007405C0">
      <w:pPr>
        <w:jc w:val="both"/>
        <w:rPr>
          <w:color w:val="auto"/>
        </w:rPr>
      </w:pPr>
    </w:p>
    <w:p w:rsidR="00AD2379" w:rsidRPr="00F64312" w:rsidRDefault="00AD2379" w:rsidP="007405C0">
      <w:pPr>
        <w:tabs>
          <w:tab w:val="left" w:pos="288"/>
          <w:tab w:val="left" w:pos="4752"/>
        </w:tabs>
        <w:jc w:val="both"/>
        <w:rPr>
          <w:color w:val="auto"/>
        </w:rPr>
      </w:pPr>
      <w:r w:rsidRPr="00F64312">
        <w:rPr>
          <w:color w:val="auto"/>
        </w:rPr>
        <w:t>The following documentary evidence was considered:</w:t>
      </w:r>
    </w:p>
    <w:p w:rsidR="005144A7" w:rsidRPr="00F64312" w:rsidRDefault="005144A7" w:rsidP="007405C0">
      <w:pPr>
        <w:tabs>
          <w:tab w:val="left" w:pos="288"/>
          <w:tab w:val="left" w:pos="4752"/>
        </w:tabs>
        <w:jc w:val="both"/>
        <w:rPr>
          <w:color w:val="auto"/>
        </w:rPr>
      </w:pPr>
    </w:p>
    <w:p w:rsidR="00AD2379" w:rsidRPr="00F64312" w:rsidRDefault="00AD2379" w:rsidP="007405C0">
      <w:pPr>
        <w:tabs>
          <w:tab w:val="left" w:pos="288"/>
          <w:tab w:val="left" w:pos="4752"/>
        </w:tabs>
        <w:jc w:val="both"/>
        <w:rPr>
          <w:color w:val="auto"/>
        </w:rPr>
      </w:pPr>
      <w:r w:rsidRPr="00F64312">
        <w:rPr>
          <w:color w:val="auto"/>
        </w:rPr>
        <w:t xml:space="preserve">Exhibit A.  DD Form 294, dated </w:t>
      </w:r>
      <w:r w:rsidRPr="00F73C51">
        <w:rPr>
          <w:color w:val="auto"/>
        </w:rPr>
        <w:t>20</w:t>
      </w:r>
      <w:r w:rsidR="00F73C51" w:rsidRPr="00F73C51">
        <w:rPr>
          <w:color w:val="auto"/>
        </w:rPr>
        <w:t>110822</w:t>
      </w:r>
      <w:r w:rsidR="00ED7820">
        <w:rPr>
          <w:color w:val="auto"/>
        </w:rPr>
        <w:t>, w/atchs</w:t>
      </w:r>
    </w:p>
    <w:p w:rsidR="00AD2379" w:rsidRPr="00F64312" w:rsidRDefault="00AD2379" w:rsidP="007405C0">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7405C0">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7405C0">
      <w:pPr>
        <w:tabs>
          <w:tab w:val="left" w:pos="288"/>
          <w:tab w:val="left" w:pos="4752"/>
        </w:tabs>
        <w:jc w:val="both"/>
        <w:rPr>
          <w:color w:val="auto"/>
        </w:rPr>
      </w:pPr>
    </w:p>
    <w:p w:rsidR="00AD2379" w:rsidRPr="00F64312" w:rsidRDefault="00AD2379" w:rsidP="007405C0">
      <w:pPr>
        <w:tabs>
          <w:tab w:val="left" w:pos="288"/>
          <w:tab w:val="left" w:pos="4752"/>
        </w:tabs>
        <w:jc w:val="both"/>
        <w:rPr>
          <w:color w:val="auto"/>
        </w:rPr>
      </w:pPr>
    </w:p>
    <w:p w:rsidR="00AD2379" w:rsidRPr="00F64312" w:rsidRDefault="00AD2379" w:rsidP="007405C0">
      <w:pPr>
        <w:tabs>
          <w:tab w:val="left" w:pos="288"/>
          <w:tab w:val="left" w:pos="4752"/>
        </w:tabs>
        <w:jc w:val="both"/>
        <w:rPr>
          <w:color w:val="auto"/>
        </w:rPr>
      </w:pPr>
    </w:p>
    <w:p w:rsidR="00AD2379" w:rsidRPr="00F64312" w:rsidRDefault="00AD2379" w:rsidP="007405C0">
      <w:pPr>
        <w:tabs>
          <w:tab w:val="left" w:pos="288"/>
          <w:tab w:val="left" w:pos="4752"/>
        </w:tabs>
        <w:jc w:val="both"/>
        <w:rPr>
          <w:color w:val="auto"/>
        </w:rPr>
      </w:pPr>
    </w:p>
    <w:p w:rsidR="00AD2379" w:rsidRPr="00F64312" w:rsidRDefault="00AD2379" w:rsidP="007405C0">
      <w:pPr>
        <w:tabs>
          <w:tab w:val="left" w:pos="0"/>
          <w:tab w:val="left" w:pos="4320"/>
        </w:tabs>
        <w:jc w:val="both"/>
        <w:rPr>
          <w:color w:val="auto"/>
        </w:rPr>
      </w:pPr>
      <w:r w:rsidRPr="00F64312">
        <w:rPr>
          <w:color w:val="auto"/>
        </w:rPr>
        <w:tab/>
        <w:t xml:space="preserve">           </w:t>
      </w:r>
      <w:r w:rsidR="00C16E7A">
        <w:rPr>
          <w:color w:val="auto"/>
        </w:rPr>
        <w:t xml:space="preserve"> </w:t>
      </w:r>
    </w:p>
    <w:p w:rsidR="00AD2379" w:rsidRPr="00F64312" w:rsidRDefault="00AD2379" w:rsidP="007405C0">
      <w:pPr>
        <w:tabs>
          <w:tab w:val="left" w:pos="0"/>
          <w:tab w:val="left" w:pos="4320"/>
        </w:tabs>
        <w:jc w:val="both"/>
        <w:rPr>
          <w:color w:val="auto"/>
        </w:rPr>
      </w:pPr>
      <w:r w:rsidRPr="00F64312">
        <w:rPr>
          <w:color w:val="auto"/>
        </w:rPr>
        <w:tab/>
        <w:t xml:space="preserve">           President</w:t>
      </w:r>
    </w:p>
    <w:p w:rsidR="00C16E7A" w:rsidRDefault="00AD2379" w:rsidP="007405C0">
      <w:pPr>
        <w:tabs>
          <w:tab w:val="left" w:pos="0"/>
          <w:tab w:val="left" w:pos="4320"/>
        </w:tabs>
        <w:jc w:val="both"/>
        <w:rPr>
          <w:color w:val="auto"/>
        </w:rPr>
      </w:pPr>
      <w:r w:rsidRPr="00F64312">
        <w:rPr>
          <w:color w:val="auto"/>
        </w:rPr>
        <w:tab/>
        <w:t xml:space="preserve">           Physical Disability Board of Review</w:t>
      </w:r>
    </w:p>
    <w:p w:rsidR="00C16E7A" w:rsidRPr="00C16E7A" w:rsidRDefault="00C16E7A" w:rsidP="00C16E7A">
      <w:pPr>
        <w:tabs>
          <w:tab w:val="left" w:pos="0"/>
          <w:tab w:val="left" w:pos="4320"/>
        </w:tabs>
        <w:jc w:val="both"/>
        <w:rPr>
          <w:color w:val="auto"/>
        </w:rPr>
      </w:pPr>
      <w:r>
        <w:rPr>
          <w:color w:val="auto"/>
        </w:rPr>
        <w:br w:type="page"/>
      </w:r>
      <w:r w:rsidRPr="00C16E7A">
        <w:rPr>
          <w:color w:val="auto"/>
        </w:rPr>
        <w:lastRenderedPageBreak/>
        <w:t>MEMORANDUM FOR COMMANDER, NAVY PERSONNEL COMMAND</w:t>
      </w:r>
    </w:p>
    <w:p w:rsidR="00C16E7A" w:rsidRPr="00C16E7A" w:rsidRDefault="00C16E7A" w:rsidP="00C16E7A">
      <w:pPr>
        <w:tabs>
          <w:tab w:val="left" w:pos="0"/>
          <w:tab w:val="left" w:pos="4320"/>
        </w:tabs>
        <w:jc w:val="both"/>
        <w:rPr>
          <w:color w:val="auto"/>
        </w:rPr>
      </w:pPr>
      <w:r w:rsidRPr="00C16E7A">
        <w:rPr>
          <w:color w:val="auto"/>
        </w:rPr>
        <w:tab/>
        <w:t xml:space="preserve">                          </w:t>
      </w:r>
    </w:p>
    <w:p w:rsidR="00C16E7A" w:rsidRPr="00C16E7A" w:rsidRDefault="00C16E7A" w:rsidP="00C16E7A">
      <w:pPr>
        <w:tabs>
          <w:tab w:val="left" w:pos="0"/>
          <w:tab w:val="left" w:pos="4320"/>
        </w:tabs>
        <w:jc w:val="both"/>
        <w:rPr>
          <w:color w:val="auto"/>
        </w:rPr>
      </w:pPr>
      <w:r w:rsidRPr="00C16E7A">
        <w:rPr>
          <w:color w:val="auto"/>
        </w:rPr>
        <w:t xml:space="preserve">Subj:  PHYSICAL DISABILITY BOARD OF REVIEW (PDBR) RECOMMENDATIONS          </w:t>
      </w: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r w:rsidRPr="00C16E7A">
        <w:rPr>
          <w:color w:val="auto"/>
        </w:rPr>
        <w:t>Ref:   (a) DoDI 6040.44</w:t>
      </w:r>
    </w:p>
    <w:p w:rsidR="00C16E7A" w:rsidRPr="00C16E7A" w:rsidRDefault="00C16E7A" w:rsidP="00C16E7A">
      <w:pPr>
        <w:tabs>
          <w:tab w:val="left" w:pos="0"/>
          <w:tab w:val="left" w:pos="4320"/>
        </w:tabs>
        <w:jc w:val="both"/>
        <w:rPr>
          <w:color w:val="auto"/>
        </w:rPr>
      </w:pPr>
      <w:r w:rsidRPr="00C16E7A">
        <w:rPr>
          <w:color w:val="auto"/>
        </w:rPr>
        <w:t xml:space="preserve">       (b) PDBR ltr dtd 31 May 12 ICO  </w:t>
      </w:r>
    </w:p>
    <w:p w:rsidR="00C16E7A" w:rsidRPr="00C16E7A" w:rsidRDefault="00C16E7A" w:rsidP="00C16E7A">
      <w:pPr>
        <w:tabs>
          <w:tab w:val="left" w:pos="0"/>
          <w:tab w:val="left" w:pos="4320"/>
        </w:tabs>
        <w:jc w:val="both"/>
        <w:rPr>
          <w:color w:val="auto"/>
        </w:rPr>
      </w:pPr>
      <w:r w:rsidRPr="00C16E7A">
        <w:rPr>
          <w:color w:val="auto"/>
        </w:rPr>
        <w:t xml:space="preserve">       (c) PDBR ltr dtd 24 May 12 ICO  </w:t>
      </w:r>
    </w:p>
    <w:p w:rsidR="00C16E7A" w:rsidRPr="00C16E7A" w:rsidRDefault="00C16E7A" w:rsidP="00C16E7A">
      <w:pPr>
        <w:tabs>
          <w:tab w:val="left" w:pos="0"/>
          <w:tab w:val="left" w:pos="4320"/>
        </w:tabs>
        <w:jc w:val="both"/>
        <w:rPr>
          <w:color w:val="auto"/>
        </w:rPr>
      </w:pPr>
      <w:r w:rsidRPr="00C16E7A">
        <w:rPr>
          <w:color w:val="auto"/>
        </w:rPr>
        <w:t xml:space="preserve">       (d) PDBR ltr dtd 31 May 12 ICO  </w:t>
      </w:r>
    </w:p>
    <w:p w:rsidR="00C16E7A" w:rsidRPr="00C16E7A" w:rsidRDefault="00C16E7A" w:rsidP="00C16E7A">
      <w:pPr>
        <w:tabs>
          <w:tab w:val="left" w:pos="0"/>
          <w:tab w:val="left" w:pos="4320"/>
        </w:tabs>
        <w:jc w:val="both"/>
        <w:rPr>
          <w:color w:val="auto"/>
        </w:rPr>
      </w:pPr>
      <w:r w:rsidRPr="00C16E7A">
        <w:rPr>
          <w:color w:val="auto"/>
        </w:rPr>
        <w:t xml:space="preserve">                              </w:t>
      </w:r>
    </w:p>
    <w:p w:rsidR="00C16E7A" w:rsidRPr="00C16E7A" w:rsidRDefault="00C16E7A" w:rsidP="00C16E7A">
      <w:pPr>
        <w:tabs>
          <w:tab w:val="left" w:pos="0"/>
          <w:tab w:val="left" w:pos="4320"/>
        </w:tabs>
        <w:jc w:val="both"/>
        <w:rPr>
          <w:color w:val="auto"/>
        </w:rPr>
      </w:pPr>
      <w:r w:rsidRPr="00C16E7A">
        <w:rPr>
          <w:color w:val="auto"/>
        </w:rPr>
        <w:t>1.  Pursuant to reference (a) I approve the recommendations of the PDBR set forth in references (b) through (d).</w:t>
      </w: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r w:rsidRPr="00C16E7A">
        <w:rPr>
          <w:color w:val="auto"/>
        </w:rPr>
        <w:t>2.  The official records of the following individuals are to be corrected to reflect the stated disposition:</w:t>
      </w: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r w:rsidRPr="00C16E7A">
        <w:rPr>
          <w:color w:val="auto"/>
        </w:rPr>
        <w:t xml:space="preserve">    a.  former USN:  Disability separation with entitlement to disability severance pay with a rating of 20 percent (increased from 10 percent) effective 10 December 2004.</w:t>
      </w: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r w:rsidRPr="00C16E7A">
        <w:rPr>
          <w:color w:val="auto"/>
        </w:rPr>
        <w:t xml:space="preserve">    b.  former USN:  Disability separation with entitlement to disability severance pay with a rating of 20 percent (increased from 10 percent) effective 1 August 2005.</w:t>
      </w: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r w:rsidRPr="00C16E7A">
        <w:rPr>
          <w:color w:val="auto"/>
        </w:rPr>
        <w:t xml:space="preserve">    c.  former USN:  Placement on the Permanent Disability Retired List with 40 percent disability rating (increased from 20 percent) effective 19 April 2003.</w:t>
      </w:r>
    </w:p>
    <w:p w:rsidR="00C16E7A" w:rsidRPr="00C16E7A" w:rsidRDefault="00C16E7A" w:rsidP="00C16E7A">
      <w:pPr>
        <w:tabs>
          <w:tab w:val="left" w:pos="0"/>
          <w:tab w:val="left" w:pos="4320"/>
        </w:tabs>
        <w:jc w:val="both"/>
        <w:rPr>
          <w:color w:val="auto"/>
        </w:rPr>
      </w:pPr>
      <w:r w:rsidRPr="00C16E7A">
        <w:rPr>
          <w:color w:val="auto"/>
        </w:rPr>
        <w:tab/>
      </w:r>
    </w:p>
    <w:p w:rsidR="00C16E7A" w:rsidRPr="00C16E7A" w:rsidRDefault="00C16E7A" w:rsidP="00C16E7A">
      <w:pPr>
        <w:tabs>
          <w:tab w:val="left" w:pos="0"/>
          <w:tab w:val="left" w:pos="4320"/>
        </w:tabs>
        <w:jc w:val="both"/>
        <w:rPr>
          <w:color w:val="auto"/>
        </w:rPr>
      </w:pPr>
      <w:r w:rsidRPr="00C16E7A">
        <w:rPr>
          <w:color w:val="auto"/>
        </w:rPr>
        <w:t>3.  Please ensure all necessary actions are taken to implement these decisions, including the recoupment of disability severance pay if warranted, and notification to the subject member once those actions are completed.</w:t>
      </w: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p>
    <w:p w:rsidR="00C16E7A" w:rsidRPr="00C16E7A" w:rsidRDefault="00C16E7A" w:rsidP="00C16E7A">
      <w:pPr>
        <w:tabs>
          <w:tab w:val="left" w:pos="0"/>
          <w:tab w:val="left" w:pos="4320"/>
        </w:tabs>
        <w:jc w:val="both"/>
        <w:rPr>
          <w:color w:val="auto"/>
        </w:rPr>
      </w:pPr>
      <w:r w:rsidRPr="00C16E7A">
        <w:rPr>
          <w:color w:val="auto"/>
        </w:rPr>
        <w:tab/>
        <w:t xml:space="preserve"> </w:t>
      </w:r>
    </w:p>
    <w:p w:rsidR="00C16E7A" w:rsidRPr="00C16E7A" w:rsidRDefault="00C16E7A" w:rsidP="00C16E7A">
      <w:pPr>
        <w:tabs>
          <w:tab w:val="left" w:pos="0"/>
          <w:tab w:val="left" w:pos="4320"/>
        </w:tabs>
        <w:jc w:val="both"/>
        <w:rPr>
          <w:color w:val="auto"/>
        </w:rPr>
      </w:pPr>
      <w:r w:rsidRPr="00C16E7A">
        <w:rPr>
          <w:color w:val="auto"/>
        </w:rPr>
        <w:tab/>
        <w:t>Assistant General Counsel</w:t>
      </w:r>
    </w:p>
    <w:p w:rsidR="00AD2379" w:rsidRDefault="00C16E7A" w:rsidP="00C16E7A">
      <w:pPr>
        <w:tabs>
          <w:tab w:val="left" w:pos="0"/>
          <w:tab w:val="left" w:pos="4320"/>
        </w:tabs>
        <w:jc w:val="both"/>
        <w:rPr>
          <w:color w:val="auto"/>
        </w:rPr>
      </w:pPr>
      <w:r w:rsidRPr="00C16E7A">
        <w:rPr>
          <w:color w:val="auto"/>
        </w:rPr>
        <w:tab/>
        <w:t xml:space="preserve">  (Manpower &amp; Reserve Affairs)</w:t>
      </w:r>
      <w:bookmarkStart w:id="0" w:name="_GoBack"/>
      <w:bookmarkEnd w:id="0"/>
    </w:p>
    <w:p w:rsidR="0079396A" w:rsidRDefault="0079396A" w:rsidP="007405C0">
      <w:pPr>
        <w:tabs>
          <w:tab w:val="left" w:pos="0"/>
          <w:tab w:val="left" w:pos="4320"/>
        </w:tabs>
        <w:jc w:val="both"/>
        <w:rPr>
          <w:color w:val="auto"/>
        </w:rPr>
      </w:pPr>
    </w:p>
    <w:p w:rsidR="00427021" w:rsidRPr="00F64312" w:rsidRDefault="00427021" w:rsidP="00101C45">
      <w:pPr>
        <w:jc w:val="both"/>
        <w:rPr>
          <w:rFonts w:cs="Times New Roman"/>
          <w:color w:val="auto"/>
        </w:rPr>
      </w:pPr>
    </w:p>
    <w:sectPr w:rsidR="00427021" w:rsidRPr="00F64312" w:rsidSect="00726F84">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DF" w:rsidRDefault="000855DF">
      <w:r>
        <w:separator/>
      </w:r>
    </w:p>
  </w:endnote>
  <w:endnote w:type="continuationSeparator" w:id="0">
    <w:p w:rsidR="000855DF" w:rsidRDefault="0008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45" w:rsidRPr="00374247" w:rsidRDefault="00101C45" w:rsidP="00726F84">
    <w:pPr>
      <w:pStyle w:val="Footer"/>
      <w:ind w:firstLine="4320"/>
      <w:rPr>
        <w:color w:val="auto"/>
      </w:rPr>
    </w:pPr>
    <w:r w:rsidRPr="00374247">
      <w:rPr>
        <w:color w:val="auto"/>
      </w:rPr>
      <w:t xml:space="preserve">   </w:t>
    </w:r>
    <w:r w:rsidR="000855DF">
      <w:fldChar w:fldCharType="begin"/>
    </w:r>
    <w:r w:rsidR="000855DF">
      <w:instrText xml:space="preserve"> PAGE   \* MERGEFORMAT </w:instrText>
    </w:r>
    <w:r w:rsidR="000855DF">
      <w:fldChar w:fldCharType="separate"/>
    </w:r>
    <w:r w:rsidR="00C16E7A" w:rsidRPr="00C16E7A">
      <w:rPr>
        <w:noProof/>
        <w:color w:val="auto"/>
      </w:rPr>
      <w:t>6</w:t>
    </w:r>
    <w:r w:rsidR="000855DF">
      <w:rPr>
        <w:noProof/>
        <w:color w:val="auto"/>
      </w:rPr>
      <w:fldChar w:fldCharType="end"/>
    </w:r>
    <w:r w:rsidRPr="00374247">
      <w:rPr>
        <w:color w:val="auto"/>
      </w:rPr>
      <w:t xml:space="preserve">                                                           </w:t>
    </w:r>
    <w:r w:rsidRPr="00F73C51">
      <w:rPr>
        <w:color w:val="auto"/>
      </w:rPr>
      <w:t>PD11-00798</w:t>
    </w:r>
  </w:p>
  <w:p w:rsidR="00101C45" w:rsidRPr="00684CE6" w:rsidRDefault="00101C45">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DF" w:rsidRDefault="000855DF">
      <w:r>
        <w:separator/>
      </w:r>
    </w:p>
  </w:footnote>
  <w:footnote w:type="continuationSeparator" w:id="0">
    <w:p w:rsidR="000855DF" w:rsidRDefault="0008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45" w:rsidRDefault="00101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5DF"/>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5873"/>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41"/>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0E"/>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C45"/>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551"/>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4617"/>
    <w:rsid w:val="001446B1"/>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B41"/>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196"/>
    <w:rsid w:val="001968BB"/>
    <w:rsid w:val="001A025E"/>
    <w:rsid w:val="001A08CD"/>
    <w:rsid w:val="001A0A1E"/>
    <w:rsid w:val="001A2182"/>
    <w:rsid w:val="001A323E"/>
    <w:rsid w:val="001A5320"/>
    <w:rsid w:val="001A5E62"/>
    <w:rsid w:val="001A6848"/>
    <w:rsid w:val="001A7538"/>
    <w:rsid w:val="001A7557"/>
    <w:rsid w:val="001B0031"/>
    <w:rsid w:val="001B06FB"/>
    <w:rsid w:val="001B0B1A"/>
    <w:rsid w:val="001B20E6"/>
    <w:rsid w:val="001B4C0B"/>
    <w:rsid w:val="001B4D12"/>
    <w:rsid w:val="001B4EC2"/>
    <w:rsid w:val="001B5B59"/>
    <w:rsid w:val="001B60E0"/>
    <w:rsid w:val="001B755A"/>
    <w:rsid w:val="001B7A13"/>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6748"/>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1E4"/>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57"/>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963"/>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5B"/>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DC9"/>
    <w:rsid w:val="003A7FF8"/>
    <w:rsid w:val="003B17AC"/>
    <w:rsid w:val="003B2143"/>
    <w:rsid w:val="003B227A"/>
    <w:rsid w:val="003B3A77"/>
    <w:rsid w:val="003B4319"/>
    <w:rsid w:val="003B5854"/>
    <w:rsid w:val="003B6764"/>
    <w:rsid w:val="003B7A8B"/>
    <w:rsid w:val="003B7D13"/>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3F7779"/>
    <w:rsid w:val="004007E9"/>
    <w:rsid w:val="00400810"/>
    <w:rsid w:val="00401825"/>
    <w:rsid w:val="00401BBC"/>
    <w:rsid w:val="004026FC"/>
    <w:rsid w:val="00403BFB"/>
    <w:rsid w:val="00404B45"/>
    <w:rsid w:val="00405BCF"/>
    <w:rsid w:val="004068E0"/>
    <w:rsid w:val="00406CC5"/>
    <w:rsid w:val="00406FCA"/>
    <w:rsid w:val="004074A4"/>
    <w:rsid w:val="00410159"/>
    <w:rsid w:val="004101B2"/>
    <w:rsid w:val="004123D7"/>
    <w:rsid w:val="00412658"/>
    <w:rsid w:val="004129DA"/>
    <w:rsid w:val="00412F0E"/>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021"/>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6E7"/>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2741"/>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04D7"/>
    <w:rsid w:val="004E21A3"/>
    <w:rsid w:val="004E32EA"/>
    <w:rsid w:val="004E3517"/>
    <w:rsid w:val="004E6866"/>
    <w:rsid w:val="004F0C58"/>
    <w:rsid w:val="004F10EB"/>
    <w:rsid w:val="004F3222"/>
    <w:rsid w:val="004F3639"/>
    <w:rsid w:val="004F3BFA"/>
    <w:rsid w:val="004F4E3C"/>
    <w:rsid w:val="004F5A1A"/>
    <w:rsid w:val="004F675A"/>
    <w:rsid w:val="004F6AD0"/>
    <w:rsid w:val="004F77A3"/>
    <w:rsid w:val="005000AB"/>
    <w:rsid w:val="00500EAF"/>
    <w:rsid w:val="00500F3C"/>
    <w:rsid w:val="005025EE"/>
    <w:rsid w:val="00503401"/>
    <w:rsid w:val="00503D35"/>
    <w:rsid w:val="00503DDF"/>
    <w:rsid w:val="00505524"/>
    <w:rsid w:val="005058D5"/>
    <w:rsid w:val="00506688"/>
    <w:rsid w:val="00506A83"/>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7A1"/>
    <w:rsid w:val="00541E2D"/>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2ED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3604"/>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17605"/>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926"/>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3F3"/>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1390"/>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4D2"/>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05C0"/>
    <w:rsid w:val="00740D98"/>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50D0"/>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396A"/>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4AA"/>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4393"/>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8B4"/>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70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6564"/>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62C"/>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376C"/>
    <w:rsid w:val="009A49D3"/>
    <w:rsid w:val="009A4E22"/>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B5E"/>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10B"/>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0D79"/>
    <w:rsid w:val="00B01BD4"/>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7252"/>
    <w:rsid w:val="00BA1824"/>
    <w:rsid w:val="00BA2D98"/>
    <w:rsid w:val="00BA2F0C"/>
    <w:rsid w:val="00BA30D1"/>
    <w:rsid w:val="00BA30E1"/>
    <w:rsid w:val="00BA41F3"/>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53C"/>
    <w:rsid w:val="00BD1844"/>
    <w:rsid w:val="00BD2A49"/>
    <w:rsid w:val="00BD3683"/>
    <w:rsid w:val="00BD40AB"/>
    <w:rsid w:val="00BD40DE"/>
    <w:rsid w:val="00BD6297"/>
    <w:rsid w:val="00BD6806"/>
    <w:rsid w:val="00BD6939"/>
    <w:rsid w:val="00BD70F4"/>
    <w:rsid w:val="00BD7433"/>
    <w:rsid w:val="00BD7831"/>
    <w:rsid w:val="00BD7C10"/>
    <w:rsid w:val="00BE046F"/>
    <w:rsid w:val="00BE0DD6"/>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7A"/>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2CA3"/>
    <w:rsid w:val="00C83740"/>
    <w:rsid w:val="00C84527"/>
    <w:rsid w:val="00C845FF"/>
    <w:rsid w:val="00C84AD1"/>
    <w:rsid w:val="00C85579"/>
    <w:rsid w:val="00C8590C"/>
    <w:rsid w:val="00C862F1"/>
    <w:rsid w:val="00C863E5"/>
    <w:rsid w:val="00C87BE6"/>
    <w:rsid w:val="00C87F76"/>
    <w:rsid w:val="00C910DE"/>
    <w:rsid w:val="00C914F9"/>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E53"/>
    <w:rsid w:val="00D12405"/>
    <w:rsid w:val="00D12A4E"/>
    <w:rsid w:val="00D1323B"/>
    <w:rsid w:val="00D14BAE"/>
    <w:rsid w:val="00D15107"/>
    <w:rsid w:val="00D1648B"/>
    <w:rsid w:val="00D16819"/>
    <w:rsid w:val="00D16B47"/>
    <w:rsid w:val="00D17DD9"/>
    <w:rsid w:val="00D20AC0"/>
    <w:rsid w:val="00D229E7"/>
    <w:rsid w:val="00D2321B"/>
    <w:rsid w:val="00D23350"/>
    <w:rsid w:val="00D237E7"/>
    <w:rsid w:val="00D23DE4"/>
    <w:rsid w:val="00D242ED"/>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49F"/>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2EF"/>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17EF2"/>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0956"/>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15A8"/>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24"/>
    <w:rsid w:val="00E65D39"/>
    <w:rsid w:val="00E670F8"/>
    <w:rsid w:val="00E6741B"/>
    <w:rsid w:val="00E67FAC"/>
    <w:rsid w:val="00E70164"/>
    <w:rsid w:val="00E71485"/>
    <w:rsid w:val="00E7200B"/>
    <w:rsid w:val="00E73310"/>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07C39"/>
    <w:rsid w:val="00F111B6"/>
    <w:rsid w:val="00F11EBE"/>
    <w:rsid w:val="00F12293"/>
    <w:rsid w:val="00F12BA8"/>
    <w:rsid w:val="00F12D7A"/>
    <w:rsid w:val="00F130D0"/>
    <w:rsid w:val="00F13AC6"/>
    <w:rsid w:val="00F14933"/>
    <w:rsid w:val="00F1516A"/>
    <w:rsid w:val="00F15483"/>
    <w:rsid w:val="00F15EE5"/>
    <w:rsid w:val="00F16C4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85C"/>
    <w:rsid w:val="00F67E31"/>
    <w:rsid w:val="00F70B44"/>
    <w:rsid w:val="00F71436"/>
    <w:rsid w:val="00F718A8"/>
    <w:rsid w:val="00F7207E"/>
    <w:rsid w:val="00F72183"/>
    <w:rsid w:val="00F73C51"/>
    <w:rsid w:val="00F741F7"/>
    <w:rsid w:val="00F75C12"/>
    <w:rsid w:val="00F764AF"/>
    <w:rsid w:val="00F76D01"/>
    <w:rsid w:val="00F80B43"/>
    <w:rsid w:val="00F80C97"/>
    <w:rsid w:val="00F81C35"/>
    <w:rsid w:val="00F81D97"/>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4FB0"/>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6845"/>
    <w:rsid w:val="00FE7C22"/>
    <w:rsid w:val="00FE7C6D"/>
    <w:rsid w:val="00FE7EB9"/>
    <w:rsid w:val="00FF05D0"/>
    <w:rsid w:val="00FF06CE"/>
    <w:rsid w:val="00FF0D57"/>
    <w:rsid w:val="00FF0DC2"/>
    <w:rsid w:val="00FF0FF7"/>
    <w:rsid w:val="00FF1022"/>
    <w:rsid w:val="00FF10A2"/>
    <w:rsid w:val="00FF10FE"/>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link w:val="Footer"/>
    <w:uiPriority w:val="99"/>
    <w:rsid w:val="000379D0"/>
    <w:rPr>
      <w:rFonts w:cs="Times New Roman"/>
      <w:color w:val="008080"/>
      <w:sz w:val="24"/>
    </w:rPr>
  </w:style>
  <w:style w:type="character" w:styleId="PageNumber">
    <w:name w:val="page number"/>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uiPriority w:val="99"/>
    <w:rsid w:val="004766C9"/>
    <w:rPr>
      <w:rFonts w:cs="Times New Roman"/>
    </w:rPr>
  </w:style>
  <w:style w:type="character" w:styleId="CommentReference">
    <w:name w:val="annotation reference"/>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link w:val="CommentSubject"/>
    <w:uiPriority w:val="99"/>
    <w:rsid w:val="0046111A"/>
    <w:rPr>
      <w:rFonts w:cs="Times New Roman"/>
      <w:b/>
      <w:bCs/>
      <w:color w:val="008080"/>
      <w:sz w:val="20"/>
    </w:rPr>
  </w:style>
  <w:style w:type="character" w:styleId="Hyperlink">
    <w:name w:val="Hyperlink"/>
    <w:uiPriority w:val="99"/>
    <w:rsid w:val="00750E3A"/>
    <w:rPr>
      <w:rFonts w:cs="Times New Roman"/>
      <w:color w:val="0000FF"/>
      <w:u w:val="single"/>
    </w:rPr>
  </w:style>
  <w:style w:type="character" w:styleId="FollowedHyperlink">
    <w:name w:val="FollowedHyperlink"/>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2012-05-30T17:44:00Z</cp:lastPrinted>
  <dcterms:created xsi:type="dcterms:W3CDTF">2012-05-25T13:48:00Z</dcterms:created>
  <dcterms:modified xsi:type="dcterms:W3CDTF">2012-07-02T15:22:00Z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