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800F6A" w:rsidRDefault="0095270D" w:rsidP="00DD5558">
      <w:pPr>
        <w:tabs>
          <w:tab w:val="right" w:pos="9360"/>
        </w:tabs>
        <w:jc w:val="both"/>
        <w:rPr>
          <w:caps/>
          <w:color w:val="auto"/>
        </w:rPr>
      </w:pPr>
      <w:r w:rsidRPr="00F64312">
        <w:rPr>
          <w:caps/>
          <w:color w:val="auto"/>
        </w:rPr>
        <w:t xml:space="preserve">NAME:  </w:t>
      </w:r>
      <w:r w:rsidR="004C6006">
        <w:rPr>
          <w:caps/>
          <w:color w:val="auto"/>
        </w:rPr>
        <w:t xml:space="preserve">XXXXXXXXXXX       </w:t>
      </w:r>
      <w:r w:rsidR="00C1379D" w:rsidRPr="00800F6A">
        <w:rPr>
          <w:caps/>
          <w:color w:val="auto"/>
        </w:rPr>
        <w:t xml:space="preserve">                                                                    </w:t>
      </w:r>
      <w:r w:rsidR="0027786C">
        <w:rPr>
          <w:caps/>
          <w:color w:val="auto"/>
        </w:rPr>
        <w:t xml:space="preserve">  </w:t>
      </w:r>
      <w:r w:rsidR="009C039F">
        <w:rPr>
          <w:caps/>
          <w:color w:val="auto"/>
        </w:rPr>
        <w:t xml:space="preserve">  </w:t>
      </w:r>
      <w:r w:rsidRPr="00800F6A">
        <w:rPr>
          <w:caps/>
          <w:color w:val="auto"/>
        </w:rPr>
        <w:t xml:space="preserve">BRANCH OF SERVICE:  </w:t>
      </w:r>
      <w:r w:rsidR="00DF70F4" w:rsidRPr="00800F6A">
        <w:rPr>
          <w:caps/>
          <w:color w:val="auto"/>
        </w:rPr>
        <w:t>Army</w:t>
      </w:r>
    </w:p>
    <w:p w:rsidR="0095270D" w:rsidRPr="00800F6A" w:rsidRDefault="0095270D" w:rsidP="00DD5558">
      <w:pPr>
        <w:tabs>
          <w:tab w:val="right" w:pos="9360"/>
        </w:tabs>
        <w:jc w:val="both"/>
        <w:rPr>
          <w:color w:val="auto"/>
        </w:rPr>
      </w:pPr>
      <w:r w:rsidRPr="00800F6A">
        <w:rPr>
          <w:caps/>
          <w:color w:val="auto"/>
        </w:rPr>
        <w:t>CASE NUMBER:  PD1100</w:t>
      </w:r>
      <w:r w:rsidR="00BE1DD8" w:rsidRPr="00800F6A">
        <w:rPr>
          <w:caps/>
          <w:color w:val="auto"/>
        </w:rPr>
        <w:t>796</w:t>
      </w:r>
      <w:r w:rsidR="00DD5558" w:rsidRPr="00800F6A">
        <w:rPr>
          <w:color w:val="auto"/>
        </w:rPr>
        <w:tab/>
      </w:r>
      <w:r w:rsidR="0018208F" w:rsidRPr="00800F6A">
        <w:rPr>
          <w:color w:val="auto"/>
        </w:rPr>
        <w:t>SE</w:t>
      </w:r>
      <w:r w:rsidRPr="00800F6A">
        <w:rPr>
          <w:color w:val="auto"/>
        </w:rPr>
        <w:t>PARATION DATE:  200</w:t>
      </w:r>
      <w:r w:rsidR="00BE1DD8" w:rsidRPr="00800F6A">
        <w:rPr>
          <w:color w:val="auto"/>
        </w:rPr>
        <w:t>51107</w:t>
      </w:r>
    </w:p>
    <w:p w:rsidR="00AD2379" w:rsidRPr="00800F6A" w:rsidRDefault="0095270D" w:rsidP="0095270D">
      <w:pPr>
        <w:pBdr>
          <w:bottom w:val="single" w:sz="12" w:space="1" w:color="auto"/>
        </w:pBdr>
        <w:tabs>
          <w:tab w:val="left" w:pos="288"/>
          <w:tab w:val="left" w:pos="4752"/>
        </w:tabs>
        <w:jc w:val="both"/>
        <w:rPr>
          <w:rFonts w:cs="Times New Roman"/>
          <w:caps/>
          <w:color w:val="auto"/>
        </w:rPr>
      </w:pPr>
      <w:r w:rsidRPr="00800F6A">
        <w:rPr>
          <w:caps/>
          <w:color w:val="auto"/>
        </w:rPr>
        <w:t>BOARD DATE:  2012</w:t>
      </w:r>
      <w:r w:rsidR="0090440B" w:rsidRPr="00800F6A">
        <w:rPr>
          <w:caps/>
          <w:color w:val="auto"/>
        </w:rPr>
        <w:t>062</w:t>
      </w:r>
      <w:r w:rsidR="004520FF">
        <w:rPr>
          <w:caps/>
          <w:color w:val="auto"/>
        </w:rPr>
        <w:t>9</w:t>
      </w:r>
    </w:p>
    <w:p w:rsidR="0095270D" w:rsidRPr="00800F6A" w:rsidRDefault="0095270D" w:rsidP="0095270D">
      <w:pPr>
        <w:pBdr>
          <w:bottom w:val="single" w:sz="12" w:space="1" w:color="auto"/>
        </w:pBdr>
        <w:tabs>
          <w:tab w:val="left" w:pos="288"/>
          <w:tab w:val="left" w:pos="4752"/>
        </w:tabs>
        <w:jc w:val="both"/>
        <w:rPr>
          <w:color w:val="auto"/>
        </w:rPr>
      </w:pPr>
    </w:p>
    <w:p w:rsidR="00AD2379" w:rsidRPr="00800F6A"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800F6A">
        <w:rPr>
          <w:color w:val="auto"/>
          <w:u w:val="single"/>
        </w:rPr>
        <w:t>SUMMARY OF CASE</w:t>
      </w:r>
      <w:r w:rsidRPr="00800F6A">
        <w:rPr>
          <w:color w:val="auto"/>
        </w:rPr>
        <w:t>:</w:t>
      </w:r>
      <w:r w:rsidR="00532B33" w:rsidRPr="00800F6A">
        <w:rPr>
          <w:color w:val="auto"/>
        </w:rPr>
        <w:t xml:space="preserve"> </w:t>
      </w:r>
      <w:r w:rsidRPr="00800F6A">
        <w:rPr>
          <w:color w:val="auto"/>
        </w:rPr>
        <w:t xml:space="preserve"> Data extracted from the available evidence of record reflects that this covered individual (CI) was </w:t>
      </w:r>
      <w:r w:rsidR="00A70270" w:rsidRPr="00800F6A">
        <w:rPr>
          <w:color w:val="auto"/>
        </w:rPr>
        <w:t>a</w:t>
      </w:r>
      <w:r w:rsidR="00BE1DD8" w:rsidRPr="00800F6A">
        <w:rPr>
          <w:color w:val="auto"/>
        </w:rPr>
        <w:t xml:space="preserve"> drilling Reserve member, CW2, 922A, Food Service Technician, </w:t>
      </w:r>
      <w:r w:rsidRPr="00800F6A">
        <w:rPr>
          <w:color w:val="auto"/>
        </w:rPr>
        <w:t xml:space="preserve">medically separated for </w:t>
      </w:r>
      <w:r w:rsidR="00BE1DD8" w:rsidRPr="00800F6A">
        <w:rPr>
          <w:color w:val="auto"/>
        </w:rPr>
        <w:t xml:space="preserve">chronic neck and back pain. </w:t>
      </w:r>
      <w:r w:rsidR="006D5E1E" w:rsidRPr="00800F6A">
        <w:rPr>
          <w:color w:val="auto"/>
          <w:szCs w:val="24"/>
        </w:rPr>
        <w:t xml:space="preserve"> </w:t>
      </w:r>
      <w:r w:rsidR="00DF13BA" w:rsidRPr="00800F6A">
        <w:rPr>
          <w:color w:val="auto"/>
          <w:szCs w:val="24"/>
        </w:rPr>
        <w:t xml:space="preserve">The neck pain was not related to a specific injury, while the lower back pain </w:t>
      </w:r>
      <w:r w:rsidR="009C039F">
        <w:rPr>
          <w:color w:val="auto"/>
          <w:szCs w:val="24"/>
        </w:rPr>
        <w:t xml:space="preserve">(LBP) </w:t>
      </w:r>
      <w:r w:rsidR="00DF13BA" w:rsidRPr="00800F6A">
        <w:rPr>
          <w:color w:val="auto"/>
          <w:szCs w:val="24"/>
        </w:rPr>
        <w:t xml:space="preserve">had onset after a slip and fall in 2000.  </w:t>
      </w:r>
      <w:r w:rsidR="00F15483" w:rsidRPr="00800F6A">
        <w:rPr>
          <w:color w:val="auto"/>
        </w:rPr>
        <w:t>The CI did not improve adequately with treatment</w:t>
      </w:r>
      <w:r w:rsidR="00DF13BA" w:rsidRPr="00800F6A">
        <w:rPr>
          <w:color w:val="auto"/>
        </w:rPr>
        <w:t xml:space="preserve"> of chiropractic, physical therapy, or anti-inflammatory and muscle relaxant medications </w:t>
      </w:r>
      <w:r w:rsidR="00F566B7" w:rsidRPr="00800F6A">
        <w:rPr>
          <w:color w:val="auto"/>
        </w:rPr>
        <w:t xml:space="preserve">to meet the physical requirements of </w:t>
      </w:r>
      <w:r w:rsidR="0021565F" w:rsidRPr="00800F6A">
        <w:rPr>
          <w:color w:val="auto"/>
        </w:rPr>
        <w:t>her</w:t>
      </w:r>
      <w:r w:rsidR="00F566B7" w:rsidRPr="00800F6A">
        <w:rPr>
          <w:color w:val="auto"/>
        </w:rPr>
        <w:t xml:space="preserve"> Military Occupational Specialty (MOS)</w:t>
      </w:r>
      <w:r w:rsidR="00BE1DD8" w:rsidRPr="00800F6A">
        <w:rPr>
          <w:color w:val="auto"/>
        </w:rPr>
        <w:t xml:space="preserve">. </w:t>
      </w:r>
      <w:r w:rsidR="00DF13BA" w:rsidRPr="00800F6A">
        <w:rPr>
          <w:color w:val="auto"/>
        </w:rPr>
        <w:t xml:space="preserve"> </w:t>
      </w:r>
      <w:r w:rsidR="00BE1DD8" w:rsidRPr="00800F6A">
        <w:rPr>
          <w:color w:val="auto"/>
        </w:rPr>
        <w:t xml:space="preserve">Her profile allowed for an alternate aerobic (walk) event to </w:t>
      </w:r>
      <w:r w:rsidR="00F566B7" w:rsidRPr="00800F6A">
        <w:rPr>
          <w:color w:val="auto"/>
        </w:rPr>
        <w:t>satis</w:t>
      </w:r>
      <w:r w:rsidR="009C12A1" w:rsidRPr="00800F6A">
        <w:rPr>
          <w:color w:val="auto"/>
        </w:rPr>
        <w:t xml:space="preserve">fy physical fitness </w:t>
      </w:r>
      <w:r w:rsidR="00BE1DD8" w:rsidRPr="00800F6A">
        <w:rPr>
          <w:color w:val="auto"/>
        </w:rPr>
        <w:t xml:space="preserve">requirements. </w:t>
      </w:r>
      <w:r w:rsidR="00DF13BA" w:rsidRPr="00800F6A">
        <w:rPr>
          <w:color w:val="auto"/>
        </w:rPr>
        <w:t xml:space="preserve"> </w:t>
      </w:r>
      <w:r w:rsidR="006A0909" w:rsidRPr="00800F6A">
        <w:rPr>
          <w:color w:val="auto"/>
        </w:rPr>
        <w:t>She</w:t>
      </w:r>
      <w:r w:rsidR="009C12A1" w:rsidRPr="00800F6A">
        <w:rPr>
          <w:color w:val="auto"/>
        </w:rPr>
        <w:t xml:space="preserve"> </w:t>
      </w:r>
      <w:r w:rsidR="00F566B7" w:rsidRPr="00800F6A">
        <w:rPr>
          <w:color w:val="auto"/>
        </w:rPr>
        <w:t xml:space="preserve">was issued a permanent </w:t>
      </w:r>
      <w:r w:rsidR="00BE1DD8" w:rsidRPr="00800F6A">
        <w:rPr>
          <w:color w:val="auto"/>
        </w:rPr>
        <w:t xml:space="preserve">U3 </w:t>
      </w:r>
      <w:r w:rsidR="00F566B7" w:rsidRPr="00800F6A">
        <w:rPr>
          <w:color w:val="auto"/>
        </w:rPr>
        <w:t>L3 profile and</w:t>
      </w:r>
      <w:r w:rsidR="009C12A1" w:rsidRPr="00800F6A">
        <w:rPr>
          <w:color w:val="auto"/>
        </w:rPr>
        <w:t xml:space="preserve"> </w:t>
      </w:r>
      <w:r w:rsidR="00F566B7" w:rsidRPr="00800F6A">
        <w:rPr>
          <w:color w:val="auto"/>
        </w:rPr>
        <w:t>referred for a Medical Evaluation Board (MEB).</w:t>
      </w:r>
      <w:r w:rsidR="006D5E1E" w:rsidRPr="00800F6A">
        <w:rPr>
          <w:color w:val="auto"/>
        </w:rPr>
        <w:t xml:space="preserve">  </w:t>
      </w:r>
      <w:r w:rsidR="00BE1DD8" w:rsidRPr="00800F6A">
        <w:rPr>
          <w:color w:val="auto"/>
        </w:rPr>
        <w:t>Five other conditions (</w:t>
      </w:r>
      <w:r w:rsidR="00C1379D" w:rsidRPr="00800F6A">
        <w:rPr>
          <w:color w:val="auto"/>
        </w:rPr>
        <w:t>h</w:t>
      </w:r>
      <w:r w:rsidR="00BE1DD8" w:rsidRPr="00800F6A">
        <w:rPr>
          <w:color w:val="auto"/>
        </w:rPr>
        <w:t xml:space="preserve">eadaches, breast mass, sinusitis, cystic acne and smoking) </w:t>
      </w:r>
      <w:r w:rsidR="00071F0D" w:rsidRPr="00800F6A">
        <w:rPr>
          <w:color w:val="auto"/>
        </w:rPr>
        <w:t>identified in the rating chart below, were also identified and forwarded by the MEB</w:t>
      </w:r>
      <w:r w:rsidR="00F566B7" w:rsidRPr="00800F6A">
        <w:rPr>
          <w:color w:val="auto"/>
        </w:rPr>
        <w:t xml:space="preserve">.  </w:t>
      </w:r>
      <w:r w:rsidRPr="00800F6A">
        <w:rPr>
          <w:color w:val="auto"/>
        </w:rPr>
        <w:t xml:space="preserve">The </w:t>
      </w:r>
      <w:r w:rsidR="00E3310E">
        <w:rPr>
          <w:color w:val="auto"/>
        </w:rPr>
        <w:t>Physical Evaluation Board (</w:t>
      </w:r>
      <w:r w:rsidRPr="00800F6A">
        <w:rPr>
          <w:color w:val="auto"/>
        </w:rPr>
        <w:t>PEB</w:t>
      </w:r>
      <w:r w:rsidR="00E3310E">
        <w:rPr>
          <w:color w:val="auto"/>
        </w:rPr>
        <w:t>)</w:t>
      </w:r>
      <w:r w:rsidRPr="00800F6A">
        <w:rPr>
          <w:color w:val="auto"/>
        </w:rPr>
        <w:t xml:space="preserve"> adjudicated the </w:t>
      </w:r>
      <w:r w:rsidR="005C6BC3" w:rsidRPr="00800F6A">
        <w:rPr>
          <w:color w:val="auto"/>
        </w:rPr>
        <w:t xml:space="preserve">chronic neck pain and chronic lumbar pain </w:t>
      </w:r>
      <w:r w:rsidR="008530E3" w:rsidRPr="00800F6A">
        <w:rPr>
          <w:color w:val="auto"/>
        </w:rPr>
        <w:t xml:space="preserve">as unfitting, rated </w:t>
      </w:r>
      <w:r w:rsidR="005C6BC3" w:rsidRPr="00800F6A">
        <w:rPr>
          <w:color w:val="auto"/>
        </w:rPr>
        <w:t>10</w:t>
      </w:r>
      <w:r w:rsidRPr="00800F6A">
        <w:rPr>
          <w:color w:val="auto"/>
        </w:rPr>
        <w:t>%</w:t>
      </w:r>
      <w:r w:rsidR="000C647D" w:rsidRPr="00800F6A">
        <w:rPr>
          <w:color w:val="auto"/>
        </w:rPr>
        <w:t xml:space="preserve"> and </w:t>
      </w:r>
      <w:r w:rsidR="005C6BC3" w:rsidRPr="00800F6A">
        <w:rPr>
          <w:color w:val="auto"/>
        </w:rPr>
        <w:t>0</w:t>
      </w:r>
      <w:r w:rsidR="000C647D" w:rsidRPr="00800F6A">
        <w:rPr>
          <w:color w:val="auto"/>
        </w:rPr>
        <w:t>%</w:t>
      </w:r>
      <w:r w:rsidR="00DF13BA" w:rsidRPr="00800F6A">
        <w:rPr>
          <w:color w:val="auto"/>
        </w:rPr>
        <w:t xml:space="preserve"> respectively</w:t>
      </w:r>
      <w:r w:rsidRPr="00800F6A">
        <w:rPr>
          <w:color w:val="auto"/>
        </w:rPr>
        <w:t xml:space="preserve">, </w:t>
      </w:r>
      <w:r w:rsidR="00E46D90" w:rsidRPr="00800F6A">
        <w:rPr>
          <w:color w:val="auto"/>
        </w:rPr>
        <w:t xml:space="preserve">with application of the </w:t>
      </w:r>
      <w:r w:rsidRPr="00800F6A">
        <w:rPr>
          <w:color w:val="auto"/>
        </w:rPr>
        <w:t>Veteran</w:t>
      </w:r>
      <w:r w:rsidR="00BF72CA" w:rsidRPr="00800F6A">
        <w:rPr>
          <w:color w:val="auto"/>
        </w:rPr>
        <w:t>’</w:t>
      </w:r>
      <w:r w:rsidRPr="00800F6A">
        <w:rPr>
          <w:color w:val="auto"/>
        </w:rPr>
        <w:t>s A</w:t>
      </w:r>
      <w:r w:rsidR="00BF72CA" w:rsidRPr="00800F6A">
        <w:rPr>
          <w:color w:val="auto"/>
        </w:rPr>
        <w:t>ffairs</w:t>
      </w:r>
      <w:r w:rsidRPr="00800F6A">
        <w:rPr>
          <w:color w:val="auto"/>
        </w:rPr>
        <w:t xml:space="preserve"> Schedule for Rating Disabilities (VASRD)</w:t>
      </w:r>
      <w:r w:rsidR="000B1C9E" w:rsidRPr="00800F6A">
        <w:rPr>
          <w:color w:val="auto"/>
        </w:rPr>
        <w:t xml:space="preserve"> </w:t>
      </w:r>
      <w:r w:rsidR="00FD3401" w:rsidRPr="00800F6A">
        <w:rPr>
          <w:color w:val="auto"/>
        </w:rPr>
        <w:t>and the</w:t>
      </w:r>
      <w:r w:rsidR="000B1C9E" w:rsidRPr="00800F6A">
        <w:rPr>
          <w:color w:val="auto"/>
        </w:rPr>
        <w:t xml:space="preserve"> </w:t>
      </w:r>
      <w:r w:rsidR="0065689C" w:rsidRPr="00800F6A">
        <w:rPr>
          <w:color w:val="auto"/>
          <w:szCs w:val="24"/>
        </w:rPr>
        <w:t>US Army Physical Disability Agency (USAPDA) pain policy</w:t>
      </w:r>
      <w:r w:rsidR="00BF72CA" w:rsidRPr="00800F6A">
        <w:rPr>
          <w:color w:val="auto"/>
        </w:rPr>
        <w:t>.</w:t>
      </w:r>
      <w:r w:rsidR="00165C7B" w:rsidRPr="00800F6A">
        <w:rPr>
          <w:color w:val="auto"/>
        </w:rPr>
        <w:t xml:space="preserve">  </w:t>
      </w:r>
      <w:r w:rsidR="00380601" w:rsidRPr="00800F6A">
        <w:rPr>
          <w:color w:val="auto"/>
        </w:rPr>
        <w:t>The remaining conditions were determined to be not unfitting</w:t>
      </w:r>
      <w:r w:rsidR="005C6BC3" w:rsidRPr="00800F6A">
        <w:rPr>
          <w:color w:val="auto"/>
        </w:rPr>
        <w:t xml:space="preserve">. </w:t>
      </w:r>
      <w:r w:rsidR="001726BA" w:rsidRPr="00800F6A">
        <w:rPr>
          <w:color w:val="auto"/>
        </w:rPr>
        <w:t xml:space="preserve"> </w:t>
      </w:r>
      <w:r w:rsidRPr="00800F6A">
        <w:rPr>
          <w:color w:val="auto"/>
        </w:rPr>
        <w:t xml:space="preserve">The CI made no appeals, and was medically separated with </w:t>
      </w:r>
      <w:r w:rsidR="0066684A" w:rsidRPr="00800F6A">
        <w:rPr>
          <w:color w:val="auto"/>
        </w:rPr>
        <w:t xml:space="preserve">a </w:t>
      </w:r>
      <w:r w:rsidR="005C6BC3" w:rsidRPr="00800F6A">
        <w:rPr>
          <w:color w:val="auto"/>
        </w:rPr>
        <w:t>10</w:t>
      </w:r>
      <w:r w:rsidR="0066684A" w:rsidRPr="00800F6A">
        <w:rPr>
          <w:color w:val="auto"/>
        </w:rPr>
        <w:t xml:space="preserve">% </w:t>
      </w:r>
      <w:r w:rsidRPr="00800F6A">
        <w:rPr>
          <w:color w:val="auto"/>
        </w:rPr>
        <w:t>disability rating</w:t>
      </w:r>
      <w:r w:rsidRPr="005C6BC3">
        <w:rPr>
          <w:color w:val="auto"/>
        </w:rPr>
        <w:t>.</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5C6BC3" w:rsidRPr="00800F6A" w:rsidRDefault="00AD2379" w:rsidP="00102E37">
      <w:pPr>
        <w:autoSpaceDE w:val="0"/>
        <w:autoSpaceDN w:val="0"/>
        <w:adjustRightInd w:val="0"/>
        <w:jc w:val="both"/>
        <w:rPr>
          <w:color w:val="auto"/>
        </w:rPr>
      </w:pPr>
      <w:r w:rsidRPr="00F64312">
        <w:rPr>
          <w:color w:val="auto"/>
          <w:u w:val="single"/>
        </w:rPr>
        <w:t>CI CONTENTION</w:t>
      </w:r>
      <w:r w:rsidRPr="00F64312">
        <w:rPr>
          <w:color w:val="auto"/>
        </w:rPr>
        <w:t>:</w:t>
      </w:r>
      <w:r w:rsidR="005C6BC3">
        <w:rPr>
          <w:color w:val="auto"/>
        </w:rPr>
        <w:t xml:space="preserve">  </w:t>
      </w:r>
      <w:r w:rsidR="005C6BC3" w:rsidRPr="005C6BC3">
        <w:rPr>
          <w:rFonts w:cs="Times New Roman"/>
          <w:color w:val="000000" w:themeColor="text1"/>
          <w:sz w:val="19"/>
          <w:szCs w:val="19"/>
        </w:rPr>
        <w:t>“</w:t>
      </w:r>
      <w:r w:rsidR="005C6BC3" w:rsidRPr="005C6BC3">
        <w:rPr>
          <w:rFonts w:cs="Times New Roman"/>
          <w:color w:val="000000" w:themeColor="text1"/>
          <w:szCs w:val="24"/>
        </w:rPr>
        <w:t xml:space="preserve">Because my overall quality of life has </w:t>
      </w:r>
      <w:r w:rsidR="00F010AE" w:rsidRPr="005C6BC3">
        <w:rPr>
          <w:rFonts w:cs="Times New Roman"/>
          <w:color w:val="000000" w:themeColor="text1"/>
          <w:szCs w:val="24"/>
        </w:rPr>
        <w:t>worsened</w:t>
      </w:r>
      <w:r w:rsidR="005C6BC3" w:rsidRPr="005C6BC3">
        <w:rPr>
          <w:rFonts w:cs="Times New Roman"/>
          <w:color w:val="000000" w:themeColor="text1"/>
          <w:szCs w:val="24"/>
        </w:rPr>
        <w:t xml:space="preserve"> since being MEB in 2004. </w:t>
      </w:r>
      <w:r w:rsidR="00F010AE">
        <w:rPr>
          <w:rFonts w:cs="Times New Roman"/>
          <w:color w:val="000000" w:themeColor="text1"/>
          <w:szCs w:val="24"/>
        </w:rPr>
        <w:t xml:space="preserve"> </w:t>
      </w:r>
      <w:r w:rsidR="005C6BC3" w:rsidRPr="005C6BC3">
        <w:rPr>
          <w:rFonts w:cs="Times New Roman"/>
          <w:color w:val="000000" w:themeColor="text1"/>
          <w:szCs w:val="24"/>
        </w:rPr>
        <w:t xml:space="preserve">If I was granted a retirement I </w:t>
      </w:r>
      <w:r w:rsidR="005C6BC3" w:rsidRPr="00800F6A">
        <w:rPr>
          <w:rFonts w:cs="Times New Roman"/>
          <w:color w:val="000000" w:themeColor="text1"/>
          <w:szCs w:val="24"/>
        </w:rPr>
        <w:t xml:space="preserve">would pay for </w:t>
      </w:r>
      <w:proofErr w:type="spellStart"/>
      <w:r w:rsidR="005C6BC3" w:rsidRPr="00800F6A">
        <w:rPr>
          <w:rFonts w:cs="Times New Roman"/>
          <w:color w:val="000000" w:themeColor="text1"/>
          <w:szCs w:val="24"/>
        </w:rPr>
        <w:t>TriCare</w:t>
      </w:r>
      <w:proofErr w:type="spellEnd"/>
      <w:r w:rsidR="005C6BC3" w:rsidRPr="00800F6A">
        <w:rPr>
          <w:rFonts w:cs="Times New Roman"/>
          <w:color w:val="000000" w:themeColor="text1"/>
          <w:szCs w:val="24"/>
        </w:rPr>
        <w:t xml:space="preserve"> benefits and get to follow up appointments faster in the civilian world. </w:t>
      </w:r>
      <w:r w:rsidR="00F010AE">
        <w:rPr>
          <w:rFonts w:cs="Times New Roman"/>
          <w:color w:val="000000" w:themeColor="text1"/>
          <w:szCs w:val="24"/>
        </w:rPr>
        <w:t xml:space="preserve"> </w:t>
      </w:r>
      <w:r w:rsidR="005C6BC3" w:rsidRPr="00800F6A">
        <w:rPr>
          <w:rFonts w:cs="Times New Roman"/>
          <w:color w:val="000000" w:themeColor="text1"/>
          <w:szCs w:val="24"/>
        </w:rPr>
        <w:t xml:space="preserve">VA </w:t>
      </w:r>
      <w:proofErr w:type="gramStart"/>
      <w:r w:rsidR="005C6BC3" w:rsidRPr="00800F6A">
        <w:rPr>
          <w:rFonts w:cs="Times New Roman"/>
          <w:color w:val="000000" w:themeColor="text1"/>
          <w:szCs w:val="24"/>
        </w:rPr>
        <w:t>specialist are</w:t>
      </w:r>
      <w:proofErr w:type="gramEnd"/>
      <w:r w:rsidR="005C6BC3" w:rsidRPr="00800F6A">
        <w:rPr>
          <w:rFonts w:cs="Times New Roman"/>
          <w:color w:val="000000" w:themeColor="text1"/>
          <w:szCs w:val="24"/>
        </w:rPr>
        <w:t xml:space="preserve"> not also available to me and driving from the Springs to Denver is very time consuming.”</w:t>
      </w:r>
      <w:r w:rsidR="00102E37" w:rsidRPr="00800F6A">
        <w:rPr>
          <w:rFonts w:cs="Times New Roman"/>
          <w:color w:val="000000" w:themeColor="text1"/>
          <w:szCs w:val="24"/>
        </w:rPr>
        <w:t xml:space="preserve">  Block #5 was considered a continuation of block #3 for contention and stated:  “I have </w:t>
      </w:r>
      <w:proofErr w:type="gramStart"/>
      <w:r w:rsidR="00102E37" w:rsidRPr="00800F6A">
        <w:rPr>
          <w:rFonts w:cs="Times New Roman"/>
          <w:color w:val="000000" w:themeColor="text1"/>
          <w:szCs w:val="24"/>
        </w:rPr>
        <w:t>went</w:t>
      </w:r>
      <w:proofErr w:type="gramEnd"/>
      <w:r w:rsidR="00102E37" w:rsidRPr="00800F6A">
        <w:rPr>
          <w:rFonts w:cs="Times New Roman"/>
          <w:color w:val="000000" w:themeColor="text1"/>
          <w:szCs w:val="24"/>
        </w:rPr>
        <w:t xml:space="preserve"> to 80% disabled within the VA system and was not awarded any compensation for such things as my migraines and also had more breast surgeries since leaving active duty.  My neck injury on active duty sucks the life out of me daily and I can't just go to physical therapy within the VA system, however my primary care provider within </w:t>
      </w:r>
      <w:proofErr w:type="spellStart"/>
      <w:r w:rsidR="00102E37" w:rsidRPr="00800F6A">
        <w:rPr>
          <w:rFonts w:cs="Times New Roman"/>
          <w:color w:val="000000" w:themeColor="text1"/>
          <w:szCs w:val="24"/>
        </w:rPr>
        <w:t>TriCare</w:t>
      </w:r>
      <w:proofErr w:type="spellEnd"/>
      <w:r w:rsidR="00102E37" w:rsidRPr="00800F6A">
        <w:rPr>
          <w:rFonts w:cs="Times New Roman"/>
          <w:color w:val="000000" w:themeColor="text1"/>
          <w:szCs w:val="24"/>
        </w:rPr>
        <w:t xml:space="preserve"> could refer me for this.  All my medical issues are service-connected.”</w:t>
      </w:r>
      <w:r w:rsidR="00C1379D" w:rsidRPr="00800F6A">
        <w:rPr>
          <w:rFonts w:cs="Times New Roman"/>
          <w:color w:val="000000" w:themeColor="text1"/>
          <w:szCs w:val="24"/>
        </w:rPr>
        <w:t xml:space="preserve"> (</w:t>
      </w:r>
      <w:proofErr w:type="gramStart"/>
      <w:r w:rsidR="00C1379D" w:rsidRPr="00800F6A">
        <w:rPr>
          <w:rFonts w:cs="Times New Roman"/>
          <w:i/>
          <w:color w:val="000000" w:themeColor="text1"/>
          <w:szCs w:val="24"/>
        </w:rPr>
        <w:t>sic</w:t>
      </w:r>
      <w:proofErr w:type="gramEnd"/>
      <w:r w:rsidR="00C1379D" w:rsidRPr="00800F6A">
        <w:rPr>
          <w:rFonts w:cs="Times New Roman"/>
          <w:color w:val="000000" w:themeColor="text1"/>
          <w:szCs w:val="24"/>
        </w:rPr>
        <w:t>)</w:t>
      </w:r>
      <w:r w:rsidR="00A803A9">
        <w:rPr>
          <w:rFonts w:cs="Times New Roman"/>
          <w:color w:val="000000" w:themeColor="text1"/>
          <w:szCs w:val="24"/>
        </w:rPr>
        <w:t xml:space="preserve">  </w:t>
      </w:r>
    </w:p>
    <w:p w:rsidR="004306E0" w:rsidRPr="00800F6A" w:rsidRDefault="004306E0" w:rsidP="00BF0E94">
      <w:pPr>
        <w:pBdr>
          <w:bottom w:val="single" w:sz="12" w:space="1" w:color="auto"/>
        </w:pBdr>
        <w:tabs>
          <w:tab w:val="left" w:pos="288"/>
          <w:tab w:val="left" w:pos="4752"/>
        </w:tabs>
        <w:jc w:val="both"/>
        <w:rPr>
          <w:color w:val="auto"/>
        </w:rPr>
      </w:pPr>
    </w:p>
    <w:p w:rsidR="007635A8" w:rsidRPr="00800F6A" w:rsidRDefault="007635A8" w:rsidP="007635A8">
      <w:pPr>
        <w:jc w:val="both"/>
        <w:rPr>
          <w:color w:val="auto"/>
          <w:u w:val="single"/>
        </w:rPr>
      </w:pPr>
    </w:p>
    <w:p w:rsidR="009239C0" w:rsidRDefault="009239C0" w:rsidP="00DD5558">
      <w:pPr>
        <w:jc w:val="both"/>
        <w:rPr>
          <w:color w:val="auto"/>
          <w:u w:val="single"/>
        </w:rPr>
      </w:pPr>
      <w:r w:rsidRPr="00800F6A">
        <w:rPr>
          <w:color w:val="auto"/>
          <w:u w:val="single"/>
        </w:rPr>
        <w:t>SCOPE OF REVIEW</w:t>
      </w:r>
      <w:r w:rsidRPr="00800F6A">
        <w:rPr>
          <w:color w:val="auto"/>
        </w:rPr>
        <w:t>:  The Board wishes to clarify that the scope of its re</w:t>
      </w:r>
      <w:r w:rsidR="00AE2B85" w:rsidRPr="00800F6A">
        <w:rPr>
          <w:color w:val="auto"/>
        </w:rPr>
        <w:t>view as defined in DoDI 6040.44, Enclosure 3, paragraph 5.e</w:t>
      </w:r>
      <w:proofErr w:type="gramStart"/>
      <w:r w:rsidR="00AE2B85" w:rsidRPr="00800F6A">
        <w:rPr>
          <w:color w:val="auto"/>
        </w:rPr>
        <w:t>.(</w:t>
      </w:r>
      <w:proofErr w:type="gramEnd"/>
      <w:r w:rsidR="00AE2B85" w:rsidRPr="00800F6A">
        <w:rPr>
          <w:color w:val="auto"/>
        </w:rPr>
        <w:t>2)</w:t>
      </w:r>
      <w:r w:rsidRPr="00800F6A">
        <w:rPr>
          <w:color w:val="auto"/>
        </w:rPr>
        <w:t xml:space="preserve"> is limited to those conditions which were determined by the PEB to be specifically unfitting for continued military service; or, when requested by the CI, those condition(s) “identified but not determined to be unfitting by the PEB</w:t>
      </w:r>
      <w:r w:rsidR="009C039F">
        <w:rPr>
          <w:color w:val="auto"/>
        </w:rPr>
        <w:t>.</w:t>
      </w:r>
      <w:r w:rsidRPr="00800F6A">
        <w:rPr>
          <w:color w:val="auto"/>
        </w:rPr>
        <w:t xml:space="preserve">”  The ratings for unfitting conditions will be reviewed in all cases.  </w:t>
      </w:r>
      <w:r w:rsidR="00102E37" w:rsidRPr="00800F6A">
        <w:rPr>
          <w:color w:val="auto"/>
        </w:rPr>
        <w:t xml:space="preserve">The </w:t>
      </w:r>
      <w:r w:rsidR="00A803A9">
        <w:rPr>
          <w:color w:val="auto"/>
        </w:rPr>
        <w:t>h</w:t>
      </w:r>
      <w:r w:rsidR="00102E37" w:rsidRPr="00800F6A">
        <w:rPr>
          <w:color w:val="auto"/>
        </w:rPr>
        <w:t xml:space="preserve">eadaches, </w:t>
      </w:r>
      <w:r w:rsidR="00A803A9">
        <w:rPr>
          <w:color w:val="auto"/>
        </w:rPr>
        <w:t>b</w:t>
      </w:r>
      <w:r w:rsidR="00102E37" w:rsidRPr="00800F6A">
        <w:rPr>
          <w:color w:val="auto"/>
        </w:rPr>
        <w:t xml:space="preserve">reast </w:t>
      </w:r>
      <w:r w:rsidR="00A803A9">
        <w:rPr>
          <w:color w:val="auto"/>
        </w:rPr>
        <w:t>m</w:t>
      </w:r>
      <w:r w:rsidR="00102E37" w:rsidRPr="00800F6A">
        <w:rPr>
          <w:color w:val="auto"/>
        </w:rPr>
        <w:t xml:space="preserve">ass, </w:t>
      </w:r>
      <w:r w:rsidR="00A803A9">
        <w:rPr>
          <w:color w:val="auto"/>
        </w:rPr>
        <w:t>s</w:t>
      </w:r>
      <w:r w:rsidR="00102E37" w:rsidRPr="00800F6A">
        <w:rPr>
          <w:color w:val="auto"/>
        </w:rPr>
        <w:t xml:space="preserve">inusitis, </w:t>
      </w:r>
      <w:r w:rsidR="00A803A9">
        <w:rPr>
          <w:color w:val="auto"/>
        </w:rPr>
        <w:t>c</w:t>
      </w:r>
      <w:r w:rsidR="00102E37" w:rsidRPr="00800F6A">
        <w:rPr>
          <w:color w:val="auto"/>
        </w:rPr>
        <w:t xml:space="preserve">ystic </w:t>
      </w:r>
      <w:r w:rsidR="00A803A9">
        <w:rPr>
          <w:color w:val="auto"/>
        </w:rPr>
        <w:t>a</w:t>
      </w:r>
      <w:r w:rsidR="00102E37" w:rsidRPr="00800F6A">
        <w:rPr>
          <w:color w:val="auto"/>
        </w:rPr>
        <w:t xml:space="preserve">cne </w:t>
      </w:r>
      <w:r w:rsidR="00FD3401" w:rsidRPr="00800F6A">
        <w:rPr>
          <w:color w:val="auto"/>
        </w:rPr>
        <w:t xml:space="preserve">and left upper extremity radiculopathy </w:t>
      </w:r>
      <w:r w:rsidR="00102E37" w:rsidRPr="00800F6A">
        <w:rPr>
          <w:color w:val="auto"/>
        </w:rPr>
        <w:t>conditions requested for consideration and the unfitting neck and low back conditions meet the criteria prescribed in DoDI 6040.44 for Board purview, and are accordingly addressed below.  The other requested condition [</w:t>
      </w:r>
      <w:r w:rsidR="00DF13BA" w:rsidRPr="00800F6A">
        <w:rPr>
          <w:color w:val="auto"/>
        </w:rPr>
        <w:t>smoking</w:t>
      </w:r>
      <w:r w:rsidR="00102E37" w:rsidRPr="00800F6A">
        <w:rPr>
          <w:color w:val="auto"/>
        </w:rPr>
        <w:t xml:space="preserve">] </w:t>
      </w:r>
      <w:r w:rsidR="00DF13BA" w:rsidRPr="00800F6A">
        <w:rPr>
          <w:color w:val="auto"/>
        </w:rPr>
        <w:t xml:space="preserve">is </w:t>
      </w:r>
      <w:r w:rsidR="00DF13BA" w:rsidRPr="00800F6A">
        <w:rPr>
          <w:color w:val="auto"/>
          <w:szCs w:val="24"/>
        </w:rPr>
        <w:t xml:space="preserve">a condition or circumstance not constituting a physical disability IAW DoDI 1332.38, enclosure 5, and is not </w:t>
      </w:r>
      <w:r w:rsidR="00F27775" w:rsidRPr="00800F6A">
        <w:rPr>
          <w:color w:val="auto"/>
          <w:szCs w:val="24"/>
        </w:rPr>
        <w:t>compensable</w:t>
      </w:r>
      <w:r w:rsidR="00DF13BA" w:rsidRPr="00800F6A">
        <w:rPr>
          <w:color w:val="auto"/>
          <w:szCs w:val="24"/>
        </w:rPr>
        <w:t>.</w:t>
      </w:r>
      <w:r w:rsidR="00DF13BA" w:rsidRPr="00800F6A">
        <w:rPr>
          <w:color w:val="auto"/>
        </w:rPr>
        <w:t xml:space="preserve">  </w:t>
      </w:r>
      <w:r w:rsidRPr="00800F6A">
        <w:rPr>
          <w:color w:val="auto"/>
        </w:rPr>
        <w:t>Any conditions or contention not requested in this application, or otherwise outside the Board’s defined scope of review, remain eligible for future consideration by the Army Board</w:t>
      </w:r>
      <w:r w:rsidRPr="005C6BC3">
        <w:rPr>
          <w:color w:val="auto"/>
        </w:rPr>
        <w:t xml:space="preserve"> for the Correction of Mi</w:t>
      </w:r>
      <w:r w:rsidR="00E3310E">
        <w:rPr>
          <w:color w:val="auto"/>
        </w:rPr>
        <w:t>litary Records.</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DF13BA" w:rsidRDefault="00DF13BA">
      <w:pPr>
        <w:spacing w:line="240" w:lineRule="auto"/>
        <w:jc w:val="left"/>
        <w:rPr>
          <w:color w:val="auto"/>
          <w:u w:val="single"/>
        </w:rPr>
      </w:pPr>
      <w:r>
        <w:rPr>
          <w:color w:val="auto"/>
          <w:u w:val="single"/>
        </w:rPr>
        <w:br w:type="page"/>
      </w:r>
    </w:p>
    <w:p w:rsidR="00F90376" w:rsidRPr="00A803A9" w:rsidRDefault="00AD2379" w:rsidP="005C6BC3">
      <w:pPr>
        <w:jc w:val="left"/>
        <w:rPr>
          <w:color w:val="auto"/>
        </w:rPr>
      </w:pPr>
      <w:r w:rsidRPr="00800F6A">
        <w:rPr>
          <w:color w:val="auto"/>
          <w:u w:val="single"/>
        </w:rPr>
        <w:lastRenderedPageBreak/>
        <w:t>RATING COMPARISON</w:t>
      </w:r>
      <w:r w:rsidR="00EC46F3">
        <w:rPr>
          <w:color w:val="auto"/>
        </w:rPr>
        <w:t>:</w:t>
      </w:r>
    </w:p>
    <w:p w:rsidR="005C6BC3" w:rsidRPr="00A803A9" w:rsidRDefault="005C6BC3" w:rsidP="005C6BC3">
      <w:pPr>
        <w:jc w:val="left"/>
        <w:rPr>
          <w:color w:val="auto"/>
        </w:rPr>
      </w:pPr>
    </w:p>
    <w:tbl>
      <w:tblPr>
        <w:tblStyle w:val="TableGrid"/>
        <w:tblpPr w:leftFromText="187" w:rightFromText="187" w:vertAnchor="text" w:tblpXSpec="center" w:tblpY="1"/>
        <w:tblOverlap w:val="never"/>
        <w:tblW w:w="9558" w:type="dxa"/>
        <w:jc w:val="center"/>
        <w:tblLayout w:type="fixed"/>
        <w:tblLook w:val="04A0"/>
      </w:tblPr>
      <w:tblGrid>
        <w:gridCol w:w="2268"/>
        <w:gridCol w:w="720"/>
        <w:gridCol w:w="810"/>
        <w:gridCol w:w="2430"/>
        <w:gridCol w:w="1170"/>
        <w:gridCol w:w="990"/>
        <w:gridCol w:w="1170"/>
      </w:tblGrid>
      <w:tr w:rsidR="005C6BC3" w:rsidRPr="00A803A9" w:rsidTr="00627C3A">
        <w:trPr>
          <w:trHeight w:val="233"/>
          <w:jc w:val="center"/>
        </w:trPr>
        <w:tc>
          <w:tcPr>
            <w:tcW w:w="3798" w:type="dxa"/>
            <w:gridSpan w:val="3"/>
            <w:tcBorders>
              <w:right w:val="thinThickThinSmallGap" w:sz="24" w:space="0" w:color="auto"/>
            </w:tcBorders>
            <w:shd w:val="clear" w:color="auto" w:fill="D9D9D9" w:themeFill="background1" w:themeFillShade="D9"/>
            <w:vAlign w:val="center"/>
          </w:tcPr>
          <w:p w:rsidR="005C6BC3" w:rsidRPr="00A803A9" w:rsidRDefault="009C039F" w:rsidP="00C1379D">
            <w:pPr>
              <w:spacing w:line="200" w:lineRule="exact"/>
              <w:contextualSpacing/>
              <w:rPr>
                <w:rFonts w:asciiTheme="majorHAnsi" w:hAnsiTheme="majorHAnsi" w:cstheme="majorHAnsi"/>
                <w:b/>
                <w:color w:val="auto"/>
                <w:sz w:val="20"/>
                <w:szCs w:val="20"/>
              </w:rPr>
            </w:pPr>
            <w:r>
              <w:rPr>
                <w:rFonts w:asciiTheme="majorHAnsi" w:hAnsiTheme="majorHAnsi" w:cstheme="majorHAnsi"/>
                <w:b/>
                <w:color w:val="auto"/>
                <w:sz w:val="20"/>
                <w:szCs w:val="20"/>
              </w:rPr>
              <w:t xml:space="preserve">Service </w:t>
            </w:r>
            <w:r w:rsidR="005C6BC3" w:rsidRPr="00A803A9">
              <w:rPr>
                <w:rFonts w:asciiTheme="majorHAnsi" w:hAnsiTheme="majorHAnsi" w:cstheme="majorHAnsi"/>
                <w:b/>
                <w:color w:val="auto"/>
                <w:sz w:val="20"/>
                <w:szCs w:val="20"/>
              </w:rPr>
              <w:t>PEB – Dated 20050919</w:t>
            </w:r>
          </w:p>
        </w:tc>
        <w:tc>
          <w:tcPr>
            <w:tcW w:w="5760" w:type="dxa"/>
            <w:gridSpan w:val="4"/>
            <w:tcBorders>
              <w:left w:val="thinThickThinSmallGap" w:sz="24" w:space="0" w:color="auto"/>
            </w:tcBorders>
            <w:shd w:val="clear" w:color="auto" w:fill="D9D9D9" w:themeFill="background1" w:themeFillShade="D9"/>
            <w:vAlign w:val="center"/>
          </w:tcPr>
          <w:p w:rsidR="005C6BC3" w:rsidRPr="00A803A9" w:rsidRDefault="005C6BC3" w:rsidP="00C1379D">
            <w:pPr>
              <w:spacing w:line="200" w:lineRule="exact"/>
              <w:contextualSpacing/>
              <w:rPr>
                <w:rFonts w:asciiTheme="majorHAnsi" w:hAnsiTheme="majorHAnsi" w:cstheme="majorHAnsi"/>
                <w:b/>
                <w:color w:val="auto"/>
                <w:sz w:val="20"/>
                <w:szCs w:val="20"/>
              </w:rPr>
            </w:pPr>
            <w:r w:rsidRPr="00A803A9">
              <w:rPr>
                <w:rFonts w:asciiTheme="majorHAnsi" w:hAnsiTheme="majorHAnsi" w:cstheme="majorHAnsi"/>
                <w:b/>
                <w:color w:val="auto"/>
                <w:sz w:val="20"/>
                <w:szCs w:val="20"/>
              </w:rPr>
              <w:t>VA (14 Mo. Pre Separation) – All Effective Date 20040715</w:t>
            </w:r>
          </w:p>
        </w:tc>
      </w:tr>
      <w:tr w:rsidR="005C6BC3" w:rsidRPr="00A803A9" w:rsidTr="00627C3A">
        <w:trPr>
          <w:trHeight w:val="278"/>
          <w:jc w:val="center"/>
        </w:trPr>
        <w:tc>
          <w:tcPr>
            <w:tcW w:w="2268" w:type="dxa"/>
            <w:tcBorders>
              <w:bottom w:val="single" w:sz="4" w:space="0" w:color="000000" w:themeColor="text1"/>
              <w:right w:val="single" w:sz="4" w:space="0" w:color="auto"/>
            </w:tcBorders>
            <w:shd w:val="clear" w:color="auto" w:fill="D9D9D9" w:themeFill="background1" w:themeFillShade="D9"/>
            <w:vAlign w:val="center"/>
          </w:tcPr>
          <w:p w:rsidR="005C6BC3" w:rsidRPr="00A803A9" w:rsidRDefault="005C6BC3" w:rsidP="00C1379D">
            <w:pPr>
              <w:spacing w:line="200" w:lineRule="exact"/>
              <w:contextualSpacing/>
              <w:rPr>
                <w:rFonts w:asciiTheme="majorHAnsi" w:hAnsiTheme="majorHAnsi" w:cstheme="majorHAnsi"/>
                <w:b/>
                <w:color w:val="auto"/>
                <w:sz w:val="20"/>
                <w:szCs w:val="20"/>
              </w:rPr>
            </w:pPr>
            <w:r w:rsidRPr="00A803A9">
              <w:rPr>
                <w:rFonts w:asciiTheme="majorHAnsi" w:hAnsiTheme="majorHAnsi" w:cstheme="majorHAnsi"/>
                <w:b/>
                <w:color w:val="auto"/>
                <w:sz w:val="20"/>
                <w:szCs w:val="20"/>
              </w:rPr>
              <w:t>Condition</w:t>
            </w:r>
          </w:p>
        </w:tc>
        <w:tc>
          <w:tcPr>
            <w:tcW w:w="720" w:type="dxa"/>
            <w:tcBorders>
              <w:left w:val="single" w:sz="4" w:space="0" w:color="auto"/>
              <w:bottom w:val="single" w:sz="4" w:space="0" w:color="000000" w:themeColor="text1"/>
            </w:tcBorders>
            <w:shd w:val="clear" w:color="auto" w:fill="D9D9D9" w:themeFill="background1" w:themeFillShade="D9"/>
            <w:vAlign w:val="center"/>
          </w:tcPr>
          <w:p w:rsidR="005C6BC3" w:rsidRPr="00A803A9" w:rsidRDefault="005C6BC3" w:rsidP="00C1379D">
            <w:pPr>
              <w:spacing w:line="200" w:lineRule="exact"/>
              <w:contextualSpacing/>
              <w:rPr>
                <w:rFonts w:asciiTheme="majorHAnsi" w:hAnsiTheme="majorHAnsi" w:cstheme="majorHAnsi"/>
                <w:b/>
                <w:color w:val="auto"/>
                <w:sz w:val="20"/>
                <w:szCs w:val="20"/>
              </w:rPr>
            </w:pPr>
            <w:r w:rsidRPr="00A803A9">
              <w:rPr>
                <w:rFonts w:asciiTheme="majorHAnsi" w:hAnsiTheme="majorHAnsi" w:cstheme="majorHAnsi"/>
                <w:b/>
                <w:color w:val="auto"/>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5C6BC3" w:rsidRPr="00A803A9" w:rsidRDefault="005C6BC3" w:rsidP="00C1379D">
            <w:pPr>
              <w:spacing w:line="200" w:lineRule="exact"/>
              <w:contextualSpacing/>
              <w:rPr>
                <w:rFonts w:asciiTheme="majorHAnsi" w:hAnsiTheme="majorHAnsi" w:cstheme="majorHAnsi"/>
                <w:b/>
                <w:color w:val="auto"/>
                <w:sz w:val="20"/>
                <w:szCs w:val="20"/>
              </w:rPr>
            </w:pPr>
            <w:r w:rsidRPr="00A803A9">
              <w:rPr>
                <w:rFonts w:asciiTheme="majorHAnsi" w:hAnsiTheme="majorHAnsi" w:cstheme="majorHAnsi"/>
                <w:b/>
                <w:color w:val="auto"/>
                <w:sz w:val="20"/>
                <w:szCs w:val="20"/>
              </w:rPr>
              <w:t>Rating</w:t>
            </w:r>
          </w:p>
        </w:tc>
        <w:tc>
          <w:tcPr>
            <w:tcW w:w="2430" w:type="dxa"/>
            <w:tcBorders>
              <w:left w:val="thinThickThinSmallGap" w:sz="24" w:space="0" w:color="auto"/>
              <w:bottom w:val="single" w:sz="4" w:space="0" w:color="000000" w:themeColor="text1"/>
            </w:tcBorders>
            <w:shd w:val="clear" w:color="auto" w:fill="D9D9D9" w:themeFill="background1" w:themeFillShade="D9"/>
            <w:vAlign w:val="center"/>
          </w:tcPr>
          <w:p w:rsidR="005C6BC3" w:rsidRPr="00A803A9" w:rsidRDefault="005C6BC3" w:rsidP="00C1379D">
            <w:pPr>
              <w:spacing w:line="200" w:lineRule="exact"/>
              <w:contextualSpacing/>
              <w:rPr>
                <w:rFonts w:asciiTheme="majorHAnsi" w:hAnsiTheme="majorHAnsi" w:cstheme="majorHAnsi"/>
                <w:b/>
                <w:color w:val="auto"/>
                <w:sz w:val="20"/>
                <w:szCs w:val="20"/>
              </w:rPr>
            </w:pPr>
            <w:r w:rsidRPr="00A803A9">
              <w:rPr>
                <w:rFonts w:asciiTheme="majorHAnsi" w:hAnsiTheme="majorHAnsi" w:cstheme="majorHAnsi"/>
                <w:b/>
                <w:color w:val="auto"/>
                <w:sz w:val="20"/>
                <w:szCs w:val="20"/>
              </w:rPr>
              <w:t>Condition</w:t>
            </w:r>
          </w:p>
        </w:tc>
        <w:tc>
          <w:tcPr>
            <w:tcW w:w="1170" w:type="dxa"/>
            <w:tcBorders>
              <w:bottom w:val="single" w:sz="4" w:space="0" w:color="000000" w:themeColor="text1"/>
            </w:tcBorders>
            <w:shd w:val="clear" w:color="auto" w:fill="D9D9D9" w:themeFill="background1" w:themeFillShade="D9"/>
            <w:vAlign w:val="center"/>
          </w:tcPr>
          <w:p w:rsidR="005C6BC3" w:rsidRPr="00A803A9" w:rsidRDefault="005C6BC3" w:rsidP="00C1379D">
            <w:pPr>
              <w:spacing w:line="200" w:lineRule="exact"/>
              <w:contextualSpacing/>
              <w:rPr>
                <w:rFonts w:asciiTheme="majorHAnsi" w:hAnsiTheme="majorHAnsi" w:cstheme="majorHAnsi"/>
                <w:b/>
                <w:color w:val="auto"/>
                <w:sz w:val="20"/>
                <w:szCs w:val="20"/>
              </w:rPr>
            </w:pPr>
            <w:r w:rsidRPr="00A803A9">
              <w:rPr>
                <w:rFonts w:asciiTheme="majorHAnsi" w:hAnsiTheme="majorHAnsi" w:cstheme="majorHAnsi"/>
                <w:b/>
                <w:color w:val="auto"/>
                <w:sz w:val="20"/>
                <w:szCs w:val="20"/>
              </w:rPr>
              <w:t>Code</w:t>
            </w:r>
          </w:p>
        </w:tc>
        <w:tc>
          <w:tcPr>
            <w:tcW w:w="990" w:type="dxa"/>
            <w:tcBorders>
              <w:bottom w:val="single" w:sz="4" w:space="0" w:color="000000" w:themeColor="text1"/>
            </w:tcBorders>
            <w:shd w:val="clear" w:color="auto" w:fill="D9D9D9" w:themeFill="background1" w:themeFillShade="D9"/>
            <w:vAlign w:val="center"/>
          </w:tcPr>
          <w:p w:rsidR="005C6BC3" w:rsidRPr="00A803A9" w:rsidRDefault="005C6BC3" w:rsidP="00C1379D">
            <w:pPr>
              <w:spacing w:line="200" w:lineRule="exact"/>
              <w:contextualSpacing/>
              <w:rPr>
                <w:rFonts w:asciiTheme="majorHAnsi" w:hAnsiTheme="majorHAnsi" w:cstheme="majorHAnsi"/>
                <w:b/>
                <w:color w:val="auto"/>
                <w:sz w:val="20"/>
                <w:szCs w:val="20"/>
              </w:rPr>
            </w:pPr>
            <w:r w:rsidRPr="00A803A9">
              <w:rPr>
                <w:rFonts w:asciiTheme="majorHAnsi" w:hAnsiTheme="majorHAnsi" w:cstheme="majorHAnsi"/>
                <w:b/>
                <w:color w:val="auto"/>
                <w:sz w:val="20"/>
                <w:szCs w:val="20"/>
              </w:rPr>
              <w:t>Rating</w:t>
            </w:r>
          </w:p>
        </w:tc>
        <w:tc>
          <w:tcPr>
            <w:tcW w:w="1170" w:type="dxa"/>
            <w:tcBorders>
              <w:bottom w:val="single" w:sz="4" w:space="0" w:color="000000" w:themeColor="text1"/>
            </w:tcBorders>
            <w:shd w:val="clear" w:color="auto" w:fill="D9D9D9" w:themeFill="background1" w:themeFillShade="D9"/>
            <w:vAlign w:val="center"/>
          </w:tcPr>
          <w:p w:rsidR="005C6BC3" w:rsidRPr="00A803A9" w:rsidRDefault="005C6BC3" w:rsidP="00C1379D">
            <w:pPr>
              <w:spacing w:line="200" w:lineRule="exact"/>
              <w:contextualSpacing/>
              <w:rPr>
                <w:rFonts w:asciiTheme="majorHAnsi" w:hAnsiTheme="majorHAnsi" w:cstheme="majorHAnsi"/>
                <w:b/>
                <w:color w:val="auto"/>
                <w:sz w:val="20"/>
                <w:szCs w:val="20"/>
              </w:rPr>
            </w:pPr>
            <w:r w:rsidRPr="00A803A9">
              <w:rPr>
                <w:rFonts w:asciiTheme="majorHAnsi" w:hAnsiTheme="majorHAnsi" w:cstheme="majorHAnsi"/>
                <w:b/>
                <w:color w:val="auto"/>
                <w:sz w:val="20"/>
                <w:szCs w:val="20"/>
              </w:rPr>
              <w:t>Exam</w:t>
            </w:r>
          </w:p>
        </w:tc>
      </w:tr>
      <w:tr w:rsidR="00102E37" w:rsidRPr="00A803A9" w:rsidTr="00627C3A">
        <w:trPr>
          <w:trHeight w:val="287"/>
          <w:jc w:val="center"/>
        </w:trPr>
        <w:tc>
          <w:tcPr>
            <w:tcW w:w="2268" w:type="dxa"/>
            <w:vMerge w:val="restart"/>
            <w:tcBorders>
              <w:right w:val="single" w:sz="4" w:space="0" w:color="auto"/>
            </w:tcBorders>
            <w:shd w:val="clear" w:color="auto" w:fill="FFFFFF" w:themeFill="background1"/>
            <w:vAlign w:val="center"/>
          </w:tcPr>
          <w:p w:rsidR="00102E37" w:rsidRPr="00A803A9" w:rsidRDefault="00627C3A" w:rsidP="00C1379D">
            <w:pPr>
              <w:spacing w:line="200" w:lineRule="exact"/>
              <w:contextualSpacing/>
              <w:jc w:val="left"/>
              <w:rPr>
                <w:rFonts w:asciiTheme="majorHAnsi" w:hAnsiTheme="majorHAnsi" w:cstheme="majorHAnsi"/>
                <w:color w:val="auto"/>
                <w:sz w:val="20"/>
                <w:szCs w:val="20"/>
              </w:rPr>
            </w:pPr>
            <w:r>
              <w:rPr>
                <w:rFonts w:asciiTheme="majorHAnsi" w:hAnsiTheme="majorHAnsi" w:cstheme="majorHAnsi"/>
                <w:color w:val="auto"/>
                <w:sz w:val="20"/>
                <w:szCs w:val="20"/>
              </w:rPr>
              <w:t>Chronic Neck P</w:t>
            </w:r>
            <w:r w:rsidR="00102E37" w:rsidRPr="00A803A9">
              <w:rPr>
                <w:rFonts w:asciiTheme="majorHAnsi" w:hAnsiTheme="majorHAnsi" w:cstheme="majorHAnsi"/>
                <w:color w:val="auto"/>
                <w:sz w:val="20"/>
                <w:szCs w:val="20"/>
              </w:rPr>
              <w:t>ain</w:t>
            </w:r>
            <w:r w:rsidR="00FD3401" w:rsidRPr="00A803A9">
              <w:rPr>
                <w:rFonts w:asciiTheme="majorHAnsi" w:hAnsiTheme="majorHAnsi" w:cstheme="majorHAnsi"/>
                <w:color w:val="auto"/>
                <w:sz w:val="20"/>
                <w:szCs w:val="20"/>
              </w:rPr>
              <w:t xml:space="preserve">, w/o </w:t>
            </w:r>
            <w:r w:rsidRPr="00A803A9">
              <w:rPr>
                <w:rFonts w:asciiTheme="majorHAnsi" w:hAnsiTheme="majorHAnsi" w:cstheme="majorHAnsi"/>
                <w:color w:val="auto"/>
                <w:sz w:val="20"/>
                <w:szCs w:val="20"/>
              </w:rPr>
              <w:t>Clinical Radiculopathy</w:t>
            </w:r>
          </w:p>
        </w:tc>
        <w:tc>
          <w:tcPr>
            <w:tcW w:w="720" w:type="dxa"/>
            <w:vMerge w:val="restart"/>
            <w:tcBorders>
              <w:left w:val="single" w:sz="4" w:space="0" w:color="auto"/>
            </w:tcBorders>
            <w:shd w:val="clear" w:color="auto" w:fill="FFFFFF" w:themeFill="background1"/>
            <w:vAlign w:val="center"/>
          </w:tcPr>
          <w:p w:rsidR="00102E37" w:rsidRPr="00A803A9" w:rsidRDefault="00102E37" w:rsidP="00C1379D">
            <w:pPr>
              <w:spacing w:line="200" w:lineRule="exact"/>
              <w:contextualSpacing/>
              <w:rPr>
                <w:rFonts w:asciiTheme="majorHAnsi" w:hAnsiTheme="majorHAnsi" w:cstheme="majorHAnsi"/>
                <w:color w:val="auto"/>
                <w:sz w:val="20"/>
                <w:szCs w:val="20"/>
              </w:rPr>
            </w:pPr>
            <w:r w:rsidRPr="00A803A9">
              <w:rPr>
                <w:rFonts w:asciiTheme="majorHAnsi" w:hAnsiTheme="majorHAnsi" w:cstheme="majorHAnsi"/>
                <w:color w:val="auto"/>
                <w:sz w:val="20"/>
                <w:szCs w:val="20"/>
              </w:rPr>
              <w:t>5243</w:t>
            </w:r>
          </w:p>
        </w:tc>
        <w:tc>
          <w:tcPr>
            <w:tcW w:w="810" w:type="dxa"/>
            <w:vMerge w:val="restart"/>
            <w:tcBorders>
              <w:right w:val="thinThickThinSmallGap" w:sz="24" w:space="0" w:color="auto"/>
            </w:tcBorders>
            <w:shd w:val="clear" w:color="auto" w:fill="FFFFFF" w:themeFill="background1"/>
            <w:vAlign w:val="center"/>
          </w:tcPr>
          <w:p w:rsidR="00102E37" w:rsidRPr="00A803A9" w:rsidRDefault="00102E37" w:rsidP="00C1379D">
            <w:pPr>
              <w:spacing w:line="200" w:lineRule="exact"/>
              <w:rPr>
                <w:rFonts w:asciiTheme="majorHAnsi" w:hAnsiTheme="majorHAnsi" w:cstheme="majorHAnsi"/>
                <w:color w:val="auto"/>
                <w:sz w:val="20"/>
                <w:szCs w:val="20"/>
              </w:rPr>
            </w:pPr>
            <w:r w:rsidRPr="00A803A9">
              <w:rPr>
                <w:rFonts w:asciiTheme="majorHAnsi" w:hAnsiTheme="majorHAnsi" w:cstheme="majorHAnsi"/>
                <w:color w:val="auto"/>
                <w:sz w:val="20"/>
                <w:szCs w:val="20"/>
              </w:rPr>
              <w:t>10%</w:t>
            </w:r>
          </w:p>
        </w:tc>
        <w:tc>
          <w:tcPr>
            <w:tcW w:w="2430" w:type="dxa"/>
            <w:tcBorders>
              <w:left w:val="thinThickThinSmallGap" w:sz="24" w:space="0" w:color="auto"/>
            </w:tcBorders>
            <w:shd w:val="clear" w:color="auto" w:fill="FFFFFF" w:themeFill="background1"/>
            <w:vAlign w:val="center"/>
          </w:tcPr>
          <w:p w:rsidR="00102E37" w:rsidRPr="00A803A9" w:rsidRDefault="00102E37" w:rsidP="00C1379D">
            <w:pPr>
              <w:spacing w:line="200" w:lineRule="exact"/>
              <w:contextualSpacing/>
              <w:jc w:val="left"/>
              <w:rPr>
                <w:rFonts w:asciiTheme="majorHAnsi" w:hAnsiTheme="majorHAnsi" w:cstheme="majorHAnsi"/>
                <w:color w:val="auto"/>
                <w:sz w:val="20"/>
                <w:szCs w:val="20"/>
              </w:rPr>
            </w:pPr>
            <w:r w:rsidRPr="00A803A9">
              <w:rPr>
                <w:rFonts w:asciiTheme="majorHAnsi" w:hAnsiTheme="majorHAnsi" w:cstheme="majorHAnsi"/>
                <w:color w:val="auto"/>
                <w:sz w:val="20"/>
                <w:szCs w:val="20"/>
              </w:rPr>
              <w:t>Cervical Strain</w:t>
            </w:r>
          </w:p>
        </w:tc>
        <w:tc>
          <w:tcPr>
            <w:tcW w:w="1170" w:type="dxa"/>
            <w:shd w:val="clear" w:color="auto" w:fill="FFFFFF" w:themeFill="background1"/>
            <w:vAlign w:val="center"/>
          </w:tcPr>
          <w:p w:rsidR="00102E37" w:rsidRPr="00A803A9" w:rsidRDefault="00102E37" w:rsidP="00C1379D">
            <w:pPr>
              <w:spacing w:line="200" w:lineRule="exact"/>
              <w:contextualSpacing/>
              <w:rPr>
                <w:rFonts w:asciiTheme="majorHAnsi" w:hAnsiTheme="majorHAnsi" w:cstheme="majorHAnsi"/>
                <w:color w:val="auto"/>
                <w:sz w:val="20"/>
                <w:szCs w:val="20"/>
              </w:rPr>
            </w:pPr>
            <w:r w:rsidRPr="00A803A9">
              <w:rPr>
                <w:rFonts w:asciiTheme="majorHAnsi" w:hAnsiTheme="majorHAnsi" w:cstheme="majorHAnsi"/>
                <w:color w:val="auto"/>
                <w:sz w:val="20"/>
                <w:szCs w:val="20"/>
              </w:rPr>
              <w:t>5237-5243</w:t>
            </w:r>
          </w:p>
        </w:tc>
        <w:tc>
          <w:tcPr>
            <w:tcW w:w="990" w:type="dxa"/>
            <w:shd w:val="clear" w:color="auto" w:fill="FFFFFF" w:themeFill="background1"/>
            <w:vAlign w:val="center"/>
          </w:tcPr>
          <w:p w:rsidR="00102E37" w:rsidRPr="00A803A9" w:rsidRDefault="00102E37" w:rsidP="00C1379D">
            <w:pPr>
              <w:spacing w:line="200" w:lineRule="exact"/>
              <w:contextualSpacing/>
              <w:rPr>
                <w:rFonts w:asciiTheme="majorHAnsi" w:hAnsiTheme="majorHAnsi" w:cstheme="majorHAnsi"/>
                <w:color w:val="auto"/>
                <w:sz w:val="20"/>
                <w:szCs w:val="20"/>
              </w:rPr>
            </w:pPr>
            <w:r w:rsidRPr="00A803A9">
              <w:rPr>
                <w:rFonts w:asciiTheme="majorHAnsi" w:hAnsiTheme="majorHAnsi" w:cstheme="majorHAnsi"/>
                <w:color w:val="auto"/>
                <w:sz w:val="20"/>
                <w:szCs w:val="20"/>
              </w:rPr>
              <w:t>10%</w:t>
            </w:r>
          </w:p>
        </w:tc>
        <w:tc>
          <w:tcPr>
            <w:tcW w:w="1170" w:type="dxa"/>
            <w:shd w:val="clear" w:color="auto" w:fill="FFFFFF" w:themeFill="background1"/>
            <w:vAlign w:val="center"/>
          </w:tcPr>
          <w:p w:rsidR="00102E37" w:rsidRPr="00A803A9" w:rsidRDefault="00102E37" w:rsidP="00C1379D">
            <w:pPr>
              <w:spacing w:line="200" w:lineRule="exact"/>
              <w:contextualSpacing/>
              <w:rPr>
                <w:rFonts w:asciiTheme="majorHAnsi" w:hAnsiTheme="majorHAnsi" w:cstheme="majorHAnsi"/>
                <w:color w:val="auto"/>
                <w:sz w:val="20"/>
                <w:szCs w:val="20"/>
              </w:rPr>
            </w:pPr>
            <w:r w:rsidRPr="00A803A9">
              <w:rPr>
                <w:rFonts w:asciiTheme="majorHAnsi" w:hAnsiTheme="majorHAnsi" w:cstheme="majorHAnsi"/>
                <w:color w:val="auto"/>
                <w:sz w:val="20"/>
                <w:szCs w:val="20"/>
              </w:rPr>
              <w:t>20040908</w:t>
            </w:r>
          </w:p>
        </w:tc>
      </w:tr>
      <w:tr w:rsidR="00102E37" w:rsidRPr="00A803A9" w:rsidTr="00627C3A">
        <w:trPr>
          <w:trHeight w:val="287"/>
          <w:jc w:val="center"/>
        </w:trPr>
        <w:tc>
          <w:tcPr>
            <w:tcW w:w="2268" w:type="dxa"/>
            <w:vMerge/>
            <w:tcBorders>
              <w:right w:val="single" w:sz="4" w:space="0" w:color="auto"/>
            </w:tcBorders>
            <w:shd w:val="clear" w:color="auto" w:fill="FFFFFF" w:themeFill="background1"/>
            <w:vAlign w:val="center"/>
          </w:tcPr>
          <w:p w:rsidR="00102E37" w:rsidRPr="00A803A9" w:rsidRDefault="00102E37" w:rsidP="00C1379D">
            <w:pPr>
              <w:spacing w:line="200" w:lineRule="exact"/>
              <w:contextualSpacing/>
              <w:jc w:val="left"/>
              <w:rPr>
                <w:rFonts w:asciiTheme="majorHAnsi" w:hAnsiTheme="majorHAnsi" w:cstheme="majorHAnsi"/>
                <w:color w:val="auto"/>
                <w:sz w:val="20"/>
                <w:szCs w:val="20"/>
              </w:rPr>
            </w:pPr>
          </w:p>
        </w:tc>
        <w:tc>
          <w:tcPr>
            <w:tcW w:w="720" w:type="dxa"/>
            <w:vMerge/>
            <w:tcBorders>
              <w:left w:val="single" w:sz="4" w:space="0" w:color="auto"/>
            </w:tcBorders>
            <w:shd w:val="clear" w:color="auto" w:fill="FFFFFF" w:themeFill="background1"/>
            <w:vAlign w:val="center"/>
          </w:tcPr>
          <w:p w:rsidR="00102E37" w:rsidRPr="00A803A9" w:rsidRDefault="00102E37" w:rsidP="00C1379D">
            <w:pPr>
              <w:spacing w:line="200" w:lineRule="exact"/>
              <w:contextualSpacing/>
              <w:rPr>
                <w:rFonts w:asciiTheme="majorHAnsi" w:hAnsiTheme="majorHAnsi" w:cstheme="majorHAnsi"/>
                <w:color w:val="auto"/>
                <w:sz w:val="20"/>
                <w:szCs w:val="20"/>
              </w:rPr>
            </w:pPr>
          </w:p>
        </w:tc>
        <w:tc>
          <w:tcPr>
            <w:tcW w:w="810" w:type="dxa"/>
            <w:vMerge/>
            <w:tcBorders>
              <w:right w:val="thinThickThinSmallGap" w:sz="24" w:space="0" w:color="auto"/>
            </w:tcBorders>
            <w:shd w:val="clear" w:color="auto" w:fill="FFFFFF" w:themeFill="background1"/>
            <w:vAlign w:val="center"/>
          </w:tcPr>
          <w:p w:rsidR="00102E37" w:rsidRPr="00A803A9" w:rsidRDefault="00102E37" w:rsidP="00C1379D">
            <w:pPr>
              <w:spacing w:line="200" w:lineRule="exact"/>
              <w:rPr>
                <w:rFonts w:asciiTheme="majorHAnsi" w:hAnsiTheme="majorHAnsi" w:cstheme="majorHAnsi"/>
                <w:color w:val="auto"/>
                <w:sz w:val="20"/>
                <w:szCs w:val="20"/>
              </w:rPr>
            </w:pPr>
          </w:p>
        </w:tc>
        <w:tc>
          <w:tcPr>
            <w:tcW w:w="2430" w:type="dxa"/>
            <w:tcBorders>
              <w:left w:val="thinThickThinSmallGap" w:sz="24" w:space="0" w:color="auto"/>
              <w:right w:val="single" w:sz="4" w:space="0" w:color="auto"/>
            </w:tcBorders>
            <w:shd w:val="clear" w:color="auto" w:fill="FFFFFF" w:themeFill="background1"/>
            <w:vAlign w:val="center"/>
          </w:tcPr>
          <w:p w:rsidR="00102E37" w:rsidRPr="00A803A9" w:rsidRDefault="00102E37" w:rsidP="00C1379D">
            <w:pPr>
              <w:spacing w:line="200" w:lineRule="exact"/>
              <w:contextualSpacing/>
              <w:jc w:val="left"/>
              <w:rPr>
                <w:rFonts w:asciiTheme="majorHAnsi" w:hAnsiTheme="majorHAnsi" w:cstheme="majorHAnsi"/>
                <w:color w:val="auto"/>
                <w:sz w:val="20"/>
                <w:szCs w:val="20"/>
              </w:rPr>
            </w:pPr>
            <w:r w:rsidRPr="00A803A9">
              <w:rPr>
                <w:rFonts w:asciiTheme="majorHAnsi" w:hAnsiTheme="majorHAnsi" w:cstheme="majorHAnsi"/>
                <w:color w:val="auto"/>
                <w:sz w:val="20"/>
                <w:szCs w:val="20"/>
              </w:rPr>
              <w:t>LUE Radiculopathy</w:t>
            </w:r>
          </w:p>
        </w:tc>
        <w:tc>
          <w:tcPr>
            <w:tcW w:w="1170" w:type="dxa"/>
            <w:tcBorders>
              <w:left w:val="single" w:sz="4" w:space="0" w:color="auto"/>
            </w:tcBorders>
            <w:shd w:val="clear" w:color="auto" w:fill="FFFFFF" w:themeFill="background1"/>
            <w:vAlign w:val="center"/>
          </w:tcPr>
          <w:p w:rsidR="00102E37" w:rsidRPr="00A803A9" w:rsidRDefault="00102E37" w:rsidP="00C1379D">
            <w:pPr>
              <w:spacing w:line="200" w:lineRule="exact"/>
              <w:contextualSpacing/>
              <w:rPr>
                <w:rFonts w:asciiTheme="majorHAnsi" w:hAnsiTheme="majorHAnsi" w:cstheme="majorHAnsi"/>
                <w:color w:val="auto"/>
                <w:sz w:val="20"/>
                <w:szCs w:val="20"/>
              </w:rPr>
            </w:pPr>
            <w:r w:rsidRPr="00A803A9">
              <w:rPr>
                <w:rFonts w:asciiTheme="majorHAnsi" w:hAnsiTheme="majorHAnsi" w:cstheme="majorHAnsi"/>
                <w:color w:val="auto"/>
                <w:sz w:val="20"/>
                <w:szCs w:val="20"/>
              </w:rPr>
              <w:t>8513</w:t>
            </w:r>
          </w:p>
        </w:tc>
        <w:tc>
          <w:tcPr>
            <w:tcW w:w="990" w:type="dxa"/>
            <w:shd w:val="clear" w:color="auto" w:fill="FFFFFF" w:themeFill="background1"/>
            <w:vAlign w:val="center"/>
          </w:tcPr>
          <w:p w:rsidR="00102E37" w:rsidRPr="00A803A9" w:rsidRDefault="00102E37" w:rsidP="00C1379D">
            <w:pPr>
              <w:spacing w:line="200" w:lineRule="exact"/>
              <w:contextualSpacing/>
              <w:rPr>
                <w:rFonts w:asciiTheme="majorHAnsi" w:hAnsiTheme="majorHAnsi" w:cstheme="majorHAnsi"/>
                <w:color w:val="auto"/>
                <w:sz w:val="20"/>
                <w:szCs w:val="20"/>
              </w:rPr>
            </w:pPr>
            <w:r w:rsidRPr="00A803A9">
              <w:rPr>
                <w:rFonts w:asciiTheme="majorHAnsi" w:hAnsiTheme="majorHAnsi" w:cstheme="majorHAnsi"/>
                <w:color w:val="auto"/>
                <w:sz w:val="20"/>
                <w:szCs w:val="20"/>
              </w:rPr>
              <w:t>20%</w:t>
            </w:r>
          </w:p>
        </w:tc>
        <w:tc>
          <w:tcPr>
            <w:tcW w:w="1170" w:type="dxa"/>
            <w:shd w:val="clear" w:color="auto" w:fill="FFFFFF" w:themeFill="background1"/>
            <w:vAlign w:val="center"/>
          </w:tcPr>
          <w:p w:rsidR="00102E37" w:rsidRPr="00A803A9" w:rsidRDefault="00102E37" w:rsidP="00C1379D">
            <w:pPr>
              <w:spacing w:line="200" w:lineRule="exact"/>
              <w:contextualSpacing/>
              <w:rPr>
                <w:rFonts w:asciiTheme="majorHAnsi" w:hAnsiTheme="majorHAnsi" w:cstheme="majorHAnsi"/>
                <w:color w:val="auto"/>
                <w:sz w:val="20"/>
                <w:szCs w:val="20"/>
              </w:rPr>
            </w:pPr>
            <w:r w:rsidRPr="00A803A9">
              <w:rPr>
                <w:rFonts w:asciiTheme="majorHAnsi" w:hAnsiTheme="majorHAnsi" w:cstheme="majorHAnsi"/>
                <w:color w:val="auto"/>
                <w:sz w:val="20"/>
                <w:szCs w:val="20"/>
              </w:rPr>
              <w:t>20040908</w:t>
            </w:r>
          </w:p>
        </w:tc>
      </w:tr>
      <w:tr w:rsidR="005C6BC3" w:rsidRPr="00A803A9" w:rsidTr="00627C3A">
        <w:trPr>
          <w:trHeight w:val="287"/>
          <w:jc w:val="center"/>
        </w:trPr>
        <w:tc>
          <w:tcPr>
            <w:tcW w:w="2268" w:type="dxa"/>
            <w:tcBorders>
              <w:right w:val="single" w:sz="4" w:space="0" w:color="auto"/>
            </w:tcBorders>
            <w:shd w:val="clear" w:color="auto" w:fill="FFFFFF" w:themeFill="background1"/>
            <w:vAlign w:val="center"/>
          </w:tcPr>
          <w:p w:rsidR="005C6BC3" w:rsidRPr="00A803A9" w:rsidRDefault="005C6BC3" w:rsidP="00C1379D">
            <w:pPr>
              <w:spacing w:line="200" w:lineRule="exact"/>
              <w:contextualSpacing/>
              <w:jc w:val="left"/>
              <w:rPr>
                <w:rFonts w:asciiTheme="majorHAnsi" w:hAnsiTheme="majorHAnsi" w:cstheme="majorHAnsi"/>
                <w:color w:val="auto"/>
                <w:sz w:val="20"/>
                <w:szCs w:val="20"/>
              </w:rPr>
            </w:pPr>
            <w:r w:rsidRPr="00A803A9">
              <w:rPr>
                <w:rFonts w:asciiTheme="majorHAnsi" w:hAnsiTheme="majorHAnsi" w:cstheme="majorHAnsi"/>
                <w:color w:val="auto"/>
                <w:sz w:val="20"/>
                <w:szCs w:val="20"/>
              </w:rPr>
              <w:t xml:space="preserve">Chronic </w:t>
            </w:r>
            <w:r w:rsidR="00627C3A" w:rsidRPr="00A803A9">
              <w:rPr>
                <w:rFonts w:asciiTheme="majorHAnsi" w:hAnsiTheme="majorHAnsi" w:cstheme="majorHAnsi"/>
                <w:color w:val="auto"/>
                <w:sz w:val="20"/>
                <w:szCs w:val="20"/>
              </w:rPr>
              <w:t>Low Back Pain</w:t>
            </w:r>
          </w:p>
        </w:tc>
        <w:tc>
          <w:tcPr>
            <w:tcW w:w="720" w:type="dxa"/>
            <w:tcBorders>
              <w:left w:val="single" w:sz="4" w:space="0" w:color="auto"/>
            </w:tcBorders>
            <w:shd w:val="clear" w:color="auto" w:fill="FFFFFF" w:themeFill="background1"/>
            <w:vAlign w:val="center"/>
          </w:tcPr>
          <w:p w:rsidR="005C6BC3" w:rsidRPr="00A803A9" w:rsidRDefault="005C6BC3" w:rsidP="00C1379D">
            <w:pPr>
              <w:spacing w:line="200" w:lineRule="exact"/>
              <w:contextualSpacing/>
              <w:rPr>
                <w:rFonts w:asciiTheme="majorHAnsi" w:hAnsiTheme="majorHAnsi" w:cstheme="majorHAnsi"/>
                <w:color w:val="auto"/>
                <w:sz w:val="20"/>
                <w:szCs w:val="20"/>
              </w:rPr>
            </w:pPr>
            <w:r w:rsidRPr="00A803A9">
              <w:rPr>
                <w:rFonts w:asciiTheme="majorHAnsi" w:hAnsiTheme="majorHAnsi" w:cstheme="majorHAnsi"/>
                <w:color w:val="auto"/>
                <w:sz w:val="20"/>
                <w:szCs w:val="20"/>
              </w:rPr>
              <w:t>5237</w:t>
            </w:r>
          </w:p>
        </w:tc>
        <w:tc>
          <w:tcPr>
            <w:tcW w:w="810" w:type="dxa"/>
            <w:tcBorders>
              <w:right w:val="thinThickThinSmallGap" w:sz="24" w:space="0" w:color="auto"/>
            </w:tcBorders>
            <w:shd w:val="clear" w:color="auto" w:fill="FFFFFF" w:themeFill="background1"/>
            <w:vAlign w:val="center"/>
          </w:tcPr>
          <w:p w:rsidR="005C6BC3" w:rsidRPr="00A803A9" w:rsidRDefault="005C6BC3" w:rsidP="00C1379D">
            <w:pPr>
              <w:spacing w:line="200" w:lineRule="exact"/>
              <w:rPr>
                <w:rFonts w:asciiTheme="majorHAnsi" w:hAnsiTheme="majorHAnsi" w:cstheme="majorHAnsi"/>
                <w:color w:val="auto"/>
                <w:sz w:val="20"/>
                <w:szCs w:val="20"/>
              </w:rPr>
            </w:pPr>
            <w:r w:rsidRPr="00A803A9">
              <w:rPr>
                <w:rFonts w:asciiTheme="majorHAnsi" w:hAnsiTheme="majorHAnsi" w:cstheme="majorHAnsi"/>
                <w:color w:val="auto"/>
                <w:sz w:val="20"/>
                <w:szCs w:val="20"/>
              </w:rPr>
              <w:t>0%</w:t>
            </w:r>
          </w:p>
        </w:tc>
        <w:tc>
          <w:tcPr>
            <w:tcW w:w="2430" w:type="dxa"/>
            <w:tcBorders>
              <w:left w:val="thinThickThinSmallGap" w:sz="24" w:space="0" w:color="auto"/>
              <w:right w:val="single" w:sz="4" w:space="0" w:color="auto"/>
            </w:tcBorders>
            <w:shd w:val="clear" w:color="auto" w:fill="FFFFFF" w:themeFill="background1"/>
            <w:vAlign w:val="center"/>
          </w:tcPr>
          <w:p w:rsidR="005C6BC3" w:rsidRPr="00A803A9" w:rsidRDefault="005C6BC3" w:rsidP="00C1379D">
            <w:pPr>
              <w:spacing w:line="200" w:lineRule="exact"/>
              <w:contextualSpacing/>
              <w:jc w:val="left"/>
              <w:rPr>
                <w:rFonts w:asciiTheme="majorHAnsi" w:hAnsiTheme="majorHAnsi" w:cstheme="majorHAnsi"/>
                <w:color w:val="auto"/>
                <w:sz w:val="20"/>
                <w:szCs w:val="20"/>
              </w:rPr>
            </w:pPr>
            <w:r w:rsidRPr="00A803A9">
              <w:rPr>
                <w:rFonts w:asciiTheme="majorHAnsi" w:hAnsiTheme="majorHAnsi" w:cstheme="majorHAnsi"/>
                <w:color w:val="auto"/>
                <w:sz w:val="20"/>
                <w:szCs w:val="20"/>
              </w:rPr>
              <w:t>Lumbar Strain</w:t>
            </w:r>
            <w:r w:rsidR="00913D96" w:rsidRPr="00A803A9">
              <w:rPr>
                <w:rFonts w:asciiTheme="majorHAnsi" w:hAnsiTheme="majorHAnsi" w:cstheme="majorHAnsi"/>
                <w:color w:val="auto"/>
                <w:sz w:val="20"/>
                <w:szCs w:val="20"/>
              </w:rPr>
              <w:t>*</w:t>
            </w:r>
          </w:p>
        </w:tc>
        <w:tc>
          <w:tcPr>
            <w:tcW w:w="1170" w:type="dxa"/>
            <w:tcBorders>
              <w:left w:val="single" w:sz="4" w:space="0" w:color="auto"/>
            </w:tcBorders>
            <w:shd w:val="clear" w:color="auto" w:fill="FFFFFF" w:themeFill="background1"/>
            <w:vAlign w:val="center"/>
          </w:tcPr>
          <w:p w:rsidR="005C6BC3" w:rsidRPr="00A803A9" w:rsidRDefault="005C6BC3" w:rsidP="00C1379D">
            <w:pPr>
              <w:spacing w:line="200" w:lineRule="exact"/>
              <w:contextualSpacing/>
              <w:rPr>
                <w:rFonts w:asciiTheme="majorHAnsi" w:hAnsiTheme="majorHAnsi" w:cstheme="majorHAnsi"/>
                <w:color w:val="auto"/>
                <w:sz w:val="20"/>
                <w:szCs w:val="20"/>
              </w:rPr>
            </w:pPr>
            <w:r w:rsidRPr="00A803A9">
              <w:rPr>
                <w:rFonts w:asciiTheme="majorHAnsi" w:hAnsiTheme="majorHAnsi" w:cstheme="majorHAnsi"/>
                <w:color w:val="auto"/>
                <w:sz w:val="20"/>
                <w:szCs w:val="20"/>
              </w:rPr>
              <w:t>5237-5242</w:t>
            </w:r>
          </w:p>
        </w:tc>
        <w:tc>
          <w:tcPr>
            <w:tcW w:w="990" w:type="dxa"/>
            <w:shd w:val="clear" w:color="auto" w:fill="FFFFFF" w:themeFill="background1"/>
            <w:vAlign w:val="center"/>
          </w:tcPr>
          <w:p w:rsidR="005C6BC3" w:rsidRPr="00A803A9" w:rsidRDefault="005C6BC3" w:rsidP="00C1379D">
            <w:pPr>
              <w:spacing w:line="200" w:lineRule="exact"/>
              <w:contextualSpacing/>
              <w:rPr>
                <w:rFonts w:asciiTheme="majorHAnsi" w:hAnsiTheme="majorHAnsi" w:cstheme="majorHAnsi"/>
                <w:color w:val="auto"/>
                <w:sz w:val="20"/>
                <w:szCs w:val="20"/>
              </w:rPr>
            </w:pPr>
            <w:r w:rsidRPr="00A803A9">
              <w:rPr>
                <w:rFonts w:asciiTheme="majorHAnsi" w:hAnsiTheme="majorHAnsi" w:cstheme="majorHAnsi"/>
                <w:color w:val="auto"/>
                <w:sz w:val="20"/>
                <w:szCs w:val="20"/>
              </w:rPr>
              <w:t>20%</w:t>
            </w:r>
          </w:p>
        </w:tc>
        <w:tc>
          <w:tcPr>
            <w:tcW w:w="1170" w:type="dxa"/>
            <w:shd w:val="clear" w:color="auto" w:fill="FFFFFF" w:themeFill="background1"/>
            <w:vAlign w:val="center"/>
          </w:tcPr>
          <w:p w:rsidR="005C6BC3" w:rsidRPr="00A803A9" w:rsidRDefault="005C6BC3" w:rsidP="00C1379D">
            <w:pPr>
              <w:spacing w:line="200" w:lineRule="exact"/>
              <w:contextualSpacing/>
              <w:rPr>
                <w:rFonts w:asciiTheme="majorHAnsi" w:hAnsiTheme="majorHAnsi" w:cstheme="majorHAnsi"/>
                <w:color w:val="auto"/>
                <w:sz w:val="20"/>
                <w:szCs w:val="20"/>
              </w:rPr>
            </w:pPr>
            <w:r w:rsidRPr="00A803A9">
              <w:rPr>
                <w:rFonts w:asciiTheme="majorHAnsi" w:hAnsiTheme="majorHAnsi" w:cstheme="majorHAnsi"/>
                <w:color w:val="auto"/>
                <w:sz w:val="20"/>
                <w:szCs w:val="20"/>
              </w:rPr>
              <w:t>20040908</w:t>
            </w:r>
          </w:p>
        </w:tc>
      </w:tr>
      <w:tr w:rsidR="005C6BC3" w:rsidRPr="00A803A9" w:rsidTr="00627C3A">
        <w:trPr>
          <w:trHeight w:val="287"/>
          <w:jc w:val="center"/>
        </w:trPr>
        <w:tc>
          <w:tcPr>
            <w:tcW w:w="2268" w:type="dxa"/>
            <w:tcBorders>
              <w:right w:val="single" w:sz="4" w:space="0" w:color="auto"/>
            </w:tcBorders>
            <w:shd w:val="clear" w:color="auto" w:fill="FFFFFF" w:themeFill="background1"/>
            <w:vAlign w:val="center"/>
          </w:tcPr>
          <w:p w:rsidR="005C6BC3" w:rsidRPr="00A803A9" w:rsidRDefault="005C6BC3" w:rsidP="00C1379D">
            <w:pPr>
              <w:spacing w:line="200" w:lineRule="exact"/>
              <w:contextualSpacing/>
              <w:jc w:val="left"/>
              <w:rPr>
                <w:rFonts w:asciiTheme="majorHAnsi" w:hAnsiTheme="majorHAnsi" w:cstheme="majorHAnsi"/>
                <w:color w:val="auto"/>
                <w:sz w:val="20"/>
                <w:szCs w:val="20"/>
              </w:rPr>
            </w:pPr>
            <w:r w:rsidRPr="00A803A9">
              <w:rPr>
                <w:rFonts w:asciiTheme="majorHAnsi" w:hAnsiTheme="majorHAnsi" w:cstheme="majorHAnsi"/>
                <w:color w:val="auto"/>
                <w:sz w:val="20"/>
                <w:szCs w:val="20"/>
              </w:rPr>
              <w:t>Headaches</w:t>
            </w:r>
          </w:p>
        </w:tc>
        <w:tc>
          <w:tcPr>
            <w:tcW w:w="1530" w:type="dxa"/>
            <w:gridSpan w:val="2"/>
            <w:tcBorders>
              <w:left w:val="single" w:sz="4" w:space="0" w:color="auto"/>
              <w:right w:val="thinThickThinSmallGap" w:sz="24" w:space="0" w:color="auto"/>
            </w:tcBorders>
            <w:shd w:val="clear" w:color="auto" w:fill="FFFFFF" w:themeFill="background1"/>
            <w:vAlign w:val="center"/>
          </w:tcPr>
          <w:p w:rsidR="005C6BC3" w:rsidRPr="00A803A9" w:rsidRDefault="005C6BC3" w:rsidP="00C1379D">
            <w:pPr>
              <w:spacing w:line="200" w:lineRule="exact"/>
              <w:contextualSpacing/>
              <w:rPr>
                <w:rFonts w:asciiTheme="majorHAnsi" w:hAnsiTheme="majorHAnsi" w:cstheme="majorHAnsi"/>
                <w:color w:val="auto"/>
                <w:sz w:val="20"/>
                <w:szCs w:val="20"/>
              </w:rPr>
            </w:pPr>
            <w:r w:rsidRPr="00A803A9">
              <w:rPr>
                <w:rFonts w:asciiTheme="majorHAnsi" w:hAnsiTheme="majorHAnsi" w:cstheme="majorHAnsi"/>
                <w:color w:val="auto"/>
                <w:sz w:val="20"/>
                <w:szCs w:val="20"/>
              </w:rPr>
              <w:t>Not Unfitting</w:t>
            </w:r>
          </w:p>
        </w:tc>
        <w:tc>
          <w:tcPr>
            <w:tcW w:w="2430" w:type="dxa"/>
            <w:tcBorders>
              <w:left w:val="thinThickThinSmallGap" w:sz="24" w:space="0" w:color="auto"/>
              <w:right w:val="single" w:sz="4" w:space="0" w:color="auto"/>
            </w:tcBorders>
            <w:shd w:val="clear" w:color="auto" w:fill="FFFFFF" w:themeFill="background1"/>
            <w:vAlign w:val="center"/>
          </w:tcPr>
          <w:p w:rsidR="005C6BC3" w:rsidRPr="00A803A9" w:rsidRDefault="005C6BC3" w:rsidP="00C1379D">
            <w:pPr>
              <w:spacing w:line="200" w:lineRule="exact"/>
              <w:contextualSpacing/>
              <w:jc w:val="left"/>
              <w:rPr>
                <w:rFonts w:asciiTheme="majorHAnsi" w:hAnsiTheme="majorHAnsi" w:cstheme="majorHAnsi"/>
                <w:color w:val="auto"/>
                <w:sz w:val="20"/>
                <w:szCs w:val="20"/>
              </w:rPr>
            </w:pPr>
            <w:r w:rsidRPr="00A803A9">
              <w:rPr>
                <w:rFonts w:asciiTheme="majorHAnsi" w:hAnsiTheme="majorHAnsi" w:cstheme="majorHAnsi"/>
                <w:color w:val="auto"/>
                <w:sz w:val="20"/>
                <w:szCs w:val="20"/>
              </w:rPr>
              <w:t>Muscle Tension Headaches</w:t>
            </w:r>
          </w:p>
        </w:tc>
        <w:tc>
          <w:tcPr>
            <w:tcW w:w="1170" w:type="dxa"/>
            <w:tcBorders>
              <w:left w:val="single" w:sz="4" w:space="0" w:color="auto"/>
              <w:right w:val="single" w:sz="4" w:space="0" w:color="auto"/>
            </w:tcBorders>
            <w:shd w:val="clear" w:color="auto" w:fill="FFFFFF" w:themeFill="background1"/>
            <w:vAlign w:val="center"/>
          </w:tcPr>
          <w:p w:rsidR="005C6BC3" w:rsidRPr="00A803A9" w:rsidRDefault="005C6BC3" w:rsidP="00C1379D">
            <w:pPr>
              <w:spacing w:line="200" w:lineRule="exact"/>
              <w:contextualSpacing/>
              <w:rPr>
                <w:rFonts w:asciiTheme="majorHAnsi" w:hAnsiTheme="majorHAnsi" w:cstheme="majorHAnsi"/>
                <w:color w:val="auto"/>
                <w:sz w:val="20"/>
                <w:szCs w:val="20"/>
              </w:rPr>
            </w:pPr>
            <w:r w:rsidRPr="00A803A9">
              <w:rPr>
                <w:rFonts w:asciiTheme="majorHAnsi" w:hAnsiTheme="majorHAnsi" w:cstheme="majorHAnsi"/>
                <w:color w:val="auto"/>
                <w:sz w:val="20"/>
                <w:szCs w:val="20"/>
              </w:rPr>
              <w:t>8199-8100</w:t>
            </w:r>
          </w:p>
        </w:tc>
        <w:tc>
          <w:tcPr>
            <w:tcW w:w="990" w:type="dxa"/>
            <w:tcBorders>
              <w:left w:val="single" w:sz="4" w:space="0" w:color="auto"/>
            </w:tcBorders>
            <w:shd w:val="clear" w:color="auto" w:fill="FFFFFF" w:themeFill="background1"/>
            <w:vAlign w:val="center"/>
          </w:tcPr>
          <w:p w:rsidR="005C6BC3" w:rsidRPr="00A803A9" w:rsidRDefault="005C6BC3" w:rsidP="00C1379D">
            <w:pPr>
              <w:spacing w:line="200" w:lineRule="exact"/>
              <w:contextualSpacing/>
              <w:rPr>
                <w:rFonts w:asciiTheme="majorHAnsi" w:hAnsiTheme="majorHAnsi" w:cstheme="majorHAnsi"/>
                <w:color w:val="auto"/>
                <w:sz w:val="20"/>
                <w:szCs w:val="20"/>
              </w:rPr>
            </w:pPr>
            <w:r w:rsidRPr="00A803A9">
              <w:rPr>
                <w:rFonts w:asciiTheme="majorHAnsi" w:hAnsiTheme="majorHAnsi" w:cstheme="majorHAnsi"/>
                <w:color w:val="auto"/>
                <w:sz w:val="20"/>
                <w:szCs w:val="20"/>
              </w:rPr>
              <w:t>0%</w:t>
            </w:r>
          </w:p>
        </w:tc>
        <w:tc>
          <w:tcPr>
            <w:tcW w:w="1170" w:type="dxa"/>
            <w:shd w:val="clear" w:color="auto" w:fill="FFFFFF" w:themeFill="background1"/>
            <w:vAlign w:val="center"/>
          </w:tcPr>
          <w:p w:rsidR="005C6BC3" w:rsidRPr="00A803A9" w:rsidRDefault="005C6BC3" w:rsidP="00C1379D">
            <w:pPr>
              <w:spacing w:line="200" w:lineRule="exact"/>
              <w:contextualSpacing/>
              <w:rPr>
                <w:rFonts w:asciiTheme="majorHAnsi" w:hAnsiTheme="majorHAnsi" w:cstheme="majorHAnsi"/>
                <w:color w:val="auto"/>
                <w:sz w:val="20"/>
                <w:szCs w:val="20"/>
              </w:rPr>
            </w:pPr>
            <w:r w:rsidRPr="00A803A9">
              <w:rPr>
                <w:rFonts w:asciiTheme="majorHAnsi" w:hAnsiTheme="majorHAnsi" w:cstheme="majorHAnsi"/>
                <w:color w:val="auto"/>
                <w:sz w:val="20"/>
                <w:szCs w:val="20"/>
              </w:rPr>
              <w:t>20040908</w:t>
            </w:r>
          </w:p>
        </w:tc>
      </w:tr>
      <w:tr w:rsidR="005C6BC3" w:rsidRPr="00A803A9" w:rsidTr="00627C3A">
        <w:trPr>
          <w:trHeight w:val="287"/>
          <w:jc w:val="center"/>
        </w:trPr>
        <w:tc>
          <w:tcPr>
            <w:tcW w:w="2268" w:type="dxa"/>
            <w:tcBorders>
              <w:right w:val="single" w:sz="4" w:space="0" w:color="auto"/>
            </w:tcBorders>
            <w:shd w:val="clear" w:color="auto" w:fill="FFFFFF" w:themeFill="background1"/>
            <w:vAlign w:val="center"/>
          </w:tcPr>
          <w:p w:rsidR="005C6BC3" w:rsidRPr="00A803A9" w:rsidRDefault="005C6BC3" w:rsidP="00C1379D">
            <w:pPr>
              <w:spacing w:line="200" w:lineRule="exact"/>
              <w:contextualSpacing/>
              <w:jc w:val="left"/>
              <w:rPr>
                <w:rFonts w:asciiTheme="majorHAnsi" w:hAnsiTheme="majorHAnsi" w:cstheme="majorHAnsi"/>
                <w:color w:val="auto"/>
                <w:sz w:val="20"/>
                <w:szCs w:val="20"/>
              </w:rPr>
            </w:pPr>
            <w:r w:rsidRPr="00A803A9">
              <w:rPr>
                <w:rFonts w:asciiTheme="majorHAnsi" w:hAnsiTheme="majorHAnsi" w:cstheme="majorHAnsi"/>
                <w:color w:val="auto"/>
                <w:sz w:val="20"/>
                <w:szCs w:val="20"/>
              </w:rPr>
              <w:t>Breast Mass</w:t>
            </w:r>
          </w:p>
        </w:tc>
        <w:tc>
          <w:tcPr>
            <w:tcW w:w="1530" w:type="dxa"/>
            <w:gridSpan w:val="2"/>
            <w:tcBorders>
              <w:left w:val="single" w:sz="4" w:space="0" w:color="auto"/>
              <w:right w:val="thinThickThinSmallGap" w:sz="24" w:space="0" w:color="auto"/>
            </w:tcBorders>
            <w:shd w:val="clear" w:color="auto" w:fill="FFFFFF" w:themeFill="background1"/>
            <w:vAlign w:val="center"/>
          </w:tcPr>
          <w:p w:rsidR="005C6BC3" w:rsidRPr="00A803A9" w:rsidRDefault="005C6BC3" w:rsidP="00C1379D">
            <w:pPr>
              <w:spacing w:line="200" w:lineRule="exact"/>
              <w:contextualSpacing/>
              <w:rPr>
                <w:rFonts w:asciiTheme="majorHAnsi" w:hAnsiTheme="majorHAnsi" w:cstheme="majorHAnsi"/>
                <w:color w:val="auto"/>
                <w:sz w:val="20"/>
                <w:szCs w:val="20"/>
              </w:rPr>
            </w:pPr>
            <w:r w:rsidRPr="00A803A9">
              <w:rPr>
                <w:rFonts w:asciiTheme="majorHAnsi" w:hAnsiTheme="majorHAnsi" w:cstheme="majorHAnsi"/>
                <w:color w:val="auto"/>
                <w:sz w:val="20"/>
                <w:szCs w:val="20"/>
              </w:rPr>
              <w:t>Not Unfitting</w:t>
            </w:r>
          </w:p>
        </w:tc>
        <w:tc>
          <w:tcPr>
            <w:tcW w:w="2430" w:type="dxa"/>
            <w:tcBorders>
              <w:left w:val="thinThickThinSmallGap" w:sz="24" w:space="0" w:color="auto"/>
              <w:right w:val="single" w:sz="4" w:space="0" w:color="auto"/>
            </w:tcBorders>
            <w:shd w:val="clear" w:color="auto" w:fill="FFFFFF" w:themeFill="background1"/>
            <w:vAlign w:val="center"/>
          </w:tcPr>
          <w:p w:rsidR="005C6BC3" w:rsidRPr="00A803A9" w:rsidRDefault="005C6BC3" w:rsidP="00C1379D">
            <w:pPr>
              <w:spacing w:line="200" w:lineRule="exact"/>
              <w:contextualSpacing/>
              <w:jc w:val="left"/>
              <w:rPr>
                <w:rFonts w:asciiTheme="majorHAnsi" w:hAnsiTheme="majorHAnsi" w:cstheme="majorHAnsi"/>
                <w:color w:val="auto"/>
                <w:sz w:val="20"/>
                <w:szCs w:val="20"/>
              </w:rPr>
            </w:pPr>
            <w:r w:rsidRPr="00A803A9">
              <w:rPr>
                <w:rFonts w:asciiTheme="majorHAnsi" w:hAnsiTheme="majorHAnsi" w:cstheme="majorHAnsi"/>
                <w:color w:val="auto"/>
                <w:sz w:val="20"/>
                <w:szCs w:val="20"/>
              </w:rPr>
              <w:t>L Breast Lump</w:t>
            </w:r>
          </w:p>
        </w:tc>
        <w:tc>
          <w:tcPr>
            <w:tcW w:w="1170" w:type="dxa"/>
            <w:tcBorders>
              <w:left w:val="single" w:sz="4" w:space="0" w:color="auto"/>
              <w:right w:val="single" w:sz="4" w:space="0" w:color="auto"/>
            </w:tcBorders>
            <w:shd w:val="clear" w:color="auto" w:fill="FFFFFF" w:themeFill="background1"/>
            <w:vAlign w:val="center"/>
          </w:tcPr>
          <w:p w:rsidR="005C6BC3" w:rsidRPr="00A803A9" w:rsidRDefault="005C6BC3" w:rsidP="00C1379D">
            <w:pPr>
              <w:spacing w:line="200" w:lineRule="exact"/>
              <w:contextualSpacing/>
              <w:rPr>
                <w:rFonts w:asciiTheme="majorHAnsi" w:hAnsiTheme="majorHAnsi" w:cstheme="majorHAnsi"/>
                <w:color w:val="auto"/>
                <w:sz w:val="20"/>
                <w:szCs w:val="20"/>
              </w:rPr>
            </w:pPr>
            <w:r w:rsidRPr="00A803A9">
              <w:rPr>
                <w:rFonts w:asciiTheme="majorHAnsi" w:hAnsiTheme="majorHAnsi" w:cstheme="majorHAnsi"/>
                <w:color w:val="auto"/>
                <w:sz w:val="20"/>
                <w:szCs w:val="20"/>
              </w:rPr>
              <w:t>7626</w:t>
            </w:r>
          </w:p>
        </w:tc>
        <w:tc>
          <w:tcPr>
            <w:tcW w:w="990" w:type="dxa"/>
            <w:tcBorders>
              <w:left w:val="single" w:sz="4" w:space="0" w:color="auto"/>
            </w:tcBorders>
            <w:shd w:val="clear" w:color="auto" w:fill="FFFFFF" w:themeFill="background1"/>
            <w:vAlign w:val="center"/>
          </w:tcPr>
          <w:p w:rsidR="005C6BC3" w:rsidRPr="00A803A9" w:rsidRDefault="005C6BC3" w:rsidP="00C1379D">
            <w:pPr>
              <w:spacing w:line="200" w:lineRule="exact"/>
              <w:contextualSpacing/>
              <w:rPr>
                <w:rFonts w:asciiTheme="majorHAnsi" w:hAnsiTheme="majorHAnsi" w:cstheme="majorHAnsi"/>
                <w:color w:val="auto"/>
                <w:sz w:val="20"/>
                <w:szCs w:val="20"/>
              </w:rPr>
            </w:pPr>
            <w:r w:rsidRPr="00A803A9">
              <w:rPr>
                <w:rFonts w:asciiTheme="majorHAnsi" w:hAnsiTheme="majorHAnsi" w:cstheme="majorHAnsi"/>
                <w:color w:val="auto"/>
                <w:sz w:val="20"/>
                <w:szCs w:val="20"/>
              </w:rPr>
              <w:t>0%</w:t>
            </w:r>
          </w:p>
        </w:tc>
        <w:tc>
          <w:tcPr>
            <w:tcW w:w="1170" w:type="dxa"/>
            <w:shd w:val="clear" w:color="auto" w:fill="FFFFFF" w:themeFill="background1"/>
            <w:vAlign w:val="center"/>
          </w:tcPr>
          <w:p w:rsidR="005C6BC3" w:rsidRPr="00A803A9" w:rsidRDefault="005C6BC3" w:rsidP="00C1379D">
            <w:pPr>
              <w:spacing w:line="200" w:lineRule="exact"/>
              <w:contextualSpacing/>
              <w:rPr>
                <w:rFonts w:asciiTheme="majorHAnsi" w:hAnsiTheme="majorHAnsi" w:cstheme="majorHAnsi"/>
                <w:color w:val="auto"/>
                <w:sz w:val="20"/>
                <w:szCs w:val="20"/>
              </w:rPr>
            </w:pPr>
            <w:r w:rsidRPr="00A803A9">
              <w:rPr>
                <w:rFonts w:asciiTheme="majorHAnsi" w:hAnsiTheme="majorHAnsi" w:cstheme="majorHAnsi"/>
                <w:color w:val="auto"/>
                <w:sz w:val="20"/>
                <w:szCs w:val="20"/>
              </w:rPr>
              <w:t>20040908</w:t>
            </w:r>
          </w:p>
        </w:tc>
      </w:tr>
      <w:tr w:rsidR="005C6BC3" w:rsidRPr="00A803A9" w:rsidTr="00627C3A">
        <w:trPr>
          <w:trHeight w:val="287"/>
          <w:jc w:val="center"/>
        </w:trPr>
        <w:tc>
          <w:tcPr>
            <w:tcW w:w="2268" w:type="dxa"/>
            <w:tcBorders>
              <w:right w:val="single" w:sz="4" w:space="0" w:color="auto"/>
            </w:tcBorders>
            <w:shd w:val="clear" w:color="auto" w:fill="FFFFFF" w:themeFill="background1"/>
            <w:vAlign w:val="center"/>
          </w:tcPr>
          <w:p w:rsidR="005C6BC3" w:rsidRPr="00A803A9" w:rsidRDefault="005C6BC3" w:rsidP="00C1379D">
            <w:pPr>
              <w:spacing w:line="200" w:lineRule="exact"/>
              <w:contextualSpacing/>
              <w:jc w:val="left"/>
              <w:rPr>
                <w:rFonts w:asciiTheme="majorHAnsi" w:hAnsiTheme="majorHAnsi" w:cstheme="majorHAnsi"/>
                <w:color w:val="auto"/>
                <w:sz w:val="20"/>
                <w:szCs w:val="20"/>
              </w:rPr>
            </w:pPr>
            <w:r w:rsidRPr="00A803A9">
              <w:rPr>
                <w:rFonts w:asciiTheme="majorHAnsi" w:hAnsiTheme="majorHAnsi" w:cstheme="majorHAnsi"/>
                <w:color w:val="auto"/>
                <w:sz w:val="20"/>
                <w:szCs w:val="20"/>
              </w:rPr>
              <w:t>Sinusitis</w:t>
            </w:r>
          </w:p>
        </w:tc>
        <w:tc>
          <w:tcPr>
            <w:tcW w:w="1530" w:type="dxa"/>
            <w:gridSpan w:val="2"/>
            <w:tcBorders>
              <w:left w:val="single" w:sz="4" w:space="0" w:color="auto"/>
              <w:right w:val="thinThickThinSmallGap" w:sz="24" w:space="0" w:color="auto"/>
            </w:tcBorders>
            <w:shd w:val="clear" w:color="auto" w:fill="FFFFFF" w:themeFill="background1"/>
            <w:vAlign w:val="center"/>
          </w:tcPr>
          <w:p w:rsidR="005C6BC3" w:rsidRPr="00A803A9" w:rsidRDefault="005C6BC3" w:rsidP="00C1379D">
            <w:pPr>
              <w:spacing w:line="200" w:lineRule="exact"/>
              <w:contextualSpacing/>
              <w:rPr>
                <w:rFonts w:asciiTheme="majorHAnsi" w:hAnsiTheme="majorHAnsi" w:cstheme="majorHAnsi"/>
                <w:color w:val="auto"/>
                <w:sz w:val="20"/>
                <w:szCs w:val="20"/>
              </w:rPr>
            </w:pPr>
            <w:r w:rsidRPr="00A803A9">
              <w:rPr>
                <w:rFonts w:asciiTheme="majorHAnsi" w:hAnsiTheme="majorHAnsi" w:cstheme="majorHAnsi"/>
                <w:color w:val="auto"/>
                <w:sz w:val="20"/>
                <w:szCs w:val="20"/>
              </w:rPr>
              <w:t>Not Unfitting</w:t>
            </w:r>
          </w:p>
        </w:tc>
        <w:tc>
          <w:tcPr>
            <w:tcW w:w="2430" w:type="dxa"/>
            <w:tcBorders>
              <w:left w:val="thinThickThinSmallGap" w:sz="24" w:space="0" w:color="auto"/>
              <w:right w:val="single" w:sz="4" w:space="0" w:color="auto"/>
            </w:tcBorders>
            <w:shd w:val="clear" w:color="auto" w:fill="FFFFFF" w:themeFill="background1"/>
            <w:vAlign w:val="center"/>
          </w:tcPr>
          <w:p w:rsidR="005C6BC3" w:rsidRPr="00A803A9" w:rsidRDefault="005C6BC3" w:rsidP="00C1379D">
            <w:pPr>
              <w:spacing w:line="200" w:lineRule="exact"/>
              <w:contextualSpacing/>
              <w:jc w:val="left"/>
              <w:rPr>
                <w:rFonts w:asciiTheme="majorHAnsi" w:hAnsiTheme="majorHAnsi" w:cstheme="majorHAnsi"/>
                <w:color w:val="auto"/>
                <w:sz w:val="20"/>
                <w:szCs w:val="20"/>
              </w:rPr>
            </w:pPr>
            <w:r w:rsidRPr="00A803A9">
              <w:rPr>
                <w:rFonts w:asciiTheme="majorHAnsi" w:hAnsiTheme="majorHAnsi" w:cstheme="majorHAnsi"/>
                <w:color w:val="auto"/>
                <w:sz w:val="20"/>
                <w:szCs w:val="20"/>
              </w:rPr>
              <w:t>Sinusitis</w:t>
            </w:r>
          </w:p>
        </w:tc>
        <w:tc>
          <w:tcPr>
            <w:tcW w:w="1170" w:type="dxa"/>
            <w:tcBorders>
              <w:left w:val="single" w:sz="4" w:space="0" w:color="auto"/>
              <w:right w:val="single" w:sz="4" w:space="0" w:color="auto"/>
            </w:tcBorders>
            <w:shd w:val="clear" w:color="auto" w:fill="FFFFFF" w:themeFill="background1"/>
            <w:vAlign w:val="center"/>
          </w:tcPr>
          <w:p w:rsidR="005C6BC3" w:rsidRPr="00A803A9" w:rsidRDefault="005C6BC3" w:rsidP="00C1379D">
            <w:pPr>
              <w:spacing w:line="200" w:lineRule="exact"/>
              <w:contextualSpacing/>
              <w:rPr>
                <w:rFonts w:asciiTheme="majorHAnsi" w:hAnsiTheme="majorHAnsi" w:cstheme="majorHAnsi"/>
                <w:color w:val="auto"/>
                <w:sz w:val="20"/>
                <w:szCs w:val="20"/>
              </w:rPr>
            </w:pPr>
            <w:r w:rsidRPr="00A803A9">
              <w:rPr>
                <w:rFonts w:asciiTheme="majorHAnsi" w:hAnsiTheme="majorHAnsi" w:cstheme="majorHAnsi"/>
                <w:color w:val="auto"/>
                <w:sz w:val="20"/>
                <w:szCs w:val="20"/>
              </w:rPr>
              <w:t>6513</w:t>
            </w:r>
          </w:p>
        </w:tc>
        <w:tc>
          <w:tcPr>
            <w:tcW w:w="990" w:type="dxa"/>
            <w:tcBorders>
              <w:left w:val="single" w:sz="4" w:space="0" w:color="auto"/>
            </w:tcBorders>
            <w:shd w:val="clear" w:color="auto" w:fill="FFFFFF" w:themeFill="background1"/>
            <w:vAlign w:val="center"/>
          </w:tcPr>
          <w:p w:rsidR="005C6BC3" w:rsidRPr="00A803A9" w:rsidRDefault="005C6BC3" w:rsidP="00C1379D">
            <w:pPr>
              <w:spacing w:line="200" w:lineRule="exact"/>
              <w:contextualSpacing/>
              <w:rPr>
                <w:rFonts w:asciiTheme="majorHAnsi" w:hAnsiTheme="majorHAnsi" w:cstheme="majorHAnsi"/>
                <w:color w:val="auto"/>
                <w:sz w:val="20"/>
                <w:szCs w:val="20"/>
              </w:rPr>
            </w:pPr>
            <w:r w:rsidRPr="00A803A9">
              <w:rPr>
                <w:rFonts w:asciiTheme="majorHAnsi" w:hAnsiTheme="majorHAnsi" w:cstheme="majorHAnsi"/>
                <w:color w:val="auto"/>
                <w:sz w:val="20"/>
                <w:szCs w:val="20"/>
              </w:rPr>
              <w:t>0%</w:t>
            </w:r>
          </w:p>
        </w:tc>
        <w:tc>
          <w:tcPr>
            <w:tcW w:w="1170" w:type="dxa"/>
            <w:shd w:val="clear" w:color="auto" w:fill="FFFFFF" w:themeFill="background1"/>
            <w:vAlign w:val="center"/>
          </w:tcPr>
          <w:p w:rsidR="005C6BC3" w:rsidRPr="00A803A9" w:rsidRDefault="005C6BC3" w:rsidP="00C1379D">
            <w:pPr>
              <w:spacing w:line="200" w:lineRule="exact"/>
              <w:contextualSpacing/>
              <w:rPr>
                <w:rFonts w:asciiTheme="majorHAnsi" w:hAnsiTheme="majorHAnsi" w:cstheme="majorHAnsi"/>
                <w:color w:val="auto"/>
                <w:sz w:val="20"/>
                <w:szCs w:val="20"/>
              </w:rPr>
            </w:pPr>
            <w:r w:rsidRPr="00A803A9">
              <w:rPr>
                <w:rFonts w:asciiTheme="majorHAnsi" w:hAnsiTheme="majorHAnsi" w:cstheme="majorHAnsi"/>
                <w:color w:val="auto"/>
                <w:sz w:val="20"/>
                <w:szCs w:val="20"/>
              </w:rPr>
              <w:t>20040908</w:t>
            </w:r>
          </w:p>
        </w:tc>
      </w:tr>
      <w:tr w:rsidR="005C6BC3" w:rsidRPr="00A803A9" w:rsidTr="00627C3A">
        <w:trPr>
          <w:trHeight w:val="287"/>
          <w:jc w:val="center"/>
        </w:trPr>
        <w:tc>
          <w:tcPr>
            <w:tcW w:w="2268" w:type="dxa"/>
            <w:tcBorders>
              <w:right w:val="single" w:sz="4" w:space="0" w:color="auto"/>
            </w:tcBorders>
            <w:shd w:val="clear" w:color="auto" w:fill="FFFFFF" w:themeFill="background1"/>
            <w:vAlign w:val="center"/>
          </w:tcPr>
          <w:p w:rsidR="005C6BC3" w:rsidRPr="00A803A9" w:rsidRDefault="005C6BC3" w:rsidP="00C1379D">
            <w:pPr>
              <w:spacing w:line="200" w:lineRule="exact"/>
              <w:contextualSpacing/>
              <w:jc w:val="left"/>
              <w:rPr>
                <w:rFonts w:asciiTheme="majorHAnsi" w:hAnsiTheme="majorHAnsi" w:cstheme="majorHAnsi"/>
                <w:color w:val="auto"/>
                <w:sz w:val="20"/>
                <w:szCs w:val="20"/>
              </w:rPr>
            </w:pPr>
            <w:r w:rsidRPr="00A803A9">
              <w:rPr>
                <w:rFonts w:asciiTheme="majorHAnsi" w:hAnsiTheme="majorHAnsi" w:cstheme="majorHAnsi"/>
                <w:color w:val="auto"/>
                <w:sz w:val="20"/>
                <w:szCs w:val="20"/>
              </w:rPr>
              <w:t>Cystic Acne</w:t>
            </w:r>
          </w:p>
        </w:tc>
        <w:tc>
          <w:tcPr>
            <w:tcW w:w="1530" w:type="dxa"/>
            <w:gridSpan w:val="2"/>
            <w:tcBorders>
              <w:left w:val="single" w:sz="4" w:space="0" w:color="auto"/>
              <w:right w:val="thinThickThinSmallGap" w:sz="24" w:space="0" w:color="auto"/>
            </w:tcBorders>
            <w:shd w:val="clear" w:color="auto" w:fill="FFFFFF" w:themeFill="background1"/>
            <w:vAlign w:val="center"/>
          </w:tcPr>
          <w:p w:rsidR="005C6BC3" w:rsidRPr="00A803A9" w:rsidRDefault="005C6BC3" w:rsidP="00C1379D">
            <w:pPr>
              <w:spacing w:line="200" w:lineRule="exact"/>
              <w:contextualSpacing/>
              <w:rPr>
                <w:rFonts w:asciiTheme="majorHAnsi" w:hAnsiTheme="majorHAnsi" w:cstheme="majorHAnsi"/>
                <w:color w:val="auto"/>
                <w:sz w:val="20"/>
                <w:szCs w:val="20"/>
              </w:rPr>
            </w:pPr>
            <w:r w:rsidRPr="00A803A9">
              <w:rPr>
                <w:rFonts w:asciiTheme="majorHAnsi" w:hAnsiTheme="majorHAnsi" w:cstheme="majorHAnsi"/>
                <w:color w:val="auto"/>
                <w:sz w:val="20"/>
                <w:szCs w:val="20"/>
              </w:rPr>
              <w:t>Not Unfitting</w:t>
            </w:r>
          </w:p>
        </w:tc>
        <w:tc>
          <w:tcPr>
            <w:tcW w:w="2430" w:type="dxa"/>
            <w:tcBorders>
              <w:left w:val="thinThickThinSmallGap" w:sz="24" w:space="0" w:color="auto"/>
              <w:right w:val="single" w:sz="4" w:space="0" w:color="auto"/>
            </w:tcBorders>
            <w:shd w:val="clear" w:color="auto" w:fill="FFFFFF" w:themeFill="background1"/>
            <w:vAlign w:val="center"/>
          </w:tcPr>
          <w:p w:rsidR="005C6BC3" w:rsidRPr="00A803A9" w:rsidRDefault="005C6BC3" w:rsidP="00C1379D">
            <w:pPr>
              <w:spacing w:line="200" w:lineRule="exact"/>
              <w:contextualSpacing/>
              <w:jc w:val="left"/>
              <w:rPr>
                <w:rFonts w:asciiTheme="majorHAnsi" w:hAnsiTheme="majorHAnsi" w:cstheme="majorHAnsi"/>
                <w:color w:val="auto"/>
                <w:sz w:val="20"/>
                <w:szCs w:val="20"/>
              </w:rPr>
            </w:pPr>
            <w:r w:rsidRPr="00A803A9">
              <w:rPr>
                <w:rFonts w:asciiTheme="majorHAnsi" w:hAnsiTheme="majorHAnsi" w:cstheme="majorHAnsi"/>
                <w:color w:val="auto"/>
                <w:sz w:val="20"/>
                <w:szCs w:val="20"/>
              </w:rPr>
              <w:t>Acne Vulgaris</w:t>
            </w:r>
            <w:r w:rsidR="00913D96" w:rsidRPr="00A803A9">
              <w:rPr>
                <w:rFonts w:asciiTheme="majorHAnsi" w:hAnsiTheme="majorHAnsi" w:cstheme="majorHAnsi"/>
                <w:color w:val="auto"/>
                <w:sz w:val="20"/>
                <w:szCs w:val="20"/>
              </w:rPr>
              <w:t>*</w:t>
            </w:r>
          </w:p>
        </w:tc>
        <w:tc>
          <w:tcPr>
            <w:tcW w:w="1170" w:type="dxa"/>
            <w:tcBorders>
              <w:left w:val="single" w:sz="4" w:space="0" w:color="auto"/>
              <w:right w:val="single" w:sz="4" w:space="0" w:color="auto"/>
            </w:tcBorders>
            <w:shd w:val="clear" w:color="auto" w:fill="FFFFFF" w:themeFill="background1"/>
            <w:vAlign w:val="center"/>
          </w:tcPr>
          <w:p w:rsidR="005C6BC3" w:rsidRPr="00A803A9" w:rsidRDefault="005C6BC3" w:rsidP="00C1379D">
            <w:pPr>
              <w:spacing w:line="200" w:lineRule="exact"/>
              <w:contextualSpacing/>
              <w:rPr>
                <w:rFonts w:asciiTheme="majorHAnsi" w:hAnsiTheme="majorHAnsi" w:cstheme="majorHAnsi"/>
                <w:color w:val="auto"/>
                <w:sz w:val="20"/>
                <w:szCs w:val="20"/>
              </w:rPr>
            </w:pPr>
            <w:r w:rsidRPr="00A803A9">
              <w:rPr>
                <w:rFonts w:asciiTheme="majorHAnsi" w:hAnsiTheme="majorHAnsi" w:cstheme="majorHAnsi"/>
                <w:color w:val="auto"/>
                <w:sz w:val="20"/>
                <w:szCs w:val="20"/>
              </w:rPr>
              <w:t>7899-7806</w:t>
            </w:r>
          </w:p>
        </w:tc>
        <w:tc>
          <w:tcPr>
            <w:tcW w:w="990" w:type="dxa"/>
            <w:tcBorders>
              <w:left w:val="single" w:sz="4" w:space="0" w:color="auto"/>
            </w:tcBorders>
            <w:shd w:val="clear" w:color="auto" w:fill="FFFFFF" w:themeFill="background1"/>
            <w:vAlign w:val="center"/>
          </w:tcPr>
          <w:p w:rsidR="005C6BC3" w:rsidRPr="00A803A9" w:rsidRDefault="005C6BC3" w:rsidP="00C1379D">
            <w:pPr>
              <w:spacing w:line="200" w:lineRule="exact"/>
              <w:contextualSpacing/>
              <w:rPr>
                <w:rFonts w:asciiTheme="majorHAnsi" w:hAnsiTheme="majorHAnsi" w:cstheme="majorHAnsi"/>
                <w:color w:val="auto"/>
                <w:sz w:val="20"/>
                <w:szCs w:val="20"/>
              </w:rPr>
            </w:pPr>
            <w:r w:rsidRPr="00A803A9">
              <w:rPr>
                <w:rFonts w:asciiTheme="majorHAnsi" w:hAnsiTheme="majorHAnsi" w:cstheme="majorHAnsi"/>
                <w:color w:val="auto"/>
                <w:sz w:val="20"/>
                <w:szCs w:val="20"/>
              </w:rPr>
              <w:t>10%</w:t>
            </w:r>
          </w:p>
        </w:tc>
        <w:tc>
          <w:tcPr>
            <w:tcW w:w="1170" w:type="dxa"/>
            <w:shd w:val="clear" w:color="auto" w:fill="FFFFFF" w:themeFill="background1"/>
            <w:vAlign w:val="center"/>
          </w:tcPr>
          <w:p w:rsidR="005C6BC3" w:rsidRPr="00A803A9" w:rsidRDefault="005C6BC3" w:rsidP="00C1379D">
            <w:pPr>
              <w:spacing w:line="200" w:lineRule="exact"/>
              <w:contextualSpacing/>
              <w:rPr>
                <w:rFonts w:asciiTheme="majorHAnsi" w:hAnsiTheme="majorHAnsi" w:cstheme="majorHAnsi"/>
                <w:color w:val="auto"/>
                <w:sz w:val="20"/>
                <w:szCs w:val="20"/>
              </w:rPr>
            </w:pPr>
            <w:r w:rsidRPr="00A803A9">
              <w:rPr>
                <w:rFonts w:asciiTheme="majorHAnsi" w:hAnsiTheme="majorHAnsi" w:cstheme="majorHAnsi"/>
                <w:color w:val="auto"/>
                <w:sz w:val="20"/>
                <w:szCs w:val="20"/>
              </w:rPr>
              <w:t>20040908</w:t>
            </w:r>
          </w:p>
        </w:tc>
      </w:tr>
      <w:tr w:rsidR="00102E37" w:rsidRPr="00A803A9" w:rsidTr="00627C3A">
        <w:trPr>
          <w:trHeight w:val="287"/>
          <w:jc w:val="center"/>
        </w:trPr>
        <w:tc>
          <w:tcPr>
            <w:tcW w:w="2268" w:type="dxa"/>
            <w:tcBorders>
              <w:right w:val="single" w:sz="4" w:space="0" w:color="auto"/>
            </w:tcBorders>
            <w:shd w:val="clear" w:color="auto" w:fill="FFFFFF" w:themeFill="background1"/>
            <w:vAlign w:val="center"/>
          </w:tcPr>
          <w:p w:rsidR="00102E37" w:rsidRPr="00A803A9" w:rsidRDefault="00102E37" w:rsidP="00C1379D">
            <w:pPr>
              <w:spacing w:line="200" w:lineRule="exact"/>
              <w:contextualSpacing/>
              <w:jc w:val="left"/>
              <w:rPr>
                <w:rFonts w:asciiTheme="majorHAnsi" w:hAnsiTheme="majorHAnsi" w:cstheme="majorHAnsi"/>
                <w:color w:val="auto"/>
                <w:sz w:val="20"/>
                <w:szCs w:val="20"/>
              </w:rPr>
            </w:pPr>
            <w:r w:rsidRPr="00A803A9">
              <w:rPr>
                <w:rFonts w:asciiTheme="majorHAnsi" w:hAnsiTheme="majorHAnsi" w:cstheme="majorHAnsi"/>
                <w:color w:val="auto"/>
                <w:sz w:val="20"/>
                <w:szCs w:val="20"/>
              </w:rPr>
              <w:t>Smoking</w:t>
            </w:r>
          </w:p>
        </w:tc>
        <w:tc>
          <w:tcPr>
            <w:tcW w:w="1530" w:type="dxa"/>
            <w:gridSpan w:val="2"/>
            <w:tcBorders>
              <w:left w:val="single" w:sz="4" w:space="0" w:color="auto"/>
              <w:right w:val="thinThickThinSmallGap" w:sz="24" w:space="0" w:color="auto"/>
            </w:tcBorders>
            <w:shd w:val="clear" w:color="auto" w:fill="FFFFFF" w:themeFill="background1"/>
            <w:vAlign w:val="center"/>
          </w:tcPr>
          <w:p w:rsidR="00102E37" w:rsidRPr="00A803A9" w:rsidRDefault="00102E37" w:rsidP="00C1379D">
            <w:pPr>
              <w:spacing w:line="200" w:lineRule="exact"/>
              <w:contextualSpacing/>
              <w:rPr>
                <w:rFonts w:asciiTheme="majorHAnsi" w:hAnsiTheme="majorHAnsi" w:cstheme="majorHAnsi"/>
                <w:color w:val="auto"/>
                <w:sz w:val="20"/>
                <w:szCs w:val="20"/>
              </w:rPr>
            </w:pPr>
            <w:r w:rsidRPr="00A803A9">
              <w:rPr>
                <w:rFonts w:asciiTheme="majorHAnsi" w:hAnsiTheme="majorHAnsi" w:cstheme="majorHAnsi"/>
                <w:color w:val="auto"/>
                <w:sz w:val="20"/>
                <w:szCs w:val="20"/>
              </w:rPr>
              <w:t>Not Unfitting</w:t>
            </w:r>
          </w:p>
        </w:tc>
        <w:tc>
          <w:tcPr>
            <w:tcW w:w="5760" w:type="dxa"/>
            <w:gridSpan w:val="4"/>
            <w:tcBorders>
              <w:left w:val="thinThickThinSmallGap" w:sz="24" w:space="0" w:color="auto"/>
            </w:tcBorders>
            <w:shd w:val="clear" w:color="auto" w:fill="FFFFFF" w:themeFill="background1"/>
            <w:vAlign w:val="center"/>
          </w:tcPr>
          <w:p w:rsidR="00102E37" w:rsidRPr="00A803A9" w:rsidRDefault="00102E37" w:rsidP="00C1379D">
            <w:pPr>
              <w:spacing w:line="200" w:lineRule="exact"/>
              <w:contextualSpacing/>
              <w:rPr>
                <w:rFonts w:asciiTheme="majorHAnsi" w:hAnsiTheme="majorHAnsi" w:cstheme="majorHAnsi"/>
                <w:color w:val="auto"/>
                <w:sz w:val="20"/>
                <w:szCs w:val="20"/>
              </w:rPr>
            </w:pPr>
            <w:r w:rsidRPr="00A803A9">
              <w:rPr>
                <w:rFonts w:asciiTheme="majorHAnsi" w:hAnsiTheme="majorHAnsi" w:cstheme="majorHAnsi"/>
                <w:color w:val="auto"/>
                <w:sz w:val="20"/>
                <w:szCs w:val="20"/>
              </w:rPr>
              <w:t>No VA Entry</w:t>
            </w:r>
          </w:p>
        </w:tc>
      </w:tr>
      <w:tr w:rsidR="005C6BC3" w:rsidRPr="00A803A9" w:rsidTr="00627C3A">
        <w:trPr>
          <w:trHeight w:val="260"/>
          <w:jc w:val="center"/>
        </w:trPr>
        <w:tc>
          <w:tcPr>
            <w:tcW w:w="3798" w:type="dxa"/>
            <w:gridSpan w:val="3"/>
            <w:vMerge w:val="restart"/>
            <w:tcBorders>
              <w:right w:val="thinThickThinSmallGap" w:sz="24" w:space="0" w:color="auto"/>
            </w:tcBorders>
            <w:shd w:val="clear" w:color="auto" w:fill="FFFFFF" w:themeFill="background1"/>
            <w:vAlign w:val="center"/>
          </w:tcPr>
          <w:p w:rsidR="005C6BC3" w:rsidRPr="00A803A9" w:rsidRDefault="005C6BC3" w:rsidP="00C1379D">
            <w:pPr>
              <w:spacing w:line="200" w:lineRule="exact"/>
              <w:contextualSpacing/>
              <w:rPr>
                <w:rFonts w:asciiTheme="majorHAnsi" w:hAnsiTheme="majorHAnsi" w:cstheme="majorHAnsi"/>
                <w:color w:val="auto"/>
                <w:sz w:val="20"/>
                <w:szCs w:val="20"/>
              </w:rPr>
            </w:pPr>
            <w:r w:rsidRPr="00A803A9">
              <w:rPr>
                <w:rFonts w:asciiTheme="majorHAnsi" w:hAnsiTheme="majorHAnsi" w:cstheme="majorHAnsi"/>
                <w:color w:val="auto"/>
                <w:sz w:val="20"/>
                <w:szCs w:val="20"/>
              </w:rPr>
              <w:t>↓No Additional MEB/PEB Entries↓</w:t>
            </w:r>
          </w:p>
        </w:tc>
        <w:tc>
          <w:tcPr>
            <w:tcW w:w="2430" w:type="dxa"/>
            <w:tcBorders>
              <w:left w:val="thinThickThinSmallGap" w:sz="24" w:space="0" w:color="auto"/>
              <w:right w:val="single" w:sz="4" w:space="0" w:color="auto"/>
            </w:tcBorders>
            <w:shd w:val="clear" w:color="auto" w:fill="FFFFFF" w:themeFill="background1"/>
            <w:vAlign w:val="center"/>
          </w:tcPr>
          <w:p w:rsidR="005C6BC3" w:rsidRPr="00A803A9" w:rsidRDefault="005C6BC3" w:rsidP="00C1379D">
            <w:pPr>
              <w:spacing w:line="200" w:lineRule="exact"/>
              <w:jc w:val="left"/>
              <w:rPr>
                <w:rFonts w:asciiTheme="majorHAnsi" w:hAnsiTheme="majorHAnsi" w:cstheme="majorHAnsi"/>
                <w:color w:val="auto"/>
                <w:sz w:val="20"/>
                <w:szCs w:val="20"/>
              </w:rPr>
            </w:pPr>
            <w:r w:rsidRPr="00A803A9">
              <w:rPr>
                <w:rFonts w:asciiTheme="majorHAnsi" w:hAnsiTheme="majorHAnsi" w:cstheme="majorHAnsi"/>
                <w:color w:val="auto"/>
                <w:sz w:val="20"/>
                <w:szCs w:val="20"/>
              </w:rPr>
              <w:t>Kidney Stones</w:t>
            </w:r>
            <w:r w:rsidR="00913D96" w:rsidRPr="00A803A9">
              <w:rPr>
                <w:rFonts w:asciiTheme="majorHAnsi" w:hAnsiTheme="majorHAnsi" w:cstheme="majorHAnsi"/>
                <w:color w:val="auto"/>
                <w:sz w:val="20"/>
                <w:szCs w:val="20"/>
              </w:rPr>
              <w:t>*</w:t>
            </w:r>
          </w:p>
        </w:tc>
        <w:tc>
          <w:tcPr>
            <w:tcW w:w="1170" w:type="dxa"/>
            <w:tcBorders>
              <w:left w:val="single" w:sz="4" w:space="0" w:color="auto"/>
            </w:tcBorders>
            <w:shd w:val="clear" w:color="auto" w:fill="FFFFFF" w:themeFill="background1"/>
            <w:vAlign w:val="center"/>
          </w:tcPr>
          <w:p w:rsidR="005C6BC3" w:rsidRPr="00A803A9" w:rsidRDefault="005C6BC3" w:rsidP="00C1379D">
            <w:pPr>
              <w:spacing w:line="200" w:lineRule="exact"/>
              <w:contextualSpacing/>
              <w:rPr>
                <w:rFonts w:asciiTheme="majorHAnsi" w:hAnsiTheme="majorHAnsi" w:cstheme="majorHAnsi"/>
                <w:color w:val="auto"/>
                <w:sz w:val="20"/>
                <w:szCs w:val="20"/>
              </w:rPr>
            </w:pPr>
            <w:r w:rsidRPr="00A803A9">
              <w:rPr>
                <w:rFonts w:asciiTheme="majorHAnsi" w:hAnsiTheme="majorHAnsi" w:cstheme="majorHAnsi"/>
                <w:color w:val="auto"/>
                <w:sz w:val="20"/>
                <w:szCs w:val="20"/>
              </w:rPr>
              <w:t>7508</w:t>
            </w:r>
          </w:p>
        </w:tc>
        <w:tc>
          <w:tcPr>
            <w:tcW w:w="990" w:type="dxa"/>
            <w:shd w:val="clear" w:color="auto" w:fill="FFFFFF" w:themeFill="background1"/>
            <w:vAlign w:val="center"/>
          </w:tcPr>
          <w:p w:rsidR="005C6BC3" w:rsidRPr="00A803A9" w:rsidRDefault="005C6BC3" w:rsidP="00C1379D">
            <w:pPr>
              <w:spacing w:line="200" w:lineRule="exact"/>
              <w:contextualSpacing/>
              <w:rPr>
                <w:rFonts w:asciiTheme="majorHAnsi" w:hAnsiTheme="majorHAnsi" w:cstheme="majorHAnsi"/>
                <w:color w:val="auto"/>
                <w:sz w:val="20"/>
                <w:szCs w:val="20"/>
              </w:rPr>
            </w:pPr>
            <w:r w:rsidRPr="00A803A9">
              <w:rPr>
                <w:rFonts w:asciiTheme="majorHAnsi" w:hAnsiTheme="majorHAnsi" w:cstheme="majorHAnsi"/>
                <w:color w:val="auto"/>
                <w:sz w:val="20"/>
                <w:szCs w:val="20"/>
              </w:rPr>
              <w:t>10%</w:t>
            </w:r>
          </w:p>
        </w:tc>
        <w:tc>
          <w:tcPr>
            <w:tcW w:w="1170" w:type="dxa"/>
            <w:shd w:val="clear" w:color="auto" w:fill="FFFFFF" w:themeFill="background1"/>
            <w:vAlign w:val="center"/>
          </w:tcPr>
          <w:p w:rsidR="005C6BC3" w:rsidRPr="00A803A9" w:rsidRDefault="005C6BC3" w:rsidP="00C1379D">
            <w:pPr>
              <w:spacing w:line="200" w:lineRule="exact"/>
              <w:contextualSpacing/>
              <w:rPr>
                <w:rFonts w:asciiTheme="majorHAnsi" w:hAnsiTheme="majorHAnsi" w:cstheme="majorHAnsi"/>
                <w:color w:val="auto"/>
                <w:sz w:val="20"/>
                <w:szCs w:val="20"/>
              </w:rPr>
            </w:pPr>
            <w:r w:rsidRPr="00A803A9">
              <w:rPr>
                <w:rFonts w:asciiTheme="majorHAnsi" w:hAnsiTheme="majorHAnsi" w:cstheme="majorHAnsi"/>
                <w:color w:val="auto"/>
                <w:sz w:val="20"/>
                <w:szCs w:val="20"/>
              </w:rPr>
              <w:t>20040908</w:t>
            </w:r>
          </w:p>
        </w:tc>
      </w:tr>
      <w:tr w:rsidR="005C6BC3" w:rsidRPr="00A803A9" w:rsidTr="00627C3A">
        <w:trPr>
          <w:trHeight w:val="260"/>
          <w:jc w:val="center"/>
        </w:trPr>
        <w:tc>
          <w:tcPr>
            <w:tcW w:w="3798" w:type="dxa"/>
            <w:gridSpan w:val="3"/>
            <w:vMerge/>
            <w:tcBorders>
              <w:right w:val="thinThickThinSmallGap" w:sz="24" w:space="0" w:color="auto"/>
            </w:tcBorders>
            <w:shd w:val="clear" w:color="auto" w:fill="FFFFFF" w:themeFill="background1"/>
            <w:vAlign w:val="center"/>
          </w:tcPr>
          <w:p w:rsidR="005C6BC3" w:rsidRPr="00A803A9" w:rsidRDefault="005C6BC3" w:rsidP="00C1379D">
            <w:pPr>
              <w:spacing w:line="200" w:lineRule="exact"/>
              <w:contextualSpacing/>
              <w:rPr>
                <w:rFonts w:asciiTheme="majorHAnsi" w:hAnsiTheme="majorHAnsi" w:cstheme="majorHAnsi"/>
                <w:color w:val="auto"/>
                <w:sz w:val="20"/>
                <w:szCs w:val="20"/>
              </w:rPr>
            </w:pPr>
          </w:p>
        </w:tc>
        <w:tc>
          <w:tcPr>
            <w:tcW w:w="2430" w:type="dxa"/>
            <w:tcBorders>
              <w:left w:val="thinThickThinSmallGap" w:sz="24" w:space="0" w:color="auto"/>
              <w:right w:val="single" w:sz="4" w:space="0" w:color="auto"/>
            </w:tcBorders>
            <w:shd w:val="clear" w:color="auto" w:fill="FFFFFF" w:themeFill="background1"/>
            <w:vAlign w:val="center"/>
          </w:tcPr>
          <w:p w:rsidR="005C6BC3" w:rsidRPr="00A803A9" w:rsidRDefault="005C6BC3" w:rsidP="00C1379D">
            <w:pPr>
              <w:spacing w:line="200" w:lineRule="exact"/>
              <w:contextualSpacing/>
              <w:jc w:val="left"/>
              <w:rPr>
                <w:rFonts w:asciiTheme="majorHAnsi" w:hAnsiTheme="majorHAnsi" w:cstheme="majorHAnsi"/>
                <w:color w:val="auto"/>
                <w:sz w:val="20"/>
                <w:szCs w:val="20"/>
              </w:rPr>
            </w:pPr>
            <w:r w:rsidRPr="00A803A9">
              <w:rPr>
                <w:rFonts w:asciiTheme="majorHAnsi" w:hAnsiTheme="majorHAnsi" w:cstheme="majorHAnsi"/>
                <w:color w:val="auto"/>
                <w:sz w:val="20"/>
                <w:szCs w:val="20"/>
              </w:rPr>
              <w:t>Gallbladder Polyps</w:t>
            </w:r>
          </w:p>
        </w:tc>
        <w:tc>
          <w:tcPr>
            <w:tcW w:w="1170" w:type="dxa"/>
            <w:tcBorders>
              <w:left w:val="single" w:sz="4" w:space="0" w:color="auto"/>
            </w:tcBorders>
            <w:shd w:val="clear" w:color="auto" w:fill="FFFFFF" w:themeFill="background1"/>
            <w:vAlign w:val="center"/>
          </w:tcPr>
          <w:p w:rsidR="005C6BC3" w:rsidRPr="00A803A9" w:rsidRDefault="005C6BC3" w:rsidP="00C1379D">
            <w:pPr>
              <w:spacing w:line="200" w:lineRule="exact"/>
              <w:contextualSpacing/>
              <w:rPr>
                <w:rFonts w:asciiTheme="majorHAnsi" w:hAnsiTheme="majorHAnsi" w:cstheme="majorHAnsi"/>
                <w:color w:val="auto"/>
                <w:sz w:val="20"/>
                <w:szCs w:val="20"/>
              </w:rPr>
            </w:pPr>
            <w:r w:rsidRPr="00A803A9">
              <w:rPr>
                <w:rFonts w:asciiTheme="majorHAnsi" w:hAnsiTheme="majorHAnsi" w:cstheme="majorHAnsi"/>
                <w:color w:val="auto"/>
                <w:sz w:val="20"/>
                <w:szCs w:val="20"/>
              </w:rPr>
              <w:t>7399-7314</w:t>
            </w:r>
          </w:p>
        </w:tc>
        <w:tc>
          <w:tcPr>
            <w:tcW w:w="990" w:type="dxa"/>
            <w:shd w:val="clear" w:color="auto" w:fill="FFFFFF" w:themeFill="background1"/>
            <w:vAlign w:val="center"/>
          </w:tcPr>
          <w:p w:rsidR="005C6BC3" w:rsidRPr="00A803A9" w:rsidRDefault="005C6BC3" w:rsidP="00C1379D">
            <w:pPr>
              <w:spacing w:line="200" w:lineRule="exact"/>
              <w:contextualSpacing/>
              <w:rPr>
                <w:rFonts w:asciiTheme="majorHAnsi" w:hAnsiTheme="majorHAnsi" w:cstheme="majorHAnsi"/>
                <w:color w:val="auto"/>
                <w:sz w:val="20"/>
                <w:szCs w:val="20"/>
              </w:rPr>
            </w:pPr>
            <w:r w:rsidRPr="00A803A9">
              <w:rPr>
                <w:rFonts w:asciiTheme="majorHAnsi" w:hAnsiTheme="majorHAnsi" w:cstheme="majorHAnsi"/>
                <w:color w:val="auto"/>
                <w:sz w:val="20"/>
                <w:szCs w:val="20"/>
              </w:rPr>
              <w:t>30%</w:t>
            </w:r>
          </w:p>
        </w:tc>
        <w:tc>
          <w:tcPr>
            <w:tcW w:w="1170" w:type="dxa"/>
            <w:shd w:val="clear" w:color="auto" w:fill="FFFFFF" w:themeFill="background1"/>
            <w:vAlign w:val="center"/>
          </w:tcPr>
          <w:p w:rsidR="005C6BC3" w:rsidRPr="00A803A9" w:rsidRDefault="005C6BC3" w:rsidP="00C1379D">
            <w:pPr>
              <w:spacing w:line="200" w:lineRule="exact"/>
              <w:contextualSpacing/>
              <w:rPr>
                <w:rFonts w:asciiTheme="majorHAnsi" w:hAnsiTheme="majorHAnsi" w:cstheme="majorHAnsi"/>
                <w:color w:val="auto"/>
                <w:sz w:val="20"/>
                <w:szCs w:val="20"/>
              </w:rPr>
            </w:pPr>
            <w:r w:rsidRPr="00A803A9">
              <w:rPr>
                <w:rFonts w:asciiTheme="majorHAnsi" w:hAnsiTheme="majorHAnsi" w:cstheme="majorHAnsi"/>
                <w:color w:val="auto"/>
                <w:sz w:val="20"/>
                <w:szCs w:val="20"/>
              </w:rPr>
              <w:t>20040908</w:t>
            </w:r>
          </w:p>
        </w:tc>
      </w:tr>
      <w:tr w:rsidR="005C6BC3" w:rsidRPr="00A803A9" w:rsidTr="00627C3A">
        <w:trPr>
          <w:trHeight w:val="260"/>
          <w:jc w:val="center"/>
        </w:trPr>
        <w:tc>
          <w:tcPr>
            <w:tcW w:w="3798" w:type="dxa"/>
            <w:gridSpan w:val="3"/>
            <w:vMerge/>
            <w:tcBorders>
              <w:right w:val="thinThickThinSmallGap" w:sz="24" w:space="0" w:color="auto"/>
            </w:tcBorders>
            <w:shd w:val="clear" w:color="auto" w:fill="FFFFFF" w:themeFill="background1"/>
          </w:tcPr>
          <w:p w:rsidR="005C6BC3" w:rsidRPr="00A803A9" w:rsidRDefault="005C6BC3" w:rsidP="00C1379D">
            <w:pPr>
              <w:spacing w:line="200" w:lineRule="exact"/>
              <w:contextualSpacing/>
              <w:rPr>
                <w:rFonts w:asciiTheme="majorHAnsi" w:hAnsiTheme="majorHAnsi" w:cstheme="majorHAnsi"/>
                <w:color w:val="auto"/>
                <w:sz w:val="20"/>
                <w:szCs w:val="20"/>
              </w:rPr>
            </w:pPr>
          </w:p>
        </w:tc>
        <w:tc>
          <w:tcPr>
            <w:tcW w:w="4590" w:type="dxa"/>
            <w:gridSpan w:val="3"/>
            <w:tcBorders>
              <w:left w:val="thinThickThinSmallGap" w:sz="24" w:space="0" w:color="auto"/>
            </w:tcBorders>
            <w:shd w:val="clear" w:color="auto" w:fill="FFFFFF" w:themeFill="background1"/>
            <w:vAlign w:val="center"/>
          </w:tcPr>
          <w:p w:rsidR="005C6BC3" w:rsidRPr="00A803A9" w:rsidRDefault="00703C8F" w:rsidP="00C1379D">
            <w:pPr>
              <w:spacing w:line="200" w:lineRule="exact"/>
              <w:contextualSpacing/>
              <w:rPr>
                <w:rFonts w:asciiTheme="majorHAnsi" w:hAnsiTheme="majorHAnsi" w:cstheme="majorHAnsi"/>
                <w:color w:val="auto"/>
                <w:sz w:val="20"/>
                <w:szCs w:val="20"/>
              </w:rPr>
            </w:pPr>
            <w:r>
              <w:rPr>
                <w:rFonts w:asciiTheme="majorHAnsi" w:hAnsiTheme="majorHAnsi" w:cstheme="majorHAnsi"/>
                <w:color w:val="auto"/>
                <w:sz w:val="20"/>
                <w:szCs w:val="20"/>
              </w:rPr>
              <w:t>0% x 4</w:t>
            </w:r>
            <w:r w:rsidR="009C039F">
              <w:rPr>
                <w:rFonts w:asciiTheme="majorHAnsi" w:hAnsiTheme="majorHAnsi" w:cstheme="majorHAnsi"/>
                <w:color w:val="auto"/>
                <w:sz w:val="20"/>
                <w:szCs w:val="20"/>
              </w:rPr>
              <w:t>/Not Service-</w:t>
            </w:r>
            <w:r w:rsidR="005C6BC3" w:rsidRPr="00A803A9">
              <w:rPr>
                <w:rFonts w:asciiTheme="majorHAnsi" w:hAnsiTheme="majorHAnsi" w:cstheme="majorHAnsi"/>
                <w:color w:val="auto"/>
                <w:sz w:val="20"/>
                <w:szCs w:val="20"/>
              </w:rPr>
              <w:t>Connected x 5</w:t>
            </w:r>
          </w:p>
        </w:tc>
        <w:tc>
          <w:tcPr>
            <w:tcW w:w="1170" w:type="dxa"/>
            <w:shd w:val="clear" w:color="auto" w:fill="FFFFFF" w:themeFill="background1"/>
            <w:vAlign w:val="center"/>
          </w:tcPr>
          <w:p w:rsidR="005C6BC3" w:rsidRPr="00A803A9" w:rsidRDefault="005C6BC3" w:rsidP="00C1379D">
            <w:pPr>
              <w:spacing w:line="200" w:lineRule="exact"/>
              <w:contextualSpacing/>
              <w:rPr>
                <w:rFonts w:asciiTheme="majorHAnsi" w:hAnsiTheme="majorHAnsi" w:cstheme="majorHAnsi"/>
                <w:color w:val="auto"/>
                <w:sz w:val="20"/>
                <w:szCs w:val="20"/>
              </w:rPr>
            </w:pPr>
            <w:r w:rsidRPr="00A803A9">
              <w:rPr>
                <w:rFonts w:asciiTheme="majorHAnsi" w:hAnsiTheme="majorHAnsi" w:cstheme="majorHAnsi"/>
                <w:color w:val="auto"/>
                <w:sz w:val="20"/>
                <w:szCs w:val="20"/>
              </w:rPr>
              <w:t>20040908</w:t>
            </w:r>
          </w:p>
        </w:tc>
      </w:tr>
      <w:tr w:rsidR="005C6BC3" w:rsidRPr="00A803A9" w:rsidTr="00627C3A">
        <w:trPr>
          <w:trHeight w:val="242"/>
          <w:jc w:val="center"/>
        </w:trPr>
        <w:tc>
          <w:tcPr>
            <w:tcW w:w="3798" w:type="dxa"/>
            <w:gridSpan w:val="3"/>
            <w:tcBorders>
              <w:right w:val="thinThickThinSmallGap" w:sz="24" w:space="0" w:color="auto"/>
            </w:tcBorders>
            <w:shd w:val="clear" w:color="auto" w:fill="D9D9D9" w:themeFill="background1" w:themeFillShade="D9"/>
            <w:vAlign w:val="center"/>
          </w:tcPr>
          <w:p w:rsidR="005C6BC3" w:rsidRPr="00A803A9" w:rsidRDefault="005C6BC3" w:rsidP="00C1379D">
            <w:pPr>
              <w:spacing w:line="200" w:lineRule="exact"/>
              <w:contextualSpacing/>
              <w:rPr>
                <w:rFonts w:asciiTheme="majorHAnsi" w:hAnsiTheme="majorHAnsi" w:cstheme="majorHAnsi"/>
                <w:b/>
                <w:color w:val="auto"/>
                <w:sz w:val="20"/>
                <w:szCs w:val="20"/>
              </w:rPr>
            </w:pPr>
            <w:r w:rsidRPr="00A803A9">
              <w:rPr>
                <w:rFonts w:asciiTheme="majorHAnsi" w:hAnsiTheme="majorHAnsi" w:cstheme="majorHAnsi"/>
                <w:b/>
                <w:color w:val="auto"/>
                <w:sz w:val="20"/>
                <w:szCs w:val="20"/>
              </w:rPr>
              <w:t>Combined:  10%</w:t>
            </w:r>
          </w:p>
        </w:tc>
        <w:tc>
          <w:tcPr>
            <w:tcW w:w="5760" w:type="dxa"/>
            <w:gridSpan w:val="4"/>
            <w:tcBorders>
              <w:left w:val="thinThickThinSmallGap" w:sz="24" w:space="0" w:color="auto"/>
            </w:tcBorders>
            <w:shd w:val="clear" w:color="auto" w:fill="D9D9D9" w:themeFill="background1" w:themeFillShade="D9"/>
            <w:vAlign w:val="center"/>
          </w:tcPr>
          <w:p w:rsidR="005C6BC3" w:rsidRPr="00A803A9" w:rsidRDefault="005C6BC3" w:rsidP="00C1379D">
            <w:pPr>
              <w:spacing w:line="200" w:lineRule="exact"/>
              <w:contextualSpacing/>
              <w:rPr>
                <w:rFonts w:asciiTheme="majorHAnsi" w:hAnsiTheme="majorHAnsi" w:cstheme="majorHAnsi"/>
                <w:b/>
                <w:color w:val="auto"/>
                <w:sz w:val="20"/>
                <w:szCs w:val="20"/>
              </w:rPr>
            </w:pPr>
            <w:r w:rsidRPr="00A803A9">
              <w:rPr>
                <w:rFonts w:asciiTheme="majorHAnsi" w:hAnsiTheme="majorHAnsi" w:cstheme="majorHAnsi"/>
                <w:b/>
                <w:color w:val="auto"/>
                <w:sz w:val="20"/>
                <w:szCs w:val="20"/>
              </w:rPr>
              <w:t>Combined:  70%</w:t>
            </w:r>
          </w:p>
        </w:tc>
      </w:tr>
    </w:tbl>
    <w:p w:rsidR="008C1DE1" w:rsidRPr="00C62E02" w:rsidRDefault="008C1DE1" w:rsidP="00F90376">
      <w:pPr>
        <w:pBdr>
          <w:bottom w:val="single" w:sz="12" w:space="1" w:color="auto"/>
        </w:pBdr>
        <w:tabs>
          <w:tab w:val="left" w:pos="288"/>
          <w:tab w:val="left" w:pos="4752"/>
        </w:tabs>
        <w:jc w:val="both"/>
        <w:rPr>
          <w:color w:val="auto"/>
        </w:rPr>
      </w:pPr>
    </w:p>
    <w:p w:rsidR="00AD2379" w:rsidRPr="00C62E02" w:rsidRDefault="00AD2379" w:rsidP="00165C7B">
      <w:pPr>
        <w:jc w:val="both"/>
        <w:rPr>
          <w:color w:val="auto"/>
        </w:rPr>
      </w:pPr>
    </w:p>
    <w:p w:rsidR="00575260" w:rsidRPr="00800F6A" w:rsidRDefault="00AD2379" w:rsidP="00575260">
      <w:pPr>
        <w:tabs>
          <w:tab w:val="left" w:pos="288"/>
          <w:tab w:val="left" w:pos="4752"/>
        </w:tabs>
        <w:jc w:val="both"/>
        <w:rPr>
          <w:color w:val="auto"/>
          <w:szCs w:val="24"/>
        </w:rPr>
      </w:pPr>
      <w:r w:rsidRPr="00F27775">
        <w:rPr>
          <w:color w:val="auto"/>
          <w:u w:val="single"/>
        </w:rPr>
        <w:t>ANALYSIS SUMMARY</w:t>
      </w:r>
      <w:r w:rsidRPr="00F27775">
        <w:rPr>
          <w:color w:val="auto"/>
        </w:rPr>
        <w:t>:</w:t>
      </w:r>
      <w:r w:rsidR="00896C01" w:rsidRPr="00F27775">
        <w:rPr>
          <w:color w:val="auto"/>
        </w:rPr>
        <w:t xml:space="preserve"> </w:t>
      </w:r>
      <w:r w:rsidRPr="00F27775">
        <w:rPr>
          <w:color w:val="auto"/>
        </w:rPr>
        <w:t xml:space="preserve"> </w:t>
      </w:r>
      <w:r w:rsidR="00575260" w:rsidRPr="00F27775">
        <w:rPr>
          <w:color w:val="auto"/>
          <w:szCs w:val="24"/>
        </w:rPr>
        <w:t xml:space="preserve">The Board acknowledges the sentiment expressed in the CI’s application regarding the significant impairment with which her service-incurred condition continues to burden her.  The Board wishes to clarify that it is subject to the same laws for disability entitlements as those under which the </w:t>
      </w:r>
      <w:r w:rsidR="009C039F">
        <w:rPr>
          <w:color w:val="auto"/>
          <w:szCs w:val="24"/>
        </w:rPr>
        <w:t xml:space="preserve">Disability Evaluation System (DES) operates.  The </w:t>
      </w:r>
      <w:r w:rsidR="00575260" w:rsidRPr="00F27775">
        <w:rPr>
          <w:color w:val="auto"/>
          <w:szCs w:val="24"/>
        </w:rPr>
        <w:t>DES has neither the role nor the authority to compensate service members for anticipated future severity or potential complications of conditions resulting in medical separation.  That role and authority is granted by Congress to the Department of Veteran</w:t>
      </w:r>
      <w:r w:rsidR="009C039F">
        <w:rPr>
          <w:color w:val="auto"/>
          <w:szCs w:val="24"/>
        </w:rPr>
        <w:t>s’</w:t>
      </w:r>
      <w:r w:rsidR="00575260" w:rsidRPr="00F27775">
        <w:rPr>
          <w:color w:val="auto"/>
          <w:szCs w:val="24"/>
        </w:rPr>
        <w:t xml:space="preserve"> Affairs (DVA), operating under a different set of laws (Title 38, United States Code).  The Board evaluates </w:t>
      </w:r>
      <w:r w:rsidR="009C039F">
        <w:rPr>
          <w:color w:val="auto"/>
          <w:szCs w:val="24"/>
        </w:rPr>
        <w:t>D</w:t>
      </w:r>
      <w:r w:rsidR="00575260" w:rsidRPr="00F27775">
        <w:rPr>
          <w:color w:val="auto"/>
          <w:szCs w:val="24"/>
        </w:rPr>
        <w:t>VA evidence proximal to separation in arriving at its recommendations, but its authority resides</w:t>
      </w:r>
      <w:r w:rsidR="009C039F">
        <w:rPr>
          <w:color w:val="auto"/>
          <w:szCs w:val="24"/>
        </w:rPr>
        <w:t xml:space="preserve"> in evaluating the fairness of </w:t>
      </w:r>
      <w:r w:rsidR="00575260" w:rsidRPr="00F27775">
        <w:rPr>
          <w:color w:val="auto"/>
          <w:szCs w:val="24"/>
        </w:rPr>
        <w:t>DES fitness decisions and rating determinations for disability at the time of separation.  The Board further acknowledges the CI’s contention for ratings for other conditions documented at the time of separation, and notes that its recommendations in that regard must comply with t</w:t>
      </w:r>
      <w:r w:rsidR="009C039F">
        <w:rPr>
          <w:color w:val="auto"/>
          <w:szCs w:val="24"/>
        </w:rPr>
        <w:t xml:space="preserve">he same governance.  While the </w:t>
      </w:r>
      <w:r w:rsidR="00575260" w:rsidRPr="00F27775">
        <w:rPr>
          <w:color w:val="auto"/>
          <w:szCs w:val="24"/>
        </w:rPr>
        <w:t xml:space="preserve">DES considers all of the service member's medical conditions, compensation can only be offered for those medical conditions that cut  short a service member’s career, and then only to the degree of severity present at the time of final disposition.  The DVA, however, is empowered to </w:t>
      </w:r>
      <w:r w:rsidR="009C039F">
        <w:rPr>
          <w:color w:val="auto"/>
          <w:szCs w:val="24"/>
        </w:rPr>
        <w:t>compensate service-</w:t>
      </w:r>
      <w:r w:rsidR="00575260" w:rsidRPr="00800F6A">
        <w:rPr>
          <w:color w:val="auto"/>
          <w:szCs w:val="24"/>
        </w:rPr>
        <w:t xml:space="preserve">connected conditions and to periodically re-evaluate said conditions for the purpose of adjusting the </w:t>
      </w:r>
      <w:r w:rsidR="009C039F">
        <w:rPr>
          <w:color w:val="auto"/>
          <w:szCs w:val="24"/>
        </w:rPr>
        <w:t>V</w:t>
      </w:r>
      <w:r w:rsidR="00575260" w:rsidRPr="00800F6A">
        <w:rPr>
          <w:color w:val="auto"/>
          <w:szCs w:val="24"/>
        </w:rPr>
        <w:t xml:space="preserve">eteran’s disability rating should </w:t>
      </w:r>
      <w:r w:rsidR="009C039F">
        <w:rPr>
          <w:color w:val="auto"/>
          <w:szCs w:val="24"/>
        </w:rPr>
        <w:t>the</w:t>
      </w:r>
      <w:r w:rsidR="00575260" w:rsidRPr="00800F6A">
        <w:rPr>
          <w:color w:val="auto"/>
          <w:szCs w:val="24"/>
        </w:rPr>
        <w:t xml:space="preserve"> degree</w:t>
      </w:r>
      <w:r w:rsidR="00AC1085">
        <w:rPr>
          <w:color w:val="auto"/>
          <w:szCs w:val="24"/>
        </w:rPr>
        <w:t xml:space="preserve"> of impairment vary over time.</w:t>
      </w:r>
    </w:p>
    <w:p w:rsidR="00AD2379" w:rsidRPr="00800F6A" w:rsidRDefault="00AD2379" w:rsidP="00B22D42">
      <w:pPr>
        <w:jc w:val="both"/>
        <w:rPr>
          <w:color w:val="auto"/>
        </w:rPr>
      </w:pPr>
    </w:p>
    <w:p w:rsidR="006366A0" w:rsidRPr="00800F6A" w:rsidRDefault="00102E37" w:rsidP="006366A0">
      <w:pPr>
        <w:jc w:val="both"/>
        <w:rPr>
          <w:color w:val="auto"/>
          <w:szCs w:val="24"/>
        </w:rPr>
      </w:pPr>
      <w:r w:rsidRPr="00800F6A">
        <w:rPr>
          <w:color w:val="auto"/>
          <w:u w:val="single"/>
        </w:rPr>
        <w:t>Neck</w:t>
      </w:r>
      <w:r w:rsidR="00AD2379" w:rsidRPr="00800F6A">
        <w:rPr>
          <w:color w:val="auto"/>
          <w:u w:val="single"/>
        </w:rPr>
        <w:t xml:space="preserve"> </w:t>
      </w:r>
      <w:r w:rsidR="008C1DE1" w:rsidRPr="00800F6A">
        <w:rPr>
          <w:color w:val="auto"/>
          <w:u w:val="single"/>
        </w:rPr>
        <w:t xml:space="preserve">and Back </w:t>
      </w:r>
      <w:r w:rsidR="00AD2379" w:rsidRPr="00800F6A">
        <w:rPr>
          <w:color w:val="auto"/>
          <w:u w:val="single"/>
        </w:rPr>
        <w:t>Condition</w:t>
      </w:r>
      <w:r w:rsidR="008C1DE1" w:rsidRPr="00800F6A">
        <w:rPr>
          <w:color w:val="auto"/>
          <w:u w:val="single"/>
        </w:rPr>
        <w:t>s</w:t>
      </w:r>
      <w:r w:rsidR="00AD2379" w:rsidRPr="00800F6A">
        <w:rPr>
          <w:color w:val="auto"/>
        </w:rPr>
        <w:t xml:space="preserve">. </w:t>
      </w:r>
      <w:r w:rsidR="00385708" w:rsidRPr="00800F6A">
        <w:rPr>
          <w:color w:val="auto"/>
        </w:rPr>
        <w:t xml:space="preserve"> </w:t>
      </w:r>
      <w:r w:rsidR="00AC07E4" w:rsidRPr="00800F6A">
        <w:rPr>
          <w:color w:val="auto"/>
        </w:rPr>
        <w:t>As summarized above, t</w:t>
      </w:r>
      <w:r w:rsidR="00AC07E4" w:rsidRPr="00800F6A">
        <w:rPr>
          <w:color w:val="auto"/>
          <w:szCs w:val="24"/>
        </w:rPr>
        <w:t xml:space="preserve">he neck pain </w:t>
      </w:r>
      <w:r w:rsidR="000A0C93" w:rsidRPr="00800F6A">
        <w:rPr>
          <w:color w:val="auto"/>
          <w:szCs w:val="24"/>
        </w:rPr>
        <w:t xml:space="preserve">(cervical spine) </w:t>
      </w:r>
      <w:r w:rsidR="00AC07E4" w:rsidRPr="00800F6A">
        <w:rPr>
          <w:color w:val="auto"/>
          <w:szCs w:val="24"/>
        </w:rPr>
        <w:t xml:space="preserve">was not related to a specific injury, while the lower back </w:t>
      </w:r>
      <w:r w:rsidR="000A0C93" w:rsidRPr="00800F6A">
        <w:rPr>
          <w:color w:val="auto"/>
          <w:szCs w:val="24"/>
        </w:rPr>
        <w:t xml:space="preserve">(thoracolumbar spine) </w:t>
      </w:r>
      <w:r w:rsidR="00AC07E4" w:rsidRPr="00800F6A">
        <w:rPr>
          <w:color w:val="auto"/>
          <w:szCs w:val="24"/>
        </w:rPr>
        <w:t>pain had onset after a slip and fall in 2000.  In addition to t</w:t>
      </w:r>
      <w:r w:rsidR="00AC07E4" w:rsidRPr="00800F6A">
        <w:rPr>
          <w:color w:val="auto"/>
        </w:rPr>
        <w:t>reatment of chiropractic, physical therapy, anti-inflammatory and muscle relaxant medications; the CI was prescribed tricyclic antidepressants which did not lead to resolution of pain.  Associated conditions were headaches and a left arm (non-dominant) intermittent pain and sensory</w:t>
      </w:r>
      <w:r w:rsidR="00AC07E4">
        <w:rPr>
          <w:color w:val="auto"/>
        </w:rPr>
        <w:t xml:space="preserve"> radiculopathy discussed below.  There were indications of minor radiographic abnormalities in both the cervical (spondylosis, small disk protrusion) and thoracolumbar (mild degenerative spurring) spine segments.  </w:t>
      </w:r>
      <w:r w:rsidR="00F27775" w:rsidRPr="00F64312">
        <w:rPr>
          <w:color w:val="auto"/>
          <w:szCs w:val="24"/>
        </w:rPr>
        <w:t xml:space="preserve">There were </w:t>
      </w:r>
      <w:r w:rsidR="009C039F">
        <w:rPr>
          <w:color w:val="auto"/>
          <w:szCs w:val="24"/>
        </w:rPr>
        <w:t>two goniometric range-of-</w:t>
      </w:r>
      <w:r w:rsidR="00F27775" w:rsidRPr="00F64312">
        <w:rPr>
          <w:color w:val="auto"/>
          <w:szCs w:val="24"/>
        </w:rPr>
        <w:t>motion (ROM) evaluations in evidence, with documentation of additional ratable criteria, which the Board weighed in arriving at its rating recommendation; as summarized in the chart below.</w:t>
      </w:r>
      <w:r w:rsidR="00F27775">
        <w:rPr>
          <w:color w:val="auto"/>
          <w:szCs w:val="24"/>
        </w:rPr>
        <w:t xml:space="preserve">  </w:t>
      </w:r>
      <w:r w:rsidR="00F27775">
        <w:rPr>
          <w:color w:val="auto"/>
        </w:rPr>
        <w:t xml:space="preserve">Both neck and </w:t>
      </w:r>
      <w:r w:rsidR="00F27775" w:rsidRPr="00F27775">
        <w:rPr>
          <w:color w:val="auto"/>
        </w:rPr>
        <w:t>back exam summaries are listed as paired below</w:t>
      </w:r>
      <w:r w:rsidR="00F27775">
        <w:rPr>
          <w:color w:val="auto"/>
        </w:rPr>
        <w:t>,</w:t>
      </w:r>
      <w:r w:rsidR="00F27775" w:rsidRPr="00F27775">
        <w:rPr>
          <w:color w:val="auto"/>
        </w:rPr>
        <w:t xml:space="preserve"> as i</w:t>
      </w:r>
      <w:r w:rsidR="00F27775" w:rsidRPr="00F27775">
        <w:rPr>
          <w:color w:val="auto"/>
          <w:szCs w:val="24"/>
        </w:rPr>
        <w:t>t is incongruent for the Board to assign a higher probative value to one exam in its rating recommendation for one of the conditions and then assign a higher probative value to a different</w:t>
      </w:r>
      <w:r w:rsidR="00AC1085">
        <w:rPr>
          <w:color w:val="auto"/>
          <w:szCs w:val="24"/>
        </w:rPr>
        <w:t xml:space="preserve"> exam for the other condition.</w:t>
      </w:r>
    </w:p>
    <w:p w:rsidR="00542022" w:rsidRPr="00A803A9" w:rsidRDefault="00542022" w:rsidP="00B22D42">
      <w:pPr>
        <w:jc w:val="both"/>
        <w:rPr>
          <w:color w:val="auto"/>
        </w:rPr>
      </w:pPr>
    </w:p>
    <w:tbl>
      <w:tblPr>
        <w:tblW w:w="8089" w:type="dxa"/>
        <w:jc w:val="center"/>
        <w:tblInd w:w="-1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85"/>
        <w:gridCol w:w="1890"/>
        <w:gridCol w:w="1247"/>
        <w:gridCol w:w="1471"/>
        <w:gridCol w:w="1596"/>
      </w:tblGrid>
      <w:tr w:rsidR="006910AA" w:rsidRPr="00A803A9" w:rsidTr="000122FF">
        <w:trPr>
          <w:trHeight w:val="270"/>
          <w:jc w:val="center"/>
        </w:trPr>
        <w:tc>
          <w:tcPr>
            <w:tcW w:w="1885" w:type="dxa"/>
            <w:vMerge w:val="restart"/>
            <w:shd w:val="clear" w:color="auto" w:fill="D9D9D9" w:themeFill="background1" w:themeFillShade="D9"/>
            <w:vAlign w:val="center"/>
          </w:tcPr>
          <w:p w:rsidR="000122FF" w:rsidRPr="00413DDC" w:rsidRDefault="000122FF" w:rsidP="000E41C7">
            <w:pPr>
              <w:spacing w:line="200" w:lineRule="exact"/>
              <w:contextualSpacing/>
              <w:rPr>
                <w:rFonts w:asciiTheme="majorHAnsi" w:eastAsia="Calibri" w:hAnsiTheme="majorHAnsi" w:cstheme="majorHAnsi"/>
                <w:color w:val="auto"/>
                <w:sz w:val="20"/>
              </w:rPr>
            </w:pPr>
            <w:r w:rsidRPr="00413DDC">
              <w:rPr>
                <w:rFonts w:asciiTheme="majorHAnsi" w:eastAsia="Calibri" w:hAnsiTheme="majorHAnsi" w:cstheme="majorHAnsi"/>
                <w:color w:val="auto"/>
                <w:sz w:val="20"/>
              </w:rPr>
              <w:t>ROM</w:t>
            </w:r>
          </w:p>
          <w:p w:rsidR="006910AA" w:rsidRPr="00413DDC" w:rsidRDefault="006910AA" w:rsidP="000E41C7">
            <w:pPr>
              <w:spacing w:line="200" w:lineRule="exact"/>
              <w:contextualSpacing/>
              <w:rPr>
                <w:rFonts w:asciiTheme="majorHAnsi" w:eastAsia="Calibri" w:hAnsiTheme="majorHAnsi" w:cstheme="majorHAnsi"/>
                <w:color w:val="auto"/>
                <w:sz w:val="20"/>
              </w:rPr>
            </w:pPr>
            <w:r w:rsidRPr="00413DDC">
              <w:rPr>
                <w:rFonts w:asciiTheme="majorHAnsi" w:eastAsia="Calibri" w:hAnsiTheme="majorHAnsi" w:cstheme="majorHAnsi"/>
                <w:color w:val="auto"/>
                <w:sz w:val="20"/>
              </w:rPr>
              <w:t>Lumbar &amp; Cervical</w:t>
            </w:r>
          </w:p>
        </w:tc>
        <w:tc>
          <w:tcPr>
            <w:tcW w:w="3137" w:type="dxa"/>
            <w:gridSpan w:val="2"/>
            <w:tcBorders>
              <w:bottom w:val="single" w:sz="4" w:space="0" w:color="auto"/>
            </w:tcBorders>
            <w:shd w:val="clear" w:color="auto" w:fill="D9D9D9" w:themeFill="background1" w:themeFillShade="D9"/>
            <w:vAlign w:val="center"/>
          </w:tcPr>
          <w:p w:rsidR="006910AA" w:rsidRPr="00413DDC" w:rsidRDefault="006910AA" w:rsidP="000E41C7">
            <w:pPr>
              <w:spacing w:line="200" w:lineRule="exact"/>
              <w:contextualSpacing/>
              <w:rPr>
                <w:rFonts w:asciiTheme="majorHAnsi" w:eastAsia="Calibri" w:hAnsiTheme="majorHAnsi" w:cstheme="majorHAnsi"/>
                <w:color w:val="auto"/>
                <w:sz w:val="20"/>
              </w:rPr>
            </w:pPr>
            <w:r w:rsidRPr="00413DDC">
              <w:rPr>
                <w:rFonts w:asciiTheme="majorHAnsi" w:eastAsia="Calibri" w:hAnsiTheme="majorHAnsi" w:cstheme="majorHAnsi"/>
                <w:color w:val="auto"/>
                <w:sz w:val="20"/>
              </w:rPr>
              <w:t>VA</w:t>
            </w:r>
            <w:r w:rsidRPr="00413DDC">
              <w:rPr>
                <w:rFonts w:asciiTheme="majorHAnsi" w:eastAsiaTheme="minorHAnsi" w:hAnsiTheme="majorHAnsi" w:cstheme="majorHAnsi"/>
                <w:color w:val="auto"/>
                <w:sz w:val="20"/>
              </w:rPr>
              <w:t xml:space="preserve"> C&amp;P </w:t>
            </w:r>
            <w:r w:rsidRPr="00413DDC">
              <w:rPr>
                <w:rFonts w:asciiTheme="majorHAnsi" w:eastAsia="Calibri" w:hAnsiTheme="majorHAnsi" w:cstheme="majorHAnsi"/>
                <w:color w:val="auto"/>
                <w:sz w:val="20"/>
              </w:rPr>
              <w:t>~14 Mo. Pre-Sep</w:t>
            </w:r>
          </w:p>
        </w:tc>
        <w:tc>
          <w:tcPr>
            <w:tcW w:w="3067" w:type="dxa"/>
            <w:gridSpan w:val="2"/>
            <w:tcBorders>
              <w:bottom w:val="single" w:sz="4" w:space="0" w:color="auto"/>
            </w:tcBorders>
            <w:shd w:val="clear" w:color="auto" w:fill="D9D9D9" w:themeFill="background1" w:themeFillShade="D9"/>
            <w:vAlign w:val="center"/>
          </w:tcPr>
          <w:p w:rsidR="006910AA" w:rsidRPr="00413DDC" w:rsidRDefault="006910AA" w:rsidP="000E41C7">
            <w:pPr>
              <w:spacing w:line="200" w:lineRule="exact"/>
              <w:contextualSpacing/>
              <w:rPr>
                <w:rFonts w:asciiTheme="majorHAnsi" w:eastAsia="Calibri" w:hAnsiTheme="majorHAnsi" w:cstheme="majorHAnsi"/>
                <w:color w:val="auto"/>
                <w:sz w:val="20"/>
              </w:rPr>
            </w:pPr>
            <w:r w:rsidRPr="00413DDC">
              <w:rPr>
                <w:rFonts w:asciiTheme="majorHAnsi" w:eastAsia="Calibri" w:hAnsiTheme="majorHAnsi" w:cstheme="majorHAnsi"/>
                <w:color w:val="auto"/>
                <w:sz w:val="20"/>
              </w:rPr>
              <w:t>MEB ~2.5 Mo. Pre-Sep</w:t>
            </w:r>
          </w:p>
        </w:tc>
      </w:tr>
      <w:tr w:rsidR="006910AA" w:rsidRPr="00A803A9" w:rsidTr="000122FF">
        <w:trPr>
          <w:trHeight w:val="210"/>
          <w:jc w:val="center"/>
        </w:trPr>
        <w:tc>
          <w:tcPr>
            <w:tcW w:w="1885" w:type="dxa"/>
            <w:vMerge/>
            <w:shd w:val="clear" w:color="auto" w:fill="D9D9D9" w:themeFill="background1" w:themeFillShade="D9"/>
            <w:vAlign w:val="center"/>
          </w:tcPr>
          <w:p w:rsidR="006910AA" w:rsidRPr="00413DDC" w:rsidRDefault="006910AA" w:rsidP="000E41C7">
            <w:pPr>
              <w:pStyle w:val="ListParagraph"/>
              <w:spacing w:after="0" w:line="200" w:lineRule="exact"/>
              <w:ind w:left="0"/>
              <w:rPr>
                <w:rFonts w:asciiTheme="majorHAnsi" w:eastAsia="Calibri" w:hAnsiTheme="majorHAnsi" w:cstheme="majorHAnsi"/>
                <w:sz w:val="20"/>
                <w:szCs w:val="20"/>
              </w:rPr>
            </w:pPr>
          </w:p>
        </w:tc>
        <w:tc>
          <w:tcPr>
            <w:tcW w:w="1890" w:type="dxa"/>
            <w:tcBorders>
              <w:top w:val="single" w:sz="4" w:space="0" w:color="auto"/>
              <w:right w:val="single" w:sz="4" w:space="0" w:color="auto"/>
            </w:tcBorders>
            <w:shd w:val="clear" w:color="auto" w:fill="D9D9D9" w:themeFill="background1" w:themeFillShade="D9"/>
            <w:vAlign w:val="center"/>
          </w:tcPr>
          <w:p w:rsidR="006910AA" w:rsidRPr="00413DDC" w:rsidRDefault="006910AA" w:rsidP="000E41C7">
            <w:pPr>
              <w:pStyle w:val="ListParagraph"/>
              <w:spacing w:after="0" w:line="200" w:lineRule="exact"/>
              <w:ind w:left="0"/>
              <w:rPr>
                <w:rFonts w:asciiTheme="majorHAnsi" w:eastAsia="Calibri" w:hAnsiTheme="majorHAnsi" w:cstheme="majorHAnsi"/>
                <w:sz w:val="20"/>
                <w:szCs w:val="20"/>
              </w:rPr>
            </w:pPr>
            <w:r w:rsidRPr="00413DDC">
              <w:rPr>
                <w:rFonts w:asciiTheme="majorHAnsi" w:eastAsia="Calibri" w:hAnsiTheme="majorHAnsi" w:cstheme="majorHAnsi"/>
                <w:sz w:val="20"/>
                <w:szCs w:val="20"/>
              </w:rPr>
              <w:t>Lumbar</w:t>
            </w:r>
          </w:p>
        </w:tc>
        <w:tc>
          <w:tcPr>
            <w:tcW w:w="1247" w:type="dxa"/>
            <w:tcBorders>
              <w:top w:val="single" w:sz="4" w:space="0" w:color="auto"/>
              <w:left w:val="single" w:sz="4" w:space="0" w:color="auto"/>
            </w:tcBorders>
            <w:shd w:val="clear" w:color="auto" w:fill="D9D9D9" w:themeFill="background1" w:themeFillShade="D9"/>
            <w:vAlign w:val="center"/>
          </w:tcPr>
          <w:p w:rsidR="006910AA" w:rsidRPr="00413DDC" w:rsidRDefault="006910AA" w:rsidP="000E41C7">
            <w:pPr>
              <w:pStyle w:val="ListParagraph"/>
              <w:spacing w:after="0" w:line="200" w:lineRule="exact"/>
              <w:ind w:left="0"/>
              <w:rPr>
                <w:rFonts w:asciiTheme="majorHAnsi" w:eastAsia="Calibri" w:hAnsiTheme="majorHAnsi" w:cstheme="majorHAnsi"/>
                <w:sz w:val="20"/>
                <w:szCs w:val="20"/>
              </w:rPr>
            </w:pPr>
            <w:r w:rsidRPr="00413DDC">
              <w:rPr>
                <w:rFonts w:asciiTheme="majorHAnsi" w:eastAsia="Calibri" w:hAnsiTheme="majorHAnsi" w:cstheme="majorHAnsi"/>
                <w:sz w:val="20"/>
                <w:szCs w:val="20"/>
              </w:rPr>
              <w:t>Cervical</w:t>
            </w:r>
          </w:p>
        </w:tc>
        <w:tc>
          <w:tcPr>
            <w:tcW w:w="1471" w:type="dxa"/>
            <w:tcBorders>
              <w:top w:val="single" w:sz="4" w:space="0" w:color="auto"/>
              <w:right w:val="single" w:sz="4" w:space="0" w:color="auto"/>
            </w:tcBorders>
            <w:shd w:val="clear" w:color="auto" w:fill="D9D9D9" w:themeFill="background1" w:themeFillShade="D9"/>
            <w:vAlign w:val="center"/>
          </w:tcPr>
          <w:p w:rsidR="006910AA" w:rsidRPr="00413DDC" w:rsidRDefault="006910AA" w:rsidP="000E41C7">
            <w:pPr>
              <w:pStyle w:val="ListParagraph"/>
              <w:spacing w:after="0" w:line="200" w:lineRule="exact"/>
              <w:ind w:left="0"/>
              <w:rPr>
                <w:rFonts w:asciiTheme="majorHAnsi" w:eastAsia="Calibri" w:hAnsiTheme="majorHAnsi" w:cstheme="majorHAnsi"/>
                <w:sz w:val="20"/>
                <w:szCs w:val="20"/>
              </w:rPr>
            </w:pPr>
            <w:r w:rsidRPr="00413DDC">
              <w:rPr>
                <w:rFonts w:asciiTheme="majorHAnsi" w:eastAsia="Calibri" w:hAnsiTheme="majorHAnsi" w:cstheme="majorHAnsi"/>
                <w:sz w:val="20"/>
                <w:szCs w:val="20"/>
              </w:rPr>
              <w:t>Lumbar</w:t>
            </w:r>
          </w:p>
        </w:tc>
        <w:tc>
          <w:tcPr>
            <w:tcW w:w="1596" w:type="dxa"/>
            <w:tcBorders>
              <w:top w:val="single" w:sz="4" w:space="0" w:color="auto"/>
              <w:left w:val="single" w:sz="4" w:space="0" w:color="auto"/>
            </w:tcBorders>
            <w:shd w:val="clear" w:color="auto" w:fill="D9D9D9" w:themeFill="background1" w:themeFillShade="D9"/>
            <w:vAlign w:val="center"/>
          </w:tcPr>
          <w:p w:rsidR="006910AA" w:rsidRPr="00413DDC" w:rsidRDefault="006910AA" w:rsidP="000E41C7">
            <w:pPr>
              <w:pStyle w:val="ListParagraph"/>
              <w:spacing w:after="0" w:line="200" w:lineRule="exact"/>
              <w:ind w:left="0"/>
              <w:rPr>
                <w:rFonts w:asciiTheme="majorHAnsi" w:eastAsia="Calibri" w:hAnsiTheme="majorHAnsi" w:cstheme="majorHAnsi"/>
                <w:sz w:val="20"/>
                <w:szCs w:val="20"/>
              </w:rPr>
            </w:pPr>
            <w:r w:rsidRPr="00413DDC">
              <w:rPr>
                <w:rFonts w:asciiTheme="majorHAnsi" w:eastAsia="Calibri" w:hAnsiTheme="majorHAnsi" w:cstheme="majorHAnsi"/>
                <w:sz w:val="20"/>
                <w:szCs w:val="20"/>
              </w:rPr>
              <w:t>Cervical</w:t>
            </w:r>
          </w:p>
        </w:tc>
      </w:tr>
      <w:tr w:rsidR="006910AA" w:rsidRPr="00A803A9" w:rsidTr="000122FF">
        <w:trPr>
          <w:jc w:val="center"/>
        </w:trPr>
        <w:tc>
          <w:tcPr>
            <w:tcW w:w="1885" w:type="dxa"/>
            <w:vAlign w:val="center"/>
          </w:tcPr>
          <w:p w:rsidR="006910AA" w:rsidRPr="00413DDC" w:rsidRDefault="006910AA" w:rsidP="000E41C7">
            <w:pPr>
              <w:pStyle w:val="ListParagraph"/>
              <w:spacing w:after="0" w:line="200" w:lineRule="exact"/>
              <w:ind w:left="0"/>
              <w:rPr>
                <w:rFonts w:asciiTheme="majorHAnsi" w:eastAsia="Calibri" w:hAnsiTheme="majorHAnsi" w:cstheme="majorHAnsi"/>
                <w:sz w:val="20"/>
                <w:szCs w:val="20"/>
              </w:rPr>
            </w:pPr>
            <w:r w:rsidRPr="00413DDC">
              <w:rPr>
                <w:rFonts w:asciiTheme="majorHAnsi" w:eastAsia="Calibri" w:hAnsiTheme="majorHAnsi" w:cstheme="majorHAnsi"/>
                <w:sz w:val="20"/>
                <w:szCs w:val="20"/>
              </w:rPr>
              <w:t>Flexion</w:t>
            </w:r>
          </w:p>
        </w:tc>
        <w:tc>
          <w:tcPr>
            <w:tcW w:w="1890" w:type="dxa"/>
            <w:tcBorders>
              <w:right w:val="single" w:sz="4" w:space="0" w:color="auto"/>
            </w:tcBorders>
            <w:vAlign w:val="center"/>
          </w:tcPr>
          <w:p w:rsidR="006910AA" w:rsidRPr="00413DDC" w:rsidRDefault="006910AA" w:rsidP="000E41C7">
            <w:pPr>
              <w:spacing w:line="200" w:lineRule="exact"/>
              <w:contextualSpacing/>
              <w:rPr>
                <w:rFonts w:asciiTheme="majorHAnsi" w:eastAsia="Calibri" w:hAnsiTheme="majorHAnsi" w:cstheme="majorHAnsi"/>
                <w:color w:val="auto"/>
                <w:sz w:val="20"/>
              </w:rPr>
            </w:pPr>
            <w:r w:rsidRPr="00413DDC">
              <w:rPr>
                <w:rFonts w:asciiTheme="majorHAnsi" w:eastAsia="Calibri" w:hAnsiTheme="majorHAnsi" w:cstheme="majorHAnsi"/>
                <w:color w:val="auto"/>
                <w:sz w:val="20"/>
              </w:rPr>
              <w:t>50⁰</w:t>
            </w:r>
          </w:p>
        </w:tc>
        <w:tc>
          <w:tcPr>
            <w:tcW w:w="1247" w:type="dxa"/>
            <w:tcBorders>
              <w:left w:val="single" w:sz="4" w:space="0" w:color="auto"/>
            </w:tcBorders>
            <w:vAlign w:val="center"/>
          </w:tcPr>
          <w:p w:rsidR="006910AA" w:rsidRPr="00413DDC" w:rsidRDefault="006910AA" w:rsidP="000E41C7">
            <w:pPr>
              <w:spacing w:line="200" w:lineRule="exact"/>
              <w:contextualSpacing/>
              <w:rPr>
                <w:rFonts w:asciiTheme="majorHAnsi" w:eastAsia="Calibri" w:hAnsiTheme="majorHAnsi" w:cstheme="majorHAnsi"/>
                <w:color w:val="auto"/>
                <w:sz w:val="20"/>
              </w:rPr>
            </w:pPr>
            <w:r w:rsidRPr="00413DDC">
              <w:rPr>
                <w:rFonts w:asciiTheme="majorHAnsi" w:eastAsia="Calibri" w:hAnsiTheme="majorHAnsi" w:cstheme="majorHAnsi"/>
                <w:color w:val="auto"/>
                <w:sz w:val="20"/>
              </w:rPr>
              <w:t>45⁰</w:t>
            </w:r>
          </w:p>
        </w:tc>
        <w:tc>
          <w:tcPr>
            <w:tcW w:w="1471" w:type="dxa"/>
            <w:tcBorders>
              <w:right w:val="single" w:sz="4" w:space="0" w:color="auto"/>
            </w:tcBorders>
            <w:vAlign w:val="center"/>
          </w:tcPr>
          <w:p w:rsidR="006910AA" w:rsidRPr="00413DDC" w:rsidRDefault="006910AA" w:rsidP="000E41C7">
            <w:pPr>
              <w:spacing w:line="200" w:lineRule="exact"/>
              <w:contextualSpacing/>
              <w:rPr>
                <w:rFonts w:asciiTheme="majorHAnsi" w:eastAsia="Calibri" w:hAnsiTheme="majorHAnsi" w:cstheme="majorHAnsi"/>
                <w:color w:val="auto"/>
                <w:sz w:val="20"/>
              </w:rPr>
            </w:pPr>
            <w:r w:rsidRPr="00413DDC">
              <w:rPr>
                <w:rFonts w:asciiTheme="majorHAnsi" w:eastAsia="Calibri" w:hAnsiTheme="majorHAnsi" w:cstheme="majorHAnsi"/>
                <w:color w:val="auto"/>
                <w:sz w:val="20"/>
              </w:rPr>
              <w:t>(51,38,36</w:t>
            </w:r>
            <w:r w:rsidR="00A803A9" w:rsidRPr="00413DDC">
              <w:rPr>
                <w:rFonts w:asciiTheme="majorHAnsi" w:eastAsia="Calibri" w:hAnsiTheme="majorHAnsi" w:cstheme="majorHAnsi"/>
                <w:color w:val="auto"/>
                <w:sz w:val="20"/>
              </w:rPr>
              <w:t>⁰</w:t>
            </w:r>
            <w:r w:rsidRPr="00413DDC">
              <w:rPr>
                <w:rFonts w:asciiTheme="majorHAnsi" w:eastAsia="Calibri" w:hAnsiTheme="majorHAnsi" w:cstheme="majorHAnsi"/>
                <w:color w:val="auto"/>
                <w:sz w:val="20"/>
              </w:rPr>
              <w:t>) 35⁰</w:t>
            </w:r>
          </w:p>
        </w:tc>
        <w:tc>
          <w:tcPr>
            <w:tcW w:w="1596" w:type="dxa"/>
            <w:tcBorders>
              <w:left w:val="single" w:sz="4" w:space="0" w:color="auto"/>
            </w:tcBorders>
            <w:vAlign w:val="center"/>
          </w:tcPr>
          <w:p w:rsidR="006910AA" w:rsidRPr="00413DDC" w:rsidRDefault="006910AA" w:rsidP="000E41C7">
            <w:pPr>
              <w:spacing w:line="200" w:lineRule="exact"/>
              <w:contextualSpacing/>
              <w:rPr>
                <w:rFonts w:asciiTheme="majorHAnsi" w:eastAsia="Calibri" w:hAnsiTheme="majorHAnsi" w:cstheme="majorHAnsi"/>
                <w:color w:val="auto"/>
                <w:sz w:val="20"/>
              </w:rPr>
            </w:pPr>
            <w:r w:rsidRPr="00413DDC">
              <w:rPr>
                <w:rFonts w:asciiTheme="majorHAnsi" w:eastAsia="Calibri" w:hAnsiTheme="majorHAnsi" w:cstheme="majorHAnsi"/>
                <w:color w:val="auto"/>
                <w:sz w:val="20"/>
              </w:rPr>
              <w:t>(34,28,24⁰) 25⁰</w:t>
            </w:r>
          </w:p>
        </w:tc>
      </w:tr>
      <w:tr w:rsidR="006910AA" w:rsidRPr="00A803A9" w:rsidTr="000122FF">
        <w:trPr>
          <w:trHeight w:val="242"/>
          <w:jc w:val="center"/>
        </w:trPr>
        <w:tc>
          <w:tcPr>
            <w:tcW w:w="1885" w:type="dxa"/>
            <w:vAlign w:val="center"/>
          </w:tcPr>
          <w:p w:rsidR="006910AA" w:rsidRPr="00413DDC" w:rsidRDefault="006910AA" w:rsidP="000E41C7">
            <w:pPr>
              <w:pStyle w:val="ListParagraph"/>
              <w:spacing w:after="0" w:line="200" w:lineRule="exact"/>
              <w:ind w:left="0"/>
              <w:rPr>
                <w:rFonts w:asciiTheme="majorHAnsi" w:eastAsia="Calibri" w:hAnsiTheme="majorHAnsi" w:cstheme="majorHAnsi"/>
                <w:sz w:val="20"/>
                <w:szCs w:val="20"/>
              </w:rPr>
            </w:pPr>
            <w:r w:rsidRPr="00413DDC">
              <w:rPr>
                <w:rFonts w:asciiTheme="majorHAnsi" w:eastAsia="Calibri" w:hAnsiTheme="majorHAnsi" w:cstheme="majorHAnsi"/>
                <w:sz w:val="20"/>
                <w:szCs w:val="20"/>
              </w:rPr>
              <w:t>Combined</w:t>
            </w:r>
          </w:p>
        </w:tc>
        <w:tc>
          <w:tcPr>
            <w:tcW w:w="1890" w:type="dxa"/>
            <w:tcBorders>
              <w:right w:val="single" w:sz="4" w:space="0" w:color="auto"/>
            </w:tcBorders>
            <w:vAlign w:val="center"/>
          </w:tcPr>
          <w:p w:rsidR="006910AA" w:rsidRPr="00413DDC" w:rsidRDefault="006910AA" w:rsidP="000E41C7">
            <w:pPr>
              <w:spacing w:line="200" w:lineRule="exact"/>
              <w:contextualSpacing/>
              <w:rPr>
                <w:rFonts w:asciiTheme="majorHAnsi" w:eastAsia="Calibri" w:hAnsiTheme="majorHAnsi" w:cstheme="majorHAnsi"/>
                <w:color w:val="auto"/>
                <w:sz w:val="20"/>
              </w:rPr>
            </w:pPr>
            <w:r w:rsidRPr="00413DDC">
              <w:rPr>
                <w:rFonts w:asciiTheme="majorHAnsi" w:eastAsia="Calibri" w:hAnsiTheme="majorHAnsi" w:cstheme="majorHAnsi"/>
                <w:color w:val="auto"/>
                <w:sz w:val="20"/>
              </w:rPr>
              <w:t>185⁰</w:t>
            </w:r>
          </w:p>
        </w:tc>
        <w:tc>
          <w:tcPr>
            <w:tcW w:w="1247" w:type="dxa"/>
            <w:tcBorders>
              <w:left w:val="single" w:sz="4" w:space="0" w:color="auto"/>
            </w:tcBorders>
            <w:vAlign w:val="center"/>
          </w:tcPr>
          <w:p w:rsidR="006910AA" w:rsidRPr="00413DDC" w:rsidRDefault="006910AA" w:rsidP="000E41C7">
            <w:pPr>
              <w:spacing w:line="200" w:lineRule="exact"/>
              <w:contextualSpacing/>
              <w:rPr>
                <w:rFonts w:asciiTheme="majorHAnsi" w:eastAsia="Calibri" w:hAnsiTheme="majorHAnsi" w:cstheme="majorHAnsi"/>
                <w:color w:val="auto"/>
                <w:sz w:val="20"/>
              </w:rPr>
            </w:pPr>
            <w:r w:rsidRPr="00413DDC">
              <w:rPr>
                <w:rFonts w:asciiTheme="majorHAnsi" w:eastAsia="Calibri" w:hAnsiTheme="majorHAnsi" w:cstheme="majorHAnsi"/>
                <w:color w:val="auto"/>
                <w:sz w:val="20"/>
              </w:rPr>
              <w:t>250⁰</w:t>
            </w:r>
          </w:p>
        </w:tc>
        <w:tc>
          <w:tcPr>
            <w:tcW w:w="1471" w:type="dxa"/>
            <w:tcBorders>
              <w:right w:val="single" w:sz="4" w:space="0" w:color="auto"/>
            </w:tcBorders>
            <w:vAlign w:val="center"/>
          </w:tcPr>
          <w:p w:rsidR="006910AA" w:rsidRPr="00413DDC" w:rsidRDefault="006910AA" w:rsidP="000E41C7">
            <w:pPr>
              <w:spacing w:line="200" w:lineRule="exact"/>
              <w:contextualSpacing/>
              <w:rPr>
                <w:rFonts w:asciiTheme="majorHAnsi" w:eastAsia="Calibri" w:hAnsiTheme="majorHAnsi" w:cstheme="majorHAnsi"/>
                <w:color w:val="auto"/>
                <w:sz w:val="20"/>
              </w:rPr>
            </w:pPr>
            <w:r w:rsidRPr="00413DDC">
              <w:rPr>
                <w:rFonts w:asciiTheme="majorHAnsi" w:eastAsia="Calibri" w:hAnsiTheme="majorHAnsi" w:cstheme="majorHAnsi"/>
                <w:color w:val="auto"/>
                <w:sz w:val="20"/>
              </w:rPr>
              <w:t>160⁰</w:t>
            </w:r>
          </w:p>
        </w:tc>
        <w:tc>
          <w:tcPr>
            <w:tcW w:w="1596" w:type="dxa"/>
            <w:tcBorders>
              <w:left w:val="single" w:sz="4" w:space="0" w:color="auto"/>
            </w:tcBorders>
            <w:vAlign w:val="center"/>
          </w:tcPr>
          <w:p w:rsidR="006910AA" w:rsidRPr="00413DDC" w:rsidRDefault="006910AA" w:rsidP="000E41C7">
            <w:pPr>
              <w:spacing w:line="200" w:lineRule="exact"/>
              <w:contextualSpacing/>
              <w:rPr>
                <w:rFonts w:asciiTheme="majorHAnsi" w:eastAsia="Calibri" w:hAnsiTheme="majorHAnsi" w:cstheme="majorHAnsi"/>
                <w:color w:val="auto"/>
                <w:sz w:val="20"/>
              </w:rPr>
            </w:pPr>
            <w:r w:rsidRPr="00413DDC">
              <w:rPr>
                <w:rFonts w:asciiTheme="majorHAnsi" w:eastAsia="Calibri" w:hAnsiTheme="majorHAnsi" w:cstheme="majorHAnsi"/>
                <w:color w:val="auto"/>
                <w:sz w:val="20"/>
              </w:rPr>
              <w:t>235⁰</w:t>
            </w:r>
          </w:p>
        </w:tc>
      </w:tr>
      <w:tr w:rsidR="006910AA" w:rsidRPr="00A803A9" w:rsidTr="000E41C7">
        <w:trPr>
          <w:trHeight w:val="818"/>
          <w:jc w:val="center"/>
        </w:trPr>
        <w:tc>
          <w:tcPr>
            <w:tcW w:w="1885" w:type="dxa"/>
            <w:vAlign w:val="center"/>
          </w:tcPr>
          <w:p w:rsidR="006910AA" w:rsidRPr="00413DDC" w:rsidRDefault="006910AA" w:rsidP="000E41C7">
            <w:pPr>
              <w:pStyle w:val="ListParagraph"/>
              <w:spacing w:after="0" w:line="200" w:lineRule="exact"/>
              <w:ind w:left="0"/>
              <w:rPr>
                <w:rFonts w:asciiTheme="majorHAnsi" w:eastAsia="Calibri" w:hAnsiTheme="majorHAnsi" w:cstheme="majorHAnsi"/>
                <w:sz w:val="20"/>
                <w:szCs w:val="20"/>
              </w:rPr>
            </w:pPr>
            <w:r w:rsidRPr="00413DDC">
              <w:rPr>
                <w:rFonts w:asciiTheme="majorHAnsi" w:eastAsia="Calibri" w:hAnsiTheme="majorHAnsi" w:cstheme="majorHAnsi"/>
                <w:sz w:val="20"/>
                <w:szCs w:val="20"/>
              </w:rPr>
              <w:t>Comment</w:t>
            </w:r>
          </w:p>
        </w:tc>
        <w:tc>
          <w:tcPr>
            <w:tcW w:w="1890" w:type="dxa"/>
            <w:tcBorders>
              <w:right w:val="single" w:sz="4" w:space="0" w:color="auto"/>
            </w:tcBorders>
            <w:vAlign w:val="center"/>
          </w:tcPr>
          <w:p w:rsidR="006910AA" w:rsidRPr="00413DDC" w:rsidRDefault="006910AA" w:rsidP="000E41C7">
            <w:pPr>
              <w:tabs>
                <w:tab w:val="left" w:pos="288"/>
                <w:tab w:val="left" w:pos="4752"/>
              </w:tabs>
              <w:spacing w:line="200" w:lineRule="exact"/>
              <w:rPr>
                <w:rFonts w:asciiTheme="majorHAnsi" w:eastAsiaTheme="minorHAnsi" w:hAnsiTheme="majorHAnsi" w:cstheme="majorHAnsi"/>
                <w:color w:val="auto"/>
                <w:sz w:val="20"/>
              </w:rPr>
            </w:pPr>
            <w:r w:rsidRPr="00413DDC">
              <w:rPr>
                <w:rFonts w:asciiTheme="majorHAnsi" w:eastAsiaTheme="minorHAnsi" w:hAnsiTheme="majorHAnsi" w:cstheme="majorHAnsi"/>
                <w:color w:val="auto"/>
                <w:sz w:val="20"/>
              </w:rPr>
              <w:t>Painful</w:t>
            </w:r>
            <w:r w:rsidR="000122FF" w:rsidRPr="00413DDC">
              <w:rPr>
                <w:rFonts w:asciiTheme="majorHAnsi" w:eastAsiaTheme="minorHAnsi" w:hAnsiTheme="majorHAnsi" w:cstheme="majorHAnsi"/>
                <w:color w:val="auto"/>
                <w:sz w:val="20"/>
              </w:rPr>
              <w:t xml:space="preserve">; </w:t>
            </w:r>
            <w:r w:rsidR="000122FF" w:rsidRPr="00413DDC">
              <w:rPr>
                <w:rFonts w:asciiTheme="majorHAnsi" w:eastAsia="Calibri" w:hAnsiTheme="majorHAnsi" w:cstheme="majorHAnsi"/>
                <w:color w:val="auto"/>
                <w:sz w:val="20"/>
              </w:rPr>
              <w:t>no tenderness/spasm; “spasm of lumbar spine on x-ray”</w:t>
            </w:r>
          </w:p>
        </w:tc>
        <w:tc>
          <w:tcPr>
            <w:tcW w:w="1247" w:type="dxa"/>
            <w:tcBorders>
              <w:left w:val="single" w:sz="4" w:space="0" w:color="auto"/>
            </w:tcBorders>
            <w:vAlign w:val="center"/>
          </w:tcPr>
          <w:p w:rsidR="006910AA" w:rsidRPr="00413DDC" w:rsidRDefault="006910AA" w:rsidP="000E41C7">
            <w:pPr>
              <w:tabs>
                <w:tab w:val="left" w:pos="288"/>
                <w:tab w:val="left" w:pos="4752"/>
              </w:tabs>
              <w:spacing w:line="200" w:lineRule="exact"/>
              <w:rPr>
                <w:rFonts w:asciiTheme="majorHAnsi" w:eastAsiaTheme="minorHAnsi" w:hAnsiTheme="majorHAnsi" w:cstheme="majorHAnsi"/>
                <w:color w:val="auto"/>
                <w:sz w:val="20"/>
              </w:rPr>
            </w:pPr>
            <w:r w:rsidRPr="00413DDC">
              <w:rPr>
                <w:rFonts w:asciiTheme="majorHAnsi" w:eastAsiaTheme="minorHAnsi" w:hAnsiTheme="majorHAnsi" w:cstheme="majorHAnsi"/>
                <w:color w:val="auto"/>
                <w:sz w:val="20"/>
              </w:rPr>
              <w:t>Discomfort</w:t>
            </w:r>
          </w:p>
        </w:tc>
        <w:tc>
          <w:tcPr>
            <w:tcW w:w="3067" w:type="dxa"/>
            <w:gridSpan w:val="2"/>
            <w:vAlign w:val="center"/>
          </w:tcPr>
          <w:p w:rsidR="006910AA" w:rsidRPr="00413DDC" w:rsidRDefault="006910AA" w:rsidP="000E41C7">
            <w:pPr>
              <w:tabs>
                <w:tab w:val="left" w:pos="288"/>
                <w:tab w:val="left" w:pos="4752"/>
              </w:tabs>
              <w:spacing w:line="200" w:lineRule="exact"/>
              <w:rPr>
                <w:rFonts w:asciiTheme="majorHAnsi" w:eastAsiaTheme="minorHAnsi" w:hAnsiTheme="majorHAnsi" w:cstheme="majorHAnsi"/>
                <w:color w:val="auto"/>
                <w:sz w:val="20"/>
              </w:rPr>
            </w:pPr>
            <w:r w:rsidRPr="00413DDC">
              <w:rPr>
                <w:rFonts w:asciiTheme="majorHAnsi" w:eastAsiaTheme="minorHAnsi" w:hAnsiTheme="majorHAnsi" w:cstheme="majorHAnsi"/>
                <w:color w:val="auto"/>
                <w:sz w:val="20"/>
              </w:rPr>
              <w:t>Pain</w:t>
            </w:r>
            <w:r w:rsidR="000122FF" w:rsidRPr="00413DDC">
              <w:rPr>
                <w:rFonts w:asciiTheme="majorHAnsi" w:eastAsiaTheme="minorHAnsi" w:hAnsiTheme="majorHAnsi" w:cstheme="majorHAnsi"/>
                <w:color w:val="auto"/>
                <w:sz w:val="20"/>
              </w:rPr>
              <w:t xml:space="preserve"> on motion</w:t>
            </w:r>
            <w:r w:rsidRPr="00413DDC">
              <w:rPr>
                <w:rFonts w:asciiTheme="majorHAnsi" w:eastAsiaTheme="minorHAnsi" w:hAnsiTheme="majorHAnsi" w:cstheme="majorHAnsi"/>
                <w:color w:val="auto"/>
                <w:sz w:val="20"/>
              </w:rPr>
              <w:t>; no TTP or spasm; Waddell +5/8* (see text); x-ray straightening of lumbar lordosis</w:t>
            </w:r>
          </w:p>
        </w:tc>
      </w:tr>
      <w:tr w:rsidR="006910AA" w:rsidRPr="00A803A9" w:rsidTr="000122FF">
        <w:trPr>
          <w:trHeight w:val="233"/>
          <w:jc w:val="center"/>
        </w:trPr>
        <w:tc>
          <w:tcPr>
            <w:tcW w:w="1885" w:type="dxa"/>
            <w:vAlign w:val="center"/>
          </w:tcPr>
          <w:p w:rsidR="006910AA" w:rsidRPr="00413DDC" w:rsidRDefault="006910AA" w:rsidP="000E41C7">
            <w:pPr>
              <w:pStyle w:val="ListParagraph"/>
              <w:spacing w:after="0" w:line="200" w:lineRule="exact"/>
              <w:ind w:left="0"/>
              <w:rPr>
                <w:rFonts w:asciiTheme="majorHAnsi" w:eastAsia="Calibri" w:hAnsiTheme="majorHAnsi" w:cstheme="majorHAnsi"/>
                <w:sz w:val="20"/>
                <w:szCs w:val="20"/>
              </w:rPr>
            </w:pPr>
            <w:r w:rsidRPr="00413DDC">
              <w:rPr>
                <w:rFonts w:asciiTheme="majorHAnsi" w:eastAsia="Calibri" w:hAnsiTheme="majorHAnsi" w:cstheme="majorHAnsi"/>
                <w:sz w:val="20"/>
                <w:szCs w:val="20"/>
              </w:rPr>
              <w:t>§4.71a Rating</w:t>
            </w:r>
          </w:p>
        </w:tc>
        <w:tc>
          <w:tcPr>
            <w:tcW w:w="1890" w:type="dxa"/>
            <w:tcBorders>
              <w:right w:val="single" w:sz="4" w:space="0" w:color="auto"/>
            </w:tcBorders>
            <w:vAlign w:val="center"/>
          </w:tcPr>
          <w:p w:rsidR="006910AA" w:rsidRPr="00413DDC" w:rsidRDefault="006910AA" w:rsidP="000E41C7">
            <w:pPr>
              <w:tabs>
                <w:tab w:val="left" w:pos="288"/>
                <w:tab w:val="left" w:pos="4752"/>
              </w:tabs>
              <w:spacing w:line="200" w:lineRule="exact"/>
              <w:rPr>
                <w:rFonts w:asciiTheme="majorHAnsi" w:eastAsiaTheme="minorHAnsi" w:hAnsiTheme="majorHAnsi" w:cstheme="majorHAnsi"/>
                <w:color w:val="auto"/>
                <w:sz w:val="20"/>
              </w:rPr>
            </w:pPr>
            <w:r w:rsidRPr="00413DDC">
              <w:rPr>
                <w:rFonts w:asciiTheme="majorHAnsi" w:eastAsiaTheme="minorHAnsi" w:hAnsiTheme="majorHAnsi" w:cstheme="majorHAnsi"/>
                <w:color w:val="auto"/>
                <w:sz w:val="20"/>
              </w:rPr>
              <w:t>20%</w:t>
            </w:r>
          </w:p>
        </w:tc>
        <w:tc>
          <w:tcPr>
            <w:tcW w:w="1247" w:type="dxa"/>
            <w:tcBorders>
              <w:left w:val="single" w:sz="4" w:space="0" w:color="auto"/>
            </w:tcBorders>
            <w:vAlign w:val="center"/>
          </w:tcPr>
          <w:p w:rsidR="006910AA" w:rsidRPr="00413DDC" w:rsidRDefault="006910AA" w:rsidP="000E41C7">
            <w:pPr>
              <w:tabs>
                <w:tab w:val="left" w:pos="288"/>
                <w:tab w:val="left" w:pos="4752"/>
              </w:tabs>
              <w:spacing w:line="200" w:lineRule="exact"/>
              <w:rPr>
                <w:rFonts w:asciiTheme="majorHAnsi" w:eastAsiaTheme="minorHAnsi" w:hAnsiTheme="majorHAnsi" w:cstheme="majorHAnsi"/>
                <w:color w:val="auto"/>
                <w:sz w:val="20"/>
              </w:rPr>
            </w:pPr>
            <w:r w:rsidRPr="00413DDC">
              <w:rPr>
                <w:rFonts w:asciiTheme="majorHAnsi" w:eastAsiaTheme="minorHAnsi" w:hAnsiTheme="majorHAnsi" w:cstheme="majorHAnsi"/>
                <w:color w:val="auto"/>
                <w:sz w:val="20"/>
              </w:rPr>
              <w:t>10%</w:t>
            </w:r>
          </w:p>
        </w:tc>
        <w:tc>
          <w:tcPr>
            <w:tcW w:w="1471" w:type="dxa"/>
            <w:tcBorders>
              <w:right w:val="single" w:sz="4" w:space="0" w:color="auto"/>
            </w:tcBorders>
            <w:vAlign w:val="center"/>
          </w:tcPr>
          <w:p w:rsidR="006910AA" w:rsidRPr="00413DDC" w:rsidRDefault="006910AA" w:rsidP="000E41C7">
            <w:pPr>
              <w:tabs>
                <w:tab w:val="left" w:pos="288"/>
                <w:tab w:val="left" w:pos="4752"/>
              </w:tabs>
              <w:spacing w:line="200" w:lineRule="exact"/>
              <w:rPr>
                <w:rFonts w:asciiTheme="majorHAnsi" w:eastAsiaTheme="minorHAnsi" w:hAnsiTheme="majorHAnsi" w:cstheme="majorHAnsi"/>
                <w:color w:val="auto"/>
                <w:sz w:val="20"/>
              </w:rPr>
            </w:pPr>
            <w:r w:rsidRPr="00413DDC">
              <w:rPr>
                <w:rFonts w:asciiTheme="majorHAnsi" w:eastAsiaTheme="minorHAnsi" w:hAnsiTheme="majorHAnsi" w:cstheme="majorHAnsi"/>
                <w:color w:val="auto"/>
                <w:sz w:val="20"/>
              </w:rPr>
              <w:t>20%</w:t>
            </w:r>
          </w:p>
        </w:tc>
        <w:tc>
          <w:tcPr>
            <w:tcW w:w="1596" w:type="dxa"/>
            <w:tcBorders>
              <w:left w:val="single" w:sz="4" w:space="0" w:color="auto"/>
            </w:tcBorders>
            <w:vAlign w:val="center"/>
          </w:tcPr>
          <w:p w:rsidR="006910AA" w:rsidRPr="00413DDC" w:rsidRDefault="006910AA" w:rsidP="000E41C7">
            <w:pPr>
              <w:tabs>
                <w:tab w:val="left" w:pos="288"/>
                <w:tab w:val="left" w:pos="4752"/>
              </w:tabs>
              <w:spacing w:line="200" w:lineRule="exact"/>
              <w:rPr>
                <w:rFonts w:asciiTheme="majorHAnsi" w:eastAsiaTheme="minorHAnsi" w:hAnsiTheme="majorHAnsi" w:cstheme="majorHAnsi"/>
                <w:color w:val="auto"/>
                <w:sz w:val="20"/>
              </w:rPr>
            </w:pPr>
            <w:r w:rsidRPr="00413DDC">
              <w:rPr>
                <w:rFonts w:asciiTheme="majorHAnsi" w:eastAsiaTheme="minorHAnsi" w:hAnsiTheme="majorHAnsi" w:cstheme="majorHAnsi"/>
                <w:color w:val="auto"/>
                <w:sz w:val="20"/>
              </w:rPr>
              <w:t>20% (PEB 10%)</w:t>
            </w:r>
          </w:p>
        </w:tc>
      </w:tr>
    </w:tbl>
    <w:p w:rsidR="00392EE6" w:rsidRPr="00A803A9" w:rsidRDefault="00392EE6" w:rsidP="00B22D42">
      <w:pPr>
        <w:jc w:val="both"/>
        <w:rPr>
          <w:color w:val="auto"/>
        </w:rPr>
      </w:pPr>
    </w:p>
    <w:p w:rsidR="00F72C60" w:rsidRDefault="00F72C60" w:rsidP="00F72C60">
      <w:pPr>
        <w:jc w:val="both"/>
        <w:rPr>
          <w:color w:val="auto"/>
          <w:szCs w:val="24"/>
        </w:rPr>
      </w:pPr>
      <w:r w:rsidRPr="00933064">
        <w:rPr>
          <w:color w:val="auto"/>
          <w:szCs w:val="24"/>
        </w:rPr>
        <w:t>At the MEB exam, the CI reported the severity and frequency of her neck and back pain a</w:t>
      </w:r>
      <w:r>
        <w:rPr>
          <w:color w:val="auto"/>
          <w:szCs w:val="24"/>
        </w:rPr>
        <w:t xml:space="preserve">s well as radicular pain and episodic paresthesias symptoms.  </w:t>
      </w:r>
      <w:r w:rsidRPr="00F64312">
        <w:rPr>
          <w:color w:val="auto"/>
          <w:szCs w:val="24"/>
        </w:rPr>
        <w:t xml:space="preserve">The MEB physical exam </w:t>
      </w:r>
      <w:r>
        <w:rPr>
          <w:color w:val="auto"/>
          <w:szCs w:val="24"/>
        </w:rPr>
        <w:t xml:space="preserve">including the referenced DD Form 2807 and 2808 details are summarized above.  </w:t>
      </w:r>
      <w:r w:rsidRPr="006366A0">
        <w:rPr>
          <w:color w:val="auto"/>
        </w:rPr>
        <w:t xml:space="preserve">The </w:t>
      </w:r>
      <w:r w:rsidR="009C039F">
        <w:rPr>
          <w:color w:val="auto"/>
        </w:rPr>
        <w:t>narrative summary (</w:t>
      </w:r>
      <w:r w:rsidRPr="006366A0">
        <w:rPr>
          <w:color w:val="auto"/>
        </w:rPr>
        <w:t>NARSUM</w:t>
      </w:r>
      <w:r w:rsidR="009C039F">
        <w:rPr>
          <w:color w:val="auto"/>
        </w:rPr>
        <w:t>)</w:t>
      </w:r>
      <w:r w:rsidRPr="006366A0">
        <w:rPr>
          <w:color w:val="auto"/>
        </w:rPr>
        <w:t xml:space="preserve"> </w:t>
      </w:r>
      <w:r>
        <w:rPr>
          <w:color w:val="auto"/>
        </w:rPr>
        <w:t>listed the neck ROMs without comment regarding Waddell signs with the comments under the back ROMs of “</w:t>
      </w:r>
      <w:r w:rsidRPr="006366A0">
        <w:rPr>
          <w:color w:val="auto"/>
        </w:rPr>
        <w:t>Waddell signs were positive for superficial tenderness,</w:t>
      </w:r>
      <w:r>
        <w:rPr>
          <w:color w:val="auto"/>
        </w:rPr>
        <w:t xml:space="preserve"> </w:t>
      </w:r>
      <w:r w:rsidRPr="006366A0">
        <w:rPr>
          <w:color w:val="auto"/>
        </w:rPr>
        <w:t>tenderness with axial load, regional sensory change, and moderate overreaction on exam</w:t>
      </w:r>
      <w:r>
        <w:rPr>
          <w:color w:val="auto"/>
        </w:rPr>
        <w:t xml:space="preserve"> </w:t>
      </w:r>
      <w:r w:rsidR="009C039F">
        <w:rPr>
          <w:color w:val="auto"/>
        </w:rPr>
        <w:t>giving her a score of 5/</w:t>
      </w:r>
      <w:r w:rsidRPr="006366A0">
        <w:rPr>
          <w:color w:val="auto"/>
        </w:rPr>
        <w:t>8.</w:t>
      </w:r>
      <w:r>
        <w:rPr>
          <w:color w:val="auto"/>
        </w:rPr>
        <w:t xml:space="preserve">”  </w:t>
      </w:r>
      <w:r>
        <w:rPr>
          <w:color w:val="auto"/>
          <w:szCs w:val="24"/>
        </w:rPr>
        <w:t>T</w:t>
      </w:r>
      <w:r w:rsidRPr="00F64312">
        <w:rPr>
          <w:color w:val="auto"/>
          <w:szCs w:val="24"/>
        </w:rPr>
        <w:t>he VA Compensation and Pension (C&amp;P) exam</w:t>
      </w:r>
      <w:r>
        <w:rPr>
          <w:color w:val="auto"/>
          <w:szCs w:val="24"/>
        </w:rPr>
        <w:t xml:space="preserve"> was 14 months pr</w:t>
      </w:r>
      <w:r w:rsidR="009C039F">
        <w:rPr>
          <w:color w:val="auto"/>
          <w:szCs w:val="24"/>
        </w:rPr>
        <w:t xml:space="preserve">ior to </w:t>
      </w:r>
      <w:r>
        <w:rPr>
          <w:color w:val="auto"/>
          <w:szCs w:val="24"/>
        </w:rPr>
        <w:t xml:space="preserve">separation and indicated a similar history </w:t>
      </w:r>
      <w:r w:rsidR="006C36AE">
        <w:rPr>
          <w:color w:val="auto"/>
          <w:szCs w:val="24"/>
        </w:rPr>
        <w:t>to the service treatment records</w:t>
      </w:r>
      <w:r w:rsidR="009C039F">
        <w:rPr>
          <w:color w:val="auto"/>
          <w:szCs w:val="24"/>
        </w:rPr>
        <w:t xml:space="preserve"> (STR)</w:t>
      </w:r>
      <w:r w:rsidR="006C36AE">
        <w:rPr>
          <w:color w:val="auto"/>
          <w:szCs w:val="24"/>
        </w:rPr>
        <w:t xml:space="preserve">.  The exam is </w:t>
      </w:r>
      <w:r>
        <w:rPr>
          <w:color w:val="auto"/>
          <w:szCs w:val="24"/>
        </w:rPr>
        <w:t>summarized above</w:t>
      </w:r>
      <w:r w:rsidR="006C36AE">
        <w:rPr>
          <w:color w:val="auto"/>
          <w:szCs w:val="24"/>
        </w:rPr>
        <w:t>, but was</w:t>
      </w:r>
      <w:r w:rsidR="009B02B5">
        <w:rPr>
          <w:color w:val="auto"/>
          <w:szCs w:val="24"/>
        </w:rPr>
        <w:t xml:space="preserve"> greater than 12 months from separation and therefore had a decreased probative value.</w:t>
      </w:r>
      <w:r w:rsidR="00F237DF">
        <w:rPr>
          <w:color w:val="auto"/>
          <w:szCs w:val="24"/>
        </w:rPr>
        <w:t xml:space="preserve">  </w:t>
      </w:r>
    </w:p>
    <w:p w:rsidR="00F237DF" w:rsidRDefault="00F237DF" w:rsidP="00F72C60">
      <w:pPr>
        <w:jc w:val="both"/>
        <w:rPr>
          <w:color w:val="auto"/>
          <w:szCs w:val="24"/>
        </w:rPr>
      </w:pPr>
    </w:p>
    <w:p w:rsidR="005673FF" w:rsidRDefault="00F237DF" w:rsidP="00F237DF">
      <w:pPr>
        <w:tabs>
          <w:tab w:val="left" w:pos="288"/>
          <w:tab w:val="left" w:pos="4752"/>
        </w:tabs>
        <w:jc w:val="both"/>
        <w:rPr>
          <w:rFonts w:cs="Times New Roman"/>
          <w:color w:val="auto"/>
        </w:rPr>
      </w:pPr>
      <w:r w:rsidRPr="00F64312">
        <w:rPr>
          <w:rFonts w:cs="Times New Roman"/>
          <w:color w:val="auto"/>
        </w:rPr>
        <w:t xml:space="preserve">The Board directs attention to its rating recommendation based on the above evidence.  </w:t>
      </w:r>
      <w:r w:rsidR="000A0C93">
        <w:rPr>
          <w:rFonts w:cs="Times New Roman"/>
          <w:color w:val="auto"/>
        </w:rPr>
        <w:t xml:space="preserve">There were no episodes of </w:t>
      </w:r>
      <w:r w:rsidR="00D073A9">
        <w:rPr>
          <w:rFonts w:cs="Times New Roman"/>
          <w:color w:val="auto"/>
        </w:rPr>
        <w:t>incapacitation IAW VASRD §4.71a</w:t>
      </w:r>
      <w:r w:rsidR="000A0C93">
        <w:rPr>
          <w:rFonts w:cs="Times New Roman"/>
          <w:color w:val="auto"/>
        </w:rPr>
        <w:t xml:space="preserve"> criteria for 5243 (bed rest and treatment prescribed by a physician).  </w:t>
      </w:r>
      <w:r>
        <w:rPr>
          <w:rFonts w:cs="Times New Roman"/>
          <w:color w:val="auto"/>
        </w:rPr>
        <w:t>There were episodic indications of lumbar muscle spasms as well as painful motion, pain-limited motion and positive trigger point tenderness, offset with treatment notes indicating severe pain with medication use and severe pain with an exam that was not consistent with the described level of pain.  The positive Waddell signs are indicators of non-physiologic findings (as specified above)</w:t>
      </w:r>
      <w:r w:rsidR="000A0C93">
        <w:rPr>
          <w:rFonts w:cs="Times New Roman"/>
          <w:color w:val="auto"/>
        </w:rPr>
        <w:t>;</w:t>
      </w:r>
      <w:r>
        <w:rPr>
          <w:rFonts w:cs="Times New Roman"/>
          <w:color w:val="auto"/>
        </w:rPr>
        <w:t xml:space="preserve"> however, literature indicates no significant difference in disability pictures regardless of absence or presence of Waddell signs.  The MEB ROMs each indicated decreased ROM on repeated motion</w:t>
      </w:r>
      <w:r w:rsidR="00BB4471">
        <w:rPr>
          <w:rFonts w:cs="Times New Roman"/>
          <w:color w:val="auto"/>
        </w:rPr>
        <w:t xml:space="preserve"> would lead to the last and lowest ROM typically being indicative of the disability picture IAW DeLuca (</w:t>
      </w:r>
      <w:r w:rsidR="00BB4471" w:rsidRPr="00BB4471">
        <w:rPr>
          <w:rFonts w:cs="Times New Roman"/>
          <w:color w:val="auto"/>
        </w:rPr>
        <w:t>In DeLuca v. Brown (1995), the United States Court of Appeals for Veterans</w:t>
      </w:r>
      <w:r w:rsidR="009C039F">
        <w:rPr>
          <w:rFonts w:cs="Times New Roman"/>
          <w:color w:val="auto"/>
        </w:rPr>
        <w:t>’</w:t>
      </w:r>
      <w:r w:rsidR="00BB4471" w:rsidRPr="00BB4471">
        <w:rPr>
          <w:rFonts w:cs="Times New Roman"/>
          <w:color w:val="auto"/>
        </w:rPr>
        <w:t xml:space="preserve"> Claims ruled that the VA must separately consider any additional functional loss due to pain, flare-ups, deformity, tenderness, arthritis, loss of motion on repetitive use, weakened movement, excess fatigability or incoordination when rating disabilities.</w:t>
      </w:r>
      <w:r w:rsidR="00BB4471">
        <w:rPr>
          <w:rFonts w:cs="Times New Roman"/>
          <w:color w:val="auto"/>
        </w:rPr>
        <w:t xml:space="preserve">)  The PEB specified their cervical spine rating was for forward flexion 34⁰ while application of the general spine formula (IAW VASRD §4.71a. and Note 4) and DeLuca would indicate the exam should be rated for forward flexion of 25⁰.  The cervical ROM criteria for 20% states </w:t>
      </w:r>
      <w:r w:rsidR="00BB4471" w:rsidRPr="00BB4471">
        <w:rPr>
          <w:rFonts w:cs="Times New Roman"/>
          <w:color w:val="auto"/>
        </w:rPr>
        <w:t xml:space="preserve">forward flexion greater than 15⁰ but not greater than 30⁰.  </w:t>
      </w:r>
      <w:r w:rsidR="00BB4471">
        <w:rPr>
          <w:rFonts w:cs="Times New Roman"/>
          <w:color w:val="auto"/>
        </w:rPr>
        <w:t>The PEB specified thoracolumbar spine rating was for</w:t>
      </w:r>
      <w:r w:rsidR="00BB4471" w:rsidRPr="00BB4471">
        <w:rPr>
          <w:rFonts w:cs="Times New Roman"/>
          <w:color w:val="auto"/>
        </w:rPr>
        <w:t xml:space="preserve"> </w:t>
      </w:r>
      <w:r w:rsidR="00BB4471">
        <w:rPr>
          <w:rFonts w:cs="Times New Roman"/>
          <w:color w:val="auto"/>
        </w:rPr>
        <w:t>motion limited by pain and “rated as mild IAW AR 635-40</w:t>
      </w:r>
      <w:r w:rsidR="009C039F">
        <w:rPr>
          <w:rFonts w:cs="Times New Roman"/>
          <w:color w:val="auto"/>
        </w:rPr>
        <w:t>.”</w:t>
      </w:r>
      <w:r w:rsidR="00BB4471">
        <w:rPr>
          <w:rFonts w:cs="Times New Roman"/>
          <w:color w:val="auto"/>
        </w:rPr>
        <w:t xml:space="preserve"> </w:t>
      </w:r>
      <w:r w:rsidR="005673FF">
        <w:rPr>
          <w:rFonts w:cs="Times New Roman"/>
          <w:color w:val="auto"/>
        </w:rPr>
        <w:t xml:space="preserve">Although the DeLuca and §4.71a. rating </w:t>
      </w:r>
      <w:bookmarkStart w:id="0" w:name="_GoBack"/>
      <w:bookmarkEnd w:id="0"/>
      <w:r w:rsidR="005673FF">
        <w:rPr>
          <w:rFonts w:cs="Times New Roman"/>
          <w:color w:val="auto"/>
        </w:rPr>
        <w:t xml:space="preserve">for forward flexion of the exam would be 35⁰, even the greatest of the three </w:t>
      </w:r>
      <w:r w:rsidR="005673FF" w:rsidRPr="005673FF">
        <w:rPr>
          <w:rFonts w:cs="Times New Roman"/>
          <w:color w:val="auto"/>
        </w:rPr>
        <w:t>measured ROMs (51⁰) would meet the 20% criteria for forward flexion of the thoracolumbar spine greater than 30⁰ but not greater than 60⁰</w:t>
      </w:r>
      <w:r w:rsidR="005673FF">
        <w:rPr>
          <w:rFonts w:cs="Times New Roman"/>
          <w:color w:val="auto"/>
        </w:rPr>
        <w:t xml:space="preserve">.  </w:t>
      </w:r>
    </w:p>
    <w:p w:rsidR="005673FF" w:rsidRDefault="005673FF" w:rsidP="00F237DF">
      <w:pPr>
        <w:tabs>
          <w:tab w:val="left" w:pos="288"/>
          <w:tab w:val="left" w:pos="4752"/>
        </w:tabs>
        <w:jc w:val="both"/>
        <w:rPr>
          <w:rFonts w:cs="Times New Roman"/>
          <w:color w:val="auto"/>
        </w:rPr>
      </w:pPr>
    </w:p>
    <w:p w:rsidR="005673FF" w:rsidRPr="00800F6A" w:rsidRDefault="005673FF" w:rsidP="005673FF">
      <w:pPr>
        <w:jc w:val="both"/>
        <w:rPr>
          <w:rFonts w:eastAsia="Calibri" w:cs="Times New Roman"/>
          <w:color w:val="auto"/>
          <w:szCs w:val="24"/>
        </w:rPr>
      </w:pPr>
      <w:r w:rsidRPr="00F64312">
        <w:rPr>
          <w:rFonts w:eastAsia="Calibri" w:cs="Times New Roman"/>
          <w:color w:val="auto"/>
          <w:szCs w:val="24"/>
        </w:rPr>
        <w:t xml:space="preserve">After due deliberation, considering all of the evidence and mindful of VASRD §4.3 (reasonable doubt), the Board recommends a </w:t>
      </w:r>
      <w:r w:rsidRPr="00800F6A">
        <w:rPr>
          <w:rFonts w:eastAsia="Calibri" w:cs="Times New Roman"/>
          <w:color w:val="auto"/>
          <w:szCs w:val="24"/>
        </w:rPr>
        <w:t>disability rating of 20%</w:t>
      </w:r>
      <w:r w:rsidR="00800F6A" w:rsidRPr="00800F6A">
        <w:rPr>
          <w:rFonts w:eastAsia="Calibri" w:cs="Times New Roman"/>
          <w:color w:val="auto"/>
          <w:szCs w:val="24"/>
        </w:rPr>
        <w:t xml:space="preserve"> </w:t>
      </w:r>
      <w:r w:rsidRPr="00800F6A">
        <w:rPr>
          <w:rFonts w:eastAsia="Calibri" w:cs="Times New Roman"/>
          <w:color w:val="auto"/>
          <w:szCs w:val="24"/>
        </w:rPr>
        <w:t>for the neck condition</w:t>
      </w:r>
      <w:r w:rsidR="00800F6A">
        <w:rPr>
          <w:rFonts w:eastAsia="Calibri" w:cs="Times New Roman"/>
          <w:color w:val="auto"/>
          <w:szCs w:val="24"/>
        </w:rPr>
        <w:t xml:space="preserve">, and </w:t>
      </w:r>
      <w:r w:rsidRPr="00800F6A">
        <w:rPr>
          <w:rFonts w:eastAsia="Calibri" w:cs="Times New Roman"/>
          <w:color w:val="auto"/>
          <w:szCs w:val="24"/>
        </w:rPr>
        <w:t xml:space="preserve">a disability rating of 20% for the back condition.  </w:t>
      </w:r>
    </w:p>
    <w:p w:rsidR="00AD2379" w:rsidRPr="00800F6A" w:rsidRDefault="00AD2379" w:rsidP="00BF0E94">
      <w:pPr>
        <w:jc w:val="left"/>
        <w:rPr>
          <w:rFonts w:eastAsia="HiddenHorzOCR"/>
          <w:color w:val="auto"/>
          <w:u w:val="single"/>
        </w:rPr>
      </w:pPr>
    </w:p>
    <w:p w:rsidR="003863E9" w:rsidRPr="00792790" w:rsidRDefault="006B690F" w:rsidP="003863E9">
      <w:pPr>
        <w:jc w:val="both"/>
        <w:rPr>
          <w:rFonts w:eastAsia="Calibri" w:cs="Times New Roman"/>
          <w:color w:val="auto"/>
          <w:szCs w:val="24"/>
        </w:rPr>
      </w:pPr>
      <w:proofErr w:type="gramStart"/>
      <w:r w:rsidRPr="00800F6A">
        <w:rPr>
          <w:rFonts w:eastAsia="HiddenHorzOCR"/>
          <w:color w:val="auto"/>
          <w:u w:val="single"/>
        </w:rPr>
        <w:t xml:space="preserve">Contended </w:t>
      </w:r>
      <w:r w:rsidR="00AD2379" w:rsidRPr="00800F6A">
        <w:rPr>
          <w:rFonts w:eastAsia="HiddenHorzOCR"/>
          <w:color w:val="auto"/>
          <w:u w:val="single"/>
        </w:rPr>
        <w:t>PEB Conditions</w:t>
      </w:r>
      <w:r w:rsidR="00AD2379" w:rsidRPr="00800F6A">
        <w:rPr>
          <w:rFonts w:eastAsia="HiddenHorzOCR"/>
          <w:color w:val="auto"/>
        </w:rPr>
        <w:t>.</w:t>
      </w:r>
      <w:proofErr w:type="gramEnd"/>
      <w:r w:rsidR="0001281C" w:rsidRPr="00800F6A">
        <w:rPr>
          <w:rFonts w:eastAsia="HiddenHorzOCR"/>
          <w:color w:val="auto"/>
        </w:rPr>
        <w:t xml:space="preserve">  </w:t>
      </w:r>
      <w:r w:rsidR="003863E9" w:rsidRPr="00800F6A">
        <w:rPr>
          <w:rFonts w:eastAsia="Calibri" w:cs="Times New Roman"/>
          <w:color w:val="auto"/>
          <w:szCs w:val="24"/>
        </w:rPr>
        <w:t xml:space="preserve">The contended conditions adjudicated as </w:t>
      </w:r>
      <w:r w:rsidR="001C545A" w:rsidRPr="00800F6A">
        <w:rPr>
          <w:rFonts w:eastAsia="Calibri" w:cs="Times New Roman"/>
          <w:color w:val="auto"/>
          <w:szCs w:val="24"/>
        </w:rPr>
        <w:t xml:space="preserve">not </w:t>
      </w:r>
      <w:r w:rsidR="003863E9" w:rsidRPr="00800F6A">
        <w:rPr>
          <w:rFonts w:eastAsia="Calibri" w:cs="Times New Roman"/>
          <w:color w:val="auto"/>
          <w:szCs w:val="24"/>
        </w:rPr>
        <w:t xml:space="preserve">unfitting by the PEB were </w:t>
      </w:r>
      <w:r w:rsidR="00A803A9">
        <w:rPr>
          <w:color w:val="auto"/>
        </w:rPr>
        <w:t>h</w:t>
      </w:r>
      <w:r w:rsidR="00FD3401" w:rsidRPr="00800F6A">
        <w:rPr>
          <w:color w:val="auto"/>
        </w:rPr>
        <w:t xml:space="preserve">eadaches, </w:t>
      </w:r>
      <w:r w:rsidR="00A803A9">
        <w:rPr>
          <w:color w:val="auto"/>
        </w:rPr>
        <w:t>b</w:t>
      </w:r>
      <w:r w:rsidR="00FD3401" w:rsidRPr="00800F6A">
        <w:rPr>
          <w:color w:val="auto"/>
        </w:rPr>
        <w:t xml:space="preserve">reast </w:t>
      </w:r>
      <w:r w:rsidR="00A803A9">
        <w:rPr>
          <w:color w:val="auto"/>
        </w:rPr>
        <w:t>m</w:t>
      </w:r>
      <w:r w:rsidR="00FD3401" w:rsidRPr="00800F6A">
        <w:rPr>
          <w:color w:val="auto"/>
        </w:rPr>
        <w:t xml:space="preserve">ass, </w:t>
      </w:r>
      <w:r w:rsidR="00A803A9">
        <w:rPr>
          <w:color w:val="auto"/>
        </w:rPr>
        <w:t>s</w:t>
      </w:r>
      <w:r w:rsidR="00FD3401" w:rsidRPr="00800F6A">
        <w:rPr>
          <w:color w:val="auto"/>
        </w:rPr>
        <w:t xml:space="preserve">inusitis, </w:t>
      </w:r>
      <w:r w:rsidR="00A803A9">
        <w:rPr>
          <w:color w:val="auto"/>
        </w:rPr>
        <w:t>c</w:t>
      </w:r>
      <w:r w:rsidR="00FD3401" w:rsidRPr="00800F6A">
        <w:rPr>
          <w:color w:val="auto"/>
        </w:rPr>
        <w:t xml:space="preserve">ystic </w:t>
      </w:r>
      <w:r w:rsidR="00D073A9">
        <w:rPr>
          <w:color w:val="auto"/>
        </w:rPr>
        <w:t>a</w:t>
      </w:r>
      <w:r w:rsidR="00FD3401" w:rsidRPr="00800F6A">
        <w:rPr>
          <w:color w:val="auto"/>
        </w:rPr>
        <w:t>cne and left upper extremity radiculopathy</w:t>
      </w:r>
      <w:r w:rsidR="00FD3401" w:rsidRPr="00800F6A">
        <w:rPr>
          <w:rFonts w:eastAsia="Calibri" w:cs="Times New Roman"/>
          <w:color w:val="auto"/>
          <w:szCs w:val="24"/>
        </w:rPr>
        <w:t xml:space="preserve">.  </w:t>
      </w:r>
      <w:r w:rsidR="003863E9" w:rsidRPr="00800F6A">
        <w:rPr>
          <w:rFonts w:eastAsia="Calibri" w:cs="Times New Roman"/>
          <w:color w:val="auto"/>
          <w:szCs w:val="24"/>
        </w:rPr>
        <w:t>The Board’s first charge with respect to these conditions is an assessment of the appropriateness of the PEB’s fitness adjudications.  The Board’s threshold for countering</w:t>
      </w:r>
      <w:r w:rsidR="003863E9" w:rsidRPr="00792790">
        <w:rPr>
          <w:rFonts w:eastAsia="Calibri" w:cs="Times New Roman"/>
          <w:color w:val="auto"/>
          <w:szCs w:val="24"/>
        </w:rPr>
        <w:t xml:space="preserve"> fitness determinations is higher than the VASRD §4.3 (reasonable doubt) standard used for its rating recommendations, but remains adherent to the DoDI 6040.44 “fair and equitable” standard.  </w:t>
      </w:r>
      <w:r w:rsidR="00EF5EB8">
        <w:rPr>
          <w:color w:val="000000"/>
        </w:rPr>
        <w:t xml:space="preserve">The acne, breast </w:t>
      </w:r>
      <w:r w:rsidR="00EF5EB8">
        <w:rPr>
          <w:color w:val="000000"/>
        </w:rPr>
        <w:lastRenderedPageBreak/>
        <w:t xml:space="preserve">lump and sinusitis were chronic and noted on the 2001 VA rating determination.  </w:t>
      </w:r>
      <w:r w:rsidR="00F7059B" w:rsidRPr="00F7059B">
        <w:rPr>
          <w:color w:val="000000"/>
        </w:rPr>
        <w:t>Only the neck and back conditions</w:t>
      </w:r>
      <w:r w:rsidR="003863E9" w:rsidRPr="00F7059B">
        <w:rPr>
          <w:color w:val="000000"/>
        </w:rPr>
        <w:t xml:space="preserve"> were </w:t>
      </w:r>
      <w:r w:rsidR="00D073A9">
        <w:rPr>
          <w:color w:val="000000"/>
        </w:rPr>
        <w:t>mentioned in the profile;</w:t>
      </w:r>
      <w:r w:rsidR="00F7059B" w:rsidRPr="00F7059B">
        <w:rPr>
          <w:color w:val="000000"/>
        </w:rPr>
        <w:t xml:space="preserve"> however, t</w:t>
      </w:r>
      <w:r w:rsidR="003863E9" w:rsidRPr="00F7059B">
        <w:rPr>
          <w:color w:val="000000"/>
        </w:rPr>
        <w:t>he commander’s statement</w:t>
      </w:r>
      <w:r w:rsidR="00F7059B" w:rsidRPr="00F7059B">
        <w:rPr>
          <w:color w:val="000000"/>
        </w:rPr>
        <w:t xml:space="preserve"> implicated the left arm radiculopathy and headaches in addition to the unfitting neck and back conditions.  </w:t>
      </w:r>
      <w:r w:rsidR="00EF5EB8">
        <w:rPr>
          <w:color w:val="000000"/>
        </w:rPr>
        <w:t xml:space="preserve">Records indicate the CI was right handed and the left upper extremity had no motor </w:t>
      </w:r>
      <w:r w:rsidR="00EF5EB8" w:rsidRPr="00EF5EB8">
        <w:rPr>
          <w:color w:val="auto"/>
        </w:rPr>
        <w:t xml:space="preserve">component.  </w:t>
      </w:r>
      <w:r w:rsidR="00EF5EB8" w:rsidRPr="00EF5EB8">
        <w:rPr>
          <w:color w:val="auto"/>
          <w:szCs w:val="24"/>
        </w:rPr>
        <w:t xml:space="preserve">Firm Board precedent requires a functional impairment tied to fitness to support a recommendation for addition of a peripheral nerve rating (left upper extremity radiculopathy) to disability in spine cases.  The pain component of a radiculopathy is subsumed under the general spine rating as specified in §4.71a.  There was no motor weakness in evidence.  The intermittent sensory component in this case was mentioned by the commander (in conjunction with headaches) as “creates problem for her in trying to perform administrative tasks to standard.”  </w:t>
      </w:r>
      <w:r w:rsidR="00F7059B" w:rsidRPr="00EF5EB8">
        <w:rPr>
          <w:color w:val="000000"/>
        </w:rPr>
        <w:t xml:space="preserve">Headaches were described as </w:t>
      </w:r>
      <w:r w:rsidR="009C039F">
        <w:rPr>
          <w:color w:val="000000"/>
        </w:rPr>
        <w:t>two to three</w:t>
      </w:r>
      <w:r w:rsidR="00F7059B" w:rsidRPr="00EF5EB8">
        <w:rPr>
          <w:color w:val="000000"/>
        </w:rPr>
        <w:t xml:space="preserve"> times a month with decreased symptoms following medication use.  </w:t>
      </w:r>
      <w:r w:rsidR="00EF5EB8" w:rsidRPr="00EF5EB8">
        <w:rPr>
          <w:color w:val="000000"/>
        </w:rPr>
        <w:t>T</w:t>
      </w:r>
      <w:r w:rsidR="00F7059B" w:rsidRPr="00EF5EB8">
        <w:rPr>
          <w:color w:val="000000"/>
        </w:rPr>
        <w:t>he NARSUM indicated “they have never been severe enough for her to p</w:t>
      </w:r>
      <w:r w:rsidR="00EF5EB8" w:rsidRPr="00EF5EB8">
        <w:rPr>
          <w:color w:val="000000"/>
        </w:rPr>
        <w:t>ursue a neurological evaluation</w:t>
      </w:r>
      <w:r w:rsidR="009C039F">
        <w:rPr>
          <w:color w:val="000000"/>
        </w:rPr>
        <w:t>,</w:t>
      </w:r>
      <w:r w:rsidR="00F7059B" w:rsidRPr="00EF5EB8">
        <w:rPr>
          <w:color w:val="000000"/>
        </w:rPr>
        <w:t>”</w:t>
      </w:r>
      <w:r w:rsidR="00EF5EB8" w:rsidRPr="00EF5EB8">
        <w:rPr>
          <w:color w:val="000000"/>
        </w:rPr>
        <w:t xml:space="preserve"> and there was no indication of prostrating attacks proximate to separation in the service or VA records.  </w:t>
      </w:r>
      <w:r w:rsidR="00EF5EB8" w:rsidRPr="00A13954">
        <w:rPr>
          <w:color w:val="000000"/>
        </w:rPr>
        <w:t xml:space="preserve">All conditions were judged to meet retention standards.  </w:t>
      </w:r>
      <w:r w:rsidR="003863E9" w:rsidRPr="00A13954">
        <w:rPr>
          <w:color w:val="000000"/>
        </w:rPr>
        <w:t xml:space="preserve">All were reviewed by the </w:t>
      </w:r>
      <w:r w:rsidR="00DF3B06" w:rsidRPr="00A13954">
        <w:rPr>
          <w:color w:val="000000"/>
        </w:rPr>
        <w:t>a</w:t>
      </w:r>
      <w:r w:rsidR="003863E9" w:rsidRPr="00A13954">
        <w:rPr>
          <w:color w:val="000000"/>
        </w:rPr>
        <w:t xml:space="preserve">ction </w:t>
      </w:r>
      <w:r w:rsidR="00DF3B06" w:rsidRPr="00A13954">
        <w:rPr>
          <w:color w:val="000000"/>
        </w:rPr>
        <w:t>o</w:t>
      </w:r>
      <w:r w:rsidR="003863E9" w:rsidRPr="00A13954">
        <w:rPr>
          <w:color w:val="000000"/>
        </w:rPr>
        <w:t xml:space="preserve">fficer and considered by the Board.  There was no indication from the record that any of these conditions significantly interfered with satisfactory duty performance.  </w:t>
      </w:r>
      <w:r w:rsidR="003863E9" w:rsidRPr="00A13954">
        <w:rPr>
          <w:rFonts w:eastAsia="Calibri" w:cs="Times New Roman"/>
          <w:color w:val="auto"/>
          <w:szCs w:val="24"/>
        </w:rPr>
        <w:t>After due deliberation in consideration of the preponderance of the evidence, the Board concluded that there was insufficient cause</w:t>
      </w:r>
      <w:r w:rsidR="003863E9" w:rsidRPr="00792790">
        <w:rPr>
          <w:rFonts w:eastAsia="Calibri" w:cs="Times New Roman"/>
          <w:color w:val="auto"/>
          <w:szCs w:val="24"/>
        </w:rPr>
        <w:t xml:space="preserve"> to recommend a change in the PEB fitness determination for the any o</w:t>
      </w:r>
      <w:r w:rsidR="009C039F">
        <w:rPr>
          <w:rFonts w:eastAsia="Calibri" w:cs="Times New Roman"/>
          <w:color w:val="auto"/>
          <w:szCs w:val="24"/>
        </w:rPr>
        <w:t>f the contended conditions; and</w:t>
      </w:r>
      <w:r w:rsidR="003863E9" w:rsidRPr="00792790">
        <w:rPr>
          <w:rFonts w:eastAsia="Calibri" w:cs="Times New Roman"/>
          <w:color w:val="auto"/>
          <w:szCs w:val="24"/>
        </w:rPr>
        <w:t xml:space="preserve"> therefore, no additional disability ratings can be recommended.</w:t>
      </w:r>
      <w:r w:rsidR="000C0970">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xml:space="preserve">:  IAW DoDI 6040.44, provisions of DoD or Military Department regulations or </w:t>
      </w:r>
      <w:r w:rsidRPr="00800F6A">
        <w:rPr>
          <w:color w:val="auto"/>
        </w:rPr>
        <w:t>guidelines relied upon by the PEB will not be considered by the Board to the extent they were inconsistent with the VASRD in effect at the time of the adjudication</w:t>
      </w:r>
      <w:r w:rsidRPr="00800F6A">
        <w:rPr>
          <w:rFonts w:cs="Times New Roman"/>
          <w:color w:val="auto"/>
        </w:rPr>
        <w:t>.</w:t>
      </w:r>
      <w:r w:rsidR="006B690F" w:rsidRPr="00800F6A">
        <w:rPr>
          <w:rFonts w:cs="Times New Roman"/>
          <w:color w:val="auto"/>
        </w:rPr>
        <w:t xml:space="preserve">  </w:t>
      </w:r>
      <w:r w:rsidR="00241B01" w:rsidRPr="00800F6A">
        <w:rPr>
          <w:rFonts w:eastAsia="Calibri" w:cs="Times New Roman"/>
          <w:color w:val="auto"/>
          <w:szCs w:val="24"/>
        </w:rPr>
        <w:t xml:space="preserve">As discussed above, PEB reliance on the USAPDA pain policy for rating </w:t>
      </w:r>
      <w:r w:rsidR="00FD3401" w:rsidRPr="00800F6A">
        <w:rPr>
          <w:rFonts w:eastAsia="Calibri" w:cs="Times New Roman"/>
          <w:color w:val="auto"/>
          <w:szCs w:val="24"/>
        </w:rPr>
        <w:t>the lumbar spine condition</w:t>
      </w:r>
      <w:r w:rsidR="00241B01" w:rsidRPr="00800F6A">
        <w:rPr>
          <w:rFonts w:eastAsia="Calibri" w:cs="Times New Roman"/>
          <w:color w:val="auto"/>
          <w:szCs w:val="24"/>
        </w:rPr>
        <w:t xml:space="preserve"> was operant in this case and the condition was adjudicated independently of that policy by the Board.</w:t>
      </w:r>
      <w:r w:rsidR="006B690F" w:rsidRPr="00800F6A">
        <w:rPr>
          <w:rFonts w:eastAsia="Calibri" w:cs="Times New Roman"/>
          <w:color w:val="auto"/>
          <w:szCs w:val="24"/>
        </w:rPr>
        <w:t xml:space="preserve">  </w:t>
      </w:r>
      <w:r w:rsidR="00241B01" w:rsidRPr="00800F6A">
        <w:rPr>
          <w:rFonts w:eastAsia="Calibri" w:cs="Times New Roman"/>
          <w:color w:val="auto"/>
          <w:szCs w:val="24"/>
        </w:rPr>
        <w:t xml:space="preserve">In the matter of the </w:t>
      </w:r>
      <w:r w:rsidR="000A0C93" w:rsidRPr="00800F6A">
        <w:rPr>
          <w:rFonts w:eastAsia="Calibri" w:cs="Times New Roman"/>
          <w:color w:val="auto"/>
          <w:szCs w:val="24"/>
        </w:rPr>
        <w:t>neck</w:t>
      </w:r>
      <w:r w:rsidR="00241B01" w:rsidRPr="00800F6A">
        <w:rPr>
          <w:rFonts w:eastAsia="Calibri" w:cs="Times New Roman"/>
          <w:color w:val="auto"/>
          <w:szCs w:val="24"/>
        </w:rPr>
        <w:t xml:space="preserve"> condition, the Board unanimously recommends a disability rating of </w:t>
      </w:r>
      <w:r w:rsidR="000A0C93" w:rsidRPr="00800F6A">
        <w:rPr>
          <w:rFonts w:eastAsia="Calibri" w:cs="Times New Roman"/>
          <w:color w:val="auto"/>
          <w:szCs w:val="24"/>
        </w:rPr>
        <w:t>20%</w:t>
      </w:r>
      <w:r w:rsidR="00241B01" w:rsidRPr="00800F6A">
        <w:rPr>
          <w:rFonts w:eastAsia="Calibri" w:cs="Times New Roman"/>
          <w:color w:val="auto"/>
          <w:szCs w:val="24"/>
        </w:rPr>
        <w:t xml:space="preserve">, coded </w:t>
      </w:r>
      <w:r w:rsidR="000A0C93" w:rsidRPr="00800F6A">
        <w:rPr>
          <w:color w:val="auto"/>
        </w:rPr>
        <w:t>5243</w:t>
      </w:r>
      <w:r w:rsidR="00241B01" w:rsidRPr="00800F6A">
        <w:rPr>
          <w:rFonts w:eastAsia="Calibri" w:cs="Times New Roman"/>
          <w:color w:val="auto"/>
          <w:szCs w:val="24"/>
        </w:rPr>
        <w:t xml:space="preserve"> IAW VASRD §4.71a.</w:t>
      </w:r>
      <w:r w:rsidR="006B690F" w:rsidRPr="00800F6A">
        <w:rPr>
          <w:rFonts w:eastAsia="Calibri" w:cs="Times New Roman"/>
          <w:color w:val="auto"/>
          <w:szCs w:val="24"/>
        </w:rPr>
        <w:t xml:space="preserve">  </w:t>
      </w:r>
      <w:r w:rsidR="00380445" w:rsidRPr="00800F6A">
        <w:rPr>
          <w:rFonts w:eastAsia="Calibri" w:cs="Times New Roman"/>
          <w:color w:val="auto"/>
          <w:szCs w:val="24"/>
        </w:rPr>
        <w:t xml:space="preserve">In the matter of the </w:t>
      </w:r>
      <w:r w:rsidR="000A0C93" w:rsidRPr="00800F6A">
        <w:rPr>
          <w:rFonts w:eastAsia="Calibri" w:cs="Times New Roman"/>
          <w:color w:val="auto"/>
          <w:szCs w:val="24"/>
        </w:rPr>
        <w:t>back</w:t>
      </w:r>
      <w:r w:rsidR="00380445" w:rsidRPr="00800F6A">
        <w:rPr>
          <w:rFonts w:eastAsia="Calibri" w:cs="Times New Roman"/>
          <w:color w:val="auto"/>
          <w:szCs w:val="24"/>
        </w:rPr>
        <w:t xml:space="preserve"> condition, the Board unanimously recommends a disability rating of </w:t>
      </w:r>
      <w:r w:rsidR="000A0C93" w:rsidRPr="00800F6A">
        <w:rPr>
          <w:rFonts w:eastAsia="Calibri" w:cs="Times New Roman"/>
          <w:color w:val="auto"/>
          <w:szCs w:val="24"/>
        </w:rPr>
        <w:t>20</w:t>
      </w:r>
      <w:r w:rsidR="00380445" w:rsidRPr="00800F6A">
        <w:rPr>
          <w:rFonts w:eastAsia="Calibri" w:cs="Times New Roman"/>
          <w:color w:val="auto"/>
          <w:szCs w:val="24"/>
        </w:rPr>
        <w:t xml:space="preserve">%, coded </w:t>
      </w:r>
      <w:r w:rsidR="000A0C93" w:rsidRPr="00800F6A">
        <w:rPr>
          <w:color w:val="auto"/>
        </w:rPr>
        <w:t>5237</w:t>
      </w:r>
      <w:r w:rsidR="00380445" w:rsidRPr="00800F6A">
        <w:rPr>
          <w:rFonts w:eastAsia="Calibri" w:cs="Times New Roman"/>
          <w:color w:val="auto"/>
          <w:szCs w:val="24"/>
        </w:rPr>
        <w:t xml:space="preserve"> IAW VASRD §4.71a.  </w:t>
      </w:r>
      <w:r w:rsidR="00560F12" w:rsidRPr="00800F6A">
        <w:rPr>
          <w:rFonts w:eastAsia="Calibri" w:cs="Times New Roman"/>
          <w:color w:val="auto"/>
          <w:szCs w:val="24"/>
        </w:rPr>
        <w:t xml:space="preserve">In the matter of the contended </w:t>
      </w:r>
      <w:r w:rsidR="007F68D6" w:rsidRPr="00800F6A">
        <w:rPr>
          <w:color w:val="auto"/>
        </w:rPr>
        <w:t>headaches, breast mass, sinusitis, cystic acne and left upper extremity radiculopathy</w:t>
      </w:r>
      <w:r w:rsidR="00560F12" w:rsidRPr="00800F6A">
        <w:rPr>
          <w:rFonts w:eastAsia="Calibri" w:cs="Times New Roman"/>
          <w:color w:val="auto"/>
          <w:szCs w:val="24"/>
        </w:rPr>
        <w:t xml:space="preserve"> conditions, the Board unanimously </w:t>
      </w:r>
      <w:r w:rsidR="00417BED" w:rsidRPr="00800F6A">
        <w:rPr>
          <w:rFonts w:eastAsia="Calibri" w:cs="Times New Roman"/>
          <w:color w:val="auto"/>
          <w:szCs w:val="24"/>
        </w:rPr>
        <w:t>recommends no change from the PEB determinations as not unfitting.</w:t>
      </w:r>
      <w:r w:rsidR="00165C7B" w:rsidRPr="00800F6A">
        <w:rPr>
          <w:rFonts w:eastAsia="Calibri" w:cs="Times New Roman"/>
          <w:color w:val="auto"/>
          <w:szCs w:val="24"/>
        </w:rPr>
        <w:t xml:space="preserve">  </w:t>
      </w:r>
      <w:r w:rsidR="00417BED" w:rsidRPr="00800F6A">
        <w:rPr>
          <w:rFonts w:eastAsia="Calibri" w:cs="Times New Roman"/>
          <w:color w:val="auto"/>
          <w:szCs w:val="24"/>
        </w:rPr>
        <w:t>There were no other conditions</w:t>
      </w:r>
      <w:r w:rsidR="00417BED" w:rsidRPr="00F64312">
        <w:rPr>
          <w:rFonts w:eastAsia="Calibri" w:cs="Times New Roman"/>
          <w:color w:val="auto"/>
          <w:szCs w:val="24"/>
        </w:rPr>
        <w:t xml:space="preserve">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9C039F" w:rsidRDefault="00AD2379" w:rsidP="009C039F">
      <w:pPr>
        <w:jc w:val="both"/>
        <w:rPr>
          <w:color w:val="auto"/>
          <w:u w:val="single"/>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The Board recommends that the CI’s prior determination be modified as follows</w:t>
      </w:r>
      <w:r w:rsidR="00417BED" w:rsidRPr="00F64312">
        <w:rPr>
          <w:rFonts w:eastAsia="Calibri" w:cs="Times New Roman"/>
          <w:color w:val="auto"/>
          <w:szCs w:val="24"/>
        </w:rPr>
        <w:t>;</w:t>
      </w:r>
      <w:r w:rsidR="00565636" w:rsidRPr="00F64312">
        <w:rPr>
          <w:rFonts w:eastAsia="Calibri" w:cs="Times New Roman"/>
          <w:color w:val="auto"/>
          <w:szCs w:val="24"/>
        </w:rPr>
        <w:t xml:space="preserve"> and</w:t>
      </w:r>
      <w:r w:rsidR="00417BED" w:rsidRPr="00F64312">
        <w:rPr>
          <w:rFonts w:eastAsia="Calibri" w:cs="Times New Roman"/>
          <w:color w:val="auto"/>
          <w:szCs w:val="24"/>
        </w:rPr>
        <w:t>,</w:t>
      </w:r>
      <w:r w:rsidR="00565636" w:rsidRPr="00F64312">
        <w:rPr>
          <w:rFonts w:eastAsia="Calibri" w:cs="Times New Roman"/>
          <w:color w:val="auto"/>
          <w:szCs w:val="24"/>
        </w:rPr>
        <w:t xml:space="preserve"> that the discharge with severance pay be recharacterized to reflect </w:t>
      </w:r>
      <w:r w:rsidR="00565636" w:rsidRPr="00800F6A">
        <w:rPr>
          <w:rFonts w:eastAsia="Calibri" w:cs="Times New Roman"/>
          <w:color w:val="auto"/>
          <w:szCs w:val="24"/>
        </w:rPr>
        <w:t>permanent disability retirement, effective as of the date of her</w:t>
      </w:r>
      <w:r w:rsidR="00417BED" w:rsidRPr="00800F6A">
        <w:rPr>
          <w:rFonts w:eastAsia="Calibri" w:cs="Times New Roman"/>
          <w:color w:val="auto"/>
          <w:szCs w:val="24"/>
        </w:rPr>
        <w:t xml:space="preserve"> prior medical separation:</w:t>
      </w:r>
    </w:p>
    <w:p w:rsidR="00FD3401" w:rsidRPr="00A803A9" w:rsidRDefault="00FD3401"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A803A9" w:rsidTr="006B690F">
        <w:trPr>
          <w:trHeight w:val="233"/>
          <w:jc w:val="center"/>
        </w:trPr>
        <w:tc>
          <w:tcPr>
            <w:tcW w:w="6768" w:type="dxa"/>
            <w:shd w:val="clear" w:color="auto" w:fill="D9D9D9"/>
            <w:vAlign w:val="center"/>
          </w:tcPr>
          <w:p w:rsidR="00AD2379" w:rsidRPr="00A803A9" w:rsidRDefault="00AD2379" w:rsidP="006B690F">
            <w:pPr>
              <w:tabs>
                <w:tab w:val="left" w:pos="288"/>
                <w:tab w:val="left" w:pos="4752"/>
              </w:tabs>
              <w:rPr>
                <w:b/>
                <w:color w:val="auto"/>
              </w:rPr>
            </w:pPr>
            <w:r w:rsidRPr="00A803A9">
              <w:rPr>
                <w:b/>
                <w:color w:val="auto"/>
              </w:rPr>
              <w:t>UNFITTING CONDITION</w:t>
            </w:r>
          </w:p>
        </w:tc>
        <w:tc>
          <w:tcPr>
            <w:tcW w:w="1530" w:type="dxa"/>
            <w:shd w:val="clear" w:color="auto" w:fill="D9D9D9"/>
            <w:vAlign w:val="center"/>
          </w:tcPr>
          <w:p w:rsidR="00AD2379" w:rsidRPr="00A803A9" w:rsidRDefault="00AD2379" w:rsidP="006B690F">
            <w:pPr>
              <w:tabs>
                <w:tab w:val="left" w:pos="288"/>
                <w:tab w:val="left" w:pos="4752"/>
              </w:tabs>
              <w:rPr>
                <w:b/>
                <w:color w:val="auto"/>
              </w:rPr>
            </w:pPr>
            <w:r w:rsidRPr="00A803A9">
              <w:rPr>
                <w:b/>
                <w:color w:val="auto"/>
              </w:rPr>
              <w:t>VASRD CODE</w:t>
            </w:r>
          </w:p>
        </w:tc>
        <w:tc>
          <w:tcPr>
            <w:tcW w:w="1026" w:type="dxa"/>
            <w:shd w:val="clear" w:color="auto" w:fill="D9D9D9"/>
            <w:vAlign w:val="center"/>
          </w:tcPr>
          <w:p w:rsidR="00AD2379" w:rsidRPr="00A803A9" w:rsidRDefault="00AD2379" w:rsidP="006B690F">
            <w:pPr>
              <w:tabs>
                <w:tab w:val="left" w:pos="288"/>
                <w:tab w:val="left" w:pos="4752"/>
              </w:tabs>
              <w:rPr>
                <w:b/>
                <w:color w:val="auto"/>
              </w:rPr>
            </w:pPr>
            <w:r w:rsidRPr="00A803A9">
              <w:rPr>
                <w:b/>
                <w:color w:val="auto"/>
              </w:rPr>
              <w:t>RATING</w:t>
            </w:r>
          </w:p>
        </w:tc>
      </w:tr>
      <w:tr w:rsidR="00AD2379" w:rsidRPr="00A803A9" w:rsidTr="006B690F">
        <w:trPr>
          <w:jc w:val="center"/>
        </w:trPr>
        <w:tc>
          <w:tcPr>
            <w:tcW w:w="6768" w:type="dxa"/>
            <w:vAlign w:val="center"/>
          </w:tcPr>
          <w:p w:rsidR="00AD2379" w:rsidRPr="00A803A9" w:rsidRDefault="00FD3401" w:rsidP="006B690F">
            <w:pPr>
              <w:tabs>
                <w:tab w:val="left" w:pos="288"/>
                <w:tab w:val="left" w:pos="4752"/>
              </w:tabs>
              <w:jc w:val="left"/>
              <w:rPr>
                <w:color w:val="auto"/>
              </w:rPr>
            </w:pPr>
            <w:r w:rsidRPr="00A803A9">
              <w:rPr>
                <w:color w:val="auto"/>
              </w:rPr>
              <w:t xml:space="preserve">Chronic </w:t>
            </w:r>
            <w:r w:rsidR="00D073A9" w:rsidRPr="00A803A9">
              <w:rPr>
                <w:color w:val="auto"/>
              </w:rPr>
              <w:t>Neck Pain</w:t>
            </w:r>
            <w:r w:rsidRPr="00A803A9">
              <w:rPr>
                <w:color w:val="auto"/>
              </w:rPr>
              <w:t xml:space="preserve">, w/o </w:t>
            </w:r>
            <w:r w:rsidR="00D073A9" w:rsidRPr="00A803A9">
              <w:rPr>
                <w:color w:val="auto"/>
              </w:rPr>
              <w:t>Clinical Radiculopathy</w:t>
            </w:r>
          </w:p>
        </w:tc>
        <w:tc>
          <w:tcPr>
            <w:tcW w:w="1530" w:type="dxa"/>
            <w:vAlign w:val="center"/>
          </w:tcPr>
          <w:p w:rsidR="00AD2379" w:rsidRPr="00A803A9" w:rsidRDefault="00FD3401" w:rsidP="006B690F">
            <w:pPr>
              <w:tabs>
                <w:tab w:val="left" w:pos="288"/>
                <w:tab w:val="left" w:pos="4752"/>
              </w:tabs>
              <w:rPr>
                <w:color w:val="auto"/>
              </w:rPr>
            </w:pPr>
            <w:r w:rsidRPr="00A803A9">
              <w:rPr>
                <w:color w:val="auto"/>
              </w:rPr>
              <w:t>5243</w:t>
            </w:r>
          </w:p>
        </w:tc>
        <w:tc>
          <w:tcPr>
            <w:tcW w:w="1026" w:type="dxa"/>
            <w:vAlign w:val="center"/>
          </w:tcPr>
          <w:p w:rsidR="00AD2379" w:rsidRPr="00A803A9" w:rsidRDefault="000A0C93" w:rsidP="000A0C93">
            <w:pPr>
              <w:tabs>
                <w:tab w:val="left" w:pos="288"/>
                <w:tab w:val="left" w:pos="4752"/>
              </w:tabs>
              <w:rPr>
                <w:color w:val="auto"/>
              </w:rPr>
            </w:pPr>
            <w:r w:rsidRPr="00A803A9">
              <w:rPr>
                <w:color w:val="auto"/>
              </w:rPr>
              <w:t>2</w:t>
            </w:r>
            <w:r w:rsidR="00AD2379" w:rsidRPr="00A803A9">
              <w:rPr>
                <w:color w:val="auto"/>
              </w:rPr>
              <w:t>0%</w:t>
            </w:r>
          </w:p>
        </w:tc>
      </w:tr>
      <w:tr w:rsidR="00FD3401" w:rsidRPr="00A803A9" w:rsidTr="006B690F">
        <w:trPr>
          <w:jc w:val="center"/>
        </w:trPr>
        <w:tc>
          <w:tcPr>
            <w:tcW w:w="6768" w:type="dxa"/>
            <w:vAlign w:val="center"/>
          </w:tcPr>
          <w:p w:rsidR="00FD3401" w:rsidRPr="00A803A9" w:rsidRDefault="00FD3401" w:rsidP="006B690F">
            <w:pPr>
              <w:tabs>
                <w:tab w:val="left" w:pos="288"/>
                <w:tab w:val="left" w:pos="4752"/>
              </w:tabs>
              <w:jc w:val="left"/>
              <w:rPr>
                <w:color w:val="auto"/>
              </w:rPr>
            </w:pPr>
            <w:r w:rsidRPr="00A803A9">
              <w:rPr>
                <w:color w:val="auto"/>
              </w:rPr>
              <w:t xml:space="preserve">Chronic </w:t>
            </w:r>
            <w:r w:rsidR="00D073A9" w:rsidRPr="00A803A9">
              <w:rPr>
                <w:color w:val="auto"/>
              </w:rPr>
              <w:t>Low Back Pain</w:t>
            </w:r>
          </w:p>
        </w:tc>
        <w:tc>
          <w:tcPr>
            <w:tcW w:w="1530" w:type="dxa"/>
            <w:vAlign w:val="center"/>
          </w:tcPr>
          <w:p w:rsidR="00FD3401" w:rsidRPr="00A803A9" w:rsidRDefault="00FD3401" w:rsidP="006B690F">
            <w:pPr>
              <w:tabs>
                <w:tab w:val="left" w:pos="288"/>
                <w:tab w:val="left" w:pos="4752"/>
              </w:tabs>
              <w:rPr>
                <w:color w:val="auto"/>
              </w:rPr>
            </w:pPr>
            <w:r w:rsidRPr="00A803A9">
              <w:rPr>
                <w:color w:val="auto"/>
              </w:rPr>
              <w:t>5237</w:t>
            </w:r>
          </w:p>
        </w:tc>
        <w:tc>
          <w:tcPr>
            <w:tcW w:w="1026" w:type="dxa"/>
            <w:vAlign w:val="center"/>
          </w:tcPr>
          <w:p w:rsidR="00FD3401" w:rsidRPr="00A803A9" w:rsidRDefault="000A0C93" w:rsidP="006B690F">
            <w:pPr>
              <w:tabs>
                <w:tab w:val="left" w:pos="288"/>
                <w:tab w:val="left" w:pos="4752"/>
              </w:tabs>
              <w:rPr>
                <w:color w:val="auto"/>
              </w:rPr>
            </w:pPr>
            <w:r w:rsidRPr="00A803A9">
              <w:rPr>
                <w:color w:val="auto"/>
              </w:rPr>
              <w:t>20%</w:t>
            </w:r>
          </w:p>
        </w:tc>
      </w:tr>
      <w:tr w:rsidR="00AD2379" w:rsidRPr="00A803A9"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A803A9" w:rsidRDefault="00AD2379" w:rsidP="006B690F">
            <w:pPr>
              <w:tabs>
                <w:tab w:val="left" w:pos="288"/>
                <w:tab w:val="left" w:pos="4752"/>
              </w:tabs>
              <w:rPr>
                <w:b/>
                <w:color w:val="auto"/>
              </w:rPr>
            </w:pPr>
            <w:r w:rsidRPr="00A803A9">
              <w:rPr>
                <w:b/>
                <w:color w:val="auto"/>
              </w:rPr>
              <w:t>COMBINED</w:t>
            </w:r>
          </w:p>
        </w:tc>
        <w:tc>
          <w:tcPr>
            <w:tcW w:w="1026" w:type="dxa"/>
            <w:shd w:val="clear" w:color="auto" w:fill="D9D9D9"/>
            <w:vAlign w:val="center"/>
          </w:tcPr>
          <w:p w:rsidR="00AD2379" w:rsidRPr="00A803A9" w:rsidRDefault="000A0C93" w:rsidP="00800F6A">
            <w:pPr>
              <w:tabs>
                <w:tab w:val="left" w:pos="288"/>
                <w:tab w:val="left" w:pos="4752"/>
              </w:tabs>
              <w:rPr>
                <w:b/>
                <w:color w:val="auto"/>
              </w:rPr>
            </w:pPr>
            <w:r w:rsidRPr="00A803A9">
              <w:rPr>
                <w:b/>
                <w:color w:val="auto"/>
              </w:rPr>
              <w:t>4</w:t>
            </w:r>
            <w:r w:rsidR="00AD2379" w:rsidRPr="00A803A9">
              <w:rPr>
                <w:b/>
                <w:color w:val="auto"/>
              </w:rPr>
              <w:t>0%</w:t>
            </w:r>
          </w:p>
        </w:tc>
      </w:tr>
    </w:tbl>
    <w:p w:rsidR="00AD2379" w:rsidRDefault="00AD2379" w:rsidP="006B690F">
      <w:pPr>
        <w:jc w:val="both"/>
        <w:rPr>
          <w:color w:val="auto"/>
        </w:rPr>
      </w:pPr>
    </w:p>
    <w:p w:rsidR="009C039F" w:rsidRPr="00A803A9" w:rsidRDefault="009C039F" w:rsidP="006B690F">
      <w:pPr>
        <w:jc w:val="both"/>
        <w:rPr>
          <w:color w:val="auto"/>
        </w:rPr>
      </w:pPr>
    </w:p>
    <w:p w:rsidR="009C039F" w:rsidRDefault="009C039F" w:rsidP="006B690F">
      <w:pPr>
        <w:tabs>
          <w:tab w:val="left" w:pos="288"/>
          <w:tab w:val="left" w:pos="4752"/>
        </w:tabs>
        <w:jc w:val="both"/>
        <w:rPr>
          <w:color w:val="auto"/>
        </w:rPr>
      </w:pPr>
    </w:p>
    <w:p w:rsidR="009C039F" w:rsidRDefault="009C039F" w:rsidP="006B690F">
      <w:pPr>
        <w:tabs>
          <w:tab w:val="left" w:pos="288"/>
          <w:tab w:val="left" w:pos="4752"/>
        </w:tabs>
        <w:jc w:val="both"/>
        <w:rPr>
          <w:color w:val="auto"/>
        </w:rPr>
      </w:pPr>
    </w:p>
    <w:p w:rsidR="009C039F" w:rsidRDefault="009C039F" w:rsidP="006B690F">
      <w:pPr>
        <w:tabs>
          <w:tab w:val="left" w:pos="288"/>
          <w:tab w:val="left" w:pos="4752"/>
        </w:tabs>
        <w:jc w:val="both"/>
        <w:rPr>
          <w:color w:val="auto"/>
        </w:rPr>
      </w:pPr>
    </w:p>
    <w:p w:rsidR="009C039F" w:rsidRDefault="009C039F" w:rsidP="006B690F">
      <w:pPr>
        <w:tabs>
          <w:tab w:val="left" w:pos="288"/>
          <w:tab w:val="left" w:pos="4752"/>
        </w:tabs>
        <w:jc w:val="both"/>
        <w:rPr>
          <w:color w:val="auto"/>
        </w:rPr>
      </w:pPr>
    </w:p>
    <w:p w:rsidR="009C039F" w:rsidRDefault="009C039F" w:rsidP="006B690F">
      <w:pPr>
        <w:tabs>
          <w:tab w:val="left" w:pos="288"/>
          <w:tab w:val="left" w:pos="4752"/>
        </w:tabs>
        <w:jc w:val="both"/>
        <w:rPr>
          <w:color w:val="auto"/>
        </w:rPr>
      </w:pPr>
    </w:p>
    <w:p w:rsidR="009C039F" w:rsidRDefault="009C039F" w:rsidP="006B690F">
      <w:pPr>
        <w:tabs>
          <w:tab w:val="left" w:pos="288"/>
          <w:tab w:val="left" w:pos="4752"/>
        </w:tabs>
        <w:jc w:val="both"/>
        <w:rPr>
          <w:color w:val="auto"/>
        </w:rPr>
      </w:pPr>
    </w:p>
    <w:p w:rsidR="009C039F" w:rsidRDefault="009C039F" w:rsidP="006B690F">
      <w:pPr>
        <w:tabs>
          <w:tab w:val="left" w:pos="288"/>
          <w:tab w:val="left" w:pos="4752"/>
        </w:tabs>
        <w:jc w:val="both"/>
        <w:rPr>
          <w:color w:val="auto"/>
        </w:rPr>
      </w:pPr>
    </w:p>
    <w:p w:rsidR="009C039F" w:rsidRDefault="009C039F"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lastRenderedPageBreak/>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C70CBA">
        <w:rPr>
          <w:color w:val="auto"/>
        </w:rPr>
        <w:t>dated 20</w:t>
      </w:r>
      <w:r w:rsidR="00C70CBA" w:rsidRPr="00C70CBA">
        <w:rPr>
          <w:color w:val="auto"/>
        </w:rPr>
        <w:t>111005</w:t>
      </w:r>
      <w:r w:rsidR="00ED7820" w:rsidRPr="00C70CBA">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4C6006">
        <w:rPr>
          <w:color w:val="auto"/>
        </w:rPr>
        <w:t>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4C6006" w:rsidRDefault="00AD2379" w:rsidP="00BF0E94">
      <w:pPr>
        <w:tabs>
          <w:tab w:val="left" w:pos="0"/>
          <w:tab w:val="left" w:pos="4320"/>
        </w:tabs>
        <w:jc w:val="both"/>
        <w:rPr>
          <w:color w:val="auto"/>
        </w:rPr>
      </w:pPr>
      <w:r w:rsidRPr="00F64312">
        <w:rPr>
          <w:color w:val="auto"/>
        </w:rPr>
        <w:tab/>
        <w:t xml:space="preserve">           Physical Disability Board of Review</w:t>
      </w:r>
    </w:p>
    <w:p w:rsidR="004C6006" w:rsidRDefault="004C6006">
      <w:pPr>
        <w:spacing w:line="240" w:lineRule="auto"/>
        <w:jc w:val="left"/>
        <w:rPr>
          <w:color w:val="auto"/>
        </w:rPr>
      </w:pPr>
      <w:r>
        <w:rPr>
          <w:color w:val="auto"/>
        </w:rPr>
        <w:br w:type="page"/>
      </w:r>
    </w:p>
    <w:p w:rsidR="004C6006" w:rsidRDefault="004C6006" w:rsidP="004C6006">
      <w:pPr>
        <w:pStyle w:val="Header"/>
        <w:tabs>
          <w:tab w:val="left" w:pos="720"/>
        </w:tabs>
        <w:jc w:val="left"/>
      </w:pPr>
      <w:r>
        <w:lastRenderedPageBreak/>
        <w:t>SFMR-RB</w:t>
      </w:r>
      <w:r>
        <w:tab/>
      </w:r>
      <w:r>
        <w:tab/>
      </w:r>
      <w:r>
        <w:tab/>
      </w:r>
      <w:r>
        <w:tab/>
      </w:r>
      <w:r>
        <w:tab/>
      </w:r>
      <w:r>
        <w:tab/>
      </w:r>
      <w:r>
        <w:tab/>
      </w:r>
      <w:r>
        <w:tab/>
      </w:r>
      <w:r>
        <w:tab/>
      </w:r>
    </w:p>
    <w:p w:rsidR="004C6006" w:rsidRDefault="004C6006" w:rsidP="004C6006">
      <w:pPr>
        <w:pStyle w:val="Header"/>
        <w:tabs>
          <w:tab w:val="left" w:pos="720"/>
        </w:tabs>
        <w:jc w:val="left"/>
      </w:pPr>
    </w:p>
    <w:p w:rsidR="004C6006" w:rsidRDefault="004C6006" w:rsidP="004C6006">
      <w:pPr>
        <w:jc w:val="left"/>
      </w:pPr>
    </w:p>
    <w:p w:rsidR="004C6006" w:rsidRDefault="004C6006" w:rsidP="004C6006">
      <w:pPr>
        <w:jc w:val="left"/>
      </w:pPr>
      <w:r>
        <w:t xml:space="preserve">MEMORANDUM FOR Commander, US Army Physical Disability Agency </w:t>
      </w:r>
    </w:p>
    <w:p w:rsidR="004C6006" w:rsidRDefault="004C6006" w:rsidP="004C6006">
      <w:pPr>
        <w:jc w:val="left"/>
      </w:pPr>
      <w:r>
        <w:t xml:space="preserve">(TAPD-ZB </w:t>
      </w:r>
      <w:proofErr w:type="gramStart"/>
      <w:r>
        <w:t>/  )</w:t>
      </w:r>
      <w:proofErr w:type="gramEnd"/>
      <w:r>
        <w:t>, 2900 Crystal Drive, Suite 300, Arlington, VA 22202-3557</w:t>
      </w:r>
    </w:p>
    <w:p w:rsidR="004C6006" w:rsidRDefault="004C6006" w:rsidP="004C6006">
      <w:pPr>
        <w:jc w:val="left"/>
      </w:pPr>
    </w:p>
    <w:p w:rsidR="004C6006" w:rsidRDefault="004C6006" w:rsidP="004C6006">
      <w:pPr>
        <w:ind w:right="-180"/>
        <w:jc w:val="left"/>
      </w:pPr>
      <w:r>
        <w:t xml:space="preserve">SUBJECT:  Department of Defense Physical Disability Board of Review Recommendation </w:t>
      </w:r>
    </w:p>
    <w:p w:rsidR="004C6006" w:rsidRDefault="004C6006" w:rsidP="004C6006">
      <w:pPr>
        <w:pStyle w:val="Header"/>
        <w:tabs>
          <w:tab w:val="left" w:pos="720"/>
        </w:tabs>
        <w:jc w:val="left"/>
      </w:pPr>
      <w:proofErr w:type="gramStart"/>
      <w:r>
        <w:t>for</w:t>
      </w:r>
      <w:proofErr w:type="gramEnd"/>
      <w:r>
        <w:t xml:space="preserve"> XXXXXXXXXXXXX, AR20120012025 (PD201100796)</w:t>
      </w:r>
    </w:p>
    <w:p w:rsidR="004C6006" w:rsidRDefault="004C6006" w:rsidP="004C6006">
      <w:pPr>
        <w:pStyle w:val="Header"/>
        <w:tabs>
          <w:tab w:val="left" w:pos="720"/>
        </w:tabs>
        <w:jc w:val="left"/>
      </w:pPr>
    </w:p>
    <w:p w:rsidR="004C6006" w:rsidRDefault="004C6006" w:rsidP="004C6006">
      <w:pPr>
        <w:jc w:val="left"/>
      </w:pPr>
    </w:p>
    <w:p w:rsidR="004C6006" w:rsidRDefault="004C6006" w:rsidP="004C6006">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40% effective the date of the individual’s original medical separation for disability with severance pay.  </w:t>
      </w:r>
    </w:p>
    <w:p w:rsidR="004C6006" w:rsidRDefault="004C6006" w:rsidP="004C6006">
      <w:pPr>
        <w:jc w:val="left"/>
      </w:pPr>
    </w:p>
    <w:p w:rsidR="004C6006" w:rsidRDefault="004C6006" w:rsidP="004C6006">
      <w:pPr>
        <w:jc w:val="left"/>
      </w:pPr>
      <w:r>
        <w:t>2.  I direct that all the Department of the Army records of the individual concerned be corrected accordingly no later than 120 days from the date of this memorandum:</w:t>
      </w:r>
    </w:p>
    <w:p w:rsidR="004C6006" w:rsidRDefault="004C6006" w:rsidP="004C6006">
      <w:pPr>
        <w:jc w:val="left"/>
      </w:pPr>
    </w:p>
    <w:p w:rsidR="004C6006" w:rsidRDefault="004C6006" w:rsidP="004C6006">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4C6006" w:rsidRDefault="004C6006" w:rsidP="004C6006">
      <w:pPr>
        <w:jc w:val="left"/>
      </w:pPr>
    </w:p>
    <w:p w:rsidR="004C6006" w:rsidRDefault="004C6006" w:rsidP="004C6006">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4C6006" w:rsidRDefault="004C6006" w:rsidP="004C6006">
      <w:pPr>
        <w:jc w:val="left"/>
      </w:pPr>
    </w:p>
    <w:p w:rsidR="004C6006" w:rsidRDefault="004C6006" w:rsidP="004C6006">
      <w:pPr>
        <w:jc w:val="left"/>
      </w:pPr>
      <w:r>
        <w:tab/>
      </w:r>
      <w:proofErr w:type="gramStart"/>
      <w:r>
        <w:t>c.  Adjusting</w:t>
      </w:r>
      <w:proofErr w:type="gramEnd"/>
      <w:r>
        <w:t xml:space="preserve"> pay and allowances accordingly.  Pay and allowance adjustment will account for recoupment of severance pay, and payment of permanent retired pay at 40% effective the date of the original medical separation for disability with severance pay.</w:t>
      </w:r>
    </w:p>
    <w:p w:rsidR="004C6006" w:rsidRDefault="004C6006" w:rsidP="004C6006">
      <w:pPr>
        <w:jc w:val="left"/>
      </w:pPr>
    </w:p>
    <w:p w:rsidR="004C6006" w:rsidRDefault="004C6006" w:rsidP="004C6006">
      <w:pPr>
        <w:jc w:val="left"/>
      </w:pPr>
      <w:r>
        <w:tab/>
      </w:r>
      <w:proofErr w:type="gramStart"/>
      <w:r>
        <w:t>d.  Affording</w:t>
      </w:r>
      <w:proofErr w:type="gramEnd"/>
      <w:r>
        <w:t xml:space="preserve"> the individual the opportunity to elect Survivor Benefit Plan (SBP) and medical TRICARE retiree options.</w:t>
      </w:r>
    </w:p>
    <w:p w:rsidR="004C6006" w:rsidRDefault="004C6006" w:rsidP="004C6006">
      <w:pPr>
        <w:jc w:val="left"/>
      </w:pPr>
    </w:p>
    <w:p w:rsidR="004C6006" w:rsidRDefault="004C6006" w:rsidP="004C6006">
      <w:pPr>
        <w:jc w:val="left"/>
      </w:pPr>
    </w:p>
    <w:p w:rsidR="004C6006" w:rsidRDefault="004C6006" w:rsidP="004C6006">
      <w:pPr>
        <w:jc w:val="left"/>
      </w:pPr>
    </w:p>
    <w:p w:rsidR="004C6006" w:rsidRDefault="004C6006" w:rsidP="004C6006">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4C6006" w:rsidRDefault="004C6006" w:rsidP="004C6006">
      <w:pPr>
        <w:jc w:val="left"/>
      </w:pPr>
    </w:p>
    <w:p w:rsidR="004C6006" w:rsidRDefault="004C6006" w:rsidP="004C6006">
      <w:pPr>
        <w:jc w:val="left"/>
      </w:pPr>
      <w:r>
        <w:t>BY ORDER OF THE SECRETARY OF THE ARMY:</w:t>
      </w:r>
    </w:p>
    <w:p w:rsidR="004C6006" w:rsidRDefault="004C6006" w:rsidP="004C6006">
      <w:pPr>
        <w:jc w:val="left"/>
      </w:pPr>
    </w:p>
    <w:p w:rsidR="004C6006" w:rsidRDefault="004C6006" w:rsidP="004C6006">
      <w:pPr>
        <w:pStyle w:val="Header"/>
        <w:tabs>
          <w:tab w:val="left" w:pos="720"/>
        </w:tabs>
        <w:jc w:val="left"/>
      </w:pPr>
    </w:p>
    <w:p w:rsidR="004C6006" w:rsidRDefault="004C6006" w:rsidP="004C6006">
      <w:pPr>
        <w:jc w:val="left"/>
      </w:pPr>
    </w:p>
    <w:p w:rsidR="004C6006" w:rsidRDefault="004C6006" w:rsidP="004C6006">
      <w:pPr>
        <w:jc w:val="left"/>
      </w:pPr>
      <w:bookmarkStart w:id="1" w:name="OLE_LINK4"/>
      <w:bookmarkStart w:id="2" w:name="OLE_LINK3"/>
      <w:r>
        <w:t>Encl</w:t>
      </w:r>
      <w:r>
        <w:tab/>
      </w:r>
      <w:r>
        <w:tab/>
      </w:r>
      <w:r>
        <w:tab/>
      </w:r>
      <w:r>
        <w:tab/>
      </w:r>
      <w:r>
        <w:tab/>
      </w:r>
      <w:r>
        <w:tab/>
        <w:t xml:space="preserve">     XXXXXXXXXXX</w:t>
      </w:r>
    </w:p>
    <w:p w:rsidR="004C6006" w:rsidRDefault="004C6006" w:rsidP="004C6006">
      <w:pPr>
        <w:jc w:val="left"/>
      </w:pPr>
      <w:r>
        <w:tab/>
      </w:r>
      <w:r>
        <w:tab/>
      </w:r>
      <w:r>
        <w:tab/>
      </w:r>
      <w:r>
        <w:tab/>
      </w:r>
      <w:r>
        <w:tab/>
      </w:r>
      <w:r>
        <w:tab/>
        <w:t xml:space="preserve">     Deputy Assistant Secretary</w:t>
      </w:r>
    </w:p>
    <w:p w:rsidR="004C6006" w:rsidRDefault="004C6006" w:rsidP="004C6006">
      <w:pPr>
        <w:jc w:val="left"/>
      </w:pPr>
      <w:r>
        <w:tab/>
      </w:r>
      <w:r>
        <w:tab/>
      </w:r>
      <w:r>
        <w:tab/>
      </w:r>
      <w:r>
        <w:tab/>
      </w:r>
      <w:r>
        <w:tab/>
      </w:r>
      <w:r>
        <w:tab/>
        <w:t xml:space="preserve">         (Army Review Boards)</w:t>
      </w:r>
      <w:bookmarkEnd w:id="1"/>
      <w:bookmarkEnd w:id="2"/>
    </w:p>
    <w:p w:rsidR="004C6006" w:rsidRDefault="004C6006" w:rsidP="004C6006">
      <w:pPr>
        <w:jc w:val="left"/>
      </w:pPr>
    </w:p>
    <w:p w:rsidR="004C6006" w:rsidRDefault="004C6006" w:rsidP="004C6006">
      <w:pPr>
        <w:jc w:val="left"/>
      </w:pPr>
      <w:r>
        <w:t xml:space="preserve">CF: </w:t>
      </w:r>
    </w:p>
    <w:p w:rsidR="004C6006" w:rsidRDefault="004C6006" w:rsidP="004C6006">
      <w:pPr>
        <w:jc w:val="left"/>
      </w:pPr>
      <w:r>
        <w:t xml:space="preserve">(  ) </w:t>
      </w:r>
      <w:proofErr w:type="spellStart"/>
      <w:proofErr w:type="gramStart"/>
      <w:r>
        <w:t>DoD</w:t>
      </w:r>
      <w:proofErr w:type="spellEnd"/>
      <w:proofErr w:type="gramEnd"/>
      <w:r>
        <w:t xml:space="preserve"> PDBR</w:t>
      </w:r>
    </w:p>
    <w:p w:rsidR="004C6006" w:rsidRDefault="004C6006" w:rsidP="004C6006">
      <w:pPr>
        <w:jc w:val="left"/>
      </w:pPr>
      <w:r>
        <w:t>(  ) DVA</w:t>
      </w:r>
    </w:p>
    <w:p w:rsidR="00AD2379" w:rsidRDefault="00AD2379" w:rsidP="00BF0E94">
      <w:pPr>
        <w:tabs>
          <w:tab w:val="left" w:pos="0"/>
          <w:tab w:val="left" w:pos="4320"/>
        </w:tabs>
        <w:jc w:val="both"/>
        <w:rPr>
          <w:color w:val="auto"/>
        </w:rPr>
      </w:pPr>
    </w:p>
    <w:sectPr w:rsidR="00AD2379"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068" w:rsidRDefault="004E5068">
      <w:r>
        <w:separator/>
      </w:r>
    </w:p>
  </w:endnote>
  <w:endnote w:type="continuationSeparator" w:id="0">
    <w:p w:rsidR="004E5068" w:rsidRDefault="004E50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DD8" w:rsidRPr="00374247" w:rsidRDefault="00BE1DD8" w:rsidP="00726F84">
    <w:pPr>
      <w:pStyle w:val="Footer"/>
      <w:ind w:firstLine="4320"/>
      <w:rPr>
        <w:color w:val="auto"/>
      </w:rPr>
    </w:pPr>
    <w:r w:rsidRPr="00374247">
      <w:rPr>
        <w:color w:val="auto"/>
      </w:rPr>
      <w:t xml:space="preserve">   </w:t>
    </w:r>
    <w:r w:rsidR="00E82AE8" w:rsidRPr="00E82AE8">
      <w:fldChar w:fldCharType="begin"/>
    </w:r>
    <w:r w:rsidR="004E5068">
      <w:instrText xml:space="preserve"> PAGE   \* MERGEFORMAT </w:instrText>
    </w:r>
    <w:r w:rsidR="00E82AE8" w:rsidRPr="00E82AE8">
      <w:fldChar w:fldCharType="separate"/>
    </w:r>
    <w:r w:rsidR="004C6006" w:rsidRPr="004C6006">
      <w:rPr>
        <w:noProof/>
        <w:color w:val="auto"/>
      </w:rPr>
      <w:t>6</w:t>
    </w:r>
    <w:r w:rsidR="00E82AE8">
      <w:rPr>
        <w:noProof/>
        <w:color w:val="auto"/>
      </w:rPr>
      <w:fldChar w:fldCharType="end"/>
    </w:r>
    <w:r w:rsidRPr="00C70CBA">
      <w:rPr>
        <w:color w:val="auto"/>
      </w:rPr>
      <w:t xml:space="preserve">                                                           PD1100</w:t>
    </w:r>
    <w:r w:rsidR="00C70CBA" w:rsidRPr="00C70CBA">
      <w:rPr>
        <w:color w:val="auto"/>
      </w:rPr>
      <w:t>796</w:t>
    </w:r>
  </w:p>
  <w:p w:rsidR="00BE1DD8" w:rsidRPr="00684CE6" w:rsidRDefault="00BE1DD8">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068" w:rsidRDefault="004E5068">
      <w:r>
        <w:separator/>
      </w:r>
    </w:p>
  </w:footnote>
  <w:footnote w:type="continuationSeparator" w:id="0">
    <w:p w:rsidR="004E5068" w:rsidRDefault="004E50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2F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8"/>
    <w:rsid w:val="000332CA"/>
    <w:rsid w:val="0003374E"/>
    <w:rsid w:val="000344D8"/>
    <w:rsid w:val="000344E6"/>
    <w:rsid w:val="00035BE5"/>
    <w:rsid w:val="00035C3A"/>
    <w:rsid w:val="00036E4B"/>
    <w:rsid w:val="00037929"/>
    <w:rsid w:val="000379D0"/>
    <w:rsid w:val="00040FC4"/>
    <w:rsid w:val="000414C1"/>
    <w:rsid w:val="000416F8"/>
    <w:rsid w:val="00041ECA"/>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0C93"/>
    <w:rsid w:val="000A2BCE"/>
    <w:rsid w:val="000A31E2"/>
    <w:rsid w:val="000A33C8"/>
    <w:rsid w:val="000A41E3"/>
    <w:rsid w:val="000A4AB4"/>
    <w:rsid w:val="000A4BBA"/>
    <w:rsid w:val="000A5071"/>
    <w:rsid w:val="000A788C"/>
    <w:rsid w:val="000B0AD2"/>
    <w:rsid w:val="000B1022"/>
    <w:rsid w:val="000B1C9E"/>
    <w:rsid w:val="000B1DD1"/>
    <w:rsid w:val="000B2FB8"/>
    <w:rsid w:val="000B3927"/>
    <w:rsid w:val="000B471C"/>
    <w:rsid w:val="000B4C99"/>
    <w:rsid w:val="000B63CF"/>
    <w:rsid w:val="000C06F6"/>
    <w:rsid w:val="000C0970"/>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1C7"/>
    <w:rsid w:val="000E45BA"/>
    <w:rsid w:val="000E4C25"/>
    <w:rsid w:val="000E4CBF"/>
    <w:rsid w:val="000E5302"/>
    <w:rsid w:val="000E5577"/>
    <w:rsid w:val="000E7034"/>
    <w:rsid w:val="000F02BE"/>
    <w:rsid w:val="000F0928"/>
    <w:rsid w:val="000F0B3D"/>
    <w:rsid w:val="000F1E65"/>
    <w:rsid w:val="000F2F2B"/>
    <w:rsid w:val="000F3858"/>
    <w:rsid w:val="000F427B"/>
    <w:rsid w:val="000F43D0"/>
    <w:rsid w:val="000F4F18"/>
    <w:rsid w:val="000F688E"/>
    <w:rsid w:val="000F7181"/>
    <w:rsid w:val="000F7581"/>
    <w:rsid w:val="001007CE"/>
    <w:rsid w:val="001008C1"/>
    <w:rsid w:val="00100BC8"/>
    <w:rsid w:val="001023DB"/>
    <w:rsid w:val="00102B8D"/>
    <w:rsid w:val="00102E37"/>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8D"/>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7786C"/>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3EB0"/>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1005"/>
    <w:rsid w:val="003320E8"/>
    <w:rsid w:val="0033238E"/>
    <w:rsid w:val="003328FD"/>
    <w:rsid w:val="00332DE3"/>
    <w:rsid w:val="0033334F"/>
    <w:rsid w:val="0033414F"/>
    <w:rsid w:val="00334514"/>
    <w:rsid w:val="0033555E"/>
    <w:rsid w:val="003355D8"/>
    <w:rsid w:val="0033601F"/>
    <w:rsid w:val="00336805"/>
    <w:rsid w:val="00337351"/>
    <w:rsid w:val="00341A54"/>
    <w:rsid w:val="00344A4F"/>
    <w:rsid w:val="00344D17"/>
    <w:rsid w:val="0034669F"/>
    <w:rsid w:val="003470C4"/>
    <w:rsid w:val="00347D0D"/>
    <w:rsid w:val="00351498"/>
    <w:rsid w:val="00352B22"/>
    <w:rsid w:val="00352CBF"/>
    <w:rsid w:val="003534DC"/>
    <w:rsid w:val="0035364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4D2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445"/>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2EE6"/>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3FEA"/>
    <w:rsid w:val="003E45A4"/>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3DDC"/>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20FF"/>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1F44"/>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092"/>
    <w:rsid w:val="004A0C79"/>
    <w:rsid w:val="004A1FE0"/>
    <w:rsid w:val="004A24D2"/>
    <w:rsid w:val="004A2728"/>
    <w:rsid w:val="004A3214"/>
    <w:rsid w:val="004A4136"/>
    <w:rsid w:val="004A417B"/>
    <w:rsid w:val="004A4378"/>
    <w:rsid w:val="004A67C8"/>
    <w:rsid w:val="004A6988"/>
    <w:rsid w:val="004A712D"/>
    <w:rsid w:val="004A7C03"/>
    <w:rsid w:val="004B03F3"/>
    <w:rsid w:val="004B0CC9"/>
    <w:rsid w:val="004B1C61"/>
    <w:rsid w:val="004B2536"/>
    <w:rsid w:val="004B46D7"/>
    <w:rsid w:val="004B478D"/>
    <w:rsid w:val="004B6AF3"/>
    <w:rsid w:val="004B6B34"/>
    <w:rsid w:val="004B6BB8"/>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06"/>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5068"/>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1627F"/>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673FF"/>
    <w:rsid w:val="005701C1"/>
    <w:rsid w:val="005703BF"/>
    <w:rsid w:val="00570754"/>
    <w:rsid w:val="005709F7"/>
    <w:rsid w:val="00570EAA"/>
    <w:rsid w:val="005710A9"/>
    <w:rsid w:val="005716B0"/>
    <w:rsid w:val="00571B11"/>
    <w:rsid w:val="00571D1B"/>
    <w:rsid w:val="00571DA3"/>
    <w:rsid w:val="005738F5"/>
    <w:rsid w:val="00573D34"/>
    <w:rsid w:val="00574A1B"/>
    <w:rsid w:val="00575260"/>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C6BC3"/>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A02"/>
    <w:rsid w:val="00624D0C"/>
    <w:rsid w:val="00626902"/>
    <w:rsid w:val="00626A0F"/>
    <w:rsid w:val="006274B4"/>
    <w:rsid w:val="00627C3A"/>
    <w:rsid w:val="006307BA"/>
    <w:rsid w:val="006315BA"/>
    <w:rsid w:val="006315CB"/>
    <w:rsid w:val="00634C4A"/>
    <w:rsid w:val="0063532E"/>
    <w:rsid w:val="0063579F"/>
    <w:rsid w:val="006364ED"/>
    <w:rsid w:val="006366A0"/>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47C73"/>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0C9"/>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0A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0D"/>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5AFD"/>
    <w:rsid w:val="006B67D9"/>
    <w:rsid w:val="006B690F"/>
    <w:rsid w:val="006B6C14"/>
    <w:rsid w:val="006B7159"/>
    <w:rsid w:val="006B715E"/>
    <w:rsid w:val="006B7BE0"/>
    <w:rsid w:val="006C1D6E"/>
    <w:rsid w:val="006C2EF6"/>
    <w:rsid w:val="006C36AE"/>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E7DAA"/>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3C8F"/>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68D6"/>
    <w:rsid w:val="0080064F"/>
    <w:rsid w:val="00800F6A"/>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337"/>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1DE1"/>
    <w:rsid w:val="008C22F3"/>
    <w:rsid w:val="008C3223"/>
    <w:rsid w:val="008C3FD0"/>
    <w:rsid w:val="008C4F01"/>
    <w:rsid w:val="008C5152"/>
    <w:rsid w:val="008C710E"/>
    <w:rsid w:val="008D1484"/>
    <w:rsid w:val="008D1899"/>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440B"/>
    <w:rsid w:val="00905EA6"/>
    <w:rsid w:val="00905EEF"/>
    <w:rsid w:val="00906919"/>
    <w:rsid w:val="00906EB7"/>
    <w:rsid w:val="00907FE6"/>
    <w:rsid w:val="009102BF"/>
    <w:rsid w:val="00911490"/>
    <w:rsid w:val="009115F2"/>
    <w:rsid w:val="00911B11"/>
    <w:rsid w:val="00913D96"/>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064"/>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95E"/>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02B5"/>
    <w:rsid w:val="009B10F9"/>
    <w:rsid w:val="009B14D1"/>
    <w:rsid w:val="009B1534"/>
    <w:rsid w:val="009B4963"/>
    <w:rsid w:val="009B4A3B"/>
    <w:rsid w:val="009B5902"/>
    <w:rsid w:val="009B6023"/>
    <w:rsid w:val="009B69D3"/>
    <w:rsid w:val="009B721E"/>
    <w:rsid w:val="009B7BA7"/>
    <w:rsid w:val="009B7C01"/>
    <w:rsid w:val="009C039F"/>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3954"/>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03A9"/>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0C2A"/>
    <w:rsid w:val="00AB1754"/>
    <w:rsid w:val="00AB1F8D"/>
    <w:rsid w:val="00AB27DD"/>
    <w:rsid w:val="00AB3383"/>
    <w:rsid w:val="00AB4BA4"/>
    <w:rsid w:val="00AB592E"/>
    <w:rsid w:val="00AC07E4"/>
    <w:rsid w:val="00AC0C1C"/>
    <w:rsid w:val="00AC1085"/>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091"/>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289F"/>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013"/>
    <w:rsid w:val="00B751CE"/>
    <w:rsid w:val="00B75A8B"/>
    <w:rsid w:val="00B75B61"/>
    <w:rsid w:val="00B76796"/>
    <w:rsid w:val="00B771E0"/>
    <w:rsid w:val="00B77828"/>
    <w:rsid w:val="00B7793B"/>
    <w:rsid w:val="00B77D6C"/>
    <w:rsid w:val="00B77EE7"/>
    <w:rsid w:val="00B80EDD"/>
    <w:rsid w:val="00B812BD"/>
    <w:rsid w:val="00B81964"/>
    <w:rsid w:val="00B82277"/>
    <w:rsid w:val="00B83A82"/>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471"/>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1DD8"/>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79D"/>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02"/>
    <w:rsid w:val="00C62EB2"/>
    <w:rsid w:val="00C63431"/>
    <w:rsid w:val="00C64C87"/>
    <w:rsid w:val="00C65414"/>
    <w:rsid w:val="00C6590A"/>
    <w:rsid w:val="00C65BE0"/>
    <w:rsid w:val="00C665FE"/>
    <w:rsid w:val="00C70CBA"/>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E74D7"/>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5B8E"/>
    <w:rsid w:val="00D061EB"/>
    <w:rsid w:val="00D06952"/>
    <w:rsid w:val="00D073A9"/>
    <w:rsid w:val="00D07A72"/>
    <w:rsid w:val="00D10577"/>
    <w:rsid w:val="00D12405"/>
    <w:rsid w:val="00D12A4E"/>
    <w:rsid w:val="00D1323B"/>
    <w:rsid w:val="00D14BAE"/>
    <w:rsid w:val="00D15107"/>
    <w:rsid w:val="00D1648B"/>
    <w:rsid w:val="00D16819"/>
    <w:rsid w:val="00D17DD9"/>
    <w:rsid w:val="00D20650"/>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51F"/>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13BA"/>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1864"/>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008"/>
    <w:rsid w:val="00E322F7"/>
    <w:rsid w:val="00E3310E"/>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AE8"/>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6F3"/>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5EB8"/>
    <w:rsid w:val="00EF608E"/>
    <w:rsid w:val="00EF6C4A"/>
    <w:rsid w:val="00F0044B"/>
    <w:rsid w:val="00F00E60"/>
    <w:rsid w:val="00F010AE"/>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37DF"/>
    <w:rsid w:val="00F24072"/>
    <w:rsid w:val="00F26432"/>
    <w:rsid w:val="00F27775"/>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59B"/>
    <w:rsid w:val="00F70B44"/>
    <w:rsid w:val="00F71436"/>
    <w:rsid w:val="00F718A8"/>
    <w:rsid w:val="00F7207E"/>
    <w:rsid w:val="00F72183"/>
    <w:rsid w:val="00F72C60"/>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3401"/>
    <w:rsid w:val="00FD37F7"/>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iPriority="0"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2659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2535</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2012-07-05T11:57:00Z</cp:lastPrinted>
  <dcterms:created xsi:type="dcterms:W3CDTF">2012-07-16T20:12:00Z</dcterms:created>
  <dcterms:modified xsi:type="dcterms:W3CDTF">2012-07-16T20:12:00Z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