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1D6F77" w:rsidRPr="001F29F9" w:rsidRDefault="001D6F77" w:rsidP="00B70B22">
      <w:pPr>
        <w:tabs>
          <w:tab w:val="left" w:pos="288"/>
          <w:tab w:val="left" w:pos="4752"/>
          <w:tab w:val="left" w:pos="5130"/>
          <w:tab w:val="left" w:pos="9270"/>
        </w:tabs>
        <w:spacing w:line="240" w:lineRule="exact"/>
        <w:jc w:val="both"/>
        <w:rPr>
          <w:caps/>
          <w:color w:val="000000" w:themeColor="text1"/>
        </w:rPr>
      </w:pPr>
      <w:r w:rsidRPr="001F29F9">
        <w:rPr>
          <w:caps/>
          <w:color w:val="000000" w:themeColor="text1"/>
        </w:rPr>
        <w:t xml:space="preserve">NAME:  </w:t>
      </w:r>
      <w:r w:rsidR="00E37713">
        <w:rPr>
          <w:caps/>
          <w:color w:val="000000" w:themeColor="text1"/>
        </w:rPr>
        <w:t xml:space="preserve"> </w:t>
      </w:r>
      <w:r>
        <w:rPr>
          <w:caps/>
          <w:color w:val="000000" w:themeColor="text1"/>
        </w:rPr>
        <w:tab/>
      </w:r>
      <w:r>
        <w:rPr>
          <w:caps/>
          <w:color w:val="000000" w:themeColor="text1"/>
        </w:rPr>
        <w:tab/>
      </w:r>
      <w:r w:rsidR="00A345B8">
        <w:rPr>
          <w:caps/>
          <w:color w:val="000000" w:themeColor="text1"/>
        </w:rPr>
        <w:t xml:space="preserve">                        </w:t>
      </w:r>
      <w:r w:rsidRPr="001F29F9">
        <w:rPr>
          <w:caps/>
          <w:color w:val="000000" w:themeColor="text1"/>
        </w:rPr>
        <w:t>BRANCH OF SERVICE</w:t>
      </w:r>
      <w:r w:rsidRPr="00F7088F">
        <w:rPr>
          <w:caps/>
          <w:color w:val="000000" w:themeColor="text1"/>
        </w:rPr>
        <w:t>:  Army</w:t>
      </w:r>
    </w:p>
    <w:p w:rsidR="001D6F77" w:rsidRPr="001F29F9" w:rsidRDefault="001D6F77" w:rsidP="00B70B22">
      <w:pPr>
        <w:tabs>
          <w:tab w:val="left" w:pos="288"/>
          <w:tab w:val="left" w:pos="4166"/>
          <w:tab w:val="left" w:pos="4752"/>
          <w:tab w:val="left" w:pos="5130"/>
          <w:tab w:val="left" w:pos="9270"/>
        </w:tabs>
        <w:spacing w:line="240" w:lineRule="exact"/>
        <w:jc w:val="both"/>
        <w:rPr>
          <w:caps/>
          <w:color w:val="000000" w:themeColor="text1"/>
        </w:rPr>
      </w:pPr>
      <w:r w:rsidRPr="001F29F9">
        <w:rPr>
          <w:caps/>
          <w:color w:val="000000" w:themeColor="text1"/>
        </w:rPr>
        <w:t>CASE NUMBER:  PD11</w:t>
      </w:r>
      <w:r w:rsidRPr="00F7088F">
        <w:rPr>
          <w:caps/>
          <w:color w:val="000000" w:themeColor="text1"/>
        </w:rPr>
        <w:t>00</w:t>
      </w:r>
      <w:r>
        <w:rPr>
          <w:caps/>
          <w:color w:val="000000" w:themeColor="text1"/>
        </w:rPr>
        <w:t>792</w:t>
      </w:r>
      <w:r>
        <w:rPr>
          <w:color w:val="000000" w:themeColor="text1"/>
        </w:rPr>
        <w:tab/>
      </w:r>
      <w:r>
        <w:rPr>
          <w:color w:val="000000" w:themeColor="text1"/>
        </w:rPr>
        <w:tab/>
      </w:r>
      <w:r>
        <w:rPr>
          <w:color w:val="000000" w:themeColor="text1"/>
        </w:rPr>
        <w:tab/>
      </w:r>
      <w:r w:rsidR="00A345B8">
        <w:rPr>
          <w:color w:val="000000" w:themeColor="text1"/>
        </w:rPr>
        <w:t xml:space="preserve">                     </w:t>
      </w:r>
      <w:r w:rsidRPr="001F29F9">
        <w:rPr>
          <w:color w:val="000000" w:themeColor="text1"/>
        </w:rPr>
        <w:t>SEPARATION DATE:  200</w:t>
      </w:r>
      <w:r>
        <w:rPr>
          <w:color w:val="000000" w:themeColor="text1"/>
        </w:rPr>
        <w:t>80224</w:t>
      </w:r>
    </w:p>
    <w:p w:rsidR="00827B29" w:rsidRPr="00784EA0" w:rsidRDefault="001D6F77" w:rsidP="00B70B22">
      <w:pPr>
        <w:tabs>
          <w:tab w:val="left" w:pos="288"/>
          <w:tab w:val="left" w:pos="3600"/>
          <w:tab w:val="left" w:pos="5130"/>
        </w:tabs>
        <w:spacing w:line="240" w:lineRule="exact"/>
        <w:jc w:val="both"/>
        <w:rPr>
          <w:rFonts w:asciiTheme="minorHAnsi" w:hAnsiTheme="minorHAnsi"/>
          <w:caps/>
          <w:color w:val="auto"/>
        </w:rPr>
      </w:pPr>
      <w:r w:rsidRPr="001F29F9">
        <w:rPr>
          <w:caps/>
          <w:color w:val="000000" w:themeColor="text1"/>
        </w:rPr>
        <w:t>BOARD DATE:  201</w:t>
      </w:r>
      <w:r>
        <w:rPr>
          <w:caps/>
          <w:color w:val="000000" w:themeColor="text1"/>
        </w:rPr>
        <w:t>2</w:t>
      </w:r>
      <w:r w:rsidR="004D507C">
        <w:rPr>
          <w:caps/>
          <w:color w:val="000000" w:themeColor="text1"/>
        </w:rPr>
        <w:t>0327</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1D6F77" w:rsidRDefault="001D6F77" w:rsidP="00510F9C">
      <w:pPr>
        <w:tabs>
          <w:tab w:val="left" w:pos="288"/>
          <w:tab w:val="left" w:pos="4752"/>
        </w:tabs>
        <w:spacing w:line="240" w:lineRule="exact"/>
        <w:jc w:val="both"/>
        <w:rPr>
          <w:rFonts w:asciiTheme="minorHAnsi" w:hAnsiTheme="minorHAnsi"/>
          <w:color w:val="auto"/>
        </w:rPr>
      </w:pPr>
    </w:p>
    <w:p w:rsidR="002F2981" w:rsidRDefault="00FB0E80" w:rsidP="00B70B22">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1D6F77" w:rsidRPr="001D6F77">
        <w:rPr>
          <w:rFonts w:asciiTheme="minorHAnsi" w:hAnsiTheme="minorHAnsi"/>
          <w:color w:val="auto"/>
        </w:rPr>
        <w:t xml:space="preserve">Data extracted from the available evidence of record reflects that this covered individual (CI) was an active duty SGT/E-5 (92Y, Unit Supply Specialist), medically separated for </w:t>
      </w:r>
      <w:r w:rsidR="00C815F7">
        <w:rPr>
          <w:rFonts w:asciiTheme="minorHAnsi" w:hAnsiTheme="minorHAnsi"/>
          <w:color w:val="auto"/>
        </w:rPr>
        <w:t xml:space="preserve">a </w:t>
      </w:r>
      <w:r w:rsidR="001D6F77" w:rsidRPr="001D6F77">
        <w:rPr>
          <w:rFonts w:asciiTheme="minorHAnsi" w:hAnsiTheme="minorHAnsi"/>
          <w:color w:val="auto"/>
        </w:rPr>
        <w:t xml:space="preserve">bilateral </w:t>
      </w:r>
      <w:r w:rsidR="00C815F7">
        <w:rPr>
          <w:rFonts w:asciiTheme="minorHAnsi" w:hAnsiTheme="minorHAnsi"/>
          <w:color w:val="auto"/>
        </w:rPr>
        <w:t>foot condition</w:t>
      </w:r>
      <w:r w:rsidR="001D6F77" w:rsidRPr="001D6F77">
        <w:rPr>
          <w:rFonts w:asciiTheme="minorHAnsi" w:hAnsiTheme="minorHAnsi"/>
          <w:color w:val="auto"/>
        </w:rPr>
        <w:t xml:space="preserve">. </w:t>
      </w:r>
      <w:r w:rsidR="001D6F77">
        <w:rPr>
          <w:rFonts w:asciiTheme="minorHAnsi" w:hAnsiTheme="minorHAnsi"/>
          <w:color w:val="auto"/>
        </w:rPr>
        <w:t xml:space="preserve"> </w:t>
      </w:r>
      <w:r w:rsidR="001D6F77" w:rsidRPr="001D6F77">
        <w:rPr>
          <w:rFonts w:asciiTheme="minorHAnsi" w:hAnsiTheme="minorHAnsi"/>
          <w:color w:val="auto"/>
        </w:rPr>
        <w:t xml:space="preserve">She did not respond adequately to treatment and was unable to fulfill the physical demands within her Military Occupational Specialty (MOS) or meet physical fitness standards.  She was issued a </w:t>
      </w:r>
      <w:r w:rsidR="00B97738">
        <w:rPr>
          <w:rFonts w:asciiTheme="minorHAnsi" w:hAnsiTheme="minorHAnsi"/>
          <w:color w:val="auto"/>
        </w:rPr>
        <w:t>permanent</w:t>
      </w:r>
      <w:r w:rsidR="001D6F77" w:rsidRPr="001D6F77">
        <w:rPr>
          <w:rFonts w:asciiTheme="minorHAnsi" w:hAnsiTheme="minorHAnsi"/>
          <w:color w:val="auto"/>
        </w:rPr>
        <w:t xml:space="preserve"> L3 profile and underwent a Medical Evaluation Board (MEB).  Bilateral plantar fasciitis was forwarded to the Physical Evaluation Board (PEB) as medically unacceptable IAW AR 40-501.  No other conditions appeared on the MEB’s submission.  Other conditions included in the Disability Evaluation System (DES) packet will be discussed below.  The PEB adjudicated the bilateral plantar fasciitis condition as unfitting, rated</w:t>
      </w:r>
      <w:r w:rsidR="00B97738">
        <w:rPr>
          <w:rFonts w:asciiTheme="minorHAnsi" w:hAnsiTheme="minorHAnsi"/>
          <w:color w:val="auto"/>
        </w:rPr>
        <w:t xml:space="preserve"> right 10%, left 10%, </w:t>
      </w:r>
      <w:r w:rsidR="001D6F77" w:rsidRPr="001D6F77">
        <w:rPr>
          <w:rFonts w:asciiTheme="minorHAnsi" w:hAnsiTheme="minorHAnsi"/>
          <w:color w:val="auto"/>
        </w:rPr>
        <w:t>bilateral factor was applied;</w:t>
      </w:r>
      <w:r w:rsidR="00B97738">
        <w:rPr>
          <w:rFonts w:asciiTheme="minorHAnsi" w:hAnsiTheme="minorHAnsi"/>
          <w:color w:val="auto"/>
        </w:rPr>
        <w:t xml:space="preserve"> with a combined 20%</w:t>
      </w:r>
      <w:r w:rsidR="001D6F77" w:rsidRPr="001D6F77">
        <w:rPr>
          <w:rFonts w:asciiTheme="minorHAnsi" w:hAnsiTheme="minorHAnsi"/>
          <w:color w:val="auto"/>
        </w:rPr>
        <w:t xml:space="preserve"> with application of the US Army Physical Disability Agency (USAPDA) pain policy.  The CI made no appeals, and was medically separated with a 20%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B70B22" w:rsidRDefault="002C6E5B" w:rsidP="00B70B22">
      <w:pPr>
        <w:tabs>
          <w:tab w:val="left" w:pos="288"/>
          <w:tab w:val="left" w:pos="4752"/>
        </w:tabs>
        <w:spacing w:line="240" w:lineRule="exact"/>
        <w:jc w:val="both"/>
        <w:rPr>
          <w:rFonts w:asciiTheme="minorHAnsi" w:hAnsiTheme="minorHAnsi" w:cs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1D6F77" w:rsidRPr="00B70B22">
        <w:rPr>
          <w:rFonts w:asciiTheme="minorHAnsi" w:hAnsiTheme="minorHAnsi" w:cstheme="minorHAnsi"/>
          <w:color w:val="000000" w:themeColor="text1"/>
        </w:rPr>
        <w:t xml:space="preserve">The CI states:  “I should have medically retired and placed on the TDRL with at least 30% for bilateral Plantar Fasciitis from the PEB and I also believe I should have been evaluated for my headaches and back strain with at least 0% rating then on the re-evaluation my headaches and back strain would have been shown to be worse and a grant of 10% for each and then placed on the PDRL see DVA rating decision dated 12-6-2011.  PTSD 30%. I contend that the PEB failed me in rating all my disabilities of unfitness to do my job as a 92Y Supply Specialist. Please place me on the PDRL list with at least 60% if not 80% with PTSD.”  </w:t>
      </w:r>
      <w:r w:rsidR="001D6F77" w:rsidRPr="00B70B22">
        <w:rPr>
          <w:rFonts w:asciiTheme="minorHAnsi" w:eastAsiaTheme="minorHAnsi" w:hAnsiTheme="minorHAnsi" w:cstheme="minorHAnsi"/>
          <w:color w:val="000000" w:themeColor="text1"/>
          <w:szCs w:val="24"/>
        </w:rPr>
        <w:t>She additionally lists all of her VA conditions and ratings as per the rating chart below.  A contention for their inclusion in the separation rating is therefore implied.</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Default="000F0928" w:rsidP="00510F9C">
      <w:pPr>
        <w:spacing w:line="240" w:lineRule="exact"/>
        <w:rPr>
          <w:rFonts w:asciiTheme="minorHAnsi" w:hAnsiTheme="minorHAnsi"/>
          <w:color w:val="auto"/>
        </w:rPr>
      </w:pPr>
    </w:p>
    <w:tbl>
      <w:tblPr>
        <w:tblStyle w:val="TableGrid"/>
        <w:tblpPr w:leftFromText="187" w:rightFromText="187" w:vertAnchor="text" w:tblpXSpec="center" w:tblpY="1"/>
        <w:tblOverlap w:val="never"/>
        <w:tblW w:w="9375" w:type="dxa"/>
        <w:tblLayout w:type="fixed"/>
        <w:tblLook w:val="04A0"/>
      </w:tblPr>
      <w:tblGrid>
        <w:gridCol w:w="2176"/>
        <w:gridCol w:w="1080"/>
        <w:gridCol w:w="900"/>
        <w:gridCol w:w="2321"/>
        <w:gridCol w:w="1080"/>
        <w:gridCol w:w="828"/>
        <w:gridCol w:w="990"/>
      </w:tblGrid>
      <w:tr w:rsidR="001D6F77" w:rsidTr="001D6F77">
        <w:trPr>
          <w:trHeight w:val="233"/>
        </w:trPr>
        <w:tc>
          <w:tcPr>
            <w:tcW w:w="4158"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1D6F77" w:rsidRDefault="00E4600F" w:rsidP="001D6F77">
            <w:pPr>
              <w:spacing w:line="240" w:lineRule="exact"/>
              <w:jc w:val="center"/>
              <w:rPr>
                <w:rFonts w:ascii="Calibri" w:hAnsi="Calibri" w:cs="Calibri"/>
                <w:b/>
                <w:color w:val="auto"/>
                <w:sz w:val="18"/>
                <w:szCs w:val="18"/>
              </w:rPr>
            </w:pPr>
            <w:r>
              <w:rPr>
                <w:rFonts w:ascii="Calibri" w:hAnsi="Calibri" w:cs="Calibri"/>
                <w:b/>
                <w:color w:val="auto"/>
                <w:sz w:val="18"/>
                <w:szCs w:val="18"/>
              </w:rPr>
              <w:t xml:space="preserve">Service </w:t>
            </w:r>
            <w:r w:rsidR="001D6F77">
              <w:rPr>
                <w:rFonts w:ascii="Calibri" w:hAnsi="Calibri" w:cs="Calibri"/>
                <w:b/>
                <w:color w:val="auto"/>
                <w:sz w:val="18"/>
                <w:szCs w:val="18"/>
              </w:rPr>
              <w:t>PEB – Dated 20071115</w:t>
            </w:r>
          </w:p>
        </w:tc>
        <w:tc>
          <w:tcPr>
            <w:tcW w:w="522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6F77" w:rsidRDefault="001D6F77" w:rsidP="001D6F77">
            <w:pPr>
              <w:spacing w:line="240" w:lineRule="exact"/>
              <w:jc w:val="center"/>
              <w:rPr>
                <w:rFonts w:ascii="Calibri" w:hAnsi="Calibri" w:cs="Calibri"/>
                <w:b/>
                <w:color w:val="auto"/>
                <w:sz w:val="18"/>
                <w:szCs w:val="18"/>
              </w:rPr>
            </w:pPr>
            <w:r>
              <w:rPr>
                <w:rFonts w:ascii="Calibri" w:hAnsi="Calibri" w:cs="Calibri"/>
                <w:b/>
                <w:color w:val="auto"/>
                <w:sz w:val="18"/>
                <w:szCs w:val="18"/>
              </w:rPr>
              <w:t>VA (2 Mo. Pre Separation) – All Effective Date 20080225</w:t>
            </w:r>
          </w:p>
        </w:tc>
      </w:tr>
      <w:tr w:rsidR="001D6F77" w:rsidTr="001D6F77">
        <w:trPr>
          <w:trHeight w:val="278"/>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6F77" w:rsidRDefault="001D6F77" w:rsidP="001D6F77">
            <w:pPr>
              <w:spacing w:line="240" w:lineRule="exact"/>
              <w:jc w:val="center"/>
              <w:rPr>
                <w:rFonts w:ascii="Calibri" w:hAnsi="Calibri" w:cs="Calibri"/>
                <w:b/>
                <w:color w:val="auto"/>
                <w:sz w:val="18"/>
                <w:szCs w:val="18"/>
              </w:rPr>
            </w:pPr>
            <w:r>
              <w:rPr>
                <w:rFonts w:ascii="Calibri" w:hAnsi="Calibri" w:cs="Calibri"/>
                <w:b/>
                <w:color w:val="auto"/>
                <w:sz w:val="18"/>
                <w:szCs w:val="18"/>
              </w:rPr>
              <w:t>Condition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6F77" w:rsidRDefault="001D6F77" w:rsidP="001D6F77">
            <w:pPr>
              <w:spacing w:line="240" w:lineRule="exact"/>
              <w:jc w:val="center"/>
              <w:rPr>
                <w:rFonts w:ascii="Calibri" w:hAnsi="Calibri" w:cs="Calibri"/>
                <w:b/>
                <w:color w:val="auto"/>
                <w:sz w:val="18"/>
                <w:szCs w:val="18"/>
              </w:rPr>
            </w:pPr>
            <w:r>
              <w:rPr>
                <w:rFonts w:ascii="Calibri" w:hAnsi="Calibri" w:cs="Calibri"/>
                <w:b/>
                <w:color w:val="auto"/>
                <w:sz w:val="18"/>
                <w:szCs w:val="18"/>
              </w:rPr>
              <w:t>Code</w:t>
            </w:r>
          </w:p>
        </w:tc>
        <w:tc>
          <w:tcPr>
            <w:tcW w:w="90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1D6F77" w:rsidRDefault="001D6F77" w:rsidP="001D6F77">
            <w:pPr>
              <w:spacing w:line="240" w:lineRule="exact"/>
              <w:jc w:val="center"/>
              <w:rPr>
                <w:rFonts w:ascii="Calibri" w:hAnsi="Calibri" w:cs="Calibri"/>
                <w:b/>
                <w:color w:val="auto"/>
                <w:sz w:val="18"/>
                <w:szCs w:val="18"/>
              </w:rPr>
            </w:pPr>
            <w:r>
              <w:rPr>
                <w:rFonts w:ascii="Calibri" w:hAnsi="Calibri" w:cs="Calibri"/>
                <w:b/>
                <w:color w:val="auto"/>
                <w:sz w:val="18"/>
                <w:szCs w:val="18"/>
              </w:rPr>
              <w:t>Rating</w:t>
            </w:r>
          </w:p>
        </w:tc>
        <w:tc>
          <w:tcPr>
            <w:tcW w:w="2322"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6F77" w:rsidRDefault="001D6F77" w:rsidP="001D6F77">
            <w:pPr>
              <w:spacing w:line="240" w:lineRule="exact"/>
              <w:jc w:val="center"/>
              <w:rPr>
                <w:rFonts w:ascii="Calibri" w:hAnsi="Calibri" w:cs="Calibri"/>
                <w:b/>
                <w:color w:val="auto"/>
                <w:sz w:val="18"/>
                <w:szCs w:val="18"/>
              </w:rPr>
            </w:pPr>
            <w:r>
              <w:rPr>
                <w:rFonts w:ascii="Calibri" w:hAnsi="Calibri" w:cs="Calibri"/>
                <w:b/>
                <w:color w:val="auto"/>
                <w:sz w:val="18"/>
                <w:szCs w:val="18"/>
              </w:rPr>
              <w:t>Condition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6F77" w:rsidRDefault="001D6F77" w:rsidP="001D6F77">
            <w:pPr>
              <w:spacing w:line="240" w:lineRule="exact"/>
              <w:jc w:val="center"/>
              <w:rPr>
                <w:rFonts w:ascii="Calibri" w:hAnsi="Calibri" w:cs="Calibri"/>
                <w:b/>
                <w:color w:val="auto"/>
                <w:sz w:val="18"/>
                <w:szCs w:val="18"/>
              </w:rPr>
            </w:pPr>
            <w:r>
              <w:rPr>
                <w:rFonts w:ascii="Calibri" w:hAnsi="Calibri" w:cs="Calibri"/>
                <w:b/>
                <w:color w:val="auto"/>
                <w:sz w:val="18"/>
                <w:szCs w:val="18"/>
              </w:rPr>
              <w:t>Code</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6F77" w:rsidRDefault="001D6F77" w:rsidP="001D6F77">
            <w:pPr>
              <w:spacing w:line="240" w:lineRule="exact"/>
              <w:jc w:val="center"/>
              <w:rPr>
                <w:rFonts w:ascii="Calibri" w:hAnsi="Calibri" w:cs="Calibri"/>
                <w:b/>
                <w:color w:val="auto"/>
                <w:sz w:val="18"/>
                <w:szCs w:val="18"/>
              </w:rPr>
            </w:pPr>
            <w:r>
              <w:rPr>
                <w:rFonts w:ascii="Calibri" w:hAnsi="Calibri" w:cs="Calibri"/>
                <w:b/>
                <w:color w:val="auto"/>
                <w:sz w:val="18"/>
                <w:szCs w:val="18"/>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6F77" w:rsidRDefault="001D6F77" w:rsidP="001D6F77">
            <w:pPr>
              <w:spacing w:line="240" w:lineRule="exact"/>
              <w:jc w:val="center"/>
              <w:rPr>
                <w:rFonts w:ascii="Calibri" w:hAnsi="Calibri" w:cs="Calibri"/>
                <w:b/>
                <w:color w:val="auto"/>
                <w:sz w:val="18"/>
                <w:szCs w:val="18"/>
              </w:rPr>
            </w:pPr>
            <w:r>
              <w:rPr>
                <w:rFonts w:ascii="Calibri" w:hAnsi="Calibri" w:cs="Calibri"/>
                <w:b/>
                <w:color w:val="auto"/>
                <w:sz w:val="18"/>
                <w:szCs w:val="18"/>
              </w:rPr>
              <w:t>Exam</w:t>
            </w:r>
          </w:p>
        </w:tc>
      </w:tr>
      <w:tr w:rsidR="001D6F77" w:rsidTr="001D6F77">
        <w:trPr>
          <w:trHeight w:val="287"/>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D6F77" w:rsidRDefault="001D6F77" w:rsidP="001D6F77">
            <w:pPr>
              <w:spacing w:line="180" w:lineRule="exact"/>
              <w:rPr>
                <w:rFonts w:ascii="Calibri" w:eastAsia="Times New Roman" w:hAnsi="Calibri" w:cs="Calibri"/>
                <w:color w:val="auto"/>
                <w:sz w:val="18"/>
                <w:szCs w:val="18"/>
              </w:rPr>
            </w:pPr>
            <w:r>
              <w:rPr>
                <w:rFonts w:ascii="Calibri" w:eastAsia="Times New Roman" w:hAnsi="Calibri" w:cs="Calibri"/>
                <w:color w:val="auto"/>
                <w:sz w:val="18"/>
                <w:szCs w:val="18"/>
              </w:rPr>
              <w:t>Bilateral Plantar Fasciitis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D6F77" w:rsidRDefault="001D6F77" w:rsidP="001D6F77">
            <w:pPr>
              <w:spacing w:line="180" w:lineRule="exact"/>
              <w:jc w:val="center"/>
              <w:rPr>
                <w:rFonts w:ascii="Calibri" w:eastAsia="Times New Roman" w:hAnsi="Calibri" w:cs="Calibri"/>
                <w:color w:val="auto"/>
                <w:sz w:val="18"/>
                <w:szCs w:val="18"/>
              </w:rPr>
            </w:pPr>
            <w:r>
              <w:rPr>
                <w:rFonts w:ascii="Calibri" w:eastAsia="Times New Roman" w:hAnsi="Calibri" w:cs="Calibri"/>
                <w:color w:val="auto"/>
                <w:sz w:val="18"/>
                <w:szCs w:val="18"/>
              </w:rPr>
              <w:t>5399-5310</w:t>
            </w:r>
          </w:p>
        </w:tc>
        <w:tc>
          <w:tcPr>
            <w:tcW w:w="90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1D6F77" w:rsidRDefault="001D6F77" w:rsidP="001D6F77">
            <w:pPr>
              <w:spacing w:line="180" w:lineRule="exact"/>
              <w:jc w:val="center"/>
              <w:rPr>
                <w:rFonts w:ascii="Calibri" w:eastAsia="Times New Roman" w:hAnsi="Calibri" w:cs="Calibri"/>
                <w:color w:val="auto"/>
                <w:sz w:val="18"/>
                <w:szCs w:val="18"/>
              </w:rPr>
            </w:pPr>
            <w:r>
              <w:rPr>
                <w:rFonts w:ascii="Calibri" w:hAnsi="Calibri" w:cs="Calibri"/>
                <w:color w:val="auto"/>
                <w:sz w:val="18"/>
                <w:szCs w:val="18"/>
              </w:rPr>
              <w:t>20%</w:t>
            </w:r>
          </w:p>
        </w:tc>
        <w:tc>
          <w:tcPr>
            <w:tcW w:w="2322"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D6F77" w:rsidRPr="00C815F7" w:rsidRDefault="001D6F77" w:rsidP="001D6F77">
            <w:pPr>
              <w:spacing w:line="180" w:lineRule="exact"/>
              <w:rPr>
                <w:rFonts w:ascii="Calibri" w:eastAsia="Times New Roman" w:hAnsi="Calibri" w:cs="Calibri"/>
                <w:color w:val="auto"/>
                <w:sz w:val="18"/>
                <w:szCs w:val="18"/>
              </w:rPr>
            </w:pPr>
            <w:r w:rsidRPr="00C815F7">
              <w:rPr>
                <w:rFonts w:ascii="Calibri" w:eastAsia="Times New Roman" w:hAnsi="Calibri" w:cs="Calibri"/>
                <w:color w:val="auto"/>
                <w:sz w:val="18"/>
                <w:szCs w:val="18"/>
              </w:rPr>
              <w:t>Bilateral Plantar Fasciitis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D6F77" w:rsidRPr="00C815F7" w:rsidRDefault="001D6F77" w:rsidP="001D6F77">
            <w:pPr>
              <w:spacing w:line="180" w:lineRule="exact"/>
              <w:jc w:val="center"/>
              <w:rPr>
                <w:rFonts w:ascii="Calibri" w:eastAsia="Times New Roman" w:hAnsi="Calibri" w:cs="Calibri"/>
                <w:color w:val="auto"/>
                <w:sz w:val="18"/>
                <w:szCs w:val="18"/>
              </w:rPr>
            </w:pPr>
            <w:r w:rsidRPr="00C815F7">
              <w:rPr>
                <w:rFonts w:ascii="Calibri" w:eastAsia="Times New Roman" w:hAnsi="Calibri" w:cs="Calibri"/>
                <w:color w:val="auto"/>
                <w:sz w:val="18"/>
                <w:szCs w:val="18"/>
              </w:rPr>
              <w:t>5020-5276</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D6F77" w:rsidRDefault="001D6F77" w:rsidP="001D6F77">
            <w:pPr>
              <w:spacing w:line="180" w:lineRule="exact"/>
              <w:jc w:val="center"/>
              <w:rPr>
                <w:rFonts w:ascii="Calibri" w:eastAsia="Times New Roman" w:hAnsi="Calibri" w:cs="Calibri"/>
                <w:color w:val="auto"/>
                <w:sz w:val="18"/>
                <w:szCs w:val="18"/>
              </w:rPr>
            </w:pPr>
            <w:r>
              <w:rPr>
                <w:rFonts w:ascii="Calibri" w:hAnsi="Calibri" w:cs="Calibri"/>
                <w:color w:val="auto"/>
                <w:sz w:val="18"/>
                <w:szCs w:val="18"/>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D6F77" w:rsidRDefault="001D6F77" w:rsidP="001D6F77">
            <w:pPr>
              <w:spacing w:line="180" w:lineRule="exact"/>
              <w:jc w:val="center"/>
              <w:rPr>
                <w:rFonts w:ascii="Calibri" w:eastAsia="Times New Roman" w:hAnsi="Calibri" w:cs="Calibri"/>
                <w:color w:val="auto"/>
                <w:sz w:val="18"/>
                <w:szCs w:val="18"/>
              </w:rPr>
            </w:pPr>
            <w:r>
              <w:rPr>
                <w:rFonts w:ascii="Calibri" w:hAnsi="Calibri" w:cs="Calibri"/>
                <w:color w:val="auto"/>
                <w:sz w:val="18"/>
                <w:szCs w:val="18"/>
              </w:rPr>
              <w:t>20071227</w:t>
            </w:r>
          </w:p>
        </w:tc>
      </w:tr>
      <w:tr w:rsidR="001D6F77" w:rsidTr="001D6F77">
        <w:trPr>
          <w:trHeight w:val="260"/>
        </w:trPr>
        <w:tc>
          <w:tcPr>
            <w:tcW w:w="4158"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1D6F77" w:rsidRDefault="001D6F77" w:rsidP="001D6F77">
            <w:pPr>
              <w:spacing w:line="180" w:lineRule="exact"/>
              <w:rPr>
                <w:rFonts w:ascii="Calibri" w:hAnsi="Calibri" w:cs="Calibri"/>
                <w:color w:val="auto"/>
                <w:sz w:val="18"/>
                <w:szCs w:val="18"/>
              </w:rPr>
            </w:pPr>
          </w:p>
          <w:p w:rsidR="001D6F77" w:rsidRDefault="001D6F77" w:rsidP="001D6F77">
            <w:pPr>
              <w:spacing w:line="180" w:lineRule="exact"/>
              <w:jc w:val="center"/>
              <w:rPr>
                <w:rFonts w:ascii="Calibri" w:eastAsia="Times New Roman" w:hAnsi="Calibri" w:cs="Calibri"/>
                <w:color w:val="auto"/>
                <w:sz w:val="18"/>
                <w:szCs w:val="18"/>
              </w:rPr>
            </w:pPr>
            <w:r>
              <w:rPr>
                <w:rFonts w:ascii="Calibri" w:hAnsi="Calibri" w:cs="Calibri"/>
                <w:color w:val="auto"/>
                <w:sz w:val="18"/>
                <w:szCs w:val="18"/>
              </w:rPr>
              <w:t>↓No Additional MEB/PEB Entries↓</w:t>
            </w:r>
          </w:p>
        </w:tc>
        <w:tc>
          <w:tcPr>
            <w:tcW w:w="423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D6F77" w:rsidRDefault="001D6F77" w:rsidP="001D6F77">
            <w:pPr>
              <w:spacing w:line="180" w:lineRule="exact"/>
              <w:jc w:val="center"/>
              <w:rPr>
                <w:rFonts w:ascii="Calibri" w:eastAsia="Times New Roman" w:hAnsi="Calibri" w:cs="Calibri"/>
                <w:color w:val="auto"/>
                <w:sz w:val="18"/>
                <w:szCs w:val="18"/>
              </w:rPr>
            </w:pPr>
            <w:r>
              <w:rPr>
                <w:rFonts w:ascii="Calibri" w:hAnsi="Calibri" w:cs="Calibri"/>
                <w:color w:val="auto"/>
                <w:sz w:val="18"/>
                <w:szCs w:val="18"/>
              </w:rPr>
              <w:t>0% x 4/Not Service Connected x 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D6F77" w:rsidRDefault="001D6F77" w:rsidP="001D6F77">
            <w:pPr>
              <w:spacing w:line="180" w:lineRule="exact"/>
              <w:jc w:val="center"/>
              <w:rPr>
                <w:rFonts w:ascii="Calibri" w:eastAsia="Times New Roman" w:hAnsi="Calibri" w:cs="Calibri"/>
                <w:color w:val="auto"/>
                <w:sz w:val="18"/>
                <w:szCs w:val="18"/>
              </w:rPr>
            </w:pPr>
            <w:r>
              <w:rPr>
                <w:rFonts w:ascii="Calibri" w:hAnsi="Calibri" w:cs="Calibri"/>
                <w:color w:val="auto"/>
                <w:sz w:val="18"/>
                <w:szCs w:val="18"/>
              </w:rPr>
              <w:t>20071227</w:t>
            </w:r>
          </w:p>
        </w:tc>
      </w:tr>
      <w:tr w:rsidR="001D6F77" w:rsidTr="001D6F77">
        <w:trPr>
          <w:trHeight w:val="242"/>
        </w:trPr>
        <w:tc>
          <w:tcPr>
            <w:tcW w:w="4158"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1D6F77" w:rsidRDefault="001D6F77" w:rsidP="001D6F77">
            <w:pPr>
              <w:spacing w:line="240" w:lineRule="exact"/>
              <w:jc w:val="center"/>
              <w:rPr>
                <w:rFonts w:ascii="Calibri" w:hAnsi="Calibri" w:cs="Calibri"/>
                <w:b/>
                <w:color w:val="auto"/>
                <w:sz w:val="18"/>
                <w:szCs w:val="18"/>
              </w:rPr>
            </w:pPr>
            <w:r>
              <w:rPr>
                <w:rFonts w:ascii="Calibri" w:hAnsi="Calibri" w:cs="Calibri"/>
                <w:b/>
                <w:color w:val="auto"/>
                <w:sz w:val="18"/>
                <w:szCs w:val="18"/>
              </w:rPr>
              <w:t>Combined:  20%</w:t>
            </w:r>
          </w:p>
        </w:tc>
        <w:tc>
          <w:tcPr>
            <w:tcW w:w="522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D6F77" w:rsidRDefault="001D6F77" w:rsidP="001D6F77">
            <w:pPr>
              <w:spacing w:line="240" w:lineRule="exact"/>
              <w:jc w:val="center"/>
              <w:rPr>
                <w:rFonts w:ascii="Calibri" w:hAnsi="Calibri" w:cs="Calibri"/>
                <w:b/>
                <w:color w:val="auto"/>
                <w:sz w:val="18"/>
                <w:szCs w:val="18"/>
              </w:rPr>
            </w:pPr>
            <w:r>
              <w:rPr>
                <w:rFonts w:ascii="Calibri" w:hAnsi="Calibri" w:cs="Calibri"/>
                <w:b/>
                <w:color w:val="auto"/>
                <w:sz w:val="18"/>
                <w:szCs w:val="18"/>
              </w:rPr>
              <w:t>Combined:  30%</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4C60A3" w:rsidRDefault="002C6E5B" w:rsidP="00867358">
      <w:pPr>
        <w:spacing w:line="240" w:lineRule="exact"/>
        <w:jc w:val="both"/>
        <w:rPr>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1D6F77" w:rsidRPr="001D6F77">
        <w:rPr>
          <w:color w:val="auto"/>
          <w:szCs w:val="24"/>
        </w:rPr>
        <w:t xml:space="preserve"> </w:t>
      </w:r>
      <w:r w:rsidR="001D6F77">
        <w:rPr>
          <w:color w:val="auto"/>
          <w:szCs w:val="24"/>
        </w:rPr>
        <w:t xml:space="preserve"> </w:t>
      </w:r>
      <w:r w:rsidR="00B70B22">
        <w:rPr>
          <w:color w:val="auto"/>
          <w:szCs w:val="24"/>
        </w:rPr>
        <w:t>T</w:t>
      </w:r>
      <w:r w:rsidR="00B70B22" w:rsidRPr="00A97B5D">
        <w:rPr>
          <w:color w:val="auto"/>
          <w:szCs w:val="24"/>
        </w:rPr>
        <w:t>he Board acknowl</w:t>
      </w:r>
      <w:r w:rsidR="0056367D">
        <w:rPr>
          <w:color w:val="auto"/>
          <w:szCs w:val="24"/>
        </w:rPr>
        <w:t xml:space="preserve">edges the CI’s assertions that </w:t>
      </w:r>
      <w:r w:rsidR="0056367D" w:rsidRPr="00A97B5D">
        <w:rPr>
          <w:color w:val="auto"/>
          <w:szCs w:val="24"/>
        </w:rPr>
        <w:t xml:space="preserve">bilateral plantar fasciitis </w:t>
      </w:r>
      <w:r w:rsidR="00B70B22" w:rsidRPr="00A97B5D">
        <w:rPr>
          <w:color w:val="auto"/>
          <w:szCs w:val="24"/>
        </w:rPr>
        <w:t xml:space="preserve">was only rated 20% by the PEB when the </w:t>
      </w:r>
      <w:r w:rsidR="00E4600F">
        <w:rPr>
          <w:color w:val="auto"/>
          <w:szCs w:val="24"/>
        </w:rPr>
        <w:t>Department of Veterans’ Affairs (</w:t>
      </w:r>
      <w:r w:rsidR="00B70B22" w:rsidRPr="00A97B5D">
        <w:rPr>
          <w:color w:val="auto"/>
          <w:szCs w:val="24"/>
        </w:rPr>
        <w:t>DVA</w:t>
      </w:r>
      <w:r w:rsidR="00E4600F">
        <w:rPr>
          <w:color w:val="auto"/>
          <w:szCs w:val="24"/>
        </w:rPr>
        <w:t>)</w:t>
      </w:r>
      <w:r w:rsidR="00B70B22" w:rsidRPr="00A97B5D">
        <w:rPr>
          <w:color w:val="auto"/>
          <w:szCs w:val="24"/>
        </w:rPr>
        <w:t xml:space="preserve"> rated </w:t>
      </w:r>
      <w:r w:rsidR="00B97738">
        <w:rPr>
          <w:color w:val="auto"/>
          <w:szCs w:val="24"/>
        </w:rPr>
        <w:t xml:space="preserve">the condition at </w:t>
      </w:r>
      <w:r w:rsidR="00B70B22">
        <w:rPr>
          <w:color w:val="auto"/>
          <w:szCs w:val="24"/>
        </w:rPr>
        <w:t>30%</w:t>
      </w:r>
      <w:r w:rsidR="00B97738">
        <w:rPr>
          <w:color w:val="auto"/>
          <w:szCs w:val="24"/>
        </w:rPr>
        <w:t xml:space="preserve">.  It </w:t>
      </w:r>
      <w:r w:rsidR="00B70B22" w:rsidRPr="00A97B5D">
        <w:rPr>
          <w:color w:val="auto"/>
          <w:szCs w:val="24"/>
        </w:rPr>
        <w:t xml:space="preserve">is noted for the record that the Board has neither the jurisdiction nor authority to scrutinize or render opinions in reference to the CI’s statements in the application regarding suspected </w:t>
      </w:r>
      <w:r w:rsidR="00E4600F">
        <w:rPr>
          <w:color w:val="auto"/>
          <w:szCs w:val="24"/>
        </w:rPr>
        <w:t>s</w:t>
      </w:r>
      <w:r w:rsidR="00B70B22" w:rsidRPr="00A97B5D">
        <w:rPr>
          <w:color w:val="auto"/>
          <w:szCs w:val="24"/>
        </w:rPr>
        <w:t xml:space="preserve">ervice improprieties in the processing of her case. </w:t>
      </w:r>
      <w:r w:rsidR="00B70B22">
        <w:rPr>
          <w:color w:val="auto"/>
          <w:szCs w:val="24"/>
        </w:rPr>
        <w:t xml:space="preserve"> </w:t>
      </w:r>
      <w:r w:rsidR="00B70B22" w:rsidRPr="00A97B5D">
        <w:rPr>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B70B22">
        <w:rPr>
          <w:color w:val="auto"/>
          <w:szCs w:val="24"/>
        </w:rPr>
        <w:t xml:space="preserve"> </w:t>
      </w:r>
      <w:r w:rsidR="00B70B22" w:rsidRPr="00A97B5D">
        <w:rPr>
          <w:color w:val="auto"/>
          <w:szCs w:val="24"/>
        </w:rPr>
        <w:t>It must also judge the fairness of PEB fitness adjudications based on the fitness consequences of conditions as they existed at the time of separation.</w:t>
      </w:r>
      <w:r w:rsidR="007526BD">
        <w:rPr>
          <w:color w:val="auto"/>
          <w:szCs w:val="24"/>
        </w:rPr>
        <w:t xml:space="preserve">  </w:t>
      </w:r>
      <w:r w:rsidR="00CE483F" w:rsidRPr="00CE483F">
        <w:rPr>
          <w:color w:val="auto"/>
          <w:szCs w:val="24"/>
        </w:rPr>
        <w:t xml:space="preserve">The Board acknowledges </w:t>
      </w:r>
      <w:r w:rsidR="00CE483F" w:rsidRPr="00CE483F">
        <w:rPr>
          <w:color w:val="auto"/>
          <w:szCs w:val="24"/>
        </w:rPr>
        <w:lastRenderedPageBreak/>
        <w:t>the CI’s contention that suggests service ratings should have been conferred for other conditions documented at the time of separation</w:t>
      </w:r>
      <w:r w:rsidR="00CE483F">
        <w:rPr>
          <w:color w:val="auto"/>
          <w:szCs w:val="24"/>
        </w:rPr>
        <w:t xml:space="preserve"> </w:t>
      </w:r>
      <w:r w:rsidR="00CE483F" w:rsidRPr="00CE483F">
        <w:rPr>
          <w:color w:val="auto"/>
          <w:szCs w:val="24"/>
        </w:rPr>
        <w:t xml:space="preserve">and </w:t>
      </w:r>
      <w:r w:rsidR="00CE483F" w:rsidRPr="00CE483F">
        <w:rPr>
          <w:color w:val="auto"/>
          <w:sz w:val="23"/>
          <w:szCs w:val="23"/>
        </w:rPr>
        <w:t>for</w:t>
      </w:r>
      <w:r w:rsidR="00CE483F">
        <w:rPr>
          <w:sz w:val="23"/>
          <w:szCs w:val="23"/>
        </w:rPr>
        <w:t xml:space="preserve"> </w:t>
      </w:r>
      <w:r w:rsidR="00CE483F" w:rsidRPr="00CE483F">
        <w:rPr>
          <w:rFonts w:asciiTheme="minorHAnsi" w:hAnsiTheme="minorHAnsi" w:cstheme="minorHAnsi"/>
          <w:color w:val="auto"/>
          <w:szCs w:val="24"/>
        </w:rPr>
        <w:t>conditions not diagnosed while in the service (but</w:t>
      </w:r>
      <w:r w:rsidR="00E4600F">
        <w:rPr>
          <w:rFonts w:asciiTheme="minorHAnsi" w:hAnsiTheme="minorHAnsi" w:cstheme="minorHAnsi"/>
          <w:color w:val="auto"/>
          <w:szCs w:val="24"/>
        </w:rPr>
        <w:t xml:space="preserve"> later determined to be service-</w:t>
      </w:r>
      <w:r w:rsidR="00CE483F" w:rsidRPr="00CE483F">
        <w:rPr>
          <w:rFonts w:asciiTheme="minorHAnsi" w:hAnsiTheme="minorHAnsi" w:cstheme="minorHAnsi"/>
          <w:color w:val="auto"/>
          <w:szCs w:val="24"/>
        </w:rPr>
        <w:t xml:space="preserve">connected by the </w:t>
      </w:r>
      <w:r w:rsidR="00E4600F">
        <w:rPr>
          <w:rFonts w:asciiTheme="minorHAnsi" w:hAnsiTheme="minorHAnsi" w:cstheme="minorHAnsi"/>
          <w:color w:val="auto"/>
          <w:szCs w:val="24"/>
        </w:rPr>
        <w:t>D</w:t>
      </w:r>
      <w:r w:rsidR="00CE483F" w:rsidRPr="00CE483F">
        <w:rPr>
          <w:rFonts w:asciiTheme="minorHAnsi" w:hAnsiTheme="minorHAnsi" w:cstheme="minorHAnsi"/>
          <w:color w:val="auto"/>
          <w:szCs w:val="24"/>
        </w:rPr>
        <w:t>VA).</w:t>
      </w:r>
      <w:r w:rsidR="00CE483F" w:rsidRPr="00CE483F">
        <w:rPr>
          <w:color w:val="auto"/>
          <w:szCs w:val="24"/>
        </w:rPr>
        <w:t xml:space="preserve"> </w:t>
      </w:r>
      <w:r w:rsidR="00CE483F">
        <w:rPr>
          <w:color w:val="auto"/>
          <w:szCs w:val="24"/>
        </w:rPr>
        <w:t xml:space="preserve"> </w:t>
      </w:r>
      <w:r w:rsidR="00CE483F" w:rsidRPr="00CE483F">
        <w:rPr>
          <w:color w:val="auto"/>
          <w:szCs w:val="24"/>
        </w:rPr>
        <w:t>The Board wishes to clarify that it is subject to the same laws for service disability entitlements as those under which the DES operates.</w:t>
      </w:r>
      <w:r w:rsidR="00CE483F">
        <w:rPr>
          <w:color w:val="auto"/>
          <w:szCs w:val="24"/>
        </w:rPr>
        <w:t xml:space="preserve"> </w:t>
      </w:r>
      <w:r w:rsidR="00CE483F" w:rsidRPr="00CE483F">
        <w:rPr>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CE483F">
        <w:rPr>
          <w:color w:val="auto"/>
          <w:szCs w:val="24"/>
        </w:rPr>
        <w:t xml:space="preserve"> </w:t>
      </w:r>
      <w:r w:rsidR="00CE483F" w:rsidRPr="00CE483F">
        <w:rPr>
          <w:color w:val="auto"/>
          <w:szCs w:val="24"/>
        </w:rPr>
        <w:t xml:space="preserve">However the </w:t>
      </w:r>
      <w:r w:rsidR="00E4600F">
        <w:rPr>
          <w:color w:val="auto"/>
          <w:szCs w:val="24"/>
        </w:rPr>
        <w:t>DVA</w:t>
      </w:r>
      <w:r w:rsidR="00CE483F" w:rsidRPr="00CE483F">
        <w:rPr>
          <w:color w:val="auto"/>
          <w:szCs w:val="24"/>
        </w:rPr>
        <w:t xml:space="preserve">, operating under a different set of laws (Title 38, United States Code), is empowered to compensate </w:t>
      </w:r>
      <w:r w:rsidR="00E4600F">
        <w:rPr>
          <w:color w:val="auto"/>
          <w:szCs w:val="24"/>
        </w:rPr>
        <w:t>all service-</w:t>
      </w:r>
      <w:r w:rsidR="00CE483F" w:rsidRPr="00CE483F">
        <w:rPr>
          <w:color w:val="auto"/>
          <w:szCs w:val="24"/>
        </w:rPr>
        <w:t xml:space="preserve">connected conditions and to periodically reevaluate said conditions for the purpose of adjusting the </w:t>
      </w:r>
      <w:r w:rsidR="00E4600F">
        <w:rPr>
          <w:color w:val="auto"/>
          <w:szCs w:val="24"/>
        </w:rPr>
        <w:t>V</w:t>
      </w:r>
      <w:r w:rsidR="00CE483F" w:rsidRPr="00CE483F">
        <w:rPr>
          <w:color w:val="auto"/>
          <w:szCs w:val="24"/>
        </w:rPr>
        <w:t xml:space="preserve">eteran’s disability rating should </w:t>
      </w:r>
      <w:r w:rsidR="00E4600F">
        <w:rPr>
          <w:color w:val="auto"/>
          <w:szCs w:val="24"/>
        </w:rPr>
        <w:t>the</w:t>
      </w:r>
      <w:r w:rsidR="00CE483F" w:rsidRPr="00CE483F">
        <w:rPr>
          <w:color w:val="auto"/>
          <w:szCs w:val="24"/>
        </w:rPr>
        <w:t xml:space="preserve"> degree of impairment vary over time. </w:t>
      </w:r>
      <w:r w:rsidR="00CE483F">
        <w:rPr>
          <w:color w:val="auto"/>
          <w:szCs w:val="24"/>
        </w:rPr>
        <w:t xml:space="preserve"> </w:t>
      </w:r>
      <w:r w:rsidR="001D6F77" w:rsidRPr="00A97B5D">
        <w:rPr>
          <w:color w:val="auto"/>
          <w:szCs w:val="24"/>
        </w:rPr>
        <w:t xml:space="preserve">The Board </w:t>
      </w:r>
      <w:r w:rsidR="00CE483F">
        <w:rPr>
          <w:color w:val="auto"/>
          <w:szCs w:val="24"/>
        </w:rPr>
        <w:t xml:space="preserve">finally </w:t>
      </w:r>
      <w:r w:rsidR="001D6F77" w:rsidRPr="00A97B5D">
        <w:rPr>
          <w:color w:val="auto"/>
          <w:szCs w:val="24"/>
        </w:rPr>
        <w:t xml:space="preserve">makes note that </w:t>
      </w:r>
      <w:r w:rsidR="00B97738">
        <w:rPr>
          <w:color w:val="auto"/>
          <w:szCs w:val="24"/>
        </w:rPr>
        <w:t>the rating decision for</w:t>
      </w:r>
      <w:r w:rsidR="00CE483F">
        <w:rPr>
          <w:color w:val="auto"/>
          <w:szCs w:val="24"/>
        </w:rPr>
        <w:t xml:space="preserve"> PTSD, which was not in the DES file, nor was considered in the original VA rating decision, was</w:t>
      </w:r>
      <w:r w:rsidR="001D6F77" w:rsidRPr="00A97B5D">
        <w:rPr>
          <w:color w:val="auto"/>
          <w:szCs w:val="24"/>
        </w:rPr>
        <w:t xml:space="preserve"> derived from VA evaluations performed </w:t>
      </w:r>
      <w:r w:rsidR="00B97738">
        <w:rPr>
          <w:color w:val="auto"/>
          <w:szCs w:val="24"/>
        </w:rPr>
        <w:t xml:space="preserve">more than 12 months after separation, </w:t>
      </w:r>
      <w:r w:rsidR="00CE483F">
        <w:rPr>
          <w:color w:val="auto"/>
          <w:szCs w:val="24"/>
        </w:rPr>
        <w:t>and was rated effective 29</w:t>
      </w:r>
      <w:r w:rsidR="00C951E7">
        <w:rPr>
          <w:color w:val="auto"/>
          <w:szCs w:val="24"/>
        </w:rPr>
        <w:t xml:space="preserve"> </w:t>
      </w:r>
      <w:r w:rsidR="00CE483F">
        <w:rPr>
          <w:color w:val="auto"/>
          <w:szCs w:val="24"/>
        </w:rPr>
        <w:t xml:space="preserve">months after separation.  </w:t>
      </w:r>
      <w:r w:rsidR="001D6F77" w:rsidRPr="00A97B5D">
        <w:rPr>
          <w:color w:val="auto"/>
          <w:szCs w:val="24"/>
        </w:rPr>
        <w:t>The Board’s operative instruction, DoDI 6040.44, specifies a 12</w:t>
      </w:r>
      <w:r w:rsidR="00C951E7">
        <w:rPr>
          <w:color w:val="auto"/>
          <w:szCs w:val="24"/>
        </w:rPr>
        <w:t>-</w:t>
      </w:r>
      <w:r w:rsidR="001D6F77" w:rsidRPr="00A97B5D">
        <w:rPr>
          <w:color w:val="auto"/>
          <w:szCs w:val="24"/>
        </w:rPr>
        <w:t xml:space="preserve">month interval for special consideration to VA findings. </w:t>
      </w:r>
      <w:r w:rsidR="001D6F77">
        <w:rPr>
          <w:color w:val="auto"/>
          <w:szCs w:val="24"/>
        </w:rPr>
        <w:t xml:space="preserve"> </w:t>
      </w:r>
      <w:r w:rsidR="001D6F77" w:rsidRPr="00A97B5D">
        <w:rPr>
          <w:color w:val="auto"/>
          <w:szCs w:val="24"/>
        </w:rPr>
        <w:t xml:space="preserve">This does not mean that the later VA evidence was disregarded, but the Board’s recommendations are directed to the severity and fitness implications of conditions at the time of separation. </w:t>
      </w:r>
      <w:r w:rsidR="001D6F77">
        <w:rPr>
          <w:color w:val="auto"/>
          <w:szCs w:val="24"/>
        </w:rPr>
        <w:t xml:space="preserve"> </w:t>
      </w:r>
      <w:r w:rsidR="00CE483F" w:rsidRPr="00CE483F">
        <w:rPr>
          <w:color w:val="auto"/>
          <w:szCs w:val="24"/>
        </w:rPr>
        <w:t>In this circumstance, therefore, the evidence from the service record is assigned significantly more probative value as a basis for the Board’s recommendations.</w:t>
      </w:r>
    </w:p>
    <w:p w:rsidR="001D6F77" w:rsidRDefault="001D6F77" w:rsidP="00147193">
      <w:pPr>
        <w:spacing w:line="240" w:lineRule="exact"/>
        <w:rPr>
          <w:rFonts w:asciiTheme="minorHAnsi" w:hAnsiTheme="minorHAnsi"/>
          <w:color w:val="auto"/>
          <w:szCs w:val="24"/>
        </w:rPr>
      </w:pPr>
    </w:p>
    <w:p w:rsidR="00A85F7D" w:rsidRPr="0056367D" w:rsidRDefault="001D6F77" w:rsidP="0086735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B</w:t>
      </w:r>
      <w:r w:rsidRPr="001D6F77">
        <w:rPr>
          <w:rFonts w:asciiTheme="minorHAnsi" w:hAnsiTheme="minorHAnsi"/>
          <w:color w:val="auto"/>
          <w:szCs w:val="24"/>
          <w:u w:val="single"/>
        </w:rPr>
        <w:t xml:space="preserve">ilateral </w:t>
      </w:r>
      <w:r w:rsidR="00C815F7">
        <w:rPr>
          <w:rFonts w:asciiTheme="minorHAnsi" w:hAnsiTheme="minorHAnsi"/>
          <w:color w:val="auto"/>
          <w:szCs w:val="24"/>
          <w:u w:val="single"/>
        </w:rPr>
        <w:t>Foot Condition</w:t>
      </w:r>
      <w:r w:rsidRPr="001D6F77">
        <w:rPr>
          <w:rFonts w:asciiTheme="minorHAnsi" w:hAnsiTheme="minorHAnsi"/>
          <w:color w:val="auto"/>
          <w:szCs w:val="24"/>
          <w:u w:val="single"/>
        </w:rPr>
        <w:t>.</w:t>
      </w:r>
      <w:r w:rsidR="0056367D">
        <w:rPr>
          <w:rFonts w:asciiTheme="minorHAnsi" w:hAnsiTheme="minorHAnsi"/>
          <w:color w:val="auto"/>
          <w:szCs w:val="24"/>
        </w:rPr>
        <w:t xml:space="preserve">  </w:t>
      </w:r>
      <w:r w:rsidR="00A85F7D" w:rsidRPr="0056367D">
        <w:rPr>
          <w:rFonts w:asciiTheme="minorHAnsi" w:hAnsiTheme="minorHAnsi"/>
          <w:color w:val="auto"/>
          <w:szCs w:val="24"/>
        </w:rPr>
        <w:t xml:space="preserve">The </w:t>
      </w:r>
      <w:r w:rsidR="009643FF" w:rsidRPr="0056367D">
        <w:rPr>
          <w:rFonts w:asciiTheme="minorHAnsi" w:hAnsiTheme="minorHAnsi"/>
          <w:color w:val="auto"/>
          <w:szCs w:val="24"/>
        </w:rPr>
        <w:t>CI</w:t>
      </w:r>
      <w:r w:rsidR="00A85F7D" w:rsidRPr="0056367D">
        <w:rPr>
          <w:rFonts w:asciiTheme="minorHAnsi" w:hAnsiTheme="minorHAnsi"/>
          <w:color w:val="auto"/>
          <w:szCs w:val="24"/>
        </w:rPr>
        <w:t xml:space="preserve"> presented with </w:t>
      </w:r>
      <w:r w:rsidR="009643FF" w:rsidRPr="0056367D">
        <w:rPr>
          <w:rFonts w:asciiTheme="minorHAnsi" w:hAnsiTheme="minorHAnsi"/>
          <w:color w:val="auto"/>
          <w:szCs w:val="24"/>
        </w:rPr>
        <w:t xml:space="preserve">bilateral </w:t>
      </w:r>
      <w:r w:rsidR="00A85F7D" w:rsidRPr="0056367D">
        <w:rPr>
          <w:rFonts w:asciiTheme="minorHAnsi" w:hAnsiTheme="minorHAnsi"/>
          <w:color w:val="auto"/>
          <w:szCs w:val="24"/>
        </w:rPr>
        <w:t>foot pain</w:t>
      </w:r>
      <w:r w:rsidR="0056367D" w:rsidRPr="0056367D">
        <w:rPr>
          <w:rFonts w:asciiTheme="minorHAnsi" w:hAnsiTheme="minorHAnsi"/>
          <w:color w:val="auto"/>
          <w:szCs w:val="24"/>
        </w:rPr>
        <w:t xml:space="preserve"> in March 2004 without trauma or event that caused her condition</w:t>
      </w:r>
      <w:r w:rsidR="0056367D">
        <w:rPr>
          <w:rFonts w:asciiTheme="minorHAnsi" w:hAnsiTheme="minorHAnsi"/>
          <w:color w:val="auto"/>
          <w:szCs w:val="24"/>
        </w:rPr>
        <w:t xml:space="preserve"> and was diagnosed with bilateral</w:t>
      </w:r>
      <w:r w:rsidR="00A85F7D" w:rsidRPr="0056367D">
        <w:rPr>
          <w:rFonts w:asciiTheme="minorHAnsi" w:hAnsiTheme="minorHAnsi"/>
          <w:color w:val="auto"/>
          <w:szCs w:val="24"/>
        </w:rPr>
        <w:t xml:space="preserve"> plantar fasciitis</w:t>
      </w:r>
      <w:r w:rsidR="009643FF" w:rsidRPr="0056367D">
        <w:rPr>
          <w:rFonts w:asciiTheme="minorHAnsi" w:hAnsiTheme="minorHAnsi"/>
          <w:color w:val="auto"/>
          <w:szCs w:val="24"/>
        </w:rPr>
        <w:t>.  This condition was</w:t>
      </w:r>
      <w:r w:rsidR="00A85F7D" w:rsidRPr="0056367D">
        <w:rPr>
          <w:rFonts w:asciiTheme="minorHAnsi" w:hAnsiTheme="minorHAnsi"/>
          <w:color w:val="auto"/>
          <w:szCs w:val="24"/>
        </w:rPr>
        <w:t xml:space="preserve"> not responsive to medications, orthotics, physical therapy</w:t>
      </w:r>
      <w:r w:rsidR="009643FF" w:rsidRPr="0056367D">
        <w:rPr>
          <w:rFonts w:asciiTheme="minorHAnsi" w:hAnsiTheme="minorHAnsi"/>
          <w:color w:val="auto"/>
          <w:szCs w:val="24"/>
        </w:rPr>
        <w:t xml:space="preserve">, pool therapy, night splints, casting </w:t>
      </w:r>
      <w:r w:rsidR="00A85F7D" w:rsidRPr="0056367D">
        <w:rPr>
          <w:rFonts w:asciiTheme="minorHAnsi" w:hAnsiTheme="minorHAnsi"/>
          <w:color w:val="auto"/>
          <w:szCs w:val="24"/>
        </w:rPr>
        <w:t>or injections.</w:t>
      </w:r>
      <w:r w:rsidR="009643FF" w:rsidRPr="0056367D">
        <w:rPr>
          <w:rFonts w:asciiTheme="minorHAnsi" w:hAnsiTheme="minorHAnsi"/>
          <w:color w:val="auto"/>
          <w:szCs w:val="24"/>
        </w:rPr>
        <w:t xml:space="preserve">  In June 2007 she was referred to Podiatry who did not recommend surgery.</w:t>
      </w:r>
      <w:r w:rsidR="00A85F7D" w:rsidRPr="0056367D">
        <w:rPr>
          <w:rFonts w:asciiTheme="minorHAnsi" w:hAnsiTheme="minorHAnsi"/>
          <w:color w:val="auto"/>
          <w:szCs w:val="24"/>
        </w:rPr>
        <w:t xml:space="preserve">  The </w:t>
      </w:r>
      <w:r w:rsidR="00E4600F">
        <w:rPr>
          <w:rFonts w:asciiTheme="minorHAnsi" w:hAnsiTheme="minorHAnsi"/>
          <w:color w:val="auto"/>
          <w:szCs w:val="24"/>
        </w:rPr>
        <w:t>narrative summary (</w:t>
      </w:r>
      <w:r w:rsidR="00A85F7D" w:rsidRPr="0056367D">
        <w:rPr>
          <w:rFonts w:asciiTheme="minorHAnsi" w:hAnsiTheme="minorHAnsi"/>
          <w:color w:val="auto"/>
          <w:szCs w:val="24"/>
        </w:rPr>
        <w:t>NARSUM</w:t>
      </w:r>
      <w:r w:rsidR="00E4600F">
        <w:rPr>
          <w:rFonts w:asciiTheme="minorHAnsi" w:hAnsiTheme="minorHAnsi"/>
          <w:color w:val="auto"/>
          <w:szCs w:val="24"/>
        </w:rPr>
        <w:t>)</w:t>
      </w:r>
      <w:r w:rsidR="00A85F7D" w:rsidRPr="0056367D">
        <w:rPr>
          <w:rFonts w:asciiTheme="minorHAnsi" w:hAnsiTheme="minorHAnsi"/>
          <w:color w:val="auto"/>
          <w:szCs w:val="24"/>
        </w:rPr>
        <w:t xml:space="preserve"> examiner reported </w:t>
      </w:r>
      <w:r w:rsidR="009643FF" w:rsidRPr="0056367D">
        <w:rPr>
          <w:rFonts w:asciiTheme="minorHAnsi" w:hAnsiTheme="minorHAnsi"/>
          <w:color w:val="auto"/>
          <w:szCs w:val="24"/>
        </w:rPr>
        <w:t xml:space="preserve">constant </w:t>
      </w:r>
      <w:r w:rsidR="00E4600F">
        <w:rPr>
          <w:rFonts w:asciiTheme="minorHAnsi" w:hAnsiTheme="minorHAnsi"/>
          <w:color w:val="auto"/>
          <w:szCs w:val="24"/>
        </w:rPr>
        <w:t>5/10</w:t>
      </w:r>
      <w:r w:rsidR="009643FF" w:rsidRPr="0056367D">
        <w:rPr>
          <w:rFonts w:asciiTheme="minorHAnsi" w:hAnsiTheme="minorHAnsi"/>
          <w:color w:val="auto"/>
          <w:szCs w:val="24"/>
        </w:rPr>
        <w:t xml:space="preserve"> mild pain that</w:t>
      </w:r>
      <w:r w:rsidR="00A85F7D" w:rsidRPr="0056367D">
        <w:rPr>
          <w:rFonts w:asciiTheme="minorHAnsi" w:hAnsiTheme="minorHAnsi"/>
          <w:color w:val="auto"/>
          <w:szCs w:val="24"/>
        </w:rPr>
        <w:t xml:space="preserve"> worsened </w:t>
      </w:r>
      <w:r w:rsidR="009643FF" w:rsidRPr="0056367D">
        <w:rPr>
          <w:rFonts w:asciiTheme="minorHAnsi" w:hAnsiTheme="minorHAnsi"/>
          <w:color w:val="auto"/>
          <w:szCs w:val="24"/>
        </w:rPr>
        <w:t xml:space="preserve">to 7 </w:t>
      </w:r>
      <w:r w:rsidR="00E4600F">
        <w:rPr>
          <w:rFonts w:asciiTheme="minorHAnsi" w:hAnsiTheme="minorHAnsi"/>
          <w:color w:val="auto"/>
          <w:szCs w:val="24"/>
        </w:rPr>
        <w:t>/1</w:t>
      </w:r>
      <w:r w:rsidR="009643FF" w:rsidRPr="0056367D">
        <w:rPr>
          <w:rFonts w:asciiTheme="minorHAnsi" w:hAnsiTheme="minorHAnsi"/>
          <w:color w:val="auto"/>
          <w:szCs w:val="24"/>
        </w:rPr>
        <w:t xml:space="preserve">0 </w:t>
      </w:r>
      <w:r w:rsidR="00A85F7D" w:rsidRPr="0056367D">
        <w:rPr>
          <w:rFonts w:asciiTheme="minorHAnsi" w:hAnsiTheme="minorHAnsi"/>
          <w:color w:val="auto"/>
          <w:szCs w:val="24"/>
        </w:rPr>
        <w:t>with activity</w:t>
      </w:r>
      <w:r w:rsidR="00405616">
        <w:rPr>
          <w:rFonts w:asciiTheme="minorHAnsi" w:hAnsiTheme="minorHAnsi"/>
          <w:color w:val="auto"/>
          <w:szCs w:val="24"/>
        </w:rPr>
        <w:t xml:space="preserve"> and was not associated with swelling and had</w:t>
      </w:r>
      <w:r w:rsidR="009643FF" w:rsidRPr="0056367D">
        <w:rPr>
          <w:rFonts w:asciiTheme="minorHAnsi" w:hAnsiTheme="minorHAnsi"/>
          <w:color w:val="auto"/>
          <w:szCs w:val="24"/>
        </w:rPr>
        <w:t xml:space="preserve"> not improved with time</w:t>
      </w:r>
      <w:r w:rsidR="00A85F7D" w:rsidRPr="0056367D">
        <w:rPr>
          <w:rFonts w:asciiTheme="minorHAnsi" w:hAnsiTheme="minorHAnsi"/>
          <w:color w:val="auto"/>
          <w:szCs w:val="24"/>
        </w:rPr>
        <w:t xml:space="preserve">.  </w:t>
      </w:r>
      <w:r w:rsidR="0056367D">
        <w:rPr>
          <w:rFonts w:asciiTheme="minorHAnsi" w:hAnsiTheme="minorHAnsi"/>
          <w:color w:val="auto"/>
          <w:szCs w:val="24"/>
        </w:rPr>
        <w:t xml:space="preserve">The </w:t>
      </w:r>
      <w:r w:rsidR="0056367D" w:rsidRPr="0056367D">
        <w:rPr>
          <w:rFonts w:asciiTheme="minorHAnsi" w:hAnsiTheme="minorHAnsi"/>
          <w:color w:val="auto"/>
          <w:szCs w:val="24"/>
        </w:rPr>
        <w:t>NARSUM</w:t>
      </w:r>
      <w:r w:rsidR="0056367D">
        <w:rPr>
          <w:rFonts w:asciiTheme="minorHAnsi" w:hAnsiTheme="minorHAnsi"/>
          <w:color w:val="auto"/>
          <w:szCs w:val="24"/>
        </w:rPr>
        <w:t xml:space="preserve"> p</w:t>
      </w:r>
      <w:r w:rsidR="00A85F7D" w:rsidRPr="0056367D">
        <w:rPr>
          <w:rFonts w:asciiTheme="minorHAnsi" w:hAnsiTheme="minorHAnsi"/>
          <w:color w:val="auto"/>
          <w:szCs w:val="24"/>
        </w:rPr>
        <w:t>hysical exam</w:t>
      </w:r>
      <w:r w:rsidR="0056367D">
        <w:rPr>
          <w:rFonts w:asciiTheme="minorHAnsi" w:hAnsiTheme="minorHAnsi"/>
          <w:color w:val="auto"/>
          <w:szCs w:val="24"/>
        </w:rPr>
        <w:t xml:space="preserve"> </w:t>
      </w:r>
      <w:r w:rsidR="009643FF" w:rsidRPr="0056367D">
        <w:rPr>
          <w:rFonts w:asciiTheme="minorHAnsi" w:hAnsiTheme="minorHAnsi"/>
          <w:color w:val="auto"/>
          <w:szCs w:val="24"/>
        </w:rPr>
        <w:t>demonstrated no edema, effusion or ery</w:t>
      </w:r>
      <w:r w:rsidR="0056367D">
        <w:rPr>
          <w:rFonts w:asciiTheme="minorHAnsi" w:hAnsiTheme="minorHAnsi"/>
          <w:color w:val="auto"/>
          <w:szCs w:val="24"/>
        </w:rPr>
        <w:t>thema with 4/5 weakness noted with</w:t>
      </w:r>
      <w:r w:rsidR="009643FF" w:rsidRPr="0056367D">
        <w:rPr>
          <w:rFonts w:asciiTheme="minorHAnsi" w:hAnsiTheme="minorHAnsi"/>
          <w:color w:val="auto"/>
          <w:szCs w:val="24"/>
        </w:rPr>
        <w:t xml:space="preserve"> ankle eversion</w:t>
      </w:r>
      <w:r w:rsidR="0056367D">
        <w:rPr>
          <w:rFonts w:asciiTheme="minorHAnsi" w:hAnsiTheme="minorHAnsi"/>
          <w:color w:val="auto"/>
          <w:szCs w:val="24"/>
        </w:rPr>
        <w:t>, bilaterally</w:t>
      </w:r>
      <w:r w:rsidR="009643FF" w:rsidRPr="0056367D">
        <w:rPr>
          <w:rFonts w:asciiTheme="minorHAnsi" w:hAnsiTheme="minorHAnsi"/>
          <w:color w:val="auto"/>
          <w:szCs w:val="24"/>
        </w:rPr>
        <w:t>.  There was limitation of ankle dorsiflexion secondary to pain.</w:t>
      </w:r>
      <w:r w:rsidR="00A85F7D" w:rsidRPr="0056367D">
        <w:rPr>
          <w:rFonts w:asciiTheme="minorHAnsi" w:hAnsiTheme="minorHAnsi"/>
          <w:color w:val="auto"/>
          <w:szCs w:val="24"/>
        </w:rPr>
        <w:t xml:space="preserve">  Gait w</w:t>
      </w:r>
      <w:r w:rsidR="0056367D">
        <w:rPr>
          <w:rFonts w:asciiTheme="minorHAnsi" w:hAnsiTheme="minorHAnsi"/>
          <w:color w:val="auto"/>
          <w:szCs w:val="24"/>
        </w:rPr>
        <w:t>as not mentioned.</w:t>
      </w:r>
      <w:r w:rsidR="009643FF" w:rsidRPr="0056367D">
        <w:rPr>
          <w:rFonts w:asciiTheme="minorHAnsi" w:hAnsiTheme="minorHAnsi"/>
          <w:color w:val="auto"/>
          <w:szCs w:val="24"/>
        </w:rPr>
        <w:t xml:space="preserve">  B</w:t>
      </w:r>
      <w:r w:rsidR="00A85F7D" w:rsidRPr="0056367D">
        <w:rPr>
          <w:rFonts w:asciiTheme="minorHAnsi" w:hAnsiTheme="minorHAnsi"/>
          <w:color w:val="auto"/>
          <w:szCs w:val="24"/>
        </w:rPr>
        <w:t xml:space="preserve">ilateral weight bearing </w:t>
      </w:r>
      <w:r w:rsidR="0056367D">
        <w:rPr>
          <w:rFonts w:asciiTheme="minorHAnsi" w:hAnsiTheme="minorHAnsi"/>
          <w:color w:val="auto"/>
          <w:szCs w:val="24"/>
        </w:rPr>
        <w:t>radiographs</w:t>
      </w:r>
      <w:r w:rsidR="00A85F7D" w:rsidRPr="0056367D">
        <w:rPr>
          <w:rFonts w:asciiTheme="minorHAnsi" w:hAnsiTheme="minorHAnsi"/>
          <w:color w:val="auto"/>
          <w:szCs w:val="24"/>
        </w:rPr>
        <w:t xml:space="preserve"> were normal</w:t>
      </w:r>
      <w:r w:rsidR="009643FF" w:rsidRPr="0056367D">
        <w:rPr>
          <w:rFonts w:asciiTheme="minorHAnsi" w:hAnsiTheme="minorHAnsi"/>
          <w:color w:val="auto"/>
          <w:szCs w:val="24"/>
        </w:rPr>
        <w:t xml:space="preserve"> in 2005 and revealed bilateral pes planus in 2007 with a normal EMG.</w:t>
      </w:r>
      <w:r w:rsidR="00A85F7D" w:rsidRPr="0056367D">
        <w:rPr>
          <w:rFonts w:asciiTheme="minorHAnsi" w:hAnsiTheme="minorHAnsi"/>
          <w:color w:val="auto"/>
          <w:szCs w:val="24"/>
        </w:rPr>
        <w:t xml:space="preserve">  </w:t>
      </w:r>
      <w:r w:rsidR="009643FF" w:rsidRPr="0056367D">
        <w:rPr>
          <w:rFonts w:asciiTheme="minorHAnsi" w:hAnsiTheme="minorHAnsi"/>
          <w:color w:val="auto"/>
          <w:szCs w:val="24"/>
        </w:rPr>
        <w:t>The permanent profile limit</w:t>
      </w:r>
      <w:r w:rsidR="0056367D">
        <w:rPr>
          <w:rFonts w:asciiTheme="minorHAnsi" w:hAnsiTheme="minorHAnsi"/>
          <w:color w:val="auto"/>
          <w:szCs w:val="24"/>
        </w:rPr>
        <w:t xml:space="preserve">ations included no </w:t>
      </w:r>
      <w:r w:rsidR="009643FF" w:rsidRPr="0056367D">
        <w:rPr>
          <w:rFonts w:asciiTheme="minorHAnsi" w:hAnsiTheme="minorHAnsi"/>
          <w:color w:val="auto"/>
          <w:szCs w:val="24"/>
        </w:rPr>
        <w:t>running, marching</w:t>
      </w:r>
      <w:r w:rsidR="00F045C7">
        <w:rPr>
          <w:rFonts w:asciiTheme="minorHAnsi" w:hAnsiTheme="minorHAnsi"/>
          <w:color w:val="auto"/>
          <w:szCs w:val="24"/>
        </w:rPr>
        <w:t>,</w:t>
      </w:r>
      <w:r w:rsidR="009643FF" w:rsidRPr="0056367D">
        <w:rPr>
          <w:rFonts w:asciiTheme="minorHAnsi" w:hAnsiTheme="minorHAnsi"/>
          <w:color w:val="auto"/>
          <w:szCs w:val="24"/>
        </w:rPr>
        <w:t xml:space="preserve"> or jumping and to perform push-ups only for </w:t>
      </w:r>
      <w:r w:rsidR="00405616">
        <w:rPr>
          <w:rFonts w:asciiTheme="minorHAnsi" w:hAnsiTheme="minorHAnsi"/>
          <w:color w:val="auto"/>
          <w:szCs w:val="24"/>
        </w:rPr>
        <w:t>the</w:t>
      </w:r>
      <w:r w:rsidR="009643FF" w:rsidRPr="0056367D">
        <w:rPr>
          <w:rFonts w:asciiTheme="minorHAnsi" w:hAnsiTheme="minorHAnsi"/>
          <w:color w:val="auto"/>
          <w:szCs w:val="24"/>
        </w:rPr>
        <w:t xml:space="preserve"> APFT.  </w:t>
      </w:r>
      <w:r w:rsidR="0056367D">
        <w:rPr>
          <w:rFonts w:asciiTheme="minorHAnsi" w:hAnsiTheme="minorHAnsi"/>
          <w:color w:val="auto"/>
          <w:szCs w:val="24"/>
        </w:rPr>
        <w:t>The</w:t>
      </w:r>
      <w:r w:rsidR="009643FF" w:rsidRPr="0056367D">
        <w:rPr>
          <w:rFonts w:asciiTheme="minorHAnsi" w:hAnsiTheme="minorHAnsi"/>
          <w:color w:val="auto"/>
          <w:szCs w:val="24"/>
        </w:rPr>
        <w:t xml:space="preserve"> functional limitations included not being able to move a fighting lo</w:t>
      </w:r>
      <w:r w:rsidR="00E4600F">
        <w:rPr>
          <w:rFonts w:asciiTheme="minorHAnsi" w:hAnsiTheme="minorHAnsi"/>
          <w:color w:val="auto"/>
          <w:szCs w:val="24"/>
        </w:rPr>
        <w:t xml:space="preserve">ad, to do 3 to </w:t>
      </w:r>
      <w:r w:rsidR="009643FF" w:rsidRPr="0056367D">
        <w:rPr>
          <w:rFonts w:asciiTheme="minorHAnsi" w:hAnsiTheme="minorHAnsi"/>
          <w:color w:val="auto"/>
          <w:szCs w:val="24"/>
        </w:rPr>
        <w:t xml:space="preserve">5 second rushes, construct an individual fighting position and to wear soft shoes.  </w:t>
      </w:r>
      <w:r w:rsidR="0056367D">
        <w:rPr>
          <w:rFonts w:asciiTheme="minorHAnsi" w:hAnsiTheme="minorHAnsi"/>
          <w:color w:val="auto"/>
          <w:szCs w:val="24"/>
        </w:rPr>
        <w:t>The</w:t>
      </w:r>
      <w:r w:rsidR="009643FF" w:rsidRPr="0056367D">
        <w:rPr>
          <w:rFonts w:asciiTheme="minorHAnsi" w:hAnsiTheme="minorHAnsi"/>
          <w:color w:val="auto"/>
          <w:szCs w:val="24"/>
        </w:rPr>
        <w:t xml:space="preserve"> </w:t>
      </w:r>
      <w:r w:rsidR="00E4600F">
        <w:rPr>
          <w:rFonts w:asciiTheme="minorHAnsi" w:hAnsiTheme="minorHAnsi"/>
          <w:color w:val="auto"/>
          <w:szCs w:val="24"/>
        </w:rPr>
        <w:t>c</w:t>
      </w:r>
      <w:r w:rsidR="009643FF" w:rsidRPr="0056367D">
        <w:rPr>
          <w:rFonts w:asciiTheme="minorHAnsi" w:hAnsiTheme="minorHAnsi"/>
          <w:color w:val="auto"/>
          <w:szCs w:val="24"/>
        </w:rPr>
        <w:t>ommander’s statement</w:t>
      </w:r>
      <w:r w:rsidR="0056367D">
        <w:rPr>
          <w:rFonts w:asciiTheme="minorHAnsi" w:hAnsiTheme="minorHAnsi"/>
          <w:color w:val="auto"/>
          <w:szCs w:val="24"/>
        </w:rPr>
        <w:t xml:space="preserve"> corroborated these limitations and,</w:t>
      </w:r>
      <w:r w:rsidR="009643FF" w:rsidRPr="0056367D">
        <w:rPr>
          <w:rFonts w:asciiTheme="minorHAnsi" w:hAnsiTheme="minorHAnsi"/>
          <w:color w:val="auto"/>
          <w:szCs w:val="24"/>
        </w:rPr>
        <w:t xml:space="preserve"> in addition</w:t>
      </w:r>
      <w:r w:rsidR="0056367D">
        <w:rPr>
          <w:rFonts w:asciiTheme="minorHAnsi" w:hAnsiTheme="minorHAnsi"/>
          <w:color w:val="auto"/>
          <w:szCs w:val="24"/>
        </w:rPr>
        <w:t>,</w:t>
      </w:r>
      <w:r w:rsidR="009643FF" w:rsidRPr="0056367D">
        <w:rPr>
          <w:rFonts w:asciiTheme="minorHAnsi" w:hAnsiTheme="minorHAnsi"/>
          <w:color w:val="auto"/>
          <w:szCs w:val="24"/>
        </w:rPr>
        <w:t xml:space="preserve"> noted she was able to perform all necessary duties during a normal 8 hour duty day and was pulled from her place of duty for medical appointments</w:t>
      </w:r>
      <w:r w:rsidR="0056367D">
        <w:rPr>
          <w:rFonts w:asciiTheme="minorHAnsi" w:hAnsiTheme="minorHAnsi"/>
          <w:color w:val="auto"/>
          <w:szCs w:val="24"/>
        </w:rPr>
        <w:t xml:space="preserve"> twice a week</w:t>
      </w:r>
      <w:r w:rsidR="009643FF" w:rsidRPr="0056367D">
        <w:rPr>
          <w:rFonts w:asciiTheme="minorHAnsi" w:hAnsiTheme="minorHAnsi"/>
          <w:color w:val="auto"/>
          <w:szCs w:val="24"/>
        </w:rPr>
        <w:t>.</w:t>
      </w:r>
      <w:r w:rsidR="0056367D">
        <w:rPr>
          <w:rFonts w:asciiTheme="minorHAnsi" w:hAnsiTheme="minorHAnsi"/>
          <w:color w:val="auto"/>
          <w:szCs w:val="24"/>
        </w:rPr>
        <w:t xml:space="preserve">  </w:t>
      </w:r>
      <w:r w:rsidR="00A85F7D" w:rsidRPr="0056367D">
        <w:rPr>
          <w:rFonts w:asciiTheme="minorHAnsi" w:hAnsiTheme="minorHAnsi"/>
          <w:color w:val="auto"/>
          <w:szCs w:val="24"/>
        </w:rPr>
        <w:t xml:space="preserve">The VA Compensation and Pension (C&amp;P) </w:t>
      </w:r>
      <w:r w:rsidR="009643FF" w:rsidRPr="0056367D">
        <w:rPr>
          <w:rFonts w:asciiTheme="minorHAnsi" w:hAnsiTheme="minorHAnsi"/>
          <w:color w:val="auto"/>
          <w:szCs w:val="24"/>
        </w:rPr>
        <w:t>exam completed</w:t>
      </w:r>
      <w:r w:rsidR="00A85F7D" w:rsidRPr="0056367D">
        <w:rPr>
          <w:rFonts w:asciiTheme="minorHAnsi" w:hAnsiTheme="minorHAnsi"/>
          <w:color w:val="auto"/>
          <w:szCs w:val="24"/>
        </w:rPr>
        <w:t xml:space="preserve"> </w:t>
      </w:r>
      <w:r w:rsidR="00E4600F">
        <w:rPr>
          <w:rFonts w:asciiTheme="minorHAnsi" w:hAnsiTheme="minorHAnsi"/>
          <w:color w:val="auto"/>
          <w:szCs w:val="24"/>
        </w:rPr>
        <w:t>2</w:t>
      </w:r>
      <w:r w:rsidR="00A85F7D" w:rsidRPr="0056367D">
        <w:rPr>
          <w:rFonts w:asciiTheme="minorHAnsi" w:hAnsiTheme="minorHAnsi"/>
          <w:color w:val="auto"/>
          <w:szCs w:val="24"/>
        </w:rPr>
        <w:t xml:space="preserve"> month</w:t>
      </w:r>
      <w:r w:rsidR="009643FF" w:rsidRPr="0056367D">
        <w:rPr>
          <w:rFonts w:asciiTheme="minorHAnsi" w:hAnsiTheme="minorHAnsi"/>
          <w:color w:val="auto"/>
          <w:szCs w:val="24"/>
        </w:rPr>
        <w:t>s</w:t>
      </w:r>
      <w:r w:rsidR="00A85F7D" w:rsidRPr="0056367D">
        <w:rPr>
          <w:rFonts w:asciiTheme="minorHAnsi" w:hAnsiTheme="minorHAnsi"/>
          <w:color w:val="auto"/>
          <w:szCs w:val="24"/>
        </w:rPr>
        <w:t xml:space="preserve"> prior to separation </w:t>
      </w:r>
      <w:r w:rsidR="009643FF" w:rsidRPr="0056367D">
        <w:rPr>
          <w:rFonts w:asciiTheme="minorHAnsi" w:hAnsiTheme="minorHAnsi"/>
          <w:color w:val="auto"/>
          <w:szCs w:val="24"/>
        </w:rPr>
        <w:t>documented</w:t>
      </w:r>
      <w:r w:rsidR="00A85F7D" w:rsidRPr="0056367D">
        <w:rPr>
          <w:rFonts w:asciiTheme="minorHAnsi" w:hAnsiTheme="minorHAnsi"/>
          <w:color w:val="auto"/>
          <w:szCs w:val="24"/>
        </w:rPr>
        <w:t xml:space="preserve"> bilateral arch and heel pain </w:t>
      </w:r>
      <w:r w:rsidR="009643FF" w:rsidRPr="0056367D">
        <w:rPr>
          <w:rFonts w:asciiTheme="minorHAnsi" w:hAnsiTheme="minorHAnsi"/>
          <w:color w:val="auto"/>
          <w:szCs w:val="24"/>
        </w:rPr>
        <w:t xml:space="preserve">worse with </w:t>
      </w:r>
      <w:r w:rsidR="00A85F7D" w:rsidRPr="0056367D">
        <w:rPr>
          <w:rFonts w:asciiTheme="minorHAnsi" w:hAnsiTheme="minorHAnsi"/>
          <w:color w:val="auto"/>
          <w:szCs w:val="24"/>
        </w:rPr>
        <w:t>walking and standing and relieved by rest</w:t>
      </w:r>
      <w:r w:rsidR="0056367D" w:rsidRPr="0056367D">
        <w:rPr>
          <w:rFonts w:asciiTheme="minorHAnsi" w:hAnsiTheme="minorHAnsi"/>
          <w:color w:val="auto"/>
          <w:szCs w:val="24"/>
        </w:rPr>
        <w:t xml:space="preserve"> </w:t>
      </w:r>
      <w:r w:rsidR="000E506B">
        <w:rPr>
          <w:rFonts w:asciiTheme="minorHAnsi" w:hAnsiTheme="minorHAnsi"/>
          <w:color w:val="auto"/>
          <w:szCs w:val="24"/>
        </w:rPr>
        <w:t xml:space="preserve">with </w:t>
      </w:r>
      <w:r w:rsidR="0056367D" w:rsidRPr="0056367D">
        <w:rPr>
          <w:rFonts w:asciiTheme="minorHAnsi" w:hAnsiTheme="minorHAnsi"/>
          <w:color w:val="auto"/>
          <w:szCs w:val="24"/>
        </w:rPr>
        <w:t>the use of orthotic inserts</w:t>
      </w:r>
      <w:r w:rsidR="00A85F7D" w:rsidRPr="0056367D">
        <w:rPr>
          <w:rFonts w:asciiTheme="minorHAnsi" w:hAnsiTheme="minorHAnsi"/>
          <w:color w:val="auto"/>
          <w:szCs w:val="24"/>
        </w:rPr>
        <w:t xml:space="preserve">.  Examination revealed a normal gait with no use of assistive devices.  </w:t>
      </w:r>
      <w:r w:rsidR="0056367D" w:rsidRPr="0056367D">
        <w:rPr>
          <w:rFonts w:asciiTheme="minorHAnsi" w:hAnsiTheme="minorHAnsi"/>
          <w:color w:val="auto"/>
          <w:szCs w:val="24"/>
        </w:rPr>
        <w:t xml:space="preserve">Both the right and left foot demonstrated pes planus with no weight bearing over or medial to the great toes, no </w:t>
      </w:r>
      <w:r w:rsidR="00DD1E72" w:rsidRPr="0056367D">
        <w:rPr>
          <w:rFonts w:asciiTheme="minorHAnsi" w:hAnsiTheme="minorHAnsi"/>
          <w:color w:val="auto"/>
          <w:szCs w:val="24"/>
        </w:rPr>
        <w:t>m</w:t>
      </w:r>
      <w:r w:rsidR="000E506B">
        <w:rPr>
          <w:rFonts w:asciiTheme="minorHAnsi" w:hAnsiTheme="minorHAnsi"/>
          <w:color w:val="auto"/>
          <w:szCs w:val="24"/>
        </w:rPr>
        <w:t>al</w:t>
      </w:r>
      <w:r w:rsidR="00DD1E72" w:rsidRPr="0056367D">
        <w:rPr>
          <w:rFonts w:asciiTheme="minorHAnsi" w:hAnsiTheme="minorHAnsi"/>
          <w:color w:val="auto"/>
          <w:szCs w:val="24"/>
        </w:rPr>
        <w:t>alignment</w:t>
      </w:r>
      <w:r w:rsidR="0056367D" w:rsidRPr="0056367D">
        <w:rPr>
          <w:rFonts w:asciiTheme="minorHAnsi" w:hAnsiTheme="minorHAnsi"/>
          <w:color w:val="auto"/>
          <w:szCs w:val="24"/>
        </w:rPr>
        <w:t xml:space="preserve"> of the achilles tendon, forefoot or midfoot, and no pain at rest or with manipulation.</w:t>
      </w:r>
      <w:r w:rsidR="00A85F7D" w:rsidRPr="0056367D">
        <w:rPr>
          <w:rFonts w:asciiTheme="minorHAnsi" w:hAnsiTheme="minorHAnsi"/>
          <w:color w:val="auto"/>
          <w:szCs w:val="24"/>
        </w:rPr>
        <w:t xml:space="preserve">  </w:t>
      </w:r>
      <w:r w:rsidR="0056367D" w:rsidRPr="0056367D">
        <w:rPr>
          <w:rFonts w:asciiTheme="minorHAnsi" w:hAnsiTheme="minorHAnsi"/>
          <w:color w:val="auto"/>
          <w:szCs w:val="24"/>
        </w:rPr>
        <w:t>Weight bearing radiographs demonstrated bilateral pes planus otherwise unremarkable.</w:t>
      </w:r>
      <w:r w:rsidR="00A85F7D" w:rsidRPr="0056367D">
        <w:rPr>
          <w:rFonts w:asciiTheme="minorHAnsi" w:hAnsiTheme="minorHAnsi"/>
          <w:color w:val="auto"/>
          <w:szCs w:val="24"/>
        </w:rPr>
        <w:t xml:space="preserve">  </w:t>
      </w:r>
    </w:p>
    <w:p w:rsidR="00A85F7D" w:rsidRPr="00A85F7D" w:rsidRDefault="00A85F7D" w:rsidP="00A85F7D">
      <w:pPr>
        <w:tabs>
          <w:tab w:val="left" w:pos="288"/>
          <w:tab w:val="left" w:pos="4752"/>
        </w:tabs>
        <w:spacing w:line="240" w:lineRule="exact"/>
        <w:jc w:val="both"/>
        <w:rPr>
          <w:rFonts w:asciiTheme="minorHAnsi" w:hAnsiTheme="minorHAnsi"/>
          <w:i/>
          <w:color w:val="auto"/>
          <w:szCs w:val="24"/>
        </w:rPr>
      </w:pPr>
    </w:p>
    <w:p w:rsidR="00A85F7D" w:rsidRPr="0056367D" w:rsidRDefault="00A85F7D" w:rsidP="0056367D">
      <w:pPr>
        <w:tabs>
          <w:tab w:val="left" w:pos="288"/>
          <w:tab w:val="left" w:pos="4752"/>
        </w:tabs>
        <w:spacing w:line="240" w:lineRule="exact"/>
        <w:jc w:val="both"/>
        <w:rPr>
          <w:rFonts w:asciiTheme="minorHAnsi" w:hAnsiTheme="minorHAnsi"/>
          <w:color w:val="auto"/>
          <w:szCs w:val="24"/>
        </w:rPr>
      </w:pPr>
      <w:r w:rsidRPr="0056367D">
        <w:rPr>
          <w:rFonts w:asciiTheme="minorHAnsi" w:hAnsiTheme="minorHAnsi"/>
          <w:color w:val="auto"/>
          <w:szCs w:val="24"/>
        </w:rPr>
        <w:t>The PEB and VA chose different coding options for the condition, but this did not bear on rating.</w:t>
      </w:r>
    </w:p>
    <w:p w:rsidR="00A85F7D" w:rsidRPr="0056367D" w:rsidRDefault="00A85F7D" w:rsidP="0056367D">
      <w:pPr>
        <w:tabs>
          <w:tab w:val="left" w:pos="288"/>
          <w:tab w:val="left" w:pos="4752"/>
        </w:tabs>
        <w:spacing w:line="240" w:lineRule="exact"/>
        <w:jc w:val="both"/>
        <w:rPr>
          <w:rFonts w:asciiTheme="minorHAnsi" w:hAnsiTheme="minorHAnsi"/>
          <w:color w:val="auto"/>
          <w:szCs w:val="24"/>
        </w:rPr>
      </w:pPr>
      <w:r w:rsidRPr="0056367D">
        <w:rPr>
          <w:rFonts w:asciiTheme="minorHAnsi" w:hAnsiTheme="minorHAnsi"/>
          <w:color w:val="auto"/>
          <w:szCs w:val="24"/>
        </w:rPr>
        <w:t>The MEB and VA exam were very similar.  The PEB rated each foot separately under an analogous 5310 code</w:t>
      </w:r>
      <w:r w:rsidR="0056367D" w:rsidRPr="0056367D">
        <w:rPr>
          <w:rFonts w:asciiTheme="minorHAnsi" w:hAnsiTheme="minorHAnsi"/>
          <w:color w:val="auto"/>
          <w:szCs w:val="24"/>
        </w:rPr>
        <w:t xml:space="preserve"> with</w:t>
      </w:r>
      <w:r w:rsidRPr="0056367D">
        <w:rPr>
          <w:rFonts w:asciiTheme="minorHAnsi" w:hAnsiTheme="minorHAnsi"/>
          <w:color w:val="auto"/>
          <w:szCs w:val="24"/>
        </w:rPr>
        <w:t xml:space="preserve"> application of the US Army Physical Disability Agency (USAPDA) pain policy</w:t>
      </w:r>
      <w:r w:rsidR="0056367D" w:rsidRPr="0056367D">
        <w:rPr>
          <w:rFonts w:asciiTheme="minorHAnsi" w:hAnsiTheme="minorHAnsi"/>
          <w:color w:val="auto"/>
          <w:szCs w:val="24"/>
        </w:rPr>
        <w:t>.  The VA rated used the acquired flatfoot code 5276 analogous to the 5020 code (synovitis)</w:t>
      </w:r>
      <w:r w:rsidRPr="0056367D">
        <w:rPr>
          <w:rFonts w:asciiTheme="minorHAnsi" w:hAnsiTheme="minorHAnsi"/>
          <w:color w:val="auto"/>
          <w:szCs w:val="24"/>
        </w:rPr>
        <w:t xml:space="preserve"> </w:t>
      </w:r>
      <w:r w:rsidR="0056367D" w:rsidRPr="0056367D">
        <w:rPr>
          <w:rFonts w:asciiTheme="minorHAnsi" w:hAnsiTheme="minorHAnsi"/>
          <w:color w:val="auto"/>
          <w:szCs w:val="24"/>
        </w:rPr>
        <w:t xml:space="preserve">and rated the bilateral condition 30% based </w:t>
      </w:r>
      <w:r w:rsidR="00DD1E72" w:rsidRPr="0056367D">
        <w:rPr>
          <w:rFonts w:asciiTheme="minorHAnsi" w:hAnsiTheme="minorHAnsi"/>
          <w:color w:val="auto"/>
          <w:szCs w:val="24"/>
        </w:rPr>
        <w:t>solely</w:t>
      </w:r>
      <w:r w:rsidR="0056367D" w:rsidRPr="0056367D">
        <w:rPr>
          <w:rFonts w:asciiTheme="minorHAnsi" w:hAnsiTheme="minorHAnsi"/>
          <w:color w:val="auto"/>
          <w:szCs w:val="24"/>
        </w:rPr>
        <w:t xml:space="preserve"> on evidence of pronation.  The Board agreed the C&amp;P exam evidence did not reflect the 30% rating criteria for code 5276 (marked deformity, pain on manipulation, swelling on use nor characteristic callosities) and agreed some pronation is expected with pes planus.  The Board looked for higher </w:t>
      </w:r>
      <w:r w:rsidRPr="0056367D">
        <w:rPr>
          <w:rFonts w:asciiTheme="minorHAnsi" w:hAnsiTheme="minorHAnsi"/>
          <w:color w:val="auto"/>
          <w:szCs w:val="24"/>
        </w:rPr>
        <w:t xml:space="preserve">ratings </w:t>
      </w:r>
      <w:r w:rsidR="0056367D" w:rsidRPr="0056367D">
        <w:rPr>
          <w:rFonts w:asciiTheme="minorHAnsi" w:hAnsiTheme="minorHAnsi"/>
          <w:color w:val="auto"/>
          <w:szCs w:val="24"/>
        </w:rPr>
        <w:t xml:space="preserve">using </w:t>
      </w:r>
      <w:r w:rsidRPr="0056367D">
        <w:rPr>
          <w:rFonts w:asciiTheme="minorHAnsi" w:hAnsiTheme="minorHAnsi"/>
          <w:color w:val="auto"/>
          <w:szCs w:val="24"/>
        </w:rPr>
        <w:t>a</w:t>
      </w:r>
      <w:r w:rsidR="0056367D" w:rsidRPr="0056367D">
        <w:rPr>
          <w:rFonts w:asciiTheme="minorHAnsi" w:hAnsiTheme="minorHAnsi"/>
          <w:color w:val="auto"/>
          <w:szCs w:val="24"/>
        </w:rPr>
        <w:t xml:space="preserve">nalogous 5020 code (synovitis), </w:t>
      </w:r>
      <w:r w:rsidRPr="0056367D">
        <w:rPr>
          <w:rFonts w:asciiTheme="minorHAnsi" w:hAnsiTheme="minorHAnsi"/>
          <w:color w:val="auto"/>
          <w:szCs w:val="24"/>
        </w:rPr>
        <w:t xml:space="preserve">5278 code (claw foot) but there was insufficient evidence to justify a higher rating under these codes. </w:t>
      </w:r>
      <w:r w:rsidR="0056367D" w:rsidRPr="0056367D">
        <w:rPr>
          <w:rFonts w:asciiTheme="minorHAnsi" w:hAnsiTheme="minorHAnsi"/>
          <w:color w:val="auto"/>
          <w:szCs w:val="24"/>
        </w:rPr>
        <w:t xml:space="preserve"> </w:t>
      </w:r>
      <w:r w:rsidRPr="0056367D">
        <w:rPr>
          <w:rFonts w:asciiTheme="minorHAnsi" w:hAnsiTheme="minorHAnsi"/>
          <w:color w:val="auto"/>
          <w:szCs w:val="24"/>
        </w:rPr>
        <w:t>The Board m</w:t>
      </w:r>
      <w:r w:rsidR="0056367D" w:rsidRPr="0056367D">
        <w:rPr>
          <w:rFonts w:asciiTheme="minorHAnsi" w:hAnsiTheme="minorHAnsi"/>
          <w:color w:val="auto"/>
          <w:szCs w:val="24"/>
        </w:rPr>
        <w:t>embers agreed that the evidence</w:t>
      </w:r>
      <w:r w:rsidRPr="0056367D">
        <w:rPr>
          <w:rFonts w:asciiTheme="minorHAnsi" w:hAnsiTheme="minorHAnsi"/>
          <w:color w:val="auto"/>
          <w:szCs w:val="24"/>
        </w:rPr>
        <w:t xml:space="preserve"> most </w:t>
      </w:r>
      <w:r w:rsidRPr="0056367D">
        <w:rPr>
          <w:rFonts w:asciiTheme="minorHAnsi" w:hAnsiTheme="minorHAnsi"/>
          <w:color w:val="auto"/>
          <w:szCs w:val="24"/>
        </w:rPr>
        <w:lastRenderedPageBreak/>
        <w:t xml:space="preserve">closely approximated </w:t>
      </w:r>
      <w:r w:rsidR="0056367D" w:rsidRPr="0056367D">
        <w:rPr>
          <w:rFonts w:asciiTheme="minorHAnsi" w:hAnsiTheme="minorHAnsi"/>
          <w:color w:val="auto"/>
          <w:szCs w:val="24"/>
        </w:rPr>
        <w:t xml:space="preserve">moderate </w:t>
      </w:r>
      <w:r w:rsidRPr="0056367D">
        <w:rPr>
          <w:rFonts w:asciiTheme="minorHAnsi" w:hAnsiTheme="minorHAnsi"/>
          <w:color w:val="auto"/>
          <w:szCs w:val="24"/>
        </w:rPr>
        <w:t xml:space="preserve">impairment of </w:t>
      </w:r>
      <w:r w:rsidR="0056367D" w:rsidRPr="0056367D">
        <w:rPr>
          <w:rFonts w:asciiTheme="minorHAnsi" w:hAnsiTheme="minorHAnsi"/>
          <w:color w:val="auto"/>
          <w:szCs w:val="24"/>
        </w:rPr>
        <w:t>the left</w:t>
      </w:r>
      <w:r w:rsidRPr="0056367D">
        <w:rPr>
          <w:rFonts w:asciiTheme="minorHAnsi" w:hAnsiTheme="minorHAnsi"/>
          <w:color w:val="auto"/>
          <w:szCs w:val="24"/>
        </w:rPr>
        <w:t xml:space="preserve"> </w:t>
      </w:r>
      <w:r w:rsidR="0056367D" w:rsidRPr="0056367D">
        <w:rPr>
          <w:rFonts w:asciiTheme="minorHAnsi" w:hAnsiTheme="minorHAnsi"/>
          <w:color w:val="auto"/>
          <w:szCs w:val="24"/>
        </w:rPr>
        <w:t xml:space="preserve">and right foot </w:t>
      </w:r>
      <w:r w:rsidRPr="0056367D">
        <w:rPr>
          <w:rFonts w:asciiTheme="minorHAnsi" w:hAnsiTheme="minorHAnsi"/>
          <w:color w:val="auto"/>
          <w:szCs w:val="24"/>
        </w:rPr>
        <w:t>function</w:t>
      </w:r>
      <w:r w:rsidR="0056367D" w:rsidRPr="0056367D">
        <w:rPr>
          <w:rFonts w:asciiTheme="minorHAnsi" w:hAnsiTheme="minorHAnsi"/>
          <w:color w:val="auto"/>
          <w:szCs w:val="24"/>
        </w:rPr>
        <w:t>.  All evidence considered, there is not reasonable doubt in the CI’s favor supporting a change from the PEB’s rating decision for the bilateral plantar fasciitis condition.</w:t>
      </w:r>
    </w:p>
    <w:p w:rsidR="00664296" w:rsidRPr="00664296" w:rsidRDefault="00664296" w:rsidP="00664296">
      <w:pPr>
        <w:spacing w:line="240" w:lineRule="exact"/>
        <w:jc w:val="both"/>
        <w:rPr>
          <w:rFonts w:asciiTheme="minorHAnsi" w:eastAsia="HiddenHorzOCR" w:hAnsiTheme="minorHAnsi"/>
          <w:color w:val="auto"/>
          <w:szCs w:val="24"/>
        </w:rPr>
      </w:pPr>
    </w:p>
    <w:p w:rsidR="00156B4A" w:rsidRPr="00A94F79" w:rsidRDefault="001D6F77" w:rsidP="00A85F7D">
      <w:pPr>
        <w:spacing w:line="240" w:lineRule="exact"/>
        <w:jc w:val="both"/>
        <w:rPr>
          <w:rFonts w:asciiTheme="minorHAnsi" w:hAnsiTheme="minorHAnsi" w:cstheme="minorHAnsi"/>
          <w:color w:val="000000" w:themeColor="text1"/>
          <w:szCs w:val="24"/>
        </w:rPr>
      </w:pPr>
      <w:r w:rsidRPr="00A85F7D">
        <w:rPr>
          <w:rFonts w:asciiTheme="minorHAnsi" w:eastAsia="HiddenHorzOCR" w:hAnsiTheme="minorHAnsi" w:cstheme="minorHAnsi"/>
          <w:color w:val="000000" w:themeColor="text1"/>
          <w:szCs w:val="24"/>
          <w:u w:val="single"/>
        </w:rPr>
        <w:t>Other Contended Conditions</w:t>
      </w:r>
      <w:r w:rsidRPr="00A85F7D">
        <w:rPr>
          <w:rFonts w:asciiTheme="minorHAnsi" w:eastAsia="HiddenHorzOCR" w:hAnsiTheme="minorHAnsi" w:cstheme="minorHAnsi"/>
          <w:color w:val="000000" w:themeColor="text1"/>
          <w:szCs w:val="24"/>
        </w:rPr>
        <w:t xml:space="preserve">.  The CI’s application asserts that compensable ratings should be considered for back strain, headaches and </w:t>
      </w:r>
      <w:r w:rsidR="00DD1E72" w:rsidRPr="00A85F7D">
        <w:rPr>
          <w:rFonts w:asciiTheme="minorHAnsi" w:eastAsia="HiddenHorzOCR" w:hAnsiTheme="minorHAnsi" w:cstheme="minorHAnsi"/>
          <w:color w:val="000000" w:themeColor="text1"/>
          <w:szCs w:val="24"/>
        </w:rPr>
        <w:t>posttraumatic</w:t>
      </w:r>
      <w:r w:rsidRPr="00A85F7D">
        <w:rPr>
          <w:rFonts w:asciiTheme="minorHAnsi" w:eastAsia="HiddenHorzOCR" w:hAnsiTheme="minorHAnsi" w:cstheme="minorHAnsi"/>
          <w:color w:val="000000" w:themeColor="text1"/>
          <w:szCs w:val="24"/>
        </w:rPr>
        <w:t xml:space="preserve"> stress disorder</w:t>
      </w:r>
      <w:r w:rsidR="00A85F7D">
        <w:rPr>
          <w:rFonts w:asciiTheme="minorHAnsi" w:eastAsia="HiddenHorzOCR" w:hAnsiTheme="minorHAnsi" w:cstheme="minorHAnsi"/>
          <w:color w:val="000000" w:themeColor="text1"/>
          <w:szCs w:val="24"/>
        </w:rPr>
        <w:t xml:space="preserve"> (PTSD)</w:t>
      </w:r>
      <w:r w:rsidRPr="00A85F7D">
        <w:rPr>
          <w:rFonts w:asciiTheme="minorHAnsi" w:eastAsia="HiddenHorzOCR" w:hAnsiTheme="minorHAnsi" w:cstheme="minorHAnsi"/>
          <w:color w:val="000000" w:themeColor="text1"/>
          <w:szCs w:val="24"/>
        </w:rPr>
        <w:t>.  All</w:t>
      </w:r>
      <w:r w:rsidRPr="00A85F7D">
        <w:rPr>
          <w:rFonts w:asciiTheme="minorHAnsi" w:hAnsiTheme="minorHAnsi" w:cstheme="minorHAnsi"/>
          <w:color w:val="000000" w:themeColor="text1"/>
        </w:rPr>
        <w:t xml:space="preserve"> </w:t>
      </w:r>
      <w:r w:rsidRPr="00A85F7D">
        <w:rPr>
          <w:rFonts w:asciiTheme="minorHAnsi" w:hAnsiTheme="minorHAnsi" w:cstheme="minorHAnsi"/>
          <w:color w:val="000000" w:themeColor="text1"/>
          <w:szCs w:val="24"/>
        </w:rPr>
        <w:t xml:space="preserve">of these conditions were reviewed by the </w:t>
      </w:r>
      <w:r w:rsidR="00E4600F">
        <w:rPr>
          <w:rFonts w:asciiTheme="minorHAnsi" w:hAnsiTheme="minorHAnsi" w:cstheme="minorHAnsi"/>
          <w:color w:val="000000" w:themeColor="text1"/>
          <w:szCs w:val="24"/>
        </w:rPr>
        <w:t>a</w:t>
      </w:r>
      <w:r w:rsidRPr="00A85F7D">
        <w:rPr>
          <w:rFonts w:asciiTheme="minorHAnsi" w:hAnsiTheme="minorHAnsi" w:cstheme="minorHAnsi"/>
          <w:color w:val="000000" w:themeColor="text1"/>
          <w:szCs w:val="24"/>
        </w:rPr>
        <w:t xml:space="preserve">ction </w:t>
      </w:r>
      <w:r w:rsidR="00E4600F">
        <w:rPr>
          <w:rFonts w:asciiTheme="minorHAnsi" w:hAnsiTheme="minorHAnsi" w:cstheme="minorHAnsi"/>
          <w:color w:val="000000" w:themeColor="text1"/>
          <w:szCs w:val="24"/>
        </w:rPr>
        <w:t>o</w:t>
      </w:r>
      <w:r w:rsidRPr="00A85F7D">
        <w:rPr>
          <w:rFonts w:asciiTheme="minorHAnsi" w:hAnsiTheme="minorHAnsi" w:cstheme="minorHAnsi"/>
          <w:color w:val="000000" w:themeColor="text1"/>
          <w:szCs w:val="24"/>
        </w:rPr>
        <w:t>fficer and considered by the Board</w:t>
      </w:r>
      <w:r w:rsidR="0056367D">
        <w:rPr>
          <w:rFonts w:asciiTheme="minorHAnsi" w:hAnsiTheme="minorHAnsi" w:cstheme="minorHAnsi"/>
          <w:color w:val="000000" w:themeColor="text1"/>
          <w:szCs w:val="24"/>
        </w:rPr>
        <w:t>.</w:t>
      </w:r>
      <w:r w:rsidR="00A94F79">
        <w:rPr>
          <w:rFonts w:asciiTheme="minorHAnsi" w:hAnsiTheme="minorHAnsi" w:cstheme="minorHAnsi"/>
          <w:color w:val="000000" w:themeColor="text1"/>
          <w:szCs w:val="24"/>
        </w:rPr>
        <w:t xml:space="preserve"> </w:t>
      </w:r>
      <w:r w:rsidR="00A94F79" w:rsidRPr="00A94F79">
        <w:rPr>
          <w:rFonts w:asciiTheme="minorHAnsi" w:hAnsiTheme="minorHAnsi" w:cstheme="minorHAnsi"/>
          <w:color w:val="000000" w:themeColor="text1"/>
          <w:szCs w:val="24"/>
        </w:rPr>
        <w:t xml:space="preserve"> </w:t>
      </w:r>
      <w:r w:rsidR="00A94F79">
        <w:rPr>
          <w:rFonts w:asciiTheme="minorHAnsi" w:hAnsiTheme="minorHAnsi" w:cstheme="minorHAnsi"/>
          <w:color w:val="000000" w:themeColor="text1"/>
          <w:szCs w:val="24"/>
        </w:rPr>
        <w:t>With regard to the back strain and the headaches, t</w:t>
      </w:r>
      <w:r w:rsidR="00A94F79" w:rsidRPr="00A85F7D">
        <w:rPr>
          <w:rFonts w:asciiTheme="minorHAnsi" w:hAnsiTheme="minorHAnsi" w:cstheme="minorHAnsi"/>
          <w:color w:val="000000" w:themeColor="text1"/>
          <w:szCs w:val="24"/>
        </w:rPr>
        <w:t xml:space="preserve">here was no </w:t>
      </w:r>
      <w:r w:rsidR="00A94F79">
        <w:rPr>
          <w:rFonts w:asciiTheme="minorHAnsi" w:hAnsiTheme="minorHAnsi" w:cstheme="minorHAnsi"/>
          <w:color w:val="000000" w:themeColor="text1"/>
          <w:szCs w:val="24"/>
        </w:rPr>
        <w:t>evidence for concluding that either</w:t>
      </w:r>
      <w:r w:rsidR="00A94F79" w:rsidRPr="00A85F7D">
        <w:rPr>
          <w:rFonts w:asciiTheme="minorHAnsi" w:hAnsiTheme="minorHAnsi" w:cstheme="minorHAnsi"/>
          <w:color w:val="000000" w:themeColor="text1"/>
          <w:szCs w:val="24"/>
        </w:rPr>
        <w:t xml:space="preserve"> of the</w:t>
      </w:r>
      <w:r w:rsidR="00A94F79">
        <w:rPr>
          <w:rFonts w:asciiTheme="minorHAnsi" w:hAnsiTheme="minorHAnsi" w:cstheme="minorHAnsi"/>
          <w:color w:val="000000" w:themeColor="text1"/>
          <w:szCs w:val="24"/>
        </w:rPr>
        <w:t>se</w:t>
      </w:r>
      <w:r w:rsidR="00A94F79" w:rsidRPr="00A85F7D">
        <w:rPr>
          <w:rFonts w:asciiTheme="minorHAnsi" w:hAnsiTheme="minorHAnsi" w:cstheme="minorHAnsi"/>
          <w:color w:val="000000" w:themeColor="text1"/>
          <w:szCs w:val="24"/>
        </w:rPr>
        <w:t xml:space="preserve"> conditions interfered with duty performance to a degree that could be argued as unfitting.  The Board determined therefore that none of the stated conditions were subject to </w:t>
      </w:r>
      <w:r w:rsidR="00E4600F">
        <w:rPr>
          <w:rFonts w:asciiTheme="minorHAnsi" w:hAnsiTheme="minorHAnsi" w:cstheme="minorHAnsi"/>
          <w:color w:val="000000" w:themeColor="text1"/>
          <w:szCs w:val="24"/>
        </w:rPr>
        <w:t>s</w:t>
      </w:r>
      <w:r w:rsidR="00A94F79" w:rsidRPr="00A85F7D">
        <w:rPr>
          <w:rFonts w:asciiTheme="minorHAnsi" w:hAnsiTheme="minorHAnsi" w:cstheme="minorHAnsi"/>
          <w:color w:val="000000" w:themeColor="text1"/>
          <w:szCs w:val="24"/>
        </w:rPr>
        <w:t>ervice disability rating.</w:t>
      </w:r>
      <w:r w:rsidR="00A94F79">
        <w:rPr>
          <w:rFonts w:asciiTheme="minorHAnsi" w:hAnsiTheme="minorHAnsi" w:cstheme="minorHAnsi"/>
          <w:color w:val="000000" w:themeColor="text1"/>
          <w:szCs w:val="24"/>
        </w:rPr>
        <w:t xml:space="preserve">  </w:t>
      </w:r>
      <w:r w:rsidR="0056367D" w:rsidRPr="00CB1FD1">
        <w:rPr>
          <w:rFonts w:asciiTheme="minorHAnsi" w:hAnsiTheme="minorHAnsi" w:cstheme="minorHAnsi"/>
          <w:color w:val="auto"/>
          <w:szCs w:val="24"/>
        </w:rPr>
        <w:t xml:space="preserve">The Board acknowledges the presence of </w:t>
      </w:r>
      <w:r w:rsidR="0056367D">
        <w:rPr>
          <w:rFonts w:asciiTheme="minorHAnsi" w:hAnsiTheme="minorHAnsi" w:cstheme="minorHAnsi"/>
          <w:color w:val="auto"/>
          <w:szCs w:val="24"/>
        </w:rPr>
        <w:t xml:space="preserve">PTSD </w:t>
      </w:r>
      <w:r w:rsidR="0056367D" w:rsidRPr="00CB1FD1">
        <w:rPr>
          <w:rFonts w:asciiTheme="minorHAnsi" w:hAnsiTheme="minorHAnsi" w:cstheme="minorHAnsi"/>
          <w:color w:val="auto"/>
          <w:szCs w:val="24"/>
        </w:rPr>
        <w:t>as a currently rated condition by the VA,</w:t>
      </w:r>
      <w:r w:rsidR="00C815F7">
        <w:rPr>
          <w:rFonts w:asciiTheme="minorHAnsi" w:hAnsiTheme="minorHAnsi" w:cstheme="minorHAnsi"/>
          <w:color w:val="auto"/>
          <w:szCs w:val="24"/>
        </w:rPr>
        <w:t xml:space="preserve"> and also noted this condition was not on the original VA rating decision, in fact rated 29 months later.  The scope of the Board’s</w:t>
      </w:r>
      <w:r w:rsidR="0056367D" w:rsidRPr="00CB1FD1">
        <w:rPr>
          <w:rFonts w:asciiTheme="minorHAnsi" w:hAnsiTheme="minorHAnsi" w:cstheme="minorHAnsi"/>
          <w:color w:val="auto"/>
          <w:szCs w:val="24"/>
        </w:rPr>
        <w:t xml:space="preserve"> recommendations does not extend to conditions which were not diagnosed or in evidence at the time of medical separation.  This includes conditions which may have had early manifestations during active service, since such sub-clinical conditions cannot be correlated with a fitness determination requisite for a </w:t>
      </w:r>
      <w:r w:rsidR="00E4600F">
        <w:rPr>
          <w:rFonts w:asciiTheme="minorHAnsi" w:hAnsiTheme="minorHAnsi" w:cstheme="minorHAnsi"/>
          <w:color w:val="auto"/>
          <w:szCs w:val="24"/>
        </w:rPr>
        <w:t>s</w:t>
      </w:r>
      <w:r w:rsidR="0056367D" w:rsidRPr="00CB1FD1">
        <w:rPr>
          <w:rFonts w:asciiTheme="minorHAnsi" w:hAnsiTheme="minorHAnsi" w:cstheme="minorHAnsi"/>
          <w:color w:val="auto"/>
          <w:szCs w:val="24"/>
        </w:rPr>
        <w:t>ervice rating.</w:t>
      </w:r>
      <w:r w:rsidR="0056367D">
        <w:rPr>
          <w:rFonts w:asciiTheme="minorHAnsi" w:hAnsiTheme="minorHAnsi" w:cstheme="minorHAnsi"/>
          <w:color w:val="auto"/>
          <w:szCs w:val="24"/>
        </w:rPr>
        <w:t xml:space="preserve">  The condition, especially since it is contended was not properly addressed by the </w:t>
      </w:r>
      <w:r w:rsidR="00E4600F">
        <w:rPr>
          <w:rFonts w:asciiTheme="minorHAnsi" w:hAnsiTheme="minorHAnsi" w:cstheme="minorHAnsi"/>
          <w:color w:val="auto"/>
          <w:szCs w:val="24"/>
        </w:rPr>
        <w:t>s</w:t>
      </w:r>
      <w:r w:rsidR="0056367D">
        <w:rPr>
          <w:rFonts w:asciiTheme="minorHAnsi" w:hAnsiTheme="minorHAnsi" w:cstheme="minorHAnsi"/>
          <w:color w:val="auto"/>
          <w:szCs w:val="24"/>
        </w:rPr>
        <w:t xml:space="preserve">ervice, remains eligible for appeal to the </w:t>
      </w:r>
      <w:r w:rsidR="00E4600F">
        <w:rPr>
          <w:rFonts w:asciiTheme="minorHAnsi" w:hAnsiTheme="minorHAnsi" w:cstheme="minorHAnsi"/>
          <w:color w:val="auto"/>
          <w:szCs w:val="24"/>
        </w:rPr>
        <w:t>Army Board of Military Corrections (</w:t>
      </w:r>
      <w:r w:rsidR="0056367D">
        <w:rPr>
          <w:rFonts w:asciiTheme="minorHAnsi" w:hAnsiTheme="minorHAnsi" w:cstheme="minorHAnsi"/>
          <w:color w:val="auto"/>
          <w:szCs w:val="24"/>
        </w:rPr>
        <w:t>ABMCR</w:t>
      </w:r>
      <w:r w:rsidR="00E4600F">
        <w:rPr>
          <w:rFonts w:asciiTheme="minorHAnsi" w:hAnsiTheme="minorHAnsi" w:cstheme="minorHAnsi"/>
          <w:color w:val="auto"/>
          <w:szCs w:val="24"/>
        </w:rPr>
        <w:t>)</w:t>
      </w:r>
      <w:r w:rsidR="0056367D">
        <w:rPr>
          <w:rFonts w:asciiTheme="minorHAnsi" w:hAnsiTheme="minorHAnsi" w:cstheme="minorHAnsi"/>
          <w:color w:val="auto"/>
          <w:szCs w:val="24"/>
        </w:rPr>
        <w:t xml:space="preserve">.  </w:t>
      </w:r>
    </w:p>
    <w:p w:rsidR="008623E4" w:rsidRPr="00664296" w:rsidRDefault="008623E4" w:rsidP="00664296">
      <w:pPr>
        <w:spacing w:line="240" w:lineRule="exact"/>
        <w:rPr>
          <w:rFonts w:asciiTheme="minorHAnsi" w:hAnsiTheme="minorHAnsi"/>
          <w:color w:val="auto"/>
          <w:szCs w:val="24"/>
          <w:u w:val="single"/>
        </w:rPr>
      </w:pPr>
    </w:p>
    <w:p w:rsidR="00F1737C" w:rsidRPr="00391858" w:rsidRDefault="001B5F3E" w:rsidP="00A94F79">
      <w:pPr>
        <w:spacing w:line="240" w:lineRule="exact"/>
        <w:jc w:val="both"/>
        <w:rPr>
          <w:rFonts w:asciiTheme="minorHAnsi" w:hAnsiTheme="minorHAnsi"/>
          <w:b/>
          <w:color w:val="auto"/>
          <w:u w:val="single"/>
        </w:rPr>
      </w:pPr>
      <w:r w:rsidRPr="00A85F7D">
        <w:rPr>
          <w:rFonts w:asciiTheme="minorHAnsi" w:hAnsiTheme="minorHAnsi" w:cstheme="minorHAnsi"/>
          <w:color w:val="000000" w:themeColor="text1"/>
          <w:szCs w:val="24"/>
          <w:u w:val="single"/>
        </w:rPr>
        <w:t>Remaining Conditions</w:t>
      </w:r>
      <w:r w:rsidRPr="00A85F7D">
        <w:rPr>
          <w:rFonts w:asciiTheme="minorHAnsi" w:hAnsiTheme="minorHAnsi" w:cstheme="minorHAnsi"/>
          <w:color w:val="000000" w:themeColor="text1"/>
          <w:szCs w:val="24"/>
        </w:rPr>
        <w:t>.  Other conditions identified in the DES file were right salpingectomy</w:t>
      </w:r>
      <w:r w:rsidR="00DD1E72" w:rsidRPr="00A85F7D">
        <w:rPr>
          <w:rFonts w:asciiTheme="minorHAnsi" w:hAnsiTheme="minorHAnsi" w:cstheme="minorHAnsi"/>
          <w:color w:val="000000" w:themeColor="text1"/>
          <w:szCs w:val="24"/>
        </w:rPr>
        <w:t>, and</w:t>
      </w:r>
      <w:r w:rsidR="00A94F79">
        <w:rPr>
          <w:rFonts w:asciiTheme="minorHAnsi" w:hAnsiTheme="minorHAnsi" w:cstheme="minorHAnsi"/>
          <w:color w:val="000000" w:themeColor="text1"/>
          <w:szCs w:val="24"/>
        </w:rPr>
        <w:t xml:space="preserve"> bilateral knee pain</w:t>
      </w:r>
      <w:r w:rsidRPr="00A85F7D">
        <w:rPr>
          <w:rFonts w:asciiTheme="minorHAnsi" w:hAnsiTheme="minorHAnsi" w:cstheme="minorHAnsi"/>
          <w:color w:val="000000" w:themeColor="text1"/>
          <w:szCs w:val="24"/>
        </w:rPr>
        <w:t xml:space="preserve">.  Several additional non-acute conditions or medical complaints were also documented.  None of these conditions were </w:t>
      </w:r>
      <w:r w:rsidRPr="00A85F7D">
        <w:rPr>
          <w:rFonts w:asciiTheme="minorHAnsi" w:hAnsiTheme="minorHAnsi" w:cstheme="minorHAnsi"/>
          <w:color w:val="auto"/>
          <w:szCs w:val="24"/>
        </w:rPr>
        <w:t xml:space="preserve">significantly clinically or occupationally active </w:t>
      </w:r>
      <w:r w:rsidRPr="00A85F7D">
        <w:rPr>
          <w:rFonts w:asciiTheme="minorHAnsi" w:hAnsiTheme="minorHAnsi" w:cstheme="minorHAnsi"/>
          <w:color w:val="000000" w:themeColor="text1"/>
          <w:szCs w:val="24"/>
        </w:rPr>
        <w:t>during the MEB period, none carried attached profiles, and none were implicated in the commander’s statement.  These c</w:t>
      </w:r>
      <w:r w:rsidR="00A94F79">
        <w:rPr>
          <w:rFonts w:asciiTheme="minorHAnsi" w:hAnsiTheme="minorHAnsi" w:cstheme="minorHAnsi"/>
          <w:color w:val="000000" w:themeColor="text1"/>
          <w:szCs w:val="24"/>
        </w:rPr>
        <w:t>onditions were reviewe</w:t>
      </w:r>
      <w:r w:rsidR="00A94F79" w:rsidRPr="00A94F79">
        <w:rPr>
          <w:rFonts w:asciiTheme="minorHAnsi" w:hAnsiTheme="minorHAnsi" w:cstheme="minorHAnsi"/>
          <w:color w:val="000000" w:themeColor="text1"/>
          <w:szCs w:val="24"/>
        </w:rPr>
        <w:t xml:space="preserve">d by the </w:t>
      </w:r>
      <w:r w:rsidR="00E4600F">
        <w:rPr>
          <w:rFonts w:asciiTheme="minorHAnsi" w:hAnsiTheme="minorHAnsi" w:cstheme="minorHAnsi"/>
          <w:color w:val="000000" w:themeColor="text1"/>
          <w:szCs w:val="24"/>
        </w:rPr>
        <w:t>a</w:t>
      </w:r>
      <w:r w:rsidR="00A94F79" w:rsidRPr="00A94F79">
        <w:rPr>
          <w:rFonts w:asciiTheme="minorHAnsi" w:hAnsiTheme="minorHAnsi" w:cstheme="minorHAnsi"/>
          <w:color w:val="000000" w:themeColor="text1"/>
          <w:szCs w:val="24"/>
        </w:rPr>
        <w:t xml:space="preserve">ction </w:t>
      </w:r>
      <w:r w:rsidR="00E4600F">
        <w:rPr>
          <w:rFonts w:asciiTheme="minorHAnsi" w:hAnsiTheme="minorHAnsi" w:cstheme="minorHAnsi"/>
          <w:color w:val="000000" w:themeColor="text1"/>
          <w:szCs w:val="24"/>
        </w:rPr>
        <w:t>o</w:t>
      </w:r>
      <w:r w:rsidRPr="00A94F79">
        <w:rPr>
          <w:rFonts w:asciiTheme="minorHAnsi" w:hAnsiTheme="minorHAnsi" w:cstheme="minorHAnsi"/>
          <w:color w:val="000000" w:themeColor="text1"/>
          <w:szCs w:val="24"/>
        </w:rPr>
        <w:t xml:space="preserve">fficer and considered by the Board.  It was determined that none could be argued as unfitting and subject to separation rating.  </w:t>
      </w:r>
      <w:r w:rsidR="00A94F79" w:rsidRPr="00A94F79">
        <w:rPr>
          <w:rFonts w:asciiTheme="minorHAnsi" w:hAnsiTheme="minorHAnsi"/>
          <w:color w:val="auto"/>
          <w:szCs w:val="24"/>
        </w:rPr>
        <w:t>Additionally</w:t>
      </w:r>
      <w:r w:rsidR="00405616">
        <w:rPr>
          <w:rFonts w:asciiTheme="minorHAnsi" w:hAnsiTheme="minorHAnsi"/>
          <w:color w:val="auto"/>
          <w:szCs w:val="24"/>
        </w:rPr>
        <w:t xml:space="preserve">, </w:t>
      </w:r>
      <w:r w:rsidR="00A94F79" w:rsidRPr="00A94F79">
        <w:rPr>
          <w:rFonts w:asciiTheme="minorHAnsi" w:hAnsiTheme="minorHAnsi" w:cstheme="minorHAnsi"/>
          <w:color w:val="000000" w:themeColor="text1"/>
          <w:szCs w:val="24"/>
        </w:rPr>
        <w:t xml:space="preserve">dysplastic nevus </w:t>
      </w:r>
      <w:r w:rsidR="00A94F79" w:rsidRPr="00A94F79">
        <w:rPr>
          <w:rFonts w:asciiTheme="minorHAnsi" w:hAnsiTheme="minorHAnsi"/>
          <w:color w:val="auto"/>
          <w:szCs w:val="24"/>
        </w:rPr>
        <w:t>and several other non-acute conditions</w:t>
      </w:r>
      <w:r w:rsidR="00A94F79" w:rsidRPr="008623E4">
        <w:rPr>
          <w:rFonts w:asciiTheme="minorHAnsi" w:hAnsiTheme="minorHAnsi"/>
          <w:color w:val="auto"/>
          <w:szCs w:val="24"/>
        </w:rPr>
        <w:t xml:space="preserve"> were noted in the VA proximal to separation, but were not documented in the DES file.</w:t>
      </w:r>
      <w:r w:rsidR="00A94F79" w:rsidRPr="00A85F7D">
        <w:rPr>
          <w:rFonts w:asciiTheme="minorHAnsi" w:hAnsiTheme="minorHAnsi" w:cstheme="minorHAnsi"/>
          <w:color w:val="000000" w:themeColor="text1"/>
          <w:szCs w:val="24"/>
        </w:rPr>
        <w:t xml:space="preserve"> </w:t>
      </w:r>
      <w:r w:rsidR="00405616">
        <w:rPr>
          <w:rFonts w:asciiTheme="minorHAnsi" w:hAnsiTheme="minorHAnsi" w:cstheme="minorHAnsi"/>
          <w:color w:val="000000" w:themeColor="text1"/>
          <w:szCs w:val="24"/>
        </w:rPr>
        <w:t xml:space="preserve"> </w:t>
      </w:r>
      <w:r w:rsidR="00A94F79" w:rsidRPr="008623E4">
        <w:rPr>
          <w:rFonts w:asciiTheme="minorHAnsi" w:hAnsiTheme="minorHAnsi"/>
          <w:color w:val="auto"/>
          <w:szCs w:val="24"/>
        </w:rPr>
        <w:t xml:space="preserve">The Board does not have the authority under DoDI 6040.44 to render fitness or rating recommendations for any conditions not considered by the DES. </w:t>
      </w:r>
      <w:r w:rsidR="00A94F79">
        <w:rPr>
          <w:rFonts w:asciiTheme="minorHAnsi" w:hAnsiTheme="minorHAnsi"/>
          <w:color w:val="auto"/>
          <w:szCs w:val="24"/>
        </w:rPr>
        <w:t xml:space="preserve"> </w:t>
      </w:r>
      <w:r w:rsidR="00A94F79" w:rsidRPr="008623E4">
        <w:rPr>
          <w:rFonts w:asciiTheme="minorHAnsi" w:hAnsiTheme="minorHAnsi"/>
          <w:color w:val="auto"/>
          <w:szCs w:val="24"/>
        </w:rPr>
        <w:t>The Board, therefore, has no reasonable basis for recommending any additional unfitting conditions for separation rating.</w:t>
      </w:r>
    </w:p>
    <w:p w:rsidR="00F1737C" w:rsidRDefault="00F1737C" w:rsidP="00F1737C">
      <w:pPr>
        <w:spacing w:line="240" w:lineRule="exact"/>
        <w:rPr>
          <w:rFonts w:asciiTheme="minorHAnsi" w:hAnsiTheme="minorHAnsi"/>
          <w:b/>
          <w:color w:val="auto"/>
          <w:szCs w:val="24"/>
          <w:u w:val="single"/>
        </w:rPr>
      </w:pPr>
    </w:p>
    <w:p w:rsidR="00C56FC8" w:rsidRDefault="00C56FC8" w:rsidP="00510F9C">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w:t>
      </w:r>
      <w:r w:rsidRPr="00A85F7D">
        <w:rPr>
          <w:rFonts w:asciiTheme="minorHAnsi" w:eastAsiaTheme="minorHAnsi" w:hAnsiTheme="minorHAnsi"/>
          <w:color w:val="auto"/>
          <w:szCs w:val="24"/>
        </w:rPr>
        <w:t>inconsistent with the VASRD in effect at the time of the adjudication.</w:t>
      </w:r>
      <w:r w:rsidR="00A85F7D" w:rsidRPr="00A85F7D">
        <w:rPr>
          <w:rFonts w:asciiTheme="minorHAnsi" w:eastAsiaTheme="minorHAnsi" w:hAnsiTheme="minorHAnsi"/>
          <w:color w:val="auto"/>
          <w:szCs w:val="24"/>
        </w:rPr>
        <w:t xml:space="preserve"> </w:t>
      </w:r>
      <w:r w:rsidR="00405616">
        <w:rPr>
          <w:rFonts w:asciiTheme="minorHAnsi" w:eastAsiaTheme="minorHAnsi" w:hAnsiTheme="minorHAnsi"/>
          <w:color w:val="auto"/>
          <w:szCs w:val="24"/>
        </w:rPr>
        <w:t xml:space="preserve"> </w:t>
      </w:r>
      <w:r w:rsidR="00A85F7D" w:rsidRPr="00A85F7D">
        <w:rPr>
          <w:rFonts w:asciiTheme="minorHAnsi" w:hAnsiTheme="minorHAnsi"/>
          <w:color w:val="auto"/>
          <w:szCs w:val="24"/>
        </w:rPr>
        <w:t xml:space="preserve">As discussed above, </w:t>
      </w:r>
      <w:r w:rsidR="00405616">
        <w:rPr>
          <w:rFonts w:asciiTheme="minorHAnsi" w:hAnsiTheme="minorHAnsi"/>
          <w:color w:val="auto"/>
          <w:szCs w:val="24"/>
        </w:rPr>
        <w:t xml:space="preserve">the </w:t>
      </w:r>
      <w:r w:rsidR="00A85F7D" w:rsidRPr="00A85F7D">
        <w:rPr>
          <w:rFonts w:asciiTheme="minorHAnsi" w:hAnsiTheme="minorHAnsi"/>
          <w:color w:val="auto"/>
          <w:szCs w:val="24"/>
        </w:rPr>
        <w:t xml:space="preserve">PEB reliance on the USAPDA pain policy for rating plantar fasciitis was operant in this case and the condition was adjudicated independently of that policy by the Board.  </w:t>
      </w:r>
      <w:r w:rsidR="00A85F7D" w:rsidRPr="00A85F7D">
        <w:rPr>
          <w:rFonts w:asciiTheme="minorHAnsi" w:eastAsiaTheme="minorHAnsi" w:hAnsiTheme="minorHAnsi"/>
          <w:color w:val="auto"/>
          <w:szCs w:val="24"/>
        </w:rPr>
        <w:t xml:space="preserve">In the matter of </w:t>
      </w:r>
      <w:r w:rsidR="00A94F79">
        <w:rPr>
          <w:rFonts w:asciiTheme="minorHAnsi" w:eastAsiaTheme="minorHAnsi" w:hAnsiTheme="minorHAnsi"/>
          <w:color w:val="auto"/>
          <w:szCs w:val="24"/>
        </w:rPr>
        <w:t xml:space="preserve">bilateral </w:t>
      </w:r>
      <w:r w:rsidR="00C815F7">
        <w:rPr>
          <w:rFonts w:asciiTheme="minorHAnsi" w:eastAsiaTheme="minorHAnsi" w:hAnsiTheme="minorHAnsi"/>
          <w:color w:val="auto"/>
          <w:szCs w:val="24"/>
        </w:rPr>
        <w:t>foot</w:t>
      </w:r>
      <w:r w:rsidR="00A85F7D" w:rsidRPr="00A85F7D">
        <w:rPr>
          <w:rFonts w:asciiTheme="minorHAnsi" w:eastAsiaTheme="minorHAnsi" w:hAnsiTheme="minorHAnsi"/>
          <w:color w:val="auto"/>
          <w:szCs w:val="24"/>
        </w:rPr>
        <w:t xml:space="preserve"> condition</w:t>
      </w:r>
      <w:r w:rsidR="00A94F79">
        <w:rPr>
          <w:rFonts w:asciiTheme="minorHAnsi" w:eastAsiaTheme="minorHAnsi" w:hAnsiTheme="minorHAnsi"/>
          <w:color w:val="auto"/>
          <w:szCs w:val="24"/>
        </w:rPr>
        <w:t xml:space="preserve"> and IAW </w:t>
      </w:r>
      <w:r w:rsidR="00A94F79" w:rsidRPr="00CE483F">
        <w:rPr>
          <w:rFonts w:asciiTheme="minorHAnsi" w:hAnsiTheme="minorHAnsi"/>
          <w:color w:val="auto"/>
          <w:szCs w:val="24"/>
        </w:rPr>
        <w:t>VASRD §4.73</w:t>
      </w:r>
      <w:r w:rsidR="00A94F79" w:rsidRPr="00CE483F">
        <w:rPr>
          <w:rFonts w:asciiTheme="minorHAnsi" w:eastAsiaTheme="minorHAnsi" w:hAnsiTheme="minorHAnsi"/>
          <w:color w:val="auto"/>
          <w:szCs w:val="24"/>
        </w:rPr>
        <w:t xml:space="preserve"> the </w:t>
      </w:r>
      <w:r w:rsidR="00A94F79" w:rsidRPr="00C815F7">
        <w:rPr>
          <w:rFonts w:asciiTheme="minorHAnsi" w:eastAsiaTheme="minorHAnsi" w:hAnsiTheme="minorHAnsi"/>
          <w:color w:val="auto"/>
          <w:szCs w:val="24"/>
        </w:rPr>
        <w:t>Board unanimously</w:t>
      </w:r>
      <w:r w:rsidR="00A94F79" w:rsidRPr="00CE483F">
        <w:rPr>
          <w:rFonts w:asciiTheme="minorHAnsi" w:eastAsiaTheme="minorHAnsi" w:hAnsiTheme="minorHAnsi"/>
          <w:color w:val="auto"/>
          <w:szCs w:val="24"/>
        </w:rPr>
        <w:t xml:space="preserve"> recommends no change in the PEB adjudication a</w:t>
      </w:r>
      <w:r w:rsidR="00A94F79" w:rsidRPr="00C815F7">
        <w:rPr>
          <w:rFonts w:asciiTheme="minorHAnsi" w:eastAsiaTheme="minorHAnsi" w:hAnsiTheme="minorHAnsi"/>
          <w:color w:val="auto"/>
          <w:szCs w:val="24"/>
        </w:rPr>
        <w:t xml:space="preserve">t separation or permanently. </w:t>
      </w:r>
      <w:r w:rsidR="00A94F79" w:rsidRPr="00C815F7">
        <w:rPr>
          <w:rFonts w:asciiTheme="minorHAnsi" w:hAnsiTheme="minorHAnsi"/>
          <w:color w:val="auto"/>
          <w:szCs w:val="24"/>
        </w:rPr>
        <w:t xml:space="preserve"> </w:t>
      </w:r>
      <w:r w:rsidR="00A85F7D" w:rsidRPr="00C815F7">
        <w:rPr>
          <w:rFonts w:asciiTheme="minorHAnsi" w:hAnsiTheme="minorHAnsi"/>
          <w:color w:val="auto"/>
          <w:szCs w:val="24"/>
        </w:rPr>
        <w:t>In the matter</w:t>
      </w:r>
      <w:r w:rsidR="00405616" w:rsidRPr="00C815F7">
        <w:rPr>
          <w:rFonts w:asciiTheme="minorHAnsi" w:hAnsiTheme="minorHAnsi"/>
          <w:color w:val="auto"/>
          <w:szCs w:val="24"/>
        </w:rPr>
        <w:t xml:space="preserve"> of the headaches, and back strain </w:t>
      </w:r>
      <w:r w:rsidR="00A85F7D" w:rsidRPr="00C815F7">
        <w:rPr>
          <w:rFonts w:asciiTheme="minorHAnsi" w:hAnsiTheme="minorHAnsi"/>
          <w:color w:val="auto"/>
          <w:szCs w:val="24"/>
        </w:rPr>
        <w:t>condition, the Board unanimously</w:t>
      </w:r>
      <w:r w:rsidR="00A85F7D" w:rsidRPr="00A85F7D">
        <w:rPr>
          <w:rFonts w:asciiTheme="minorHAnsi" w:hAnsiTheme="minorHAnsi"/>
          <w:color w:val="auto"/>
          <w:szCs w:val="24"/>
        </w:rPr>
        <w:t xml:space="preserve"> agrees that it cannot</w:t>
      </w:r>
      <w:r w:rsidR="00A85F7D" w:rsidRPr="00A85F7D">
        <w:rPr>
          <w:rFonts w:asciiTheme="minorHAnsi" w:hAnsiTheme="minorHAnsi"/>
          <w:color w:val="000080"/>
          <w:szCs w:val="24"/>
        </w:rPr>
        <w:t xml:space="preserve"> </w:t>
      </w:r>
      <w:r w:rsidR="00A85F7D" w:rsidRPr="00A85F7D">
        <w:rPr>
          <w:rFonts w:asciiTheme="minorHAnsi" w:hAnsiTheme="minorHAnsi"/>
          <w:color w:val="auto"/>
          <w:szCs w:val="24"/>
        </w:rPr>
        <w:t xml:space="preserve">recommend a finding of unfit for additional rating at separation.  In the matter of </w:t>
      </w:r>
      <w:r w:rsidR="00A85F7D" w:rsidRPr="00A85F7D">
        <w:rPr>
          <w:color w:val="000000" w:themeColor="text1"/>
          <w:szCs w:val="24"/>
        </w:rPr>
        <w:t xml:space="preserve">right salpingectomy and </w:t>
      </w:r>
      <w:r w:rsidR="00A94F79">
        <w:rPr>
          <w:color w:val="000000" w:themeColor="text1"/>
          <w:szCs w:val="24"/>
        </w:rPr>
        <w:t>bilateral knee pain</w:t>
      </w:r>
      <w:r w:rsidR="00A85F7D" w:rsidRPr="00A85F7D">
        <w:rPr>
          <w:rFonts w:asciiTheme="minorHAnsi" w:hAnsiTheme="minorHAnsi"/>
          <w:color w:val="auto"/>
          <w:szCs w:val="24"/>
        </w:rPr>
        <w:t xml:space="preserve"> </w:t>
      </w:r>
      <w:r w:rsidR="00A85F7D" w:rsidRPr="00C815F7">
        <w:rPr>
          <w:rFonts w:asciiTheme="minorHAnsi" w:hAnsiTheme="minorHAnsi"/>
          <w:color w:val="auto"/>
          <w:szCs w:val="24"/>
        </w:rPr>
        <w:t>c</w:t>
      </w:r>
      <w:r w:rsidR="00A85F7D" w:rsidRPr="00C815F7">
        <w:rPr>
          <w:rFonts w:asciiTheme="minorHAnsi" w:eastAsiaTheme="minorHAnsi" w:hAnsiTheme="minorHAnsi"/>
          <w:color w:val="auto"/>
          <w:szCs w:val="24"/>
        </w:rPr>
        <w:t>onditions</w:t>
      </w:r>
      <w:r w:rsidR="00A85F7D" w:rsidRPr="00C815F7">
        <w:rPr>
          <w:rFonts w:asciiTheme="minorHAnsi" w:hAnsiTheme="minorHAnsi"/>
          <w:color w:val="auto"/>
          <w:szCs w:val="24"/>
        </w:rPr>
        <w:t xml:space="preserve"> or any other medical conditions eligible for Board consideration; the Board unanimously agrees that it cannot</w:t>
      </w:r>
      <w:r w:rsidR="00A85F7D" w:rsidRPr="00C815F7">
        <w:rPr>
          <w:rFonts w:asciiTheme="minorHAnsi" w:hAnsiTheme="minorHAnsi"/>
          <w:color w:val="000080"/>
          <w:szCs w:val="24"/>
        </w:rPr>
        <w:t xml:space="preserve"> </w:t>
      </w:r>
      <w:r w:rsidR="00A85F7D" w:rsidRPr="00C815F7">
        <w:rPr>
          <w:rFonts w:asciiTheme="minorHAnsi" w:hAnsiTheme="minorHAnsi"/>
          <w:color w:val="auto"/>
          <w:szCs w:val="24"/>
        </w:rPr>
        <w:t xml:space="preserve">recommend any findings of unfit for additional rating at separation.  </w:t>
      </w:r>
      <w:r w:rsidR="00CE483F" w:rsidRPr="00C815F7">
        <w:rPr>
          <w:rFonts w:asciiTheme="minorHAnsi" w:hAnsiTheme="minorHAnsi"/>
          <w:color w:val="auto"/>
          <w:szCs w:val="24"/>
        </w:rPr>
        <w:t>The Board unanimously</w:t>
      </w:r>
      <w:r w:rsidR="00CE483F" w:rsidRPr="0031726F">
        <w:rPr>
          <w:rFonts w:asciiTheme="minorHAnsi" w:hAnsiTheme="minorHAnsi"/>
          <w:color w:val="auto"/>
          <w:szCs w:val="24"/>
        </w:rPr>
        <w:t xml:space="preserve"> agrees that there were no other conditions eligible for Board consideration which could be recommended as additionally unfitting for rating at separation.</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E4600F" w:rsidRDefault="00E4600F" w:rsidP="00A94F79">
      <w:pPr>
        <w:spacing w:line="240" w:lineRule="exact"/>
        <w:rPr>
          <w:rFonts w:asciiTheme="minorHAnsi" w:hAnsiTheme="minorHAnsi"/>
          <w:color w:val="auto"/>
          <w:szCs w:val="24"/>
          <w:u w:val="single"/>
        </w:rPr>
      </w:pPr>
    </w:p>
    <w:p w:rsidR="00E4600F" w:rsidRDefault="00E4600F" w:rsidP="00A94F79">
      <w:pPr>
        <w:spacing w:line="240" w:lineRule="exact"/>
        <w:rPr>
          <w:rFonts w:asciiTheme="minorHAnsi" w:hAnsiTheme="minorHAnsi"/>
          <w:color w:val="auto"/>
          <w:szCs w:val="24"/>
          <w:u w:val="single"/>
        </w:rPr>
      </w:pPr>
    </w:p>
    <w:p w:rsidR="00E4600F" w:rsidRDefault="00E4600F" w:rsidP="00A94F79">
      <w:pPr>
        <w:spacing w:line="240" w:lineRule="exact"/>
        <w:rPr>
          <w:rFonts w:asciiTheme="minorHAnsi" w:hAnsiTheme="minorHAnsi"/>
          <w:color w:val="auto"/>
          <w:szCs w:val="24"/>
          <w:u w:val="single"/>
        </w:rPr>
      </w:pPr>
    </w:p>
    <w:p w:rsidR="00E4600F" w:rsidRDefault="00E4600F" w:rsidP="00A94F79">
      <w:pPr>
        <w:spacing w:line="240" w:lineRule="exact"/>
        <w:rPr>
          <w:rFonts w:asciiTheme="minorHAnsi" w:hAnsiTheme="minorHAnsi"/>
          <w:color w:val="auto"/>
          <w:szCs w:val="24"/>
          <w:u w:val="single"/>
        </w:rPr>
      </w:pPr>
    </w:p>
    <w:p w:rsidR="00E4600F" w:rsidRDefault="00E4600F" w:rsidP="00A94F79">
      <w:pPr>
        <w:spacing w:line="240" w:lineRule="exact"/>
        <w:rPr>
          <w:rFonts w:asciiTheme="minorHAnsi" w:hAnsiTheme="minorHAnsi"/>
          <w:color w:val="auto"/>
          <w:szCs w:val="24"/>
          <w:u w:val="single"/>
        </w:rPr>
      </w:pPr>
    </w:p>
    <w:p w:rsidR="00E4600F" w:rsidRPr="00E4600F" w:rsidRDefault="00C56FC8" w:rsidP="00A94F79">
      <w:pPr>
        <w:spacing w:line="240" w:lineRule="exact"/>
        <w:rPr>
          <w:rFonts w:asciiTheme="minorHAnsi" w:hAnsiTheme="minorHAnsi"/>
          <w:color w:val="auto"/>
          <w:szCs w:val="24"/>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A94F79">
        <w:rPr>
          <w:rFonts w:asciiTheme="minorHAnsi" w:hAnsiTheme="minorHAnsi"/>
          <w:color w:val="auto"/>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FB7468" w:rsidRDefault="00FB7468" w:rsidP="00FB7468">
      <w:pPr>
        <w:spacing w:line="240" w:lineRule="exact"/>
        <w:jc w:val="both"/>
        <w:rPr>
          <w:rFonts w:asciiTheme="minorHAnsi" w:hAnsiTheme="minorHAnsi"/>
          <w:color w:val="auto"/>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1B5F3E" w:rsidRPr="001F29F9" w:rsidTr="0056367D">
        <w:trPr>
          <w:trHeight w:val="206"/>
          <w:jc w:val="center"/>
        </w:trPr>
        <w:tc>
          <w:tcPr>
            <w:tcW w:w="6462" w:type="dxa"/>
            <w:gridSpan w:val="2"/>
            <w:tcBorders>
              <w:right w:val="single" w:sz="4" w:space="0" w:color="auto"/>
            </w:tcBorders>
            <w:shd w:val="clear" w:color="auto" w:fill="D9D9D9"/>
            <w:vAlign w:val="center"/>
          </w:tcPr>
          <w:p w:rsidR="001B5F3E" w:rsidRPr="001F29F9" w:rsidRDefault="001B5F3E" w:rsidP="0056367D">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1B5F3E" w:rsidRPr="001F29F9" w:rsidRDefault="001B5F3E" w:rsidP="0056367D">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1B5F3E" w:rsidRPr="001F29F9" w:rsidRDefault="001B5F3E" w:rsidP="0056367D">
            <w:pPr>
              <w:tabs>
                <w:tab w:val="left" w:pos="288"/>
                <w:tab w:val="left" w:pos="4752"/>
              </w:tabs>
              <w:rPr>
                <w:b/>
                <w:color w:val="000000" w:themeColor="text1"/>
                <w:szCs w:val="24"/>
              </w:rPr>
            </w:pPr>
            <w:r w:rsidRPr="001F29F9">
              <w:rPr>
                <w:b/>
                <w:color w:val="000000" w:themeColor="text1"/>
                <w:szCs w:val="24"/>
              </w:rPr>
              <w:t>RATING</w:t>
            </w:r>
          </w:p>
        </w:tc>
      </w:tr>
      <w:tr w:rsidR="001B5F3E" w:rsidRPr="001F29F9" w:rsidTr="0056367D">
        <w:trPr>
          <w:jc w:val="center"/>
        </w:trPr>
        <w:tc>
          <w:tcPr>
            <w:tcW w:w="6462" w:type="dxa"/>
            <w:gridSpan w:val="2"/>
            <w:tcBorders>
              <w:right w:val="single" w:sz="4" w:space="0" w:color="auto"/>
            </w:tcBorders>
            <w:vAlign w:val="center"/>
          </w:tcPr>
          <w:p w:rsidR="001B5F3E" w:rsidRPr="001F29F9" w:rsidRDefault="001B5F3E" w:rsidP="0056367D">
            <w:pPr>
              <w:tabs>
                <w:tab w:val="left" w:pos="288"/>
                <w:tab w:val="left" w:pos="4752"/>
              </w:tabs>
              <w:rPr>
                <w:color w:val="000000" w:themeColor="text1"/>
                <w:szCs w:val="24"/>
              </w:rPr>
            </w:pPr>
            <w:r>
              <w:rPr>
                <w:color w:val="000000" w:themeColor="text1"/>
                <w:szCs w:val="24"/>
              </w:rPr>
              <w:t>Bilateral Plantar Fasciitis</w:t>
            </w:r>
          </w:p>
        </w:tc>
        <w:tc>
          <w:tcPr>
            <w:tcW w:w="1724" w:type="dxa"/>
            <w:tcBorders>
              <w:left w:val="single" w:sz="4" w:space="0" w:color="auto"/>
            </w:tcBorders>
            <w:vAlign w:val="center"/>
          </w:tcPr>
          <w:p w:rsidR="001B5F3E" w:rsidRPr="001F29F9" w:rsidRDefault="001B5F3E" w:rsidP="0056367D">
            <w:pPr>
              <w:tabs>
                <w:tab w:val="left" w:pos="288"/>
                <w:tab w:val="left" w:pos="4752"/>
              </w:tabs>
              <w:rPr>
                <w:color w:val="000000" w:themeColor="text1"/>
                <w:szCs w:val="24"/>
              </w:rPr>
            </w:pPr>
            <w:r>
              <w:rPr>
                <w:color w:val="000000" w:themeColor="text1"/>
                <w:szCs w:val="24"/>
              </w:rPr>
              <w:t>5399-5310</w:t>
            </w:r>
          </w:p>
        </w:tc>
        <w:tc>
          <w:tcPr>
            <w:tcW w:w="1084" w:type="dxa"/>
            <w:vAlign w:val="center"/>
          </w:tcPr>
          <w:p w:rsidR="001B5F3E" w:rsidRPr="001F29F9" w:rsidRDefault="00867358" w:rsidP="0056367D">
            <w:pPr>
              <w:tabs>
                <w:tab w:val="left" w:pos="288"/>
                <w:tab w:val="left" w:pos="4752"/>
              </w:tabs>
              <w:rPr>
                <w:color w:val="000000" w:themeColor="text1"/>
                <w:szCs w:val="24"/>
              </w:rPr>
            </w:pPr>
            <w:r>
              <w:rPr>
                <w:color w:val="000000" w:themeColor="text1"/>
                <w:szCs w:val="24"/>
              </w:rPr>
              <w:t>2</w:t>
            </w:r>
            <w:r w:rsidR="001B5F3E">
              <w:rPr>
                <w:color w:val="000000" w:themeColor="text1"/>
                <w:szCs w:val="24"/>
              </w:rPr>
              <w:t>0</w:t>
            </w:r>
            <w:r w:rsidR="001B5F3E" w:rsidRPr="001F29F9">
              <w:rPr>
                <w:color w:val="000000" w:themeColor="text1"/>
                <w:szCs w:val="24"/>
              </w:rPr>
              <w:t>%</w:t>
            </w:r>
          </w:p>
        </w:tc>
      </w:tr>
      <w:tr w:rsidR="001B5F3E" w:rsidRPr="001F29F9" w:rsidTr="0056367D">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1B5F3E" w:rsidRPr="00C815F7" w:rsidRDefault="001B5F3E" w:rsidP="0056367D">
            <w:pPr>
              <w:tabs>
                <w:tab w:val="left" w:pos="288"/>
                <w:tab w:val="left" w:pos="4752"/>
              </w:tabs>
              <w:rPr>
                <w:b/>
                <w:color w:val="000000" w:themeColor="text1"/>
                <w:szCs w:val="24"/>
              </w:rPr>
            </w:pPr>
            <w:r w:rsidRPr="00C815F7">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1B5F3E" w:rsidRPr="00C815F7" w:rsidRDefault="001B5F3E" w:rsidP="0056367D">
            <w:pPr>
              <w:tabs>
                <w:tab w:val="left" w:pos="288"/>
                <w:tab w:val="left" w:pos="4752"/>
              </w:tabs>
              <w:rPr>
                <w:b/>
                <w:color w:val="000000" w:themeColor="text1"/>
                <w:szCs w:val="24"/>
              </w:rPr>
            </w:pPr>
            <w:r w:rsidRPr="00C815F7">
              <w:rPr>
                <w:b/>
                <w:color w:val="000000" w:themeColor="text1"/>
                <w:szCs w:val="24"/>
              </w:rPr>
              <w:t>20%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E4600F">
      <w:pPr>
        <w:tabs>
          <w:tab w:val="left" w:pos="288"/>
          <w:tab w:val="left" w:pos="4752"/>
        </w:tabs>
        <w:spacing w:line="240" w:lineRule="exact"/>
        <w:rPr>
          <w:b/>
          <w:color w:val="auto"/>
          <w:szCs w:val="24"/>
        </w:rPr>
      </w:pPr>
    </w:p>
    <w:p w:rsidR="001B5F3E" w:rsidRPr="001F29F9" w:rsidRDefault="001B5F3E" w:rsidP="00E4600F">
      <w:pPr>
        <w:tabs>
          <w:tab w:val="left" w:pos="288"/>
          <w:tab w:val="left" w:pos="4752"/>
        </w:tabs>
        <w:spacing w:line="240" w:lineRule="exact"/>
        <w:jc w:val="both"/>
        <w:rPr>
          <w:color w:val="000000" w:themeColor="text1"/>
        </w:rPr>
      </w:pPr>
      <w:r w:rsidRPr="001F29F9">
        <w:rPr>
          <w:color w:val="000000" w:themeColor="text1"/>
        </w:rPr>
        <w:t>The following documentary evidence was considered:</w:t>
      </w:r>
    </w:p>
    <w:p w:rsidR="001B5F3E" w:rsidRPr="001F29F9" w:rsidRDefault="001B5F3E" w:rsidP="00E4600F">
      <w:pPr>
        <w:tabs>
          <w:tab w:val="left" w:pos="288"/>
          <w:tab w:val="left" w:pos="4752"/>
        </w:tabs>
        <w:spacing w:line="240" w:lineRule="exact"/>
        <w:jc w:val="both"/>
        <w:rPr>
          <w:color w:val="000000" w:themeColor="text1"/>
        </w:rPr>
      </w:pPr>
    </w:p>
    <w:p w:rsidR="001B5F3E" w:rsidRPr="001F29F9" w:rsidRDefault="001B5F3E" w:rsidP="00E4600F">
      <w:pPr>
        <w:tabs>
          <w:tab w:val="left" w:pos="288"/>
          <w:tab w:val="left" w:pos="4752"/>
        </w:tabs>
        <w:spacing w:line="2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201</w:t>
      </w:r>
      <w:r>
        <w:rPr>
          <w:color w:val="000000" w:themeColor="text1"/>
          <w:szCs w:val="24"/>
        </w:rPr>
        <w:t>10825</w:t>
      </w:r>
      <w:r w:rsidRPr="001F29F9">
        <w:rPr>
          <w:color w:val="000000" w:themeColor="text1"/>
        </w:rPr>
        <w:t>, w/atchs.</w:t>
      </w:r>
    </w:p>
    <w:p w:rsidR="001B5F3E" w:rsidRPr="001F29F9" w:rsidRDefault="001B5F3E" w:rsidP="00E4600F">
      <w:pPr>
        <w:tabs>
          <w:tab w:val="left" w:pos="288"/>
          <w:tab w:val="left" w:pos="4752"/>
        </w:tabs>
        <w:spacing w:line="240" w:lineRule="exact"/>
        <w:jc w:val="both"/>
        <w:rPr>
          <w:color w:val="000000" w:themeColor="text1"/>
        </w:rPr>
      </w:pPr>
      <w:r w:rsidRPr="001F29F9">
        <w:rPr>
          <w:color w:val="000000" w:themeColor="text1"/>
        </w:rPr>
        <w:t>Exhibit B.  Service Treatment Record.</w:t>
      </w:r>
    </w:p>
    <w:p w:rsidR="001B5F3E" w:rsidRPr="001F29F9" w:rsidRDefault="001B5F3E" w:rsidP="00E4600F">
      <w:pPr>
        <w:tabs>
          <w:tab w:val="left" w:pos="288"/>
          <w:tab w:val="left" w:pos="4752"/>
        </w:tabs>
        <w:spacing w:line="240" w:lineRule="exact"/>
        <w:jc w:val="both"/>
        <w:rPr>
          <w:color w:val="000000" w:themeColor="text1"/>
        </w:rPr>
      </w:pPr>
      <w:r w:rsidRPr="001F29F9">
        <w:rPr>
          <w:color w:val="000000" w:themeColor="text1"/>
        </w:rPr>
        <w:t>Exhibit C.  Department of Veterans Affairs Treatment Record.</w:t>
      </w:r>
    </w:p>
    <w:p w:rsidR="00D91DA6" w:rsidRPr="00006186" w:rsidRDefault="00D91DA6" w:rsidP="00E4600F">
      <w:pPr>
        <w:tabs>
          <w:tab w:val="left" w:pos="288"/>
          <w:tab w:val="left" w:pos="4752"/>
        </w:tabs>
        <w:spacing w:line="240" w:lineRule="exact"/>
        <w:jc w:val="both"/>
        <w:rPr>
          <w:rFonts w:asciiTheme="minorHAnsi" w:hAnsiTheme="minorHAnsi"/>
          <w:color w:val="auto"/>
        </w:rPr>
      </w:pPr>
    </w:p>
    <w:p w:rsidR="00114F20" w:rsidRPr="00006186" w:rsidRDefault="00114F20" w:rsidP="00E4600F">
      <w:pPr>
        <w:tabs>
          <w:tab w:val="left" w:pos="288"/>
          <w:tab w:val="left" w:pos="4752"/>
        </w:tabs>
        <w:spacing w:line="240" w:lineRule="exact"/>
        <w:jc w:val="both"/>
        <w:rPr>
          <w:rFonts w:asciiTheme="minorHAnsi" w:hAnsiTheme="minorHAnsi"/>
          <w:color w:val="auto"/>
        </w:rPr>
      </w:pPr>
    </w:p>
    <w:p w:rsidR="00114F20" w:rsidRPr="00006186" w:rsidRDefault="00114F20" w:rsidP="00E4600F">
      <w:pPr>
        <w:tabs>
          <w:tab w:val="left" w:pos="288"/>
          <w:tab w:val="left" w:pos="4752"/>
        </w:tabs>
        <w:spacing w:line="240" w:lineRule="exact"/>
        <w:jc w:val="both"/>
        <w:rPr>
          <w:rFonts w:asciiTheme="minorHAnsi" w:hAnsiTheme="minorHAnsi"/>
          <w:color w:val="auto"/>
        </w:rPr>
      </w:pPr>
    </w:p>
    <w:p w:rsidR="00E37713" w:rsidRDefault="00DB06C0" w:rsidP="00E4600F">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E37713" w:rsidRDefault="00E37713">
      <w:pPr>
        <w:rPr>
          <w:rFonts w:asciiTheme="minorHAnsi" w:hAnsiTheme="minorHAnsi"/>
          <w:color w:val="auto"/>
        </w:rPr>
      </w:pPr>
      <w:r>
        <w:rPr>
          <w:rFonts w:asciiTheme="minorHAnsi" w:hAnsiTheme="minorHAnsi"/>
          <w:color w:val="auto"/>
        </w:rPr>
        <w:br w:type="page"/>
      </w:r>
    </w:p>
    <w:p w:rsidR="00E37713" w:rsidRDefault="00E37713" w:rsidP="00E37713">
      <w:pPr>
        <w:pStyle w:val="Header"/>
        <w:tabs>
          <w:tab w:val="clear" w:pos="4320"/>
          <w:tab w:val="clear" w:pos="8640"/>
        </w:tabs>
      </w:pPr>
      <w:r>
        <w:lastRenderedPageBreak/>
        <w:t>SFMR-RB</w:t>
      </w:r>
      <w:r>
        <w:tab/>
      </w:r>
      <w:r>
        <w:tab/>
      </w:r>
      <w:r>
        <w:tab/>
      </w:r>
      <w:r>
        <w:tab/>
      </w:r>
      <w:r>
        <w:tab/>
      </w:r>
      <w:r>
        <w:tab/>
      </w:r>
      <w:r>
        <w:tab/>
      </w:r>
      <w:r>
        <w:tab/>
      </w:r>
      <w:r>
        <w:tab/>
      </w:r>
    </w:p>
    <w:p w:rsidR="00E37713" w:rsidRDefault="00E37713" w:rsidP="00E37713">
      <w:pPr>
        <w:pStyle w:val="Header"/>
        <w:tabs>
          <w:tab w:val="clear" w:pos="4320"/>
          <w:tab w:val="clear" w:pos="8640"/>
        </w:tabs>
      </w:pPr>
    </w:p>
    <w:p w:rsidR="00E37713" w:rsidRDefault="00E37713" w:rsidP="00E37713"/>
    <w:p w:rsidR="00E37713" w:rsidRDefault="00E37713" w:rsidP="00E37713">
      <w:r>
        <w:t xml:space="preserve">MEMORANDUM FOR Commander, US Army Physical Disability Agency </w:t>
      </w:r>
    </w:p>
    <w:p w:rsidR="00E37713" w:rsidRDefault="00E37713" w:rsidP="00E37713"/>
    <w:p w:rsidR="00E37713" w:rsidRDefault="00E37713" w:rsidP="00E37713">
      <w:pPr>
        <w:ind w:right="-180"/>
      </w:pPr>
      <w:r>
        <w:t xml:space="preserve">SUBJECT:  Department of Defense Physical Disability Board of Review Recommendation </w:t>
      </w:r>
    </w:p>
    <w:p w:rsidR="00E37713" w:rsidRDefault="00E37713" w:rsidP="00E37713">
      <w:pPr>
        <w:pStyle w:val="Header"/>
        <w:tabs>
          <w:tab w:val="clear" w:pos="4320"/>
          <w:tab w:val="clear" w:pos="8640"/>
        </w:tabs>
      </w:pPr>
    </w:p>
    <w:p w:rsidR="00E37713" w:rsidRDefault="00E37713" w:rsidP="00E37713"/>
    <w:p w:rsidR="00E37713" w:rsidRDefault="00E37713" w:rsidP="00E37713">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37713" w:rsidRDefault="00E37713" w:rsidP="00E37713"/>
    <w:p w:rsidR="00E37713" w:rsidRDefault="00E37713" w:rsidP="00E37713">
      <w:r>
        <w:t>This decision is final.  The individual concerned, counsel (if any), and any Members of Congress who have shown interest in this application have been notified of this decision by mail.</w:t>
      </w:r>
    </w:p>
    <w:p w:rsidR="00E37713" w:rsidRDefault="00E37713" w:rsidP="00E37713"/>
    <w:p w:rsidR="00E37713" w:rsidRDefault="00E37713" w:rsidP="00E37713">
      <w:r>
        <w:t xml:space="preserve"> BY ORDER OF THE SECRETARY OF THE ARMY:</w:t>
      </w:r>
    </w:p>
    <w:p w:rsidR="00E37713" w:rsidRDefault="00E37713" w:rsidP="00E37713"/>
    <w:p w:rsidR="00E37713" w:rsidRDefault="00E37713" w:rsidP="00E37713"/>
    <w:p w:rsidR="00E37713" w:rsidRDefault="00E37713" w:rsidP="00E37713">
      <w:pPr>
        <w:pStyle w:val="Header"/>
        <w:tabs>
          <w:tab w:val="clear" w:pos="4320"/>
          <w:tab w:val="clear" w:pos="8640"/>
        </w:tabs>
      </w:pPr>
    </w:p>
    <w:p w:rsidR="00E37713" w:rsidRDefault="00E37713" w:rsidP="00E37713"/>
    <w:p w:rsidR="00E37713" w:rsidRDefault="00E37713" w:rsidP="00E37713">
      <w:bookmarkStart w:id="0" w:name="OLE_LINK3"/>
      <w:bookmarkStart w:id="1" w:name="OLE_LINK4"/>
      <w:r>
        <w:t>Encl</w:t>
      </w:r>
      <w:r>
        <w:tab/>
      </w:r>
      <w:r>
        <w:tab/>
      </w:r>
      <w:r>
        <w:tab/>
      </w:r>
      <w:r>
        <w:tab/>
      </w:r>
      <w:r>
        <w:tab/>
      </w:r>
      <w:r>
        <w:tab/>
        <w:t xml:space="preserve"> </w:t>
      </w:r>
    </w:p>
    <w:p w:rsidR="00E37713" w:rsidRDefault="00E37713" w:rsidP="00E37713">
      <w:r>
        <w:tab/>
      </w:r>
      <w:r>
        <w:tab/>
      </w:r>
      <w:r>
        <w:tab/>
      </w:r>
      <w:r>
        <w:tab/>
      </w:r>
      <w:r>
        <w:tab/>
      </w:r>
      <w:r>
        <w:tab/>
        <w:t xml:space="preserve">     Deputy Assistant Secretary</w:t>
      </w:r>
    </w:p>
    <w:p w:rsidR="00E37713" w:rsidRDefault="00E37713" w:rsidP="00E37713">
      <w:r>
        <w:tab/>
      </w:r>
      <w:r>
        <w:tab/>
      </w:r>
      <w:r>
        <w:tab/>
      </w:r>
      <w:r>
        <w:tab/>
      </w:r>
      <w:r>
        <w:tab/>
      </w:r>
      <w:r>
        <w:tab/>
        <w:t xml:space="preserve">         (Army Review Boards)</w:t>
      </w:r>
      <w:bookmarkEnd w:id="0"/>
      <w:bookmarkEnd w:id="1"/>
    </w:p>
    <w:p w:rsidR="00B522CD" w:rsidRPr="00006186" w:rsidRDefault="00B522CD" w:rsidP="00E4600F">
      <w:pPr>
        <w:tabs>
          <w:tab w:val="left" w:pos="0"/>
          <w:tab w:val="left" w:pos="4320"/>
        </w:tabs>
        <w:spacing w:line="240" w:lineRule="exact"/>
        <w:jc w:val="both"/>
        <w:rPr>
          <w:rFonts w:asciiTheme="minorHAnsi" w:hAnsiTheme="minorHAnsi"/>
          <w:color w:val="auto"/>
        </w:rPr>
      </w:pPr>
    </w:p>
    <w:p w:rsidR="00664296" w:rsidRDefault="00664296" w:rsidP="00057019">
      <w:pPr>
        <w:tabs>
          <w:tab w:val="left" w:pos="288"/>
          <w:tab w:val="left" w:pos="4752"/>
        </w:tabs>
        <w:spacing w:line="240" w:lineRule="exact"/>
        <w:jc w:val="both"/>
        <w:rPr>
          <w:rFonts w:asciiTheme="minorHAnsi" w:hAnsiTheme="minorHAnsi"/>
          <w:color w:val="auto"/>
          <w:szCs w:val="24"/>
          <w:u w:val="single"/>
        </w:rPr>
      </w:pPr>
    </w:p>
    <w:p w:rsidR="00B97738" w:rsidRPr="00C815F7" w:rsidRDefault="00B97738" w:rsidP="00C815F7">
      <w:pPr>
        <w:rPr>
          <w:rFonts w:asciiTheme="minorHAnsi" w:hAnsiTheme="minorHAnsi"/>
          <w:color w:val="auto"/>
          <w:szCs w:val="24"/>
          <w:u w:val="single"/>
        </w:rPr>
      </w:pPr>
    </w:p>
    <w:sectPr w:rsidR="00B97738" w:rsidRPr="00C815F7"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95" w:rsidRDefault="00D81795">
      <w:r>
        <w:separator/>
      </w:r>
    </w:p>
  </w:endnote>
  <w:endnote w:type="continuationSeparator" w:id="0">
    <w:p w:rsidR="00D81795" w:rsidRDefault="00D817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56367D" w:rsidRPr="00684CE6" w:rsidRDefault="00092C97" w:rsidP="00F65ED5">
        <w:pPr>
          <w:pStyle w:val="Footer"/>
          <w:jc w:val="right"/>
          <w:rPr>
            <w:color w:val="auto"/>
          </w:rPr>
        </w:pPr>
        <w:r w:rsidRPr="00684CE6">
          <w:rPr>
            <w:color w:val="auto"/>
          </w:rPr>
          <w:fldChar w:fldCharType="begin"/>
        </w:r>
        <w:r w:rsidR="0056367D" w:rsidRPr="00684CE6">
          <w:rPr>
            <w:color w:val="auto"/>
          </w:rPr>
          <w:instrText xml:space="preserve"> PAGE   \* MERGEFORMAT </w:instrText>
        </w:r>
        <w:r w:rsidRPr="00684CE6">
          <w:rPr>
            <w:color w:val="auto"/>
          </w:rPr>
          <w:fldChar w:fldCharType="separate"/>
        </w:r>
        <w:r w:rsidR="00E37713">
          <w:rPr>
            <w:noProof/>
            <w:color w:val="auto"/>
          </w:rPr>
          <w:t>5</w:t>
        </w:r>
        <w:r w:rsidRPr="00684CE6">
          <w:rPr>
            <w:color w:val="auto"/>
          </w:rPr>
          <w:fldChar w:fldCharType="end"/>
        </w:r>
        <w:r w:rsidR="0056367D" w:rsidRPr="00684CE6">
          <w:rPr>
            <w:color w:val="auto"/>
          </w:rPr>
          <w:t xml:space="preserve">          </w:t>
        </w:r>
        <w:r w:rsidR="0056367D">
          <w:rPr>
            <w:color w:val="auto"/>
          </w:rPr>
          <w:t xml:space="preserve">          </w:t>
        </w:r>
        <w:r w:rsidR="0056367D" w:rsidRPr="00684CE6">
          <w:rPr>
            <w:color w:val="auto"/>
          </w:rPr>
          <w:t xml:space="preserve">                                                 </w:t>
        </w:r>
        <w:r w:rsidR="00C815F7" w:rsidRPr="001F29F9">
          <w:rPr>
            <w:caps/>
            <w:color w:val="000000" w:themeColor="text1"/>
          </w:rPr>
          <w:t>PD11</w:t>
        </w:r>
        <w:r w:rsidR="00C815F7" w:rsidRPr="00F7088F">
          <w:rPr>
            <w:caps/>
            <w:color w:val="000000" w:themeColor="text1"/>
          </w:rPr>
          <w:t>00</w:t>
        </w:r>
        <w:r w:rsidR="00C815F7">
          <w:rPr>
            <w:caps/>
            <w:color w:val="000000" w:themeColor="text1"/>
          </w:rPr>
          <w:t>792</w:t>
        </w:r>
      </w:p>
    </w:sdtContent>
  </w:sdt>
  <w:p w:rsidR="0056367D" w:rsidRPr="00684CE6" w:rsidRDefault="0056367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95" w:rsidRDefault="00D81795">
      <w:r>
        <w:separator/>
      </w:r>
    </w:p>
  </w:footnote>
  <w:footnote w:type="continuationSeparator" w:id="0">
    <w:p w:rsidR="00D81795" w:rsidRDefault="00D81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96AA0"/>
    <w:multiLevelType w:val="multilevel"/>
    <w:tmpl w:val="731E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B4263"/>
    <w:multiLevelType w:val="multilevel"/>
    <w:tmpl w:val="1924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44652"/>
    <w:multiLevelType w:val="multilevel"/>
    <w:tmpl w:val="150A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A41AE9"/>
    <w:multiLevelType w:val="multilevel"/>
    <w:tmpl w:val="14D8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F54A7"/>
    <w:multiLevelType w:val="multilevel"/>
    <w:tmpl w:val="AD74B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1"/>
  </w:num>
  <w:num w:numId="4">
    <w:abstractNumId w:val="8"/>
  </w:num>
  <w:num w:numId="5">
    <w:abstractNumId w:val="3"/>
  </w:num>
  <w:num w:numId="6">
    <w:abstractNumId w:val="10"/>
  </w:num>
  <w:num w:numId="7">
    <w:abstractNumId w:val="0"/>
  </w:num>
  <w:num w:numId="8">
    <w:abstractNumId w:val="5"/>
  </w:num>
  <w:num w:numId="9">
    <w:abstractNumId w:val="18"/>
  </w:num>
  <w:num w:numId="10">
    <w:abstractNumId w:val="12"/>
  </w:num>
  <w:num w:numId="11">
    <w:abstractNumId w:val="4"/>
  </w:num>
  <w:num w:numId="12">
    <w:abstractNumId w:val="15"/>
  </w:num>
  <w:num w:numId="13">
    <w:abstractNumId w:val="9"/>
  </w:num>
  <w:num w:numId="14">
    <w:abstractNumId w:val="17"/>
  </w:num>
  <w:num w:numId="15">
    <w:abstractNumId w:val="23"/>
  </w:num>
  <w:num w:numId="16">
    <w:abstractNumId w:val="1"/>
  </w:num>
  <w:num w:numId="17">
    <w:abstractNumId w:val="19"/>
  </w:num>
  <w:num w:numId="18">
    <w:abstractNumId w:val="11"/>
  </w:num>
  <w:num w:numId="19">
    <w:abstractNumId w:val="14"/>
  </w:num>
  <w:num w:numId="20">
    <w:abstractNumId w:val="16"/>
  </w:num>
  <w:num w:numId="21">
    <w:abstractNumId w:val="22"/>
  </w:num>
  <w:num w:numId="22">
    <w:abstractNumId w:val="6"/>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9074"/>
  </w:hdrShapeDefaults>
  <w:footnotePr>
    <w:numRestart w:val="eachSect"/>
    <w:footnote w:id="-1"/>
    <w:footnote w:id="0"/>
  </w:footnotePr>
  <w:endnotePr>
    <w:endnote w:id="-1"/>
    <w:endnote w:id="0"/>
  </w:endnotePr>
  <w:compat/>
  <w:rsids>
    <w:rsidRoot w:val="001C28D1"/>
    <w:rsid w:val="00002154"/>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26C4D"/>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2C97"/>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5B6D"/>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291"/>
    <w:rsid w:val="000D6457"/>
    <w:rsid w:val="000D7D55"/>
    <w:rsid w:val="000E0993"/>
    <w:rsid w:val="000E2E50"/>
    <w:rsid w:val="000E37E0"/>
    <w:rsid w:val="000E3F20"/>
    <w:rsid w:val="000E4CBF"/>
    <w:rsid w:val="000E506B"/>
    <w:rsid w:val="000E5577"/>
    <w:rsid w:val="000E7034"/>
    <w:rsid w:val="000F02BE"/>
    <w:rsid w:val="000F0928"/>
    <w:rsid w:val="000F427B"/>
    <w:rsid w:val="000F43D0"/>
    <w:rsid w:val="000F4F18"/>
    <w:rsid w:val="000F688E"/>
    <w:rsid w:val="000F7181"/>
    <w:rsid w:val="000F7E49"/>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16D30"/>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47193"/>
    <w:rsid w:val="00150B8A"/>
    <w:rsid w:val="00150DCB"/>
    <w:rsid w:val="00151912"/>
    <w:rsid w:val="00153740"/>
    <w:rsid w:val="00153D88"/>
    <w:rsid w:val="001541C5"/>
    <w:rsid w:val="0015623F"/>
    <w:rsid w:val="00156585"/>
    <w:rsid w:val="00156B4A"/>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33D"/>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5F3E"/>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6F7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2FD4"/>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0BB"/>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3045"/>
    <w:rsid w:val="002F6AD8"/>
    <w:rsid w:val="002F7F81"/>
    <w:rsid w:val="00300A36"/>
    <w:rsid w:val="00301B45"/>
    <w:rsid w:val="00305856"/>
    <w:rsid w:val="0030678B"/>
    <w:rsid w:val="00306D16"/>
    <w:rsid w:val="00307595"/>
    <w:rsid w:val="00310CD7"/>
    <w:rsid w:val="00313D7A"/>
    <w:rsid w:val="0031549C"/>
    <w:rsid w:val="0031726F"/>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7C"/>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52AC"/>
    <w:rsid w:val="003E6214"/>
    <w:rsid w:val="003E6F26"/>
    <w:rsid w:val="003F070E"/>
    <w:rsid w:val="003F1206"/>
    <w:rsid w:val="003F28DB"/>
    <w:rsid w:val="003F2EEE"/>
    <w:rsid w:val="003F58B0"/>
    <w:rsid w:val="003F776F"/>
    <w:rsid w:val="004007E9"/>
    <w:rsid w:val="00400810"/>
    <w:rsid w:val="0040098D"/>
    <w:rsid w:val="00401825"/>
    <w:rsid w:val="00401BBC"/>
    <w:rsid w:val="00403BFB"/>
    <w:rsid w:val="00404B45"/>
    <w:rsid w:val="00405616"/>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4612"/>
    <w:rsid w:val="0042528C"/>
    <w:rsid w:val="00425672"/>
    <w:rsid w:val="00425A6A"/>
    <w:rsid w:val="00427F54"/>
    <w:rsid w:val="004316FD"/>
    <w:rsid w:val="00433947"/>
    <w:rsid w:val="00433F36"/>
    <w:rsid w:val="00434860"/>
    <w:rsid w:val="0043503A"/>
    <w:rsid w:val="00437B8A"/>
    <w:rsid w:val="00437D18"/>
    <w:rsid w:val="00437D77"/>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154B"/>
    <w:rsid w:val="00462672"/>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5DC"/>
    <w:rsid w:val="004C0776"/>
    <w:rsid w:val="004C1EF8"/>
    <w:rsid w:val="004C2063"/>
    <w:rsid w:val="004C24C5"/>
    <w:rsid w:val="004C47D5"/>
    <w:rsid w:val="004C4CAF"/>
    <w:rsid w:val="004C5E33"/>
    <w:rsid w:val="004C60A3"/>
    <w:rsid w:val="004C6CDA"/>
    <w:rsid w:val="004D10D4"/>
    <w:rsid w:val="004D16BD"/>
    <w:rsid w:val="004D2AAB"/>
    <w:rsid w:val="004D507C"/>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3C0D"/>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B1C"/>
    <w:rsid w:val="00555C66"/>
    <w:rsid w:val="005569EF"/>
    <w:rsid w:val="00556BDE"/>
    <w:rsid w:val="00560D57"/>
    <w:rsid w:val="00562A94"/>
    <w:rsid w:val="0056367D"/>
    <w:rsid w:val="00563FAD"/>
    <w:rsid w:val="005701C1"/>
    <w:rsid w:val="005703BF"/>
    <w:rsid w:val="00570754"/>
    <w:rsid w:val="005709F7"/>
    <w:rsid w:val="00570C22"/>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0586"/>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002E"/>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5D0"/>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3420"/>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52599"/>
    <w:rsid w:val="007526BD"/>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C39"/>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A71CB"/>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49CC"/>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3C2"/>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23E4"/>
    <w:rsid w:val="00865207"/>
    <w:rsid w:val="008656A7"/>
    <w:rsid w:val="00865FA3"/>
    <w:rsid w:val="00866231"/>
    <w:rsid w:val="00867358"/>
    <w:rsid w:val="00871262"/>
    <w:rsid w:val="0087170E"/>
    <w:rsid w:val="00871D4E"/>
    <w:rsid w:val="00871E7B"/>
    <w:rsid w:val="008721BB"/>
    <w:rsid w:val="00873268"/>
    <w:rsid w:val="0087566D"/>
    <w:rsid w:val="00875B50"/>
    <w:rsid w:val="00875B51"/>
    <w:rsid w:val="00875F2D"/>
    <w:rsid w:val="008764DC"/>
    <w:rsid w:val="00880EC7"/>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6F64"/>
    <w:rsid w:val="008A7073"/>
    <w:rsid w:val="008A79F0"/>
    <w:rsid w:val="008A7F7E"/>
    <w:rsid w:val="008B04DB"/>
    <w:rsid w:val="008B09B4"/>
    <w:rsid w:val="008B1DF4"/>
    <w:rsid w:val="008B27FD"/>
    <w:rsid w:val="008B2D4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2058"/>
    <w:rsid w:val="00923B25"/>
    <w:rsid w:val="0092402E"/>
    <w:rsid w:val="009259BA"/>
    <w:rsid w:val="00926FCB"/>
    <w:rsid w:val="009303BB"/>
    <w:rsid w:val="0093108A"/>
    <w:rsid w:val="0093311A"/>
    <w:rsid w:val="009346D0"/>
    <w:rsid w:val="009419B4"/>
    <w:rsid w:val="00941A4C"/>
    <w:rsid w:val="00942645"/>
    <w:rsid w:val="009461E6"/>
    <w:rsid w:val="009465D8"/>
    <w:rsid w:val="00950A3A"/>
    <w:rsid w:val="0095340A"/>
    <w:rsid w:val="00953AF6"/>
    <w:rsid w:val="00953BD1"/>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43FF"/>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0B14"/>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5B8"/>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915"/>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5F7D"/>
    <w:rsid w:val="00A86CB6"/>
    <w:rsid w:val="00A90D55"/>
    <w:rsid w:val="00A944D8"/>
    <w:rsid w:val="00A94F79"/>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353F"/>
    <w:rsid w:val="00AB592E"/>
    <w:rsid w:val="00AC0120"/>
    <w:rsid w:val="00AC13D7"/>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533"/>
    <w:rsid w:val="00AF6ECC"/>
    <w:rsid w:val="00B022DC"/>
    <w:rsid w:val="00B04562"/>
    <w:rsid w:val="00B0472F"/>
    <w:rsid w:val="00B06930"/>
    <w:rsid w:val="00B0773A"/>
    <w:rsid w:val="00B07955"/>
    <w:rsid w:val="00B10606"/>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2FA7"/>
    <w:rsid w:val="00B33007"/>
    <w:rsid w:val="00B331A9"/>
    <w:rsid w:val="00B33498"/>
    <w:rsid w:val="00B33598"/>
    <w:rsid w:val="00B36569"/>
    <w:rsid w:val="00B37345"/>
    <w:rsid w:val="00B37F53"/>
    <w:rsid w:val="00B40A05"/>
    <w:rsid w:val="00B40A3E"/>
    <w:rsid w:val="00B427BB"/>
    <w:rsid w:val="00B43BA2"/>
    <w:rsid w:val="00B449EE"/>
    <w:rsid w:val="00B454AE"/>
    <w:rsid w:val="00B479DB"/>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4D8"/>
    <w:rsid w:val="00B70B22"/>
    <w:rsid w:val="00B72076"/>
    <w:rsid w:val="00B72303"/>
    <w:rsid w:val="00B72C72"/>
    <w:rsid w:val="00B72ED9"/>
    <w:rsid w:val="00B731E4"/>
    <w:rsid w:val="00B751CE"/>
    <w:rsid w:val="00B75A8B"/>
    <w:rsid w:val="00B75B61"/>
    <w:rsid w:val="00B76796"/>
    <w:rsid w:val="00B771E0"/>
    <w:rsid w:val="00B7793B"/>
    <w:rsid w:val="00B77EE7"/>
    <w:rsid w:val="00B80696"/>
    <w:rsid w:val="00B80EDD"/>
    <w:rsid w:val="00B812BD"/>
    <w:rsid w:val="00B81964"/>
    <w:rsid w:val="00B82277"/>
    <w:rsid w:val="00B83F87"/>
    <w:rsid w:val="00B8478F"/>
    <w:rsid w:val="00B91676"/>
    <w:rsid w:val="00B9322B"/>
    <w:rsid w:val="00B93577"/>
    <w:rsid w:val="00B955D5"/>
    <w:rsid w:val="00B95833"/>
    <w:rsid w:val="00B97738"/>
    <w:rsid w:val="00BA1824"/>
    <w:rsid w:val="00BA2D98"/>
    <w:rsid w:val="00BA2F0C"/>
    <w:rsid w:val="00BA30D1"/>
    <w:rsid w:val="00BA30E1"/>
    <w:rsid w:val="00BA4609"/>
    <w:rsid w:val="00BA5BE2"/>
    <w:rsid w:val="00BA7F46"/>
    <w:rsid w:val="00BB0A0A"/>
    <w:rsid w:val="00BB133C"/>
    <w:rsid w:val="00BB1F04"/>
    <w:rsid w:val="00BB200E"/>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6FF3"/>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2EB2"/>
    <w:rsid w:val="00C64C87"/>
    <w:rsid w:val="00C665FE"/>
    <w:rsid w:val="00C71BEC"/>
    <w:rsid w:val="00C74D3A"/>
    <w:rsid w:val="00C75F3D"/>
    <w:rsid w:val="00C80511"/>
    <w:rsid w:val="00C815F7"/>
    <w:rsid w:val="00C826F5"/>
    <w:rsid w:val="00C828F8"/>
    <w:rsid w:val="00C83740"/>
    <w:rsid w:val="00C83BBC"/>
    <w:rsid w:val="00C84AD1"/>
    <w:rsid w:val="00C85579"/>
    <w:rsid w:val="00C862F1"/>
    <w:rsid w:val="00C863E5"/>
    <w:rsid w:val="00C87BE6"/>
    <w:rsid w:val="00C87F76"/>
    <w:rsid w:val="00C91043"/>
    <w:rsid w:val="00C931FC"/>
    <w:rsid w:val="00C932C5"/>
    <w:rsid w:val="00C94CB6"/>
    <w:rsid w:val="00C951E7"/>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58C"/>
    <w:rsid w:val="00CE3722"/>
    <w:rsid w:val="00CE483F"/>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4453"/>
    <w:rsid w:val="00D25A5C"/>
    <w:rsid w:val="00D26873"/>
    <w:rsid w:val="00D272E6"/>
    <w:rsid w:val="00D31683"/>
    <w:rsid w:val="00D336C8"/>
    <w:rsid w:val="00D339E8"/>
    <w:rsid w:val="00D33D3D"/>
    <w:rsid w:val="00D3654A"/>
    <w:rsid w:val="00D3662E"/>
    <w:rsid w:val="00D401EA"/>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16F"/>
    <w:rsid w:val="00D75589"/>
    <w:rsid w:val="00D76AB2"/>
    <w:rsid w:val="00D80490"/>
    <w:rsid w:val="00D81795"/>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187"/>
    <w:rsid w:val="00DB0359"/>
    <w:rsid w:val="00DB06C0"/>
    <w:rsid w:val="00DB0ABB"/>
    <w:rsid w:val="00DB2AAD"/>
    <w:rsid w:val="00DB44E2"/>
    <w:rsid w:val="00DB4A6D"/>
    <w:rsid w:val="00DB5941"/>
    <w:rsid w:val="00DB626D"/>
    <w:rsid w:val="00DB6365"/>
    <w:rsid w:val="00DC00E8"/>
    <w:rsid w:val="00DC07B7"/>
    <w:rsid w:val="00DC0BF1"/>
    <w:rsid w:val="00DC17F2"/>
    <w:rsid w:val="00DC41C3"/>
    <w:rsid w:val="00DC4A3C"/>
    <w:rsid w:val="00DC4FA4"/>
    <w:rsid w:val="00DC5028"/>
    <w:rsid w:val="00DC5B37"/>
    <w:rsid w:val="00DD1E72"/>
    <w:rsid w:val="00DD286D"/>
    <w:rsid w:val="00DD2CAF"/>
    <w:rsid w:val="00DD3593"/>
    <w:rsid w:val="00DD524F"/>
    <w:rsid w:val="00DD64E0"/>
    <w:rsid w:val="00DD7BE0"/>
    <w:rsid w:val="00DE0C67"/>
    <w:rsid w:val="00DE3AAD"/>
    <w:rsid w:val="00DE5979"/>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1B46"/>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37713"/>
    <w:rsid w:val="00E40478"/>
    <w:rsid w:val="00E405EA"/>
    <w:rsid w:val="00E408B7"/>
    <w:rsid w:val="00E41637"/>
    <w:rsid w:val="00E42789"/>
    <w:rsid w:val="00E43F59"/>
    <w:rsid w:val="00E44FAE"/>
    <w:rsid w:val="00E4600F"/>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087"/>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5C7"/>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C6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468"/>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0D5291"/>
    <w:pPr>
      <w:autoSpaceDE w:val="0"/>
      <w:autoSpaceDN w:val="0"/>
      <w:adjustRightInd w:val="0"/>
    </w:pPr>
    <w:rPr>
      <w:rFonts w:cs="Calibri"/>
      <w:color w:val="000000"/>
      <w:szCs w:val="24"/>
    </w:rPr>
  </w:style>
  <w:style w:type="paragraph" w:styleId="z-TopofForm">
    <w:name w:val="HTML Top of Form"/>
    <w:basedOn w:val="Normal"/>
    <w:next w:val="Normal"/>
    <w:link w:val="z-TopofFormChar"/>
    <w:hidden/>
    <w:uiPriority w:val="99"/>
    <w:unhideWhenUsed/>
    <w:rsid w:val="00590586"/>
    <w:pPr>
      <w:pBdr>
        <w:bottom w:val="single" w:sz="6" w:space="1"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rsid w:val="00590586"/>
    <w:rPr>
      <w:rFonts w:ascii="Arial" w:hAnsi="Arial" w:cs="Arial"/>
      <w:vanish/>
      <w:sz w:val="16"/>
      <w:szCs w:val="16"/>
    </w:rPr>
  </w:style>
  <w:style w:type="character" w:customStyle="1" w:styleId="search1">
    <w:name w:val="search1"/>
    <w:basedOn w:val="DefaultParagraphFont"/>
    <w:rsid w:val="00590586"/>
    <w:rPr>
      <w:b/>
      <w:bCs/>
      <w:color w:val="000000"/>
      <w:sz w:val="17"/>
      <w:szCs w:val="17"/>
    </w:rPr>
  </w:style>
  <w:style w:type="paragraph" w:styleId="z-BottomofForm">
    <w:name w:val="HTML Bottom of Form"/>
    <w:basedOn w:val="Normal"/>
    <w:next w:val="Normal"/>
    <w:link w:val="z-BottomofFormChar"/>
    <w:hidden/>
    <w:uiPriority w:val="99"/>
    <w:unhideWhenUsed/>
    <w:rsid w:val="00590586"/>
    <w:pPr>
      <w:pBdr>
        <w:top w:val="single" w:sz="6" w:space="1"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rsid w:val="00590586"/>
    <w:rPr>
      <w:rFonts w:ascii="Arial" w:hAnsi="Arial" w:cs="Arial"/>
      <w:vanish/>
      <w:sz w:val="16"/>
      <w:szCs w:val="16"/>
    </w:rPr>
  </w:style>
  <w:style w:type="character" w:customStyle="1" w:styleId="ncbold1">
    <w:name w:val="ncbold1"/>
    <w:basedOn w:val="DefaultParagraphFont"/>
    <w:rsid w:val="00590586"/>
    <w:rPr>
      <w:b/>
      <w:bCs/>
      <w:color w:val="313131"/>
    </w:rPr>
  </w:style>
  <w:style w:type="character" w:customStyle="1" w:styleId="ncitalic1">
    <w:name w:val="ncitalic1"/>
    <w:basedOn w:val="DefaultParagraphFont"/>
    <w:rsid w:val="00590586"/>
    <w:rPr>
      <w:i/>
      <w:iCs/>
      <w:color w:val="000000"/>
    </w:rPr>
  </w:style>
  <w:style w:type="character" w:customStyle="1" w:styleId="HeaderChar">
    <w:name w:val="Header Char"/>
    <w:basedOn w:val="DefaultParagraphFont"/>
    <w:link w:val="Header"/>
    <w:uiPriority w:val="99"/>
    <w:locked/>
    <w:rsid w:val="00E37713"/>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107369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71364789">
      <w:bodyDiv w:val="1"/>
      <w:marLeft w:val="0"/>
      <w:marRight w:val="0"/>
      <w:marTop w:val="0"/>
      <w:marBottom w:val="0"/>
      <w:divBdr>
        <w:top w:val="none" w:sz="0" w:space="0" w:color="auto"/>
        <w:left w:val="none" w:sz="0" w:space="0" w:color="auto"/>
        <w:bottom w:val="none" w:sz="0" w:space="0" w:color="auto"/>
        <w:right w:val="none" w:sz="0" w:space="0" w:color="auto"/>
      </w:divBdr>
      <w:divsChild>
        <w:div w:id="1981307424">
          <w:marLeft w:val="0"/>
          <w:marRight w:val="0"/>
          <w:marTop w:val="0"/>
          <w:marBottom w:val="0"/>
          <w:divBdr>
            <w:top w:val="none" w:sz="0" w:space="0" w:color="auto"/>
            <w:left w:val="none" w:sz="0" w:space="0" w:color="auto"/>
            <w:bottom w:val="none" w:sz="0" w:space="0" w:color="auto"/>
            <w:right w:val="none" w:sz="0" w:space="0" w:color="auto"/>
          </w:divBdr>
          <w:divsChild>
            <w:div w:id="1862818275">
              <w:marLeft w:val="0"/>
              <w:marRight w:val="0"/>
              <w:marTop w:val="0"/>
              <w:marBottom w:val="0"/>
              <w:divBdr>
                <w:top w:val="none" w:sz="0" w:space="0" w:color="auto"/>
                <w:left w:val="none" w:sz="0" w:space="0" w:color="auto"/>
                <w:bottom w:val="none" w:sz="0" w:space="0" w:color="auto"/>
                <w:right w:val="none" w:sz="0" w:space="0" w:color="auto"/>
              </w:divBdr>
              <w:divsChild>
                <w:div w:id="1612934144">
                  <w:marLeft w:val="0"/>
                  <w:marRight w:val="0"/>
                  <w:marTop w:val="0"/>
                  <w:marBottom w:val="209"/>
                  <w:divBdr>
                    <w:top w:val="none" w:sz="0" w:space="0" w:color="auto"/>
                    <w:left w:val="none" w:sz="0" w:space="0" w:color="auto"/>
                    <w:bottom w:val="none" w:sz="0" w:space="0" w:color="auto"/>
                    <w:right w:val="none" w:sz="0" w:space="0" w:color="auto"/>
                  </w:divBdr>
                  <w:divsChild>
                    <w:div w:id="324168477">
                      <w:marLeft w:val="0"/>
                      <w:marRight w:val="0"/>
                      <w:marTop w:val="52"/>
                      <w:marBottom w:val="104"/>
                      <w:divBdr>
                        <w:top w:val="none" w:sz="0" w:space="0" w:color="auto"/>
                        <w:left w:val="none" w:sz="0" w:space="0" w:color="auto"/>
                        <w:bottom w:val="none" w:sz="0" w:space="0" w:color="auto"/>
                        <w:right w:val="none" w:sz="0" w:space="0" w:color="auto"/>
                      </w:divBdr>
                      <w:divsChild>
                        <w:div w:id="225914885">
                          <w:marLeft w:val="0"/>
                          <w:marRight w:val="0"/>
                          <w:marTop w:val="0"/>
                          <w:marBottom w:val="0"/>
                          <w:divBdr>
                            <w:top w:val="single" w:sz="2" w:space="0" w:color="CCCCCC"/>
                            <w:left w:val="single" w:sz="2" w:space="0" w:color="CCCCCC"/>
                            <w:bottom w:val="single" w:sz="2" w:space="0" w:color="CCCCCC"/>
                            <w:right w:val="single" w:sz="2" w:space="3" w:color="CCCCCC"/>
                          </w:divBdr>
                          <w:divsChild>
                            <w:div w:id="397906">
                              <w:marLeft w:val="0"/>
                              <w:marRight w:val="0"/>
                              <w:marTop w:val="0"/>
                              <w:marBottom w:val="0"/>
                              <w:divBdr>
                                <w:top w:val="none" w:sz="0" w:space="0" w:color="auto"/>
                                <w:left w:val="none" w:sz="0" w:space="0" w:color="auto"/>
                                <w:bottom w:val="none" w:sz="0" w:space="0" w:color="auto"/>
                                <w:right w:val="none" w:sz="0" w:space="0" w:color="auto"/>
                              </w:divBdr>
                            </w:div>
                            <w:div w:id="1485077774">
                              <w:marLeft w:val="0"/>
                              <w:marRight w:val="0"/>
                              <w:marTop w:val="0"/>
                              <w:marBottom w:val="0"/>
                              <w:divBdr>
                                <w:top w:val="none" w:sz="0" w:space="0" w:color="auto"/>
                                <w:left w:val="none" w:sz="0" w:space="0" w:color="auto"/>
                                <w:bottom w:val="none" w:sz="0" w:space="0" w:color="auto"/>
                                <w:right w:val="none" w:sz="0" w:space="0" w:color="auto"/>
                              </w:divBdr>
                            </w:div>
                            <w:div w:id="696349338">
                              <w:marLeft w:val="168"/>
                              <w:marRight w:val="168"/>
                              <w:marTop w:val="0"/>
                              <w:marBottom w:val="0"/>
                              <w:divBdr>
                                <w:top w:val="none" w:sz="0" w:space="0" w:color="auto"/>
                                <w:left w:val="none" w:sz="0" w:space="0" w:color="auto"/>
                                <w:bottom w:val="none" w:sz="0" w:space="0" w:color="auto"/>
                                <w:right w:val="none" w:sz="0" w:space="0" w:color="auto"/>
                              </w:divBdr>
                            </w:div>
                            <w:div w:id="1260061066">
                              <w:marLeft w:val="0"/>
                              <w:marRight w:val="0"/>
                              <w:marTop w:val="104"/>
                              <w:marBottom w:val="0"/>
                              <w:divBdr>
                                <w:top w:val="none" w:sz="0" w:space="0" w:color="auto"/>
                                <w:left w:val="none" w:sz="0" w:space="0" w:color="auto"/>
                                <w:bottom w:val="none" w:sz="0" w:space="0" w:color="auto"/>
                                <w:right w:val="none" w:sz="0" w:space="0" w:color="auto"/>
                              </w:divBdr>
                              <w:divsChild>
                                <w:div w:id="436293709">
                                  <w:marLeft w:val="168"/>
                                  <w:marRight w:val="168"/>
                                  <w:marTop w:val="0"/>
                                  <w:marBottom w:val="0"/>
                                  <w:divBdr>
                                    <w:top w:val="single" w:sz="2" w:space="0" w:color="CCCCCC"/>
                                    <w:left w:val="single" w:sz="2" w:space="0" w:color="CCCCCC"/>
                                    <w:bottom w:val="single" w:sz="2" w:space="0" w:color="CCCCCC"/>
                                    <w:right w:val="single" w:sz="2" w:space="0" w:color="CCCCCC"/>
                                  </w:divBdr>
                                </w:div>
                                <w:div w:id="1135023184">
                                  <w:marLeft w:val="168"/>
                                  <w:marRight w:val="168"/>
                                  <w:marTop w:val="21"/>
                                  <w:marBottom w:val="0"/>
                                  <w:divBdr>
                                    <w:top w:val="single" w:sz="2" w:space="0" w:color="CCCCCC"/>
                                    <w:left w:val="single" w:sz="2" w:space="0" w:color="CCCCCC"/>
                                    <w:bottom w:val="single" w:sz="2" w:space="0" w:color="CCCCCC"/>
                                    <w:right w:val="single" w:sz="2" w:space="0" w:color="CCCCCC"/>
                                  </w:divBdr>
                                </w:div>
                                <w:div w:id="1316256597">
                                  <w:marLeft w:val="168"/>
                                  <w:marRight w:val="168"/>
                                  <w:marTop w:val="21"/>
                                  <w:marBottom w:val="0"/>
                                  <w:divBdr>
                                    <w:top w:val="single" w:sz="2" w:space="0" w:color="CCCCCC"/>
                                    <w:left w:val="single" w:sz="2" w:space="0" w:color="CCCCCC"/>
                                    <w:bottom w:val="single" w:sz="2" w:space="0" w:color="CCCCCC"/>
                                    <w:right w:val="single" w:sz="2" w:space="0" w:color="CCCCCC"/>
                                  </w:divBdr>
                                </w:div>
                                <w:div w:id="430006671">
                                  <w:marLeft w:val="104"/>
                                  <w:marRight w:val="0"/>
                                  <w:marTop w:val="52"/>
                                  <w:marBottom w:val="0"/>
                                  <w:divBdr>
                                    <w:top w:val="none" w:sz="0" w:space="0" w:color="auto"/>
                                    <w:left w:val="none" w:sz="0" w:space="0" w:color="auto"/>
                                    <w:bottom w:val="none" w:sz="0" w:space="0" w:color="auto"/>
                                    <w:right w:val="none" w:sz="0" w:space="0" w:color="auto"/>
                                  </w:divBdr>
                                </w:div>
                              </w:divsChild>
                            </w:div>
                            <w:div w:id="147133885">
                              <w:marLeft w:val="0"/>
                              <w:marRight w:val="0"/>
                              <w:marTop w:val="360"/>
                              <w:marBottom w:val="360"/>
                              <w:divBdr>
                                <w:top w:val="none" w:sz="0" w:space="0" w:color="auto"/>
                                <w:left w:val="none" w:sz="0" w:space="0" w:color="auto"/>
                                <w:bottom w:val="none" w:sz="0" w:space="0" w:color="auto"/>
                                <w:right w:val="none" w:sz="0" w:space="0" w:color="auto"/>
                              </w:divBdr>
                            </w:div>
                          </w:divsChild>
                        </w:div>
                        <w:div w:id="2133788416">
                          <w:marLeft w:val="0"/>
                          <w:marRight w:val="0"/>
                          <w:marTop w:val="0"/>
                          <w:marBottom w:val="0"/>
                          <w:divBdr>
                            <w:top w:val="single" w:sz="2" w:space="0" w:color="CCCCCC"/>
                            <w:left w:val="single" w:sz="2" w:space="0" w:color="CCCCCC"/>
                            <w:bottom w:val="single" w:sz="2" w:space="0" w:color="CCCCCC"/>
                            <w:right w:val="single" w:sz="2" w:space="0" w:color="CCCCCC"/>
                          </w:divBdr>
                          <w:divsChild>
                            <w:div w:id="1730227486">
                              <w:marLeft w:val="0"/>
                              <w:marRight w:val="0"/>
                              <w:marTop w:val="0"/>
                              <w:marBottom w:val="0"/>
                              <w:divBdr>
                                <w:top w:val="none" w:sz="0" w:space="0" w:color="auto"/>
                                <w:left w:val="none" w:sz="0" w:space="0" w:color="auto"/>
                                <w:bottom w:val="none" w:sz="0" w:space="0" w:color="auto"/>
                                <w:right w:val="none" w:sz="0" w:space="0" w:color="auto"/>
                              </w:divBdr>
                              <w:divsChild>
                                <w:div w:id="1965891936">
                                  <w:marLeft w:val="0"/>
                                  <w:marRight w:val="0"/>
                                  <w:marTop w:val="0"/>
                                  <w:marBottom w:val="0"/>
                                  <w:divBdr>
                                    <w:top w:val="none" w:sz="0" w:space="0" w:color="auto"/>
                                    <w:left w:val="none" w:sz="0" w:space="0" w:color="auto"/>
                                    <w:bottom w:val="none" w:sz="0" w:space="0" w:color="auto"/>
                                    <w:right w:val="none" w:sz="0" w:space="0" w:color="auto"/>
                                  </w:divBdr>
                                  <w:divsChild>
                                    <w:div w:id="20690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0881175">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C7AD-F0A0-43BA-8251-C96A72D1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2011-04-08T11:41:00Z</cp:lastPrinted>
  <dcterms:created xsi:type="dcterms:W3CDTF">2012-03-27T17:18:00Z</dcterms:created>
  <dcterms:modified xsi:type="dcterms:W3CDTF">2012-04-09T17:23:00Z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