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5F1968" w:rsidRDefault="00540BEF" w:rsidP="00BF0E94">
      <w:pPr>
        <w:tabs>
          <w:tab w:val="left" w:pos="288"/>
          <w:tab w:val="left" w:pos="4752"/>
        </w:tabs>
        <w:rPr>
          <w:color w:val="auto"/>
        </w:rPr>
      </w:pPr>
      <w:r w:rsidRPr="005F1968">
        <w:rPr>
          <w:color w:val="auto"/>
        </w:rPr>
        <w:t>RECORD OF PROCEEDINGS</w:t>
      </w:r>
    </w:p>
    <w:p w:rsidR="00540BEF" w:rsidRPr="005F1968" w:rsidRDefault="00540BEF" w:rsidP="00BF0E94">
      <w:pPr>
        <w:tabs>
          <w:tab w:val="left" w:pos="288"/>
          <w:tab w:val="left" w:pos="4752"/>
        </w:tabs>
        <w:rPr>
          <w:color w:val="auto"/>
        </w:rPr>
      </w:pPr>
      <w:r w:rsidRPr="005F1968">
        <w:rPr>
          <w:color w:val="auto"/>
        </w:rPr>
        <w:t>PHYSICAL DISABILITY BOARD OF REVIEW</w:t>
      </w:r>
    </w:p>
    <w:p w:rsidR="00540BEF" w:rsidRPr="005F1968" w:rsidRDefault="00540BEF" w:rsidP="00BF0E94">
      <w:pPr>
        <w:tabs>
          <w:tab w:val="left" w:pos="288"/>
          <w:tab w:val="left" w:pos="4752"/>
        </w:tabs>
        <w:jc w:val="both"/>
        <w:rPr>
          <w:caps/>
          <w:color w:val="auto"/>
        </w:rPr>
      </w:pPr>
    </w:p>
    <w:p w:rsidR="00E0346A" w:rsidRPr="005F1968" w:rsidRDefault="00F629C0" w:rsidP="00BF0E94">
      <w:pPr>
        <w:tabs>
          <w:tab w:val="left" w:pos="288"/>
          <w:tab w:val="left" w:pos="4752"/>
          <w:tab w:val="left" w:pos="5130"/>
          <w:tab w:val="left" w:pos="9270"/>
        </w:tabs>
        <w:jc w:val="both"/>
        <w:rPr>
          <w:caps/>
          <w:color w:val="auto"/>
        </w:rPr>
      </w:pPr>
      <w:r w:rsidRPr="005F1968">
        <w:rPr>
          <w:caps/>
          <w:color w:val="auto"/>
        </w:rPr>
        <w:t xml:space="preserve">NAME:  </w:t>
      </w:r>
      <w:r w:rsidR="00AD365D">
        <w:rPr>
          <w:caps/>
          <w:color w:val="auto"/>
        </w:rPr>
        <w:t>XXXXXXXXXX</w:t>
      </w:r>
      <w:r w:rsidR="00F13031" w:rsidRPr="005F1968">
        <w:rPr>
          <w:caps/>
          <w:color w:val="auto"/>
        </w:rPr>
        <w:t xml:space="preserve"> </w:t>
      </w:r>
      <w:r w:rsidR="00F13031" w:rsidRPr="005F1968">
        <w:rPr>
          <w:caps/>
          <w:color w:val="auto"/>
        </w:rPr>
        <w:tab/>
        <w:t xml:space="preserve">                        </w:t>
      </w:r>
      <w:r w:rsidR="00231E41" w:rsidRPr="005F1968">
        <w:rPr>
          <w:caps/>
          <w:color w:val="auto"/>
        </w:rPr>
        <w:t xml:space="preserve"> </w:t>
      </w:r>
      <w:r w:rsidR="00CF3C1F" w:rsidRPr="005F1968">
        <w:rPr>
          <w:caps/>
          <w:color w:val="auto"/>
        </w:rPr>
        <w:t xml:space="preserve">     </w:t>
      </w:r>
      <w:r w:rsidRPr="005F1968">
        <w:rPr>
          <w:caps/>
          <w:color w:val="auto"/>
        </w:rPr>
        <w:t xml:space="preserve">BRANCH OF SERVICE: </w:t>
      </w:r>
      <w:r w:rsidR="004C24C5" w:rsidRPr="005F1968">
        <w:rPr>
          <w:caps/>
          <w:color w:val="auto"/>
        </w:rPr>
        <w:t xml:space="preserve"> </w:t>
      </w:r>
      <w:r w:rsidR="00231E41" w:rsidRPr="005F1968">
        <w:rPr>
          <w:caps/>
          <w:color w:val="auto"/>
        </w:rPr>
        <w:t>Army</w:t>
      </w:r>
    </w:p>
    <w:p w:rsidR="00DE3AAD" w:rsidRPr="005F1968" w:rsidRDefault="00012733" w:rsidP="0068098E">
      <w:pPr>
        <w:tabs>
          <w:tab w:val="left" w:pos="288"/>
          <w:tab w:val="left" w:pos="4166"/>
          <w:tab w:val="left" w:pos="4752"/>
          <w:tab w:val="left" w:pos="5130"/>
          <w:tab w:val="left" w:pos="9270"/>
        </w:tabs>
        <w:jc w:val="both"/>
        <w:rPr>
          <w:caps/>
          <w:color w:val="auto"/>
        </w:rPr>
      </w:pPr>
      <w:r w:rsidRPr="005F1968">
        <w:rPr>
          <w:caps/>
          <w:color w:val="auto"/>
        </w:rPr>
        <w:t>C</w:t>
      </w:r>
      <w:r w:rsidR="00DE3AAD" w:rsidRPr="005F1968">
        <w:rPr>
          <w:caps/>
          <w:color w:val="auto"/>
        </w:rPr>
        <w:t>ASE NUMBER:  PD</w:t>
      </w:r>
      <w:r w:rsidR="008F58E1" w:rsidRPr="005F1968">
        <w:rPr>
          <w:caps/>
          <w:color w:val="auto"/>
        </w:rPr>
        <w:t>11</w:t>
      </w:r>
      <w:r w:rsidR="00DE3AAD" w:rsidRPr="005F1968">
        <w:rPr>
          <w:caps/>
          <w:color w:val="auto"/>
        </w:rPr>
        <w:t>00</w:t>
      </w:r>
      <w:r w:rsidR="00F13031" w:rsidRPr="005F1968">
        <w:rPr>
          <w:caps/>
          <w:color w:val="auto"/>
        </w:rPr>
        <w:t>790</w:t>
      </w:r>
      <w:r w:rsidR="00DE3AAD" w:rsidRPr="005F1968">
        <w:rPr>
          <w:color w:val="auto"/>
        </w:rPr>
        <w:tab/>
      </w:r>
      <w:r w:rsidR="0068098E" w:rsidRPr="005F1968">
        <w:rPr>
          <w:color w:val="auto"/>
        </w:rPr>
        <w:tab/>
      </w:r>
      <w:r w:rsidR="00DE3AAD" w:rsidRPr="005F1968">
        <w:rPr>
          <w:color w:val="auto"/>
        </w:rPr>
        <w:t xml:space="preserve">         </w:t>
      </w:r>
      <w:r w:rsidR="00E0346A" w:rsidRPr="005F1968">
        <w:rPr>
          <w:color w:val="auto"/>
        </w:rPr>
        <w:t xml:space="preserve">                    </w:t>
      </w:r>
      <w:r w:rsidR="00CF3C1F" w:rsidRPr="005F1968">
        <w:rPr>
          <w:color w:val="auto"/>
        </w:rPr>
        <w:t xml:space="preserve"> </w:t>
      </w:r>
      <w:r w:rsidR="00DE3AAD" w:rsidRPr="005F1968">
        <w:rPr>
          <w:color w:val="auto"/>
        </w:rPr>
        <w:t>SEPARATION DATE:  200</w:t>
      </w:r>
      <w:r w:rsidR="00F13031" w:rsidRPr="005F1968">
        <w:rPr>
          <w:color w:val="auto"/>
        </w:rPr>
        <w:t>41029</w:t>
      </w:r>
    </w:p>
    <w:p w:rsidR="008E0D8F" w:rsidRPr="005F1968" w:rsidRDefault="004F3639" w:rsidP="00F13031">
      <w:pPr>
        <w:tabs>
          <w:tab w:val="left" w:pos="288"/>
          <w:tab w:val="left" w:pos="5130"/>
        </w:tabs>
        <w:jc w:val="both"/>
        <w:rPr>
          <w:color w:val="auto"/>
        </w:rPr>
      </w:pPr>
      <w:r w:rsidRPr="005F1968">
        <w:rPr>
          <w:caps/>
          <w:color w:val="auto"/>
        </w:rPr>
        <w:t>BOARD DATE:  201</w:t>
      </w:r>
      <w:r w:rsidR="00D77568" w:rsidRPr="005F1968">
        <w:rPr>
          <w:caps/>
          <w:color w:val="auto"/>
        </w:rPr>
        <w:t>2</w:t>
      </w:r>
      <w:r w:rsidR="00D43B32" w:rsidRPr="005F1968">
        <w:rPr>
          <w:caps/>
          <w:color w:val="auto"/>
        </w:rPr>
        <w:t>0515</w:t>
      </w:r>
      <w:r w:rsidR="0010323A" w:rsidRPr="005F1968">
        <w:rPr>
          <w:color w:val="auto"/>
        </w:rPr>
        <w:t xml:space="preserve">  </w:t>
      </w:r>
    </w:p>
    <w:p w:rsidR="0010323A" w:rsidRPr="005F1968" w:rsidRDefault="0010323A" w:rsidP="0010323A">
      <w:pPr>
        <w:pBdr>
          <w:bottom w:val="single" w:sz="12" w:space="1" w:color="auto"/>
        </w:pBdr>
        <w:tabs>
          <w:tab w:val="left" w:pos="288"/>
          <w:tab w:val="left" w:pos="4752"/>
        </w:tabs>
        <w:jc w:val="both"/>
        <w:rPr>
          <w:color w:val="auto"/>
        </w:rPr>
      </w:pPr>
    </w:p>
    <w:p w:rsidR="0010323A" w:rsidRPr="005F1968" w:rsidRDefault="0010323A" w:rsidP="0010323A">
      <w:pPr>
        <w:tabs>
          <w:tab w:val="left" w:pos="288"/>
          <w:tab w:val="left" w:pos="4752"/>
        </w:tabs>
        <w:jc w:val="both"/>
        <w:rPr>
          <w:color w:val="auto"/>
        </w:rPr>
      </w:pPr>
    </w:p>
    <w:p w:rsidR="00F63FC7" w:rsidRPr="005F1968" w:rsidRDefault="00FB0E80" w:rsidP="00BF0E94">
      <w:pPr>
        <w:tabs>
          <w:tab w:val="left" w:pos="288"/>
          <w:tab w:val="left" w:pos="4752"/>
        </w:tabs>
        <w:jc w:val="both"/>
        <w:rPr>
          <w:color w:val="auto"/>
        </w:rPr>
      </w:pPr>
      <w:r w:rsidRPr="005F1968">
        <w:rPr>
          <w:color w:val="auto"/>
          <w:u w:val="single"/>
        </w:rPr>
        <w:t>SUMMARY OF CASE</w:t>
      </w:r>
      <w:r w:rsidRPr="005F1968">
        <w:rPr>
          <w:color w:val="auto"/>
        </w:rPr>
        <w:t xml:space="preserve">:  </w:t>
      </w:r>
      <w:r w:rsidR="009759C2" w:rsidRPr="005F1968">
        <w:rPr>
          <w:color w:val="auto"/>
        </w:rPr>
        <w:t>Data extracted from the available evidence of record reflects that this covered individual (CI)</w:t>
      </w:r>
      <w:r w:rsidR="00570754" w:rsidRPr="005F1968">
        <w:rPr>
          <w:color w:val="auto"/>
        </w:rPr>
        <w:t xml:space="preserve"> </w:t>
      </w:r>
      <w:r w:rsidR="002C6E5B" w:rsidRPr="005F1968">
        <w:rPr>
          <w:color w:val="auto"/>
          <w:szCs w:val="24"/>
        </w:rPr>
        <w:t xml:space="preserve">was </w:t>
      </w:r>
      <w:r w:rsidR="00E322F7" w:rsidRPr="005F1968">
        <w:rPr>
          <w:color w:val="auto"/>
          <w:szCs w:val="24"/>
        </w:rPr>
        <w:t>an active duty</w:t>
      </w:r>
      <w:r w:rsidR="006D4E0E" w:rsidRPr="005F1968">
        <w:rPr>
          <w:color w:val="auto"/>
          <w:szCs w:val="24"/>
        </w:rPr>
        <w:t xml:space="preserve"> </w:t>
      </w:r>
      <w:r w:rsidR="00661BA2" w:rsidRPr="005F1968">
        <w:rPr>
          <w:color w:val="auto"/>
          <w:szCs w:val="24"/>
        </w:rPr>
        <w:t>SGT/E-5</w:t>
      </w:r>
      <w:r w:rsidR="00705C40" w:rsidRPr="005F1968">
        <w:rPr>
          <w:color w:val="auto"/>
          <w:szCs w:val="24"/>
        </w:rPr>
        <w:t xml:space="preserve"> (</w:t>
      </w:r>
      <w:r w:rsidR="00F13031" w:rsidRPr="005F1968">
        <w:rPr>
          <w:color w:val="auto"/>
          <w:szCs w:val="24"/>
        </w:rPr>
        <w:t>31B20</w:t>
      </w:r>
      <w:r w:rsidR="008E55E1">
        <w:rPr>
          <w:color w:val="auto"/>
          <w:szCs w:val="24"/>
        </w:rPr>
        <w:t>/</w:t>
      </w:r>
      <w:r w:rsidR="00F13031" w:rsidRPr="005F1968">
        <w:rPr>
          <w:color w:val="auto"/>
          <w:szCs w:val="24"/>
        </w:rPr>
        <w:t>Military Police</w:t>
      </w:r>
      <w:r w:rsidR="00E322F7" w:rsidRPr="005F1968">
        <w:rPr>
          <w:color w:val="auto"/>
          <w:szCs w:val="24"/>
        </w:rPr>
        <w:t>)</w:t>
      </w:r>
      <w:r w:rsidR="00C75F3D" w:rsidRPr="005F1968">
        <w:rPr>
          <w:color w:val="auto"/>
          <w:szCs w:val="24"/>
        </w:rPr>
        <w:t xml:space="preserve">, </w:t>
      </w:r>
      <w:r w:rsidR="002C6E5B" w:rsidRPr="005F1968">
        <w:rPr>
          <w:color w:val="auto"/>
          <w:szCs w:val="24"/>
        </w:rPr>
        <w:t xml:space="preserve">medically separated for </w:t>
      </w:r>
      <w:r w:rsidR="00FC29EB" w:rsidRPr="005F1968">
        <w:rPr>
          <w:color w:val="auto"/>
          <w:szCs w:val="24"/>
        </w:rPr>
        <w:t>chronic left knee pain, status post (s/p) accidental gunshot wound</w:t>
      </w:r>
      <w:r w:rsidR="001B5AE9" w:rsidRPr="005F1968">
        <w:rPr>
          <w:color w:val="auto"/>
          <w:szCs w:val="24"/>
        </w:rPr>
        <w:t xml:space="preserve"> </w:t>
      </w:r>
      <w:r w:rsidR="006A049A" w:rsidRPr="005F1968">
        <w:rPr>
          <w:color w:val="auto"/>
          <w:szCs w:val="24"/>
        </w:rPr>
        <w:t xml:space="preserve">(GSW from </w:t>
      </w:r>
      <w:r w:rsidR="001B5AE9" w:rsidRPr="005F1968">
        <w:rPr>
          <w:color w:val="auto"/>
          <w:szCs w:val="24"/>
        </w:rPr>
        <w:t>9-mm pistol)</w:t>
      </w:r>
      <w:r w:rsidR="00F13031" w:rsidRPr="005F1968">
        <w:rPr>
          <w:color w:val="auto"/>
          <w:szCs w:val="24"/>
        </w:rPr>
        <w:t>.</w:t>
      </w:r>
      <w:r w:rsidR="00FC29EB" w:rsidRPr="005F1968">
        <w:rPr>
          <w:color w:val="auto"/>
          <w:szCs w:val="24"/>
        </w:rPr>
        <w:t xml:space="preserve">  </w:t>
      </w:r>
      <w:r w:rsidR="00CF3C1F" w:rsidRPr="005F1968">
        <w:rPr>
          <w:color w:val="auto"/>
          <w:szCs w:val="24"/>
        </w:rPr>
        <w:t>The CI s</w:t>
      </w:r>
      <w:r w:rsidR="00DA6734" w:rsidRPr="005F1968">
        <w:rPr>
          <w:color w:val="auto"/>
          <w:szCs w:val="24"/>
        </w:rPr>
        <w:t xml:space="preserve">ustained a gunshot wound to his </w:t>
      </w:r>
      <w:r w:rsidR="0018204C" w:rsidRPr="005F1968">
        <w:rPr>
          <w:color w:val="auto"/>
          <w:szCs w:val="24"/>
        </w:rPr>
        <w:t>left thigh</w:t>
      </w:r>
      <w:r w:rsidR="00DA6734" w:rsidRPr="005F1968">
        <w:rPr>
          <w:color w:val="auto"/>
          <w:szCs w:val="24"/>
        </w:rPr>
        <w:t xml:space="preserve"> in Kuwait in March 2003</w:t>
      </w:r>
      <w:r w:rsidR="006A049A" w:rsidRPr="005F1968">
        <w:rPr>
          <w:color w:val="auto"/>
          <w:szCs w:val="24"/>
        </w:rPr>
        <w:t xml:space="preserve">; entrance was in the upper medial thigh and exit was in the lateral knee (patellar) area with a </w:t>
      </w:r>
      <w:r w:rsidR="006665E7" w:rsidRPr="005F1968">
        <w:rPr>
          <w:color w:val="auto"/>
          <w:szCs w:val="24"/>
        </w:rPr>
        <w:t xml:space="preserve">comminuted </w:t>
      </w:r>
      <w:r w:rsidR="006A049A" w:rsidRPr="005F1968">
        <w:rPr>
          <w:color w:val="auto"/>
          <w:szCs w:val="24"/>
        </w:rPr>
        <w:t>fracture of the femur</w:t>
      </w:r>
      <w:r w:rsidR="00DA6734" w:rsidRPr="005F1968">
        <w:rPr>
          <w:color w:val="auto"/>
          <w:szCs w:val="24"/>
        </w:rPr>
        <w:t xml:space="preserve">.  </w:t>
      </w:r>
      <w:r w:rsidR="00AD6232" w:rsidRPr="005F1968">
        <w:rPr>
          <w:color w:val="auto"/>
          <w:szCs w:val="24"/>
        </w:rPr>
        <w:t>Following debridment and external fixation</w:t>
      </w:r>
      <w:r w:rsidR="006A049A" w:rsidRPr="005F1968">
        <w:rPr>
          <w:color w:val="auto"/>
          <w:szCs w:val="24"/>
        </w:rPr>
        <w:t xml:space="preserve"> of the femur</w:t>
      </w:r>
      <w:r w:rsidR="00AD6232" w:rsidRPr="005F1968">
        <w:rPr>
          <w:color w:val="auto"/>
          <w:szCs w:val="24"/>
        </w:rPr>
        <w:t xml:space="preserve">, he was evacuated from theater.  He underwent a definitive intermedullay (IM) nail rod placement in the femur.  </w:t>
      </w:r>
      <w:r w:rsidR="00643C8F" w:rsidRPr="005F1968">
        <w:rPr>
          <w:color w:val="auto"/>
          <w:szCs w:val="24"/>
        </w:rPr>
        <w:t xml:space="preserve">He did not respond adequately to </w:t>
      </w:r>
      <w:r w:rsidR="006A049A" w:rsidRPr="005F1968">
        <w:rPr>
          <w:color w:val="auto"/>
          <w:szCs w:val="24"/>
        </w:rPr>
        <w:t>extensive therapy</w:t>
      </w:r>
      <w:r w:rsidR="00AD6232" w:rsidRPr="005F1968">
        <w:rPr>
          <w:color w:val="auto"/>
          <w:szCs w:val="24"/>
        </w:rPr>
        <w:t xml:space="preserve">, had </w:t>
      </w:r>
      <w:r w:rsidR="0064087E" w:rsidRPr="005F1968">
        <w:rPr>
          <w:color w:val="auto"/>
          <w:szCs w:val="24"/>
        </w:rPr>
        <w:t>persistent</w:t>
      </w:r>
      <w:r w:rsidR="00AD6232" w:rsidRPr="005F1968">
        <w:rPr>
          <w:color w:val="auto"/>
          <w:szCs w:val="24"/>
        </w:rPr>
        <w:t xml:space="preserve"> </w:t>
      </w:r>
      <w:r w:rsidR="006A049A" w:rsidRPr="005F1968">
        <w:rPr>
          <w:color w:val="auto"/>
          <w:szCs w:val="24"/>
        </w:rPr>
        <w:t xml:space="preserve">leg and knee </w:t>
      </w:r>
      <w:r w:rsidR="00AD6232" w:rsidRPr="005F1968">
        <w:rPr>
          <w:color w:val="auto"/>
          <w:szCs w:val="24"/>
        </w:rPr>
        <w:t>pain,</w:t>
      </w:r>
      <w:r w:rsidR="00643C8F" w:rsidRPr="005F1968">
        <w:rPr>
          <w:color w:val="auto"/>
          <w:szCs w:val="24"/>
        </w:rPr>
        <w:t xml:space="preserve"> </w:t>
      </w:r>
      <w:r w:rsidR="00AD6232" w:rsidRPr="005F1968">
        <w:rPr>
          <w:color w:val="auto"/>
          <w:szCs w:val="24"/>
        </w:rPr>
        <w:t xml:space="preserve">was unable to run, </w:t>
      </w:r>
      <w:r w:rsidR="00643C8F" w:rsidRPr="005F1968">
        <w:rPr>
          <w:color w:val="auto"/>
          <w:szCs w:val="24"/>
        </w:rPr>
        <w:t xml:space="preserve">and was unable to perform within his Military Occupational Specialty (MOS) or meet physical fitness standards.  He was issued a </w:t>
      </w:r>
      <w:r w:rsidR="00F13031" w:rsidRPr="005F1968">
        <w:rPr>
          <w:color w:val="auto"/>
          <w:szCs w:val="24"/>
        </w:rPr>
        <w:t>permanent L3</w:t>
      </w:r>
      <w:r w:rsidR="00643C8F" w:rsidRPr="005F1968">
        <w:rPr>
          <w:color w:val="auto"/>
          <w:szCs w:val="24"/>
        </w:rPr>
        <w:t xml:space="preserve"> profile and underwent a Medical Evaluation Board (MEB).</w:t>
      </w:r>
      <w:r w:rsidR="00FC29EB" w:rsidRPr="005F1968">
        <w:rPr>
          <w:color w:val="auto"/>
          <w:szCs w:val="24"/>
        </w:rPr>
        <w:t xml:space="preserve">  </w:t>
      </w:r>
      <w:r w:rsidR="00F13031" w:rsidRPr="005F1968">
        <w:rPr>
          <w:color w:val="auto"/>
          <w:szCs w:val="24"/>
        </w:rPr>
        <w:t xml:space="preserve">Left </w:t>
      </w:r>
      <w:r w:rsidR="00FC29EB" w:rsidRPr="005F1968">
        <w:rPr>
          <w:color w:val="auto"/>
          <w:szCs w:val="24"/>
        </w:rPr>
        <w:t xml:space="preserve">knee pain, s/p gunshot wound, femur fracture, and s/p IM </w:t>
      </w:r>
      <w:r w:rsidR="00CF3C1F" w:rsidRPr="005F1968">
        <w:rPr>
          <w:color w:val="auto"/>
          <w:szCs w:val="24"/>
        </w:rPr>
        <w:t xml:space="preserve">(intra medulary) </w:t>
      </w:r>
      <w:r w:rsidR="00FC29EB" w:rsidRPr="005F1968">
        <w:rPr>
          <w:color w:val="auto"/>
          <w:szCs w:val="24"/>
        </w:rPr>
        <w:t>nail placeme</w:t>
      </w:r>
      <w:r w:rsidR="00F13031" w:rsidRPr="005F1968">
        <w:rPr>
          <w:color w:val="auto"/>
          <w:szCs w:val="24"/>
        </w:rPr>
        <w:t>nt</w:t>
      </w:r>
      <w:r w:rsidR="000A33C8" w:rsidRPr="005F1968">
        <w:rPr>
          <w:color w:val="auto"/>
          <w:szCs w:val="24"/>
        </w:rPr>
        <w:t xml:space="preserve"> were forwarded to the Physical Evaluation Board (PEB) as medically unacceptable IAW AR 40-501</w:t>
      </w:r>
      <w:r w:rsidR="00376E08" w:rsidRPr="005F1968">
        <w:rPr>
          <w:color w:val="auto"/>
          <w:szCs w:val="24"/>
        </w:rPr>
        <w:t>.</w:t>
      </w:r>
      <w:r w:rsidR="00FC29EB" w:rsidRPr="005F1968">
        <w:rPr>
          <w:color w:val="auto"/>
          <w:szCs w:val="24"/>
        </w:rPr>
        <w:t xml:space="preserve">  </w:t>
      </w:r>
      <w:r w:rsidR="001A5E62" w:rsidRPr="005F1968">
        <w:rPr>
          <w:color w:val="auto"/>
          <w:szCs w:val="24"/>
        </w:rPr>
        <w:t xml:space="preserve">No other conditions appeared on the MEB’s submission.  </w:t>
      </w:r>
      <w:r w:rsidR="00842BAA" w:rsidRPr="005F1968">
        <w:rPr>
          <w:color w:val="auto"/>
          <w:szCs w:val="24"/>
        </w:rPr>
        <w:t xml:space="preserve">The PEB adjudicated </w:t>
      </w:r>
      <w:r w:rsidR="00AB47D2" w:rsidRPr="005F1968">
        <w:rPr>
          <w:color w:val="auto"/>
          <w:szCs w:val="24"/>
        </w:rPr>
        <w:t>“</w:t>
      </w:r>
      <w:r w:rsidR="00FC29EB" w:rsidRPr="005F1968">
        <w:rPr>
          <w:color w:val="auto"/>
          <w:szCs w:val="24"/>
        </w:rPr>
        <w:t>chronic left knee pain, s/p accidental gunshot wound with nail placement for femur fracture</w:t>
      </w:r>
      <w:r w:rsidR="00AB47D2" w:rsidRPr="005F1968">
        <w:rPr>
          <w:color w:val="auto"/>
          <w:szCs w:val="24"/>
        </w:rPr>
        <w:t>”</w:t>
      </w:r>
      <w:r w:rsidR="00FC29EB" w:rsidRPr="005F1968">
        <w:rPr>
          <w:color w:val="auto"/>
          <w:szCs w:val="24"/>
        </w:rPr>
        <w:t xml:space="preserve"> </w:t>
      </w:r>
      <w:r w:rsidR="00842BAA" w:rsidRPr="005F1968">
        <w:rPr>
          <w:color w:val="auto"/>
          <w:szCs w:val="24"/>
        </w:rPr>
        <w:t xml:space="preserve">as unfitting, rated </w:t>
      </w:r>
      <w:r w:rsidR="00F13031" w:rsidRPr="005F1968">
        <w:rPr>
          <w:color w:val="auto"/>
          <w:szCs w:val="24"/>
        </w:rPr>
        <w:t>10</w:t>
      </w:r>
      <w:r w:rsidR="00842BAA" w:rsidRPr="005F1968">
        <w:rPr>
          <w:color w:val="auto"/>
          <w:szCs w:val="24"/>
        </w:rPr>
        <w:t xml:space="preserve">%; with </w:t>
      </w:r>
      <w:r w:rsidR="00CF3C1F" w:rsidRPr="005F1968">
        <w:rPr>
          <w:color w:val="auto"/>
          <w:szCs w:val="24"/>
        </w:rPr>
        <w:t xml:space="preserve">specified </w:t>
      </w:r>
      <w:r w:rsidR="00842BAA" w:rsidRPr="005F1968">
        <w:rPr>
          <w:color w:val="auto"/>
          <w:szCs w:val="24"/>
        </w:rPr>
        <w:t>application of the US Army Physical Disabil</w:t>
      </w:r>
      <w:r w:rsidR="00FC29EB" w:rsidRPr="005F1968">
        <w:rPr>
          <w:color w:val="auto"/>
          <w:szCs w:val="24"/>
        </w:rPr>
        <w:t xml:space="preserve">ity Agency (USAPDA) pain policy.  </w:t>
      </w:r>
      <w:r w:rsidR="00B20624" w:rsidRPr="005F1968">
        <w:rPr>
          <w:color w:val="auto"/>
        </w:rPr>
        <w:t xml:space="preserve">The CI </w:t>
      </w:r>
      <w:r w:rsidR="00190E48" w:rsidRPr="005F1968">
        <w:rPr>
          <w:color w:val="auto"/>
        </w:rPr>
        <w:t xml:space="preserve">made no appeals, </w:t>
      </w:r>
      <w:r w:rsidR="00B20624" w:rsidRPr="005F1968">
        <w:rPr>
          <w:color w:val="auto"/>
        </w:rPr>
        <w:t xml:space="preserve">and was medically separated with a </w:t>
      </w:r>
      <w:r w:rsidR="00F13031" w:rsidRPr="005F1968">
        <w:rPr>
          <w:color w:val="auto"/>
        </w:rPr>
        <w:t>10</w:t>
      </w:r>
      <w:r w:rsidR="00B20624" w:rsidRPr="005F1968">
        <w:rPr>
          <w:color w:val="auto"/>
        </w:rPr>
        <w:t>% combined disability rating.</w:t>
      </w:r>
      <w:r w:rsidR="0010323A" w:rsidRPr="005F1968">
        <w:rPr>
          <w:color w:val="auto"/>
        </w:rPr>
        <w:t xml:space="preserve">  </w:t>
      </w:r>
    </w:p>
    <w:p w:rsidR="004174F0" w:rsidRPr="005F1968" w:rsidRDefault="004174F0" w:rsidP="00BF0E94">
      <w:pPr>
        <w:pBdr>
          <w:bottom w:val="single" w:sz="12" w:space="1" w:color="auto"/>
        </w:pBdr>
        <w:tabs>
          <w:tab w:val="left" w:pos="288"/>
          <w:tab w:val="left" w:pos="4752"/>
        </w:tabs>
        <w:jc w:val="both"/>
        <w:rPr>
          <w:color w:val="auto"/>
        </w:rPr>
      </w:pPr>
    </w:p>
    <w:p w:rsidR="004174F0" w:rsidRPr="005F1968" w:rsidRDefault="004174F0" w:rsidP="00BF0E94">
      <w:pPr>
        <w:tabs>
          <w:tab w:val="left" w:pos="288"/>
          <w:tab w:val="left" w:pos="4752"/>
        </w:tabs>
        <w:jc w:val="both"/>
        <w:rPr>
          <w:color w:val="auto"/>
        </w:rPr>
      </w:pPr>
    </w:p>
    <w:p w:rsidR="00085D7B" w:rsidRPr="005F1968" w:rsidRDefault="002C6E5B" w:rsidP="00BF0E94">
      <w:pPr>
        <w:tabs>
          <w:tab w:val="left" w:pos="288"/>
          <w:tab w:val="left" w:pos="4752"/>
        </w:tabs>
        <w:jc w:val="both"/>
        <w:rPr>
          <w:color w:val="auto"/>
        </w:rPr>
      </w:pPr>
      <w:r w:rsidRPr="005F1968">
        <w:rPr>
          <w:color w:val="auto"/>
          <w:u w:val="single"/>
        </w:rPr>
        <w:t>CI CONTENTION</w:t>
      </w:r>
      <w:r w:rsidRPr="005F1968">
        <w:rPr>
          <w:color w:val="auto"/>
        </w:rPr>
        <w:t>:</w:t>
      </w:r>
      <w:r w:rsidR="00F13031" w:rsidRPr="005F1968">
        <w:rPr>
          <w:color w:val="auto"/>
        </w:rPr>
        <w:t xml:space="preserve"> </w:t>
      </w:r>
      <w:r w:rsidR="00CF3C1F" w:rsidRPr="005F1968">
        <w:rPr>
          <w:color w:val="auto"/>
        </w:rPr>
        <w:t xml:space="preserve"> </w:t>
      </w:r>
      <w:r w:rsidR="00F13031" w:rsidRPr="005F1968">
        <w:rPr>
          <w:color w:val="auto"/>
        </w:rPr>
        <w:t xml:space="preserve">“Due to having a metal rod in my body there is a lot of pain when the weather changes.  Also when lifting and carrying objects over 25 lbs there is pain.  I recently had an MRI done and found Arthritis at the base of spine Doctors have informed me that it is uncommon to have arthritis at such a young age. </w:t>
      </w:r>
      <w:r w:rsidR="00CF3C1F" w:rsidRPr="005F1968">
        <w:rPr>
          <w:color w:val="auto"/>
        </w:rPr>
        <w:t xml:space="preserve"> </w:t>
      </w:r>
      <w:r w:rsidR="00F13031" w:rsidRPr="005F1968">
        <w:rPr>
          <w:color w:val="auto"/>
        </w:rPr>
        <w:t xml:space="preserve">Also I have noted in my military records that I have trouble sleeping and it wasn’t considered in my disability rating.  </w:t>
      </w:r>
      <w:r w:rsidR="00502C32" w:rsidRPr="005F1968">
        <w:rPr>
          <w:color w:val="auto"/>
        </w:rPr>
        <w:t xml:space="preserve">Also when walking around or even exercising there is a lot of pain.  I have gone to the doctor numerous times for the calcium build up in left knee.  I have also received </w:t>
      </w:r>
      <w:r w:rsidR="00336021" w:rsidRPr="005F1968">
        <w:rPr>
          <w:color w:val="auto"/>
        </w:rPr>
        <w:t>cortisone</w:t>
      </w:r>
      <w:r w:rsidR="00502C32" w:rsidRPr="005F1968">
        <w:rPr>
          <w:color w:val="auto"/>
        </w:rPr>
        <w:t xml:space="preserve"> shot to help alleviate the pain.  There are days when I wake up and my Left leg is still asleep and I have to stretch and bend it to wake it up.  Also there are times when after work or exercise I have to ice down my knee due to swelling.  I have gone to the doctor’s office because I am not able to sleep.  I have been prescribed Ambient to help with the sleep problems.”</w:t>
      </w:r>
      <w:r w:rsidR="00D77568" w:rsidRPr="005F1968">
        <w:rPr>
          <w:color w:val="auto"/>
        </w:rPr>
        <w:t xml:space="preserve">  </w:t>
      </w:r>
    </w:p>
    <w:p w:rsidR="00CF3C1F" w:rsidRPr="005F1968" w:rsidRDefault="00CF3C1F" w:rsidP="00CF3C1F">
      <w:pPr>
        <w:pBdr>
          <w:bottom w:val="single" w:sz="12" w:space="1" w:color="auto"/>
        </w:pBdr>
        <w:tabs>
          <w:tab w:val="left" w:pos="288"/>
          <w:tab w:val="left" w:pos="4752"/>
        </w:tabs>
        <w:jc w:val="both"/>
        <w:rPr>
          <w:color w:val="auto"/>
        </w:rPr>
      </w:pPr>
    </w:p>
    <w:p w:rsidR="00CF3C1F" w:rsidRPr="005F1968" w:rsidRDefault="00CF3C1F" w:rsidP="00CF3C1F">
      <w:pPr>
        <w:tabs>
          <w:tab w:val="left" w:pos="288"/>
          <w:tab w:val="left" w:pos="4752"/>
        </w:tabs>
        <w:jc w:val="both"/>
        <w:rPr>
          <w:color w:val="auto"/>
        </w:rPr>
      </w:pPr>
    </w:p>
    <w:p w:rsidR="00CF3C1F" w:rsidRPr="005F1968" w:rsidRDefault="00CF3C1F" w:rsidP="00CF3C1F">
      <w:pPr>
        <w:jc w:val="both"/>
        <w:rPr>
          <w:color w:val="auto"/>
        </w:rPr>
      </w:pPr>
      <w:r w:rsidRPr="005F1968">
        <w:rPr>
          <w:color w:val="auto"/>
          <w:u w:val="single"/>
        </w:rPr>
        <w:t>SCOPE OF REVIEW</w:t>
      </w:r>
      <w:r w:rsidRPr="005F1968">
        <w:rPr>
          <w:color w:val="auto"/>
        </w:rPr>
        <w:t xml:space="preserve">:  The Board wishes to clarify that the scope of its review as defined in DoDI 6040.44 (4.a) is limited to those conditions which were determined by the PEB to be specifically unfitting for continued military service; and, when requested by the CI, those condition(s) “identified but not determined to be unfitting by the PEB.”  The conditions concerning the left leg and knee as requested for consideration meet the criteria prescribed in DoDI 6040.44 for Board purview; and, are addressed below as part of the review of the service ratings for the unfitting gunshot wound condition.  The other requested conditions of </w:t>
      </w:r>
      <w:r w:rsidR="00AD6232" w:rsidRPr="005F1968">
        <w:rPr>
          <w:color w:val="auto"/>
        </w:rPr>
        <w:t xml:space="preserve">spine pain/arthritis and trouble sleeping </w:t>
      </w:r>
      <w:r w:rsidRPr="005F1968">
        <w:rPr>
          <w:color w:val="auto"/>
        </w:rPr>
        <w:t xml:space="preserve">are not within the Board’s purview.  Any conditions or contention not requested in this application, or otherwise outside the Board’s defined scope of review, remain eligible for future consideration by the Army Board for the Correction of Military Records (BCMR).  </w:t>
      </w:r>
    </w:p>
    <w:p w:rsidR="004174F0" w:rsidRPr="005F1968" w:rsidRDefault="004174F0" w:rsidP="00BF0E94">
      <w:pPr>
        <w:pBdr>
          <w:bottom w:val="single" w:sz="12" w:space="1" w:color="auto"/>
        </w:pBdr>
        <w:tabs>
          <w:tab w:val="left" w:pos="288"/>
          <w:tab w:val="left" w:pos="4752"/>
        </w:tabs>
        <w:jc w:val="both"/>
        <w:rPr>
          <w:color w:val="auto"/>
        </w:rPr>
      </w:pPr>
    </w:p>
    <w:p w:rsidR="004174F0" w:rsidRPr="005F1968" w:rsidRDefault="004174F0" w:rsidP="00BF0E94">
      <w:pPr>
        <w:tabs>
          <w:tab w:val="left" w:pos="288"/>
          <w:tab w:val="left" w:pos="4752"/>
        </w:tabs>
        <w:jc w:val="both"/>
        <w:rPr>
          <w:color w:val="auto"/>
        </w:rPr>
      </w:pPr>
    </w:p>
    <w:p w:rsidR="00502C32" w:rsidRPr="005F1968" w:rsidRDefault="007F0AB7" w:rsidP="009E33DC">
      <w:pPr>
        <w:jc w:val="left"/>
        <w:rPr>
          <w:color w:val="auto"/>
        </w:rPr>
      </w:pPr>
      <w:r w:rsidRPr="005F1968">
        <w:rPr>
          <w:color w:val="auto"/>
          <w:u w:val="single"/>
        </w:rPr>
        <w:lastRenderedPageBreak/>
        <w:t>R</w:t>
      </w:r>
      <w:r w:rsidR="002C6E5B" w:rsidRPr="005F1968">
        <w:rPr>
          <w:color w:val="auto"/>
          <w:u w:val="single"/>
        </w:rPr>
        <w:t>ATING COMPARISON</w:t>
      </w:r>
      <w:r w:rsidR="002C6E5B" w:rsidRPr="005F1968">
        <w:rPr>
          <w:color w:val="auto"/>
        </w:rPr>
        <w:t>:</w:t>
      </w:r>
      <w:r w:rsidR="00D77568" w:rsidRPr="005F1968">
        <w:rPr>
          <w:color w:val="auto"/>
        </w:rPr>
        <w:t xml:space="preserve">  </w:t>
      </w:r>
    </w:p>
    <w:p w:rsidR="00502C32" w:rsidRPr="005F1968" w:rsidRDefault="00502C32" w:rsidP="00502C32">
      <w:pPr>
        <w:jc w:val="both"/>
        <w:rPr>
          <w:color w:val="auto"/>
        </w:rPr>
      </w:pPr>
    </w:p>
    <w:tbl>
      <w:tblPr>
        <w:tblStyle w:val="TableGrid"/>
        <w:tblW w:w="9378" w:type="dxa"/>
        <w:jc w:val="center"/>
        <w:tblLayout w:type="fixed"/>
        <w:tblLook w:val="04A0"/>
      </w:tblPr>
      <w:tblGrid>
        <w:gridCol w:w="2177"/>
        <w:gridCol w:w="1080"/>
        <w:gridCol w:w="902"/>
        <w:gridCol w:w="2321"/>
        <w:gridCol w:w="1080"/>
        <w:gridCol w:w="828"/>
        <w:gridCol w:w="990"/>
      </w:tblGrid>
      <w:tr w:rsidR="002B4E22" w:rsidRPr="005F1968" w:rsidTr="0010323A">
        <w:trPr>
          <w:trHeight w:val="233"/>
          <w:jc w:val="center"/>
        </w:trPr>
        <w:tc>
          <w:tcPr>
            <w:tcW w:w="4159" w:type="dxa"/>
            <w:gridSpan w:val="3"/>
            <w:tcBorders>
              <w:right w:val="thinThickThinSmallGap" w:sz="24" w:space="0" w:color="auto"/>
            </w:tcBorders>
            <w:shd w:val="clear" w:color="auto" w:fill="D9D9D9" w:themeFill="background1" w:themeFillShade="D9"/>
            <w:vAlign w:val="center"/>
          </w:tcPr>
          <w:p w:rsidR="002B4E22" w:rsidRPr="005F1968" w:rsidRDefault="00B731E4" w:rsidP="0010323A">
            <w:pPr>
              <w:contextualSpacing/>
              <w:rPr>
                <w:rFonts w:ascii="Calibri" w:hAnsi="Calibri" w:cs="Calibri"/>
                <w:b/>
                <w:color w:val="auto"/>
                <w:sz w:val="18"/>
                <w:szCs w:val="18"/>
              </w:rPr>
            </w:pPr>
            <w:r w:rsidRPr="005F1968">
              <w:rPr>
                <w:rFonts w:ascii="Calibri" w:hAnsi="Calibri" w:cs="Calibri"/>
                <w:b/>
                <w:color w:val="auto"/>
                <w:sz w:val="18"/>
                <w:szCs w:val="18"/>
              </w:rPr>
              <w:t>Service PEB – Dated 200</w:t>
            </w:r>
            <w:r w:rsidR="00502C32" w:rsidRPr="005F1968">
              <w:rPr>
                <w:rFonts w:ascii="Calibri" w:hAnsi="Calibri" w:cs="Calibri"/>
                <w:b/>
                <w:color w:val="auto"/>
                <w:sz w:val="18"/>
                <w:szCs w:val="18"/>
              </w:rPr>
              <w:t>40728</w:t>
            </w:r>
          </w:p>
        </w:tc>
        <w:tc>
          <w:tcPr>
            <w:tcW w:w="5219" w:type="dxa"/>
            <w:gridSpan w:val="4"/>
            <w:tcBorders>
              <w:left w:val="thinThickThinSmallGap" w:sz="24" w:space="0" w:color="auto"/>
            </w:tcBorders>
            <w:shd w:val="clear" w:color="auto" w:fill="D9D9D9" w:themeFill="background1" w:themeFillShade="D9"/>
            <w:vAlign w:val="center"/>
          </w:tcPr>
          <w:p w:rsidR="002B4E22" w:rsidRPr="005F1968" w:rsidRDefault="002B4E22" w:rsidP="0010323A">
            <w:pPr>
              <w:contextualSpacing/>
              <w:rPr>
                <w:rFonts w:ascii="Calibri" w:hAnsi="Calibri" w:cs="Calibri"/>
                <w:b/>
                <w:color w:val="auto"/>
                <w:sz w:val="18"/>
                <w:szCs w:val="18"/>
              </w:rPr>
            </w:pPr>
            <w:r w:rsidRPr="005F1968">
              <w:rPr>
                <w:rFonts w:ascii="Calibri" w:hAnsi="Calibri" w:cs="Calibri"/>
                <w:b/>
                <w:color w:val="auto"/>
                <w:sz w:val="18"/>
                <w:szCs w:val="18"/>
              </w:rPr>
              <w:t>VA (</w:t>
            </w:r>
            <w:r w:rsidR="0083238C" w:rsidRPr="005F1968">
              <w:rPr>
                <w:rFonts w:ascii="Calibri" w:hAnsi="Calibri" w:cs="Calibri"/>
                <w:b/>
                <w:color w:val="auto"/>
                <w:sz w:val="18"/>
                <w:szCs w:val="18"/>
              </w:rPr>
              <w:t>~</w:t>
            </w:r>
            <w:r w:rsidR="00DD0873" w:rsidRPr="005F1968">
              <w:rPr>
                <w:rFonts w:ascii="Calibri" w:hAnsi="Calibri" w:cs="Calibri"/>
                <w:b/>
                <w:color w:val="auto"/>
                <w:sz w:val="18"/>
                <w:szCs w:val="18"/>
              </w:rPr>
              <w:t>1</w:t>
            </w:r>
            <w:r w:rsidR="0079154B" w:rsidRPr="005F1968">
              <w:rPr>
                <w:rFonts w:ascii="Calibri" w:hAnsi="Calibri" w:cs="Calibri"/>
                <w:b/>
                <w:color w:val="auto"/>
                <w:sz w:val="18"/>
                <w:szCs w:val="18"/>
              </w:rPr>
              <w:t xml:space="preserve"> </w:t>
            </w:r>
            <w:r w:rsidRPr="005F1968">
              <w:rPr>
                <w:rFonts w:ascii="Calibri" w:hAnsi="Calibri" w:cs="Calibri"/>
                <w:b/>
                <w:color w:val="auto"/>
                <w:sz w:val="18"/>
                <w:szCs w:val="18"/>
              </w:rPr>
              <w:t xml:space="preserve">Mo. After Separation) – All Effective Date </w:t>
            </w:r>
            <w:r w:rsidR="002D08F3" w:rsidRPr="005F1968">
              <w:rPr>
                <w:rFonts w:ascii="Calibri" w:hAnsi="Calibri" w:cs="Calibri"/>
                <w:b/>
                <w:color w:val="auto"/>
                <w:sz w:val="18"/>
                <w:szCs w:val="18"/>
              </w:rPr>
              <w:t>200</w:t>
            </w:r>
            <w:r w:rsidR="00DD0873" w:rsidRPr="005F1968">
              <w:rPr>
                <w:rFonts w:ascii="Calibri" w:hAnsi="Calibri" w:cs="Calibri"/>
                <w:b/>
                <w:color w:val="auto"/>
                <w:sz w:val="18"/>
                <w:szCs w:val="18"/>
              </w:rPr>
              <w:t>41030</w:t>
            </w:r>
          </w:p>
        </w:tc>
      </w:tr>
      <w:tr w:rsidR="002B4E22" w:rsidRPr="005F1968" w:rsidTr="0010323A">
        <w:trPr>
          <w:trHeight w:val="278"/>
          <w:jc w:val="center"/>
        </w:trPr>
        <w:tc>
          <w:tcPr>
            <w:tcW w:w="2177" w:type="dxa"/>
            <w:tcBorders>
              <w:bottom w:val="single" w:sz="4" w:space="0" w:color="000000" w:themeColor="text1"/>
              <w:right w:val="single" w:sz="4" w:space="0" w:color="auto"/>
            </w:tcBorders>
            <w:shd w:val="clear" w:color="auto" w:fill="D9D9D9" w:themeFill="background1" w:themeFillShade="D9"/>
            <w:vAlign w:val="center"/>
          </w:tcPr>
          <w:p w:rsidR="002B4E22" w:rsidRPr="005F1968" w:rsidRDefault="002B4E22" w:rsidP="0010323A">
            <w:pPr>
              <w:contextualSpacing/>
              <w:rPr>
                <w:rFonts w:ascii="Calibri" w:hAnsi="Calibri" w:cs="Calibri"/>
                <w:b/>
                <w:color w:val="auto"/>
                <w:sz w:val="18"/>
                <w:szCs w:val="18"/>
              </w:rPr>
            </w:pPr>
            <w:r w:rsidRPr="005F1968">
              <w:rPr>
                <w:rFonts w:ascii="Calibri" w:hAnsi="Calibri" w:cs="Calibri"/>
                <w:b/>
                <w:color w:val="auto"/>
                <w:sz w:val="18"/>
                <w:szCs w:val="18"/>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2B4E22" w:rsidRPr="005F1968" w:rsidRDefault="002B4E22" w:rsidP="0010323A">
            <w:pPr>
              <w:contextualSpacing/>
              <w:rPr>
                <w:rFonts w:ascii="Calibri" w:hAnsi="Calibri" w:cs="Calibri"/>
                <w:b/>
                <w:color w:val="auto"/>
                <w:sz w:val="18"/>
                <w:szCs w:val="18"/>
              </w:rPr>
            </w:pPr>
            <w:r w:rsidRPr="005F1968">
              <w:rPr>
                <w:rFonts w:ascii="Calibri" w:hAnsi="Calibri" w:cs="Calibri"/>
                <w:b/>
                <w:color w:val="auto"/>
                <w:sz w:val="18"/>
                <w:szCs w:val="18"/>
              </w:rPr>
              <w:t>Code</w:t>
            </w:r>
          </w:p>
        </w:tc>
        <w:tc>
          <w:tcPr>
            <w:tcW w:w="902"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5F1968" w:rsidRDefault="002B4E22" w:rsidP="0010323A">
            <w:pPr>
              <w:contextualSpacing/>
              <w:rPr>
                <w:rFonts w:ascii="Calibri" w:hAnsi="Calibri" w:cs="Calibri"/>
                <w:b/>
                <w:color w:val="auto"/>
                <w:sz w:val="18"/>
                <w:szCs w:val="18"/>
              </w:rPr>
            </w:pPr>
            <w:r w:rsidRPr="005F1968">
              <w:rPr>
                <w:rFonts w:ascii="Calibri" w:hAnsi="Calibri" w:cs="Calibri"/>
                <w:b/>
                <w:color w:val="auto"/>
                <w:sz w:val="18"/>
                <w:szCs w:val="18"/>
              </w:rPr>
              <w:t>Rating</w:t>
            </w:r>
          </w:p>
        </w:tc>
        <w:tc>
          <w:tcPr>
            <w:tcW w:w="2321"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5F1968" w:rsidRDefault="002B4E22" w:rsidP="0010323A">
            <w:pPr>
              <w:contextualSpacing/>
              <w:rPr>
                <w:rFonts w:ascii="Calibri" w:hAnsi="Calibri" w:cs="Calibri"/>
                <w:b/>
                <w:color w:val="auto"/>
                <w:sz w:val="18"/>
                <w:szCs w:val="18"/>
              </w:rPr>
            </w:pPr>
            <w:r w:rsidRPr="005F1968">
              <w:rPr>
                <w:rFonts w:ascii="Calibri" w:hAnsi="Calibri" w:cs="Calibri"/>
                <w:b/>
                <w:color w:val="auto"/>
                <w:sz w:val="18"/>
                <w:szCs w:val="18"/>
              </w:rPr>
              <w:t>Condition</w:t>
            </w:r>
          </w:p>
        </w:tc>
        <w:tc>
          <w:tcPr>
            <w:tcW w:w="1080" w:type="dxa"/>
            <w:tcBorders>
              <w:bottom w:val="single" w:sz="4" w:space="0" w:color="000000" w:themeColor="text1"/>
            </w:tcBorders>
            <w:shd w:val="clear" w:color="auto" w:fill="D9D9D9" w:themeFill="background1" w:themeFillShade="D9"/>
            <w:vAlign w:val="center"/>
          </w:tcPr>
          <w:p w:rsidR="002B4E22" w:rsidRPr="005F1968" w:rsidRDefault="002B4E22" w:rsidP="0010323A">
            <w:pPr>
              <w:contextualSpacing/>
              <w:rPr>
                <w:rFonts w:ascii="Calibri" w:hAnsi="Calibri" w:cs="Calibri"/>
                <w:b/>
                <w:color w:val="auto"/>
                <w:sz w:val="18"/>
                <w:szCs w:val="18"/>
              </w:rPr>
            </w:pPr>
            <w:r w:rsidRPr="005F1968">
              <w:rPr>
                <w:rFonts w:ascii="Calibri" w:hAnsi="Calibri" w:cs="Calibri"/>
                <w:b/>
                <w:color w:val="auto"/>
                <w:sz w:val="18"/>
                <w:szCs w:val="18"/>
              </w:rPr>
              <w:t>Code</w:t>
            </w:r>
          </w:p>
        </w:tc>
        <w:tc>
          <w:tcPr>
            <w:tcW w:w="828" w:type="dxa"/>
            <w:tcBorders>
              <w:bottom w:val="single" w:sz="4" w:space="0" w:color="000000" w:themeColor="text1"/>
            </w:tcBorders>
            <w:shd w:val="clear" w:color="auto" w:fill="D9D9D9" w:themeFill="background1" w:themeFillShade="D9"/>
            <w:vAlign w:val="center"/>
          </w:tcPr>
          <w:p w:rsidR="002B4E22" w:rsidRPr="005F1968" w:rsidRDefault="002B4E22" w:rsidP="0010323A">
            <w:pPr>
              <w:contextualSpacing/>
              <w:rPr>
                <w:rFonts w:ascii="Calibri" w:hAnsi="Calibri" w:cs="Calibri"/>
                <w:b/>
                <w:color w:val="auto"/>
                <w:sz w:val="18"/>
                <w:szCs w:val="18"/>
              </w:rPr>
            </w:pPr>
            <w:r w:rsidRPr="005F1968">
              <w:rPr>
                <w:rFonts w:ascii="Calibri" w:hAnsi="Calibri" w:cs="Calibri"/>
                <w:b/>
                <w:color w:val="auto"/>
                <w:sz w:val="18"/>
                <w:szCs w:val="18"/>
              </w:rPr>
              <w:t>Rating</w:t>
            </w:r>
          </w:p>
        </w:tc>
        <w:tc>
          <w:tcPr>
            <w:tcW w:w="990" w:type="dxa"/>
            <w:tcBorders>
              <w:bottom w:val="single" w:sz="4" w:space="0" w:color="000000" w:themeColor="text1"/>
            </w:tcBorders>
            <w:shd w:val="clear" w:color="auto" w:fill="D9D9D9" w:themeFill="background1" w:themeFillShade="D9"/>
            <w:vAlign w:val="center"/>
          </w:tcPr>
          <w:p w:rsidR="002B4E22" w:rsidRPr="005F1968" w:rsidRDefault="002B4E22" w:rsidP="0010323A">
            <w:pPr>
              <w:contextualSpacing/>
              <w:rPr>
                <w:rFonts w:ascii="Calibri" w:hAnsi="Calibri" w:cs="Calibri"/>
                <w:b/>
                <w:color w:val="auto"/>
                <w:sz w:val="18"/>
                <w:szCs w:val="18"/>
              </w:rPr>
            </w:pPr>
            <w:r w:rsidRPr="005F1968">
              <w:rPr>
                <w:rFonts w:ascii="Calibri" w:hAnsi="Calibri" w:cs="Calibri"/>
                <w:b/>
                <w:color w:val="auto"/>
                <w:sz w:val="18"/>
                <w:szCs w:val="18"/>
              </w:rPr>
              <w:t>Exam</w:t>
            </w:r>
          </w:p>
        </w:tc>
      </w:tr>
      <w:tr w:rsidR="006665E7" w:rsidRPr="005F1968" w:rsidTr="006665E7">
        <w:trPr>
          <w:trHeight w:val="413"/>
          <w:jc w:val="center"/>
        </w:trPr>
        <w:tc>
          <w:tcPr>
            <w:tcW w:w="2177" w:type="dxa"/>
            <w:vMerge w:val="restart"/>
            <w:tcBorders>
              <w:right w:val="single" w:sz="4" w:space="0" w:color="auto"/>
            </w:tcBorders>
            <w:shd w:val="clear" w:color="auto" w:fill="FFFFFF" w:themeFill="background1"/>
            <w:vAlign w:val="center"/>
          </w:tcPr>
          <w:p w:rsidR="006665E7" w:rsidRPr="005F1968" w:rsidRDefault="006665E7" w:rsidP="0010323A">
            <w:pPr>
              <w:spacing w:line="180" w:lineRule="exact"/>
              <w:contextualSpacing/>
              <w:jc w:val="left"/>
              <w:rPr>
                <w:rFonts w:ascii="Calibri" w:eastAsia="Times New Roman" w:hAnsi="Calibri" w:cs="Calibri"/>
                <w:color w:val="auto"/>
                <w:sz w:val="18"/>
                <w:szCs w:val="18"/>
              </w:rPr>
            </w:pPr>
            <w:r w:rsidRPr="005F1968">
              <w:rPr>
                <w:rFonts w:ascii="Calibri" w:hAnsi="Calibri" w:cs="Calibri"/>
                <w:color w:val="auto"/>
                <w:sz w:val="18"/>
                <w:szCs w:val="18"/>
              </w:rPr>
              <w:t>Chronic Left Knee Pain, Status Post Accidental Gunshot Wound with Nail Placement for Femur Fracture</w:t>
            </w:r>
          </w:p>
        </w:tc>
        <w:tc>
          <w:tcPr>
            <w:tcW w:w="1080" w:type="dxa"/>
            <w:vMerge w:val="restart"/>
            <w:tcBorders>
              <w:left w:val="single" w:sz="4" w:space="0" w:color="auto"/>
            </w:tcBorders>
            <w:shd w:val="clear" w:color="auto" w:fill="FFFFFF" w:themeFill="background1"/>
            <w:vAlign w:val="center"/>
          </w:tcPr>
          <w:p w:rsidR="006665E7" w:rsidRPr="005F1968" w:rsidRDefault="006665E7" w:rsidP="0010323A">
            <w:pPr>
              <w:spacing w:line="180" w:lineRule="exact"/>
              <w:contextualSpacing/>
              <w:rPr>
                <w:rFonts w:ascii="Calibri" w:eastAsia="Times New Roman" w:hAnsi="Calibri" w:cs="Calibri"/>
                <w:color w:val="auto"/>
                <w:sz w:val="18"/>
                <w:szCs w:val="18"/>
              </w:rPr>
            </w:pPr>
            <w:r w:rsidRPr="005F1968">
              <w:rPr>
                <w:rFonts w:ascii="Calibri" w:hAnsi="Calibri" w:cs="Calibri"/>
                <w:color w:val="auto"/>
                <w:sz w:val="18"/>
                <w:szCs w:val="18"/>
              </w:rPr>
              <w:t>5099-5003</w:t>
            </w:r>
          </w:p>
        </w:tc>
        <w:tc>
          <w:tcPr>
            <w:tcW w:w="902" w:type="dxa"/>
            <w:vMerge w:val="restart"/>
            <w:tcBorders>
              <w:right w:val="thinThickThinSmallGap" w:sz="24" w:space="0" w:color="auto"/>
            </w:tcBorders>
            <w:shd w:val="clear" w:color="auto" w:fill="FFFFFF" w:themeFill="background1"/>
            <w:vAlign w:val="center"/>
          </w:tcPr>
          <w:p w:rsidR="006665E7" w:rsidRPr="005F1968" w:rsidRDefault="006665E7" w:rsidP="0010323A">
            <w:pPr>
              <w:spacing w:line="180" w:lineRule="exact"/>
              <w:rPr>
                <w:rFonts w:ascii="Calibri" w:eastAsia="Times New Roman" w:hAnsi="Calibri" w:cs="Calibri"/>
                <w:color w:val="auto"/>
                <w:sz w:val="18"/>
                <w:szCs w:val="18"/>
              </w:rPr>
            </w:pPr>
            <w:r w:rsidRPr="005F1968">
              <w:rPr>
                <w:rFonts w:ascii="Calibri" w:hAnsi="Calibri" w:cs="Calibri"/>
                <w:color w:val="auto"/>
                <w:sz w:val="18"/>
                <w:szCs w:val="18"/>
              </w:rPr>
              <w:t>10%</w:t>
            </w:r>
          </w:p>
        </w:tc>
        <w:tc>
          <w:tcPr>
            <w:tcW w:w="2321" w:type="dxa"/>
            <w:tcBorders>
              <w:left w:val="thinThickThinSmallGap" w:sz="24" w:space="0" w:color="auto"/>
            </w:tcBorders>
            <w:shd w:val="clear" w:color="auto" w:fill="FFFFFF" w:themeFill="background1"/>
            <w:vAlign w:val="center"/>
          </w:tcPr>
          <w:p w:rsidR="006665E7" w:rsidRPr="005F1968" w:rsidRDefault="006665E7" w:rsidP="0010323A">
            <w:pPr>
              <w:spacing w:line="180" w:lineRule="exact"/>
              <w:contextualSpacing/>
              <w:jc w:val="left"/>
              <w:rPr>
                <w:rFonts w:ascii="Calibri" w:eastAsia="Times New Roman" w:hAnsi="Calibri" w:cs="Calibri"/>
                <w:color w:val="auto"/>
                <w:sz w:val="18"/>
                <w:szCs w:val="18"/>
              </w:rPr>
            </w:pPr>
            <w:r w:rsidRPr="005F1968">
              <w:rPr>
                <w:rFonts w:ascii="Calibri" w:hAnsi="Calibri" w:cs="Calibri"/>
                <w:color w:val="auto"/>
                <w:sz w:val="18"/>
                <w:szCs w:val="18"/>
              </w:rPr>
              <w:t>Retropatellar Syndrome, Assoc w/ Gunshot Wound</w:t>
            </w:r>
          </w:p>
        </w:tc>
        <w:tc>
          <w:tcPr>
            <w:tcW w:w="1080" w:type="dxa"/>
            <w:shd w:val="clear" w:color="auto" w:fill="FFFFFF" w:themeFill="background1"/>
            <w:vAlign w:val="center"/>
          </w:tcPr>
          <w:p w:rsidR="006665E7" w:rsidRPr="005F1968" w:rsidRDefault="006665E7" w:rsidP="0010323A">
            <w:pPr>
              <w:spacing w:line="180" w:lineRule="exact"/>
              <w:contextualSpacing/>
              <w:rPr>
                <w:rFonts w:ascii="Calibri" w:eastAsia="Times New Roman" w:hAnsi="Calibri" w:cs="Calibri"/>
                <w:color w:val="auto"/>
                <w:sz w:val="18"/>
                <w:szCs w:val="18"/>
              </w:rPr>
            </w:pPr>
            <w:r w:rsidRPr="005F1968">
              <w:rPr>
                <w:rFonts w:ascii="Calibri" w:hAnsi="Calibri" w:cs="Calibri"/>
                <w:color w:val="auto"/>
                <w:sz w:val="18"/>
                <w:szCs w:val="18"/>
              </w:rPr>
              <w:t>5299-5260</w:t>
            </w:r>
          </w:p>
        </w:tc>
        <w:tc>
          <w:tcPr>
            <w:tcW w:w="828" w:type="dxa"/>
            <w:shd w:val="clear" w:color="auto" w:fill="FFFFFF" w:themeFill="background1"/>
            <w:vAlign w:val="center"/>
          </w:tcPr>
          <w:p w:rsidR="006665E7" w:rsidRPr="005F1968" w:rsidRDefault="006665E7" w:rsidP="0010323A">
            <w:pPr>
              <w:spacing w:line="180" w:lineRule="exact"/>
              <w:contextualSpacing/>
              <w:rPr>
                <w:rFonts w:ascii="Calibri" w:eastAsia="Times New Roman" w:hAnsi="Calibri" w:cs="Calibri"/>
                <w:color w:val="auto"/>
                <w:sz w:val="18"/>
                <w:szCs w:val="18"/>
              </w:rPr>
            </w:pPr>
            <w:r w:rsidRPr="005F1968">
              <w:rPr>
                <w:rFonts w:ascii="Calibri" w:hAnsi="Calibri" w:cs="Calibri"/>
                <w:color w:val="auto"/>
                <w:sz w:val="18"/>
                <w:szCs w:val="18"/>
              </w:rPr>
              <w:t>10%</w:t>
            </w:r>
          </w:p>
        </w:tc>
        <w:tc>
          <w:tcPr>
            <w:tcW w:w="990" w:type="dxa"/>
            <w:shd w:val="clear" w:color="auto" w:fill="FFFFFF" w:themeFill="background1"/>
            <w:vAlign w:val="center"/>
          </w:tcPr>
          <w:p w:rsidR="006665E7" w:rsidRPr="005F1968" w:rsidRDefault="006665E7" w:rsidP="0010323A">
            <w:pPr>
              <w:spacing w:line="180" w:lineRule="exact"/>
              <w:contextualSpacing/>
              <w:rPr>
                <w:rFonts w:ascii="Calibri" w:eastAsia="Times New Roman" w:hAnsi="Calibri" w:cs="Calibri"/>
                <w:color w:val="auto"/>
                <w:sz w:val="18"/>
                <w:szCs w:val="18"/>
              </w:rPr>
            </w:pPr>
            <w:r w:rsidRPr="005F1968">
              <w:rPr>
                <w:rFonts w:ascii="Calibri" w:hAnsi="Calibri" w:cs="Calibri"/>
                <w:color w:val="auto"/>
                <w:sz w:val="18"/>
                <w:szCs w:val="18"/>
              </w:rPr>
              <w:t>20041208</w:t>
            </w:r>
          </w:p>
        </w:tc>
      </w:tr>
      <w:tr w:rsidR="007E3994" w:rsidRPr="005F1968" w:rsidTr="0010323A">
        <w:trPr>
          <w:trHeight w:val="257"/>
          <w:jc w:val="center"/>
        </w:trPr>
        <w:tc>
          <w:tcPr>
            <w:tcW w:w="2177" w:type="dxa"/>
            <w:vMerge/>
            <w:tcBorders>
              <w:right w:val="single" w:sz="4" w:space="0" w:color="auto"/>
            </w:tcBorders>
            <w:shd w:val="clear" w:color="auto" w:fill="FFFFFF" w:themeFill="background1"/>
            <w:vAlign w:val="center"/>
          </w:tcPr>
          <w:p w:rsidR="007E3994" w:rsidRPr="005F1968" w:rsidRDefault="007E3994" w:rsidP="0010323A">
            <w:pPr>
              <w:spacing w:line="180" w:lineRule="exact"/>
              <w:contextualSpacing/>
              <w:jc w:val="left"/>
              <w:rPr>
                <w:rFonts w:ascii="Calibri" w:eastAsia="Times New Roman" w:hAnsi="Calibri" w:cs="Calibri"/>
                <w:color w:val="auto"/>
                <w:sz w:val="18"/>
                <w:szCs w:val="18"/>
              </w:rPr>
            </w:pPr>
          </w:p>
        </w:tc>
        <w:tc>
          <w:tcPr>
            <w:tcW w:w="1080" w:type="dxa"/>
            <w:vMerge/>
            <w:tcBorders>
              <w:left w:val="single" w:sz="4" w:space="0" w:color="auto"/>
            </w:tcBorders>
            <w:shd w:val="clear" w:color="auto" w:fill="FFFFFF" w:themeFill="background1"/>
            <w:vAlign w:val="center"/>
          </w:tcPr>
          <w:p w:rsidR="007E3994" w:rsidRPr="005F1968" w:rsidRDefault="007E3994" w:rsidP="0010323A">
            <w:pPr>
              <w:spacing w:line="180" w:lineRule="exact"/>
              <w:contextualSpacing/>
              <w:rPr>
                <w:rFonts w:ascii="Calibri" w:eastAsia="Times New Roman" w:hAnsi="Calibri" w:cs="Calibri"/>
                <w:color w:val="auto"/>
                <w:sz w:val="18"/>
                <w:szCs w:val="18"/>
              </w:rPr>
            </w:pPr>
          </w:p>
        </w:tc>
        <w:tc>
          <w:tcPr>
            <w:tcW w:w="902" w:type="dxa"/>
            <w:vMerge/>
            <w:tcBorders>
              <w:right w:val="thinThickThinSmallGap" w:sz="24" w:space="0" w:color="auto"/>
            </w:tcBorders>
            <w:shd w:val="clear" w:color="auto" w:fill="FFFFFF" w:themeFill="background1"/>
            <w:vAlign w:val="center"/>
          </w:tcPr>
          <w:p w:rsidR="007E3994" w:rsidRPr="005F1968" w:rsidRDefault="007E3994" w:rsidP="0010323A">
            <w:pPr>
              <w:spacing w:line="180" w:lineRule="exact"/>
              <w:contextualSpacing/>
              <w:rPr>
                <w:rFonts w:ascii="Calibri" w:eastAsia="Times New Roman" w:hAnsi="Calibri" w:cs="Calibri"/>
                <w:color w:val="auto"/>
                <w:sz w:val="18"/>
                <w:szCs w:val="18"/>
              </w:rPr>
            </w:pPr>
          </w:p>
        </w:tc>
        <w:tc>
          <w:tcPr>
            <w:tcW w:w="2321" w:type="dxa"/>
            <w:tcBorders>
              <w:left w:val="thinThickThinSmallGap" w:sz="24" w:space="0" w:color="auto"/>
              <w:right w:val="single" w:sz="4" w:space="0" w:color="auto"/>
            </w:tcBorders>
            <w:shd w:val="clear" w:color="auto" w:fill="FFFFFF" w:themeFill="background1"/>
            <w:vAlign w:val="center"/>
          </w:tcPr>
          <w:p w:rsidR="007E3994" w:rsidRPr="005F1968" w:rsidRDefault="007E3994" w:rsidP="0010323A">
            <w:pPr>
              <w:spacing w:line="180" w:lineRule="exact"/>
              <w:contextualSpacing/>
              <w:jc w:val="left"/>
              <w:rPr>
                <w:rFonts w:ascii="Calibri" w:eastAsia="Times New Roman" w:hAnsi="Calibri" w:cs="Calibri"/>
                <w:color w:val="auto"/>
                <w:sz w:val="18"/>
                <w:szCs w:val="18"/>
              </w:rPr>
            </w:pPr>
            <w:r w:rsidRPr="005F1968">
              <w:rPr>
                <w:rFonts w:ascii="Calibri" w:eastAsia="Times New Roman" w:hAnsi="Calibri" w:cs="Calibri"/>
                <w:color w:val="auto"/>
                <w:sz w:val="18"/>
                <w:szCs w:val="18"/>
              </w:rPr>
              <w:t>Residuals Muscle Injury, Lt Thigh</w:t>
            </w:r>
          </w:p>
        </w:tc>
        <w:tc>
          <w:tcPr>
            <w:tcW w:w="1080" w:type="dxa"/>
            <w:tcBorders>
              <w:left w:val="single" w:sz="4" w:space="0" w:color="auto"/>
            </w:tcBorders>
            <w:shd w:val="clear" w:color="auto" w:fill="FFFFFF" w:themeFill="background1"/>
            <w:vAlign w:val="center"/>
          </w:tcPr>
          <w:p w:rsidR="007E3994" w:rsidRPr="005F1968" w:rsidRDefault="007E3994" w:rsidP="0010323A">
            <w:pPr>
              <w:spacing w:line="180" w:lineRule="exact"/>
              <w:contextualSpacing/>
              <w:rPr>
                <w:rFonts w:ascii="Calibri" w:eastAsia="Times New Roman" w:hAnsi="Calibri" w:cs="Calibri"/>
                <w:color w:val="auto"/>
                <w:sz w:val="18"/>
                <w:szCs w:val="18"/>
              </w:rPr>
            </w:pPr>
            <w:r w:rsidRPr="005F1968">
              <w:rPr>
                <w:rFonts w:ascii="Calibri" w:eastAsia="Times New Roman" w:hAnsi="Calibri" w:cs="Calibri"/>
                <w:color w:val="auto"/>
                <w:sz w:val="18"/>
                <w:szCs w:val="18"/>
              </w:rPr>
              <w:t>5318</w:t>
            </w:r>
          </w:p>
        </w:tc>
        <w:tc>
          <w:tcPr>
            <w:tcW w:w="828" w:type="dxa"/>
            <w:shd w:val="clear" w:color="auto" w:fill="FFFFFF" w:themeFill="background1"/>
            <w:vAlign w:val="center"/>
          </w:tcPr>
          <w:p w:rsidR="007E3994" w:rsidRPr="005F1968" w:rsidRDefault="007E3994" w:rsidP="0010323A">
            <w:pPr>
              <w:spacing w:line="180" w:lineRule="exact"/>
              <w:contextualSpacing/>
              <w:rPr>
                <w:rFonts w:ascii="Calibri" w:eastAsia="Times New Roman" w:hAnsi="Calibri" w:cs="Calibri"/>
                <w:color w:val="auto"/>
                <w:sz w:val="18"/>
                <w:szCs w:val="18"/>
              </w:rPr>
            </w:pPr>
            <w:r w:rsidRPr="005F1968">
              <w:rPr>
                <w:rFonts w:ascii="Calibri" w:eastAsia="Times New Roman" w:hAnsi="Calibri" w:cs="Calibri"/>
                <w:color w:val="auto"/>
                <w:sz w:val="18"/>
                <w:szCs w:val="18"/>
              </w:rPr>
              <w:t>10%</w:t>
            </w:r>
          </w:p>
        </w:tc>
        <w:tc>
          <w:tcPr>
            <w:tcW w:w="990" w:type="dxa"/>
            <w:shd w:val="clear" w:color="auto" w:fill="FFFFFF" w:themeFill="background1"/>
            <w:vAlign w:val="center"/>
          </w:tcPr>
          <w:p w:rsidR="007E3994" w:rsidRPr="005F1968" w:rsidRDefault="007E3994" w:rsidP="0010323A">
            <w:pPr>
              <w:spacing w:line="180" w:lineRule="exact"/>
              <w:contextualSpacing/>
              <w:rPr>
                <w:rFonts w:ascii="Calibri" w:eastAsia="Times New Roman" w:hAnsi="Calibri" w:cs="Calibri"/>
                <w:color w:val="auto"/>
                <w:sz w:val="18"/>
                <w:szCs w:val="18"/>
              </w:rPr>
            </w:pPr>
            <w:r w:rsidRPr="005F1968">
              <w:rPr>
                <w:rFonts w:ascii="Calibri" w:eastAsia="Times New Roman" w:hAnsi="Calibri" w:cs="Calibri"/>
                <w:color w:val="auto"/>
                <w:sz w:val="18"/>
                <w:szCs w:val="18"/>
              </w:rPr>
              <w:t>20041208</w:t>
            </w:r>
          </w:p>
        </w:tc>
      </w:tr>
      <w:tr w:rsidR="007E3994" w:rsidRPr="005F1968" w:rsidTr="0010323A">
        <w:trPr>
          <w:trHeight w:val="287"/>
          <w:jc w:val="center"/>
        </w:trPr>
        <w:tc>
          <w:tcPr>
            <w:tcW w:w="2177" w:type="dxa"/>
            <w:vMerge/>
            <w:tcBorders>
              <w:right w:val="single" w:sz="4" w:space="0" w:color="auto"/>
            </w:tcBorders>
            <w:shd w:val="clear" w:color="auto" w:fill="FFFFFF" w:themeFill="background1"/>
            <w:vAlign w:val="center"/>
          </w:tcPr>
          <w:p w:rsidR="007E3994" w:rsidRPr="005F1968" w:rsidRDefault="007E3994" w:rsidP="0010323A">
            <w:pPr>
              <w:spacing w:line="180" w:lineRule="exact"/>
              <w:contextualSpacing/>
              <w:jc w:val="left"/>
              <w:rPr>
                <w:rFonts w:ascii="Calibri" w:eastAsia="Times New Roman" w:hAnsi="Calibri" w:cs="Calibri"/>
                <w:color w:val="auto"/>
                <w:sz w:val="18"/>
                <w:szCs w:val="18"/>
              </w:rPr>
            </w:pPr>
          </w:p>
        </w:tc>
        <w:tc>
          <w:tcPr>
            <w:tcW w:w="1080" w:type="dxa"/>
            <w:vMerge/>
            <w:tcBorders>
              <w:left w:val="single" w:sz="4" w:space="0" w:color="auto"/>
            </w:tcBorders>
            <w:shd w:val="clear" w:color="auto" w:fill="FFFFFF" w:themeFill="background1"/>
            <w:vAlign w:val="center"/>
          </w:tcPr>
          <w:p w:rsidR="007E3994" w:rsidRPr="005F1968" w:rsidRDefault="007E3994" w:rsidP="0010323A">
            <w:pPr>
              <w:spacing w:line="180" w:lineRule="exact"/>
              <w:contextualSpacing/>
              <w:rPr>
                <w:rFonts w:ascii="Calibri" w:eastAsia="Times New Roman" w:hAnsi="Calibri" w:cs="Calibri"/>
                <w:color w:val="auto"/>
                <w:sz w:val="18"/>
                <w:szCs w:val="18"/>
              </w:rPr>
            </w:pPr>
          </w:p>
        </w:tc>
        <w:tc>
          <w:tcPr>
            <w:tcW w:w="902" w:type="dxa"/>
            <w:vMerge/>
            <w:tcBorders>
              <w:right w:val="thinThickThinSmallGap" w:sz="24" w:space="0" w:color="auto"/>
            </w:tcBorders>
            <w:shd w:val="clear" w:color="auto" w:fill="FFFFFF" w:themeFill="background1"/>
            <w:vAlign w:val="center"/>
          </w:tcPr>
          <w:p w:rsidR="007E3994" w:rsidRPr="005F1968" w:rsidRDefault="007E3994" w:rsidP="0010323A">
            <w:pPr>
              <w:spacing w:line="180" w:lineRule="exact"/>
              <w:contextualSpacing/>
              <w:rPr>
                <w:rFonts w:ascii="Calibri" w:eastAsia="Times New Roman" w:hAnsi="Calibri" w:cs="Calibri"/>
                <w:color w:val="auto"/>
                <w:sz w:val="18"/>
                <w:szCs w:val="18"/>
              </w:rPr>
            </w:pPr>
          </w:p>
        </w:tc>
        <w:tc>
          <w:tcPr>
            <w:tcW w:w="2321" w:type="dxa"/>
            <w:tcBorders>
              <w:left w:val="thinThickThinSmallGap" w:sz="24" w:space="0" w:color="auto"/>
              <w:right w:val="single" w:sz="4" w:space="0" w:color="auto"/>
            </w:tcBorders>
            <w:shd w:val="clear" w:color="auto" w:fill="FFFFFF" w:themeFill="background1"/>
            <w:vAlign w:val="center"/>
          </w:tcPr>
          <w:p w:rsidR="007E3994" w:rsidRPr="005F1968" w:rsidRDefault="007E3994" w:rsidP="0010323A">
            <w:pPr>
              <w:spacing w:line="180" w:lineRule="exact"/>
              <w:contextualSpacing/>
              <w:jc w:val="left"/>
              <w:rPr>
                <w:rFonts w:ascii="Calibri" w:eastAsia="Times New Roman" w:hAnsi="Calibri" w:cs="Calibri"/>
                <w:color w:val="auto"/>
                <w:sz w:val="18"/>
                <w:szCs w:val="18"/>
              </w:rPr>
            </w:pPr>
            <w:r w:rsidRPr="005F1968">
              <w:rPr>
                <w:rFonts w:ascii="Calibri" w:eastAsia="Times New Roman" w:hAnsi="Calibri" w:cs="Calibri"/>
                <w:color w:val="auto"/>
                <w:sz w:val="18"/>
                <w:szCs w:val="18"/>
              </w:rPr>
              <w:t>Multiple Scars, Lt Thigh</w:t>
            </w:r>
          </w:p>
        </w:tc>
        <w:tc>
          <w:tcPr>
            <w:tcW w:w="1080" w:type="dxa"/>
            <w:tcBorders>
              <w:left w:val="single" w:sz="4" w:space="0" w:color="auto"/>
            </w:tcBorders>
            <w:shd w:val="clear" w:color="auto" w:fill="FFFFFF" w:themeFill="background1"/>
            <w:vAlign w:val="center"/>
          </w:tcPr>
          <w:p w:rsidR="007E3994" w:rsidRPr="005F1968" w:rsidRDefault="007E3994" w:rsidP="0010323A">
            <w:pPr>
              <w:spacing w:line="180" w:lineRule="exact"/>
              <w:contextualSpacing/>
              <w:rPr>
                <w:rFonts w:ascii="Calibri" w:eastAsia="Times New Roman" w:hAnsi="Calibri" w:cs="Calibri"/>
                <w:color w:val="auto"/>
                <w:sz w:val="18"/>
                <w:szCs w:val="18"/>
              </w:rPr>
            </w:pPr>
            <w:r w:rsidRPr="005F1968">
              <w:rPr>
                <w:rFonts w:ascii="Calibri" w:eastAsia="Times New Roman" w:hAnsi="Calibri" w:cs="Calibri"/>
                <w:color w:val="auto"/>
                <w:sz w:val="18"/>
                <w:szCs w:val="18"/>
              </w:rPr>
              <w:t>7804</w:t>
            </w:r>
          </w:p>
        </w:tc>
        <w:tc>
          <w:tcPr>
            <w:tcW w:w="828" w:type="dxa"/>
            <w:shd w:val="clear" w:color="auto" w:fill="FFFFFF" w:themeFill="background1"/>
            <w:vAlign w:val="center"/>
          </w:tcPr>
          <w:p w:rsidR="007E3994" w:rsidRPr="005F1968" w:rsidRDefault="007E3994" w:rsidP="0010323A">
            <w:pPr>
              <w:spacing w:line="180" w:lineRule="exact"/>
              <w:contextualSpacing/>
              <w:rPr>
                <w:rFonts w:ascii="Calibri" w:eastAsia="Times New Roman" w:hAnsi="Calibri" w:cs="Calibri"/>
                <w:color w:val="auto"/>
                <w:sz w:val="18"/>
                <w:szCs w:val="18"/>
              </w:rPr>
            </w:pPr>
            <w:r w:rsidRPr="005F1968">
              <w:rPr>
                <w:rFonts w:ascii="Calibri" w:eastAsia="Times New Roman" w:hAnsi="Calibri" w:cs="Calibri"/>
                <w:color w:val="auto"/>
                <w:sz w:val="18"/>
                <w:szCs w:val="18"/>
              </w:rPr>
              <w:t>10%</w:t>
            </w:r>
          </w:p>
        </w:tc>
        <w:tc>
          <w:tcPr>
            <w:tcW w:w="990" w:type="dxa"/>
            <w:shd w:val="clear" w:color="auto" w:fill="FFFFFF" w:themeFill="background1"/>
            <w:vAlign w:val="center"/>
          </w:tcPr>
          <w:p w:rsidR="007E3994" w:rsidRPr="005F1968" w:rsidRDefault="007E3994" w:rsidP="0010323A">
            <w:pPr>
              <w:spacing w:line="180" w:lineRule="exact"/>
              <w:contextualSpacing/>
              <w:rPr>
                <w:rFonts w:ascii="Calibri" w:eastAsia="Times New Roman" w:hAnsi="Calibri" w:cs="Calibri"/>
                <w:color w:val="auto"/>
                <w:sz w:val="18"/>
                <w:szCs w:val="18"/>
              </w:rPr>
            </w:pPr>
            <w:r w:rsidRPr="005F1968">
              <w:rPr>
                <w:rFonts w:ascii="Calibri" w:eastAsia="Times New Roman" w:hAnsi="Calibri" w:cs="Calibri"/>
                <w:color w:val="auto"/>
                <w:sz w:val="18"/>
                <w:szCs w:val="18"/>
              </w:rPr>
              <w:t>20041208</w:t>
            </w:r>
          </w:p>
        </w:tc>
      </w:tr>
      <w:tr w:rsidR="006665E7" w:rsidRPr="005F1968" w:rsidTr="0010323A">
        <w:trPr>
          <w:trHeight w:val="287"/>
          <w:jc w:val="center"/>
        </w:trPr>
        <w:tc>
          <w:tcPr>
            <w:tcW w:w="2177" w:type="dxa"/>
            <w:vMerge/>
            <w:tcBorders>
              <w:right w:val="single" w:sz="4" w:space="0" w:color="auto"/>
            </w:tcBorders>
            <w:shd w:val="clear" w:color="auto" w:fill="FFFFFF" w:themeFill="background1"/>
            <w:vAlign w:val="center"/>
          </w:tcPr>
          <w:p w:rsidR="006665E7" w:rsidRPr="005F1968" w:rsidRDefault="006665E7" w:rsidP="0010323A">
            <w:pPr>
              <w:spacing w:line="180" w:lineRule="exact"/>
              <w:contextualSpacing/>
              <w:jc w:val="left"/>
              <w:rPr>
                <w:rFonts w:cs="Calibri"/>
                <w:color w:val="auto"/>
                <w:sz w:val="18"/>
                <w:szCs w:val="18"/>
              </w:rPr>
            </w:pPr>
          </w:p>
        </w:tc>
        <w:tc>
          <w:tcPr>
            <w:tcW w:w="1080" w:type="dxa"/>
            <w:vMerge/>
            <w:tcBorders>
              <w:left w:val="single" w:sz="4" w:space="0" w:color="auto"/>
            </w:tcBorders>
            <w:shd w:val="clear" w:color="auto" w:fill="FFFFFF" w:themeFill="background1"/>
            <w:vAlign w:val="center"/>
          </w:tcPr>
          <w:p w:rsidR="006665E7" w:rsidRPr="005F1968" w:rsidRDefault="006665E7" w:rsidP="0010323A">
            <w:pPr>
              <w:spacing w:line="180" w:lineRule="exact"/>
              <w:contextualSpacing/>
              <w:rPr>
                <w:rFonts w:cs="Calibri"/>
                <w:color w:val="auto"/>
                <w:sz w:val="18"/>
                <w:szCs w:val="18"/>
              </w:rPr>
            </w:pPr>
          </w:p>
        </w:tc>
        <w:tc>
          <w:tcPr>
            <w:tcW w:w="902" w:type="dxa"/>
            <w:vMerge/>
            <w:tcBorders>
              <w:right w:val="thinThickThinSmallGap" w:sz="24" w:space="0" w:color="auto"/>
            </w:tcBorders>
            <w:shd w:val="clear" w:color="auto" w:fill="FFFFFF" w:themeFill="background1"/>
            <w:vAlign w:val="center"/>
          </w:tcPr>
          <w:p w:rsidR="006665E7" w:rsidRPr="005F1968" w:rsidRDefault="006665E7" w:rsidP="0010323A">
            <w:pPr>
              <w:spacing w:line="180" w:lineRule="exact"/>
              <w:contextualSpacing/>
              <w:rPr>
                <w:rFonts w:cs="Calibri"/>
                <w:color w:val="auto"/>
                <w:sz w:val="18"/>
                <w:szCs w:val="18"/>
              </w:rPr>
            </w:pPr>
          </w:p>
        </w:tc>
        <w:tc>
          <w:tcPr>
            <w:tcW w:w="2321" w:type="dxa"/>
            <w:tcBorders>
              <w:left w:val="thinThickThinSmallGap" w:sz="24" w:space="0" w:color="auto"/>
              <w:right w:val="single" w:sz="4" w:space="0" w:color="auto"/>
            </w:tcBorders>
            <w:shd w:val="clear" w:color="auto" w:fill="FFFFFF" w:themeFill="background1"/>
            <w:vAlign w:val="center"/>
          </w:tcPr>
          <w:p w:rsidR="006665E7" w:rsidRPr="005F1968" w:rsidRDefault="006665E7" w:rsidP="008C13FA">
            <w:pPr>
              <w:spacing w:line="180" w:lineRule="exact"/>
              <w:contextualSpacing/>
              <w:jc w:val="left"/>
              <w:rPr>
                <w:rFonts w:ascii="Calibri" w:eastAsia="Times New Roman" w:hAnsi="Calibri" w:cs="Calibri"/>
                <w:color w:val="auto"/>
                <w:sz w:val="18"/>
                <w:szCs w:val="18"/>
              </w:rPr>
            </w:pPr>
            <w:r w:rsidRPr="005F1968">
              <w:rPr>
                <w:rFonts w:ascii="Calibri" w:hAnsi="Calibri" w:cs="Calibri"/>
                <w:color w:val="auto"/>
                <w:sz w:val="18"/>
                <w:szCs w:val="18"/>
              </w:rPr>
              <w:t>Residuals of Injury, Lt Hip w/ Limited ROM</w:t>
            </w:r>
          </w:p>
        </w:tc>
        <w:tc>
          <w:tcPr>
            <w:tcW w:w="1080" w:type="dxa"/>
            <w:tcBorders>
              <w:left w:val="single" w:sz="4" w:space="0" w:color="auto"/>
            </w:tcBorders>
            <w:shd w:val="clear" w:color="auto" w:fill="FFFFFF" w:themeFill="background1"/>
            <w:vAlign w:val="center"/>
          </w:tcPr>
          <w:p w:rsidR="006665E7" w:rsidRPr="005F1968" w:rsidRDefault="006665E7" w:rsidP="008C13FA">
            <w:pPr>
              <w:spacing w:line="180" w:lineRule="exact"/>
              <w:contextualSpacing/>
              <w:rPr>
                <w:rFonts w:ascii="Calibri" w:eastAsia="Times New Roman" w:hAnsi="Calibri" w:cs="Calibri"/>
                <w:color w:val="auto"/>
                <w:sz w:val="18"/>
                <w:szCs w:val="18"/>
              </w:rPr>
            </w:pPr>
            <w:r w:rsidRPr="005F1968">
              <w:rPr>
                <w:rFonts w:ascii="Calibri" w:hAnsi="Calibri" w:cs="Calibri"/>
                <w:color w:val="auto"/>
                <w:sz w:val="18"/>
                <w:szCs w:val="18"/>
              </w:rPr>
              <w:t>5299-5252</w:t>
            </w:r>
          </w:p>
        </w:tc>
        <w:tc>
          <w:tcPr>
            <w:tcW w:w="828" w:type="dxa"/>
            <w:shd w:val="clear" w:color="auto" w:fill="FFFFFF" w:themeFill="background1"/>
            <w:vAlign w:val="center"/>
          </w:tcPr>
          <w:p w:rsidR="006665E7" w:rsidRPr="005F1968" w:rsidRDefault="006665E7" w:rsidP="008C13FA">
            <w:pPr>
              <w:spacing w:line="180" w:lineRule="exact"/>
              <w:contextualSpacing/>
              <w:rPr>
                <w:rFonts w:ascii="Calibri" w:eastAsia="Times New Roman" w:hAnsi="Calibri" w:cs="Calibri"/>
                <w:color w:val="auto"/>
                <w:sz w:val="18"/>
                <w:szCs w:val="18"/>
              </w:rPr>
            </w:pPr>
            <w:r w:rsidRPr="005F1968">
              <w:rPr>
                <w:rFonts w:ascii="Calibri" w:hAnsi="Calibri" w:cs="Calibri"/>
                <w:color w:val="auto"/>
                <w:sz w:val="18"/>
                <w:szCs w:val="18"/>
              </w:rPr>
              <w:t>10%</w:t>
            </w:r>
          </w:p>
        </w:tc>
        <w:tc>
          <w:tcPr>
            <w:tcW w:w="990" w:type="dxa"/>
            <w:shd w:val="clear" w:color="auto" w:fill="FFFFFF" w:themeFill="background1"/>
            <w:vAlign w:val="center"/>
          </w:tcPr>
          <w:p w:rsidR="006665E7" w:rsidRPr="005F1968" w:rsidRDefault="006665E7" w:rsidP="008C13FA">
            <w:pPr>
              <w:spacing w:line="180" w:lineRule="exact"/>
              <w:contextualSpacing/>
              <w:rPr>
                <w:rFonts w:ascii="Calibri" w:eastAsia="Times New Roman" w:hAnsi="Calibri" w:cs="Calibri"/>
                <w:color w:val="auto"/>
                <w:sz w:val="18"/>
                <w:szCs w:val="18"/>
              </w:rPr>
            </w:pPr>
            <w:r w:rsidRPr="005F1968">
              <w:rPr>
                <w:rFonts w:ascii="Calibri" w:hAnsi="Calibri" w:cs="Calibri"/>
                <w:color w:val="auto"/>
                <w:sz w:val="18"/>
                <w:szCs w:val="18"/>
              </w:rPr>
              <w:t>20041208</w:t>
            </w:r>
          </w:p>
        </w:tc>
      </w:tr>
      <w:tr w:rsidR="007E3994" w:rsidRPr="005F1968" w:rsidTr="0010323A">
        <w:trPr>
          <w:trHeight w:val="287"/>
          <w:jc w:val="center"/>
        </w:trPr>
        <w:tc>
          <w:tcPr>
            <w:tcW w:w="2177" w:type="dxa"/>
            <w:vMerge/>
            <w:tcBorders>
              <w:right w:val="single" w:sz="4" w:space="0" w:color="auto"/>
            </w:tcBorders>
            <w:shd w:val="clear" w:color="auto" w:fill="FFFFFF" w:themeFill="background1"/>
            <w:vAlign w:val="center"/>
          </w:tcPr>
          <w:p w:rsidR="007E3994" w:rsidRPr="005F1968" w:rsidRDefault="007E3994" w:rsidP="0010323A">
            <w:pPr>
              <w:spacing w:line="180" w:lineRule="exact"/>
              <w:contextualSpacing/>
              <w:jc w:val="left"/>
              <w:rPr>
                <w:rFonts w:cs="Calibri"/>
                <w:color w:val="auto"/>
                <w:sz w:val="18"/>
                <w:szCs w:val="18"/>
              </w:rPr>
            </w:pPr>
          </w:p>
        </w:tc>
        <w:tc>
          <w:tcPr>
            <w:tcW w:w="1080" w:type="dxa"/>
            <w:vMerge/>
            <w:tcBorders>
              <w:left w:val="single" w:sz="4" w:space="0" w:color="auto"/>
            </w:tcBorders>
            <w:shd w:val="clear" w:color="auto" w:fill="FFFFFF" w:themeFill="background1"/>
            <w:vAlign w:val="center"/>
          </w:tcPr>
          <w:p w:rsidR="007E3994" w:rsidRPr="005F1968" w:rsidRDefault="007E3994" w:rsidP="0010323A">
            <w:pPr>
              <w:spacing w:line="180" w:lineRule="exact"/>
              <w:contextualSpacing/>
              <w:rPr>
                <w:rFonts w:cs="Calibri"/>
                <w:color w:val="auto"/>
                <w:sz w:val="18"/>
                <w:szCs w:val="18"/>
              </w:rPr>
            </w:pPr>
          </w:p>
        </w:tc>
        <w:tc>
          <w:tcPr>
            <w:tcW w:w="902" w:type="dxa"/>
            <w:vMerge/>
            <w:tcBorders>
              <w:right w:val="thinThickThinSmallGap" w:sz="24" w:space="0" w:color="auto"/>
            </w:tcBorders>
            <w:shd w:val="clear" w:color="auto" w:fill="FFFFFF" w:themeFill="background1"/>
            <w:vAlign w:val="center"/>
          </w:tcPr>
          <w:p w:rsidR="007E3994" w:rsidRPr="005F1968" w:rsidRDefault="007E3994" w:rsidP="0010323A">
            <w:pPr>
              <w:spacing w:line="180" w:lineRule="exact"/>
              <w:contextualSpacing/>
              <w:rPr>
                <w:rFonts w:cs="Calibri"/>
                <w:color w:val="auto"/>
                <w:sz w:val="18"/>
                <w:szCs w:val="18"/>
              </w:rPr>
            </w:pPr>
          </w:p>
        </w:tc>
        <w:tc>
          <w:tcPr>
            <w:tcW w:w="2321" w:type="dxa"/>
            <w:tcBorders>
              <w:left w:val="thinThickThinSmallGap" w:sz="24" w:space="0" w:color="auto"/>
              <w:right w:val="single" w:sz="4" w:space="0" w:color="auto"/>
            </w:tcBorders>
            <w:shd w:val="clear" w:color="auto" w:fill="FFFFFF" w:themeFill="background1"/>
            <w:vAlign w:val="center"/>
          </w:tcPr>
          <w:p w:rsidR="007E3994" w:rsidRPr="005F1968" w:rsidRDefault="007E3994" w:rsidP="007E3994">
            <w:pPr>
              <w:spacing w:line="180" w:lineRule="exact"/>
              <w:contextualSpacing/>
              <w:jc w:val="left"/>
              <w:rPr>
                <w:rFonts w:cs="Calibri"/>
                <w:color w:val="auto"/>
                <w:sz w:val="18"/>
                <w:szCs w:val="18"/>
              </w:rPr>
            </w:pPr>
            <w:r w:rsidRPr="005F1968">
              <w:rPr>
                <w:rFonts w:cs="Calibri"/>
                <w:color w:val="auto"/>
                <w:sz w:val="18"/>
                <w:szCs w:val="18"/>
              </w:rPr>
              <w:t>Residuals, Fx Lt Femur GSW</w:t>
            </w:r>
          </w:p>
        </w:tc>
        <w:tc>
          <w:tcPr>
            <w:tcW w:w="1080" w:type="dxa"/>
            <w:tcBorders>
              <w:left w:val="single" w:sz="4" w:space="0" w:color="auto"/>
            </w:tcBorders>
            <w:shd w:val="clear" w:color="auto" w:fill="FFFFFF" w:themeFill="background1"/>
            <w:vAlign w:val="center"/>
          </w:tcPr>
          <w:p w:rsidR="007E3994" w:rsidRPr="005F1968" w:rsidRDefault="007E3994" w:rsidP="0010323A">
            <w:pPr>
              <w:spacing w:line="180" w:lineRule="exact"/>
              <w:contextualSpacing/>
              <w:rPr>
                <w:rFonts w:cs="Calibri"/>
                <w:color w:val="auto"/>
                <w:sz w:val="18"/>
                <w:szCs w:val="18"/>
              </w:rPr>
            </w:pPr>
            <w:r w:rsidRPr="005F1968">
              <w:rPr>
                <w:rFonts w:cs="Calibri"/>
                <w:color w:val="auto"/>
                <w:sz w:val="18"/>
                <w:szCs w:val="18"/>
              </w:rPr>
              <w:t>5252</w:t>
            </w:r>
          </w:p>
        </w:tc>
        <w:tc>
          <w:tcPr>
            <w:tcW w:w="828" w:type="dxa"/>
            <w:shd w:val="clear" w:color="auto" w:fill="FFFFFF" w:themeFill="background1"/>
            <w:vAlign w:val="center"/>
          </w:tcPr>
          <w:p w:rsidR="007E3994" w:rsidRPr="005F1968" w:rsidRDefault="007E3994" w:rsidP="0010323A">
            <w:pPr>
              <w:spacing w:line="180" w:lineRule="exact"/>
              <w:contextualSpacing/>
              <w:rPr>
                <w:rFonts w:cs="Calibri"/>
                <w:color w:val="auto"/>
                <w:sz w:val="18"/>
                <w:szCs w:val="18"/>
              </w:rPr>
            </w:pPr>
            <w:r w:rsidRPr="005F1968">
              <w:rPr>
                <w:rFonts w:cs="Calibri"/>
                <w:color w:val="auto"/>
                <w:sz w:val="18"/>
                <w:szCs w:val="18"/>
              </w:rPr>
              <w:t>0%</w:t>
            </w:r>
          </w:p>
        </w:tc>
        <w:tc>
          <w:tcPr>
            <w:tcW w:w="990" w:type="dxa"/>
            <w:shd w:val="clear" w:color="auto" w:fill="FFFFFF" w:themeFill="background1"/>
            <w:vAlign w:val="center"/>
          </w:tcPr>
          <w:p w:rsidR="007E3994" w:rsidRPr="005F1968" w:rsidRDefault="007E3994" w:rsidP="0010323A">
            <w:pPr>
              <w:spacing w:line="180" w:lineRule="exact"/>
              <w:contextualSpacing/>
              <w:rPr>
                <w:rFonts w:cs="Calibri"/>
                <w:color w:val="auto"/>
                <w:sz w:val="18"/>
                <w:szCs w:val="18"/>
              </w:rPr>
            </w:pPr>
            <w:r w:rsidRPr="005F1968">
              <w:rPr>
                <w:rFonts w:ascii="Calibri" w:eastAsia="Times New Roman" w:hAnsi="Calibri" w:cs="Calibri"/>
                <w:color w:val="auto"/>
                <w:sz w:val="18"/>
                <w:szCs w:val="18"/>
              </w:rPr>
              <w:t>20041208</w:t>
            </w:r>
          </w:p>
        </w:tc>
      </w:tr>
      <w:tr w:rsidR="007A65A9" w:rsidRPr="005F1968" w:rsidTr="0010323A">
        <w:trPr>
          <w:trHeight w:val="260"/>
          <w:jc w:val="center"/>
        </w:trPr>
        <w:tc>
          <w:tcPr>
            <w:tcW w:w="4159" w:type="dxa"/>
            <w:gridSpan w:val="3"/>
            <w:tcBorders>
              <w:right w:val="thinThickThinSmallGap" w:sz="24" w:space="0" w:color="auto"/>
            </w:tcBorders>
            <w:shd w:val="clear" w:color="auto" w:fill="FFFFFF" w:themeFill="background1"/>
            <w:vAlign w:val="center"/>
          </w:tcPr>
          <w:p w:rsidR="00BC5860" w:rsidRPr="005F1968" w:rsidRDefault="00DD0873" w:rsidP="0010323A">
            <w:pPr>
              <w:spacing w:line="180" w:lineRule="exact"/>
              <w:contextualSpacing/>
              <w:rPr>
                <w:rFonts w:ascii="Calibri" w:eastAsia="Times New Roman" w:hAnsi="Calibri" w:cs="Calibri"/>
                <w:color w:val="auto"/>
                <w:sz w:val="18"/>
                <w:szCs w:val="18"/>
              </w:rPr>
            </w:pPr>
            <w:r w:rsidRPr="005F1968">
              <w:rPr>
                <w:rFonts w:ascii="Calibri" w:hAnsi="Calibri" w:cs="Calibri"/>
                <w:color w:val="auto"/>
                <w:sz w:val="18"/>
                <w:szCs w:val="18"/>
              </w:rPr>
              <w:t>↓No Additional MEB/PEB Entries↓</w:t>
            </w:r>
          </w:p>
        </w:tc>
        <w:tc>
          <w:tcPr>
            <w:tcW w:w="4229" w:type="dxa"/>
            <w:gridSpan w:val="3"/>
            <w:tcBorders>
              <w:left w:val="thinThickThinSmallGap" w:sz="24" w:space="0" w:color="auto"/>
            </w:tcBorders>
            <w:shd w:val="clear" w:color="auto" w:fill="FFFFFF" w:themeFill="background1"/>
            <w:vAlign w:val="center"/>
          </w:tcPr>
          <w:p w:rsidR="00BC5860" w:rsidRPr="005F1968" w:rsidRDefault="008E55E1" w:rsidP="0010323A">
            <w:pPr>
              <w:spacing w:line="180" w:lineRule="exact"/>
              <w:contextualSpacing/>
              <w:rPr>
                <w:rFonts w:ascii="Calibri" w:eastAsia="Times New Roman" w:hAnsi="Calibri" w:cs="Calibri"/>
                <w:color w:val="auto"/>
                <w:sz w:val="18"/>
                <w:szCs w:val="18"/>
              </w:rPr>
            </w:pPr>
            <w:r>
              <w:rPr>
                <w:rFonts w:ascii="Calibri" w:hAnsi="Calibri" w:cs="Calibri"/>
                <w:color w:val="auto"/>
                <w:sz w:val="18"/>
                <w:szCs w:val="18"/>
              </w:rPr>
              <w:t>Not Service-</w:t>
            </w:r>
            <w:r w:rsidR="007A65A9" w:rsidRPr="005F1968">
              <w:rPr>
                <w:rFonts w:ascii="Calibri" w:hAnsi="Calibri" w:cs="Calibri"/>
                <w:color w:val="auto"/>
                <w:sz w:val="18"/>
                <w:szCs w:val="18"/>
              </w:rPr>
              <w:t xml:space="preserve">Connected </w:t>
            </w:r>
            <w:r w:rsidR="00374EA1" w:rsidRPr="005F1968">
              <w:rPr>
                <w:rFonts w:ascii="Calibri" w:hAnsi="Calibri" w:cs="Calibri"/>
                <w:color w:val="auto"/>
                <w:sz w:val="18"/>
                <w:szCs w:val="18"/>
              </w:rPr>
              <w:t>x</w:t>
            </w:r>
            <w:r w:rsidR="007A65A9" w:rsidRPr="005F1968">
              <w:rPr>
                <w:rFonts w:ascii="Calibri" w:hAnsi="Calibri" w:cs="Calibri"/>
                <w:color w:val="auto"/>
                <w:sz w:val="18"/>
                <w:szCs w:val="18"/>
              </w:rPr>
              <w:t xml:space="preserve"> </w:t>
            </w:r>
            <w:r w:rsidR="00DD0873" w:rsidRPr="005F1968">
              <w:rPr>
                <w:rFonts w:ascii="Calibri" w:hAnsi="Calibri" w:cs="Calibri"/>
                <w:color w:val="auto"/>
                <w:sz w:val="18"/>
                <w:szCs w:val="18"/>
              </w:rPr>
              <w:t>0</w:t>
            </w:r>
          </w:p>
        </w:tc>
        <w:tc>
          <w:tcPr>
            <w:tcW w:w="990" w:type="dxa"/>
            <w:shd w:val="clear" w:color="auto" w:fill="FFFFFF" w:themeFill="background1"/>
            <w:vAlign w:val="center"/>
          </w:tcPr>
          <w:p w:rsidR="00BC5860" w:rsidRPr="005F1968" w:rsidRDefault="002D08F3" w:rsidP="0010323A">
            <w:pPr>
              <w:spacing w:line="180" w:lineRule="exact"/>
              <w:contextualSpacing/>
              <w:rPr>
                <w:rFonts w:ascii="Calibri" w:eastAsia="Times New Roman" w:hAnsi="Calibri" w:cs="Calibri"/>
                <w:color w:val="auto"/>
                <w:sz w:val="18"/>
                <w:szCs w:val="18"/>
              </w:rPr>
            </w:pPr>
            <w:r w:rsidRPr="005F1968">
              <w:rPr>
                <w:rFonts w:ascii="Calibri" w:hAnsi="Calibri" w:cs="Calibri"/>
                <w:color w:val="auto"/>
                <w:sz w:val="18"/>
                <w:szCs w:val="18"/>
              </w:rPr>
              <w:t>200</w:t>
            </w:r>
            <w:r w:rsidR="00DD0873" w:rsidRPr="005F1968">
              <w:rPr>
                <w:rFonts w:ascii="Calibri" w:hAnsi="Calibri" w:cs="Calibri"/>
                <w:color w:val="auto"/>
                <w:sz w:val="18"/>
                <w:szCs w:val="18"/>
              </w:rPr>
              <w:t>41208</w:t>
            </w:r>
          </w:p>
        </w:tc>
      </w:tr>
      <w:tr w:rsidR="007A65A9" w:rsidRPr="005F1968" w:rsidTr="0010323A">
        <w:trPr>
          <w:trHeight w:val="242"/>
          <w:jc w:val="center"/>
        </w:trPr>
        <w:tc>
          <w:tcPr>
            <w:tcW w:w="4159" w:type="dxa"/>
            <w:gridSpan w:val="3"/>
            <w:tcBorders>
              <w:right w:val="thinThickThinSmallGap" w:sz="24" w:space="0" w:color="auto"/>
            </w:tcBorders>
            <w:shd w:val="clear" w:color="auto" w:fill="D9D9D9" w:themeFill="background1" w:themeFillShade="D9"/>
            <w:vAlign w:val="center"/>
          </w:tcPr>
          <w:p w:rsidR="007A65A9" w:rsidRPr="005F1968" w:rsidRDefault="007A65A9" w:rsidP="0010323A">
            <w:pPr>
              <w:contextualSpacing/>
              <w:rPr>
                <w:rFonts w:ascii="Calibri" w:hAnsi="Calibri" w:cs="Calibri"/>
                <w:b/>
                <w:color w:val="auto"/>
                <w:sz w:val="18"/>
                <w:szCs w:val="18"/>
              </w:rPr>
            </w:pPr>
            <w:r w:rsidRPr="005F1968">
              <w:rPr>
                <w:rFonts w:ascii="Calibri" w:hAnsi="Calibri" w:cs="Calibri"/>
                <w:b/>
                <w:color w:val="auto"/>
                <w:sz w:val="18"/>
                <w:szCs w:val="18"/>
              </w:rPr>
              <w:t xml:space="preserve">Combined: </w:t>
            </w:r>
            <w:r w:rsidR="006458FD" w:rsidRPr="005F1968">
              <w:rPr>
                <w:rFonts w:ascii="Calibri" w:hAnsi="Calibri" w:cs="Calibri"/>
                <w:b/>
                <w:color w:val="auto"/>
                <w:sz w:val="18"/>
                <w:szCs w:val="18"/>
              </w:rPr>
              <w:t xml:space="preserve"> </w:t>
            </w:r>
            <w:r w:rsidR="00DD0873" w:rsidRPr="005F1968">
              <w:rPr>
                <w:rFonts w:ascii="Calibri" w:hAnsi="Calibri" w:cs="Calibri"/>
                <w:b/>
                <w:color w:val="auto"/>
                <w:sz w:val="18"/>
                <w:szCs w:val="18"/>
              </w:rPr>
              <w:t>10</w:t>
            </w:r>
            <w:r w:rsidRPr="005F1968">
              <w:rPr>
                <w:rFonts w:ascii="Calibri" w:hAnsi="Calibri" w:cs="Calibri"/>
                <w:b/>
                <w:color w:val="auto"/>
                <w:sz w:val="18"/>
                <w:szCs w:val="18"/>
              </w:rPr>
              <w:t>%</w:t>
            </w:r>
          </w:p>
        </w:tc>
        <w:tc>
          <w:tcPr>
            <w:tcW w:w="5219" w:type="dxa"/>
            <w:gridSpan w:val="4"/>
            <w:tcBorders>
              <w:left w:val="thinThickThinSmallGap" w:sz="24" w:space="0" w:color="auto"/>
            </w:tcBorders>
            <w:shd w:val="clear" w:color="auto" w:fill="D9D9D9" w:themeFill="background1" w:themeFillShade="D9"/>
            <w:vAlign w:val="center"/>
          </w:tcPr>
          <w:p w:rsidR="007A65A9" w:rsidRPr="005F1968" w:rsidRDefault="007A65A9" w:rsidP="0010323A">
            <w:pPr>
              <w:contextualSpacing/>
              <w:rPr>
                <w:rFonts w:ascii="Calibri" w:hAnsi="Calibri" w:cs="Calibri"/>
                <w:b/>
                <w:color w:val="auto"/>
                <w:sz w:val="18"/>
                <w:szCs w:val="18"/>
              </w:rPr>
            </w:pPr>
            <w:r w:rsidRPr="005F1968">
              <w:rPr>
                <w:rFonts w:ascii="Calibri" w:hAnsi="Calibri" w:cs="Calibri"/>
                <w:b/>
                <w:color w:val="auto"/>
                <w:sz w:val="18"/>
                <w:szCs w:val="18"/>
              </w:rPr>
              <w:t xml:space="preserve">Combined:  </w:t>
            </w:r>
            <w:r w:rsidR="00DD0873" w:rsidRPr="005F1968">
              <w:rPr>
                <w:rFonts w:ascii="Calibri" w:hAnsi="Calibri" w:cs="Calibri"/>
                <w:b/>
                <w:color w:val="auto"/>
                <w:sz w:val="18"/>
                <w:szCs w:val="18"/>
              </w:rPr>
              <w:t>3</w:t>
            </w:r>
            <w:r w:rsidR="006F0F9C" w:rsidRPr="005F1968">
              <w:rPr>
                <w:rFonts w:ascii="Calibri" w:hAnsi="Calibri" w:cs="Calibri"/>
                <w:b/>
                <w:color w:val="auto"/>
                <w:sz w:val="18"/>
                <w:szCs w:val="18"/>
              </w:rPr>
              <w:t>0</w:t>
            </w:r>
            <w:r w:rsidRPr="005F1968">
              <w:rPr>
                <w:rFonts w:ascii="Calibri" w:hAnsi="Calibri" w:cs="Calibri"/>
                <w:b/>
                <w:color w:val="auto"/>
                <w:sz w:val="18"/>
                <w:szCs w:val="18"/>
              </w:rPr>
              <w:t>%</w:t>
            </w:r>
          </w:p>
        </w:tc>
      </w:tr>
    </w:tbl>
    <w:p w:rsidR="00295D13" w:rsidRPr="005F1968" w:rsidRDefault="00295D13" w:rsidP="00A97CD9">
      <w:pPr>
        <w:pBdr>
          <w:bottom w:val="single" w:sz="12" w:space="1" w:color="auto"/>
        </w:pBdr>
        <w:tabs>
          <w:tab w:val="left" w:pos="288"/>
          <w:tab w:val="left" w:pos="4752"/>
        </w:tabs>
        <w:jc w:val="both"/>
        <w:rPr>
          <w:color w:val="auto"/>
          <w:szCs w:val="24"/>
        </w:rPr>
      </w:pPr>
    </w:p>
    <w:p w:rsidR="00DD0873" w:rsidRPr="005F1968" w:rsidRDefault="00DD0873" w:rsidP="00DD0873">
      <w:pPr>
        <w:jc w:val="both"/>
        <w:rPr>
          <w:color w:val="auto"/>
        </w:rPr>
      </w:pPr>
    </w:p>
    <w:p w:rsidR="006A049A" w:rsidRPr="005F1968" w:rsidRDefault="002C6E5B" w:rsidP="006A049A">
      <w:pPr>
        <w:jc w:val="both"/>
        <w:rPr>
          <w:color w:val="auto"/>
          <w:szCs w:val="24"/>
        </w:rPr>
      </w:pPr>
      <w:r w:rsidRPr="005F1968">
        <w:rPr>
          <w:color w:val="auto"/>
          <w:szCs w:val="24"/>
          <w:u w:val="single"/>
        </w:rPr>
        <w:t>ANALYSIS SUMMARY</w:t>
      </w:r>
      <w:r w:rsidRPr="005F1968">
        <w:rPr>
          <w:color w:val="auto"/>
          <w:szCs w:val="24"/>
        </w:rPr>
        <w:t>:</w:t>
      </w:r>
      <w:r w:rsidR="00E46D78" w:rsidRPr="005F1968">
        <w:rPr>
          <w:color w:val="auto"/>
          <w:szCs w:val="24"/>
        </w:rPr>
        <w:t xml:space="preserve">  </w:t>
      </w:r>
      <w:r w:rsidR="006A049A" w:rsidRPr="005F1968">
        <w:rPr>
          <w:color w:val="auto"/>
          <w:szCs w:val="24"/>
        </w:rPr>
        <w:t xml:space="preserve">The PEB combined all aspects of the CI’s left </w:t>
      </w:r>
      <w:r w:rsidR="00A0656B" w:rsidRPr="005F1968">
        <w:rPr>
          <w:color w:val="auto"/>
          <w:szCs w:val="24"/>
        </w:rPr>
        <w:t>upper leg</w:t>
      </w:r>
      <w:r w:rsidR="006A049A" w:rsidRPr="005F1968">
        <w:rPr>
          <w:color w:val="auto"/>
          <w:szCs w:val="24"/>
        </w:rPr>
        <w:t xml:space="preserve"> GSW including all knee, hip, muscle and nerve sequale as the single unfitting and solely rated condition, coded analogously to 5003 using the USAPDA pain policy.  Although this approach complied with Army policy in place at the time; the Board must apply separate codes and ratings in its recommendations, if compensable ratings for each </w:t>
      </w:r>
      <w:r w:rsidR="00A0656B" w:rsidRPr="005F1968">
        <w:rPr>
          <w:color w:val="auto"/>
          <w:szCs w:val="24"/>
        </w:rPr>
        <w:t xml:space="preserve">component of the single traumatic injury </w:t>
      </w:r>
      <w:r w:rsidR="006A049A" w:rsidRPr="005F1968">
        <w:rPr>
          <w:color w:val="auto"/>
          <w:szCs w:val="24"/>
        </w:rPr>
        <w:t xml:space="preserve">are achieved IAW </w:t>
      </w:r>
      <w:r w:rsidR="00A0656B" w:rsidRPr="005F1968">
        <w:rPr>
          <w:color w:val="auto"/>
          <w:szCs w:val="24"/>
        </w:rPr>
        <w:t xml:space="preserve">application of the </w:t>
      </w:r>
      <w:r w:rsidR="006A049A" w:rsidRPr="005F1968">
        <w:rPr>
          <w:color w:val="auto"/>
          <w:szCs w:val="24"/>
        </w:rPr>
        <w:t>VASRD</w:t>
      </w:r>
      <w:r w:rsidR="00A0656B" w:rsidRPr="005F1968">
        <w:rPr>
          <w:color w:val="auto"/>
          <w:szCs w:val="24"/>
        </w:rPr>
        <w:t xml:space="preserve"> for the total disability picture from the single GSW.  </w:t>
      </w:r>
      <w:r w:rsidR="004C6DE3" w:rsidRPr="005F1968">
        <w:rPr>
          <w:color w:val="auto"/>
          <w:szCs w:val="24"/>
        </w:rPr>
        <w:t xml:space="preserve">If the Board judges that two or more separate ratings are warranted in such cases, however, it must satisfy the requirement that each “unbundled” condition was unfitting in and of itself.  </w:t>
      </w:r>
      <w:r w:rsidR="0094439E" w:rsidRPr="005F1968">
        <w:rPr>
          <w:color w:val="auto"/>
          <w:szCs w:val="24"/>
        </w:rPr>
        <w:t xml:space="preserve">All of the </w:t>
      </w:r>
      <w:r w:rsidR="008E55E1">
        <w:rPr>
          <w:color w:val="auto"/>
          <w:szCs w:val="24"/>
        </w:rPr>
        <w:t>Department of Veterans’ Affairs (D</w:t>
      </w:r>
      <w:r w:rsidR="0094439E" w:rsidRPr="005F1968">
        <w:rPr>
          <w:color w:val="auto"/>
          <w:szCs w:val="24"/>
        </w:rPr>
        <w:t>VA</w:t>
      </w:r>
      <w:r w:rsidR="008E55E1">
        <w:rPr>
          <w:color w:val="auto"/>
          <w:szCs w:val="24"/>
        </w:rPr>
        <w:t>)</w:t>
      </w:r>
      <w:r w:rsidR="0094439E" w:rsidRPr="005F1968">
        <w:rPr>
          <w:color w:val="auto"/>
          <w:szCs w:val="24"/>
        </w:rPr>
        <w:t xml:space="preserve"> ratings above were secondary to the single GSW injury.  </w:t>
      </w:r>
      <w:r w:rsidR="00A0656B" w:rsidRPr="005F1968">
        <w:rPr>
          <w:color w:val="auto"/>
          <w:szCs w:val="24"/>
        </w:rPr>
        <w:t>T</w:t>
      </w:r>
      <w:r w:rsidR="006A049A" w:rsidRPr="005F1968">
        <w:rPr>
          <w:color w:val="auto"/>
          <w:szCs w:val="24"/>
        </w:rPr>
        <w:t xml:space="preserve">he Board must exercise the prerogative of separate </w:t>
      </w:r>
      <w:r w:rsidR="00A0656B" w:rsidRPr="005F1968">
        <w:rPr>
          <w:color w:val="auto"/>
          <w:szCs w:val="24"/>
        </w:rPr>
        <w:t>ratings</w:t>
      </w:r>
      <w:r w:rsidR="006A049A" w:rsidRPr="005F1968">
        <w:rPr>
          <w:color w:val="auto"/>
          <w:szCs w:val="24"/>
        </w:rPr>
        <w:t xml:space="preserve"> in this circumstance, with the caveat that its recommendations may not produce a lower combined rating than that of the PEB.</w:t>
      </w:r>
      <w:r w:rsidR="00A0656B" w:rsidRPr="005F1968">
        <w:rPr>
          <w:color w:val="auto"/>
          <w:szCs w:val="24"/>
        </w:rPr>
        <w:t xml:space="preserve">  </w:t>
      </w:r>
      <w:r w:rsidR="006A1BFA" w:rsidRPr="005F1968">
        <w:rPr>
          <w:color w:val="auto"/>
          <w:szCs w:val="24"/>
        </w:rPr>
        <w:t xml:space="preserve">As discussed above, the issues for adjudication are the various </w:t>
      </w:r>
      <w:r w:rsidR="0064087E" w:rsidRPr="005F1968">
        <w:rPr>
          <w:color w:val="auto"/>
          <w:szCs w:val="24"/>
        </w:rPr>
        <w:t>components</w:t>
      </w:r>
      <w:r w:rsidR="006A1BFA" w:rsidRPr="005F1968">
        <w:rPr>
          <w:color w:val="auto"/>
          <w:szCs w:val="24"/>
        </w:rPr>
        <w:t xml:space="preserve"> of the CI’s injury and which portions were unfitting and ratable at the time of separation.  The </w:t>
      </w:r>
      <w:r w:rsidR="008E55E1">
        <w:rPr>
          <w:color w:val="auto"/>
          <w:szCs w:val="24"/>
        </w:rPr>
        <w:t>D</w:t>
      </w:r>
      <w:r w:rsidR="006A1BFA" w:rsidRPr="005F1968">
        <w:rPr>
          <w:color w:val="auto"/>
          <w:szCs w:val="24"/>
        </w:rPr>
        <w:t xml:space="preserve">VA diagnoses of </w:t>
      </w:r>
      <w:proofErr w:type="spellStart"/>
      <w:r w:rsidR="006A1BFA" w:rsidRPr="005F1968">
        <w:rPr>
          <w:color w:val="auto"/>
          <w:szCs w:val="24"/>
        </w:rPr>
        <w:t>retropatella</w:t>
      </w:r>
      <w:proofErr w:type="spellEnd"/>
      <w:r w:rsidR="006A1BFA" w:rsidRPr="005F1968">
        <w:rPr>
          <w:color w:val="auto"/>
          <w:szCs w:val="24"/>
        </w:rPr>
        <w:t xml:space="preserve"> syndrome (left knee), left thigh muscle injury, multiple scars of the left thigh, left hip pain, and left peroneal neuropathy were all considered sequalae of the left thigh GSW and are considered below.  </w:t>
      </w:r>
    </w:p>
    <w:p w:rsidR="006A049A" w:rsidRPr="005F1968" w:rsidRDefault="006A049A" w:rsidP="006A049A">
      <w:pPr>
        <w:tabs>
          <w:tab w:val="left" w:pos="288"/>
          <w:tab w:val="left" w:pos="4752"/>
        </w:tabs>
        <w:jc w:val="both"/>
        <w:rPr>
          <w:color w:val="auto"/>
          <w:szCs w:val="24"/>
        </w:rPr>
      </w:pPr>
    </w:p>
    <w:p w:rsidR="006A1BFA" w:rsidRPr="005F1968" w:rsidRDefault="00A0656B" w:rsidP="006A1BFA">
      <w:pPr>
        <w:jc w:val="both"/>
        <w:rPr>
          <w:color w:val="auto"/>
          <w:szCs w:val="24"/>
        </w:rPr>
      </w:pPr>
      <w:r w:rsidRPr="005F1968">
        <w:rPr>
          <w:color w:val="auto"/>
          <w:szCs w:val="24"/>
          <w:u w:val="single"/>
        </w:rPr>
        <w:t>Left Upper Leg Gunshot Wound with Nail Placement for Femur Fracture</w:t>
      </w:r>
      <w:r w:rsidRPr="005F1968">
        <w:rPr>
          <w:color w:val="auto"/>
          <w:szCs w:val="24"/>
        </w:rPr>
        <w:t xml:space="preserve">:  The CI had a 9-mm GSW with entrance in the left upper medial thigh and exit in the lateral knee (patellar) area that fractured the femur.  The initial injury also produced an open knee joint wound.  He underwent debridment and in-theater external fixation prior to aeromedical evacuation to Germany.  </w:t>
      </w:r>
      <w:r w:rsidR="00C2572C" w:rsidRPr="005F1968">
        <w:rPr>
          <w:color w:val="auto"/>
          <w:szCs w:val="24"/>
        </w:rPr>
        <w:t xml:space="preserve">Radiographs demonstrated a comminuted fracture through the distal femur, and surgery with an IM nail replaced the external fixitor.  </w:t>
      </w:r>
      <w:r w:rsidR="0094439E" w:rsidRPr="005F1968">
        <w:rPr>
          <w:color w:val="auto"/>
          <w:szCs w:val="24"/>
        </w:rPr>
        <w:t xml:space="preserve">The CI underwent extensive physical therapy.  Multiple treatment notes indicated hip and knee pain with swelling and crepitus, and asymmetric thigh muscles.  The CI was able to walk and perform in-garrison duties and was on non-narcotic pain medications.  </w:t>
      </w:r>
      <w:r w:rsidR="006A1BFA" w:rsidRPr="005F1968">
        <w:rPr>
          <w:color w:val="auto"/>
          <w:szCs w:val="24"/>
        </w:rPr>
        <w:t xml:space="preserve">The CI had complaints of </w:t>
      </w:r>
      <w:r w:rsidR="0064087E" w:rsidRPr="005F1968">
        <w:rPr>
          <w:color w:val="auto"/>
          <w:szCs w:val="24"/>
        </w:rPr>
        <w:t>persistent</w:t>
      </w:r>
      <w:r w:rsidR="006A1BFA" w:rsidRPr="005F1968">
        <w:rPr>
          <w:color w:val="auto"/>
          <w:szCs w:val="24"/>
        </w:rPr>
        <w:t xml:space="preserve"> pain in the left knee and thigh especially with prolonged standing, inability to run, occasions of left knee and leg swelling, and the left knee giving out.  There did not appear to be specific complaints or evaluations (until the VA exam</w:t>
      </w:r>
      <w:r w:rsidR="003E02FE">
        <w:rPr>
          <w:color w:val="auto"/>
          <w:szCs w:val="24"/>
        </w:rPr>
        <w:t xml:space="preserve"> after separation</w:t>
      </w:r>
      <w:r w:rsidR="006A1BFA" w:rsidRPr="005F1968">
        <w:rPr>
          <w:color w:val="auto"/>
          <w:szCs w:val="24"/>
        </w:rPr>
        <w:t xml:space="preserve">) of hip pain or lower leg radicular pain.  </w:t>
      </w:r>
      <w:r w:rsidR="003164B7" w:rsidRPr="005F1968">
        <w:rPr>
          <w:color w:val="auto"/>
          <w:szCs w:val="24"/>
        </w:rPr>
        <w:t>There wer</w:t>
      </w:r>
      <w:r w:rsidR="003E02FE">
        <w:rPr>
          <w:color w:val="auto"/>
          <w:szCs w:val="24"/>
        </w:rPr>
        <w:t>e leg and knee exams with range-of-</w:t>
      </w:r>
      <w:r w:rsidR="003164B7" w:rsidRPr="005F1968">
        <w:rPr>
          <w:color w:val="auto"/>
          <w:szCs w:val="24"/>
        </w:rPr>
        <w:t xml:space="preserve">motion (ROM) evaluations in evidence, with documentation of additional ratable criteria, which the Board weighed in arriving at its rating recommendation.  The </w:t>
      </w:r>
      <w:r w:rsidR="003E02FE">
        <w:rPr>
          <w:color w:val="auto"/>
          <w:szCs w:val="24"/>
        </w:rPr>
        <w:t>narrative summary (</w:t>
      </w:r>
      <w:r w:rsidR="003164B7" w:rsidRPr="005F1968">
        <w:rPr>
          <w:color w:val="auto"/>
          <w:szCs w:val="24"/>
        </w:rPr>
        <w:t>NARSUM</w:t>
      </w:r>
      <w:r w:rsidR="003E02FE">
        <w:rPr>
          <w:color w:val="auto"/>
          <w:szCs w:val="24"/>
        </w:rPr>
        <w:t>)</w:t>
      </w:r>
      <w:r w:rsidR="003164B7" w:rsidRPr="005F1968">
        <w:rPr>
          <w:color w:val="auto"/>
          <w:szCs w:val="24"/>
        </w:rPr>
        <w:t xml:space="preserve"> and MEB physical (DD Forms 2807-1; 2808; and 2697) are combined as a single summary in the chart below.</w:t>
      </w:r>
      <w:r w:rsidR="004E42BB" w:rsidRPr="005F1968">
        <w:rPr>
          <w:color w:val="auto"/>
          <w:szCs w:val="24"/>
        </w:rPr>
        <w:t xml:space="preserve">  </w:t>
      </w:r>
    </w:p>
    <w:p w:rsidR="00813DAE" w:rsidRPr="005F1968" w:rsidRDefault="00813DAE">
      <w:pPr>
        <w:rPr>
          <w:color w:val="auto"/>
          <w:szCs w:val="24"/>
        </w:rPr>
      </w:pPr>
      <w:r w:rsidRPr="005F1968">
        <w:rPr>
          <w:color w:val="auto"/>
          <w:szCs w:val="24"/>
        </w:rPr>
        <w:br w:type="page"/>
      </w:r>
    </w:p>
    <w:p w:rsidR="00A0656B" w:rsidRPr="005F1968" w:rsidRDefault="00A0656B" w:rsidP="00A0656B">
      <w:pPr>
        <w:jc w:val="both"/>
        <w:rPr>
          <w:color w:val="auto"/>
          <w:szCs w:val="24"/>
        </w:rPr>
      </w:pPr>
    </w:p>
    <w:tbl>
      <w:tblPr>
        <w:tblW w:w="9113" w:type="dxa"/>
        <w:jc w:val="center"/>
        <w:tblInd w:w="-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73"/>
        <w:gridCol w:w="3353"/>
        <w:gridCol w:w="3487"/>
      </w:tblGrid>
      <w:tr w:rsidR="003164B7" w:rsidRPr="005F1968" w:rsidTr="00813DAE">
        <w:trPr>
          <w:jc w:val="center"/>
        </w:trPr>
        <w:tc>
          <w:tcPr>
            <w:tcW w:w="2273" w:type="dxa"/>
            <w:shd w:val="clear" w:color="auto" w:fill="D9D9D9" w:themeFill="background1" w:themeFillShade="D9"/>
            <w:vAlign w:val="center"/>
          </w:tcPr>
          <w:p w:rsidR="003164B7" w:rsidRPr="005F1968" w:rsidRDefault="003164B7" w:rsidP="003164B7">
            <w:pPr>
              <w:spacing w:line="180" w:lineRule="exact"/>
              <w:contextualSpacing/>
              <w:rPr>
                <w:rFonts w:eastAsia="Calibri"/>
                <w:color w:val="auto"/>
                <w:sz w:val="18"/>
                <w:szCs w:val="18"/>
              </w:rPr>
            </w:pPr>
            <w:r w:rsidRPr="005F1968">
              <w:rPr>
                <w:rFonts w:eastAsia="Calibri"/>
                <w:color w:val="auto"/>
                <w:sz w:val="18"/>
                <w:szCs w:val="18"/>
              </w:rPr>
              <w:t>ROM – Lt Knee</w:t>
            </w:r>
          </w:p>
        </w:tc>
        <w:tc>
          <w:tcPr>
            <w:tcW w:w="3353" w:type="dxa"/>
            <w:shd w:val="clear" w:color="auto" w:fill="D9D9D9" w:themeFill="background1" w:themeFillShade="D9"/>
            <w:vAlign w:val="center"/>
          </w:tcPr>
          <w:p w:rsidR="003164B7" w:rsidRPr="005F1968" w:rsidRDefault="003164B7" w:rsidP="00566905">
            <w:pPr>
              <w:spacing w:line="180" w:lineRule="exact"/>
              <w:contextualSpacing/>
              <w:rPr>
                <w:rFonts w:eastAsia="Calibri"/>
                <w:color w:val="auto"/>
                <w:sz w:val="18"/>
                <w:szCs w:val="18"/>
              </w:rPr>
            </w:pPr>
            <w:r w:rsidRPr="005F1968">
              <w:rPr>
                <w:rFonts w:eastAsia="Calibri"/>
                <w:color w:val="auto"/>
                <w:sz w:val="18"/>
                <w:szCs w:val="18"/>
              </w:rPr>
              <w:t>MEB ~4 Mo. Pre-Sep</w:t>
            </w:r>
          </w:p>
        </w:tc>
        <w:tc>
          <w:tcPr>
            <w:tcW w:w="3487" w:type="dxa"/>
            <w:shd w:val="clear" w:color="auto" w:fill="D9D9D9" w:themeFill="background1" w:themeFillShade="D9"/>
            <w:vAlign w:val="center"/>
          </w:tcPr>
          <w:p w:rsidR="003164B7" w:rsidRPr="005F1968" w:rsidRDefault="003164B7" w:rsidP="00566905">
            <w:pPr>
              <w:spacing w:line="180" w:lineRule="exact"/>
              <w:contextualSpacing/>
              <w:rPr>
                <w:rFonts w:asciiTheme="minorHAnsi" w:eastAsia="Calibri" w:hAnsiTheme="minorHAnsi"/>
                <w:color w:val="auto"/>
                <w:sz w:val="18"/>
                <w:szCs w:val="18"/>
              </w:rPr>
            </w:pPr>
            <w:r w:rsidRPr="005F1968">
              <w:rPr>
                <w:rFonts w:eastAsia="Calibri"/>
                <w:color w:val="auto"/>
                <w:sz w:val="18"/>
                <w:szCs w:val="18"/>
              </w:rPr>
              <w:t>VA</w:t>
            </w:r>
            <w:r w:rsidRPr="005F1968">
              <w:rPr>
                <w:rFonts w:eastAsiaTheme="minorHAnsi"/>
                <w:color w:val="auto"/>
                <w:sz w:val="18"/>
                <w:szCs w:val="18"/>
              </w:rPr>
              <w:t xml:space="preserve"> C&amp;P </w:t>
            </w:r>
            <w:r w:rsidRPr="005F1968">
              <w:rPr>
                <w:rFonts w:eastAsia="Calibri"/>
                <w:color w:val="auto"/>
                <w:sz w:val="18"/>
                <w:szCs w:val="18"/>
              </w:rPr>
              <w:t>~1 Mo. After-Sep</w:t>
            </w:r>
          </w:p>
        </w:tc>
      </w:tr>
      <w:tr w:rsidR="003164B7" w:rsidRPr="005F1968" w:rsidTr="00813DAE">
        <w:trPr>
          <w:jc w:val="center"/>
        </w:trPr>
        <w:tc>
          <w:tcPr>
            <w:tcW w:w="2273" w:type="dxa"/>
            <w:vAlign w:val="center"/>
          </w:tcPr>
          <w:p w:rsidR="003164B7" w:rsidRPr="005F1968" w:rsidRDefault="003164B7" w:rsidP="003164B7">
            <w:pPr>
              <w:spacing w:line="180" w:lineRule="exact"/>
              <w:contextualSpacing/>
              <w:rPr>
                <w:rFonts w:eastAsia="Calibri"/>
                <w:color w:val="auto"/>
                <w:sz w:val="18"/>
                <w:szCs w:val="18"/>
              </w:rPr>
            </w:pPr>
            <w:r w:rsidRPr="005F1968">
              <w:rPr>
                <w:rFonts w:eastAsia="Calibri"/>
                <w:color w:val="auto"/>
                <w:sz w:val="18"/>
                <w:szCs w:val="18"/>
              </w:rPr>
              <w:t>Flexion (140⁰ normal)</w:t>
            </w:r>
          </w:p>
        </w:tc>
        <w:tc>
          <w:tcPr>
            <w:tcW w:w="3353" w:type="dxa"/>
            <w:vAlign w:val="center"/>
          </w:tcPr>
          <w:p w:rsidR="003164B7" w:rsidRPr="005F1968" w:rsidRDefault="003164B7" w:rsidP="003164B7">
            <w:pPr>
              <w:spacing w:line="180" w:lineRule="exact"/>
              <w:contextualSpacing/>
              <w:rPr>
                <w:rFonts w:eastAsia="Calibri"/>
                <w:color w:val="auto"/>
                <w:sz w:val="18"/>
                <w:szCs w:val="18"/>
              </w:rPr>
            </w:pPr>
            <w:r w:rsidRPr="005F1968">
              <w:rPr>
                <w:rFonts w:eastAsia="Calibri"/>
                <w:color w:val="auto"/>
                <w:sz w:val="18"/>
                <w:szCs w:val="18"/>
              </w:rPr>
              <w:t>135⁰</w:t>
            </w:r>
          </w:p>
        </w:tc>
        <w:tc>
          <w:tcPr>
            <w:tcW w:w="3487" w:type="dxa"/>
            <w:vAlign w:val="center"/>
          </w:tcPr>
          <w:p w:rsidR="003164B7" w:rsidRPr="005F1968" w:rsidRDefault="003164B7" w:rsidP="003164B7">
            <w:pPr>
              <w:spacing w:line="180" w:lineRule="exact"/>
              <w:contextualSpacing/>
              <w:rPr>
                <w:rFonts w:eastAsia="Calibri"/>
                <w:color w:val="auto"/>
                <w:sz w:val="18"/>
                <w:szCs w:val="18"/>
              </w:rPr>
            </w:pPr>
            <w:r w:rsidRPr="005F1968">
              <w:rPr>
                <w:rFonts w:eastAsia="Calibri"/>
                <w:color w:val="auto"/>
                <w:sz w:val="18"/>
                <w:szCs w:val="18"/>
              </w:rPr>
              <w:t>130⁰</w:t>
            </w:r>
          </w:p>
        </w:tc>
      </w:tr>
      <w:tr w:rsidR="003164B7" w:rsidRPr="005F1968" w:rsidTr="00813DAE">
        <w:trPr>
          <w:jc w:val="center"/>
        </w:trPr>
        <w:tc>
          <w:tcPr>
            <w:tcW w:w="2273" w:type="dxa"/>
            <w:tcBorders>
              <w:bottom w:val="single" w:sz="4" w:space="0" w:color="auto"/>
            </w:tcBorders>
            <w:vAlign w:val="center"/>
          </w:tcPr>
          <w:p w:rsidR="003164B7" w:rsidRPr="005F1968" w:rsidRDefault="003164B7" w:rsidP="003164B7">
            <w:pPr>
              <w:spacing w:line="180" w:lineRule="exact"/>
              <w:contextualSpacing/>
              <w:rPr>
                <w:rFonts w:eastAsia="Calibri"/>
                <w:color w:val="auto"/>
                <w:sz w:val="18"/>
                <w:szCs w:val="18"/>
              </w:rPr>
            </w:pPr>
            <w:r w:rsidRPr="005F1968">
              <w:rPr>
                <w:rFonts w:eastAsia="Calibri"/>
                <w:color w:val="auto"/>
                <w:sz w:val="18"/>
                <w:szCs w:val="18"/>
              </w:rPr>
              <w:t>Extension (0⁰ normal)</w:t>
            </w:r>
          </w:p>
        </w:tc>
        <w:tc>
          <w:tcPr>
            <w:tcW w:w="3353" w:type="dxa"/>
            <w:tcBorders>
              <w:bottom w:val="single" w:sz="4" w:space="0" w:color="auto"/>
            </w:tcBorders>
            <w:vAlign w:val="center"/>
          </w:tcPr>
          <w:p w:rsidR="003164B7" w:rsidRPr="005F1968" w:rsidRDefault="003164B7" w:rsidP="003164B7">
            <w:pPr>
              <w:spacing w:line="180" w:lineRule="exact"/>
              <w:contextualSpacing/>
              <w:rPr>
                <w:rFonts w:eastAsia="Calibri"/>
                <w:color w:val="auto"/>
                <w:sz w:val="18"/>
                <w:szCs w:val="18"/>
              </w:rPr>
            </w:pPr>
            <w:r w:rsidRPr="005F1968">
              <w:rPr>
                <w:rFonts w:eastAsia="Calibri"/>
                <w:color w:val="auto"/>
                <w:sz w:val="18"/>
                <w:szCs w:val="18"/>
              </w:rPr>
              <w:t>0⁰</w:t>
            </w:r>
          </w:p>
        </w:tc>
        <w:tc>
          <w:tcPr>
            <w:tcW w:w="3487" w:type="dxa"/>
            <w:tcBorders>
              <w:bottom w:val="single" w:sz="4" w:space="0" w:color="auto"/>
            </w:tcBorders>
            <w:vAlign w:val="center"/>
          </w:tcPr>
          <w:p w:rsidR="003164B7" w:rsidRPr="005F1968" w:rsidRDefault="003164B7" w:rsidP="003164B7">
            <w:pPr>
              <w:spacing w:line="180" w:lineRule="exact"/>
              <w:contextualSpacing/>
              <w:rPr>
                <w:rFonts w:eastAsia="Calibri"/>
                <w:color w:val="auto"/>
                <w:sz w:val="18"/>
                <w:szCs w:val="18"/>
              </w:rPr>
            </w:pPr>
            <w:r w:rsidRPr="005F1968">
              <w:rPr>
                <w:rFonts w:eastAsia="Calibri"/>
                <w:color w:val="auto"/>
                <w:sz w:val="18"/>
                <w:szCs w:val="18"/>
              </w:rPr>
              <w:t>0⁰</w:t>
            </w:r>
          </w:p>
        </w:tc>
      </w:tr>
      <w:tr w:rsidR="003164B7" w:rsidRPr="005F1968" w:rsidTr="00813DAE">
        <w:trPr>
          <w:jc w:val="center"/>
        </w:trPr>
        <w:tc>
          <w:tcPr>
            <w:tcW w:w="2273" w:type="dxa"/>
            <w:tcBorders>
              <w:top w:val="single" w:sz="4" w:space="0" w:color="auto"/>
              <w:left w:val="single" w:sz="4" w:space="0" w:color="auto"/>
              <w:bottom w:val="single" w:sz="4" w:space="0" w:color="auto"/>
              <w:right w:val="single" w:sz="4" w:space="0" w:color="auto"/>
            </w:tcBorders>
            <w:vAlign w:val="center"/>
          </w:tcPr>
          <w:p w:rsidR="003164B7" w:rsidRPr="005F1968" w:rsidRDefault="003164B7" w:rsidP="003164B7">
            <w:pPr>
              <w:tabs>
                <w:tab w:val="left" w:pos="288"/>
                <w:tab w:val="left" w:pos="4752"/>
              </w:tabs>
              <w:spacing w:line="180" w:lineRule="exact"/>
              <w:rPr>
                <w:rFonts w:eastAsiaTheme="minorHAnsi"/>
                <w:color w:val="auto"/>
                <w:sz w:val="18"/>
                <w:szCs w:val="18"/>
              </w:rPr>
            </w:pPr>
            <w:r w:rsidRPr="005F1968">
              <w:rPr>
                <w:rFonts w:eastAsiaTheme="minorHAnsi"/>
                <w:color w:val="auto"/>
                <w:sz w:val="18"/>
                <w:szCs w:val="18"/>
              </w:rPr>
              <w:t>Comment</w:t>
            </w:r>
          </w:p>
        </w:tc>
        <w:tc>
          <w:tcPr>
            <w:tcW w:w="3353" w:type="dxa"/>
            <w:tcBorders>
              <w:top w:val="single" w:sz="4" w:space="0" w:color="auto"/>
              <w:left w:val="single" w:sz="4" w:space="0" w:color="auto"/>
              <w:bottom w:val="single" w:sz="4" w:space="0" w:color="auto"/>
              <w:right w:val="single" w:sz="4" w:space="0" w:color="auto"/>
            </w:tcBorders>
            <w:vAlign w:val="center"/>
          </w:tcPr>
          <w:p w:rsidR="003164B7" w:rsidRPr="005F1968" w:rsidRDefault="003164B7" w:rsidP="003164B7">
            <w:pPr>
              <w:tabs>
                <w:tab w:val="left" w:pos="288"/>
                <w:tab w:val="left" w:pos="4752"/>
              </w:tabs>
              <w:spacing w:line="180" w:lineRule="exact"/>
              <w:jc w:val="left"/>
              <w:rPr>
                <w:rFonts w:eastAsiaTheme="minorHAnsi"/>
                <w:color w:val="auto"/>
                <w:sz w:val="18"/>
                <w:szCs w:val="18"/>
              </w:rPr>
            </w:pPr>
            <w:r w:rsidRPr="005F1968">
              <w:rPr>
                <w:rFonts w:eastAsiaTheme="minorHAnsi"/>
                <w:color w:val="auto"/>
                <w:sz w:val="18"/>
                <w:szCs w:val="18"/>
              </w:rPr>
              <w:t>“full</w:t>
            </w:r>
            <w:r w:rsidR="009C45F0" w:rsidRPr="005F1968">
              <w:rPr>
                <w:rFonts w:eastAsiaTheme="minorHAnsi"/>
                <w:color w:val="auto"/>
                <w:sz w:val="18"/>
                <w:szCs w:val="18"/>
              </w:rPr>
              <w:t xml:space="preserve"> range of motion 0-135 degrees </w:t>
            </w:r>
            <w:r w:rsidRPr="005F1968">
              <w:rPr>
                <w:rFonts w:eastAsiaTheme="minorHAnsi"/>
                <w:color w:val="auto"/>
                <w:sz w:val="18"/>
                <w:szCs w:val="18"/>
              </w:rPr>
              <w:t>with a goniometer and averaged”;</w:t>
            </w:r>
            <w:r w:rsidR="009C45F0" w:rsidRPr="005F1968">
              <w:rPr>
                <w:rFonts w:eastAsiaTheme="minorHAnsi"/>
                <w:color w:val="auto"/>
                <w:sz w:val="18"/>
                <w:szCs w:val="18"/>
              </w:rPr>
              <w:t xml:space="preserve"> </w:t>
            </w:r>
            <w:r w:rsidRPr="005F1968">
              <w:rPr>
                <w:rFonts w:eastAsiaTheme="minorHAnsi"/>
                <w:color w:val="auto"/>
                <w:sz w:val="18"/>
                <w:szCs w:val="18"/>
              </w:rPr>
              <w:t xml:space="preserve">+ patellar grind; tender lateral GSW scar; calcific nodule lateral femoral condyle; </w:t>
            </w:r>
            <w:r w:rsidR="009C45F0" w:rsidRPr="005F1968">
              <w:rPr>
                <w:rFonts w:eastAsiaTheme="minorHAnsi"/>
                <w:color w:val="auto"/>
                <w:sz w:val="18"/>
                <w:szCs w:val="18"/>
              </w:rPr>
              <w:t xml:space="preserve">DD Form </w:t>
            </w:r>
            <w:r w:rsidRPr="005F1968">
              <w:rPr>
                <w:rFonts w:eastAsiaTheme="minorHAnsi"/>
                <w:color w:val="auto"/>
                <w:sz w:val="18"/>
                <w:szCs w:val="18"/>
              </w:rPr>
              <w:t>2808-mild L. gastrocnemius atrophy with decreased strength with 5</w:t>
            </w:r>
            <w:r w:rsidRPr="005F1968">
              <w:rPr>
                <w:rFonts w:eastAsia="Calibri"/>
                <w:color w:val="auto"/>
                <w:sz w:val="18"/>
                <w:szCs w:val="18"/>
              </w:rPr>
              <w:t>⁰ loss of flexion; LLE sensory normal</w:t>
            </w:r>
          </w:p>
        </w:tc>
        <w:tc>
          <w:tcPr>
            <w:tcW w:w="3487" w:type="dxa"/>
            <w:tcBorders>
              <w:top w:val="single" w:sz="4" w:space="0" w:color="auto"/>
              <w:left w:val="single" w:sz="4" w:space="0" w:color="auto"/>
              <w:bottom w:val="single" w:sz="4" w:space="0" w:color="auto"/>
              <w:right w:val="single" w:sz="4" w:space="0" w:color="auto"/>
            </w:tcBorders>
            <w:vAlign w:val="center"/>
          </w:tcPr>
          <w:p w:rsidR="003164B7" w:rsidRPr="005F1968" w:rsidRDefault="003164B7" w:rsidP="006665E7">
            <w:pPr>
              <w:tabs>
                <w:tab w:val="left" w:pos="288"/>
                <w:tab w:val="left" w:pos="4752"/>
              </w:tabs>
              <w:spacing w:line="180" w:lineRule="exact"/>
              <w:jc w:val="left"/>
              <w:rPr>
                <w:rFonts w:eastAsiaTheme="minorHAnsi"/>
                <w:color w:val="auto"/>
                <w:sz w:val="18"/>
                <w:szCs w:val="18"/>
              </w:rPr>
            </w:pPr>
            <w:r w:rsidRPr="005F1968">
              <w:rPr>
                <w:rFonts w:eastAsiaTheme="minorHAnsi"/>
                <w:color w:val="auto"/>
                <w:sz w:val="18"/>
                <w:szCs w:val="18"/>
              </w:rPr>
              <w:t xml:space="preserve">5 cm tender scar, “pain with flexion greater than 130 out of 140 degrees”; tender entrance wound medial thigh/exit wound left lateral patella; “tenderness over the left lateral tibia with pain radiating down his left leg consistent with mild peroneal neuropathy though </w:t>
            </w:r>
            <w:r w:rsidR="0064087E" w:rsidRPr="005F1968">
              <w:rPr>
                <w:rFonts w:eastAsiaTheme="minorHAnsi"/>
                <w:color w:val="auto"/>
                <w:sz w:val="18"/>
                <w:szCs w:val="18"/>
              </w:rPr>
              <w:t>sensation</w:t>
            </w:r>
            <w:r w:rsidRPr="005F1968">
              <w:rPr>
                <w:rFonts w:eastAsiaTheme="minorHAnsi"/>
                <w:color w:val="auto"/>
                <w:sz w:val="18"/>
                <w:szCs w:val="18"/>
              </w:rPr>
              <w:t xml:space="preserve"> is intact at rest”</w:t>
            </w:r>
            <w:r w:rsidR="00EE0020" w:rsidRPr="005F1968">
              <w:rPr>
                <w:rFonts w:eastAsiaTheme="minorHAnsi"/>
                <w:color w:val="auto"/>
                <w:sz w:val="18"/>
                <w:szCs w:val="18"/>
              </w:rPr>
              <w:t xml:space="preserve">; </w:t>
            </w:r>
            <w:r w:rsidR="006665E7" w:rsidRPr="005F1968">
              <w:rPr>
                <w:rFonts w:eastAsiaTheme="minorHAnsi"/>
                <w:color w:val="auto"/>
                <w:sz w:val="18"/>
                <w:szCs w:val="18"/>
              </w:rPr>
              <w:t xml:space="preserve">normal stability:  </w:t>
            </w:r>
            <w:r w:rsidR="00EE0020" w:rsidRPr="005F1968">
              <w:rPr>
                <w:rFonts w:eastAsiaTheme="minorHAnsi"/>
                <w:color w:val="auto"/>
                <w:sz w:val="18"/>
                <w:szCs w:val="18"/>
              </w:rPr>
              <w:t>L Hip – reduction of 10-20</w:t>
            </w:r>
            <w:r w:rsidR="00EE0020" w:rsidRPr="005F1968">
              <w:rPr>
                <w:rFonts w:eastAsia="Calibri"/>
                <w:color w:val="auto"/>
                <w:sz w:val="18"/>
                <w:szCs w:val="18"/>
              </w:rPr>
              <w:t>⁰ in abduction and IR from normal</w:t>
            </w:r>
          </w:p>
        </w:tc>
      </w:tr>
      <w:tr w:rsidR="003164B7" w:rsidRPr="005F1968" w:rsidTr="00813DAE">
        <w:trPr>
          <w:jc w:val="center"/>
        </w:trPr>
        <w:tc>
          <w:tcPr>
            <w:tcW w:w="2273" w:type="dxa"/>
            <w:tcBorders>
              <w:top w:val="single" w:sz="4" w:space="0" w:color="auto"/>
              <w:left w:val="single" w:sz="4" w:space="0" w:color="auto"/>
              <w:bottom w:val="single" w:sz="4" w:space="0" w:color="auto"/>
              <w:right w:val="single" w:sz="4" w:space="0" w:color="auto"/>
            </w:tcBorders>
            <w:vAlign w:val="center"/>
          </w:tcPr>
          <w:p w:rsidR="003164B7" w:rsidRPr="005F1968" w:rsidRDefault="003164B7" w:rsidP="003164B7">
            <w:pPr>
              <w:tabs>
                <w:tab w:val="left" w:pos="288"/>
                <w:tab w:val="left" w:pos="4752"/>
              </w:tabs>
              <w:spacing w:line="180" w:lineRule="exact"/>
              <w:rPr>
                <w:rFonts w:eastAsiaTheme="minorHAnsi"/>
                <w:color w:val="auto"/>
                <w:sz w:val="18"/>
                <w:szCs w:val="18"/>
              </w:rPr>
            </w:pPr>
            <w:r w:rsidRPr="005F1968">
              <w:rPr>
                <w:rFonts w:eastAsiaTheme="minorHAnsi"/>
                <w:color w:val="auto"/>
                <w:sz w:val="18"/>
                <w:szCs w:val="18"/>
              </w:rPr>
              <w:t>§4.71a Rating (Joints-Knee)</w:t>
            </w:r>
          </w:p>
        </w:tc>
        <w:tc>
          <w:tcPr>
            <w:tcW w:w="3353" w:type="dxa"/>
            <w:tcBorders>
              <w:top w:val="single" w:sz="4" w:space="0" w:color="auto"/>
              <w:left w:val="single" w:sz="4" w:space="0" w:color="auto"/>
              <w:bottom w:val="single" w:sz="4" w:space="0" w:color="auto"/>
              <w:right w:val="single" w:sz="4" w:space="0" w:color="auto"/>
            </w:tcBorders>
            <w:vAlign w:val="center"/>
          </w:tcPr>
          <w:p w:rsidR="003164B7" w:rsidRPr="005F1968" w:rsidRDefault="003164B7" w:rsidP="003164B7">
            <w:pPr>
              <w:tabs>
                <w:tab w:val="left" w:pos="288"/>
                <w:tab w:val="left" w:pos="4752"/>
              </w:tabs>
              <w:spacing w:line="180" w:lineRule="exact"/>
              <w:rPr>
                <w:rFonts w:eastAsiaTheme="minorHAnsi"/>
                <w:color w:val="auto"/>
                <w:sz w:val="18"/>
                <w:szCs w:val="18"/>
              </w:rPr>
            </w:pPr>
            <w:r w:rsidRPr="005F1968">
              <w:rPr>
                <w:rFonts w:eastAsiaTheme="minorHAnsi"/>
                <w:color w:val="auto"/>
                <w:sz w:val="18"/>
                <w:szCs w:val="18"/>
              </w:rPr>
              <w:t>10%</w:t>
            </w:r>
          </w:p>
        </w:tc>
        <w:tc>
          <w:tcPr>
            <w:tcW w:w="3487" w:type="dxa"/>
            <w:tcBorders>
              <w:top w:val="single" w:sz="4" w:space="0" w:color="auto"/>
              <w:left w:val="single" w:sz="4" w:space="0" w:color="auto"/>
              <w:bottom w:val="single" w:sz="4" w:space="0" w:color="auto"/>
              <w:right w:val="single" w:sz="4" w:space="0" w:color="auto"/>
            </w:tcBorders>
            <w:vAlign w:val="center"/>
          </w:tcPr>
          <w:p w:rsidR="003164B7" w:rsidRPr="005F1968" w:rsidRDefault="003164B7" w:rsidP="003164B7">
            <w:pPr>
              <w:tabs>
                <w:tab w:val="left" w:pos="288"/>
                <w:tab w:val="left" w:pos="4752"/>
              </w:tabs>
              <w:spacing w:line="180" w:lineRule="exact"/>
              <w:rPr>
                <w:rFonts w:eastAsiaTheme="minorHAnsi"/>
                <w:color w:val="auto"/>
                <w:sz w:val="18"/>
                <w:szCs w:val="18"/>
              </w:rPr>
            </w:pPr>
            <w:r w:rsidRPr="005F1968">
              <w:rPr>
                <w:rFonts w:eastAsiaTheme="minorHAnsi"/>
                <w:color w:val="auto"/>
                <w:sz w:val="18"/>
                <w:szCs w:val="18"/>
              </w:rPr>
              <w:t>10%</w:t>
            </w:r>
          </w:p>
        </w:tc>
      </w:tr>
      <w:tr w:rsidR="003164B7" w:rsidRPr="005F1968" w:rsidTr="00813DAE">
        <w:trPr>
          <w:jc w:val="center"/>
        </w:trPr>
        <w:tc>
          <w:tcPr>
            <w:tcW w:w="2273" w:type="dxa"/>
            <w:tcBorders>
              <w:top w:val="single" w:sz="4" w:space="0" w:color="auto"/>
              <w:left w:val="single" w:sz="4" w:space="0" w:color="auto"/>
              <w:bottom w:val="single" w:sz="4" w:space="0" w:color="auto"/>
              <w:right w:val="single" w:sz="4" w:space="0" w:color="auto"/>
            </w:tcBorders>
            <w:vAlign w:val="center"/>
          </w:tcPr>
          <w:p w:rsidR="003164B7" w:rsidRPr="005F1968" w:rsidRDefault="003164B7" w:rsidP="003164B7">
            <w:pPr>
              <w:tabs>
                <w:tab w:val="left" w:pos="288"/>
                <w:tab w:val="left" w:pos="4752"/>
              </w:tabs>
              <w:spacing w:line="180" w:lineRule="exact"/>
              <w:rPr>
                <w:rFonts w:eastAsiaTheme="minorHAnsi"/>
                <w:color w:val="auto"/>
                <w:sz w:val="18"/>
                <w:szCs w:val="18"/>
              </w:rPr>
            </w:pPr>
            <w:r w:rsidRPr="005F1968">
              <w:rPr>
                <w:rFonts w:eastAsiaTheme="minorHAnsi"/>
                <w:color w:val="auto"/>
                <w:sz w:val="18"/>
                <w:szCs w:val="18"/>
              </w:rPr>
              <w:t>§4.73 Rating (Muscle)</w:t>
            </w:r>
          </w:p>
        </w:tc>
        <w:tc>
          <w:tcPr>
            <w:tcW w:w="3353" w:type="dxa"/>
            <w:tcBorders>
              <w:top w:val="single" w:sz="4" w:space="0" w:color="auto"/>
              <w:left w:val="single" w:sz="4" w:space="0" w:color="auto"/>
              <w:bottom w:val="single" w:sz="4" w:space="0" w:color="auto"/>
              <w:right w:val="single" w:sz="4" w:space="0" w:color="auto"/>
            </w:tcBorders>
            <w:vAlign w:val="center"/>
          </w:tcPr>
          <w:p w:rsidR="003164B7" w:rsidRPr="005F1968" w:rsidRDefault="00EE0020" w:rsidP="003164B7">
            <w:pPr>
              <w:tabs>
                <w:tab w:val="left" w:pos="288"/>
                <w:tab w:val="left" w:pos="4752"/>
              </w:tabs>
              <w:spacing w:line="180" w:lineRule="exact"/>
              <w:rPr>
                <w:rFonts w:eastAsiaTheme="minorHAnsi"/>
                <w:color w:val="auto"/>
                <w:sz w:val="18"/>
                <w:szCs w:val="18"/>
              </w:rPr>
            </w:pPr>
            <w:r w:rsidRPr="005F1968">
              <w:rPr>
                <w:rFonts w:eastAsiaTheme="minorHAnsi"/>
                <w:color w:val="auto"/>
                <w:sz w:val="18"/>
                <w:szCs w:val="18"/>
              </w:rPr>
              <w:t>10-20%</w:t>
            </w:r>
          </w:p>
        </w:tc>
        <w:tc>
          <w:tcPr>
            <w:tcW w:w="3487" w:type="dxa"/>
            <w:tcBorders>
              <w:top w:val="single" w:sz="4" w:space="0" w:color="auto"/>
              <w:left w:val="single" w:sz="4" w:space="0" w:color="auto"/>
              <w:bottom w:val="single" w:sz="4" w:space="0" w:color="auto"/>
              <w:right w:val="single" w:sz="4" w:space="0" w:color="auto"/>
            </w:tcBorders>
            <w:vAlign w:val="center"/>
          </w:tcPr>
          <w:p w:rsidR="003164B7" w:rsidRPr="005F1968" w:rsidRDefault="00EE0020" w:rsidP="003164B7">
            <w:pPr>
              <w:tabs>
                <w:tab w:val="left" w:pos="288"/>
                <w:tab w:val="left" w:pos="4752"/>
              </w:tabs>
              <w:spacing w:line="180" w:lineRule="exact"/>
              <w:rPr>
                <w:rFonts w:eastAsiaTheme="minorHAnsi"/>
                <w:color w:val="auto"/>
                <w:sz w:val="18"/>
                <w:szCs w:val="18"/>
              </w:rPr>
            </w:pPr>
            <w:r w:rsidRPr="005F1968">
              <w:rPr>
                <w:rFonts w:eastAsiaTheme="minorHAnsi"/>
                <w:color w:val="auto"/>
                <w:sz w:val="18"/>
                <w:szCs w:val="18"/>
              </w:rPr>
              <w:t>10-20% (VA 10%)</w:t>
            </w:r>
          </w:p>
        </w:tc>
      </w:tr>
      <w:tr w:rsidR="003164B7" w:rsidRPr="005F1968" w:rsidTr="00813DAE">
        <w:trPr>
          <w:jc w:val="center"/>
        </w:trPr>
        <w:tc>
          <w:tcPr>
            <w:tcW w:w="2273" w:type="dxa"/>
            <w:tcBorders>
              <w:top w:val="single" w:sz="4" w:space="0" w:color="auto"/>
              <w:left w:val="single" w:sz="4" w:space="0" w:color="auto"/>
              <w:bottom w:val="single" w:sz="4" w:space="0" w:color="auto"/>
              <w:right w:val="single" w:sz="4" w:space="0" w:color="auto"/>
            </w:tcBorders>
            <w:vAlign w:val="center"/>
          </w:tcPr>
          <w:p w:rsidR="003164B7" w:rsidRPr="005F1968" w:rsidRDefault="003164B7" w:rsidP="003164B7">
            <w:pPr>
              <w:tabs>
                <w:tab w:val="left" w:pos="288"/>
                <w:tab w:val="left" w:pos="4752"/>
              </w:tabs>
              <w:spacing w:line="180" w:lineRule="exact"/>
              <w:rPr>
                <w:rFonts w:eastAsiaTheme="minorHAnsi"/>
                <w:color w:val="auto"/>
                <w:sz w:val="18"/>
                <w:szCs w:val="18"/>
              </w:rPr>
            </w:pPr>
            <w:r w:rsidRPr="005F1968">
              <w:rPr>
                <w:rFonts w:eastAsiaTheme="minorHAnsi"/>
                <w:color w:val="auto"/>
                <w:sz w:val="18"/>
                <w:szCs w:val="18"/>
              </w:rPr>
              <w:t>§4.71a Rating (Joints-hip)</w:t>
            </w:r>
          </w:p>
        </w:tc>
        <w:tc>
          <w:tcPr>
            <w:tcW w:w="3353" w:type="dxa"/>
            <w:tcBorders>
              <w:top w:val="single" w:sz="4" w:space="0" w:color="auto"/>
              <w:left w:val="single" w:sz="4" w:space="0" w:color="auto"/>
              <w:bottom w:val="single" w:sz="4" w:space="0" w:color="auto"/>
              <w:right w:val="single" w:sz="4" w:space="0" w:color="auto"/>
            </w:tcBorders>
            <w:vAlign w:val="center"/>
          </w:tcPr>
          <w:p w:rsidR="003164B7" w:rsidRPr="005F1968" w:rsidRDefault="00EE0020" w:rsidP="003164B7">
            <w:pPr>
              <w:tabs>
                <w:tab w:val="left" w:pos="288"/>
                <w:tab w:val="left" w:pos="4752"/>
              </w:tabs>
              <w:spacing w:line="180" w:lineRule="exact"/>
              <w:rPr>
                <w:rFonts w:eastAsiaTheme="minorHAnsi"/>
                <w:color w:val="auto"/>
                <w:sz w:val="18"/>
                <w:szCs w:val="18"/>
              </w:rPr>
            </w:pPr>
            <w:r w:rsidRPr="005F1968">
              <w:rPr>
                <w:rFonts w:eastAsiaTheme="minorHAnsi"/>
                <w:color w:val="auto"/>
                <w:sz w:val="18"/>
                <w:szCs w:val="18"/>
              </w:rPr>
              <w:t>Not addressed</w:t>
            </w:r>
          </w:p>
        </w:tc>
        <w:tc>
          <w:tcPr>
            <w:tcW w:w="3487" w:type="dxa"/>
            <w:tcBorders>
              <w:top w:val="single" w:sz="4" w:space="0" w:color="auto"/>
              <w:left w:val="single" w:sz="4" w:space="0" w:color="auto"/>
              <w:bottom w:val="single" w:sz="4" w:space="0" w:color="auto"/>
              <w:right w:val="single" w:sz="4" w:space="0" w:color="auto"/>
            </w:tcBorders>
            <w:vAlign w:val="center"/>
          </w:tcPr>
          <w:p w:rsidR="003164B7" w:rsidRPr="005F1968" w:rsidRDefault="00EE0020" w:rsidP="003164B7">
            <w:pPr>
              <w:tabs>
                <w:tab w:val="left" w:pos="288"/>
                <w:tab w:val="left" w:pos="4752"/>
              </w:tabs>
              <w:spacing w:line="180" w:lineRule="exact"/>
              <w:rPr>
                <w:rFonts w:eastAsiaTheme="minorHAnsi"/>
                <w:color w:val="auto"/>
                <w:sz w:val="18"/>
                <w:szCs w:val="18"/>
              </w:rPr>
            </w:pPr>
            <w:r w:rsidRPr="005F1968">
              <w:rPr>
                <w:rFonts w:eastAsiaTheme="minorHAnsi"/>
                <w:color w:val="auto"/>
                <w:sz w:val="18"/>
                <w:szCs w:val="18"/>
              </w:rPr>
              <w:t>0-</w:t>
            </w:r>
            <w:r w:rsidR="003164B7" w:rsidRPr="005F1968">
              <w:rPr>
                <w:rFonts w:eastAsiaTheme="minorHAnsi"/>
                <w:color w:val="auto"/>
                <w:sz w:val="18"/>
                <w:szCs w:val="18"/>
              </w:rPr>
              <w:t>10%</w:t>
            </w:r>
            <w:r w:rsidRPr="005F1968">
              <w:rPr>
                <w:rFonts w:eastAsiaTheme="minorHAnsi"/>
                <w:color w:val="auto"/>
                <w:sz w:val="18"/>
                <w:szCs w:val="18"/>
              </w:rPr>
              <w:t xml:space="preserve"> (VA 10%)</w:t>
            </w:r>
          </w:p>
        </w:tc>
      </w:tr>
      <w:tr w:rsidR="003164B7" w:rsidRPr="005F1968" w:rsidTr="00813DAE">
        <w:trPr>
          <w:jc w:val="center"/>
        </w:trPr>
        <w:tc>
          <w:tcPr>
            <w:tcW w:w="2273" w:type="dxa"/>
            <w:tcBorders>
              <w:top w:val="single" w:sz="4" w:space="0" w:color="auto"/>
              <w:left w:val="single" w:sz="4" w:space="0" w:color="auto"/>
              <w:bottom w:val="single" w:sz="4" w:space="0" w:color="auto"/>
              <w:right w:val="single" w:sz="4" w:space="0" w:color="auto"/>
            </w:tcBorders>
            <w:vAlign w:val="center"/>
          </w:tcPr>
          <w:p w:rsidR="003164B7" w:rsidRPr="005F1968" w:rsidRDefault="003164B7" w:rsidP="003164B7">
            <w:pPr>
              <w:tabs>
                <w:tab w:val="left" w:pos="288"/>
                <w:tab w:val="left" w:pos="4752"/>
              </w:tabs>
              <w:spacing w:line="180" w:lineRule="exact"/>
              <w:rPr>
                <w:rFonts w:eastAsiaTheme="minorHAnsi"/>
                <w:color w:val="auto"/>
                <w:sz w:val="18"/>
                <w:szCs w:val="18"/>
              </w:rPr>
            </w:pPr>
            <w:r w:rsidRPr="005F1968">
              <w:rPr>
                <w:rFonts w:eastAsiaTheme="minorHAnsi"/>
                <w:color w:val="auto"/>
                <w:sz w:val="18"/>
                <w:szCs w:val="18"/>
              </w:rPr>
              <w:t>§4.118 (Skin)</w:t>
            </w:r>
          </w:p>
        </w:tc>
        <w:tc>
          <w:tcPr>
            <w:tcW w:w="3353" w:type="dxa"/>
            <w:tcBorders>
              <w:top w:val="single" w:sz="4" w:space="0" w:color="auto"/>
              <w:left w:val="single" w:sz="4" w:space="0" w:color="auto"/>
              <w:bottom w:val="single" w:sz="4" w:space="0" w:color="auto"/>
              <w:right w:val="single" w:sz="4" w:space="0" w:color="auto"/>
            </w:tcBorders>
            <w:vAlign w:val="center"/>
          </w:tcPr>
          <w:p w:rsidR="003164B7" w:rsidRPr="005F1968" w:rsidRDefault="003164B7" w:rsidP="003164B7">
            <w:pPr>
              <w:tabs>
                <w:tab w:val="left" w:pos="288"/>
                <w:tab w:val="left" w:pos="4752"/>
              </w:tabs>
              <w:spacing w:line="180" w:lineRule="exact"/>
              <w:rPr>
                <w:rFonts w:eastAsiaTheme="minorHAnsi"/>
                <w:color w:val="auto"/>
                <w:sz w:val="18"/>
                <w:szCs w:val="18"/>
              </w:rPr>
            </w:pPr>
            <w:r w:rsidRPr="005F1968">
              <w:rPr>
                <w:rFonts w:eastAsiaTheme="minorHAnsi"/>
                <w:color w:val="auto"/>
                <w:sz w:val="18"/>
                <w:szCs w:val="18"/>
              </w:rPr>
              <w:t>10%</w:t>
            </w:r>
          </w:p>
        </w:tc>
        <w:tc>
          <w:tcPr>
            <w:tcW w:w="3487" w:type="dxa"/>
            <w:tcBorders>
              <w:top w:val="single" w:sz="4" w:space="0" w:color="auto"/>
              <w:left w:val="single" w:sz="4" w:space="0" w:color="auto"/>
              <w:bottom w:val="single" w:sz="4" w:space="0" w:color="auto"/>
              <w:right w:val="single" w:sz="4" w:space="0" w:color="auto"/>
            </w:tcBorders>
            <w:vAlign w:val="center"/>
          </w:tcPr>
          <w:p w:rsidR="003164B7" w:rsidRPr="005F1968" w:rsidRDefault="003164B7" w:rsidP="003164B7">
            <w:pPr>
              <w:tabs>
                <w:tab w:val="left" w:pos="288"/>
                <w:tab w:val="left" w:pos="4752"/>
              </w:tabs>
              <w:spacing w:line="180" w:lineRule="exact"/>
              <w:rPr>
                <w:rFonts w:eastAsiaTheme="minorHAnsi"/>
                <w:color w:val="auto"/>
                <w:sz w:val="18"/>
                <w:szCs w:val="18"/>
              </w:rPr>
            </w:pPr>
            <w:r w:rsidRPr="005F1968">
              <w:rPr>
                <w:rFonts w:eastAsiaTheme="minorHAnsi"/>
                <w:color w:val="auto"/>
                <w:sz w:val="18"/>
                <w:szCs w:val="18"/>
              </w:rPr>
              <w:t>10%</w:t>
            </w:r>
          </w:p>
        </w:tc>
      </w:tr>
      <w:tr w:rsidR="003164B7" w:rsidRPr="005F1968" w:rsidTr="00813DAE">
        <w:trPr>
          <w:jc w:val="center"/>
        </w:trPr>
        <w:tc>
          <w:tcPr>
            <w:tcW w:w="2273" w:type="dxa"/>
            <w:tcBorders>
              <w:top w:val="single" w:sz="4" w:space="0" w:color="auto"/>
              <w:left w:val="single" w:sz="4" w:space="0" w:color="auto"/>
              <w:bottom w:val="single" w:sz="4" w:space="0" w:color="auto"/>
              <w:right w:val="single" w:sz="4" w:space="0" w:color="auto"/>
            </w:tcBorders>
            <w:vAlign w:val="center"/>
          </w:tcPr>
          <w:p w:rsidR="003164B7" w:rsidRPr="005F1968" w:rsidRDefault="003164B7" w:rsidP="003164B7">
            <w:pPr>
              <w:tabs>
                <w:tab w:val="left" w:pos="288"/>
                <w:tab w:val="left" w:pos="4752"/>
              </w:tabs>
              <w:spacing w:line="180" w:lineRule="exact"/>
              <w:rPr>
                <w:rFonts w:eastAsiaTheme="minorHAnsi"/>
                <w:color w:val="auto"/>
                <w:sz w:val="18"/>
                <w:szCs w:val="18"/>
              </w:rPr>
            </w:pPr>
            <w:r w:rsidRPr="005F1968">
              <w:rPr>
                <w:rFonts w:eastAsiaTheme="minorHAnsi"/>
                <w:color w:val="auto"/>
                <w:sz w:val="18"/>
                <w:szCs w:val="18"/>
              </w:rPr>
              <w:t>§4.124a (Nerve)</w:t>
            </w:r>
          </w:p>
        </w:tc>
        <w:tc>
          <w:tcPr>
            <w:tcW w:w="3353" w:type="dxa"/>
            <w:tcBorders>
              <w:top w:val="single" w:sz="4" w:space="0" w:color="auto"/>
              <w:left w:val="single" w:sz="4" w:space="0" w:color="auto"/>
              <w:bottom w:val="single" w:sz="4" w:space="0" w:color="auto"/>
              <w:right w:val="single" w:sz="4" w:space="0" w:color="auto"/>
            </w:tcBorders>
            <w:vAlign w:val="center"/>
          </w:tcPr>
          <w:p w:rsidR="003164B7" w:rsidRPr="005F1968" w:rsidRDefault="003164B7" w:rsidP="003164B7">
            <w:pPr>
              <w:tabs>
                <w:tab w:val="left" w:pos="288"/>
                <w:tab w:val="left" w:pos="4752"/>
              </w:tabs>
              <w:spacing w:line="180" w:lineRule="exact"/>
              <w:rPr>
                <w:rFonts w:eastAsiaTheme="minorHAnsi"/>
                <w:color w:val="auto"/>
                <w:sz w:val="18"/>
                <w:szCs w:val="18"/>
              </w:rPr>
            </w:pPr>
            <w:r w:rsidRPr="005F1968">
              <w:rPr>
                <w:rFonts w:eastAsiaTheme="minorHAnsi"/>
                <w:color w:val="auto"/>
                <w:sz w:val="18"/>
                <w:szCs w:val="18"/>
              </w:rPr>
              <w:t>0%</w:t>
            </w:r>
          </w:p>
        </w:tc>
        <w:tc>
          <w:tcPr>
            <w:tcW w:w="3487" w:type="dxa"/>
            <w:tcBorders>
              <w:top w:val="single" w:sz="4" w:space="0" w:color="auto"/>
              <w:left w:val="single" w:sz="4" w:space="0" w:color="auto"/>
              <w:bottom w:val="single" w:sz="4" w:space="0" w:color="auto"/>
              <w:right w:val="single" w:sz="4" w:space="0" w:color="auto"/>
            </w:tcBorders>
            <w:vAlign w:val="center"/>
          </w:tcPr>
          <w:p w:rsidR="003164B7" w:rsidRPr="005F1968" w:rsidRDefault="003164B7" w:rsidP="003164B7">
            <w:pPr>
              <w:tabs>
                <w:tab w:val="left" w:pos="288"/>
                <w:tab w:val="left" w:pos="4752"/>
              </w:tabs>
              <w:spacing w:line="180" w:lineRule="exact"/>
              <w:rPr>
                <w:rFonts w:eastAsiaTheme="minorHAnsi"/>
                <w:color w:val="auto"/>
                <w:sz w:val="18"/>
                <w:szCs w:val="18"/>
              </w:rPr>
            </w:pPr>
            <w:r w:rsidRPr="005F1968">
              <w:rPr>
                <w:rFonts w:eastAsiaTheme="minorHAnsi"/>
                <w:color w:val="auto"/>
                <w:sz w:val="18"/>
                <w:szCs w:val="18"/>
              </w:rPr>
              <w:t>0-10% (VA none)</w:t>
            </w:r>
          </w:p>
        </w:tc>
      </w:tr>
    </w:tbl>
    <w:p w:rsidR="003164B7" w:rsidRPr="005F1968" w:rsidRDefault="003164B7" w:rsidP="003164B7">
      <w:pPr>
        <w:jc w:val="left"/>
        <w:rPr>
          <w:color w:val="auto"/>
          <w:szCs w:val="24"/>
        </w:rPr>
      </w:pPr>
    </w:p>
    <w:p w:rsidR="000A7CC0" w:rsidRPr="005F1968" w:rsidRDefault="00DD0873" w:rsidP="003E02FE">
      <w:pPr>
        <w:jc w:val="both"/>
        <w:rPr>
          <w:color w:val="auto"/>
          <w:szCs w:val="24"/>
        </w:rPr>
      </w:pPr>
      <w:proofErr w:type="gramStart"/>
      <w:r w:rsidRPr="005F1968">
        <w:rPr>
          <w:color w:val="auto"/>
          <w:szCs w:val="24"/>
          <w:u w:val="single"/>
        </w:rPr>
        <w:t>L</w:t>
      </w:r>
      <w:r w:rsidR="003E02FE">
        <w:rPr>
          <w:color w:val="auto"/>
          <w:szCs w:val="24"/>
          <w:u w:val="single"/>
        </w:rPr>
        <w:t>ef</w:t>
      </w:r>
      <w:r w:rsidRPr="005F1968">
        <w:rPr>
          <w:color w:val="auto"/>
          <w:szCs w:val="24"/>
          <w:u w:val="single"/>
        </w:rPr>
        <w:t>t Knee</w:t>
      </w:r>
      <w:r w:rsidR="003F2EEE" w:rsidRPr="005F1968">
        <w:rPr>
          <w:color w:val="auto"/>
          <w:szCs w:val="24"/>
          <w:u w:val="single"/>
        </w:rPr>
        <w:t xml:space="preserve"> Condition</w:t>
      </w:r>
      <w:r w:rsidR="003F2EEE" w:rsidRPr="005F1968">
        <w:rPr>
          <w:color w:val="auto"/>
          <w:szCs w:val="24"/>
        </w:rPr>
        <w:t>.</w:t>
      </w:r>
      <w:proofErr w:type="gramEnd"/>
      <w:r w:rsidR="003F2EEE" w:rsidRPr="005F1968">
        <w:rPr>
          <w:color w:val="auto"/>
          <w:szCs w:val="24"/>
        </w:rPr>
        <w:t xml:space="preserve">  </w:t>
      </w:r>
      <w:r w:rsidR="006A1BFA" w:rsidRPr="005F1968">
        <w:rPr>
          <w:color w:val="auto"/>
          <w:szCs w:val="24"/>
        </w:rPr>
        <w:t xml:space="preserve">Left knee pain appeared to be the principle component to the PEB unfit determination.  </w:t>
      </w:r>
      <w:r w:rsidR="004E42BB" w:rsidRPr="005F1968">
        <w:rPr>
          <w:color w:val="auto"/>
          <w:szCs w:val="24"/>
        </w:rPr>
        <w:t>All exams demonstrated either patellar grind, tenderness, or painful motion without reaching the flexion or extension limits for rating under the specific codes for the knee.  All exams meet the 5003 and/or §4.59 (painful motion) criteria for a 10% rating.  Absent the pain policy and IAW VASRD rating only, the PEB coding (5099-5003) is still valid IAW §4.71a (</w:t>
      </w:r>
      <w:r w:rsidR="003E02FE">
        <w:rPr>
          <w:color w:val="auto"/>
          <w:szCs w:val="24"/>
        </w:rPr>
        <w:t>s</w:t>
      </w:r>
      <w:r w:rsidR="004E42BB" w:rsidRPr="005F1968">
        <w:rPr>
          <w:color w:val="auto"/>
          <w:szCs w:val="24"/>
        </w:rPr>
        <w:t>chedule of ratings—musculoskeletal system).  The VA coding of 5299-5260 applied §4.59.  The choice of VASRD code is irrelevant to rating and therefore no change from the PEB designation is recommended.</w:t>
      </w:r>
      <w:r w:rsidR="006665E7" w:rsidRPr="005F1968">
        <w:rPr>
          <w:color w:val="auto"/>
          <w:szCs w:val="24"/>
        </w:rPr>
        <w:t xml:space="preserve">  </w:t>
      </w:r>
      <w:r w:rsidR="006665E7" w:rsidRPr="005F1968">
        <w:rPr>
          <w:rFonts w:eastAsia="Calibri" w:cs="Times New Roman"/>
          <w:color w:val="auto"/>
          <w:szCs w:val="24"/>
        </w:rPr>
        <w:t xml:space="preserve">After due deliberation, considering all of the evidence and mindful of VASRD §4.3 (reasonable doubt), the Board concluded that there was insufficient cause to recommend a change in the PEB adjudication of 10% for the left knee condition.  </w:t>
      </w:r>
    </w:p>
    <w:p w:rsidR="00CB5EBC" w:rsidRPr="005F1968" w:rsidRDefault="00CB5EBC" w:rsidP="00AD6232">
      <w:pPr>
        <w:jc w:val="both"/>
        <w:rPr>
          <w:rFonts w:eastAsiaTheme="minorHAnsi"/>
          <w:color w:val="auto"/>
          <w:szCs w:val="18"/>
        </w:rPr>
      </w:pPr>
    </w:p>
    <w:p w:rsidR="004E42BB" w:rsidRPr="005F1968" w:rsidRDefault="006665E7" w:rsidP="003E02FE">
      <w:pPr>
        <w:jc w:val="both"/>
        <w:rPr>
          <w:color w:val="auto"/>
          <w:szCs w:val="24"/>
        </w:rPr>
      </w:pPr>
      <w:proofErr w:type="gramStart"/>
      <w:r w:rsidRPr="005F1968">
        <w:rPr>
          <w:color w:val="auto"/>
          <w:szCs w:val="24"/>
          <w:u w:val="single"/>
        </w:rPr>
        <w:t>Left Thigh Muscle Condition</w:t>
      </w:r>
      <w:r w:rsidRPr="005F1968">
        <w:rPr>
          <w:color w:val="auto"/>
          <w:szCs w:val="24"/>
        </w:rPr>
        <w:t>.</w:t>
      </w:r>
      <w:proofErr w:type="gramEnd"/>
      <w:r w:rsidRPr="005F1968">
        <w:rPr>
          <w:color w:val="auto"/>
          <w:szCs w:val="24"/>
        </w:rPr>
        <w:t xml:space="preserve">  </w:t>
      </w:r>
      <w:r w:rsidR="004C6DE3" w:rsidRPr="005F1968">
        <w:rPr>
          <w:color w:val="auto"/>
          <w:szCs w:val="24"/>
        </w:rPr>
        <w:t xml:space="preserve">The Board first considered if </w:t>
      </w:r>
      <w:r w:rsidRPr="005F1968">
        <w:rPr>
          <w:color w:val="auto"/>
          <w:szCs w:val="24"/>
        </w:rPr>
        <w:t>the left thigh muscle</w:t>
      </w:r>
      <w:r w:rsidR="004C6DE3" w:rsidRPr="005F1968">
        <w:rPr>
          <w:color w:val="auto"/>
          <w:szCs w:val="24"/>
        </w:rPr>
        <w:t xml:space="preserve">, having been de-coupled from the combined PEB adjudication, remained independently unfitting as established above.  All members agreed that </w:t>
      </w:r>
      <w:r w:rsidRPr="005F1968">
        <w:rPr>
          <w:color w:val="auto"/>
          <w:szCs w:val="24"/>
        </w:rPr>
        <w:t xml:space="preserve">the thigh muscle injury and open comminuted fracture of the femur with IM rod and nails was an integral part of the CI’s injury and disability that </w:t>
      </w:r>
      <w:r w:rsidR="004C6DE3" w:rsidRPr="005F1968">
        <w:rPr>
          <w:color w:val="auto"/>
          <w:szCs w:val="24"/>
        </w:rPr>
        <w:t xml:space="preserve">rendered the CI incapable of continued service within his MOS; and, accordingly merits a separate </w:t>
      </w:r>
      <w:r w:rsidR="003E02FE">
        <w:rPr>
          <w:color w:val="auto"/>
          <w:szCs w:val="24"/>
        </w:rPr>
        <w:t>s</w:t>
      </w:r>
      <w:r w:rsidR="004C6DE3" w:rsidRPr="005F1968">
        <w:rPr>
          <w:color w:val="auto"/>
          <w:szCs w:val="24"/>
        </w:rPr>
        <w:t xml:space="preserve">ervice rating.  </w:t>
      </w:r>
      <w:r w:rsidRPr="005F1968">
        <w:rPr>
          <w:rFonts w:eastAsia="Calibri" w:cs="Times New Roman"/>
          <w:color w:val="auto"/>
          <w:szCs w:val="24"/>
        </w:rPr>
        <w:t>For rating the thigh muscle injury the Board considered the tenants of §4.55 (Principles of combined ratings for muscle injuries) and §4.56 (</w:t>
      </w:r>
      <w:r w:rsidR="003E02FE">
        <w:rPr>
          <w:rFonts w:eastAsia="Calibri" w:cs="Times New Roman"/>
          <w:color w:val="auto"/>
          <w:szCs w:val="24"/>
        </w:rPr>
        <w:t>e</w:t>
      </w:r>
      <w:r w:rsidRPr="005F1968">
        <w:rPr>
          <w:rFonts w:eastAsia="Calibri" w:cs="Times New Roman"/>
          <w:color w:val="auto"/>
          <w:szCs w:val="24"/>
        </w:rPr>
        <w:t>valuation of muscle disabilities)</w:t>
      </w:r>
      <w:r w:rsidR="008C13FA" w:rsidRPr="005F1968">
        <w:rPr>
          <w:rFonts w:eastAsia="Calibri" w:cs="Times New Roman"/>
          <w:color w:val="auto"/>
          <w:szCs w:val="24"/>
        </w:rPr>
        <w:t xml:space="preserve"> to classify the injury as slight, moderate, moderately severe or severe</w:t>
      </w:r>
      <w:r w:rsidRPr="005F1968">
        <w:rPr>
          <w:rFonts w:eastAsia="Calibri" w:cs="Times New Roman"/>
          <w:color w:val="auto"/>
          <w:szCs w:val="24"/>
        </w:rPr>
        <w:t>.</w:t>
      </w:r>
      <w:r w:rsidR="008C13FA" w:rsidRPr="005F1968">
        <w:rPr>
          <w:rFonts w:eastAsia="Calibri" w:cs="Times New Roman"/>
          <w:color w:val="auto"/>
          <w:szCs w:val="24"/>
        </w:rPr>
        <w:t xml:space="preserve">  The CI had the cardinal signs and symptoms of muscle disability of slight weakness, lowered threshold of fatigue, and fatigue-pain.  </w:t>
      </w:r>
      <w:r w:rsidR="00813DAE" w:rsidRPr="005F1968">
        <w:rPr>
          <w:rFonts w:eastAsia="Calibri" w:cs="Times New Roman"/>
          <w:color w:val="auto"/>
          <w:szCs w:val="24"/>
        </w:rPr>
        <w:t>I</w:t>
      </w:r>
      <w:r w:rsidR="008C13FA" w:rsidRPr="005F1968">
        <w:rPr>
          <w:rFonts w:eastAsia="Calibri" w:cs="Times New Roman"/>
          <w:color w:val="auto"/>
          <w:szCs w:val="24"/>
        </w:rPr>
        <w:t>mpairment of coordination or uncertainty of movement</w:t>
      </w:r>
      <w:r w:rsidR="00813DAE" w:rsidRPr="005F1968">
        <w:rPr>
          <w:rFonts w:eastAsia="Calibri" w:cs="Times New Roman"/>
          <w:color w:val="auto"/>
          <w:szCs w:val="24"/>
        </w:rPr>
        <w:t xml:space="preserve"> may be related to the muscle pain or the knee pain</w:t>
      </w:r>
      <w:r w:rsidR="008C13FA" w:rsidRPr="005F1968">
        <w:rPr>
          <w:rFonts w:eastAsia="Calibri" w:cs="Times New Roman"/>
          <w:color w:val="auto"/>
          <w:szCs w:val="24"/>
        </w:rPr>
        <w:t xml:space="preserve">.  The CI had a history of hospitalization, </w:t>
      </w:r>
      <w:r w:rsidR="0064087E" w:rsidRPr="005F1968">
        <w:rPr>
          <w:rFonts w:eastAsia="Calibri" w:cs="Times New Roman"/>
          <w:color w:val="auto"/>
          <w:szCs w:val="24"/>
        </w:rPr>
        <w:t>debridement</w:t>
      </w:r>
      <w:r w:rsidR="008C13FA" w:rsidRPr="005F1968">
        <w:rPr>
          <w:rFonts w:eastAsia="Calibri" w:cs="Times New Roman"/>
          <w:color w:val="auto"/>
          <w:szCs w:val="24"/>
        </w:rPr>
        <w:t>, comminuted femur fracture</w:t>
      </w:r>
      <w:r w:rsidR="00813DAE" w:rsidRPr="005F1968">
        <w:rPr>
          <w:rFonts w:eastAsia="Calibri" w:cs="Times New Roman"/>
          <w:color w:val="auto"/>
          <w:szCs w:val="24"/>
        </w:rPr>
        <w:t xml:space="preserve"> (open with GSW)</w:t>
      </w:r>
      <w:r w:rsidR="008C13FA" w:rsidRPr="005F1968">
        <w:rPr>
          <w:rFonts w:eastAsia="Calibri" w:cs="Times New Roman"/>
          <w:color w:val="auto"/>
          <w:szCs w:val="24"/>
        </w:rPr>
        <w:t>, and a through-and-through wound with painful entrance and exit scars.  There was no evidence of loss of deep fascia or muscle substance or impairment of muscle tonus, or prolonged infection.  The Board considered the §4.56, paragraph (a) that “</w:t>
      </w:r>
      <w:r w:rsidR="003E02FE">
        <w:rPr>
          <w:rFonts w:eastAsia="Calibri" w:cs="Times New Roman"/>
          <w:color w:val="auto"/>
          <w:szCs w:val="24"/>
        </w:rPr>
        <w:t>a</w:t>
      </w:r>
      <w:r w:rsidR="004E42BB" w:rsidRPr="005F1968">
        <w:rPr>
          <w:rFonts w:eastAsia="Calibri" w:cs="Times New Roman"/>
          <w:color w:val="auto"/>
          <w:szCs w:val="24"/>
        </w:rPr>
        <w:t>n open comminuted fracture with muscle or tendon damage will be rated as a severe injury of the muscle group involved unless, for locations such as in the wrist or over the tibia, evidence establishes that the muscle damage is minimal</w:t>
      </w:r>
      <w:r w:rsidR="003E02FE">
        <w:rPr>
          <w:rFonts w:eastAsia="Calibri" w:cs="Times New Roman"/>
          <w:color w:val="auto"/>
          <w:szCs w:val="24"/>
        </w:rPr>
        <w:t>,</w:t>
      </w:r>
      <w:r w:rsidR="008C13FA" w:rsidRPr="005F1968">
        <w:rPr>
          <w:rFonts w:eastAsia="Calibri" w:cs="Times New Roman"/>
          <w:color w:val="auto"/>
          <w:szCs w:val="24"/>
        </w:rPr>
        <w:t xml:space="preserve">” </w:t>
      </w:r>
      <w:r w:rsidR="00530BB3" w:rsidRPr="005F1968">
        <w:rPr>
          <w:rFonts w:eastAsia="Calibri" w:cs="Times New Roman"/>
          <w:color w:val="auto"/>
          <w:szCs w:val="24"/>
        </w:rPr>
        <w:t xml:space="preserve">and paragraph </w:t>
      </w:r>
      <w:r w:rsidR="004E42BB" w:rsidRPr="005F1968">
        <w:rPr>
          <w:rFonts w:eastAsia="Calibri" w:cs="Times New Roman"/>
          <w:color w:val="auto"/>
          <w:szCs w:val="24"/>
        </w:rPr>
        <w:t xml:space="preserve">(b) </w:t>
      </w:r>
      <w:r w:rsidR="00530BB3" w:rsidRPr="005F1968">
        <w:rPr>
          <w:rFonts w:eastAsia="Calibri" w:cs="Times New Roman"/>
          <w:color w:val="auto"/>
          <w:szCs w:val="24"/>
        </w:rPr>
        <w:t>“</w:t>
      </w:r>
      <w:r w:rsidR="003E02FE">
        <w:rPr>
          <w:rFonts w:eastAsia="Calibri" w:cs="Times New Roman"/>
          <w:color w:val="auto"/>
          <w:szCs w:val="24"/>
        </w:rPr>
        <w:t>a</w:t>
      </w:r>
      <w:r w:rsidR="004E42BB" w:rsidRPr="005F1968">
        <w:rPr>
          <w:rFonts w:eastAsia="Calibri" w:cs="Times New Roman"/>
          <w:color w:val="auto"/>
          <w:szCs w:val="24"/>
        </w:rPr>
        <w:t xml:space="preserve"> through-and-through injury with muscle damage shall be evaluated as no less than a moderate injury for each group of muscles damaged.</w:t>
      </w:r>
      <w:r w:rsidR="00530BB3" w:rsidRPr="005F1968">
        <w:rPr>
          <w:rFonts w:eastAsia="Calibri" w:cs="Times New Roman"/>
          <w:color w:val="auto"/>
          <w:szCs w:val="24"/>
        </w:rPr>
        <w:t xml:space="preserve">”  </w:t>
      </w:r>
      <w:r w:rsidR="006A5DDF" w:rsidRPr="005F1968">
        <w:rPr>
          <w:color w:val="auto"/>
          <w:szCs w:val="24"/>
        </w:rPr>
        <w:t xml:space="preserve">The CI had an open comminuted fracture of the femur with overlying muscle injury, </w:t>
      </w:r>
      <w:r w:rsidR="0064087E" w:rsidRPr="005F1968">
        <w:rPr>
          <w:color w:val="auto"/>
          <w:szCs w:val="24"/>
        </w:rPr>
        <w:t>debridement</w:t>
      </w:r>
      <w:r w:rsidR="006A5DDF" w:rsidRPr="005F1968">
        <w:rPr>
          <w:color w:val="auto"/>
          <w:szCs w:val="24"/>
        </w:rPr>
        <w:t xml:space="preserve">, entry and exit wound scars and cardinal signs of muscle injury.  </w:t>
      </w:r>
      <w:r w:rsidR="005F1968" w:rsidRPr="005F1968">
        <w:rPr>
          <w:color w:val="auto"/>
          <w:szCs w:val="24"/>
        </w:rPr>
        <w:t xml:space="preserve">There was no “extensive” debridement, prolonged infection, or sloughing of soft parts, intermuscular binding or muscle scarring.  </w:t>
      </w:r>
      <w:r w:rsidR="00530BB3" w:rsidRPr="005F1968">
        <w:rPr>
          <w:color w:val="auto"/>
          <w:szCs w:val="24"/>
        </w:rPr>
        <w:t xml:space="preserve">The Board </w:t>
      </w:r>
      <w:r w:rsidR="00083E3C" w:rsidRPr="005F1968">
        <w:rPr>
          <w:color w:val="auto"/>
          <w:szCs w:val="24"/>
        </w:rPr>
        <w:t xml:space="preserve">majority </w:t>
      </w:r>
      <w:r w:rsidR="00530BB3" w:rsidRPr="005F1968">
        <w:rPr>
          <w:color w:val="auto"/>
          <w:szCs w:val="24"/>
        </w:rPr>
        <w:t xml:space="preserve">considered the painful scar and hip painful motion to be as likely as not related to the thigh muscle condition and incorporated those symptoms to adjudicate that the CI’s thigh muscle condition was closest to the </w:t>
      </w:r>
      <w:r w:rsidR="003E02FE">
        <w:rPr>
          <w:color w:val="auto"/>
          <w:szCs w:val="24"/>
        </w:rPr>
        <w:t>m</w:t>
      </w:r>
      <w:r w:rsidR="00530BB3" w:rsidRPr="005F1968">
        <w:rPr>
          <w:color w:val="auto"/>
          <w:szCs w:val="24"/>
        </w:rPr>
        <w:t xml:space="preserve">oderately </w:t>
      </w:r>
      <w:r w:rsidR="003E02FE">
        <w:rPr>
          <w:color w:val="auto"/>
          <w:szCs w:val="24"/>
        </w:rPr>
        <w:t>s</w:t>
      </w:r>
      <w:r w:rsidR="00530BB3" w:rsidRPr="005F1968">
        <w:rPr>
          <w:color w:val="auto"/>
          <w:szCs w:val="24"/>
        </w:rPr>
        <w:t xml:space="preserve">evere (20%) rating level IAW §4.56 and §4.71a.  </w:t>
      </w:r>
    </w:p>
    <w:p w:rsidR="006A5DDF" w:rsidRPr="005F1968" w:rsidRDefault="006A5DDF" w:rsidP="00306094">
      <w:pPr>
        <w:jc w:val="both"/>
        <w:rPr>
          <w:color w:val="auto"/>
          <w:szCs w:val="24"/>
          <w:u w:val="single"/>
        </w:rPr>
      </w:pPr>
    </w:p>
    <w:p w:rsidR="00B36D39" w:rsidRPr="005F1968" w:rsidRDefault="001314FB" w:rsidP="003E02FE">
      <w:pPr>
        <w:jc w:val="both"/>
        <w:rPr>
          <w:rFonts w:eastAsia="Calibri" w:cs="Times New Roman"/>
          <w:color w:val="auto"/>
          <w:szCs w:val="24"/>
        </w:rPr>
      </w:pPr>
      <w:proofErr w:type="gramStart"/>
      <w:r w:rsidRPr="005F1968">
        <w:rPr>
          <w:color w:val="auto"/>
          <w:szCs w:val="24"/>
          <w:u w:val="single"/>
        </w:rPr>
        <w:lastRenderedPageBreak/>
        <w:t>Left Hip Condition</w:t>
      </w:r>
      <w:r w:rsidRPr="005F1968">
        <w:rPr>
          <w:color w:val="auto"/>
          <w:szCs w:val="24"/>
        </w:rPr>
        <w:t>.</w:t>
      </w:r>
      <w:proofErr w:type="gramEnd"/>
      <w:r w:rsidR="00AB47D2" w:rsidRPr="005F1968">
        <w:rPr>
          <w:color w:val="auto"/>
          <w:szCs w:val="24"/>
        </w:rPr>
        <w:t xml:space="preserve">  </w:t>
      </w:r>
      <w:r w:rsidR="00530BB3" w:rsidRPr="005F1968">
        <w:rPr>
          <w:color w:val="auto"/>
          <w:szCs w:val="24"/>
        </w:rPr>
        <w:t xml:space="preserve">The NARSUM and MEB/PEB did not address the left hip condition.  There was no specific hip joint pathology, and the VA exam did not indicate any disability of the right hip.  The VA rating for pain-limited motion was adjudged as better attributed to the thigh </w:t>
      </w:r>
      <w:r w:rsidR="0064087E" w:rsidRPr="005F1968">
        <w:rPr>
          <w:color w:val="auto"/>
          <w:szCs w:val="24"/>
        </w:rPr>
        <w:t>muscle</w:t>
      </w:r>
      <w:r w:rsidR="00530BB3" w:rsidRPr="005F1968">
        <w:rPr>
          <w:color w:val="auto"/>
          <w:szCs w:val="24"/>
        </w:rPr>
        <w:t xml:space="preserve"> injury as discussed above.  </w:t>
      </w:r>
      <w:r w:rsidR="00B36D39" w:rsidRPr="005F1968">
        <w:rPr>
          <w:rFonts w:eastAsia="Calibri" w:cs="Times New Roman"/>
          <w:color w:val="auto"/>
          <w:szCs w:val="24"/>
        </w:rPr>
        <w:t xml:space="preserve">The Board concluded therefore that the left hip condition could not be recommended for additional disability rating.  </w:t>
      </w:r>
    </w:p>
    <w:p w:rsidR="001314FB" w:rsidRPr="005F1968" w:rsidRDefault="001314FB" w:rsidP="001314FB">
      <w:pPr>
        <w:jc w:val="left"/>
        <w:rPr>
          <w:color w:val="auto"/>
          <w:szCs w:val="24"/>
        </w:rPr>
      </w:pPr>
    </w:p>
    <w:p w:rsidR="001314FB" w:rsidRPr="005F1968" w:rsidRDefault="00B36D39" w:rsidP="003E02FE">
      <w:pPr>
        <w:jc w:val="both"/>
        <w:rPr>
          <w:color w:val="auto"/>
          <w:szCs w:val="24"/>
        </w:rPr>
      </w:pPr>
      <w:proofErr w:type="gramStart"/>
      <w:r w:rsidRPr="005F1968">
        <w:rPr>
          <w:color w:val="auto"/>
          <w:szCs w:val="24"/>
          <w:u w:val="single"/>
        </w:rPr>
        <w:t>Painful Thigh Scars Condition</w:t>
      </w:r>
      <w:r w:rsidRPr="005F1968">
        <w:rPr>
          <w:color w:val="auto"/>
          <w:szCs w:val="24"/>
        </w:rPr>
        <w:t>.</w:t>
      </w:r>
      <w:proofErr w:type="gramEnd"/>
      <w:r w:rsidRPr="005F1968">
        <w:rPr>
          <w:color w:val="auto"/>
          <w:szCs w:val="24"/>
        </w:rPr>
        <w:t xml:space="preserve">  The MEB/PEB did not address the painful </w:t>
      </w:r>
      <w:r w:rsidR="0064087E" w:rsidRPr="005F1968">
        <w:rPr>
          <w:color w:val="auto"/>
          <w:szCs w:val="24"/>
        </w:rPr>
        <w:t>thigh</w:t>
      </w:r>
      <w:r w:rsidRPr="005F1968">
        <w:rPr>
          <w:color w:val="auto"/>
          <w:szCs w:val="24"/>
        </w:rPr>
        <w:t xml:space="preserve"> scars.  By precedent, the Board does not recommend </w:t>
      </w:r>
      <w:r w:rsidR="003E02FE">
        <w:rPr>
          <w:color w:val="auto"/>
          <w:szCs w:val="24"/>
        </w:rPr>
        <w:t>s</w:t>
      </w:r>
      <w:r w:rsidRPr="005F1968">
        <w:rPr>
          <w:color w:val="auto"/>
          <w:szCs w:val="24"/>
        </w:rPr>
        <w:t xml:space="preserve">ervice disability rating for scars unless their presence imposes a direct limitation on fitness.  In this case the scars imposed an indirect effect of muscle pain and possible decreased hip and/or knee ROM which was addressed in the knee and thigh muscle discussions above.  </w:t>
      </w:r>
      <w:r w:rsidRPr="005F1968">
        <w:rPr>
          <w:rFonts w:eastAsia="Calibri" w:cs="Times New Roman"/>
          <w:color w:val="auto"/>
          <w:szCs w:val="24"/>
        </w:rPr>
        <w:t xml:space="preserve">The Board concluded therefore that painful scars condition could not be recommended for additional disability rating.  </w:t>
      </w:r>
    </w:p>
    <w:p w:rsidR="00B36D39" w:rsidRPr="005F1968" w:rsidRDefault="00B36D39" w:rsidP="00071385">
      <w:pPr>
        <w:jc w:val="both"/>
        <w:rPr>
          <w:color w:val="auto"/>
          <w:szCs w:val="24"/>
        </w:rPr>
      </w:pPr>
    </w:p>
    <w:p w:rsidR="0040351A" w:rsidRPr="005F1968" w:rsidRDefault="0064087E" w:rsidP="003E02FE">
      <w:pPr>
        <w:jc w:val="both"/>
        <w:rPr>
          <w:color w:val="auto"/>
          <w:szCs w:val="24"/>
        </w:rPr>
      </w:pPr>
      <w:r w:rsidRPr="005F1968">
        <w:rPr>
          <w:color w:val="auto"/>
          <w:szCs w:val="24"/>
          <w:u w:val="single"/>
        </w:rPr>
        <w:t>Peripheral</w:t>
      </w:r>
      <w:r w:rsidR="00B36D39" w:rsidRPr="005F1968">
        <w:rPr>
          <w:color w:val="auto"/>
          <w:szCs w:val="24"/>
          <w:u w:val="single"/>
        </w:rPr>
        <w:t xml:space="preserve"> Nerve secondary to GSW Condition</w:t>
      </w:r>
      <w:r w:rsidR="00B36D39" w:rsidRPr="005F1968">
        <w:rPr>
          <w:color w:val="auto"/>
          <w:szCs w:val="24"/>
        </w:rPr>
        <w:t xml:space="preserve">.  There was no service </w:t>
      </w:r>
      <w:r w:rsidRPr="005F1968">
        <w:rPr>
          <w:color w:val="auto"/>
          <w:szCs w:val="24"/>
        </w:rPr>
        <w:t>documentation</w:t>
      </w:r>
      <w:r w:rsidR="00B36D39" w:rsidRPr="005F1968">
        <w:rPr>
          <w:color w:val="auto"/>
          <w:szCs w:val="24"/>
        </w:rPr>
        <w:t xml:space="preserve"> of peripheral nerve impairment.  The VA exam documented </w:t>
      </w:r>
      <w:r w:rsidR="008A13E8" w:rsidRPr="005F1968">
        <w:rPr>
          <w:color w:val="auto"/>
          <w:szCs w:val="24"/>
        </w:rPr>
        <w:t>“</w:t>
      </w:r>
      <w:r w:rsidR="00B36D39" w:rsidRPr="005F1968">
        <w:rPr>
          <w:color w:val="auto"/>
          <w:szCs w:val="24"/>
        </w:rPr>
        <w:t>tenderness over the left lateral tibia with</w:t>
      </w:r>
      <w:r w:rsidR="008A13E8" w:rsidRPr="005F1968">
        <w:rPr>
          <w:color w:val="auto"/>
          <w:szCs w:val="24"/>
        </w:rPr>
        <w:t xml:space="preserve"> </w:t>
      </w:r>
      <w:r w:rsidR="00B36D39" w:rsidRPr="005F1968">
        <w:rPr>
          <w:color w:val="auto"/>
          <w:szCs w:val="24"/>
        </w:rPr>
        <w:t>pain radiating down his left leg consistent with mild peroneal neuropathy</w:t>
      </w:r>
      <w:r w:rsidR="008A13E8" w:rsidRPr="005F1968">
        <w:rPr>
          <w:color w:val="auto"/>
          <w:szCs w:val="24"/>
        </w:rPr>
        <w:t xml:space="preserve"> </w:t>
      </w:r>
      <w:r w:rsidR="00B36D39" w:rsidRPr="005F1968">
        <w:rPr>
          <w:color w:val="auto"/>
          <w:szCs w:val="24"/>
        </w:rPr>
        <w:t xml:space="preserve">though </w:t>
      </w:r>
      <w:r w:rsidRPr="005F1968">
        <w:rPr>
          <w:color w:val="auto"/>
          <w:szCs w:val="24"/>
        </w:rPr>
        <w:t>sensation</w:t>
      </w:r>
      <w:r w:rsidR="00B36D39" w:rsidRPr="005F1968">
        <w:rPr>
          <w:color w:val="auto"/>
          <w:szCs w:val="24"/>
        </w:rPr>
        <w:t xml:space="preserve"> is intact at rest.</w:t>
      </w:r>
      <w:r w:rsidR="008A13E8" w:rsidRPr="005F1968">
        <w:rPr>
          <w:color w:val="auto"/>
          <w:szCs w:val="24"/>
        </w:rPr>
        <w:t xml:space="preserve">”  The MEB exam left gastrocnemius atrophy and decreased strength was not attributed to a peripheral nerve impairment.  The CI’s peripheral nerve condition was episodic pain only.  The Board must establish a functional impairment linked to fitness in order to recommend separate </w:t>
      </w:r>
      <w:r w:rsidR="003E02FE">
        <w:rPr>
          <w:color w:val="auto"/>
          <w:szCs w:val="24"/>
        </w:rPr>
        <w:t>s</w:t>
      </w:r>
      <w:r w:rsidR="008A13E8" w:rsidRPr="005F1968">
        <w:rPr>
          <w:color w:val="auto"/>
          <w:szCs w:val="24"/>
        </w:rPr>
        <w:t xml:space="preserve">ervice rating for </w:t>
      </w:r>
      <w:proofErr w:type="spellStart"/>
      <w:r w:rsidR="008A13E8" w:rsidRPr="005F1968">
        <w:rPr>
          <w:color w:val="auto"/>
          <w:szCs w:val="24"/>
        </w:rPr>
        <w:t>radiculopathy</w:t>
      </w:r>
      <w:proofErr w:type="spellEnd"/>
      <w:r w:rsidR="008A13E8" w:rsidRPr="005F1968">
        <w:rPr>
          <w:color w:val="auto"/>
          <w:szCs w:val="24"/>
        </w:rPr>
        <w:t xml:space="preserve"> associated with the unfitting GSW condition; a threshold clearly not reached by the evidence in this case.  </w:t>
      </w:r>
      <w:r w:rsidR="008A13E8" w:rsidRPr="005F1968">
        <w:rPr>
          <w:rFonts w:eastAsia="Calibri" w:cs="Times New Roman"/>
          <w:color w:val="auto"/>
          <w:szCs w:val="24"/>
        </w:rPr>
        <w:t>The Board concluded therefore that per</w:t>
      </w:r>
      <w:r>
        <w:rPr>
          <w:rFonts w:eastAsia="Calibri" w:cs="Times New Roman"/>
          <w:color w:val="auto"/>
          <w:szCs w:val="24"/>
        </w:rPr>
        <w:t xml:space="preserve">ipheral </w:t>
      </w:r>
      <w:r w:rsidR="008A13E8" w:rsidRPr="005F1968">
        <w:rPr>
          <w:rFonts w:eastAsia="Calibri" w:cs="Times New Roman"/>
          <w:color w:val="auto"/>
          <w:szCs w:val="24"/>
        </w:rPr>
        <w:t xml:space="preserve">nerve condition could not be recommended for additional disability rating.  </w:t>
      </w:r>
    </w:p>
    <w:p w:rsidR="001031F4" w:rsidRPr="005F1968" w:rsidRDefault="001031F4" w:rsidP="00BF0E94">
      <w:pPr>
        <w:pBdr>
          <w:bottom w:val="single" w:sz="12" w:space="1" w:color="auto"/>
        </w:pBdr>
        <w:tabs>
          <w:tab w:val="left" w:pos="288"/>
          <w:tab w:val="left" w:pos="4752"/>
        </w:tabs>
        <w:jc w:val="both"/>
        <w:rPr>
          <w:color w:val="auto"/>
        </w:rPr>
      </w:pPr>
    </w:p>
    <w:p w:rsidR="00F1737C" w:rsidRPr="005F1968" w:rsidRDefault="00F1737C" w:rsidP="006364ED">
      <w:pPr>
        <w:jc w:val="left"/>
        <w:rPr>
          <w:color w:val="auto"/>
          <w:szCs w:val="24"/>
        </w:rPr>
      </w:pPr>
    </w:p>
    <w:p w:rsidR="00AB47D2" w:rsidRPr="005F1968" w:rsidRDefault="00C56FC8" w:rsidP="00AB47D2">
      <w:pPr>
        <w:jc w:val="both"/>
        <w:rPr>
          <w:rFonts w:eastAsia="Calibri" w:cs="Times New Roman"/>
          <w:color w:val="auto"/>
          <w:szCs w:val="24"/>
        </w:rPr>
      </w:pPr>
      <w:r w:rsidRPr="005F1968">
        <w:rPr>
          <w:color w:val="auto"/>
          <w:szCs w:val="24"/>
          <w:u w:val="single"/>
        </w:rPr>
        <w:t>BOARD FINDINGS</w:t>
      </w:r>
      <w:r w:rsidRPr="005F1968">
        <w:rPr>
          <w:color w:val="auto"/>
          <w:szCs w:val="24"/>
        </w:rPr>
        <w:t>:</w:t>
      </w:r>
      <w:r w:rsidRPr="005F1968">
        <w:rPr>
          <w:rFonts w:eastAsia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AB47D2" w:rsidRPr="005F1968">
        <w:rPr>
          <w:rFonts w:eastAsiaTheme="minorHAnsi"/>
          <w:color w:val="auto"/>
          <w:szCs w:val="24"/>
        </w:rPr>
        <w:t xml:space="preserve">  </w:t>
      </w:r>
      <w:r w:rsidR="00AB47D2" w:rsidRPr="005F1968">
        <w:rPr>
          <w:rFonts w:eastAsia="Calibri" w:cs="Times New Roman"/>
          <w:color w:val="auto"/>
          <w:szCs w:val="24"/>
        </w:rPr>
        <w:t xml:space="preserve">As discussed above, PEB reliance on the USAPDA pain policy for rating the left leg was operant in this case and the condition was adjudicated independently of that policy by the Board.  </w:t>
      </w:r>
      <w:r w:rsidR="008A13E8" w:rsidRPr="005F1968">
        <w:rPr>
          <w:color w:val="auto"/>
          <w:szCs w:val="24"/>
        </w:rPr>
        <w:t xml:space="preserve">In the matter of </w:t>
      </w:r>
      <w:r w:rsidR="007A2808" w:rsidRPr="005F1968">
        <w:rPr>
          <w:color w:val="auto"/>
          <w:szCs w:val="24"/>
        </w:rPr>
        <w:t>“</w:t>
      </w:r>
      <w:r w:rsidR="003E02FE">
        <w:rPr>
          <w:color w:val="auto"/>
          <w:szCs w:val="24"/>
        </w:rPr>
        <w:t>c</w:t>
      </w:r>
      <w:r w:rsidR="007A2808" w:rsidRPr="005F1968">
        <w:rPr>
          <w:color w:val="auto"/>
          <w:szCs w:val="24"/>
        </w:rPr>
        <w:t xml:space="preserve">hronic </w:t>
      </w:r>
      <w:r w:rsidR="003E02FE">
        <w:rPr>
          <w:color w:val="auto"/>
          <w:szCs w:val="24"/>
        </w:rPr>
        <w:t>l</w:t>
      </w:r>
      <w:r w:rsidR="007A2808" w:rsidRPr="005F1968">
        <w:rPr>
          <w:color w:val="auto"/>
          <w:szCs w:val="24"/>
        </w:rPr>
        <w:t xml:space="preserve">eft </w:t>
      </w:r>
      <w:r w:rsidR="003E02FE">
        <w:rPr>
          <w:color w:val="auto"/>
          <w:szCs w:val="24"/>
        </w:rPr>
        <w:t>k</w:t>
      </w:r>
      <w:r w:rsidR="007A2808" w:rsidRPr="005F1968">
        <w:rPr>
          <w:color w:val="auto"/>
          <w:szCs w:val="24"/>
        </w:rPr>
        <w:t xml:space="preserve">nee </w:t>
      </w:r>
      <w:r w:rsidR="003E02FE">
        <w:rPr>
          <w:color w:val="auto"/>
          <w:szCs w:val="24"/>
        </w:rPr>
        <w:t>p</w:t>
      </w:r>
      <w:r w:rsidR="007A2808" w:rsidRPr="005F1968">
        <w:rPr>
          <w:color w:val="auto"/>
          <w:szCs w:val="24"/>
        </w:rPr>
        <w:t xml:space="preserve">ain, </w:t>
      </w:r>
      <w:r w:rsidR="003E02FE">
        <w:rPr>
          <w:color w:val="auto"/>
          <w:szCs w:val="24"/>
        </w:rPr>
        <w:t>s</w:t>
      </w:r>
      <w:r w:rsidR="007A2808" w:rsidRPr="005F1968">
        <w:rPr>
          <w:color w:val="auto"/>
          <w:szCs w:val="24"/>
        </w:rPr>
        <w:t xml:space="preserve">tatus </w:t>
      </w:r>
      <w:r w:rsidR="003E02FE">
        <w:rPr>
          <w:color w:val="auto"/>
          <w:szCs w:val="24"/>
        </w:rPr>
        <w:t>p</w:t>
      </w:r>
      <w:r w:rsidR="007A2808" w:rsidRPr="005F1968">
        <w:rPr>
          <w:color w:val="auto"/>
          <w:szCs w:val="24"/>
        </w:rPr>
        <w:t xml:space="preserve">ost </w:t>
      </w:r>
      <w:r w:rsidR="003E02FE">
        <w:rPr>
          <w:color w:val="auto"/>
          <w:szCs w:val="24"/>
        </w:rPr>
        <w:t>a</w:t>
      </w:r>
      <w:r w:rsidR="007A2808" w:rsidRPr="005F1968">
        <w:rPr>
          <w:color w:val="auto"/>
          <w:szCs w:val="24"/>
        </w:rPr>
        <w:t xml:space="preserve">ccidental </w:t>
      </w:r>
      <w:r w:rsidR="003E02FE">
        <w:rPr>
          <w:color w:val="auto"/>
          <w:szCs w:val="24"/>
        </w:rPr>
        <w:t>g</w:t>
      </w:r>
      <w:r w:rsidR="007A2808" w:rsidRPr="005F1968">
        <w:rPr>
          <w:color w:val="auto"/>
          <w:szCs w:val="24"/>
        </w:rPr>
        <w:t xml:space="preserve">unshot </w:t>
      </w:r>
      <w:r w:rsidR="003E02FE">
        <w:rPr>
          <w:color w:val="auto"/>
          <w:szCs w:val="24"/>
        </w:rPr>
        <w:t>w</w:t>
      </w:r>
      <w:r w:rsidR="007A2808" w:rsidRPr="005F1968">
        <w:rPr>
          <w:color w:val="auto"/>
          <w:szCs w:val="24"/>
        </w:rPr>
        <w:t xml:space="preserve">ound with </w:t>
      </w:r>
      <w:r w:rsidR="003E02FE">
        <w:rPr>
          <w:color w:val="auto"/>
          <w:szCs w:val="24"/>
        </w:rPr>
        <w:t>n</w:t>
      </w:r>
      <w:r w:rsidR="007A2808" w:rsidRPr="005F1968">
        <w:rPr>
          <w:color w:val="auto"/>
          <w:szCs w:val="24"/>
        </w:rPr>
        <w:t xml:space="preserve">ail </w:t>
      </w:r>
      <w:r w:rsidR="003E02FE">
        <w:rPr>
          <w:color w:val="auto"/>
          <w:szCs w:val="24"/>
        </w:rPr>
        <w:t>p</w:t>
      </w:r>
      <w:r w:rsidR="007A2808" w:rsidRPr="005F1968">
        <w:rPr>
          <w:color w:val="auto"/>
          <w:szCs w:val="24"/>
        </w:rPr>
        <w:t xml:space="preserve">lacement for </w:t>
      </w:r>
      <w:r w:rsidR="003E02FE">
        <w:rPr>
          <w:color w:val="auto"/>
          <w:szCs w:val="24"/>
        </w:rPr>
        <w:t>f</w:t>
      </w:r>
      <w:r w:rsidR="007A2808" w:rsidRPr="005F1968">
        <w:rPr>
          <w:color w:val="auto"/>
          <w:szCs w:val="24"/>
        </w:rPr>
        <w:t xml:space="preserve">emur </w:t>
      </w:r>
      <w:r w:rsidR="003E02FE">
        <w:rPr>
          <w:color w:val="auto"/>
          <w:szCs w:val="24"/>
        </w:rPr>
        <w:t>f</w:t>
      </w:r>
      <w:r w:rsidR="007A2808" w:rsidRPr="005F1968">
        <w:rPr>
          <w:color w:val="auto"/>
          <w:szCs w:val="24"/>
        </w:rPr>
        <w:t>racture</w:t>
      </w:r>
      <w:r w:rsidR="008A13E8" w:rsidRPr="005F1968">
        <w:rPr>
          <w:color w:val="auto"/>
          <w:szCs w:val="24"/>
        </w:rPr>
        <w:t xml:space="preserve"> condition</w:t>
      </w:r>
      <w:r w:rsidR="003E02FE">
        <w:rPr>
          <w:color w:val="auto"/>
          <w:szCs w:val="24"/>
        </w:rPr>
        <w:t>,</w:t>
      </w:r>
      <w:r w:rsidR="007A2808" w:rsidRPr="005F1968">
        <w:rPr>
          <w:color w:val="auto"/>
          <w:szCs w:val="24"/>
        </w:rPr>
        <w:t>”</w:t>
      </w:r>
      <w:r w:rsidR="008A13E8" w:rsidRPr="005F1968">
        <w:rPr>
          <w:color w:val="auto"/>
          <w:szCs w:val="24"/>
        </w:rPr>
        <w:t xml:space="preserve"> as combined in the PEB adjudication, the Board unanimously agrees that </w:t>
      </w:r>
      <w:r w:rsidR="007A2808" w:rsidRPr="005F1968">
        <w:rPr>
          <w:color w:val="auto"/>
          <w:szCs w:val="24"/>
        </w:rPr>
        <w:t>it sho</w:t>
      </w:r>
      <w:r w:rsidR="005F1968" w:rsidRPr="005F1968">
        <w:rPr>
          <w:color w:val="auto"/>
          <w:szCs w:val="24"/>
        </w:rPr>
        <w:t>uld be rated for two conditions</w:t>
      </w:r>
      <w:r w:rsidR="007A2808" w:rsidRPr="005F1968">
        <w:rPr>
          <w:color w:val="auto"/>
          <w:szCs w:val="24"/>
        </w:rPr>
        <w:t xml:space="preserve">:  </w:t>
      </w:r>
      <w:r w:rsidR="00083E3C" w:rsidRPr="005F1968">
        <w:rPr>
          <w:color w:val="auto"/>
          <w:szCs w:val="24"/>
        </w:rPr>
        <w:t xml:space="preserve">unanimously as </w:t>
      </w:r>
      <w:r w:rsidR="007A2808" w:rsidRPr="005F1968">
        <w:rPr>
          <w:color w:val="auto"/>
          <w:szCs w:val="24"/>
        </w:rPr>
        <w:t xml:space="preserve">left knee coded 5099-5003 at 10% IAW </w:t>
      </w:r>
      <w:r w:rsidR="007A2808" w:rsidRPr="005F1968">
        <w:rPr>
          <w:rFonts w:eastAsia="Calibri" w:cs="Times New Roman"/>
          <w:color w:val="auto"/>
          <w:szCs w:val="24"/>
        </w:rPr>
        <w:t xml:space="preserve">VASRD §4.71a.; </w:t>
      </w:r>
      <w:r w:rsidR="007A2808" w:rsidRPr="005F1968">
        <w:rPr>
          <w:color w:val="auto"/>
          <w:szCs w:val="24"/>
        </w:rPr>
        <w:t xml:space="preserve">and </w:t>
      </w:r>
      <w:r w:rsidR="00083E3C" w:rsidRPr="005F1968">
        <w:rPr>
          <w:color w:val="auto"/>
          <w:szCs w:val="24"/>
        </w:rPr>
        <w:t xml:space="preserve">by a vote of 2:1 as </w:t>
      </w:r>
      <w:r w:rsidR="007A2808" w:rsidRPr="005F1968">
        <w:rPr>
          <w:color w:val="auto"/>
          <w:szCs w:val="24"/>
        </w:rPr>
        <w:t>left thigh muscle injury condition coded 5318 at 20% IAW VASRD §4.5</w:t>
      </w:r>
      <w:r w:rsidR="00083E3C" w:rsidRPr="005F1968">
        <w:rPr>
          <w:color w:val="auto"/>
          <w:szCs w:val="24"/>
        </w:rPr>
        <w:t>5 and §4.5</w:t>
      </w:r>
      <w:r w:rsidR="007A2808" w:rsidRPr="005F1968">
        <w:rPr>
          <w:color w:val="auto"/>
          <w:szCs w:val="24"/>
        </w:rPr>
        <w:t xml:space="preserve">6.  </w:t>
      </w:r>
      <w:r w:rsidR="00083E3C" w:rsidRPr="005F1968">
        <w:rPr>
          <w:color w:val="auto"/>
          <w:szCs w:val="24"/>
        </w:rPr>
        <w:t xml:space="preserve">The single voter for dissent (who recommended 5318 at 10%) did not elect to submit a minority opinion.  </w:t>
      </w:r>
      <w:r w:rsidR="008A13E8" w:rsidRPr="005F1968">
        <w:rPr>
          <w:color w:val="auto"/>
          <w:szCs w:val="24"/>
        </w:rPr>
        <w:t xml:space="preserve">In the matter of </w:t>
      </w:r>
      <w:r w:rsidR="00526676" w:rsidRPr="005F1968">
        <w:rPr>
          <w:color w:val="auto"/>
          <w:szCs w:val="24"/>
        </w:rPr>
        <w:t xml:space="preserve">the left </w:t>
      </w:r>
      <w:r w:rsidR="008A13E8" w:rsidRPr="005F1968">
        <w:rPr>
          <w:color w:val="auto"/>
          <w:szCs w:val="24"/>
        </w:rPr>
        <w:t xml:space="preserve">hip, scars, and </w:t>
      </w:r>
      <w:r w:rsidR="007A2808" w:rsidRPr="005F1968">
        <w:rPr>
          <w:color w:val="auto"/>
          <w:szCs w:val="24"/>
        </w:rPr>
        <w:t>peripheral nerve</w:t>
      </w:r>
      <w:r w:rsidR="008A13E8" w:rsidRPr="005F1968">
        <w:rPr>
          <w:color w:val="auto"/>
          <w:szCs w:val="24"/>
        </w:rPr>
        <w:t xml:space="preserve"> condition</w:t>
      </w:r>
      <w:r w:rsidR="007A2808" w:rsidRPr="005F1968">
        <w:rPr>
          <w:color w:val="auto"/>
          <w:szCs w:val="24"/>
        </w:rPr>
        <w:t>s</w:t>
      </w:r>
      <w:r w:rsidR="008A13E8" w:rsidRPr="005F1968">
        <w:rPr>
          <w:color w:val="auto"/>
          <w:szCs w:val="24"/>
        </w:rPr>
        <w:t xml:space="preserve">, as combined in the PEB adjudication, the Board unanimously agrees that </w:t>
      </w:r>
      <w:r w:rsidR="007A2808" w:rsidRPr="005F1968">
        <w:rPr>
          <w:color w:val="auto"/>
          <w:szCs w:val="24"/>
        </w:rPr>
        <w:t>they were</w:t>
      </w:r>
      <w:r w:rsidR="008A13E8" w:rsidRPr="005F1968">
        <w:rPr>
          <w:color w:val="auto"/>
          <w:szCs w:val="24"/>
        </w:rPr>
        <w:t xml:space="preserve"> not independently unfitting; </w:t>
      </w:r>
      <w:r w:rsidR="003E02FE">
        <w:rPr>
          <w:color w:val="auto"/>
          <w:szCs w:val="24"/>
        </w:rPr>
        <w:t>and, therefore not ratable for s</w:t>
      </w:r>
      <w:r w:rsidR="008A13E8" w:rsidRPr="005F1968">
        <w:rPr>
          <w:color w:val="auto"/>
          <w:szCs w:val="24"/>
        </w:rPr>
        <w:t>ervice disability.</w:t>
      </w:r>
      <w:r w:rsidR="007A2808" w:rsidRPr="005F1968">
        <w:rPr>
          <w:color w:val="auto"/>
          <w:szCs w:val="24"/>
        </w:rPr>
        <w:t xml:space="preserve">  </w:t>
      </w:r>
      <w:r w:rsidR="00AB47D2" w:rsidRPr="005F1968">
        <w:rPr>
          <w:rFonts w:eastAsia="Calibri" w:cs="Times New Roman"/>
          <w:color w:val="auto"/>
          <w:szCs w:val="24"/>
        </w:rPr>
        <w:t xml:space="preserve">There were no other conditions within the Board’s scope of review for consideration.  </w:t>
      </w:r>
    </w:p>
    <w:p w:rsidR="00F1737C" w:rsidRPr="005F1968" w:rsidRDefault="00F1737C" w:rsidP="00BF0E94">
      <w:pPr>
        <w:pBdr>
          <w:bottom w:val="single" w:sz="12" w:space="1" w:color="auto"/>
        </w:pBdr>
        <w:tabs>
          <w:tab w:val="left" w:pos="288"/>
          <w:tab w:val="left" w:pos="4752"/>
        </w:tabs>
        <w:jc w:val="both"/>
        <w:rPr>
          <w:color w:val="auto"/>
        </w:rPr>
      </w:pPr>
    </w:p>
    <w:p w:rsidR="00F1737C" w:rsidRPr="005F1968" w:rsidRDefault="00F1737C" w:rsidP="006364ED">
      <w:pPr>
        <w:jc w:val="left"/>
        <w:rPr>
          <w:color w:val="auto"/>
          <w:szCs w:val="24"/>
        </w:rPr>
      </w:pPr>
    </w:p>
    <w:p w:rsidR="00566905" w:rsidRPr="005F1968" w:rsidRDefault="00566905">
      <w:pPr>
        <w:rPr>
          <w:color w:val="auto"/>
          <w:szCs w:val="24"/>
          <w:u w:val="single"/>
        </w:rPr>
      </w:pPr>
      <w:r w:rsidRPr="005F1968">
        <w:rPr>
          <w:color w:val="auto"/>
          <w:szCs w:val="24"/>
          <w:u w:val="single"/>
        </w:rPr>
        <w:br w:type="page"/>
      </w:r>
    </w:p>
    <w:p w:rsidR="007E3994" w:rsidRPr="005F1968" w:rsidRDefault="00C56FC8" w:rsidP="007E3994">
      <w:pPr>
        <w:tabs>
          <w:tab w:val="left" w:pos="288"/>
          <w:tab w:val="left" w:pos="4752"/>
        </w:tabs>
        <w:jc w:val="both"/>
        <w:rPr>
          <w:rFonts w:eastAsia="Calibri" w:cs="Times New Roman"/>
          <w:color w:val="auto"/>
          <w:szCs w:val="24"/>
        </w:rPr>
      </w:pPr>
      <w:r w:rsidRPr="005F1968">
        <w:rPr>
          <w:color w:val="auto"/>
          <w:szCs w:val="24"/>
          <w:u w:val="single"/>
        </w:rPr>
        <w:lastRenderedPageBreak/>
        <w:t>RECOMMENDATION</w:t>
      </w:r>
      <w:r w:rsidRPr="005F1968">
        <w:rPr>
          <w:color w:val="auto"/>
          <w:szCs w:val="24"/>
        </w:rPr>
        <w:t>:</w:t>
      </w:r>
      <w:r w:rsidR="00AB47D2" w:rsidRPr="005F1968">
        <w:rPr>
          <w:color w:val="auto"/>
          <w:szCs w:val="24"/>
        </w:rPr>
        <w:t xml:space="preserve">  </w:t>
      </w:r>
      <w:r w:rsidR="007E3994" w:rsidRPr="005F1968">
        <w:rPr>
          <w:rFonts w:eastAsia="Calibri" w:cs="Times New Roman"/>
          <w:color w:val="auto"/>
          <w:szCs w:val="24"/>
        </w:rPr>
        <w:t xml:space="preserve">The Board recommends that the CI’s prior determination be modified as follows; and, that the discharge with severance pay be recharacterized to reflect permanent disability retirement, effective as of the date of his prior medical separation:  </w:t>
      </w:r>
    </w:p>
    <w:p w:rsidR="007E3994" w:rsidRPr="005F1968" w:rsidRDefault="007E3994" w:rsidP="007E3994">
      <w:pPr>
        <w:jc w:val="both"/>
        <w:rPr>
          <w:color w:val="auto"/>
          <w:szCs w:val="24"/>
        </w:rPr>
      </w:pPr>
    </w:p>
    <w:tbl>
      <w:tblPr>
        <w:tblW w:w="9234" w:type="dxa"/>
        <w:jc w:val="center"/>
        <w:tblInd w:w="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27"/>
        <w:gridCol w:w="1980"/>
        <w:gridCol w:w="1710"/>
        <w:gridCol w:w="1017"/>
      </w:tblGrid>
      <w:tr w:rsidR="007E3994" w:rsidRPr="005F1968" w:rsidTr="005F1968">
        <w:trPr>
          <w:trHeight w:val="233"/>
          <w:jc w:val="center"/>
        </w:trPr>
        <w:tc>
          <w:tcPr>
            <w:tcW w:w="4527" w:type="dxa"/>
            <w:shd w:val="clear" w:color="auto" w:fill="D9D9D9"/>
            <w:vAlign w:val="center"/>
          </w:tcPr>
          <w:p w:rsidR="007E3994" w:rsidRPr="005F1968" w:rsidRDefault="007E3994" w:rsidP="003164B7">
            <w:pPr>
              <w:tabs>
                <w:tab w:val="left" w:pos="288"/>
                <w:tab w:val="left" w:pos="4752"/>
              </w:tabs>
              <w:rPr>
                <w:b/>
                <w:color w:val="auto"/>
                <w:szCs w:val="24"/>
              </w:rPr>
            </w:pPr>
            <w:r w:rsidRPr="005F1968">
              <w:rPr>
                <w:b/>
                <w:color w:val="auto"/>
                <w:szCs w:val="24"/>
              </w:rPr>
              <w:t>UNFITTING CONDITION</w:t>
            </w:r>
          </w:p>
        </w:tc>
        <w:tc>
          <w:tcPr>
            <w:tcW w:w="1980" w:type="dxa"/>
            <w:shd w:val="clear" w:color="auto" w:fill="D9D9D9"/>
          </w:tcPr>
          <w:p w:rsidR="007E3994" w:rsidRPr="005F1968" w:rsidRDefault="007E3994" w:rsidP="003164B7">
            <w:pPr>
              <w:tabs>
                <w:tab w:val="left" w:pos="288"/>
                <w:tab w:val="left" w:pos="4752"/>
              </w:tabs>
              <w:rPr>
                <w:b/>
                <w:color w:val="auto"/>
                <w:szCs w:val="24"/>
              </w:rPr>
            </w:pPr>
          </w:p>
        </w:tc>
        <w:tc>
          <w:tcPr>
            <w:tcW w:w="1710" w:type="dxa"/>
            <w:shd w:val="clear" w:color="auto" w:fill="D9D9D9"/>
            <w:vAlign w:val="center"/>
          </w:tcPr>
          <w:p w:rsidR="007E3994" w:rsidRPr="005F1968" w:rsidRDefault="007E3994" w:rsidP="003164B7">
            <w:pPr>
              <w:tabs>
                <w:tab w:val="left" w:pos="288"/>
                <w:tab w:val="left" w:pos="4752"/>
              </w:tabs>
              <w:rPr>
                <w:b/>
                <w:color w:val="auto"/>
                <w:szCs w:val="24"/>
              </w:rPr>
            </w:pPr>
            <w:r w:rsidRPr="005F1968">
              <w:rPr>
                <w:b/>
                <w:color w:val="auto"/>
                <w:szCs w:val="24"/>
              </w:rPr>
              <w:t>VASRD CODE</w:t>
            </w:r>
          </w:p>
        </w:tc>
        <w:tc>
          <w:tcPr>
            <w:tcW w:w="1017" w:type="dxa"/>
            <w:shd w:val="clear" w:color="auto" w:fill="D9D9D9"/>
            <w:vAlign w:val="center"/>
          </w:tcPr>
          <w:p w:rsidR="007E3994" w:rsidRPr="005F1968" w:rsidRDefault="007E3994" w:rsidP="003164B7">
            <w:pPr>
              <w:tabs>
                <w:tab w:val="left" w:pos="288"/>
                <w:tab w:val="left" w:pos="4752"/>
              </w:tabs>
              <w:rPr>
                <w:b/>
                <w:color w:val="auto"/>
                <w:szCs w:val="24"/>
              </w:rPr>
            </w:pPr>
            <w:r w:rsidRPr="005F1968">
              <w:rPr>
                <w:b/>
                <w:color w:val="auto"/>
                <w:szCs w:val="24"/>
              </w:rPr>
              <w:t>RATING</w:t>
            </w:r>
          </w:p>
        </w:tc>
      </w:tr>
      <w:tr w:rsidR="007E3994" w:rsidRPr="005F1968" w:rsidTr="005F1968">
        <w:trPr>
          <w:jc w:val="center"/>
        </w:trPr>
        <w:tc>
          <w:tcPr>
            <w:tcW w:w="4527" w:type="dxa"/>
            <w:vMerge w:val="restart"/>
            <w:vAlign w:val="center"/>
          </w:tcPr>
          <w:p w:rsidR="007E3994" w:rsidRPr="005F1968" w:rsidRDefault="007E3994" w:rsidP="003164B7">
            <w:pPr>
              <w:tabs>
                <w:tab w:val="left" w:pos="288"/>
                <w:tab w:val="left" w:pos="4752"/>
              </w:tabs>
              <w:jc w:val="left"/>
              <w:rPr>
                <w:color w:val="auto"/>
                <w:szCs w:val="24"/>
              </w:rPr>
            </w:pPr>
            <w:r w:rsidRPr="005F1968">
              <w:rPr>
                <w:color w:val="auto"/>
                <w:szCs w:val="24"/>
              </w:rPr>
              <w:t>Chronic Left Knee Pain, Status Post Accidental Gunshot Wound with Nail Placement for Femur Fracture</w:t>
            </w:r>
          </w:p>
        </w:tc>
        <w:tc>
          <w:tcPr>
            <w:tcW w:w="1980" w:type="dxa"/>
            <w:vAlign w:val="center"/>
          </w:tcPr>
          <w:p w:rsidR="007E3994" w:rsidRPr="005F1968" w:rsidRDefault="007E3994" w:rsidP="007A2808">
            <w:pPr>
              <w:tabs>
                <w:tab w:val="left" w:pos="288"/>
                <w:tab w:val="left" w:pos="4752"/>
              </w:tabs>
              <w:rPr>
                <w:color w:val="auto"/>
                <w:szCs w:val="24"/>
              </w:rPr>
            </w:pPr>
            <w:r w:rsidRPr="005F1968">
              <w:rPr>
                <w:color w:val="auto"/>
                <w:szCs w:val="24"/>
              </w:rPr>
              <w:t>L</w:t>
            </w:r>
            <w:r w:rsidR="004C6DE3" w:rsidRPr="005F1968">
              <w:rPr>
                <w:color w:val="auto"/>
                <w:szCs w:val="24"/>
              </w:rPr>
              <w:t>eft</w:t>
            </w:r>
            <w:r w:rsidRPr="005F1968">
              <w:rPr>
                <w:color w:val="auto"/>
                <w:szCs w:val="24"/>
              </w:rPr>
              <w:t xml:space="preserve"> Knee</w:t>
            </w:r>
          </w:p>
        </w:tc>
        <w:tc>
          <w:tcPr>
            <w:tcW w:w="1710" w:type="dxa"/>
            <w:vAlign w:val="center"/>
          </w:tcPr>
          <w:p w:rsidR="007E3994" w:rsidRPr="005F1968" w:rsidRDefault="007E3994" w:rsidP="007A2808">
            <w:pPr>
              <w:tabs>
                <w:tab w:val="left" w:pos="288"/>
                <w:tab w:val="left" w:pos="4752"/>
              </w:tabs>
              <w:rPr>
                <w:color w:val="auto"/>
                <w:szCs w:val="24"/>
              </w:rPr>
            </w:pPr>
            <w:r w:rsidRPr="005F1968">
              <w:rPr>
                <w:color w:val="auto"/>
                <w:szCs w:val="24"/>
              </w:rPr>
              <w:t>5099-5003</w:t>
            </w:r>
          </w:p>
        </w:tc>
        <w:tc>
          <w:tcPr>
            <w:tcW w:w="1017" w:type="dxa"/>
            <w:vAlign w:val="center"/>
          </w:tcPr>
          <w:p w:rsidR="007E3994" w:rsidRPr="005F1968" w:rsidRDefault="007E3994" w:rsidP="007A2808">
            <w:pPr>
              <w:tabs>
                <w:tab w:val="left" w:pos="288"/>
                <w:tab w:val="left" w:pos="4752"/>
              </w:tabs>
              <w:rPr>
                <w:color w:val="auto"/>
                <w:szCs w:val="24"/>
              </w:rPr>
            </w:pPr>
            <w:r w:rsidRPr="005F1968">
              <w:rPr>
                <w:color w:val="auto"/>
                <w:szCs w:val="24"/>
              </w:rPr>
              <w:t>10%</w:t>
            </w:r>
          </w:p>
        </w:tc>
      </w:tr>
      <w:tr w:rsidR="007E3994" w:rsidRPr="005F1968" w:rsidTr="005F1968">
        <w:trPr>
          <w:jc w:val="center"/>
        </w:trPr>
        <w:tc>
          <w:tcPr>
            <w:tcW w:w="4527" w:type="dxa"/>
            <w:vMerge/>
            <w:vAlign w:val="center"/>
          </w:tcPr>
          <w:p w:rsidR="007E3994" w:rsidRPr="005F1968" w:rsidRDefault="007E3994" w:rsidP="003164B7">
            <w:pPr>
              <w:tabs>
                <w:tab w:val="left" w:pos="288"/>
                <w:tab w:val="left" w:pos="4752"/>
              </w:tabs>
              <w:jc w:val="left"/>
              <w:rPr>
                <w:color w:val="auto"/>
                <w:szCs w:val="24"/>
              </w:rPr>
            </w:pPr>
          </w:p>
        </w:tc>
        <w:tc>
          <w:tcPr>
            <w:tcW w:w="1980" w:type="dxa"/>
            <w:vAlign w:val="center"/>
          </w:tcPr>
          <w:p w:rsidR="007E3994" w:rsidRPr="005F1968" w:rsidRDefault="007E3994" w:rsidP="007A2808">
            <w:pPr>
              <w:contextualSpacing/>
              <w:rPr>
                <w:rFonts w:cs="Calibri"/>
                <w:color w:val="auto"/>
                <w:szCs w:val="18"/>
              </w:rPr>
            </w:pPr>
            <w:r w:rsidRPr="005F1968">
              <w:rPr>
                <w:rFonts w:cs="Calibri"/>
                <w:color w:val="auto"/>
                <w:szCs w:val="18"/>
              </w:rPr>
              <w:t>L</w:t>
            </w:r>
            <w:r w:rsidR="004C6DE3" w:rsidRPr="005F1968">
              <w:rPr>
                <w:rFonts w:cs="Calibri"/>
                <w:color w:val="auto"/>
                <w:szCs w:val="18"/>
              </w:rPr>
              <w:t>eft</w:t>
            </w:r>
            <w:r w:rsidRPr="005F1968">
              <w:rPr>
                <w:rFonts w:cs="Calibri"/>
                <w:color w:val="auto"/>
                <w:szCs w:val="18"/>
              </w:rPr>
              <w:t xml:space="preserve"> Thigh Muscle</w:t>
            </w:r>
          </w:p>
        </w:tc>
        <w:tc>
          <w:tcPr>
            <w:tcW w:w="1710" w:type="dxa"/>
            <w:vAlign w:val="center"/>
          </w:tcPr>
          <w:p w:rsidR="007E3994" w:rsidRPr="005F1968" w:rsidRDefault="007E3994" w:rsidP="007A2808">
            <w:pPr>
              <w:contextualSpacing/>
              <w:rPr>
                <w:rFonts w:cs="Calibri"/>
                <w:color w:val="auto"/>
                <w:szCs w:val="18"/>
              </w:rPr>
            </w:pPr>
            <w:r w:rsidRPr="005F1968">
              <w:rPr>
                <w:rFonts w:cs="Calibri"/>
                <w:color w:val="auto"/>
                <w:szCs w:val="18"/>
              </w:rPr>
              <w:t>5</w:t>
            </w:r>
            <w:r w:rsidR="004C6DE3" w:rsidRPr="005F1968">
              <w:rPr>
                <w:rFonts w:cs="Calibri"/>
                <w:color w:val="auto"/>
                <w:szCs w:val="18"/>
              </w:rPr>
              <w:t>318</w:t>
            </w:r>
          </w:p>
        </w:tc>
        <w:tc>
          <w:tcPr>
            <w:tcW w:w="1017" w:type="dxa"/>
            <w:vAlign w:val="center"/>
          </w:tcPr>
          <w:p w:rsidR="007E3994" w:rsidRPr="005F1968" w:rsidRDefault="004C6DE3" w:rsidP="007A2808">
            <w:pPr>
              <w:contextualSpacing/>
              <w:rPr>
                <w:rFonts w:cs="Calibri"/>
                <w:color w:val="auto"/>
                <w:szCs w:val="18"/>
              </w:rPr>
            </w:pPr>
            <w:r w:rsidRPr="005F1968">
              <w:rPr>
                <w:rFonts w:cs="Calibri"/>
                <w:color w:val="auto"/>
                <w:szCs w:val="18"/>
              </w:rPr>
              <w:t>2</w:t>
            </w:r>
            <w:r w:rsidR="007E3994" w:rsidRPr="005F1968">
              <w:rPr>
                <w:rFonts w:cs="Calibri"/>
                <w:color w:val="auto"/>
                <w:szCs w:val="18"/>
              </w:rPr>
              <w:t>0%</w:t>
            </w:r>
          </w:p>
        </w:tc>
      </w:tr>
      <w:tr w:rsidR="004C6DE3" w:rsidRPr="005F1968" w:rsidTr="005F1968">
        <w:tblPrEx>
          <w:tblLook w:val="0000"/>
        </w:tblPrEx>
        <w:trPr>
          <w:gridBefore w:val="2"/>
          <w:wBefore w:w="6507" w:type="dxa"/>
          <w:trHeight w:val="152"/>
          <w:jc w:val="center"/>
        </w:trPr>
        <w:tc>
          <w:tcPr>
            <w:tcW w:w="1710" w:type="dxa"/>
            <w:tcBorders>
              <w:left w:val="single" w:sz="4" w:space="0" w:color="auto"/>
              <w:bottom w:val="single" w:sz="4" w:space="0" w:color="000000"/>
            </w:tcBorders>
            <w:shd w:val="clear" w:color="auto" w:fill="D9D9D9" w:themeFill="background1" w:themeFillShade="D9"/>
          </w:tcPr>
          <w:p w:rsidR="004C6DE3" w:rsidRPr="005F1968" w:rsidRDefault="004C6DE3" w:rsidP="003164B7">
            <w:pPr>
              <w:tabs>
                <w:tab w:val="left" w:pos="288"/>
                <w:tab w:val="left" w:pos="4752"/>
              </w:tabs>
              <w:rPr>
                <w:b/>
                <w:color w:val="auto"/>
                <w:szCs w:val="24"/>
              </w:rPr>
            </w:pPr>
            <w:r w:rsidRPr="005F1968">
              <w:rPr>
                <w:b/>
                <w:color w:val="auto"/>
                <w:szCs w:val="24"/>
              </w:rPr>
              <w:t>COMBINED</w:t>
            </w:r>
          </w:p>
        </w:tc>
        <w:tc>
          <w:tcPr>
            <w:tcW w:w="1017" w:type="dxa"/>
            <w:tcBorders>
              <w:bottom w:val="single" w:sz="4" w:space="0" w:color="000000"/>
            </w:tcBorders>
            <w:shd w:val="clear" w:color="auto" w:fill="D9D9D9" w:themeFill="background1" w:themeFillShade="D9"/>
            <w:vAlign w:val="center"/>
          </w:tcPr>
          <w:p w:rsidR="004C6DE3" w:rsidRPr="005F1968" w:rsidRDefault="007A2808" w:rsidP="003164B7">
            <w:pPr>
              <w:tabs>
                <w:tab w:val="left" w:pos="288"/>
                <w:tab w:val="left" w:pos="4752"/>
              </w:tabs>
              <w:rPr>
                <w:b/>
                <w:color w:val="auto"/>
                <w:szCs w:val="24"/>
              </w:rPr>
            </w:pPr>
            <w:r w:rsidRPr="005F1968">
              <w:rPr>
                <w:b/>
                <w:color w:val="auto"/>
                <w:szCs w:val="24"/>
              </w:rPr>
              <w:t>3</w:t>
            </w:r>
            <w:r w:rsidR="004C6DE3" w:rsidRPr="005F1968">
              <w:rPr>
                <w:b/>
                <w:color w:val="auto"/>
                <w:szCs w:val="24"/>
              </w:rPr>
              <w:t>0%</w:t>
            </w:r>
          </w:p>
        </w:tc>
      </w:tr>
    </w:tbl>
    <w:p w:rsidR="005B1D09" w:rsidRPr="005F1968" w:rsidRDefault="005B1D09" w:rsidP="0010323A">
      <w:pPr>
        <w:pBdr>
          <w:bottom w:val="single" w:sz="12" w:space="1" w:color="auto"/>
        </w:pBdr>
        <w:tabs>
          <w:tab w:val="left" w:pos="288"/>
          <w:tab w:val="left" w:pos="4752"/>
        </w:tabs>
        <w:jc w:val="both"/>
        <w:rPr>
          <w:color w:val="auto"/>
        </w:rPr>
      </w:pPr>
    </w:p>
    <w:p w:rsidR="005B1D09" w:rsidRPr="005F1968" w:rsidRDefault="005B1D09" w:rsidP="0010323A">
      <w:pPr>
        <w:jc w:val="left"/>
        <w:rPr>
          <w:color w:val="auto"/>
          <w:szCs w:val="24"/>
        </w:rPr>
      </w:pPr>
    </w:p>
    <w:p w:rsidR="00D91DA6" w:rsidRPr="005F1968" w:rsidRDefault="00FB1725" w:rsidP="0010323A">
      <w:pPr>
        <w:tabs>
          <w:tab w:val="left" w:pos="288"/>
          <w:tab w:val="left" w:pos="4752"/>
        </w:tabs>
        <w:jc w:val="both"/>
        <w:rPr>
          <w:color w:val="auto"/>
        </w:rPr>
      </w:pPr>
      <w:r w:rsidRPr="005F1968">
        <w:rPr>
          <w:color w:val="auto"/>
        </w:rPr>
        <w:t>The following documentary evidence was considered:</w:t>
      </w:r>
    </w:p>
    <w:p w:rsidR="00EB5EFD" w:rsidRPr="005F1968" w:rsidRDefault="00EB5EFD" w:rsidP="0010323A">
      <w:pPr>
        <w:tabs>
          <w:tab w:val="left" w:pos="288"/>
          <w:tab w:val="left" w:pos="4752"/>
        </w:tabs>
        <w:jc w:val="both"/>
        <w:rPr>
          <w:color w:val="auto"/>
        </w:rPr>
      </w:pPr>
    </w:p>
    <w:p w:rsidR="00114F20" w:rsidRPr="005F1968" w:rsidRDefault="00FB1725" w:rsidP="0010323A">
      <w:pPr>
        <w:tabs>
          <w:tab w:val="left" w:pos="288"/>
          <w:tab w:val="left" w:pos="4752"/>
        </w:tabs>
        <w:jc w:val="both"/>
        <w:rPr>
          <w:color w:val="auto"/>
        </w:rPr>
      </w:pPr>
      <w:r w:rsidRPr="005F1968">
        <w:rPr>
          <w:color w:val="auto"/>
        </w:rPr>
        <w:t xml:space="preserve">Exhibit A.  DD Form 294, </w:t>
      </w:r>
      <w:r w:rsidRPr="005F1968">
        <w:rPr>
          <w:color w:val="auto"/>
          <w:szCs w:val="24"/>
        </w:rPr>
        <w:t>dated 20</w:t>
      </w:r>
      <w:r w:rsidR="001215DF" w:rsidRPr="005F1968">
        <w:rPr>
          <w:color w:val="auto"/>
          <w:szCs w:val="24"/>
        </w:rPr>
        <w:t>1</w:t>
      </w:r>
      <w:r w:rsidR="009E33DC" w:rsidRPr="005F1968">
        <w:rPr>
          <w:color w:val="auto"/>
          <w:szCs w:val="24"/>
        </w:rPr>
        <w:t>10825</w:t>
      </w:r>
      <w:r w:rsidR="003E02FE">
        <w:rPr>
          <w:color w:val="auto"/>
        </w:rPr>
        <w:t>, w/</w:t>
      </w:r>
      <w:proofErr w:type="spellStart"/>
      <w:r w:rsidR="003E02FE">
        <w:rPr>
          <w:color w:val="auto"/>
        </w:rPr>
        <w:t>atchs</w:t>
      </w:r>
      <w:proofErr w:type="spellEnd"/>
    </w:p>
    <w:p w:rsidR="00114F20" w:rsidRPr="005F1968" w:rsidRDefault="00FB1725" w:rsidP="0010323A">
      <w:pPr>
        <w:tabs>
          <w:tab w:val="left" w:pos="288"/>
          <w:tab w:val="left" w:pos="4752"/>
        </w:tabs>
        <w:jc w:val="both"/>
        <w:rPr>
          <w:color w:val="auto"/>
        </w:rPr>
      </w:pPr>
      <w:r w:rsidRPr="005F1968">
        <w:rPr>
          <w:color w:val="auto"/>
        </w:rPr>
        <w:t>Exhib</w:t>
      </w:r>
      <w:r w:rsidR="003E02FE">
        <w:rPr>
          <w:color w:val="auto"/>
        </w:rPr>
        <w:t>it B.  Service Treatment Record</w:t>
      </w:r>
    </w:p>
    <w:p w:rsidR="00114F20" w:rsidRPr="005F1968" w:rsidRDefault="00FB1725" w:rsidP="00BF0E94">
      <w:pPr>
        <w:tabs>
          <w:tab w:val="left" w:pos="288"/>
          <w:tab w:val="left" w:pos="4752"/>
        </w:tabs>
        <w:jc w:val="both"/>
        <w:rPr>
          <w:color w:val="auto"/>
        </w:rPr>
      </w:pPr>
      <w:r w:rsidRPr="005F1968">
        <w:rPr>
          <w:color w:val="auto"/>
        </w:rPr>
        <w:t>Exhibit C.  Department of Ve</w:t>
      </w:r>
      <w:r w:rsidR="003E02FE">
        <w:rPr>
          <w:color w:val="auto"/>
        </w:rPr>
        <w:t>terans’ Affairs Treatment Record</w:t>
      </w:r>
    </w:p>
    <w:p w:rsidR="00D91DA6" w:rsidRPr="005F1968" w:rsidRDefault="00D91DA6" w:rsidP="00BF0E94">
      <w:pPr>
        <w:tabs>
          <w:tab w:val="left" w:pos="288"/>
          <w:tab w:val="left" w:pos="4752"/>
        </w:tabs>
        <w:jc w:val="both"/>
        <w:rPr>
          <w:color w:val="auto"/>
        </w:rPr>
      </w:pPr>
    </w:p>
    <w:p w:rsidR="00114F20" w:rsidRPr="005F1968" w:rsidRDefault="00114F20" w:rsidP="00BF0E94">
      <w:pPr>
        <w:tabs>
          <w:tab w:val="left" w:pos="288"/>
          <w:tab w:val="left" w:pos="4752"/>
        </w:tabs>
        <w:jc w:val="both"/>
        <w:rPr>
          <w:color w:val="auto"/>
        </w:rPr>
      </w:pPr>
    </w:p>
    <w:p w:rsidR="00114F20" w:rsidRPr="005F1968" w:rsidRDefault="00114F20" w:rsidP="00BF0E94">
      <w:pPr>
        <w:tabs>
          <w:tab w:val="left" w:pos="288"/>
          <w:tab w:val="left" w:pos="4752"/>
        </w:tabs>
        <w:jc w:val="both"/>
        <w:rPr>
          <w:color w:val="auto"/>
        </w:rPr>
      </w:pPr>
    </w:p>
    <w:p w:rsidR="00114F20" w:rsidRPr="005F1968" w:rsidRDefault="00114F20" w:rsidP="00BF0E94">
      <w:pPr>
        <w:tabs>
          <w:tab w:val="left" w:pos="288"/>
          <w:tab w:val="left" w:pos="4752"/>
        </w:tabs>
        <w:jc w:val="both"/>
        <w:rPr>
          <w:color w:val="auto"/>
        </w:rPr>
      </w:pPr>
    </w:p>
    <w:p w:rsidR="00E3077F" w:rsidRPr="005F1968" w:rsidRDefault="00220FA9" w:rsidP="00BF0E94">
      <w:pPr>
        <w:tabs>
          <w:tab w:val="left" w:pos="0"/>
          <w:tab w:val="left" w:pos="4320"/>
        </w:tabs>
        <w:jc w:val="both"/>
        <w:rPr>
          <w:color w:val="auto"/>
          <w:szCs w:val="24"/>
        </w:rPr>
      </w:pPr>
      <w:r w:rsidRPr="005F1968">
        <w:rPr>
          <w:color w:val="auto"/>
          <w:szCs w:val="24"/>
        </w:rPr>
        <w:tab/>
      </w:r>
      <w:r w:rsidR="008E3C90" w:rsidRPr="005F1968">
        <w:rPr>
          <w:color w:val="auto"/>
          <w:szCs w:val="24"/>
        </w:rPr>
        <w:t xml:space="preserve">           </w:t>
      </w:r>
      <w:r w:rsidR="00AD365D">
        <w:rPr>
          <w:color w:val="auto"/>
          <w:szCs w:val="24"/>
        </w:rPr>
        <w:t>XXXXXXXXXX</w:t>
      </w:r>
    </w:p>
    <w:p w:rsidR="002F195B" w:rsidRPr="005F1968" w:rsidRDefault="00220FA9" w:rsidP="00BF0E94">
      <w:pPr>
        <w:tabs>
          <w:tab w:val="left" w:pos="0"/>
          <w:tab w:val="left" w:pos="4320"/>
        </w:tabs>
        <w:jc w:val="both"/>
        <w:rPr>
          <w:color w:val="auto"/>
          <w:szCs w:val="24"/>
        </w:rPr>
      </w:pPr>
      <w:r w:rsidRPr="005F1968">
        <w:rPr>
          <w:color w:val="auto"/>
          <w:szCs w:val="24"/>
        </w:rPr>
        <w:tab/>
      </w:r>
      <w:r w:rsidR="008E3C90" w:rsidRPr="005F1968">
        <w:rPr>
          <w:color w:val="auto"/>
          <w:szCs w:val="24"/>
        </w:rPr>
        <w:t xml:space="preserve">           </w:t>
      </w:r>
      <w:r w:rsidR="005F73CA" w:rsidRPr="005F1968">
        <w:rPr>
          <w:color w:val="auto"/>
          <w:szCs w:val="24"/>
        </w:rPr>
        <w:t>President</w:t>
      </w:r>
    </w:p>
    <w:p w:rsidR="00E3077F" w:rsidRPr="005F1968" w:rsidRDefault="002F195B" w:rsidP="00BF0E94">
      <w:pPr>
        <w:tabs>
          <w:tab w:val="left" w:pos="0"/>
          <w:tab w:val="left" w:pos="4320"/>
        </w:tabs>
        <w:jc w:val="both"/>
        <w:rPr>
          <w:color w:val="auto"/>
          <w:szCs w:val="24"/>
        </w:rPr>
      </w:pPr>
      <w:r w:rsidRPr="005F1968">
        <w:rPr>
          <w:color w:val="auto"/>
          <w:szCs w:val="24"/>
        </w:rPr>
        <w:tab/>
        <w:t xml:space="preserve">           </w:t>
      </w:r>
      <w:r w:rsidR="00220FA9" w:rsidRPr="005F1968">
        <w:rPr>
          <w:color w:val="auto"/>
          <w:szCs w:val="24"/>
        </w:rPr>
        <w:t>P</w:t>
      </w:r>
      <w:r w:rsidR="00E3077F" w:rsidRPr="005F1968">
        <w:rPr>
          <w:color w:val="auto"/>
          <w:szCs w:val="24"/>
        </w:rPr>
        <w:t>hysical Disability Board of Review</w:t>
      </w:r>
    </w:p>
    <w:p w:rsidR="00AD365D" w:rsidRDefault="00AD365D" w:rsidP="00AD365D">
      <w:pPr>
        <w:jc w:val="left"/>
        <w:rPr>
          <w:color w:val="auto"/>
          <w:szCs w:val="24"/>
        </w:rPr>
      </w:pPr>
      <w:r>
        <w:rPr>
          <w:color w:val="auto"/>
          <w:szCs w:val="24"/>
        </w:rPr>
        <w:br w:type="page"/>
      </w:r>
    </w:p>
    <w:p w:rsidR="00AD365D" w:rsidRDefault="00AD365D" w:rsidP="00AD365D">
      <w:pPr>
        <w:pStyle w:val="Header"/>
        <w:tabs>
          <w:tab w:val="left" w:pos="720"/>
        </w:tabs>
        <w:jc w:val="left"/>
      </w:pPr>
      <w:r>
        <w:lastRenderedPageBreak/>
        <w:t>SFMR-RB</w:t>
      </w:r>
      <w:r>
        <w:tab/>
      </w:r>
      <w:r>
        <w:tab/>
      </w:r>
      <w:r>
        <w:tab/>
      </w:r>
      <w:r>
        <w:tab/>
      </w:r>
      <w:r>
        <w:tab/>
      </w:r>
      <w:r>
        <w:tab/>
      </w:r>
      <w:r>
        <w:tab/>
      </w:r>
      <w:r>
        <w:tab/>
      </w:r>
      <w:r>
        <w:tab/>
      </w:r>
    </w:p>
    <w:p w:rsidR="00AD365D" w:rsidRDefault="00AD365D" w:rsidP="00AD365D">
      <w:pPr>
        <w:pStyle w:val="Header"/>
        <w:tabs>
          <w:tab w:val="left" w:pos="720"/>
        </w:tabs>
        <w:jc w:val="left"/>
      </w:pPr>
    </w:p>
    <w:p w:rsidR="00AD365D" w:rsidRDefault="00AD365D" w:rsidP="00AD365D">
      <w:pPr>
        <w:jc w:val="left"/>
      </w:pPr>
    </w:p>
    <w:p w:rsidR="00AD365D" w:rsidRDefault="00AD365D" w:rsidP="00AD365D">
      <w:pPr>
        <w:jc w:val="left"/>
      </w:pPr>
      <w:r>
        <w:t xml:space="preserve">MEMORANDUM FOR Commander, US Army Physical Disability Agency </w:t>
      </w:r>
    </w:p>
    <w:p w:rsidR="00AD365D" w:rsidRDefault="00AD365D" w:rsidP="00AD365D">
      <w:pPr>
        <w:jc w:val="left"/>
      </w:pPr>
      <w:r>
        <w:t xml:space="preserve">(TAPD-ZB </w:t>
      </w:r>
      <w:proofErr w:type="gramStart"/>
      <w:r>
        <w:t>/  )</w:t>
      </w:r>
      <w:proofErr w:type="gramEnd"/>
      <w:r>
        <w:t>, 2900 Crystal Drive, Suite 300, Arlington, VA  22202</w:t>
      </w:r>
    </w:p>
    <w:p w:rsidR="00AD365D" w:rsidRDefault="00AD365D" w:rsidP="00AD365D">
      <w:pPr>
        <w:jc w:val="left"/>
      </w:pPr>
    </w:p>
    <w:p w:rsidR="00AD365D" w:rsidRDefault="00AD365D" w:rsidP="00AD365D">
      <w:pPr>
        <w:ind w:right="-180"/>
        <w:jc w:val="left"/>
      </w:pPr>
      <w:r>
        <w:t xml:space="preserve">SUBJECT:  Department of Defense Physical Disability Board of Review Recommendation </w:t>
      </w:r>
    </w:p>
    <w:p w:rsidR="00AD365D" w:rsidRDefault="00AD365D" w:rsidP="00AD365D">
      <w:pPr>
        <w:pStyle w:val="Header"/>
        <w:tabs>
          <w:tab w:val="left" w:pos="720"/>
        </w:tabs>
        <w:jc w:val="left"/>
      </w:pPr>
      <w:proofErr w:type="gramStart"/>
      <w:r>
        <w:t>for</w:t>
      </w:r>
      <w:proofErr w:type="gramEnd"/>
      <w:r>
        <w:t xml:space="preserve"> XXXXXXXXXXX, AR20120009654 (PD201100790)</w:t>
      </w:r>
    </w:p>
    <w:p w:rsidR="00AD365D" w:rsidRDefault="00AD365D" w:rsidP="00AD365D">
      <w:pPr>
        <w:pStyle w:val="Header"/>
        <w:tabs>
          <w:tab w:val="left" w:pos="720"/>
        </w:tabs>
        <w:jc w:val="left"/>
      </w:pPr>
    </w:p>
    <w:p w:rsidR="00AD365D" w:rsidRDefault="00AD365D" w:rsidP="00AD365D">
      <w:pPr>
        <w:jc w:val="left"/>
      </w:pPr>
    </w:p>
    <w:p w:rsidR="00AD365D" w:rsidRDefault="00AD365D" w:rsidP="00AD365D">
      <w:pPr>
        <w:jc w:val="left"/>
      </w:pPr>
      <w:r>
        <w:t>1.  Under the authority of Title 10, United States Code, section 1554(a), I approve the enclosed recommendation of the Department of Defense Physical Disability Board of Review (</w:t>
      </w:r>
      <w:proofErr w:type="spellStart"/>
      <w:r>
        <w:t>DoD</w:t>
      </w:r>
      <w:proofErr w:type="spellEnd"/>
      <w:r>
        <w:t xml:space="preserve"> PDBR) pertaining to the individual named in the subject line above to </w:t>
      </w:r>
      <w:proofErr w:type="spellStart"/>
      <w:r>
        <w:t>recharacterize</w:t>
      </w:r>
      <w:proofErr w:type="spellEnd"/>
      <w:r>
        <w:t xml:space="preserve"> the individual’s separation as a permanent disability retirement with the combined disability rating of 30% effective the date of the individual’s original medical separation for disability with severance pay.  </w:t>
      </w:r>
    </w:p>
    <w:p w:rsidR="00AD365D" w:rsidRDefault="00AD365D" w:rsidP="00AD365D">
      <w:pPr>
        <w:jc w:val="left"/>
      </w:pPr>
    </w:p>
    <w:p w:rsidR="00AD365D" w:rsidRDefault="00AD365D" w:rsidP="00AD365D">
      <w:pPr>
        <w:jc w:val="left"/>
      </w:pPr>
      <w:r>
        <w:t>2.  I direct that all the Department of the Army records of the individual concerned be corrected accordingly no later than 120 days from the date of this memorandum:</w:t>
      </w:r>
    </w:p>
    <w:p w:rsidR="00AD365D" w:rsidRDefault="00AD365D" w:rsidP="00AD365D">
      <w:pPr>
        <w:jc w:val="left"/>
      </w:pPr>
    </w:p>
    <w:p w:rsidR="00AD365D" w:rsidRDefault="00AD365D" w:rsidP="00AD365D">
      <w:pPr>
        <w:jc w:val="left"/>
      </w:pPr>
      <w:r>
        <w:tab/>
        <w:t>a.  Providing a correction to the individual’s separation document showing that the individual was separated by reason of permanent disability retirement effective the date of the original medical separation for disability with severance pay.</w:t>
      </w:r>
    </w:p>
    <w:p w:rsidR="00AD365D" w:rsidRDefault="00AD365D" w:rsidP="00AD365D">
      <w:pPr>
        <w:jc w:val="left"/>
      </w:pPr>
    </w:p>
    <w:p w:rsidR="00AD365D" w:rsidRDefault="00AD365D" w:rsidP="00AD365D">
      <w:pPr>
        <w:jc w:val="left"/>
      </w:pPr>
      <w:r>
        <w:tab/>
      </w:r>
      <w:proofErr w:type="gramStart"/>
      <w:r>
        <w:t>b.  Providing</w:t>
      </w:r>
      <w:proofErr w:type="gramEnd"/>
      <w:r>
        <w:t xml:space="preserve"> orders showing that the individual was retired with permanent disability effective the date of the original medical separation for disability with severance pay.</w:t>
      </w:r>
    </w:p>
    <w:p w:rsidR="00AD365D" w:rsidRDefault="00AD365D" w:rsidP="00AD365D">
      <w:pPr>
        <w:jc w:val="left"/>
      </w:pPr>
    </w:p>
    <w:p w:rsidR="00AD365D" w:rsidRDefault="00AD365D" w:rsidP="00AD365D">
      <w:pPr>
        <w:jc w:val="left"/>
      </w:pPr>
      <w:r>
        <w:tab/>
      </w:r>
      <w:proofErr w:type="gramStart"/>
      <w:r>
        <w:t>c.  Adjusting</w:t>
      </w:r>
      <w:proofErr w:type="gramEnd"/>
      <w:r>
        <w:t xml:space="preserve"> pay and allowances accordingly.  Pay and allowance adjustment will account for recoupment of severance pay, and payment of permanent retired pay at 30% effective the date of the original medical separation for disability with severance pay.</w:t>
      </w:r>
    </w:p>
    <w:p w:rsidR="00AD365D" w:rsidRDefault="00AD365D" w:rsidP="00AD365D">
      <w:pPr>
        <w:jc w:val="left"/>
      </w:pPr>
    </w:p>
    <w:p w:rsidR="00AD365D" w:rsidRDefault="00AD365D" w:rsidP="00AD365D">
      <w:pPr>
        <w:jc w:val="left"/>
      </w:pPr>
      <w:r>
        <w:tab/>
      </w:r>
      <w:proofErr w:type="gramStart"/>
      <w:r>
        <w:t>d.  Affording</w:t>
      </w:r>
      <w:proofErr w:type="gramEnd"/>
      <w:r>
        <w:t xml:space="preserve"> the individual the opportunity to elect Survivor Benefit Plan (SBP) and medical TRICARE retiree options.</w:t>
      </w:r>
    </w:p>
    <w:p w:rsidR="00AD365D" w:rsidRDefault="00AD365D" w:rsidP="00AD365D">
      <w:pPr>
        <w:jc w:val="left"/>
      </w:pPr>
    </w:p>
    <w:p w:rsidR="00AD365D" w:rsidRDefault="00AD365D" w:rsidP="00AD365D">
      <w:pPr>
        <w:jc w:val="left"/>
      </w:pPr>
    </w:p>
    <w:p w:rsidR="00AD365D" w:rsidRDefault="00AD365D" w:rsidP="00AD365D">
      <w:pPr>
        <w:jc w:val="left"/>
      </w:pPr>
    </w:p>
    <w:p w:rsidR="00AD365D" w:rsidRDefault="00AD365D" w:rsidP="00AD365D">
      <w:pPr>
        <w:jc w:val="left"/>
      </w:pPr>
      <w: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AD365D" w:rsidRDefault="00AD365D" w:rsidP="00AD365D">
      <w:pPr>
        <w:jc w:val="left"/>
      </w:pPr>
    </w:p>
    <w:p w:rsidR="00AD365D" w:rsidRDefault="00AD365D" w:rsidP="00AD365D">
      <w:pPr>
        <w:jc w:val="left"/>
      </w:pPr>
      <w:r>
        <w:t>BY ORDER OF THE SECRETARY OF THE ARMY:</w:t>
      </w:r>
    </w:p>
    <w:p w:rsidR="00AD365D" w:rsidRDefault="00AD365D" w:rsidP="00AD365D">
      <w:pPr>
        <w:jc w:val="left"/>
      </w:pPr>
    </w:p>
    <w:p w:rsidR="00AD365D" w:rsidRDefault="00AD365D" w:rsidP="00AD365D">
      <w:pPr>
        <w:jc w:val="left"/>
      </w:pPr>
    </w:p>
    <w:p w:rsidR="00AD365D" w:rsidRDefault="00AD365D" w:rsidP="00AD365D">
      <w:pPr>
        <w:pStyle w:val="Header"/>
        <w:tabs>
          <w:tab w:val="left" w:pos="720"/>
        </w:tabs>
        <w:jc w:val="left"/>
      </w:pPr>
    </w:p>
    <w:p w:rsidR="00AD365D" w:rsidRDefault="00AD365D" w:rsidP="00AD365D">
      <w:pPr>
        <w:jc w:val="left"/>
      </w:pPr>
    </w:p>
    <w:p w:rsidR="00AD365D" w:rsidRDefault="00AD365D" w:rsidP="00AD365D">
      <w:pPr>
        <w:jc w:val="left"/>
      </w:pPr>
      <w:bookmarkStart w:id="0" w:name="OLE_LINK4"/>
      <w:bookmarkStart w:id="1" w:name="OLE_LINK3"/>
      <w:r>
        <w:t>Encl</w:t>
      </w:r>
      <w:r>
        <w:tab/>
      </w:r>
      <w:r>
        <w:tab/>
      </w:r>
      <w:r>
        <w:tab/>
      </w:r>
      <w:r>
        <w:tab/>
      </w:r>
      <w:r>
        <w:tab/>
      </w:r>
      <w:r>
        <w:tab/>
        <w:t xml:space="preserve">     XXXXXXXXXXXXX</w:t>
      </w:r>
    </w:p>
    <w:p w:rsidR="00AD365D" w:rsidRDefault="00AD365D" w:rsidP="00AD365D">
      <w:pPr>
        <w:jc w:val="left"/>
      </w:pPr>
      <w:r>
        <w:tab/>
      </w:r>
      <w:r>
        <w:tab/>
      </w:r>
      <w:r>
        <w:tab/>
      </w:r>
      <w:r>
        <w:tab/>
      </w:r>
      <w:r>
        <w:tab/>
      </w:r>
      <w:r>
        <w:tab/>
        <w:t xml:space="preserve">     Deputy Assistant Secretary</w:t>
      </w:r>
    </w:p>
    <w:p w:rsidR="00AD365D" w:rsidRDefault="00AD365D" w:rsidP="00AD365D">
      <w:pPr>
        <w:jc w:val="left"/>
      </w:pPr>
      <w:r>
        <w:tab/>
      </w:r>
      <w:r>
        <w:tab/>
      </w:r>
      <w:r>
        <w:tab/>
      </w:r>
      <w:r>
        <w:tab/>
      </w:r>
      <w:r>
        <w:tab/>
      </w:r>
      <w:r>
        <w:tab/>
        <w:t xml:space="preserve">         (Army Review Boards)</w:t>
      </w:r>
      <w:bookmarkEnd w:id="0"/>
      <w:bookmarkEnd w:id="1"/>
    </w:p>
    <w:p w:rsidR="00AD365D" w:rsidRDefault="00AD365D" w:rsidP="00AD365D">
      <w:pPr>
        <w:jc w:val="left"/>
      </w:pPr>
    </w:p>
    <w:p w:rsidR="00AD365D" w:rsidRDefault="00AD365D" w:rsidP="00AD365D">
      <w:pPr>
        <w:jc w:val="left"/>
      </w:pPr>
      <w:r>
        <w:t xml:space="preserve">CF: </w:t>
      </w:r>
    </w:p>
    <w:p w:rsidR="00AD365D" w:rsidRDefault="00AD365D" w:rsidP="00AD365D">
      <w:pPr>
        <w:jc w:val="left"/>
      </w:pPr>
      <w:r>
        <w:t xml:space="preserve">(  ) </w:t>
      </w:r>
      <w:proofErr w:type="spellStart"/>
      <w:proofErr w:type="gramStart"/>
      <w:r>
        <w:t>DoD</w:t>
      </w:r>
      <w:proofErr w:type="spellEnd"/>
      <w:proofErr w:type="gramEnd"/>
      <w:r>
        <w:t xml:space="preserve"> PDBR</w:t>
      </w:r>
    </w:p>
    <w:p w:rsidR="00AD365D" w:rsidRDefault="00AD365D" w:rsidP="00AD365D">
      <w:pPr>
        <w:jc w:val="left"/>
      </w:pPr>
      <w:r>
        <w:t>(  ) DVA</w:t>
      </w:r>
    </w:p>
    <w:sectPr w:rsidR="00AD365D"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292" w:rsidRDefault="001C3292">
      <w:r>
        <w:separator/>
      </w:r>
    </w:p>
  </w:endnote>
  <w:endnote w:type="continuationSeparator" w:id="0">
    <w:p w:rsidR="001C3292" w:rsidRDefault="001C32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B36D39" w:rsidRPr="00374247" w:rsidRDefault="00B36D39" w:rsidP="00374247">
        <w:pPr>
          <w:pStyle w:val="Footer"/>
          <w:ind w:firstLine="4320"/>
          <w:rPr>
            <w:color w:val="auto"/>
            <w:szCs w:val="24"/>
          </w:rPr>
        </w:pPr>
        <w:r w:rsidRPr="00374247">
          <w:rPr>
            <w:color w:val="auto"/>
            <w:szCs w:val="24"/>
          </w:rPr>
          <w:t xml:space="preserve">   </w:t>
        </w:r>
        <w:r w:rsidR="00331F8C" w:rsidRPr="00374247">
          <w:rPr>
            <w:color w:val="auto"/>
            <w:szCs w:val="24"/>
          </w:rPr>
          <w:fldChar w:fldCharType="begin"/>
        </w:r>
        <w:r w:rsidRPr="00374247">
          <w:rPr>
            <w:color w:val="auto"/>
            <w:szCs w:val="24"/>
          </w:rPr>
          <w:instrText xml:space="preserve"> PAGE   \* MERGEFORMAT </w:instrText>
        </w:r>
        <w:r w:rsidR="00331F8C" w:rsidRPr="00374247">
          <w:rPr>
            <w:color w:val="auto"/>
            <w:szCs w:val="24"/>
          </w:rPr>
          <w:fldChar w:fldCharType="separate"/>
        </w:r>
        <w:r w:rsidR="00AD365D" w:rsidRPr="00AD365D">
          <w:rPr>
            <w:noProof/>
            <w:color w:val="auto"/>
          </w:rPr>
          <w:t>6</w:t>
        </w:r>
        <w:r w:rsidR="00331F8C" w:rsidRPr="00374247">
          <w:rPr>
            <w:color w:val="auto"/>
            <w:szCs w:val="24"/>
          </w:rPr>
          <w:fldChar w:fldCharType="end"/>
        </w:r>
        <w:r w:rsidRPr="00374247">
          <w:rPr>
            <w:color w:val="auto"/>
            <w:szCs w:val="24"/>
          </w:rPr>
          <w:t xml:space="preserve">                                                           </w:t>
        </w:r>
        <w:r w:rsidRPr="00DD0873">
          <w:rPr>
            <w:color w:val="auto"/>
            <w:szCs w:val="24"/>
          </w:rPr>
          <w:t>PD1100</w:t>
        </w:r>
        <w:r>
          <w:rPr>
            <w:color w:val="auto"/>
            <w:szCs w:val="24"/>
          </w:rPr>
          <w:t>790</w:t>
        </w:r>
      </w:p>
    </w:sdtContent>
  </w:sdt>
  <w:p w:rsidR="00B36D39" w:rsidRPr="00684CE6" w:rsidRDefault="00B36D39">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292" w:rsidRDefault="001C3292">
      <w:r>
        <w:separator/>
      </w:r>
    </w:p>
  </w:footnote>
  <w:footnote w:type="continuationSeparator" w:id="0">
    <w:p w:rsidR="001C3292" w:rsidRDefault="001C32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4"/>
  <w:printFractionalCharacterWidth/>
  <w:embedTrueTypeFonts/>
  <w:embedSystemFonts/>
  <w:saveSubsetFonts/>
  <w:hideSpellingErrors/>
  <w:hideGrammaticalError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66561"/>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07887"/>
    <w:rsid w:val="00010ABA"/>
    <w:rsid w:val="00010B0F"/>
    <w:rsid w:val="00012428"/>
    <w:rsid w:val="00012733"/>
    <w:rsid w:val="0001277D"/>
    <w:rsid w:val="00013417"/>
    <w:rsid w:val="000145C2"/>
    <w:rsid w:val="0001473F"/>
    <w:rsid w:val="00014A47"/>
    <w:rsid w:val="00014A9E"/>
    <w:rsid w:val="00017778"/>
    <w:rsid w:val="00021361"/>
    <w:rsid w:val="00022CF3"/>
    <w:rsid w:val="00023913"/>
    <w:rsid w:val="00023D43"/>
    <w:rsid w:val="00024002"/>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0BA8"/>
    <w:rsid w:val="00051622"/>
    <w:rsid w:val="00051A11"/>
    <w:rsid w:val="00052234"/>
    <w:rsid w:val="00053D7C"/>
    <w:rsid w:val="000575C5"/>
    <w:rsid w:val="000577C9"/>
    <w:rsid w:val="00060FFD"/>
    <w:rsid w:val="00061D69"/>
    <w:rsid w:val="0006431E"/>
    <w:rsid w:val="000652EA"/>
    <w:rsid w:val="00065E21"/>
    <w:rsid w:val="000673ED"/>
    <w:rsid w:val="00067854"/>
    <w:rsid w:val="00070DED"/>
    <w:rsid w:val="00071385"/>
    <w:rsid w:val="00072433"/>
    <w:rsid w:val="00072B3E"/>
    <w:rsid w:val="0007388C"/>
    <w:rsid w:val="0007488B"/>
    <w:rsid w:val="00075702"/>
    <w:rsid w:val="00075A0C"/>
    <w:rsid w:val="000775C2"/>
    <w:rsid w:val="00077835"/>
    <w:rsid w:val="000806AD"/>
    <w:rsid w:val="00080BDF"/>
    <w:rsid w:val="00080C57"/>
    <w:rsid w:val="00082482"/>
    <w:rsid w:val="00082CA0"/>
    <w:rsid w:val="00083E3C"/>
    <w:rsid w:val="00084CF2"/>
    <w:rsid w:val="00085D7B"/>
    <w:rsid w:val="0008708B"/>
    <w:rsid w:val="00092619"/>
    <w:rsid w:val="00092C66"/>
    <w:rsid w:val="000949DD"/>
    <w:rsid w:val="00094E4F"/>
    <w:rsid w:val="00096F34"/>
    <w:rsid w:val="000A2774"/>
    <w:rsid w:val="000A2BCE"/>
    <w:rsid w:val="000A31E2"/>
    <w:rsid w:val="000A33C8"/>
    <w:rsid w:val="000A41E3"/>
    <w:rsid w:val="000A4BBA"/>
    <w:rsid w:val="000A5071"/>
    <w:rsid w:val="000A7CC0"/>
    <w:rsid w:val="000B0AD2"/>
    <w:rsid w:val="000B1022"/>
    <w:rsid w:val="000B2FB8"/>
    <w:rsid w:val="000B471C"/>
    <w:rsid w:val="000B4C99"/>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667E"/>
    <w:rsid w:val="000D7D55"/>
    <w:rsid w:val="000E0993"/>
    <w:rsid w:val="000E2535"/>
    <w:rsid w:val="000E2E50"/>
    <w:rsid w:val="000E37E0"/>
    <w:rsid w:val="000E3F20"/>
    <w:rsid w:val="000E4C25"/>
    <w:rsid w:val="000E4CBF"/>
    <w:rsid w:val="000E5577"/>
    <w:rsid w:val="000E7034"/>
    <w:rsid w:val="000F02BE"/>
    <w:rsid w:val="000F0928"/>
    <w:rsid w:val="000F0B3D"/>
    <w:rsid w:val="000F1E65"/>
    <w:rsid w:val="000F427B"/>
    <w:rsid w:val="000F43D0"/>
    <w:rsid w:val="000F4F18"/>
    <w:rsid w:val="000F688E"/>
    <w:rsid w:val="000F7181"/>
    <w:rsid w:val="000F7581"/>
    <w:rsid w:val="001007CE"/>
    <w:rsid w:val="001008C1"/>
    <w:rsid w:val="001023DB"/>
    <w:rsid w:val="00102B8D"/>
    <w:rsid w:val="001031F4"/>
    <w:rsid w:val="0010323A"/>
    <w:rsid w:val="00103948"/>
    <w:rsid w:val="00103CCF"/>
    <w:rsid w:val="0010417F"/>
    <w:rsid w:val="001042D2"/>
    <w:rsid w:val="0010530E"/>
    <w:rsid w:val="00105C07"/>
    <w:rsid w:val="00106920"/>
    <w:rsid w:val="00106AD8"/>
    <w:rsid w:val="001078DB"/>
    <w:rsid w:val="001079FA"/>
    <w:rsid w:val="00107EC5"/>
    <w:rsid w:val="001103CD"/>
    <w:rsid w:val="00113D2A"/>
    <w:rsid w:val="00114F20"/>
    <w:rsid w:val="00115725"/>
    <w:rsid w:val="0011590B"/>
    <w:rsid w:val="001211AF"/>
    <w:rsid w:val="001215DF"/>
    <w:rsid w:val="001219DF"/>
    <w:rsid w:val="0012220B"/>
    <w:rsid w:val="00122ABE"/>
    <w:rsid w:val="001231DC"/>
    <w:rsid w:val="0012453A"/>
    <w:rsid w:val="0012489B"/>
    <w:rsid w:val="0012654D"/>
    <w:rsid w:val="001272AE"/>
    <w:rsid w:val="00130756"/>
    <w:rsid w:val="001314FB"/>
    <w:rsid w:val="001315DD"/>
    <w:rsid w:val="0013525F"/>
    <w:rsid w:val="00135385"/>
    <w:rsid w:val="00136204"/>
    <w:rsid w:val="001364D1"/>
    <w:rsid w:val="001374C7"/>
    <w:rsid w:val="00140FA4"/>
    <w:rsid w:val="00141BC9"/>
    <w:rsid w:val="001421FD"/>
    <w:rsid w:val="001425C8"/>
    <w:rsid w:val="00142EBA"/>
    <w:rsid w:val="00143B79"/>
    <w:rsid w:val="00145965"/>
    <w:rsid w:val="00150B8A"/>
    <w:rsid w:val="00150DCB"/>
    <w:rsid w:val="00151912"/>
    <w:rsid w:val="00153740"/>
    <w:rsid w:val="001537D8"/>
    <w:rsid w:val="00153D88"/>
    <w:rsid w:val="001541C5"/>
    <w:rsid w:val="0015623F"/>
    <w:rsid w:val="00156585"/>
    <w:rsid w:val="00156BA9"/>
    <w:rsid w:val="00161642"/>
    <w:rsid w:val="00161761"/>
    <w:rsid w:val="00166182"/>
    <w:rsid w:val="001665A7"/>
    <w:rsid w:val="0017038B"/>
    <w:rsid w:val="00170C94"/>
    <w:rsid w:val="0017139A"/>
    <w:rsid w:val="001724C8"/>
    <w:rsid w:val="001732C4"/>
    <w:rsid w:val="001745DD"/>
    <w:rsid w:val="00174FDE"/>
    <w:rsid w:val="00174FE3"/>
    <w:rsid w:val="00176D63"/>
    <w:rsid w:val="00177659"/>
    <w:rsid w:val="001779E5"/>
    <w:rsid w:val="00180078"/>
    <w:rsid w:val="00180826"/>
    <w:rsid w:val="00181240"/>
    <w:rsid w:val="0018204C"/>
    <w:rsid w:val="00182A4C"/>
    <w:rsid w:val="00183F77"/>
    <w:rsid w:val="00183FB3"/>
    <w:rsid w:val="001844D8"/>
    <w:rsid w:val="00185DA8"/>
    <w:rsid w:val="00185ECB"/>
    <w:rsid w:val="001865E0"/>
    <w:rsid w:val="001870F0"/>
    <w:rsid w:val="00190E48"/>
    <w:rsid w:val="0019114B"/>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20E6"/>
    <w:rsid w:val="001B2E75"/>
    <w:rsid w:val="001B4C0B"/>
    <w:rsid w:val="001B4D12"/>
    <w:rsid w:val="001B4EC2"/>
    <w:rsid w:val="001B5AE9"/>
    <w:rsid w:val="001B5B59"/>
    <w:rsid w:val="001B60E0"/>
    <w:rsid w:val="001B755A"/>
    <w:rsid w:val="001B7C8C"/>
    <w:rsid w:val="001C051D"/>
    <w:rsid w:val="001C0688"/>
    <w:rsid w:val="001C181A"/>
    <w:rsid w:val="001C1877"/>
    <w:rsid w:val="001C2053"/>
    <w:rsid w:val="001C252F"/>
    <w:rsid w:val="001C28D1"/>
    <w:rsid w:val="001C3292"/>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635C"/>
    <w:rsid w:val="001F0297"/>
    <w:rsid w:val="001F29F9"/>
    <w:rsid w:val="001F4C43"/>
    <w:rsid w:val="001F6E0B"/>
    <w:rsid w:val="00200AA0"/>
    <w:rsid w:val="00202325"/>
    <w:rsid w:val="00202736"/>
    <w:rsid w:val="00203652"/>
    <w:rsid w:val="00204562"/>
    <w:rsid w:val="00205B4F"/>
    <w:rsid w:val="002060B6"/>
    <w:rsid w:val="002066B5"/>
    <w:rsid w:val="00210EAC"/>
    <w:rsid w:val="00211237"/>
    <w:rsid w:val="00211612"/>
    <w:rsid w:val="002119B6"/>
    <w:rsid w:val="00212389"/>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1E41"/>
    <w:rsid w:val="00232C9B"/>
    <w:rsid w:val="00232E73"/>
    <w:rsid w:val="00232F09"/>
    <w:rsid w:val="002335D5"/>
    <w:rsid w:val="002338CA"/>
    <w:rsid w:val="00233FE5"/>
    <w:rsid w:val="00234B3B"/>
    <w:rsid w:val="00234D98"/>
    <w:rsid w:val="00235AD0"/>
    <w:rsid w:val="00236018"/>
    <w:rsid w:val="002374C9"/>
    <w:rsid w:val="0024162D"/>
    <w:rsid w:val="0024174E"/>
    <w:rsid w:val="00242238"/>
    <w:rsid w:val="0024227D"/>
    <w:rsid w:val="00242D14"/>
    <w:rsid w:val="002432F4"/>
    <w:rsid w:val="00246860"/>
    <w:rsid w:val="002468D9"/>
    <w:rsid w:val="00246995"/>
    <w:rsid w:val="00246DFF"/>
    <w:rsid w:val="00246E89"/>
    <w:rsid w:val="0025183C"/>
    <w:rsid w:val="00252351"/>
    <w:rsid w:val="002528EC"/>
    <w:rsid w:val="00253EAA"/>
    <w:rsid w:val="00255049"/>
    <w:rsid w:val="00257538"/>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6319"/>
    <w:rsid w:val="00287006"/>
    <w:rsid w:val="0029030A"/>
    <w:rsid w:val="00292397"/>
    <w:rsid w:val="00292AB2"/>
    <w:rsid w:val="00292B82"/>
    <w:rsid w:val="00293DB6"/>
    <w:rsid w:val="00293FE8"/>
    <w:rsid w:val="00294437"/>
    <w:rsid w:val="00295D13"/>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62E"/>
    <w:rsid w:val="002B0749"/>
    <w:rsid w:val="002B2645"/>
    <w:rsid w:val="002B303A"/>
    <w:rsid w:val="002B32E9"/>
    <w:rsid w:val="002B4E22"/>
    <w:rsid w:val="002B6FA0"/>
    <w:rsid w:val="002B7710"/>
    <w:rsid w:val="002B7BDB"/>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D6A"/>
    <w:rsid w:val="002F0E28"/>
    <w:rsid w:val="002F195B"/>
    <w:rsid w:val="002F287E"/>
    <w:rsid w:val="002F2981"/>
    <w:rsid w:val="002F2D63"/>
    <w:rsid w:val="002F6AD8"/>
    <w:rsid w:val="002F7F81"/>
    <w:rsid w:val="00300A36"/>
    <w:rsid w:val="00301B45"/>
    <w:rsid w:val="003051A9"/>
    <w:rsid w:val="00305856"/>
    <w:rsid w:val="00305867"/>
    <w:rsid w:val="00306094"/>
    <w:rsid w:val="0030678B"/>
    <w:rsid w:val="00306D16"/>
    <w:rsid w:val="00307595"/>
    <w:rsid w:val="00307DA6"/>
    <w:rsid w:val="00310CD7"/>
    <w:rsid w:val="00313C3A"/>
    <w:rsid w:val="00313D7A"/>
    <w:rsid w:val="003155FB"/>
    <w:rsid w:val="003164B7"/>
    <w:rsid w:val="0032136A"/>
    <w:rsid w:val="003224D8"/>
    <w:rsid w:val="00323A90"/>
    <w:rsid w:val="00323E70"/>
    <w:rsid w:val="003258A7"/>
    <w:rsid w:val="00325BA2"/>
    <w:rsid w:val="003262BD"/>
    <w:rsid w:val="00326798"/>
    <w:rsid w:val="00326B1C"/>
    <w:rsid w:val="00326C08"/>
    <w:rsid w:val="00326F7F"/>
    <w:rsid w:val="00327616"/>
    <w:rsid w:val="00330311"/>
    <w:rsid w:val="00330D55"/>
    <w:rsid w:val="00331F8C"/>
    <w:rsid w:val="003320E8"/>
    <w:rsid w:val="0033238E"/>
    <w:rsid w:val="003328FD"/>
    <w:rsid w:val="00332DE3"/>
    <w:rsid w:val="0033334F"/>
    <w:rsid w:val="0033414F"/>
    <w:rsid w:val="00334514"/>
    <w:rsid w:val="0033555E"/>
    <w:rsid w:val="0033601F"/>
    <w:rsid w:val="00336021"/>
    <w:rsid w:val="00336805"/>
    <w:rsid w:val="00337351"/>
    <w:rsid w:val="00341A54"/>
    <w:rsid w:val="00344A4F"/>
    <w:rsid w:val="00344D17"/>
    <w:rsid w:val="0034669F"/>
    <w:rsid w:val="00346FF9"/>
    <w:rsid w:val="003470C4"/>
    <w:rsid w:val="00351498"/>
    <w:rsid w:val="00352B22"/>
    <w:rsid w:val="00352CBF"/>
    <w:rsid w:val="00354547"/>
    <w:rsid w:val="003549F5"/>
    <w:rsid w:val="00355ACB"/>
    <w:rsid w:val="003567DE"/>
    <w:rsid w:val="003574F3"/>
    <w:rsid w:val="00357831"/>
    <w:rsid w:val="003604A5"/>
    <w:rsid w:val="0036114B"/>
    <w:rsid w:val="003618B6"/>
    <w:rsid w:val="0036199A"/>
    <w:rsid w:val="003620C8"/>
    <w:rsid w:val="0036319E"/>
    <w:rsid w:val="003632A4"/>
    <w:rsid w:val="00363362"/>
    <w:rsid w:val="0036392A"/>
    <w:rsid w:val="00364CAB"/>
    <w:rsid w:val="00365767"/>
    <w:rsid w:val="003659C0"/>
    <w:rsid w:val="003660DF"/>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FD4"/>
    <w:rsid w:val="00381E16"/>
    <w:rsid w:val="003821E1"/>
    <w:rsid w:val="003840F6"/>
    <w:rsid w:val="00384866"/>
    <w:rsid w:val="003851BA"/>
    <w:rsid w:val="003857D4"/>
    <w:rsid w:val="00385D6F"/>
    <w:rsid w:val="00386D43"/>
    <w:rsid w:val="00387095"/>
    <w:rsid w:val="00387E95"/>
    <w:rsid w:val="00390092"/>
    <w:rsid w:val="00390CFA"/>
    <w:rsid w:val="00391858"/>
    <w:rsid w:val="00393651"/>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6AB"/>
    <w:rsid w:val="003A7FF8"/>
    <w:rsid w:val="003B17AC"/>
    <w:rsid w:val="003B2143"/>
    <w:rsid w:val="003B227A"/>
    <w:rsid w:val="003B3A77"/>
    <w:rsid w:val="003B4319"/>
    <w:rsid w:val="003B5736"/>
    <w:rsid w:val="003B5854"/>
    <w:rsid w:val="003B6764"/>
    <w:rsid w:val="003B7A8B"/>
    <w:rsid w:val="003C247E"/>
    <w:rsid w:val="003C294B"/>
    <w:rsid w:val="003C5046"/>
    <w:rsid w:val="003C5B54"/>
    <w:rsid w:val="003C6068"/>
    <w:rsid w:val="003C7AEC"/>
    <w:rsid w:val="003D2BA3"/>
    <w:rsid w:val="003D316B"/>
    <w:rsid w:val="003D3C22"/>
    <w:rsid w:val="003D56A0"/>
    <w:rsid w:val="003D609F"/>
    <w:rsid w:val="003D69F5"/>
    <w:rsid w:val="003D7089"/>
    <w:rsid w:val="003D7DDB"/>
    <w:rsid w:val="003E024F"/>
    <w:rsid w:val="003E02C7"/>
    <w:rsid w:val="003E02FE"/>
    <w:rsid w:val="003E0543"/>
    <w:rsid w:val="003E061D"/>
    <w:rsid w:val="003E0B5A"/>
    <w:rsid w:val="003E1682"/>
    <w:rsid w:val="003E31E3"/>
    <w:rsid w:val="003E3E93"/>
    <w:rsid w:val="003E46D1"/>
    <w:rsid w:val="003E6214"/>
    <w:rsid w:val="003F070E"/>
    <w:rsid w:val="003F1206"/>
    <w:rsid w:val="003F2418"/>
    <w:rsid w:val="003F28DB"/>
    <w:rsid w:val="003F2EEE"/>
    <w:rsid w:val="003F44FC"/>
    <w:rsid w:val="003F58B0"/>
    <w:rsid w:val="003F776F"/>
    <w:rsid w:val="004002CB"/>
    <w:rsid w:val="004007E9"/>
    <w:rsid w:val="00400810"/>
    <w:rsid w:val="00401825"/>
    <w:rsid w:val="00401BBC"/>
    <w:rsid w:val="0040215E"/>
    <w:rsid w:val="004026FC"/>
    <w:rsid w:val="004027FB"/>
    <w:rsid w:val="0040351A"/>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860"/>
    <w:rsid w:val="00434BBD"/>
    <w:rsid w:val="0043503A"/>
    <w:rsid w:val="00437B8A"/>
    <w:rsid w:val="00437D18"/>
    <w:rsid w:val="00437D77"/>
    <w:rsid w:val="00441D9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5348"/>
    <w:rsid w:val="0045645D"/>
    <w:rsid w:val="0045707D"/>
    <w:rsid w:val="0045743F"/>
    <w:rsid w:val="004574C6"/>
    <w:rsid w:val="00457743"/>
    <w:rsid w:val="00457BCF"/>
    <w:rsid w:val="00457DCE"/>
    <w:rsid w:val="00460E3F"/>
    <w:rsid w:val="0046111A"/>
    <w:rsid w:val="00462F68"/>
    <w:rsid w:val="0046369B"/>
    <w:rsid w:val="004640E9"/>
    <w:rsid w:val="004647EB"/>
    <w:rsid w:val="00466CED"/>
    <w:rsid w:val="00466EB5"/>
    <w:rsid w:val="00467592"/>
    <w:rsid w:val="00467690"/>
    <w:rsid w:val="00467A14"/>
    <w:rsid w:val="00470342"/>
    <w:rsid w:val="004718E7"/>
    <w:rsid w:val="00472289"/>
    <w:rsid w:val="00472535"/>
    <w:rsid w:val="0047568B"/>
    <w:rsid w:val="004761CC"/>
    <w:rsid w:val="004766C9"/>
    <w:rsid w:val="00480D4A"/>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24D2"/>
    <w:rsid w:val="004A3214"/>
    <w:rsid w:val="004A4136"/>
    <w:rsid w:val="004A417B"/>
    <w:rsid w:val="004A4378"/>
    <w:rsid w:val="004A712D"/>
    <w:rsid w:val="004A7C03"/>
    <w:rsid w:val="004B03F3"/>
    <w:rsid w:val="004B0CC9"/>
    <w:rsid w:val="004B2536"/>
    <w:rsid w:val="004B46D7"/>
    <w:rsid w:val="004B6AF3"/>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6DE3"/>
    <w:rsid w:val="004D10D4"/>
    <w:rsid w:val="004D16BD"/>
    <w:rsid w:val="004D2AAB"/>
    <w:rsid w:val="004D3C7F"/>
    <w:rsid w:val="004D42CB"/>
    <w:rsid w:val="004D56F3"/>
    <w:rsid w:val="004D6E90"/>
    <w:rsid w:val="004D6F2B"/>
    <w:rsid w:val="004E0248"/>
    <w:rsid w:val="004E21A3"/>
    <w:rsid w:val="004E32EA"/>
    <w:rsid w:val="004E3517"/>
    <w:rsid w:val="004E42BB"/>
    <w:rsid w:val="004E6866"/>
    <w:rsid w:val="004E71EF"/>
    <w:rsid w:val="004F0C58"/>
    <w:rsid w:val="004F3222"/>
    <w:rsid w:val="004F3639"/>
    <w:rsid w:val="004F3BFA"/>
    <w:rsid w:val="004F4E3C"/>
    <w:rsid w:val="004F5A1A"/>
    <w:rsid w:val="004F77A3"/>
    <w:rsid w:val="005000AB"/>
    <w:rsid w:val="00500EAF"/>
    <w:rsid w:val="00500F3C"/>
    <w:rsid w:val="005025EE"/>
    <w:rsid w:val="00502C32"/>
    <w:rsid w:val="00503401"/>
    <w:rsid w:val="00503DDF"/>
    <w:rsid w:val="00505524"/>
    <w:rsid w:val="005058D5"/>
    <w:rsid w:val="00506688"/>
    <w:rsid w:val="00506EE9"/>
    <w:rsid w:val="00510588"/>
    <w:rsid w:val="00510F9C"/>
    <w:rsid w:val="0051146C"/>
    <w:rsid w:val="0051220B"/>
    <w:rsid w:val="00512253"/>
    <w:rsid w:val="00512484"/>
    <w:rsid w:val="00514449"/>
    <w:rsid w:val="00515419"/>
    <w:rsid w:val="005157BD"/>
    <w:rsid w:val="005214A3"/>
    <w:rsid w:val="005222E7"/>
    <w:rsid w:val="00523488"/>
    <w:rsid w:val="00523A8B"/>
    <w:rsid w:val="00523E04"/>
    <w:rsid w:val="00525003"/>
    <w:rsid w:val="0052590B"/>
    <w:rsid w:val="0052592B"/>
    <w:rsid w:val="00526591"/>
    <w:rsid w:val="00526676"/>
    <w:rsid w:val="00527178"/>
    <w:rsid w:val="00527618"/>
    <w:rsid w:val="005278CB"/>
    <w:rsid w:val="00530388"/>
    <w:rsid w:val="00530BB3"/>
    <w:rsid w:val="00531DA0"/>
    <w:rsid w:val="00532369"/>
    <w:rsid w:val="00532E9D"/>
    <w:rsid w:val="00533075"/>
    <w:rsid w:val="00534D42"/>
    <w:rsid w:val="005350A5"/>
    <w:rsid w:val="00536379"/>
    <w:rsid w:val="00537238"/>
    <w:rsid w:val="005400C5"/>
    <w:rsid w:val="005404CD"/>
    <w:rsid w:val="00540BE0"/>
    <w:rsid w:val="00540BEF"/>
    <w:rsid w:val="00542B34"/>
    <w:rsid w:val="00542C9A"/>
    <w:rsid w:val="005436C2"/>
    <w:rsid w:val="005442D4"/>
    <w:rsid w:val="005452C5"/>
    <w:rsid w:val="0054586A"/>
    <w:rsid w:val="0054631F"/>
    <w:rsid w:val="00546C24"/>
    <w:rsid w:val="005471BA"/>
    <w:rsid w:val="00547BDA"/>
    <w:rsid w:val="00547BE6"/>
    <w:rsid w:val="0055034F"/>
    <w:rsid w:val="00550476"/>
    <w:rsid w:val="0055288D"/>
    <w:rsid w:val="00555259"/>
    <w:rsid w:val="00555C66"/>
    <w:rsid w:val="005569EF"/>
    <w:rsid w:val="00556BDE"/>
    <w:rsid w:val="00560D57"/>
    <w:rsid w:val="00562A94"/>
    <w:rsid w:val="00563FAD"/>
    <w:rsid w:val="00566905"/>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22A2"/>
    <w:rsid w:val="00583379"/>
    <w:rsid w:val="0058417C"/>
    <w:rsid w:val="005854F9"/>
    <w:rsid w:val="00586EC6"/>
    <w:rsid w:val="00587DDE"/>
    <w:rsid w:val="00593043"/>
    <w:rsid w:val="00595B60"/>
    <w:rsid w:val="00595B63"/>
    <w:rsid w:val="00595BF0"/>
    <w:rsid w:val="00597E16"/>
    <w:rsid w:val="005A0B1D"/>
    <w:rsid w:val="005A1846"/>
    <w:rsid w:val="005A1FFF"/>
    <w:rsid w:val="005A258C"/>
    <w:rsid w:val="005A3560"/>
    <w:rsid w:val="005A3B96"/>
    <w:rsid w:val="005A464E"/>
    <w:rsid w:val="005A62FC"/>
    <w:rsid w:val="005A6C99"/>
    <w:rsid w:val="005A7D5D"/>
    <w:rsid w:val="005B0040"/>
    <w:rsid w:val="005B011A"/>
    <w:rsid w:val="005B0283"/>
    <w:rsid w:val="005B0980"/>
    <w:rsid w:val="005B1ADA"/>
    <w:rsid w:val="005B1D09"/>
    <w:rsid w:val="005B1D8F"/>
    <w:rsid w:val="005B1E94"/>
    <w:rsid w:val="005B5B3D"/>
    <w:rsid w:val="005B5E8F"/>
    <w:rsid w:val="005B64CF"/>
    <w:rsid w:val="005B72DA"/>
    <w:rsid w:val="005C0E87"/>
    <w:rsid w:val="005C1398"/>
    <w:rsid w:val="005C16F3"/>
    <w:rsid w:val="005C3758"/>
    <w:rsid w:val="005C4D72"/>
    <w:rsid w:val="005C50C1"/>
    <w:rsid w:val="005C62C2"/>
    <w:rsid w:val="005D2306"/>
    <w:rsid w:val="005D2562"/>
    <w:rsid w:val="005D2666"/>
    <w:rsid w:val="005D4548"/>
    <w:rsid w:val="005D4A74"/>
    <w:rsid w:val="005D5E91"/>
    <w:rsid w:val="005D67EF"/>
    <w:rsid w:val="005E3064"/>
    <w:rsid w:val="005E54DC"/>
    <w:rsid w:val="005E65DC"/>
    <w:rsid w:val="005E6AEE"/>
    <w:rsid w:val="005E72B2"/>
    <w:rsid w:val="005E79A0"/>
    <w:rsid w:val="005F097E"/>
    <w:rsid w:val="005F1115"/>
    <w:rsid w:val="005F1968"/>
    <w:rsid w:val="005F1AB6"/>
    <w:rsid w:val="005F27F2"/>
    <w:rsid w:val="005F2B27"/>
    <w:rsid w:val="005F3567"/>
    <w:rsid w:val="005F3AFE"/>
    <w:rsid w:val="005F424D"/>
    <w:rsid w:val="005F55F5"/>
    <w:rsid w:val="005F5EC1"/>
    <w:rsid w:val="005F67A9"/>
    <w:rsid w:val="005F6B6D"/>
    <w:rsid w:val="005F73CA"/>
    <w:rsid w:val="006008F8"/>
    <w:rsid w:val="006036C2"/>
    <w:rsid w:val="00605AAB"/>
    <w:rsid w:val="00606BEB"/>
    <w:rsid w:val="0061014A"/>
    <w:rsid w:val="0061054B"/>
    <w:rsid w:val="006110FB"/>
    <w:rsid w:val="00612FB0"/>
    <w:rsid w:val="0061356D"/>
    <w:rsid w:val="00613E26"/>
    <w:rsid w:val="00615641"/>
    <w:rsid w:val="00615A66"/>
    <w:rsid w:val="00616959"/>
    <w:rsid w:val="00620112"/>
    <w:rsid w:val="0062036E"/>
    <w:rsid w:val="006211D0"/>
    <w:rsid w:val="00621595"/>
    <w:rsid w:val="0062359D"/>
    <w:rsid w:val="00623634"/>
    <w:rsid w:val="00624D0C"/>
    <w:rsid w:val="00626A0F"/>
    <w:rsid w:val="006274B4"/>
    <w:rsid w:val="006307BA"/>
    <w:rsid w:val="006315BA"/>
    <w:rsid w:val="00634C4A"/>
    <w:rsid w:val="0063532E"/>
    <w:rsid w:val="0063579F"/>
    <w:rsid w:val="006364ED"/>
    <w:rsid w:val="00637063"/>
    <w:rsid w:val="0063737C"/>
    <w:rsid w:val="00637BDC"/>
    <w:rsid w:val="00640363"/>
    <w:rsid w:val="00640622"/>
    <w:rsid w:val="0064087E"/>
    <w:rsid w:val="006418C9"/>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5E93"/>
    <w:rsid w:val="006560B6"/>
    <w:rsid w:val="0065726D"/>
    <w:rsid w:val="006573F2"/>
    <w:rsid w:val="00657577"/>
    <w:rsid w:val="00661BA2"/>
    <w:rsid w:val="00662AD0"/>
    <w:rsid w:val="00662F08"/>
    <w:rsid w:val="00663589"/>
    <w:rsid w:val="00664427"/>
    <w:rsid w:val="00664840"/>
    <w:rsid w:val="006649CD"/>
    <w:rsid w:val="00665D75"/>
    <w:rsid w:val="006665E7"/>
    <w:rsid w:val="006708E3"/>
    <w:rsid w:val="00670DDC"/>
    <w:rsid w:val="00671389"/>
    <w:rsid w:val="00671EB4"/>
    <w:rsid w:val="00673CDC"/>
    <w:rsid w:val="0067443B"/>
    <w:rsid w:val="006770AA"/>
    <w:rsid w:val="0068098E"/>
    <w:rsid w:val="006810BD"/>
    <w:rsid w:val="00682486"/>
    <w:rsid w:val="006833A7"/>
    <w:rsid w:val="00684CE6"/>
    <w:rsid w:val="00684E2B"/>
    <w:rsid w:val="006857A0"/>
    <w:rsid w:val="00687C7E"/>
    <w:rsid w:val="00687D3D"/>
    <w:rsid w:val="00690569"/>
    <w:rsid w:val="00690FDA"/>
    <w:rsid w:val="00691E61"/>
    <w:rsid w:val="006937C6"/>
    <w:rsid w:val="00693C5E"/>
    <w:rsid w:val="00693CEE"/>
    <w:rsid w:val="00694EEA"/>
    <w:rsid w:val="006955B4"/>
    <w:rsid w:val="00695DEF"/>
    <w:rsid w:val="00696476"/>
    <w:rsid w:val="00696C74"/>
    <w:rsid w:val="00697C9B"/>
    <w:rsid w:val="006A049A"/>
    <w:rsid w:val="006A10FA"/>
    <w:rsid w:val="006A12E0"/>
    <w:rsid w:val="006A1512"/>
    <w:rsid w:val="006A1BFA"/>
    <w:rsid w:val="006A40E6"/>
    <w:rsid w:val="006A516B"/>
    <w:rsid w:val="006A5362"/>
    <w:rsid w:val="006A543A"/>
    <w:rsid w:val="006A5C07"/>
    <w:rsid w:val="006A5DDF"/>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C1D6E"/>
    <w:rsid w:val="006C2EF6"/>
    <w:rsid w:val="006C3A68"/>
    <w:rsid w:val="006C3B08"/>
    <w:rsid w:val="006C6AB1"/>
    <w:rsid w:val="006C6E6B"/>
    <w:rsid w:val="006C73D4"/>
    <w:rsid w:val="006D145F"/>
    <w:rsid w:val="006D2000"/>
    <w:rsid w:val="006D2D39"/>
    <w:rsid w:val="006D2F31"/>
    <w:rsid w:val="006D3B13"/>
    <w:rsid w:val="006D4250"/>
    <w:rsid w:val="006D4E0E"/>
    <w:rsid w:val="006D5861"/>
    <w:rsid w:val="006D5CE2"/>
    <w:rsid w:val="006D6F4A"/>
    <w:rsid w:val="006D7854"/>
    <w:rsid w:val="006E06D1"/>
    <w:rsid w:val="006E122E"/>
    <w:rsid w:val="006E1313"/>
    <w:rsid w:val="006E2DC8"/>
    <w:rsid w:val="006E58CB"/>
    <w:rsid w:val="006E5EB6"/>
    <w:rsid w:val="006E6B68"/>
    <w:rsid w:val="006E7356"/>
    <w:rsid w:val="006E77C8"/>
    <w:rsid w:val="006F0F9C"/>
    <w:rsid w:val="006F149D"/>
    <w:rsid w:val="006F1A46"/>
    <w:rsid w:val="006F45A0"/>
    <w:rsid w:val="006F4F06"/>
    <w:rsid w:val="006F5A4E"/>
    <w:rsid w:val="006F5D37"/>
    <w:rsid w:val="006F6005"/>
    <w:rsid w:val="006F6544"/>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0FC5"/>
    <w:rsid w:val="00711350"/>
    <w:rsid w:val="00711538"/>
    <w:rsid w:val="007116BC"/>
    <w:rsid w:val="00711961"/>
    <w:rsid w:val="00711CA6"/>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72F1"/>
    <w:rsid w:val="00727565"/>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EBB"/>
    <w:rsid w:val="00745B0A"/>
    <w:rsid w:val="00745DBE"/>
    <w:rsid w:val="007468AC"/>
    <w:rsid w:val="00746AE2"/>
    <w:rsid w:val="00750C82"/>
    <w:rsid w:val="00750E3A"/>
    <w:rsid w:val="00752035"/>
    <w:rsid w:val="0075545D"/>
    <w:rsid w:val="0076100C"/>
    <w:rsid w:val="007612A5"/>
    <w:rsid w:val="00763CAE"/>
    <w:rsid w:val="00763F95"/>
    <w:rsid w:val="007651ED"/>
    <w:rsid w:val="00766C87"/>
    <w:rsid w:val="00771043"/>
    <w:rsid w:val="0077272B"/>
    <w:rsid w:val="00773AF7"/>
    <w:rsid w:val="00774FFD"/>
    <w:rsid w:val="00780378"/>
    <w:rsid w:val="0078085E"/>
    <w:rsid w:val="00781377"/>
    <w:rsid w:val="00781BD4"/>
    <w:rsid w:val="00782562"/>
    <w:rsid w:val="007828B4"/>
    <w:rsid w:val="00784832"/>
    <w:rsid w:val="00784EA0"/>
    <w:rsid w:val="00785D77"/>
    <w:rsid w:val="00786111"/>
    <w:rsid w:val="0078752B"/>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08"/>
    <w:rsid w:val="007A28E4"/>
    <w:rsid w:val="007A3290"/>
    <w:rsid w:val="007A3BB3"/>
    <w:rsid w:val="007A3F91"/>
    <w:rsid w:val="007A3F9C"/>
    <w:rsid w:val="007A5AD1"/>
    <w:rsid w:val="007A5B7B"/>
    <w:rsid w:val="007A65A9"/>
    <w:rsid w:val="007A7FD8"/>
    <w:rsid w:val="007B0128"/>
    <w:rsid w:val="007B0635"/>
    <w:rsid w:val="007B0A06"/>
    <w:rsid w:val="007B0B24"/>
    <w:rsid w:val="007B0F8B"/>
    <w:rsid w:val="007B1C83"/>
    <w:rsid w:val="007B39B6"/>
    <w:rsid w:val="007B4181"/>
    <w:rsid w:val="007B5746"/>
    <w:rsid w:val="007B5C5C"/>
    <w:rsid w:val="007B6CE0"/>
    <w:rsid w:val="007B7B37"/>
    <w:rsid w:val="007B7C41"/>
    <w:rsid w:val="007C05C5"/>
    <w:rsid w:val="007C0715"/>
    <w:rsid w:val="007C0B04"/>
    <w:rsid w:val="007C11E9"/>
    <w:rsid w:val="007C238B"/>
    <w:rsid w:val="007C2802"/>
    <w:rsid w:val="007C3E5A"/>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3994"/>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6B7"/>
    <w:rsid w:val="008078D8"/>
    <w:rsid w:val="0080798E"/>
    <w:rsid w:val="00811BD9"/>
    <w:rsid w:val="00811D5B"/>
    <w:rsid w:val="00813C51"/>
    <w:rsid w:val="00813DAE"/>
    <w:rsid w:val="00816CCB"/>
    <w:rsid w:val="00817572"/>
    <w:rsid w:val="00817713"/>
    <w:rsid w:val="008208C3"/>
    <w:rsid w:val="008220F1"/>
    <w:rsid w:val="0082340B"/>
    <w:rsid w:val="00823D6A"/>
    <w:rsid w:val="00827B29"/>
    <w:rsid w:val="00827DB6"/>
    <w:rsid w:val="008304B2"/>
    <w:rsid w:val="00830999"/>
    <w:rsid w:val="00830D5E"/>
    <w:rsid w:val="00830F69"/>
    <w:rsid w:val="00831940"/>
    <w:rsid w:val="0083238C"/>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2BAA"/>
    <w:rsid w:val="00842D8F"/>
    <w:rsid w:val="0084374E"/>
    <w:rsid w:val="00844842"/>
    <w:rsid w:val="0084493E"/>
    <w:rsid w:val="00844A53"/>
    <w:rsid w:val="00844B99"/>
    <w:rsid w:val="00844DD0"/>
    <w:rsid w:val="008455C8"/>
    <w:rsid w:val="008455F6"/>
    <w:rsid w:val="00846407"/>
    <w:rsid w:val="0085006A"/>
    <w:rsid w:val="00850127"/>
    <w:rsid w:val="0085089F"/>
    <w:rsid w:val="0085206E"/>
    <w:rsid w:val="00852273"/>
    <w:rsid w:val="0085293D"/>
    <w:rsid w:val="00852AD4"/>
    <w:rsid w:val="00852BA8"/>
    <w:rsid w:val="00852BF0"/>
    <w:rsid w:val="00853718"/>
    <w:rsid w:val="008541EF"/>
    <w:rsid w:val="00856428"/>
    <w:rsid w:val="00856AC7"/>
    <w:rsid w:val="00856FA4"/>
    <w:rsid w:val="00860869"/>
    <w:rsid w:val="00860E60"/>
    <w:rsid w:val="0086102A"/>
    <w:rsid w:val="0086162B"/>
    <w:rsid w:val="00861710"/>
    <w:rsid w:val="00861D5C"/>
    <w:rsid w:val="00861E7C"/>
    <w:rsid w:val="0086429C"/>
    <w:rsid w:val="00865207"/>
    <w:rsid w:val="008656A7"/>
    <w:rsid w:val="00865FA3"/>
    <w:rsid w:val="00866231"/>
    <w:rsid w:val="00871262"/>
    <w:rsid w:val="0087170E"/>
    <w:rsid w:val="00871D4E"/>
    <w:rsid w:val="00871E7B"/>
    <w:rsid w:val="008721BB"/>
    <w:rsid w:val="00874275"/>
    <w:rsid w:val="0087566D"/>
    <w:rsid w:val="00875B50"/>
    <w:rsid w:val="00875B51"/>
    <w:rsid w:val="00875F2D"/>
    <w:rsid w:val="008762E7"/>
    <w:rsid w:val="008764DC"/>
    <w:rsid w:val="00882CC2"/>
    <w:rsid w:val="00883103"/>
    <w:rsid w:val="0088325A"/>
    <w:rsid w:val="00883930"/>
    <w:rsid w:val="00884535"/>
    <w:rsid w:val="008864A7"/>
    <w:rsid w:val="008902BE"/>
    <w:rsid w:val="0089038F"/>
    <w:rsid w:val="00890CDA"/>
    <w:rsid w:val="00891BBA"/>
    <w:rsid w:val="00892079"/>
    <w:rsid w:val="00892B90"/>
    <w:rsid w:val="00896535"/>
    <w:rsid w:val="00896683"/>
    <w:rsid w:val="00896E71"/>
    <w:rsid w:val="0089750B"/>
    <w:rsid w:val="00897589"/>
    <w:rsid w:val="008A0C99"/>
    <w:rsid w:val="008A0D4F"/>
    <w:rsid w:val="008A13E8"/>
    <w:rsid w:val="008A1CC3"/>
    <w:rsid w:val="008A39D7"/>
    <w:rsid w:val="008A42B6"/>
    <w:rsid w:val="008A55DE"/>
    <w:rsid w:val="008A5705"/>
    <w:rsid w:val="008A5C34"/>
    <w:rsid w:val="008A63A9"/>
    <w:rsid w:val="008A7073"/>
    <w:rsid w:val="008A79F0"/>
    <w:rsid w:val="008A7E27"/>
    <w:rsid w:val="008A7F7E"/>
    <w:rsid w:val="008B04DB"/>
    <w:rsid w:val="008B09B4"/>
    <w:rsid w:val="008B1B11"/>
    <w:rsid w:val="008B1DF4"/>
    <w:rsid w:val="008B27FD"/>
    <w:rsid w:val="008B2FDB"/>
    <w:rsid w:val="008B3AF2"/>
    <w:rsid w:val="008B446D"/>
    <w:rsid w:val="008B515D"/>
    <w:rsid w:val="008B5D31"/>
    <w:rsid w:val="008B6705"/>
    <w:rsid w:val="008B6B2D"/>
    <w:rsid w:val="008C13FA"/>
    <w:rsid w:val="008C22F3"/>
    <w:rsid w:val="008C3223"/>
    <w:rsid w:val="008C3FD0"/>
    <w:rsid w:val="008C4F01"/>
    <w:rsid w:val="008C5152"/>
    <w:rsid w:val="008C710E"/>
    <w:rsid w:val="008D10B1"/>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55E1"/>
    <w:rsid w:val="008E744D"/>
    <w:rsid w:val="008F1E08"/>
    <w:rsid w:val="008F30F4"/>
    <w:rsid w:val="008F58E1"/>
    <w:rsid w:val="008F6E05"/>
    <w:rsid w:val="008F6FC8"/>
    <w:rsid w:val="008F70AE"/>
    <w:rsid w:val="0090045D"/>
    <w:rsid w:val="00900906"/>
    <w:rsid w:val="00900D8F"/>
    <w:rsid w:val="00901229"/>
    <w:rsid w:val="009014E3"/>
    <w:rsid w:val="009020ED"/>
    <w:rsid w:val="009026E8"/>
    <w:rsid w:val="00902FDD"/>
    <w:rsid w:val="00905EEF"/>
    <w:rsid w:val="00906EB7"/>
    <w:rsid w:val="00907FE6"/>
    <w:rsid w:val="009102BF"/>
    <w:rsid w:val="00911490"/>
    <w:rsid w:val="009115F2"/>
    <w:rsid w:val="00911B11"/>
    <w:rsid w:val="00914ADB"/>
    <w:rsid w:val="00917182"/>
    <w:rsid w:val="00920251"/>
    <w:rsid w:val="00921CFD"/>
    <w:rsid w:val="00923B25"/>
    <w:rsid w:val="0092402E"/>
    <w:rsid w:val="009259BA"/>
    <w:rsid w:val="00926FCB"/>
    <w:rsid w:val="009303BB"/>
    <w:rsid w:val="0093108A"/>
    <w:rsid w:val="00931B6D"/>
    <w:rsid w:val="0093311A"/>
    <w:rsid w:val="009346D0"/>
    <w:rsid w:val="009369A6"/>
    <w:rsid w:val="00937F57"/>
    <w:rsid w:val="0094031E"/>
    <w:rsid w:val="009419B4"/>
    <w:rsid w:val="00941A4C"/>
    <w:rsid w:val="00942645"/>
    <w:rsid w:val="0094439E"/>
    <w:rsid w:val="009461E6"/>
    <w:rsid w:val="00950A3A"/>
    <w:rsid w:val="00952CC5"/>
    <w:rsid w:val="0095340A"/>
    <w:rsid w:val="00953AF6"/>
    <w:rsid w:val="0095423E"/>
    <w:rsid w:val="00954581"/>
    <w:rsid w:val="0095466C"/>
    <w:rsid w:val="00954E5B"/>
    <w:rsid w:val="00955100"/>
    <w:rsid w:val="00955316"/>
    <w:rsid w:val="00955E45"/>
    <w:rsid w:val="00956C35"/>
    <w:rsid w:val="009576BC"/>
    <w:rsid w:val="00957899"/>
    <w:rsid w:val="00957927"/>
    <w:rsid w:val="00960357"/>
    <w:rsid w:val="0096168C"/>
    <w:rsid w:val="00961840"/>
    <w:rsid w:val="009625E3"/>
    <w:rsid w:val="00962F2D"/>
    <w:rsid w:val="00963A7A"/>
    <w:rsid w:val="009672CD"/>
    <w:rsid w:val="00971810"/>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90FD6"/>
    <w:rsid w:val="009935C3"/>
    <w:rsid w:val="0099421F"/>
    <w:rsid w:val="00994FC8"/>
    <w:rsid w:val="009A0DE3"/>
    <w:rsid w:val="009A100B"/>
    <w:rsid w:val="009A144F"/>
    <w:rsid w:val="009A1643"/>
    <w:rsid w:val="009A215A"/>
    <w:rsid w:val="009A26B9"/>
    <w:rsid w:val="009A49D3"/>
    <w:rsid w:val="009A4F1B"/>
    <w:rsid w:val="009A66C5"/>
    <w:rsid w:val="009A66E7"/>
    <w:rsid w:val="009A79BA"/>
    <w:rsid w:val="009B10F9"/>
    <w:rsid w:val="009B14D1"/>
    <w:rsid w:val="009B1534"/>
    <w:rsid w:val="009B4963"/>
    <w:rsid w:val="009B4A3B"/>
    <w:rsid w:val="009B6023"/>
    <w:rsid w:val="009B69D3"/>
    <w:rsid w:val="009B721E"/>
    <w:rsid w:val="009B7BA7"/>
    <w:rsid w:val="009B7C01"/>
    <w:rsid w:val="009C0938"/>
    <w:rsid w:val="009C0C22"/>
    <w:rsid w:val="009C15D9"/>
    <w:rsid w:val="009C1A1D"/>
    <w:rsid w:val="009C22C8"/>
    <w:rsid w:val="009C3F82"/>
    <w:rsid w:val="009C45F0"/>
    <w:rsid w:val="009C582A"/>
    <w:rsid w:val="009C5C56"/>
    <w:rsid w:val="009C5F96"/>
    <w:rsid w:val="009C72DD"/>
    <w:rsid w:val="009C78FD"/>
    <w:rsid w:val="009C7DF5"/>
    <w:rsid w:val="009D056C"/>
    <w:rsid w:val="009D060F"/>
    <w:rsid w:val="009D1ADE"/>
    <w:rsid w:val="009D297C"/>
    <w:rsid w:val="009D2C3F"/>
    <w:rsid w:val="009D3652"/>
    <w:rsid w:val="009D37CA"/>
    <w:rsid w:val="009D4229"/>
    <w:rsid w:val="009D4268"/>
    <w:rsid w:val="009D5DE9"/>
    <w:rsid w:val="009E09D0"/>
    <w:rsid w:val="009E1181"/>
    <w:rsid w:val="009E1283"/>
    <w:rsid w:val="009E33DC"/>
    <w:rsid w:val="009E3A7F"/>
    <w:rsid w:val="009E4C9B"/>
    <w:rsid w:val="009E4DFC"/>
    <w:rsid w:val="009E5789"/>
    <w:rsid w:val="009E57B1"/>
    <w:rsid w:val="009E6379"/>
    <w:rsid w:val="009F020F"/>
    <w:rsid w:val="009F3B63"/>
    <w:rsid w:val="009F43E2"/>
    <w:rsid w:val="009F6292"/>
    <w:rsid w:val="009F7809"/>
    <w:rsid w:val="009F7822"/>
    <w:rsid w:val="009F7AF5"/>
    <w:rsid w:val="00A00613"/>
    <w:rsid w:val="00A006F1"/>
    <w:rsid w:val="00A007A7"/>
    <w:rsid w:val="00A00D14"/>
    <w:rsid w:val="00A01408"/>
    <w:rsid w:val="00A02457"/>
    <w:rsid w:val="00A02AA8"/>
    <w:rsid w:val="00A03190"/>
    <w:rsid w:val="00A03A9E"/>
    <w:rsid w:val="00A0404B"/>
    <w:rsid w:val="00A0656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40356"/>
    <w:rsid w:val="00A40FFB"/>
    <w:rsid w:val="00A41468"/>
    <w:rsid w:val="00A414A9"/>
    <w:rsid w:val="00A44141"/>
    <w:rsid w:val="00A44CCA"/>
    <w:rsid w:val="00A44D75"/>
    <w:rsid w:val="00A47CF1"/>
    <w:rsid w:val="00A50418"/>
    <w:rsid w:val="00A50B17"/>
    <w:rsid w:val="00A513D9"/>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E7B"/>
    <w:rsid w:val="00A717EA"/>
    <w:rsid w:val="00A730B0"/>
    <w:rsid w:val="00A73B84"/>
    <w:rsid w:val="00A7411D"/>
    <w:rsid w:val="00A756C4"/>
    <w:rsid w:val="00A7592B"/>
    <w:rsid w:val="00A75ED7"/>
    <w:rsid w:val="00A76094"/>
    <w:rsid w:val="00A768E2"/>
    <w:rsid w:val="00A82C52"/>
    <w:rsid w:val="00A838E8"/>
    <w:rsid w:val="00A83C15"/>
    <w:rsid w:val="00A84EC4"/>
    <w:rsid w:val="00A86CB6"/>
    <w:rsid w:val="00A90D55"/>
    <w:rsid w:val="00A9225E"/>
    <w:rsid w:val="00A944D8"/>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93E"/>
    <w:rsid w:val="00AA73AF"/>
    <w:rsid w:val="00AB062D"/>
    <w:rsid w:val="00AB0A8A"/>
    <w:rsid w:val="00AB1754"/>
    <w:rsid w:val="00AB1F8D"/>
    <w:rsid w:val="00AB27DD"/>
    <w:rsid w:val="00AB47D2"/>
    <w:rsid w:val="00AB4BA4"/>
    <w:rsid w:val="00AB592E"/>
    <w:rsid w:val="00AC0C1C"/>
    <w:rsid w:val="00AC1305"/>
    <w:rsid w:val="00AC37BE"/>
    <w:rsid w:val="00AC439D"/>
    <w:rsid w:val="00AC62CC"/>
    <w:rsid w:val="00AC713F"/>
    <w:rsid w:val="00AC7329"/>
    <w:rsid w:val="00AC7D96"/>
    <w:rsid w:val="00AD00E4"/>
    <w:rsid w:val="00AD067E"/>
    <w:rsid w:val="00AD12EF"/>
    <w:rsid w:val="00AD168B"/>
    <w:rsid w:val="00AD1B4E"/>
    <w:rsid w:val="00AD2801"/>
    <w:rsid w:val="00AD3496"/>
    <w:rsid w:val="00AD365D"/>
    <w:rsid w:val="00AD3914"/>
    <w:rsid w:val="00AD426A"/>
    <w:rsid w:val="00AD49A1"/>
    <w:rsid w:val="00AD5771"/>
    <w:rsid w:val="00AD6232"/>
    <w:rsid w:val="00AD6870"/>
    <w:rsid w:val="00AD68C5"/>
    <w:rsid w:val="00AD7F8F"/>
    <w:rsid w:val="00AE0BF9"/>
    <w:rsid w:val="00AE1273"/>
    <w:rsid w:val="00AE18C5"/>
    <w:rsid w:val="00AE2540"/>
    <w:rsid w:val="00AE2CF4"/>
    <w:rsid w:val="00AE2D29"/>
    <w:rsid w:val="00AE2F15"/>
    <w:rsid w:val="00AE4624"/>
    <w:rsid w:val="00AE4B3E"/>
    <w:rsid w:val="00AE4B90"/>
    <w:rsid w:val="00AE5E14"/>
    <w:rsid w:val="00AE6115"/>
    <w:rsid w:val="00AE625B"/>
    <w:rsid w:val="00AF01B2"/>
    <w:rsid w:val="00AF1103"/>
    <w:rsid w:val="00AF1668"/>
    <w:rsid w:val="00AF25B2"/>
    <w:rsid w:val="00AF28DE"/>
    <w:rsid w:val="00AF32AF"/>
    <w:rsid w:val="00AF41EE"/>
    <w:rsid w:val="00AF4FA5"/>
    <w:rsid w:val="00AF5BB4"/>
    <w:rsid w:val="00AF6ECC"/>
    <w:rsid w:val="00B02145"/>
    <w:rsid w:val="00B022DC"/>
    <w:rsid w:val="00B04562"/>
    <w:rsid w:val="00B0472F"/>
    <w:rsid w:val="00B06930"/>
    <w:rsid w:val="00B0773A"/>
    <w:rsid w:val="00B07955"/>
    <w:rsid w:val="00B1176B"/>
    <w:rsid w:val="00B140B8"/>
    <w:rsid w:val="00B14FAA"/>
    <w:rsid w:val="00B15BED"/>
    <w:rsid w:val="00B15D30"/>
    <w:rsid w:val="00B15F09"/>
    <w:rsid w:val="00B16D18"/>
    <w:rsid w:val="00B177DE"/>
    <w:rsid w:val="00B20624"/>
    <w:rsid w:val="00B21F2F"/>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6D39"/>
    <w:rsid w:val="00B37345"/>
    <w:rsid w:val="00B37F53"/>
    <w:rsid w:val="00B40A05"/>
    <w:rsid w:val="00B40A3E"/>
    <w:rsid w:val="00B427BB"/>
    <w:rsid w:val="00B43BA2"/>
    <w:rsid w:val="00B449EE"/>
    <w:rsid w:val="00B454AE"/>
    <w:rsid w:val="00B47408"/>
    <w:rsid w:val="00B50227"/>
    <w:rsid w:val="00B50510"/>
    <w:rsid w:val="00B522CD"/>
    <w:rsid w:val="00B55143"/>
    <w:rsid w:val="00B551C0"/>
    <w:rsid w:val="00B553B2"/>
    <w:rsid w:val="00B555C8"/>
    <w:rsid w:val="00B55917"/>
    <w:rsid w:val="00B55D8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7A9"/>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84F93"/>
    <w:rsid w:val="00B91676"/>
    <w:rsid w:val="00B9322B"/>
    <w:rsid w:val="00B933D5"/>
    <w:rsid w:val="00B93640"/>
    <w:rsid w:val="00B955D5"/>
    <w:rsid w:val="00B95833"/>
    <w:rsid w:val="00BA1824"/>
    <w:rsid w:val="00BA2D98"/>
    <w:rsid w:val="00BA2F0C"/>
    <w:rsid w:val="00BA30D1"/>
    <w:rsid w:val="00BA30E1"/>
    <w:rsid w:val="00BA4609"/>
    <w:rsid w:val="00BA5BE2"/>
    <w:rsid w:val="00BA6A9C"/>
    <w:rsid w:val="00BA7F46"/>
    <w:rsid w:val="00BB0388"/>
    <w:rsid w:val="00BB0A0A"/>
    <w:rsid w:val="00BB133C"/>
    <w:rsid w:val="00BB1F04"/>
    <w:rsid w:val="00BB45B5"/>
    <w:rsid w:val="00BB4DDE"/>
    <w:rsid w:val="00BB6064"/>
    <w:rsid w:val="00BB65CE"/>
    <w:rsid w:val="00BB7012"/>
    <w:rsid w:val="00BC09D1"/>
    <w:rsid w:val="00BC1CF3"/>
    <w:rsid w:val="00BC2BE0"/>
    <w:rsid w:val="00BC3573"/>
    <w:rsid w:val="00BC5860"/>
    <w:rsid w:val="00BC7F82"/>
    <w:rsid w:val="00BD1844"/>
    <w:rsid w:val="00BD1E68"/>
    <w:rsid w:val="00BD2A49"/>
    <w:rsid w:val="00BD3683"/>
    <w:rsid w:val="00BD40AB"/>
    <w:rsid w:val="00BD40DE"/>
    <w:rsid w:val="00BD6297"/>
    <w:rsid w:val="00BD6806"/>
    <w:rsid w:val="00BD6939"/>
    <w:rsid w:val="00BD7433"/>
    <w:rsid w:val="00BD7831"/>
    <w:rsid w:val="00BD7C10"/>
    <w:rsid w:val="00BE046F"/>
    <w:rsid w:val="00BE0DEB"/>
    <w:rsid w:val="00BE222C"/>
    <w:rsid w:val="00BE229C"/>
    <w:rsid w:val="00BE2AB8"/>
    <w:rsid w:val="00BE2FC1"/>
    <w:rsid w:val="00BE3142"/>
    <w:rsid w:val="00BE4039"/>
    <w:rsid w:val="00BE6365"/>
    <w:rsid w:val="00BF01B7"/>
    <w:rsid w:val="00BF0B7F"/>
    <w:rsid w:val="00BF0E94"/>
    <w:rsid w:val="00BF2988"/>
    <w:rsid w:val="00BF3FB9"/>
    <w:rsid w:val="00BF4012"/>
    <w:rsid w:val="00BF4720"/>
    <w:rsid w:val="00BF4F49"/>
    <w:rsid w:val="00BF6759"/>
    <w:rsid w:val="00BF70A6"/>
    <w:rsid w:val="00BF752C"/>
    <w:rsid w:val="00BF7B4F"/>
    <w:rsid w:val="00BF7B63"/>
    <w:rsid w:val="00BF7EF9"/>
    <w:rsid w:val="00BF7F3C"/>
    <w:rsid w:val="00C005D4"/>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72C"/>
    <w:rsid w:val="00C25978"/>
    <w:rsid w:val="00C261C6"/>
    <w:rsid w:val="00C26621"/>
    <w:rsid w:val="00C26B27"/>
    <w:rsid w:val="00C26E7C"/>
    <w:rsid w:val="00C276CD"/>
    <w:rsid w:val="00C27827"/>
    <w:rsid w:val="00C30A97"/>
    <w:rsid w:val="00C31DDC"/>
    <w:rsid w:val="00C3223A"/>
    <w:rsid w:val="00C34168"/>
    <w:rsid w:val="00C34247"/>
    <w:rsid w:val="00C34326"/>
    <w:rsid w:val="00C34CEB"/>
    <w:rsid w:val="00C36201"/>
    <w:rsid w:val="00C368E8"/>
    <w:rsid w:val="00C36C3D"/>
    <w:rsid w:val="00C372C7"/>
    <w:rsid w:val="00C376A7"/>
    <w:rsid w:val="00C42443"/>
    <w:rsid w:val="00C42CBA"/>
    <w:rsid w:val="00C4338C"/>
    <w:rsid w:val="00C43C2B"/>
    <w:rsid w:val="00C45B27"/>
    <w:rsid w:val="00C4652E"/>
    <w:rsid w:val="00C472C7"/>
    <w:rsid w:val="00C5019E"/>
    <w:rsid w:val="00C50C8C"/>
    <w:rsid w:val="00C51962"/>
    <w:rsid w:val="00C5377C"/>
    <w:rsid w:val="00C53E8A"/>
    <w:rsid w:val="00C54DF3"/>
    <w:rsid w:val="00C560A7"/>
    <w:rsid w:val="00C56FC8"/>
    <w:rsid w:val="00C60F23"/>
    <w:rsid w:val="00C6170B"/>
    <w:rsid w:val="00C62EB2"/>
    <w:rsid w:val="00C63431"/>
    <w:rsid w:val="00C64C87"/>
    <w:rsid w:val="00C65414"/>
    <w:rsid w:val="00C665FE"/>
    <w:rsid w:val="00C71BEC"/>
    <w:rsid w:val="00C73942"/>
    <w:rsid w:val="00C73A83"/>
    <w:rsid w:val="00C74D3A"/>
    <w:rsid w:val="00C75F3D"/>
    <w:rsid w:val="00C80511"/>
    <w:rsid w:val="00C80655"/>
    <w:rsid w:val="00C81937"/>
    <w:rsid w:val="00C826F5"/>
    <w:rsid w:val="00C83740"/>
    <w:rsid w:val="00C84527"/>
    <w:rsid w:val="00C84AD1"/>
    <w:rsid w:val="00C85579"/>
    <w:rsid w:val="00C8590C"/>
    <w:rsid w:val="00C862F1"/>
    <w:rsid w:val="00C863E5"/>
    <w:rsid w:val="00C87BE6"/>
    <w:rsid w:val="00C87F76"/>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B1B18"/>
    <w:rsid w:val="00CB20DC"/>
    <w:rsid w:val="00CB23DC"/>
    <w:rsid w:val="00CB2487"/>
    <w:rsid w:val="00CB28E2"/>
    <w:rsid w:val="00CB2F20"/>
    <w:rsid w:val="00CB3395"/>
    <w:rsid w:val="00CB5801"/>
    <w:rsid w:val="00CB5EBC"/>
    <w:rsid w:val="00CB758D"/>
    <w:rsid w:val="00CB7A3E"/>
    <w:rsid w:val="00CB7FF7"/>
    <w:rsid w:val="00CC0070"/>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CC2"/>
    <w:rsid w:val="00CE3722"/>
    <w:rsid w:val="00CE4022"/>
    <w:rsid w:val="00CF158D"/>
    <w:rsid w:val="00CF2166"/>
    <w:rsid w:val="00CF3C1F"/>
    <w:rsid w:val="00CF4340"/>
    <w:rsid w:val="00CF4394"/>
    <w:rsid w:val="00CF48B4"/>
    <w:rsid w:val="00CF5C12"/>
    <w:rsid w:val="00CF7B72"/>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0FDB"/>
    <w:rsid w:val="00D2100B"/>
    <w:rsid w:val="00D229E7"/>
    <w:rsid w:val="00D2321B"/>
    <w:rsid w:val="00D23350"/>
    <w:rsid w:val="00D237E7"/>
    <w:rsid w:val="00D23DE4"/>
    <w:rsid w:val="00D25A5C"/>
    <w:rsid w:val="00D26873"/>
    <w:rsid w:val="00D27C99"/>
    <w:rsid w:val="00D31683"/>
    <w:rsid w:val="00D31AD3"/>
    <w:rsid w:val="00D33452"/>
    <w:rsid w:val="00D336C8"/>
    <w:rsid w:val="00D339E8"/>
    <w:rsid w:val="00D33FDD"/>
    <w:rsid w:val="00D3654A"/>
    <w:rsid w:val="00D3662E"/>
    <w:rsid w:val="00D373F1"/>
    <w:rsid w:val="00D37567"/>
    <w:rsid w:val="00D40B1F"/>
    <w:rsid w:val="00D40D75"/>
    <w:rsid w:val="00D43978"/>
    <w:rsid w:val="00D43B32"/>
    <w:rsid w:val="00D43CBD"/>
    <w:rsid w:val="00D449F0"/>
    <w:rsid w:val="00D462D7"/>
    <w:rsid w:val="00D46A33"/>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57572"/>
    <w:rsid w:val="00D60483"/>
    <w:rsid w:val="00D61ABB"/>
    <w:rsid w:val="00D62D5C"/>
    <w:rsid w:val="00D63577"/>
    <w:rsid w:val="00D67FD7"/>
    <w:rsid w:val="00D704E4"/>
    <w:rsid w:val="00D72410"/>
    <w:rsid w:val="00D73D53"/>
    <w:rsid w:val="00D7402C"/>
    <w:rsid w:val="00D7408A"/>
    <w:rsid w:val="00D74261"/>
    <w:rsid w:val="00D7441B"/>
    <w:rsid w:val="00D75589"/>
    <w:rsid w:val="00D76AB2"/>
    <w:rsid w:val="00D77568"/>
    <w:rsid w:val="00D80490"/>
    <w:rsid w:val="00D828F9"/>
    <w:rsid w:val="00D829AD"/>
    <w:rsid w:val="00D82EE2"/>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0FE3"/>
    <w:rsid w:val="00DA175B"/>
    <w:rsid w:val="00DA195B"/>
    <w:rsid w:val="00DA27F3"/>
    <w:rsid w:val="00DA2D1E"/>
    <w:rsid w:val="00DA3EC8"/>
    <w:rsid w:val="00DA40C1"/>
    <w:rsid w:val="00DA5564"/>
    <w:rsid w:val="00DA6734"/>
    <w:rsid w:val="00DA6B55"/>
    <w:rsid w:val="00DA6B97"/>
    <w:rsid w:val="00DA6CEE"/>
    <w:rsid w:val="00DB0015"/>
    <w:rsid w:val="00DB0359"/>
    <w:rsid w:val="00DB0ABB"/>
    <w:rsid w:val="00DB2AAD"/>
    <w:rsid w:val="00DB44E2"/>
    <w:rsid w:val="00DB4A6D"/>
    <w:rsid w:val="00DB5941"/>
    <w:rsid w:val="00DB626D"/>
    <w:rsid w:val="00DB6365"/>
    <w:rsid w:val="00DB756C"/>
    <w:rsid w:val="00DC07B7"/>
    <w:rsid w:val="00DC0BF1"/>
    <w:rsid w:val="00DC17F2"/>
    <w:rsid w:val="00DC4001"/>
    <w:rsid w:val="00DC41C3"/>
    <w:rsid w:val="00DC4A3C"/>
    <w:rsid w:val="00DC4FA4"/>
    <w:rsid w:val="00DC5B37"/>
    <w:rsid w:val="00DC5DA4"/>
    <w:rsid w:val="00DD0873"/>
    <w:rsid w:val="00DD1C9F"/>
    <w:rsid w:val="00DD286D"/>
    <w:rsid w:val="00DD2CAF"/>
    <w:rsid w:val="00DD3593"/>
    <w:rsid w:val="00DD4E93"/>
    <w:rsid w:val="00DD64E0"/>
    <w:rsid w:val="00DD775C"/>
    <w:rsid w:val="00DD7BE0"/>
    <w:rsid w:val="00DE0C67"/>
    <w:rsid w:val="00DE3AAD"/>
    <w:rsid w:val="00DE598A"/>
    <w:rsid w:val="00DE6952"/>
    <w:rsid w:val="00DE6FBE"/>
    <w:rsid w:val="00DE7A7D"/>
    <w:rsid w:val="00DE7E74"/>
    <w:rsid w:val="00DF071B"/>
    <w:rsid w:val="00DF5C84"/>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F59"/>
    <w:rsid w:val="00E464F0"/>
    <w:rsid w:val="00E46D78"/>
    <w:rsid w:val="00E46EF3"/>
    <w:rsid w:val="00E47370"/>
    <w:rsid w:val="00E473E9"/>
    <w:rsid w:val="00E47B47"/>
    <w:rsid w:val="00E50BEB"/>
    <w:rsid w:val="00E53460"/>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4437"/>
    <w:rsid w:val="00E7443D"/>
    <w:rsid w:val="00E75ACE"/>
    <w:rsid w:val="00E771AF"/>
    <w:rsid w:val="00E80386"/>
    <w:rsid w:val="00E809C3"/>
    <w:rsid w:val="00E814D4"/>
    <w:rsid w:val="00E81A1A"/>
    <w:rsid w:val="00E81C3E"/>
    <w:rsid w:val="00E82359"/>
    <w:rsid w:val="00E82B6D"/>
    <w:rsid w:val="00E83187"/>
    <w:rsid w:val="00E831E9"/>
    <w:rsid w:val="00E84DDA"/>
    <w:rsid w:val="00E8608F"/>
    <w:rsid w:val="00E86C1D"/>
    <w:rsid w:val="00E90703"/>
    <w:rsid w:val="00E90A62"/>
    <w:rsid w:val="00E9265E"/>
    <w:rsid w:val="00E956DB"/>
    <w:rsid w:val="00E9763D"/>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EFD"/>
    <w:rsid w:val="00EB679F"/>
    <w:rsid w:val="00EB76E4"/>
    <w:rsid w:val="00EC0E65"/>
    <w:rsid w:val="00EC1251"/>
    <w:rsid w:val="00EC2938"/>
    <w:rsid w:val="00EC337D"/>
    <w:rsid w:val="00EC38EF"/>
    <w:rsid w:val="00EC50C9"/>
    <w:rsid w:val="00EC58B4"/>
    <w:rsid w:val="00EC5BB2"/>
    <w:rsid w:val="00EC75AF"/>
    <w:rsid w:val="00ED12F0"/>
    <w:rsid w:val="00ED2874"/>
    <w:rsid w:val="00ED290C"/>
    <w:rsid w:val="00ED2A6C"/>
    <w:rsid w:val="00ED4773"/>
    <w:rsid w:val="00ED5284"/>
    <w:rsid w:val="00ED664B"/>
    <w:rsid w:val="00ED6A61"/>
    <w:rsid w:val="00ED768E"/>
    <w:rsid w:val="00ED7DA4"/>
    <w:rsid w:val="00EE0020"/>
    <w:rsid w:val="00EE03BB"/>
    <w:rsid w:val="00EE0552"/>
    <w:rsid w:val="00EE0B44"/>
    <w:rsid w:val="00EE125D"/>
    <w:rsid w:val="00EE23DE"/>
    <w:rsid w:val="00EE48BB"/>
    <w:rsid w:val="00EE6FE0"/>
    <w:rsid w:val="00EE704A"/>
    <w:rsid w:val="00EE7840"/>
    <w:rsid w:val="00EE7C4B"/>
    <w:rsid w:val="00EF2E75"/>
    <w:rsid w:val="00EF4C74"/>
    <w:rsid w:val="00EF5268"/>
    <w:rsid w:val="00EF608E"/>
    <w:rsid w:val="00EF6C4A"/>
    <w:rsid w:val="00F0044B"/>
    <w:rsid w:val="00F00E60"/>
    <w:rsid w:val="00F02F9F"/>
    <w:rsid w:val="00F03525"/>
    <w:rsid w:val="00F039A8"/>
    <w:rsid w:val="00F0424D"/>
    <w:rsid w:val="00F04957"/>
    <w:rsid w:val="00F0498D"/>
    <w:rsid w:val="00F053F0"/>
    <w:rsid w:val="00F05807"/>
    <w:rsid w:val="00F06451"/>
    <w:rsid w:val="00F07052"/>
    <w:rsid w:val="00F0706C"/>
    <w:rsid w:val="00F11EBE"/>
    <w:rsid w:val="00F12293"/>
    <w:rsid w:val="00F12BA8"/>
    <w:rsid w:val="00F12D7A"/>
    <w:rsid w:val="00F13031"/>
    <w:rsid w:val="00F130D0"/>
    <w:rsid w:val="00F13AC6"/>
    <w:rsid w:val="00F14933"/>
    <w:rsid w:val="00F1516A"/>
    <w:rsid w:val="00F15EE5"/>
    <w:rsid w:val="00F171F9"/>
    <w:rsid w:val="00F1737C"/>
    <w:rsid w:val="00F173AA"/>
    <w:rsid w:val="00F22A26"/>
    <w:rsid w:val="00F24072"/>
    <w:rsid w:val="00F26432"/>
    <w:rsid w:val="00F3197A"/>
    <w:rsid w:val="00F32139"/>
    <w:rsid w:val="00F33CF0"/>
    <w:rsid w:val="00F33D56"/>
    <w:rsid w:val="00F34E08"/>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3823"/>
    <w:rsid w:val="00F54D8E"/>
    <w:rsid w:val="00F5580D"/>
    <w:rsid w:val="00F56EA1"/>
    <w:rsid w:val="00F606D5"/>
    <w:rsid w:val="00F611B3"/>
    <w:rsid w:val="00F6196E"/>
    <w:rsid w:val="00F61CCC"/>
    <w:rsid w:val="00F61E05"/>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5C12"/>
    <w:rsid w:val="00F75C40"/>
    <w:rsid w:val="00F76D01"/>
    <w:rsid w:val="00F77B98"/>
    <w:rsid w:val="00F80B43"/>
    <w:rsid w:val="00F80C97"/>
    <w:rsid w:val="00F811C4"/>
    <w:rsid w:val="00F81C35"/>
    <w:rsid w:val="00F82981"/>
    <w:rsid w:val="00F8311F"/>
    <w:rsid w:val="00F83248"/>
    <w:rsid w:val="00F83376"/>
    <w:rsid w:val="00F853AE"/>
    <w:rsid w:val="00F908D5"/>
    <w:rsid w:val="00F913B9"/>
    <w:rsid w:val="00F93C74"/>
    <w:rsid w:val="00F93DCC"/>
    <w:rsid w:val="00F9435D"/>
    <w:rsid w:val="00F966F9"/>
    <w:rsid w:val="00F96F61"/>
    <w:rsid w:val="00F97740"/>
    <w:rsid w:val="00FA0C8F"/>
    <w:rsid w:val="00FA2DEF"/>
    <w:rsid w:val="00FA2F7B"/>
    <w:rsid w:val="00FA3C90"/>
    <w:rsid w:val="00FA3C97"/>
    <w:rsid w:val="00FA3D30"/>
    <w:rsid w:val="00FA4B49"/>
    <w:rsid w:val="00FA54F8"/>
    <w:rsid w:val="00FA78C8"/>
    <w:rsid w:val="00FA7A2F"/>
    <w:rsid w:val="00FB09FE"/>
    <w:rsid w:val="00FB0BA3"/>
    <w:rsid w:val="00FB0E80"/>
    <w:rsid w:val="00FB101D"/>
    <w:rsid w:val="00FB1725"/>
    <w:rsid w:val="00FB2493"/>
    <w:rsid w:val="00FB42B7"/>
    <w:rsid w:val="00FB4484"/>
    <w:rsid w:val="00FB593A"/>
    <w:rsid w:val="00FB6410"/>
    <w:rsid w:val="00FB6E82"/>
    <w:rsid w:val="00FB792E"/>
    <w:rsid w:val="00FB7CF0"/>
    <w:rsid w:val="00FC0042"/>
    <w:rsid w:val="00FC106B"/>
    <w:rsid w:val="00FC1E67"/>
    <w:rsid w:val="00FC29EB"/>
    <w:rsid w:val="00FC2A13"/>
    <w:rsid w:val="00FC4284"/>
    <w:rsid w:val="00FC4576"/>
    <w:rsid w:val="00FC5FF5"/>
    <w:rsid w:val="00FC6285"/>
    <w:rsid w:val="00FC78FB"/>
    <w:rsid w:val="00FC7DBC"/>
    <w:rsid w:val="00FD076A"/>
    <w:rsid w:val="00FD0AA0"/>
    <w:rsid w:val="00FD1D5A"/>
    <w:rsid w:val="00FD5059"/>
    <w:rsid w:val="00FD554D"/>
    <w:rsid w:val="00FD5BCC"/>
    <w:rsid w:val="00FD7B23"/>
    <w:rsid w:val="00FE2A11"/>
    <w:rsid w:val="00FE2A48"/>
    <w:rsid w:val="00FE2DEF"/>
    <w:rsid w:val="00FE323C"/>
    <w:rsid w:val="00FE3A27"/>
    <w:rsid w:val="00FE5D0A"/>
    <w:rsid w:val="00FE6469"/>
    <w:rsid w:val="00FE7C6D"/>
    <w:rsid w:val="00FF05D0"/>
    <w:rsid w:val="00FF06CE"/>
    <w:rsid w:val="00FF0DC2"/>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 w:type="character" w:customStyle="1" w:styleId="HeaderChar">
    <w:name w:val="Header Char"/>
    <w:basedOn w:val="DefaultParagraphFont"/>
    <w:link w:val="Header"/>
    <w:uiPriority w:val="99"/>
    <w:rsid w:val="00AD365D"/>
    <w:rPr>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 w:id="200501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7347A-FE93-40D7-829B-6B488467B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2714</Words>
  <Characters>14762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17442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2011-04-08T11:41:00Z</cp:lastPrinted>
  <dcterms:created xsi:type="dcterms:W3CDTF">2012-06-06T18:52:00Z</dcterms:created>
  <dcterms:modified xsi:type="dcterms:W3CDTF">2012-06-06T18:52:00Z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