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141F05">
        <w:rPr>
          <w:caps/>
          <w:color w:val="000000" w:themeColor="text1"/>
        </w:rPr>
        <w:t>XXXXXXXXX</w:t>
      </w:r>
      <w:r w:rsidRPr="001F29F9">
        <w:rPr>
          <w:caps/>
          <w:color w:val="000000" w:themeColor="text1"/>
        </w:rPr>
        <w:t xml:space="preserve">               </w:t>
      </w:r>
      <w:r>
        <w:rPr>
          <w:caps/>
          <w:color w:val="000000" w:themeColor="text1"/>
        </w:rPr>
        <w:tab/>
        <w:t xml:space="preserve">                             </w:t>
      </w:r>
      <w:r w:rsidR="00956608">
        <w:rPr>
          <w:caps/>
          <w:color w:val="000000" w:themeColor="text1"/>
        </w:rPr>
        <w:t xml:space="preserve"> </w:t>
      </w:r>
      <w:r w:rsidRPr="001F29F9">
        <w:rPr>
          <w:caps/>
          <w:color w:val="000000" w:themeColor="text1"/>
        </w:rPr>
        <w:t xml:space="preserve">BRANCH OF </w:t>
      </w:r>
      <w:r w:rsidRPr="00956608">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956608">
        <w:rPr>
          <w:caps/>
          <w:color w:val="000000" w:themeColor="text1"/>
        </w:rPr>
        <w:t>787</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200</w:t>
      </w:r>
      <w:r w:rsidR="00956608">
        <w:rPr>
          <w:color w:val="000000" w:themeColor="text1"/>
        </w:rPr>
        <w:t>61115</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391DC2">
        <w:rPr>
          <w:caps/>
          <w:color w:val="000000"/>
        </w:rPr>
        <w:t>0412</w:t>
      </w:r>
      <w:r w:rsidRPr="001F29F9">
        <w:rPr>
          <w:caps/>
          <w:color w:val="000000"/>
        </w:rPr>
        <w:t xml:space="preserve"> </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923E9A" w:rsidRPr="001F29F9">
        <w:rPr>
          <w:color w:val="000000" w:themeColor="text1"/>
          <w:szCs w:val="24"/>
        </w:rPr>
        <w:t>S</w:t>
      </w:r>
      <w:r w:rsidR="00923E9A">
        <w:rPr>
          <w:color w:val="000000" w:themeColor="text1"/>
          <w:szCs w:val="24"/>
        </w:rPr>
        <w:t>FC</w:t>
      </w:r>
      <w:r w:rsidR="00923E9A" w:rsidRPr="001F29F9">
        <w:rPr>
          <w:color w:val="000000" w:themeColor="text1"/>
          <w:szCs w:val="24"/>
        </w:rPr>
        <w:t>/E-</w:t>
      </w:r>
      <w:r w:rsidR="00923E9A">
        <w:rPr>
          <w:color w:val="000000" w:themeColor="text1"/>
          <w:szCs w:val="24"/>
        </w:rPr>
        <w:t xml:space="preserve">7 </w:t>
      </w:r>
      <w:r w:rsidR="00923E9A" w:rsidRPr="001F29F9">
        <w:rPr>
          <w:color w:val="000000" w:themeColor="text1"/>
          <w:szCs w:val="24"/>
        </w:rPr>
        <w:t>(</w:t>
      </w:r>
      <w:r w:rsidR="00923E9A">
        <w:rPr>
          <w:color w:val="000000" w:themeColor="text1"/>
          <w:szCs w:val="24"/>
        </w:rPr>
        <w:t>25B</w:t>
      </w:r>
      <w:r w:rsidR="00923E9A" w:rsidRPr="001F29F9">
        <w:rPr>
          <w:color w:val="000000" w:themeColor="text1"/>
          <w:szCs w:val="24"/>
        </w:rPr>
        <w:t xml:space="preserve">, </w:t>
      </w:r>
      <w:r w:rsidR="00923E9A">
        <w:rPr>
          <w:color w:val="000000" w:themeColor="text1"/>
          <w:szCs w:val="24"/>
        </w:rPr>
        <w:t>Computer Analyst</w:t>
      </w:r>
      <w:r w:rsidR="00923E9A" w:rsidRPr="001F29F9">
        <w:rPr>
          <w:color w:val="000000" w:themeColor="text1"/>
          <w:szCs w:val="24"/>
        </w:rPr>
        <w:t>)</w:t>
      </w:r>
      <w:r w:rsidR="00923E9A">
        <w:rPr>
          <w:color w:val="000000" w:themeColor="text1"/>
          <w:szCs w:val="24"/>
        </w:rPr>
        <w:t xml:space="preserve"> </w:t>
      </w:r>
      <w:r w:rsidRPr="001F29F9">
        <w:rPr>
          <w:color w:val="000000"/>
        </w:rPr>
        <w:t xml:space="preserve">medically separated for </w:t>
      </w:r>
      <w:r w:rsidR="00923E9A">
        <w:rPr>
          <w:color w:val="000000"/>
        </w:rPr>
        <w:t xml:space="preserve">right shoulder and right knee </w:t>
      </w:r>
      <w:r w:rsidR="00261B7E">
        <w:rPr>
          <w:color w:val="000000"/>
        </w:rPr>
        <w:t>condition</w:t>
      </w:r>
      <w:r w:rsidR="00923E9A">
        <w:rPr>
          <w:color w:val="000000"/>
        </w:rPr>
        <w:t>s</w:t>
      </w:r>
      <w:r w:rsidRPr="001F29F9">
        <w:rPr>
          <w:color w:val="000000"/>
        </w:rPr>
        <w:t xml:space="preserve">. </w:t>
      </w:r>
      <w:r w:rsidR="00261B7E">
        <w:rPr>
          <w:color w:val="000000"/>
        </w:rPr>
        <w:t xml:space="preserve"> </w:t>
      </w:r>
      <w:r w:rsidR="00AE4717">
        <w:rPr>
          <w:color w:val="000000"/>
        </w:rPr>
        <w:t xml:space="preserve">The CI began experiencing recurrent dislocations of her right (dominant) shoulder in 1994, and ultimately required surgical procedures in 2004 and 2005 to stabilize the joint.  She injured her right knee during training in </w:t>
      </w:r>
      <w:r w:rsidR="007613C5">
        <w:rPr>
          <w:color w:val="000000"/>
        </w:rPr>
        <w:t>1996</w:t>
      </w:r>
      <w:r w:rsidR="00AE4717">
        <w:rPr>
          <w:color w:val="000000"/>
        </w:rPr>
        <w:t xml:space="preserve">; and, although there was no surgical pathology, she suffered continued pain and swelling with activity.  Neither </w:t>
      </w:r>
      <w:r w:rsidR="00F1682C">
        <w:rPr>
          <w:color w:val="000000"/>
        </w:rPr>
        <w:t>orthopedic condition</w:t>
      </w:r>
      <w:r w:rsidR="00F566B7" w:rsidRPr="00F566B7">
        <w:rPr>
          <w:color w:val="000000"/>
        </w:rPr>
        <w:t xml:space="preserve"> could be adequately rehabilitated to meet </w:t>
      </w:r>
      <w:r w:rsidR="00F1682C">
        <w:rPr>
          <w:color w:val="000000"/>
        </w:rPr>
        <w:t>the physical requirements of her</w:t>
      </w:r>
      <w:r w:rsidR="00F566B7" w:rsidRPr="00F566B7">
        <w:rPr>
          <w:color w:val="000000"/>
        </w:rPr>
        <w:t xml:space="preserve"> Military </w:t>
      </w:r>
      <w:r w:rsidR="00F566B7" w:rsidRPr="00AE4717">
        <w:rPr>
          <w:color w:val="000000"/>
        </w:rPr>
        <w:t>Occupational Specialty (MOS) or satis</w:t>
      </w:r>
      <w:r w:rsidR="009C12A1" w:rsidRPr="00AE4717">
        <w:rPr>
          <w:color w:val="000000"/>
        </w:rPr>
        <w:t>fy physical fitness standards.</w:t>
      </w:r>
      <w:r w:rsidR="00F566B7" w:rsidRPr="00AE4717">
        <w:rPr>
          <w:color w:val="000000"/>
        </w:rPr>
        <w:t xml:space="preserve"> </w:t>
      </w:r>
      <w:r w:rsidR="00AE4717" w:rsidRPr="00AE4717">
        <w:rPr>
          <w:color w:val="000000"/>
        </w:rPr>
        <w:t xml:space="preserve"> Sh</w:t>
      </w:r>
      <w:r w:rsidR="009C12A1" w:rsidRPr="00AE4717">
        <w:rPr>
          <w:color w:val="000000"/>
        </w:rPr>
        <w:t xml:space="preserve">e </w:t>
      </w:r>
      <w:r w:rsidR="00F566B7" w:rsidRPr="00AE4717">
        <w:rPr>
          <w:color w:val="000000"/>
        </w:rPr>
        <w:t xml:space="preserve">was </w:t>
      </w:r>
      <w:r w:rsidR="009C12A1" w:rsidRPr="00AE4717">
        <w:rPr>
          <w:color w:val="000000"/>
        </w:rPr>
        <w:t xml:space="preserve">thus </w:t>
      </w:r>
      <w:r w:rsidR="00AE4717" w:rsidRPr="00AE4717">
        <w:rPr>
          <w:color w:val="000000"/>
        </w:rPr>
        <w:t>issued</w:t>
      </w:r>
      <w:r w:rsidR="00F566B7" w:rsidRPr="00AE4717">
        <w:rPr>
          <w:color w:val="000000"/>
        </w:rPr>
        <w:t xml:space="preserve"> permanent </w:t>
      </w:r>
      <w:r w:rsidR="0020431B">
        <w:rPr>
          <w:color w:val="000000"/>
        </w:rPr>
        <w:t xml:space="preserve">U3 and </w:t>
      </w:r>
      <w:r w:rsidR="00F566B7" w:rsidRPr="00AE4717">
        <w:rPr>
          <w:color w:val="000000"/>
        </w:rPr>
        <w:t>L3 profile</w:t>
      </w:r>
      <w:r w:rsidR="00AE4717" w:rsidRPr="00AE4717">
        <w:rPr>
          <w:color w:val="000000"/>
        </w:rPr>
        <w:t>s</w:t>
      </w:r>
      <w:r w:rsidR="0020431B">
        <w:rPr>
          <w:color w:val="000000"/>
        </w:rPr>
        <w:t>,</w:t>
      </w:r>
      <w:r w:rsidR="00F566B7" w:rsidRPr="00F566B7">
        <w:rPr>
          <w:color w:val="000000"/>
        </w:rPr>
        <w:t xml:space="preserve"> and</w:t>
      </w:r>
      <w:r w:rsidR="009C12A1">
        <w:rPr>
          <w:color w:val="000000"/>
        </w:rPr>
        <w:t xml:space="preserve"> </w:t>
      </w:r>
      <w:r w:rsidR="00F566B7" w:rsidRPr="00F566B7">
        <w:rPr>
          <w:color w:val="000000"/>
        </w:rPr>
        <w:t xml:space="preserve">referred for a Medical Evaluation Board (MEB).  The </w:t>
      </w:r>
      <w:r w:rsidR="007C5152">
        <w:rPr>
          <w:color w:val="000000"/>
        </w:rPr>
        <w:t xml:space="preserve">right shoulder and right knee </w:t>
      </w:r>
      <w:r w:rsidR="00F566B7" w:rsidRPr="00F566B7">
        <w:rPr>
          <w:color w:val="000000"/>
        </w:rPr>
        <w:t>condition</w:t>
      </w:r>
      <w:r w:rsidR="007C5152">
        <w:rPr>
          <w:color w:val="000000"/>
        </w:rPr>
        <w:t>s</w:t>
      </w:r>
      <w:r w:rsidR="00F566B7" w:rsidRPr="00F566B7">
        <w:rPr>
          <w:color w:val="000000"/>
        </w:rPr>
        <w:t xml:space="preserve"> </w:t>
      </w:r>
      <w:r w:rsidR="007C5152">
        <w:rPr>
          <w:color w:val="000000"/>
        </w:rPr>
        <w:t>were</w:t>
      </w:r>
      <w:r w:rsidR="00F566B7" w:rsidRPr="00F566B7">
        <w:rPr>
          <w:color w:val="000000"/>
        </w:rPr>
        <w:t xml:space="preserve"> forwarded </w:t>
      </w:r>
      <w:r w:rsidR="007C5152">
        <w:rPr>
          <w:color w:val="000000"/>
        </w:rPr>
        <w:t xml:space="preserve">separately </w:t>
      </w:r>
      <w:r w:rsidR="00F566B7" w:rsidRPr="00F566B7">
        <w:rPr>
          <w:color w:val="000000"/>
        </w:rPr>
        <w:t xml:space="preserve">to the Physical Evaluation Board (PEB) as medically unacceptable </w:t>
      </w:r>
      <w:r w:rsidR="00F566B7" w:rsidRPr="007C5152">
        <w:rPr>
          <w:color w:val="000000"/>
        </w:rPr>
        <w:t xml:space="preserve">IAW AR 40-501.  </w:t>
      </w:r>
      <w:r w:rsidR="007C5152">
        <w:rPr>
          <w:color w:val="000000"/>
        </w:rPr>
        <w:t>Recurrent headaches</w:t>
      </w:r>
      <w:r w:rsidR="00F566B7" w:rsidRPr="007C5152">
        <w:rPr>
          <w:color w:val="000000"/>
        </w:rPr>
        <w:t xml:space="preserve"> and </w:t>
      </w:r>
      <w:proofErr w:type="spellStart"/>
      <w:r w:rsidR="007C5152">
        <w:rPr>
          <w:color w:val="000000"/>
        </w:rPr>
        <w:t>gastroesophageal</w:t>
      </w:r>
      <w:proofErr w:type="spellEnd"/>
      <w:r w:rsidR="007C5152">
        <w:rPr>
          <w:color w:val="000000"/>
        </w:rPr>
        <w:t xml:space="preserve"> reflux disease (GERD)</w:t>
      </w:r>
      <w:r w:rsidR="00F566B7" w:rsidRPr="007C5152">
        <w:rPr>
          <w:color w:val="000000"/>
        </w:rPr>
        <w:t xml:space="preserve"> were also identified by the MEB and forwarded as medically acceptable conditions.  Other conditions</w:t>
      </w:r>
      <w:r w:rsidR="00A70270" w:rsidRPr="007C5152">
        <w:rPr>
          <w:color w:val="000000"/>
        </w:rPr>
        <w:t>,</w:t>
      </w:r>
      <w:r w:rsidR="00F566B7" w:rsidRPr="007C5152">
        <w:rPr>
          <w:color w:val="000000"/>
        </w:rPr>
        <w:t xml:space="preserve"> </w:t>
      </w:r>
      <w:r w:rsidR="00A70270" w:rsidRPr="007C5152">
        <w:rPr>
          <w:color w:val="000000"/>
        </w:rPr>
        <w:t xml:space="preserve">contended or </w:t>
      </w:r>
      <w:r w:rsidR="00F566B7" w:rsidRPr="007C5152">
        <w:rPr>
          <w:color w:val="000000"/>
        </w:rPr>
        <w:t xml:space="preserve">evidenced in the Disability Evaluation System (DES) file, are addressed below. </w:t>
      </w:r>
      <w:r w:rsidR="00380601" w:rsidRPr="007C5152">
        <w:rPr>
          <w:color w:val="000000"/>
        </w:rPr>
        <w:t xml:space="preserve"> </w:t>
      </w:r>
      <w:r w:rsidRPr="007C5152">
        <w:rPr>
          <w:color w:val="000000"/>
        </w:rPr>
        <w:t xml:space="preserve">The PEB adjudicated the </w:t>
      </w:r>
      <w:r w:rsidR="007C5152">
        <w:rPr>
          <w:color w:val="000000"/>
        </w:rPr>
        <w:t>right shoulder and right knee</w:t>
      </w:r>
      <w:r w:rsidR="008530E3" w:rsidRPr="007C5152">
        <w:rPr>
          <w:color w:val="000000"/>
        </w:rPr>
        <w:t xml:space="preserve"> </w:t>
      </w:r>
      <w:r w:rsidR="007C5152">
        <w:rPr>
          <w:color w:val="000000"/>
        </w:rPr>
        <w:t>pathology</w:t>
      </w:r>
      <w:r w:rsidR="008530E3" w:rsidRPr="007C5152">
        <w:rPr>
          <w:color w:val="000000"/>
        </w:rPr>
        <w:t xml:space="preserve"> as </w:t>
      </w:r>
      <w:r w:rsidR="007C5152">
        <w:rPr>
          <w:color w:val="000000"/>
        </w:rPr>
        <w:t xml:space="preserve">a single </w:t>
      </w:r>
      <w:r w:rsidR="008530E3" w:rsidRPr="007C5152">
        <w:rPr>
          <w:color w:val="000000"/>
        </w:rPr>
        <w:t>unfitting</w:t>
      </w:r>
      <w:r w:rsidR="007C5152">
        <w:rPr>
          <w:color w:val="000000"/>
        </w:rPr>
        <w:t xml:space="preserve"> condition</w:t>
      </w:r>
      <w:r w:rsidR="00970034">
        <w:rPr>
          <w:color w:val="000000"/>
        </w:rPr>
        <w:t xml:space="preserve"> </w:t>
      </w:r>
      <w:r w:rsidR="00564A06">
        <w:rPr>
          <w:color w:val="000000"/>
        </w:rPr>
        <w:t xml:space="preserve">with presumptive application of Army Regulation </w:t>
      </w:r>
      <w:r w:rsidR="00970034">
        <w:rPr>
          <w:color w:val="000000"/>
        </w:rPr>
        <w:t>(AR) 635.40</w:t>
      </w:r>
      <w:r w:rsidR="008530E3" w:rsidRPr="007C5152">
        <w:rPr>
          <w:color w:val="000000"/>
        </w:rPr>
        <w:t xml:space="preserve">, rated </w:t>
      </w:r>
      <w:r w:rsidR="007C5152">
        <w:rPr>
          <w:color w:val="000000"/>
        </w:rPr>
        <w:t>1</w:t>
      </w:r>
      <w:r w:rsidR="00970034">
        <w:rPr>
          <w:color w:val="000000"/>
        </w:rPr>
        <w:t>0%; and,</w:t>
      </w:r>
      <w:r w:rsidRPr="007C5152">
        <w:rPr>
          <w:color w:val="000000"/>
        </w:rPr>
        <w:t xml:space="preserve"> </w:t>
      </w:r>
      <w:r w:rsidR="00DF7BC2" w:rsidRPr="007C5152">
        <w:rPr>
          <w:color w:val="000000"/>
        </w:rPr>
        <w:t>referencing the</w:t>
      </w:r>
      <w:r w:rsidRPr="007C5152">
        <w:rPr>
          <w:color w:val="000000"/>
        </w:rPr>
        <w:t xml:space="preserve"> </w:t>
      </w:r>
      <w:r w:rsidR="0065689C" w:rsidRPr="007C5152">
        <w:rPr>
          <w:color w:val="000000" w:themeColor="text1"/>
          <w:szCs w:val="24"/>
        </w:rPr>
        <w:t>US Army Physical Disability Agency (USAPDA) pain policy</w:t>
      </w:r>
      <w:r w:rsidR="007C5152">
        <w:rPr>
          <w:color w:val="000000" w:themeColor="text1"/>
          <w:szCs w:val="24"/>
        </w:rPr>
        <w:t>.</w:t>
      </w:r>
      <w:r w:rsidR="0065689C" w:rsidRPr="007C5152">
        <w:rPr>
          <w:color w:val="000000"/>
        </w:rPr>
        <w:t xml:space="preserve"> </w:t>
      </w:r>
      <w:r w:rsidR="007C5152">
        <w:rPr>
          <w:color w:val="000000"/>
        </w:rPr>
        <w:t xml:space="preserve"> </w:t>
      </w:r>
      <w:r w:rsidR="00380601" w:rsidRPr="007C5152">
        <w:rPr>
          <w:color w:val="000000"/>
        </w:rPr>
        <w:t xml:space="preserve">The remaining conditions were determined to be not unfitting.  </w:t>
      </w:r>
      <w:r w:rsidRPr="007C5152">
        <w:rPr>
          <w:color w:val="000000"/>
        </w:rPr>
        <w:t>The</w:t>
      </w:r>
      <w:r w:rsidRPr="001F29F9">
        <w:rPr>
          <w:color w:val="000000"/>
        </w:rPr>
        <w:t xml:space="preserve"> CI made no appeals, and was medically </w:t>
      </w:r>
      <w:r w:rsidRPr="00726F84">
        <w:rPr>
          <w:color w:val="000000"/>
        </w:rPr>
        <w:t xml:space="preserve">separated with </w:t>
      </w:r>
      <w:r w:rsidR="00261B7E">
        <w:rPr>
          <w:color w:val="000000"/>
        </w:rPr>
        <w:t>that</w:t>
      </w:r>
      <w:r w:rsidRPr="001F29F9">
        <w:rPr>
          <w:color w:val="000000"/>
        </w:rPr>
        <w:t xml:space="preserve"> </w:t>
      </w:r>
      <w:r w:rsidR="00F4064B">
        <w:rPr>
          <w:color w:val="000000"/>
        </w:rPr>
        <w:t>s</w:t>
      </w:r>
      <w:r w:rsidR="006E154E">
        <w:rPr>
          <w:color w:val="000000"/>
        </w:rPr>
        <w:t xml:space="preserve">ervice </w:t>
      </w:r>
      <w:r w:rsidRPr="001F29F9">
        <w:rPr>
          <w:color w:val="000000"/>
        </w:rPr>
        <w:t>disability rating.</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DF7BC2" w:rsidRPr="00DF7BC2">
        <w:rPr>
          <w:color w:val="000000"/>
        </w:rPr>
        <w:t xml:space="preserve">I was told that my right arm is permanently disabled. I was 8 days short of 13 yrs of active duty service. I trusted the army to do a routine operation on my arm and the army failed </w:t>
      </w:r>
      <w:r w:rsidR="007613C5">
        <w:rPr>
          <w:color w:val="000000"/>
        </w:rPr>
        <w:t>me. The doctor that the army sen</w:t>
      </w:r>
      <w:r w:rsidR="00DF7BC2" w:rsidRPr="00DF7BC2">
        <w:rPr>
          <w:color w:val="000000"/>
        </w:rPr>
        <w:t xml:space="preserve">t me to did not fix my arm, but made it worse. </w:t>
      </w:r>
      <w:r w:rsidR="00DF7BC2">
        <w:rPr>
          <w:color w:val="000000"/>
        </w:rPr>
        <w:t>…</w:t>
      </w:r>
      <w:r w:rsidR="00DF7BC2" w:rsidRPr="00DF7BC2">
        <w:rPr>
          <w:color w:val="000000"/>
        </w:rPr>
        <w:t xml:space="preserve"> I hurt my knee around 1996 at Ft Hood, TX, while I was training. I went to the doctor, had a MRI done and went through months of therapy. I was on crutches for a long time. I was never told what was wrong with my knee. </w:t>
      </w:r>
      <w:r w:rsidR="00DF7BC2">
        <w:rPr>
          <w:color w:val="000000"/>
        </w:rPr>
        <w:t>…</w:t>
      </w:r>
      <w:r w:rsidR="00DF7BC2" w:rsidRPr="00DF7BC2">
        <w:rPr>
          <w:color w:val="000000"/>
        </w:rPr>
        <w:t xml:space="preserve"> The medical board found me unfit for duty, for my arm and knee. I was denied a chance to retire from the army. I was only 7 years away from retirement.  I think that I should be allowed a medical retirement because I followed all the rules and did what I suppose to have done. </w:t>
      </w:r>
      <w:r w:rsidR="00DF7BC2">
        <w:rPr>
          <w:color w:val="000000"/>
        </w:rPr>
        <w:t>…</w:t>
      </w:r>
      <w:r w:rsidR="00DF7BC2" w:rsidRPr="00DF7BC2">
        <w:rPr>
          <w:color w:val="000000"/>
        </w:rPr>
        <w:t xml:space="preserve"> I had surgery for my acid reflux and for flat feet, since getting out of the army. I am now getting cortisone shots in both of my knees and my right arm to help tolerate the pain of doing everyday activities, such as walking and sleeping through the night. </w:t>
      </w:r>
      <w:r w:rsidR="00DF7BC2">
        <w:rPr>
          <w:color w:val="000000"/>
        </w:rPr>
        <w:t>…</w:t>
      </w:r>
      <w:r w:rsidR="00DF7BC2" w:rsidRPr="00DF7BC2">
        <w:rPr>
          <w:color w:val="000000"/>
        </w:rPr>
        <w:t xml:space="preserve"> I feel as though I gave 13 years of my life for nothing but aches and pain in return.</w:t>
      </w:r>
      <w:r w:rsidR="00773C45">
        <w:rPr>
          <w:color w:val="000000"/>
        </w:rPr>
        <w:t>”</w:t>
      </w:r>
      <w:r w:rsidR="004A2728">
        <w:rPr>
          <w:color w:val="000000"/>
        </w:rPr>
        <w:t xml:space="preserve"> </w:t>
      </w:r>
      <w:r w:rsidR="00DF7BC2">
        <w:rPr>
          <w:color w:val="000000"/>
        </w:rPr>
        <w:t>Sh</w:t>
      </w:r>
      <w:r w:rsidR="00CA720B" w:rsidRPr="00FA6344">
        <w:rPr>
          <w:color w:val="000000"/>
        </w:rPr>
        <w:t xml:space="preserve">e additionally lists </w:t>
      </w:r>
      <w:r w:rsidR="00CA720B">
        <w:rPr>
          <w:color w:val="000000"/>
        </w:rPr>
        <w:t>the</w:t>
      </w:r>
      <w:r w:rsidR="00CA720B" w:rsidRPr="00FA6344">
        <w:rPr>
          <w:color w:val="000000"/>
        </w:rPr>
        <w:t xml:space="preserve"> VA conditions chart</w:t>
      </w:r>
      <w:r w:rsidR="00DF7BC2">
        <w:rPr>
          <w:color w:val="000000"/>
        </w:rPr>
        <w:t>ed</w:t>
      </w:r>
      <w:r w:rsidR="00CA720B" w:rsidRPr="00FA6344">
        <w:rPr>
          <w:color w:val="000000"/>
        </w:rPr>
        <w:t xml:space="preserve"> below</w:t>
      </w:r>
      <w:r w:rsidR="00CA720B">
        <w:rPr>
          <w:color w:val="000000"/>
        </w:rPr>
        <w:t xml:space="preserve">; and, </w:t>
      </w:r>
      <w:r w:rsidR="003D502F">
        <w:rPr>
          <w:color w:val="000000"/>
        </w:rPr>
        <w:t>a request for consideration of s</w:t>
      </w:r>
      <w:r w:rsidR="00CA720B">
        <w:rPr>
          <w:color w:val="000000"/>
        </w:rPr>
        <w:t>ervice rating is</w:t>
      </w:r>
      <w:r w:rsidR="00CA720B" w:rsidRPr="00FA6344">
        <w:rPr>
          <w:color w:val="000000"/>
        </w:rPr>
        <w:t xml:space="preserve"> implied.</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4064B" w:rsidRDefault="00F4064B" w:rsidP="00DF7BC2">
      <w:pPr>
        <w:spacing w:line="240" w:lineRule="auto"/>
        <w:jc w:val="left"/>
        <w:rPr>
          <w:color w:val="000000"/>
          <w:u w:val="single"/>
        </w:rPr>
      </w:pPr>
    </w:p>
    <w:p w:rsidR="00F4064B" w:rsidRDefault="00F4064B" w:rsidP="00DF7BC2">
      <w:pPr>
        <w:spacing w:line="240" w:lineRule="auto"/>
        <w:jc w:val="left"/>
        <w:rPr>
          <w:color w:val="000000"/>
          <w:u w:val="single"/>
        </w:rPr>
      </w:pPr>
    </w:p>
    <w:p w:rsidR="00F4064B" w:rsidRDefault="00F4064B" w:rsidP="00DF7BC2">
      <w:pPr>
        <w:spacing w:line="240" w:lineRule="auto"/>
        <w:jc w:val="left"/>
        <w:rPr>
          <w:color w:val="000000"/>
          <w:u w:val="single"/>
        </w:rPr>
      </w:pPr>
    </w:p>
    <w:p w:rsidR="00F4064B" w:rsidRDefault="00F4064B" w:rsidP="00DF7BC2">
      <w:pPr>
        <w:spacing w:line="240" w:lineRule="auto"/>
        <w:jc w:val="left"/>
        <w:rPr>
          <w:color w:val="000000"/>
          <w:u w:val="single"/>
        </w:rPr>
      </w:pPr>
    </w:p>
    <w:p w:rsidR="00F4064B" w:rsidRDefault="00F4064B" w:rsidP="00DF7BC2">
      <w:pPr>
        <w:spacing w:line="240" w:lineRule="auto"/>
        <w:jc w:val="left"/>
        <w:rPr>
          <w:color w:val="000000"/>
          <w:u w:val="single"/>
        </w:rPr>
      </w:pPr>
    </w:p>
    <w:p w:rsidR="00F4064B" w:rsidRDefault="00F4064B" w:rsidP="00DF7BC2">
      <w:pPr>
        <w:spacing w:line="240" w:lineRule="auto"/>
        <w:jc w:val="left"/>
        <w:rPr>
          <w:color w:val="000000"/>
          <w:u w:val="single"/>
        </w:rPr>
      </w:pPr>
    </w:p>
    <w:p w:rsidR="00F4064B" w:rsidRDefault="00F4064B" w:rsidP="00DF7BC2">
      <w:pPr>
        <w:spacing w:line="240" w:lineRule="auto"/>
        <w:jc w:val="left"/>
        <w:rPr>
          <w:color w:val="000000"/>
          <w:u w:val="single"/>
        </w:rPr>
      </w:pPr>
    </w:p>
    <w:p w:rsidR="00AD2379" w:rsidRPr="00DF7BC2" w:rsidRDefault="00AD2379" w:rsidP="00DF7BC2">
      <w:pPr>
        <w:spacing w:line="240" w:lineRule="auto"/>
        <w:jc w:val="left"/>
        <w:rPr>
          <w:color w:val="000000"/>
          <w:u w:val="single"/>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178"/>
        <w:gridCol w:w="1080"/>
        <w:gridCol w:w="720"/>
        <w:gridCol w:w="2610"/>
        <w:gridCol w:w="1080"/>
        <w:gridCol w:w="720"/>
        <w:gridCol w:w="960"/>
      </w:tblGrid>
      <w:tr w:rsidR="00926C0A" w:rsidRPr="000D5DBE" w:rsidTr="004918B7">
        <w:trPr>
          <w:trHeight w:val="170"/>
        </w:trPr>
        <w:tc>
          <w:tcPr>
            <w:tcW w:w="3978" w:type="dxa"/>
            <w:gridSpan w:val="3"/>
            <w:tcBorders>
              <w:right w:val="thinThickThinSmallGap" w:sz="24" w:space="0" w:color="auto"/>
            </w:tcBorders>
            <w:shd w:val="clear" w:color="auto" w:fill="D9D9D9"/>
            <w:vAlign w:val="center"/>
          </w:tcPr>
          <w:p w:rsidR="00926C0A" w:rsidRPr="00947728" w:rsidRDefault="00F4064B" w:rsidP="004918B7">
            <w:pPr>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006964BC" w:rsidRPr="001F29F9">
              <w:rPr>
                <w:rFonts w:cs="Calibri"/>
                <w:b/>
                <w:color w:val="000000" w:themeColor="text1"/>
                <w:sz w:val="18"/>
                <w:szCs w:val="18"/>
              </w:rPr>
              <w:t>200</w:t>
            </w:r>
            <w:r w:rsidR="006964BC">
              <w:rPr>
                <w:rFonts w:cs="Calibri"/>
                <w:b/>
                <w:color w:val="000000" w:themeColor="text1"/>
                <w:sz w:val="18"/>
                <w:szCs w:val="18"/>
              </w:rPr>
              <w:t>60802</w:t>
            </w:r>
          </w:p>
        </w:tc>
        <w:tc>
          <w:tcPr>
            <w:tcW w:w="5370" w:type="dxa"/>
            <w:gridSpan w:val="4"/>
            <w:tcBorders>
              <w:left w:val="thinThickThinSmallGap" w:sz="24" w:space="0" w:color="auto"/>
            </w:tcBorders>
            <w:shd w:val="clear" w:color="auto" w:fill="D9D9D9"/>
            <w:vAlign w:val="center"/>
          </w:tcPr>
          <w:p w:rsidR="00926C0A" w:rsidRPr="00947728" w:rsidRDefault="006964BC" w:rsidP="004918B7">
            <w:pPr>
              <w:contextualSpacing/>
              <w:rPr>
                <w:rFonts w:cs="Calibri"/>
                <w:b/>
                <w:color w:val="auto"/>
                <w:sz w:val="18"/>
              </w:rPr>
            </w:pPr>
            <w:r>
              <w:rPr>
                <w:b/>
                <w:color w:val="auto"/>
                <w:sz w:val="18"/>
              </w:rPr>
              <w:t>VA (2</w:t>
            </w:r>
            <w:r w:rsidR="00926C0A" w:rsidRPr="00947728">
              <w:rPr>
                <w:b/>
                <w:color w:val="auto"/>
                <w:sz w:val="18"/>
              </w:rPr>
              <w:t xml:space="preserve"> Mo. Post-Separation) – All Effective Date </w:t>
            </w:r>
            <w:r w:rsidR="004918B7" w:rsidRPr="001F29F9">
              <w:rPr>
                <w:rFonts w:cs="Calibri"/>
                <w:b/>
                <w:color w:val="000000" w:themeColor="text1"/>
                <w:sz w:val="18"/>
                <w:szCs w:val="18"/>
              </w:rPr>
              <w:t>200</w:t>
            </w:r>
            <w:r w:rsidR="004918B7">
              <w:rPr>
                <w:rFonts w:cs="Calibri"/>
                <w:b/>
                <w:color w:val="000000" w:themeColor="text1"/>
                <w:sz w:val="18"/>
                <w:szCs w:val="18"/>
              </w:rPr>
              <w:t>61116</w:t>
            </w:r>
          </w:p>
        </w:tc>
      </w:tr>
      <w:tr w:rsidR="006964BC" w:rsidRPr="000D5DBE" w:rsidTr="004918B7">
        <w:trPr>
          <w:trHeight w:val="97"/>
        </w:trPr>
        <w:tc>
          <w:tcPr>
            <w:tcW w:w="2178" w:type="dxa"/>
            <w:tcBorders>
              <w:right w:val="single" w:sz="4" w:space="0" w:color="auto"/>
            </w:tcBorders>
            <w:shd w:val="clear" w:color="auto" w:fill="D9D9D9"/>
            <w:vAlign w:val="center"/>
          </w:tcPr>
          <w:p w:rsidR="00AD2379" w:rsidRPr="000D5DBE" w:rsidRDefault="00AD2379" w:rsidP="004918B7">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AD2379" w:rsidRPr="000D5DBE" w:rsidRDefault="00AD2379" w:rsidP="004918B7">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4918B7">
            <w:pPr>
              <w:contextualSpacing/>
              <w:rPr>
                <w:rFonts w:cs="Calibri"/>
                <w:b/>
                <w:color w:val="000000"/>
                <w:sz w:val="18"/>
              </w:rPr>
            </w:pPr>
            <w:r w:rsidRPr="000D5DBE">
              <w:rPr>
                <w:b/>
                <w:color w:val="000000"/>
                <w:sz w:val="18"/>
              </w:rPr>
              <w:t>Rating</w:t>
            </w:r>
          </w:p>
        </w:tc>
        <w:tc>
          <w:tcPr>
            <w:tcW w:w="2610" w:type="dxa"/>
            <w:tcBorders>
              <w:left w:val="thinThickThinSmallGap" w:sz="24" w:space="0" w:color="auto"/>
            </w:tcBorders>
            <w:shd w:val="clear" w:color="auto" w:fill="D9D9D9"/>
            <w:vAlign w:val="center"/>
          </w:tcPr>
          <w:p w:rsidR="00AD2379" w:rsidRPr="000D5DBE" w:rsidRDefault="00AD2379" w:rsidP="004918B7">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AD2379" w:rsidRPr="000D5DBE" w:rsidRDefault="00AD2379" w:rsidP="004918B7">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4918B7">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4918B7">
            <w:pPr>
              <w:contextualSpacing/>
              <w:rPr>
                <w:rFonts w:cs="Calibri"/>
                <w:b/>
                <w:color w:val="000000"/>
                <w:sz w:val="18"/>
              </w:rPr>
            </w:pPr>
            <w:r w:rsidRPr="000D5DBE">
              <w:rPr>
                <w:b/>
                <w:color w:val="000000"/>
                <w:sz w:val="18"/>
              </w:rPr>
              <w:t>Exam</w:t>
            </w:r>
          </w:p>
        </w:tc>
      </w:tr>
      <w:tr w:rsidR="006964BC" w:rsidRPr="000D5DBE" w:rsidTr="004918B7">
        <w:trPr>
          <w:trHeight w:val="176"/>
        </w:trPr>
        <w:tc>
          <w:tcPr>
            <w:tcW w:w="2178" w:type="dxa"/>
            <w:vMerge w:val="restart"/>
            <w:tcBorders>
              <w:right w:val="single" w:sz="4" w:space="0" w:color="auto"/>
            </w:tcBorders>
            <w:shd w:val="clear" w:color="auto" w:fill="FFFFFF"/>
            <w:vAlign w:val="center"/>
          </w:tcPr>
          <w:p w:rsidR="006964BC" w:rsidRPr="001F29F9" w:rsidRDefault="006964BC" w:rsidP="004918B7">
            <w:pPr>
              <w:spacing w:line="180" w:lineRule="exact"/>
              <w:contextualSpacing/>
              <w:jc w:val="left"/>
              <w:rPr>
                <w:rFonts w:cs="Calibri"/>
                <w:color w:val="000000"/>
                <w:sz w:val="18"/>
              </w:rPr>
            </w:pPr>
            <w:r>
              <w:rPr>
                <w:rFonts w:cs="Calibri"/>
                <w:color w:val="000000" w:themeColor="text1"/>
                <w:sz w:val="18"/>
                <w:szCs w:val="18"/>
              </w:rPr>
              <w:t>Chronic Pain, R Shoulder &amp; R Knee</w:t>
            </w:r>
          </w:p>
        </w:tc>
        <w:tc>
          <w:tcPr>
            <w:tcW w:w="1080" w:type="dxa"/>
            <w:vMerge w:val="restart"/>
            <w:tcBorders>
              <w:left w:val="single" w:sz="4" w:space="0" w:color="auto"/>
            </w:tcBorders>
            <w:shd w:val="clear" w:color="auto" w:fill="FFFFFF"/>
            <w:vAlign w:val="center"/>
          </w:tcPr>
          <w:p w:rsidR="006964BC" w:rsidRPr="001F29F9" w:rsidRDefault="006964BC" w:rsidP="004918B7">
            <w:pPr>
              <w:spacing w:line="220" w:lineRule="exact"/>
              <w:contextualSpacing/>
              <w:rPr>
                <w:rFonts w:cs="Calibri"/>
                <w:color w:val="000000"/>
                <w:sz w:val="18"/>
              </w:rPr>
            </w:pPr>
            <w:r>
              <w:rPr>
                <w:rFonts w:cs="Calibri"/>
                <w:color w:val="000000" w:themeColor="text1"/>
                <w:sz w:val="18"/>
                <w:szCs w:val="18"/>
              </w:rPr>
              <w:t>5099-5003</w:t>
            </w:r>
          </w:p>
        </w:tc>
        <w:tc>
          <w:tcPr>
            <w:tcW w:w="720" w:type="dxa"/>
            <w:vMerge w:val="restart"/>
            <w:tcBorders>
              <w:right w:val="thinThickThinSmallGap" w:sz="24" w:space="0" w:color="auto"/>
            </w:tcBorders>
            <w:shd w:val="clear" w:color="auto" w:fill="FFFFFF"/>
            <w:vAlign w:val="center"/>
          </w:tcPr>
          <w:p w:rsidR="006964BC" w:rsidRPr="001F29F9" w:rsidRDefault="006964BC" w:rsidP="004918B7">
            <w:pPr>
              <w:spacing w:line="220" w:lineRule="exact"/>
              <w:rPr>
                <w:rFonts w:cs="Calibri"/>
                <w:color w:val="000000"/>
                <w:sz w:val="18"/>
              </w:rPr>
            </w:pPr>
            <w:r>
              <w:rPr>
                <w:rFonts w:cs="Calibri"/>
                <w:color w:val="000000"/>
                <w:sz w:val="18"/>
              </w:rPr>
              <w:t>10%</w:t>
            </w:r>
          </w:p>
        </w:tc>
        <w:tc>
          <w:tcPr>
            <w:tcW w:w="2610" w:type="dxa"/>
            <w:tcBorders>
              <w:left w:val="thinThickThinSmallGap" w:sz="24" w:space="0" w:color="auto"/>
              <w:bottom w:val="single" w:sz="4" w:space="0" w:color="auto"/>
            </w:tcBorders>
            <w:shd w:val="clear" w:color="auto" w:fill="FFFFFF"/>
            <w:vAlign w:val="center"/>
          </w:tcPr>
          <w:p w:rsidR="006964BC" w:rsidRPr="001F29F9" w:rsidRDefault="006964BC" w:rsidP="004918B7">
            <w:pPr>
              <w:spacing w:line="220" w:lineRule="exact"/>
              <w:contextualSpacing/>
              <w:jc w:val="left"/>
              <w:rPr>
                <w:rFonts w:cs="Calibri"/>
                <w:color w:val="000000"/>
                <w:sz w:val="18"/>
              </w:rPr>
            </w:pPr>
            <w:proofErr w:type="spellStart"/>
            <w:r>
              <w:rPr>
                <w:rFonts w:cs="Calibri"/>
                <w:color w:val="000000"/>
                <w:sz w:val="18"/>
              </w:rPr>
              <w:t>Bursectomy</w:t>
            </w:r>
            <w:proofErr w:type="spellEnd"/>
            <w:r>
              <w:rPr>
                <w:rFonts w:cs="Calibri"/>
                <w:color w:val="000000"/>
                <w:sz w:val="18"/>
              </w:rPr>
              <w:t xml:space="preserve"> … R Shoulder</w:t>
            </w:r>
          </w:p>
        </w:tc>
        <w:tc>
          <w:tcPr>
            <w:tcW w:w="1080" w:type="dxa"/>
            <w:tcBorders>
              <w:bottom w:val="single" w:sz="4" w:space="0" w:color="auto"/>
            </w:tcBorders>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Pr>
                <w:rFonts w:cs="Calibri"/>
                <w:color w:val="000000" w:themeColor="text1"/>
                <w:sz w:val="18"/>
                <w:szCs w:val="18"/>
              </w:rPr>
              <w:t>5020</w:t>
            </w:r>
          </w:p>
        </w:tc>
        <w:tc>
          <w:tcPr>
            <w:tcW w:w="720" w:type="dxa"/>
            <w:tcBorders>
              <w:bottom w:val="single" w:sz="4" w:space="0" w:color="auto"/>
            </w:tcBorders>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tcBorders>
              <w:bottom w:val="single" w:sz="4" w:space="0" w:color="auto"/>
            </w:tcBorders>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70112</w:t>
            </w:r>
          </w:p>
        </w:tc>
      </w:tr>
      <w:tr w:rsidR="006964BC" w:rsidRPr="000D5DBE" w:rsidTr="004918B7">
        <w:trPr>
          <w:trHeight w:val="63"/>
        </w:trPr>
        <w:tc>
          <w:tcPr>
            <w:tcW w:w="2178" w:type="dxa"/>
            <w:vMerge/>
            <w:tcBorders>
              <w:right w:val="single" w:sz="4" w:space="0" w:color="auto"/>
            </w:tcBorders>
            <w:shd w:val="clear" w:color="auto" w:fill="FFFFFF"/>
            <w:vAlign w:val="center"/>
          </w:tcPr>
          <w:p w:rsidR="006964BC" w:rsidRDefault="006964BC" w:rsidP="004918B7">
            <w:pPr>
              <w:spacing w:line="220" w:lineRule="exact"/>
              <w:contextualSpacing/>
              <w:jc w:val="left"/>
              <w:rPr>
                <w:color w:val="000000" w:themeColor="text1"/>
                <w:sz w:val="18"/>
                <w:szCs w:val="18"/>
              </w:rPr>
            </w:pPr>
          </w:p>
        </w:tc>
        <w:tc>
          <w:tcPr>
            <w:tcW w:w="1080" w:type="dxa"/>
            <w:vMerge/>
            <w:tcBorders>
              <w:left w:val="single" w:sz="4" w:space="0" w:color="auto"/>
            </w:tcBorders>
            <w:shd w:val="clear" w:color="auto" w:fill="FFFFFF"/>
            <w:vAlign w:val="center"/>
          </w:tcPr>
          <w:p w:rsidR="006964BC" w:rsidRDefault="006964BC" w:rsidP="004918B7">
            <w:pPr>
              <w:spacing w:line="220" w:lineRule="exact"/>
              <w:contextualSpacing/>
              <w:rPr>
                <w:color w:val="000000" w:themeColor="text1"/>
                <w:sz w:val="18"/>
                <w:szCs w:val="18"/>
              </w:rPr>
            </w:pPr>
          </w:p>
        </w:tc>
        <w:tc>
          <w:tcPr>
            <w:tcW w:w="720" w:type="dxa"/>
            <w:vMerge/>
            <w:tcBorders>
              <w:right w:val="thinThickThinSmallGap" w:sz="24" w:space="0" w:color="auto"/>
            </w:tcBorders>
            <w:shd w:val="clear" w:color="auto" w:fill="FFFFFF"/>
            <w:vAlign w:val="center"/>
          </w:tcPr>
          <w:p w:rsidR="006964BC" w:rsidRPr="001F29F9" w:rsidRDefault="006964BC" w:rsidP="004918B7">
            <w:pPr>
              <w:spacing w:line="220" w:lineRule="exact"/>
              <w:rPr>
                <w:color w:val="000000"/>
                <w:sz w:val="18"/>
              </w:rPr>
            </w:pPr>
          </w:p>
        </w:tc>
        <w:tc>
          <w:tcPr>
            <w:tcW w:w="2610" w:type="dxa"/>
            <w:tcBorders>
              <w:top w:val="single" w:sz="4" w:space="0" w:color="auto"/>
              <w:left w:val="thinThickThinSmallGap" w:sz="24" w:space="0" w:color="auto"/>
            </w:tcBorders>
            <w:shd w:val="clear" w:color="auto" w:fill="FFFFFF"/>
            <w:vAlign w:val="center"/>
          </w:tcPr>
          <w:p w:rsidR="006964BC" w:rsidRPr="001F29F9" w:rsidRDefault="006964BC" w:rsidP="004918B7">
            <w:pPr>
              <w:spacing w:line="220" w:lineRule="exact"/>
              <w:contextualSpacing/>
              <w:jc w:val="left"/>
              <w:rPr>
                <w:color w:val="000000"/>
                <w:sz w:val="18"/>
              </w:rPr>
            </w:pPr>
            <w:r>
              <w:rPr>
                <w:rFonts w:cs="Calibri"/>
                <w:color w:val="000000" w:themeColor="text1"/>
                <w:sz w:val="18"/>
                <w:szCs w:val="18"/>
              </w:rPr>
              <w:t>DJD, R Knee</w:t>
            </w:r>
          </w:p>
        </w:tc>
        <w:tc>
          <w:tcPr>
            <w:tcW w:w="1080" w:type="dxa"/>
            <w:tcBorders>
              <w:top w:val="single" w:sz="4" w:space="0" w:color="auto"/>
            </w:tcBorders>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Pr>
                <w:rFonts w:cs="Calibri"/>
                <w:color w:val="000000" w:themeColor="text1"/>
                <w:sz w:val="18"/>
                <w:szCs w:val="18"/>
              </w:rPr>
              <w:t>5010-5260</w:t>
            </w:r>
          </w:p>
        </w:tc>
        <w:tc>
          <w:tcPr>
            <w:tcW w:w="720" w:type="dxa"/>
            <w:tcBorders>
              <w:top w:val="single" w:sz="4" w:space="0" w:color="auto"/>
            </w:tcBorders>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tcBorders>
              <w:top w:val="single" w:sz="4" w:space="0" w:color="auto"/>
            </w:tcBorders>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sidRPr="000929A6">
              <w:rPr>
                <w:rFonts w:cs="Calibri"/>
                <w:color w:val="000000" w:themeColor="text1"/>
                <w:sz w:val="18"/>
                <w:szCs w:val="18"/>
              </w:rPr>
              <w:t>20070112</w:t>
            </w:r>
          </w:p>
        </w:tc>
      </w:tr>
      <w:tr w:rsidR="006964BC" w:rsidRPr="000D5DBE" w:rsidTr="004918B7">
        <w:trPr>
          <w:trHeight w:val="97"/>
        </w:trPr>
        <w:tc>
          <w:tcPr>
            <w:tcW w:w="2178" w:type="dxa"/>
            <w:tcBorders>
              <w:right w:val="single" w:sz="4" w:space="0" w:color="auto"/>
            </w:tcBorders>
            <w:shd w:val="clear" w:color="auto" w:fill="FFFFFF"/>
            <w:vAlign w:val="center"/>
          </w:tcPr>
          <w:p w:rsidR="006964BC" w:rsidRPr="001F29F9" w:rsidRDefault="006964BC" w:rsidP="004918B7">
            <w:pPr>
              <w:spacing w:line="220" w:lineRule="exact"/>
              <w:contextualSpacing/>
              <w:jc w:val="left"/>
              <w:rPr>
                <w:rFonts w:cs="Calibri"/>
                <w:color w:val="000000"/>
                <w:sz w:val="18"/>
              </w:rPr>
            </w:pPr>
            <w:r>
              <w:rPr>
                <w:rFonts w:cs="Calibri"/>
                <w:color w:val="000000" w:themeColor="text1"/>
                <w:sz w:val="18"/>
                <w:szCs w:val="18"/>
              </w:rPr>
              <w:t>Headaches</w:t>
            </w:r>
          </w:p>
        </w:tc>
        <w:tc>
          <w:tcPr>
            <w:tcW w:w="1800" w:type="dxa"/>
            <w:gridSpan w:val="2"/>
            <w:tcBorders>
              <w:left w:val="single" w:sz="4" w:space="0" w:color="auto"/>
              <w:right w:val="thinThickThinSmallGap" w:sz="24" w:space="0" w:color="auto"/>
            </w:tcBorders>
            <w:shd w:val="clear" w:color="auto" w:fill="FFFFFF"/>
            <w:vAlign w:val="center"/>
          </w:tcPr>
          <w:p w:rsidR="006964BC" w:rsidRPr="00D8352E" w:rsidRDefault="006964BC" w:rsidP="004918B7">
            <w:pPr>
              <w:spacing w:line="220" w:lineRule="exact"/>
              <w:contextualSpacing/>
              <w:rPr>
                <w:rFonts w:cs="Calibri"/>
                <w:color w:val="000000"/>
                <w:sz w:val="18"/>
              </w:rPr>
            </w:pPr>
            <w:r w:rsidRPr="00D8352E">
              <w:rPr>
                <w:color w:val="000000"/>
                <w:sz w:val="18"/>
              </w:rPr>
              <w:t>Not Unfitting</w:t>
            </w:r>
          </w:p>
        </w:tc>
        <w:tc>
          <w:tcPr>
            <w:tcW w:w="2610" w:type="dxa"/>
            <w:tcBorders>
              <w:left w:val="thinThickThinSmallGap" w:sz="24" w:space="0" w:color="auto"/>
              <w:right w:val="single" w:sz="4" w:space="0" w:color="auto"/>
            </w:tcBorders>
            <w:shd w:val="clear" w:color="auto" w:fill="FFFFFF"/>
            <w:vAlign w:val="center"/>
          </w:tcPr>
          <w:p w:rsidR="006964BC" w:rsidRPr="001F29F9" w:rsidRDefault="006964BC" w:rsidP="004918B7">
            <w:pPr>
              <w:spacing w:line="220" w:lineRule="exact"/>
              <w:contextualSpacing/>
              <w:jc w:val="left"/>
              <w:rPr>
                <w:rFonts w:cs="Calibri"/>
                <w:color w:val="000000" w:themeColor="text1"/>
                <w:sz w:val="18"/>
                <w:szCs w:val="18"/>
              </w:rPr>
            </w:pPr>
            <w:r>
              <w:rPr>
                <w:rFonts w:cs="Calibri"/>
                <w:color w:val="000000" w:themeColor="text1"/>
                <w:sz w:val="18"/>
                <w:szCs w:val="18"/>
              </w:rPr>
              <w:t>Migraine Headaches</w:t>
            </w:r>
          </w:p>
        </w:tc>
        <w:tc>
          <w:tcPr>
            <w:tcW w:w="1080" w:type="dxa"/>
            <w:tcBorders>
              <w:left w:val="single" w:sz="4" w:space="0" w:color="auto"/>
            </w:tcBorders>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Pr>
                <w:rFonts w:cs="Calibri"/>
                <w:color w:val="000000" w:themeColor="text1"/>
                <w:sz w:val="18"/>
                <w:szCs w:val="18"/>
              </w:rPr>
              <w:t>8100</w:t>
            </w:r>
          </w:p>
        </w:tc>
        <w:tc>
          <w:tcPr>
            <w:tcW w:w="720" w:type="dxa"/>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960" w:type="dxa"/>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70112</w:t>
            </w:r>
          </w:p>
        </w:tc>
      </w:tr>
      <w:tr w:rsidR="006964BC" w:rsidRPr="000D5DBE" w:rsidTr="004918B7">
        <w:trPr>
          <w:trHeight w:val="97"/>
        </w:trPr>
        <w:tc>
          <w:tcPr>
            <w:tcW w:w="2178" w:type="dxa"/>
            <w:tcBorders>
              <w:right w:val="single" w:sz="4" w:space="0" w:color="auto"/>
            </w:tcBorders>
            <w:shd w:val="clear" w:color="auto" w:fill="FFFFFF"/>
            <w:vAlign w:val="center"/>
          </w:tcPr>
          <w:p w:rsidR="006964BC" w:rsidRPr="001F29F9" w:rsidRDefault="006964BC" w:rsidP="004918B7">
            <w:pPr>
              <w:spacing w:line="220" w:lineRule="exact"/>
              <w:contextualSpacing/>
              <w:jc w:val="left"/>
              <w:rPr>
                <w:color w:val="000000"/>
                <w:sz w:val="18"/>
              </w:rPr>
            </w:pPr>
            <w:r>
              <w:rPr>
                <w:rFonts w:cs="Calibri"/>
                <w:color w:val="000000" w:themeColor="text1"/>
                <w:sz w:val="18"/>
                <w:szCs w:val="18"/>
              </w:rPr>
              <w:t>GERD</w:t>
            </w:r>
          </w:p>
        </w:tc>
        <w:tc>
          <w:tcPr>
            <w:tcW w:w="1800" w:type="dxa"/>
            <w:gridSpan w:val="2"/>
            <w:tcBorders>
              <w:left w:val="single" w:sz="4" w:space="0" w:color="auto"/>
              <w:right w:val="thinThickThinSmallGap" w:sz="24" w:space="0" w:color="auto"/>
            </w:tcBorders>
            <w:shd w:val="clear" w:color="auto" w:fill="FFFFFF"/>
            <w:vAlign w:val="center"/>
          </w:tcPr>
          <w:p w:rsidR="006964BC" w:rsidRPr="00D8352E" w:rsidRDefault="006964BC" w:rsidP="004918B7">
            <w:pPr>
              <w:spacing w:line="220" w:lineRule="exact"/>
              <w:contextualSpacing/>
              <w:rPr>
                <w:color w:val="000000"/>
                <w:sz w:val="18"/>
              </w:rPr>
            </w:pPr>
            <w:r w:rsidRPr="00D8352E">
              <w:rPr>
                <w:color w:val="000000"/>
                <w:sz w:val="18"/>
              </w:rPr>
              <w:t>Not Unfitting</w:t>
            </w:r>
          </w:p>
        </w:tc>
        <w:tc>
          <w:tcPr>
            <w:tcW w:w="2610" w:type="dxa"/>
            <w:tcBorders>
              <w:left w:val="thinThickThinSmallGap" w:sz="24" w:space="0" w:color="auto"/>
              <w:right w:val="single" w:sz="4" w:space="0" w:color="auto"/>
            </w:tcBorders>
            <w:shd w:val="clear" w:color="auto" w:fill="FFFFFF"/>
            <w:vAlign w:val="center"/>
          </w:tcPr>
          <w:p w:rsidR="006964BC" w:rsidRPr="001F29F9" w:rsidRDefault="006964BC" w:rsidP="004918B7">
            <w:pPr>
              <w:spacing w:line="220" w:lineRule="exact"/>
              <w:contextualSpacing/>
              <w:jc w:val="left"/>
              <w:rPr>
                <w:rFonts w:cs="Calibri"/>
                <w:color w:val="000000" w:themeColor="text1"/>
                <w:sz w:val="18"/>
                <w:szCs w:val="18"/>
              </w:rPr>
            </w:pPr>
            <w:r>
              <w:rPr>
                <w:rFonts w:cs="Calibri"/>
                <w:color w:val="000000" w:themeColor="text1"/>
                <w:sz w:val="18"/>
                <w:szCs w:val="18"/>
              </w:rPr>
              <w:t>GERD</w:t>
            </w:r>
          </w:p>
        </w:tc>
        <w:tc>
          <w:tcPr>
            <w:tcW w:w="1080" w:type="dxa"/>
            <w:tcBorders>
              <w:left w:val="single" w:sz="4" w:space="0" w:color="auto"/>
            </w:tcBorders>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Pr>
                <w:rFonts w:cs="Calibri"/>
                <w:color w:val="000000" w:themeColor="text1"/>
                <w:sz w:val="18"/>
                <w:szCs w:val="18"/>
              </w:rPr>
              <w:t>7399-7346</w:t>
            </w:r>
          </w:p>
        </w:tc>
        <w:tc>
          <w:tcPr>
            <w:tcW w:w="720" w:type="dxa"/>
            <w:shd w:val="clear" w:color="auto" w:fill="FFFFFF"/>
            <w:vAlign w:val="center"/>
          </w:tcPr>
          <w:p w:rsidR="006964BC" w:rsidRPr="001F29F9" w:rsidRDefault="006964BC" w:rsidP="004918B7">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6964BC" w:rsidRPr="001F29F9" w:rsidRDefault="006964BC" w:rsidP="004918B7">
            <w:pPr>
              <w:spacing w:line="220" w:lineRule="exact"/>
              <w:contextualSpacing/>
              <w:rPr>
                <w:rFonts w:cs="Calibri"/>
                <w:color w:val="000000" w:themeColor="text1"/>
                <w:sz w:val="18"/>
                <w:szCs w:val="18"/>
                <w:highlight w:val="yellow"/>
              </w:rPr>
            </w:pPr>
            <w:r w:rsidRPr="000929A6">
              <w:rPr>
                <w:rFonts w:cs="Calibri"/>
                <w:color w:val="000000" w:themeColor="text1"/>
                <w:sz w:val="18"/>
                <w:szCs w:val="18"/>
              </w:rPr>
              <w:t>20070112</w:t>
            </w:r>
          </w:p>
        </w:tc>
      </w:tr>
      <w:tr w:rsidR="001B1C25" w:rsidRPr="000D5DBE" w:rsidTr="004918B7">
        <w:trPr>
          <w:trHeight w:val="97"/>
        </w:trPr>
        <w:tc>
          <w:tcPr>
            <w:tcW w:w="3978" w:type="dxa"/>
            <w:gridSpan w:val="3"/>
            <w:vMerge w:val="restart"/>
            <w:tcBorders>
              <w:right w:val="thinThickThinSmallGap" w:sz="24" w:space="0" w:color="auto"/>
            </w:tcBorders>
            <w:shd w:val="clear" w:color="auto" w:fill="FFFFFF"/>
          </w:tcPr>
          <w:p w:rsidR="001B1C25" w:rsidRPr="00D8352E" w:rsidRDefault="001B1C25" w:rsidP="001B1C25">
            <w:pPr>
              <w:spacing w:line="220" w:lineRule="exact"/>
              <w:contextualSpacing/>
              <w:rPr>
                <w:color w:val="000000"/>
                <w:sz w:val="18"/>
              </w:rPr>
            </w:pPr>
            <w:r w:rsidRPr="001F29F9">
              <w:rPr>
                <w:rFonts w:cs="Calibri"/>
                <w:color w:val="000000" w:themeColor="text1"/>
                <w:sz w:val="18"/>
                <w:szCs w:val="18"/>
              </w:rPr>
              <w:t>↓No Additional MEB/PEB Entries↓</w:t>
            </w:r>
          </w:p>
        </w:tc>
        <w:tc>
          <w:tcPr>
            <w:tcW w:w="2610" w:type="dxa"/>
            <w:tcBorders>
              <w:left w:val="thinThickThinSmallGap" w:sz="24" w:space="0" w:color="auto"/>
              <w:right w:val="single" w:sz="4" w:space="0" w:color="auto"/>
            </w:tcBorders>
            <w:shd w:val="clear" w:color="auto" w:fill="FFFFFF"/>
            <w:vAlign w:val="center"/>
          </w:tcPr>
          <w:p w:rsidR="001B1C25" w:rsidRDefault="001B1C25" w:rsidP="001B1C25">
            <w:pPr>
              <w:spacing w:line="220" w:lineRule="exact"/>
              <w:contextualSpacing/>
              <w:jc w:val="left"/>
              <w:rPr>
                <w:rFonts w:cs="Calibri"/>
                <w:color w:val="000000" w:themeColor="text1"/>
                <w:sz w:val="18"/>
                <w:szCs w:val="18"/>
              </w:rPr>
            </w:pPr>
            <w:r>
              <w:rPr>
                <w:rFonts w:cs="Calibri"/>
                <w:color w:val="000000" w:themeColor="text1"/>
                <w:sz w:val="18"/>
                <w:szCs w:val="18"/>
              </w:rPr>
              <w:t>Asthma</w:t>
            </w:r>
          </w:p>
        </w:tc>
        <w:tc>
          <w:tcPr>
            <w:tcW w:w="1080" w:type="dxa"/>
            <w:tcBorders>
              <w:left w:val="single" w:sz="4" w:space="0" w:color="auto"/>
            </w:tcBorders>
            <w:shd w:val="clear" w:color="auto" w:fill="FFFFFF"/>
            <w:vAlign w:val="center"/>
          </w:tcPr>
          <w:p w:rsidR="001B1C25" w:rsidRDefault="001B1C25" w:rsidP="001B1C25">
            <w:pPr>
              <w:spacing w:line="220" w:lineRule="exact"/>
              <w:contextualSpacing/>
              <w:rPr>
                <w:rFonts w:cs="Calibri"/>
                <w:color w:val="000000" w:themeColor="text1"/>
                <w:sz w:val="18"/>
                <w:szCs w:val="18"/>
              </w:rPr>
            </w:pPr>
            <w:r>
              <w:rPr>
                <w:rFonts w:cs="Calibri"/>
                <w:color w:val="000000" w:themeColor="text1"/>
                <w:sz w:val="18"/>
                <w:szCs w:val="18"/>
              </w:rPr>
              <w:t>6602</w:t>
            </w:r>
          </w:p>
        </w:tc>
        <w:tc>
          <w:tcPr>
            <w:tcW w:w="720" w:type="dxa"/>
            <w:shd w:val="clear" w:color="auto" w:fill="FFFFFF"/>
            <w:vAlign w:val="center"/>
          </w:tcPr>
          <w:p w:rsidR="001B1C25" w:rsidRDefault="001B1C25" w:rsidP="001B1C25">
            <w:pPr>
              <w:spacing w:line="220" w:lineRule="exact"/>
              <w:contextualSpacing/>
              <w:rPr>
                <w:rFonts w:cs="Calibri"/>
                <w:color w:val="000000" w:themeColor="text1"/>
                <w:sz w:val="18"/>
                <w:szCs w:val="18"/>
              </w:rPr>
            </w:pPr>
            <w:r>
              <w:rPr>
                <w:rFonts w:cs="Calibri"/>
                <w:color w:val="000000" w:themeColor="text1"/>
                <w:sz w:val="18"/>
                <w:szCs w:val="18"/>
              </w:rPr>
              <w:t>30%</w:t>
            </w:r>
          </w:p>
        </w:tc>
        <w:tc>
          <w:tcPr>
            <w:tcW w:w="960" w:type="dxa"/>
            <w:shd w:val="clear" w:color="auto" w:fill="FFFFFF"/>
            <w:vAlign w:val="center"/>
          </w:tcPr>
          <w:p w:rsidR="001B1C25" w:rsidRPr="000929A6" w:rsidRDefault="001B1C25" w:rsidP="001B1C25">
            <w:pPr>
              <w:spacing w:line="220" w:lineRule="exact"/>
              <w:contextualSpacing/>
              <w:rPr>
                <w:rFonts w:cs="Calibri"/>
                <w:color w:val="000000" w:themeColor="text1"/>
                <w:sz w:val="18"/>
                <w:szCs w:val="18"/>
              </w:rPr>
            </w:pPr>
            <w:r w:rsidRPr="000929A6">
              <w:rPr>
                <w:rFonts w:cs="Calibri"/>
                <w:color w:val="000000" w:themeColor="text1"/>
                <w:sz w:val="18"/>
                <w:szCs w:val="18"/>
              </w:rPr>
              <w:t>20070112</w:t>
            </w:r>
          </w:p>
        </w:tc>
      </w:tr>
      <w:tr w:rsidR="001B1C25" w:rsidRPr="000D5DBE" w:rsidTr="004918B7">
        <w:trPr>
          <w:trHeight w:val="97"/>
        </w:trPr>
        <w:tc>
          <w:tcPr>
            <w:tcW w:w="3978" w:type="dxa"/>
            <w:gridSpan w:val="3"/>
            <w:vMerge/>
            <w:tcBorders>
              <w:right w:val="thinThickThinSmallGap" w:sz="24" w:space="0" w:color="auto"/>
            </w:tcBorders>
            <w:shd w:val="clear" w:color="auto" w:fill="FFFFFF"/>
          </w:tcPr>
          <w:p w:rsidR="001B1C25" w:rsidRPr="001F29F9" w:rsidRDefault="001B1C25" w:rsidP="001B1C25">
            <w:pPr>
              <w:spacing w:line="220" w:lineRule="exact"/>
              <w:contextualSpacing/>
              <w:rPr>
                <w:color w:val="000000" w:themeColor="text1"/>
                <w:sz w:val="18"/>
                <w:szCs w:val="18"/>
              </w:rPr>
            </w:pPr>
          </w:p>
        </w:tc>
        <w:tc>
          <w:tcPr>
            <w:tcW w:w="2610" w:type="dxa"/>
            <w:tcBorders>
              <w:left w:val="thinThickThinSmallGap" w:sz="24" w:space="0" w:color="auto"/>
              <w:right w:val="single" w:sz="4" w:space="0" w:color="auto"/>
            </w:tcBorders>
            <w:shd w:val="clear" w:color="auto" w:fill="FFFFFF"/>
            <w:vAlign w:val="center"/>
          </w:tcPr>
          <w:p w:rsidR="001B1C25" w:rsidRPr="001F29F9" w:rsidRDefault="001B1C25" w:rsidP="001B1C25">
            <w:pPr>
              <w:spacing w:line="220" w:lineRule="exact"/>
              <w:contextualSpacing/>
              <w:jc w:val="left"/>
              <w:rPr>
                <w:rFonts w:cs="Calibri"/>
                <w:color w:val="000000" w:themeColor="text1"/>
                <w:sz w:val="18"/>
                <w:szCs w:val="18"/>
              </w:rPr>
            </w:pPr>
            <w:r>
              <w:rPr>
                <w:rFonts w:cs="Calibri"/>
                <w:color w:val="000000" w:themeColor="text1"/>
                <w:sz w:val="18"/>
                <w:szCs w:val="18"/>
              </w:rPr>
              <w:t>Dry Eye Syndrome</w:t>
            </w:r>
          </w:p>
        </w:tc>
        <w:tc>
          <w:tcPr>
            <w:tcW w:w="1080" w:type="dxa"/>
            <w:tcBorders>
              <w:left w:val="single" w:sz="4" w:space="0" w:color="auto"/>
            </w:tcBorders>
            <w:shd w:val="clear" w:color="auto" w:fill="FFFFFF"/>
            <w:vAlign w:val="center"/>
          </w:tcPr>
          <w:p w:rsidR="001B1C25" w:rsidRPr="001F29F9" w:rsidRDefault="001B1C25" w:rsidP="001B1C25">
            <w:pPr>
              <w:spacing w:line="220" w:lineRule="exact"/>
              <w:contextualSpacing/>
              <w:rPr>
                <w:rFonts w:cs="Calibri"/>
                <w:color w:val="000000" w:themeColor="text1"/>
                <w:sz w:val="18"/>
                <w:szCs w:val="18"/>
              </w:rPr>
            </w:pPr>
            <w:r>
              <w:rPr>
                <w:rFonts w:cs="Calibri"/>
                <w:color w:val="000000" w:themeColor="text1"/>
                <w:sz w:val="18"/>
                <w:szCs w:val="18"/>
              </w:rPr>
              <w:t>6099-6018</w:t>
            </w:r>
          </w:p>
        </w:tc>
        <w:tc>
          <w:tcPr>
            <w:tcW w:w="720" w:type="dxa"/>
            <w:shd w:val="clear" w:color="auto" w:fill="FFFFFF"/>
            <w:vAlign w:val="center"/>
          </w:tcPr>
          <w:p w:rsidR="001B1C25" w:rsidRPr="001F29F9" w:rsidRDefault="001B1C25" w:rsidP="001B1C25">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1B1C25" w:rsidRPr="001F29F9" w:rsidRDefault="001B1C25" w:rsidP="001B1C25">
            <w:pPr>
              <w:spacing w:line="220" w:lineRule="exact"/>
              <w:contextualSpacing/>
              <w:rPr>
                <w:rFonts w:cs="Calibri"/>
                <w:color w:val="000000" w:themeColor="text1"/>
                <w:sz w:val="18"/>
                <w:szCs w:val="18"/>
                <w:highlight w:val="yellow"/>
              </w:rPr>
            </w:pPr>
            <w:r w:rsidRPr="000929A6">
              <w:rPr>
                <w:rFonts w:cs="Calibri"/>
                <w:color w:val="000000" w:themeColor="text1"/>
                <w:sz w:val="18"/>
                <w:szCs w:val="18"/>
              </w:rPr>
              <w:t>20070112</w:t>
            </w:r>
          </w:p>
        </w:tc>
      </w:tr>
      <w:tr w:rsidR="00956608" w:rsidRPr="000D5DBE" w:rsidTr="004918B7">
        <w:trPr>
          <w:trHeight w:val="172"/>
        </w:trPr>
        <w:tc>
          <w:tcPr>
            <w:tcW w:w="3978" w:type="dxa"/>
            <w:gridSpan w:val="3"/>
            <w:vMerge/>
            <w:tcBorders>
              <w:right w:val="thinThickThinSmallGap" w:sz="24" w:space="0" w:color="auto"/>
            </w:tcBorders>
            <w:shd w:val="clear" w:color="auto" w:fill="FFFFFF"/>
            <w:vAlign w:val="center"/>
          </w:tcPr>
          <w:p w:rsidR="00956608" w:rsidRPr="001F29F9" w:rsidRDefault="00956608" w:rsidP="004918B7">
            <w:pPr>
              <w:spacing w:line="220" w:lineRule="exact"/>
              <w:contextualSpacing/>
              <w:rPr>
                <w:rFonts w:cs="Calibri"/>
                <w:color w:val="000000"/>
                <w:sz w:val="18"/>
              </w:rPr>
            </w:pPr>
          </w:p>
        </w:tc>
        <w:tc>
          <w:tcPr>
            <w:tcW w:w="4410" w:type="dxa"/>
            <w:gridSpan w:val="3"/>
            <w:tcBorders>
              <w:left w:val="thinThickThinSmallGap" w:sz="24" w:space="0" w:color="auto"/>
            </w:tcBorders>
            <w:shd w:val="clear" w:color="auto" w:fill="FFFFFF"/>
            <w:vAlign w:val="center"/>
          </w:tcPr>
          <w:p w:rsidR="00956608" w:rsidRPr="001F29F9" w:rsidRDefault="006964BC" w:rsidP="004918B7">
            <w:pPr>
              <w:spacing w:line="220" w:lineRule="exact"/>
              <w:contextualSpacing/>
              <w:rPr>
                <w:rFonts w:cs="Calibri"/>
                <w:color w:val="000000"/>
                <w:sz w:val="18"/>
              </w:rPr>
            </w:pPr>
            <w:r>
              <w:rPr>
                <w:color w:val="000000"/>
                <w:sz w:val="18"/>
              </w:rPr>
              <w:t>0% X 3</w:t>
            </w:r>
            <w:r w:rsidR="00956608">
              <w:rPr>
                <w:color w:val="000000"/>
                <w:sz w:val="18"/>
              </w:rPr>
              <w:t xml:space="preserve"> </w:t>
            </w:r>
            <w:r w:rsidR="00956608" w:rsidRPr="000D5DBE">
              <w:rPr>
                <w:color w:val="000000"/>
                <w:sz w:val="18"/>
              </w:rPr>
              <w:t>/</w:t>
            </w:r>
            <w:r w:rsidR="00956608">
              <w:rPr>
                <w:color w:val="000000"/>
                <w:sz w:val="18"/>
              </w:rPr>
              <w:t xml:space="preserve"> </w:t>
            </w:r>
            <w:r w:rsidR="00F4064B">
              <w:rPr>
                <w:color w:val="000000"/>
                <w:sz w:val="18"/>
              </w:rPr>
              <w:t>Not Service-</w:t>
            </w:r>
            <w:r w:rsidR="00956608" w:rsidRPr="000D5DBE">
              <w:rPr>
                <w:color w:val="000000"/>
                <w:sz w:val="18"/>
              </w:rPr>
              <w:t xml:space="preserve">Connected x </w:t>
            </w:r>
            <w:r>
              <w:rPr>
                <w:color w:val="000000"/>
                <w:sz w:val="18"/>
              </w:rPr>
              <w:t>1</w:t>
            </w:r>
          </w:p>
        </w:tc>
        <w:tc>
          <w:tcPr>
            <w:tcW w:w="960" w:type="dxa"/>
            <w:shd w:val="clear" w:color="auto" w:fill="FFFFFF"/>
            <w:vAlign w:val="center"/>
          </w:tcPr>
          <w:p w:rsidR="00956608" w:rsidRPr="001F29F9" w:rsidRDefault="006964BC" w:rsidP="004918B7">
            <w:pPr>
              <w:spacing w:line="220" w:lineRule="exact"/>
              <w:contextualSpacing/>
              <w:rPr>
                <w:rFonts w:cs="Calibri"/>
                <w:color w:val="000000"/>
                <w:sz w:val="18"/>
              </w:rPr>
            </w:pPr>
            <w:r w:rsidRPr="000929A6">
              <w:rPr>
                <w:rFonts w:cs="Calibri"/>
                <w:color w:val="000000" w:themeColor="text1"/>
                <w:sz w:val="18"/>
                <w:szCs w:val="18"/>
              </w:rPr>
              <w:t>20070112</w:t>
            </w:r>
          </w:p>
        </w:tc>
      </w:tr>
      <w:tr w:rsidR="00AD2379" w:rsidRPr="000D5DBE" w:rsidTr="006964BC">
        <w:trPr>
          <w:trHeight w:val="124"/>
        </w:trPr>
        <w:tc>
          <w:tcPr>
            <w:tcW w:w="3978" w:type="dxa"/>
            <w:gridSpan w:val="3"/>
            <w:tcBorders>
              <w:right w:val="thinThickThinSmallGap" w:sz="24" w:space="0" w:color="auto"/>
            </w:tcBorders>
            <w:shd w:val="clear" w:color="auto" w:fill="D9D9D9"/>
          </w:tcPr>
          <w:p w:rsidR="00AD2379" w:rsidRPr="000D5DBE" w:rsidRDefault="004918B7" w:rsidP="006964BC">
            <w:pPr>
              <w:contextualSpacing/>
              <w:rPr>
                <w:rFonts w:cs="Calibri"/>
                <w:b/>
                <w:color w:val="000000"/>
                <w:sz w:val="18"/>
              </w:rPr>
            </w:pPr>
            <w:r>
              <w:rPr>
                <w:b/>
                <w:color w:val="000000"/>
                <w:sz w:val="18"/>
              </w:rPr>
              <w:t>Combined:  1</w:t>
            </w:r>
            <w:r w:rsidR="00AD2379" w:rsidRPr="000D5DBE">
              <w:rPr>
                <w:b/>
                <w:color w:val="000000"/>
                <w:sz w:val="18"/>
              </w:rPr>
              <w:t>0%</w:t>
            </w:r>
          </w:p>
        </w:tc>
        <w:tc>
          <w:tcPr>
            <w:tcW w:w="5370" w:type="dxa"/>
            <w:gridSpan w:val="4"/>
            <w:tcBorders>
              <w:left w:val="thinThickThinSmallGap" w:sz="24" w:space="0" w:color="auto"/>
            </w:tcBorders>
            <w:shd w:val="clear" w:color="auto" w:fill="D9D9D9"/>
          </w:tcPr>
          <w:p w:rsidR="00AD2379" w:rsidRPr="000D5DBE" w:rsidRDefault="004918B7" w:rsidP="006964BC">
            <w:pPr>
              <w:contextualSpacing/>
              <w:rPr>
                <w:rFonts w:cs="Calibri"/>
                <w:b/>
                <w:color w:val="000000"/>
                <w:sz w:val="18"/>
              </w:rPr>
            </w:pPr>
            <w:r>
              <w:rPr>
                <w:b/>
                <w:color w:val="000000"/>
                <w:sz w:val="18"/>
              </w:rPr>
              <w:t>Combined:  5</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DF7BC2" w:rsidRDefault="00AD2379" w:rsidP="00DF7BC2">
      <w:pPr>
        <w:jc w:val="both"/>
        <w:rPr>
          <w:color w:val="000000"/>
        </w:rPr>
      </w:pPr>
      <w:r w:rsidRPr="001F29F9">
        <w:rPr>
          <w:color w:val="000000"/>
          <w:u w:val="single"/>
        </w:rPr>
        <w:t>ANALYSIS SUMMARY</w:t>
      </w:r>
      <w:r w:rsidRPr="001F29F9">
        <w:rPr>
          <w:color w:val="000000"/>
        </w:rPr>
        <w:t>:</w:t>
      </w:r>
      <w:r>
        <w:rPr>
          <w:color w:val="000000"/>
        </w:rPr>
        <w:t xml:space="preserve"> </w:t>
      </w:r>
      <w:r w:rsidR="00DF7BC2">
        <w:rPr>
          <w:color w:val="000000"/>
        </w:rPr>
        <w:t xml:space="preserve"> </w:t>
      </w:r>
      <w:r w:rsidR="00DF7BC2" w:rsidRPr="00DF7BC2">
        <w:rPr>
          <w:color w:val="000000"/>
        </w:rPr>
        <w:t>The Board acknowledges the sentiment expressed in the CI’s applicat</w:t>
      </w:r>
      <w:r w:rsidR="00DF7BC2">
        <w:rPr>
          <w:color w:val="000000"/>
        </w:rPr>
        <w:t>ion regarding the gravity of her</w:t>
      </w:r>
      <w:r w:rsidR="00DF7BC2" w:rsidRPr="00DF7BC2">
        <w:rPr>
          <w:color w:val="000000"/>
        </w:rPr>
        <w:t xml:space="preserve"> condition</w:t>
      </w:r>
      <w:r w:rsidR="00DF7BC2">
        <w:rPr>
          <w:color w:val="000000"/>
        </w:rPr>
        <w:t>s</w:t>
      </w:r>
      <w:r w:rsidR="00DF7BC2" w:rsidRPr="00DF7BC2">
        <w:rPr>
          <w:color w:val="000000"/>
        </w:rPr>
        <w:t xml:space="preserve"> and the signi</w:t>
      </w:r>
      <w:r w:rsidR="00DF7BC2">
        <w:rPr>
          <w:color w:val="000000"/>
        </w:rPr>
        <w:t>ficant impairment with which her</w:t>
      </w:r>
      <w:r w:rsidR="00DF7BC2" w:rsidRPr="00DF7BC2">
        <w:rPr>
          <w:color w:val="000000"/>
        </w:rPr>
        <w:t xml:space="preserve"> service-connected condition</w:t>
      </w:r>
      <w:r w:rsidR="00DF7BC2">
        <w:rPr>
          <w:color w:val="000000"/>
        </w:rPr>
        <w:t>s continue</w:t>
      </w:r>
      <w:r w:rsidR="00DF7BC2" w:rsidRPr="00DF7BC2">
        <w:rPr>
          <w:color w:val="000000"/>
        </w:rPr>
        <w:t xml:space="preserve"> to burden </w:t>
      </w:r>
      <w:r w:rsidR="00DF7BC2">
        <w:rPr>
          <w:color w:val="000000"/>
        </w:rPr>
        <w:t>her</w:t>
      </w:r>
      <w:r w:rsidR="00DF7BC2" w:rsidRPr="00DF7BC2">
        <w:rPr>
          <w:color w:val="000000"/>
        </w:rPr>
        <w:t xml:space="preserve">.  </w:t>
      </w:r>
      <w:r w:rsidR="004434EF" w:rsidRPr="004434EF">
        <w:rPr>
          <w:color w:val="000000"/>
        </w:rPr>
        <w:t xml:space="preserve">The Board wishes to clarify that it is subject to the same laws for </w:t>
      </w:r>
      <w:r w:rsidR="00F4064B">
        <w:rPr>
          <w:color w:val="000000"/>
        </w:rPr>
        <w:t>s</w:t>
      </w:r>
      <w:r w:rsidR="004434EF" w:rsidRPr="004434EF">
        <w:rPr>
          <w:color w:val="000000"/>
        </w:rPr>
        <w:t xml:space="preserve">ervice disability entitlements as those under which the </w:t>
      </w:r>
      <w:r w:rsidR="00391DC2">
        <w:rPr>
          <w:color w:val="000000"/>
        </w:rPr>
        <w:t xml:space="preserve">DES operates.  The </w:t>
      </w:r>
      <w:r w:rsidR="004434EF" w:rsidRPr="004434EF">
        <w:rPr>
          <w:color w:val="000000"/>
        </w:rPr>
        <w:t>DES has neither the role nor the authority to compensate service members for anticipated future severity or potential complications of conditions resulting in medical separation.  That role and authority is granted by Congress to the Department of Veteran</w:t>
      </w:r>
      <w:r w:rsidR="00F4064B">
        <w:rPr>
          <w:color w:val="000000"/>
        </w:rPr>
        <w:t>s’</w:t>
      </w:r>
      <w:r w:rsidR="004434EF" w:rsidRPr="004434EF">
        <w:rPr>
          <w:color w:val="000000"/>
        </w:rPr>
        <w:t xml:space="preserve"> Affairs (DVA), operating under a different set of laws (Title 38, United States Code).  The Board evaluates </w:t>
      </w:r>
      <w:r w:rsidR="00F4064B">
        <w:rPr>
          <w:color w:val="000000"/>
        </w:rPr>
        <w:t>D</w:t>
      </w:r>
      <w:r w:rsidR="004434EF" w:rsidRPr="004434EF">
        <w:rPr>
          <w:color w:val="000000"/>
        </w:rPr>
        <w:t xml:space="preserve">VA evidence proximal to separation in arriving at its recommendations, but its authority resides in evaluating the fairness of </w:t>
      </w:r>
      <w:r w:rsidR="00F4064B">
        <w:rPr>
          <w:color w:val="000000"/>
        </w:rPr>
        <w:t>s</w:t>
      </w:r>
      <w:r w:rsidR="004434EF" w:rsidRPr="004434EF">
        <w:rPr>
          <w:color w:val="000000"/>
        </w:rPr>
        <w:t xml:space="preserve">ervice fitness decisions and rating determinations for disability at the time of separation.  The Board further acknowledges the CI’s contention for </w:t>
      </w:r>
      <w:r w:rsidR="00F4064B">
        <w:rPr>
          <w:color w:val="000000"/>
        </w:rPr>
        <w:t>s</w:t>
      </w:r>
      <w:r w:rsidR="004434EF" w:rsidRPr="004434EF">
        <w:rPr>
          <w:color w:val="000000"/>
        </w:rPr>
        <w:t xml:space="preserve">ervice ratings for other conditions </w:t>
      </w:r>
      <w:r w:rsidR="002E6BD9">
        <w:rPr>
          <w:color w:val="000000"/>
        </w:rPr>
        <w:t>which arose in service</w:t>
      </w:r>
      <w:r w:rsidR="004434EF" w:rsidRPr="004434EF">
        <w:rPr>
          <w:color w:val="000000"/>
        </w:rPr>
        <w:t>, and notes that its recommendations in that regard must comply with t</w:t>
      </w:r>
      <w:r w:rsidR="00391DC2">
        <w:rPr>
          <w:color w:val="000000"/>
        </w:rPr>
        <w:t xml:space="preserve">he same governance.  While the </w:t>
      </w:r>
      <w:r w:rsidR="004434EF" w:rsidRPr="004434EF">
        <w:rPr>
          <w:color w:val="000000"/>
        </w:rPr>
        <w:t xml:space="preserve">DES considers all of the service member's medical conditions, compensation can only be offered for those medical conditions that cut  short </w:t>
      </w:r>
      <w:r w:rsidR="00391DC2">
        <w:rPr>
          <w:color w:val="000000"/>
        </w:rPr>
        <w:t>the</w:t>
      </w:r>
      <w:r w:rsidR="004434EF" w:rsidRPr="004434EF">
        <w:rPr>
          <w:color w:val="000000"/>
        </w:rPr>
        <w:t xml:space="preserve"> member’s career, and then only to the degree of severity present at the time of final disposition.  The DVA, however, is </w:t>
      </w:r>
      <w:r w:rsidR="00F4064B">
        <w:rPr>
          <w:color w:val="000000"/>
        </w:rPr>
        <w:t>empowered to compensate service-</w:t>
      </w:r>
      <w:r w:rsidR="004434EF" w:rsidRPr="004434EF">
        <w:rPr>
          <w:color w:val="000000"/>
        </w:rPr>
        <w:t>connected conditions and to periodically re-evaluate said conditions for the purpose of adjusting the veteran’s disability rating should his degree of impairment vary over time.</w:t>
      </w:r>
      <w:r w:rsidR="00DF7BC2" w:rsidRPr="00DF7BC2">
        <w:rPr>
          <w:color w:val="000000"/>
        </w:rPr>
        <w:t xml:space="preserve">  </w:t>
      </w:r>
      <w:r w:rsidR="004434EF">
        <w:rPr>
          <w:color w:val="000000"/>
        </w:rPr>
        <w:t>Finally, t</w:t>
      </w:r>
      <w:r w:rsidR="00DF7BC2" w:rsidRPr="00DF7BC2">
        <w:rPr>
          <w:color w:val="000000"/>
        </w:rPr>
        <w:t>he Board acknow</w:t>
      </w:r>
      <w:r w:rsidR="004434EF">
        <w:rPr>
          <w:color w:val="000000"/>
        </w:rPr>
        <w:t>ledges the CI’s assertions that she received poor medical care in service</w:t>
      </w:r>
      <w:r w:rsidR="00DF7BC2" w:rsidRPr="00DF7BC2">
        <w:rPr>
          <w:color w:val="000000"/>
        </w:rPr>
        <w:t xml:space="preserve">; but, must note for the record that it has neither the jurisdiction nor authority to scrutinize or render opinions in reference to such allegations.  The Board’s role is confined to the review of medical records and all evidence at hand to assess the fairness of </w:t>
      </w:r>
      <w:r w:rsidR="00F4064B">
        <w:rPr>
          <w:color w:val="000000"/>
        </w:rPr>
        <w:t>s</w:t>
      </w:r>
      <w:r w:rsidR="00DF7BC2" w:rsidRPr="00DF7BC2">
        <w:rPr>
          <w:color w:val="000000"/>
        </w:rPr>
        <w:t>ervice rating and fitness determinations at separation, as elaborated above.</w:t>
      </w:r>
    </w:p>
    <w:p w:rsidR="007C5152" w:rsidRDefault="007C5152" w:rsidP="00DF7BC2">
      <w:pPr>
        <w:jc w:val="both"/>
        <w:rPr>
          <w:color w:val="000000"/>
        </w:rPr>
      </w:pPr>
    </w:p>
    <w:p w:rsidR="000E70D7" w:rsidRPr="000E70D7" w:rsidRDefault="000E70D7" w:rsidP="000E70D7">
      <w:pPr>
        <w:jc w:val="both"/>
        <w:rPr>
          <w:color w:val="000000"/>
        </w:rPr>
      </w:pPr>
      <w:r w:rsidRPr="000E70D7">
        <w:rPr>
          <w:color w:val="000000"/>
        </w:rPr>
        <w:t xml:space="preserve">The PEB combined the </w:t>
      </w:r>
      <w:r>
        <w:rPr>
          <w:color w:val="000000"/>
        </w:rPr>
        <w:t>right shoulder</w:t>
      </w:r>
      <w:r w:rsidRPr="000E70D7">
        <w:rPr>
          <w:color w:val="000000"/>
        </w:rPr>
        <w:t xml:space="preserve"> and </w:t>
      </w:r>
      <w:r>
        <w:rPr>
          <w:color w:val="000000"/>
        </w:rPr>
        <w:t>right knee</w:t>
      </w:r>
      <w:r w:rsidRPr="000E70D7">
        <w:rPr>
          <w:color w:val="000000"/>
        </w:rPr>
        <w:t xml:space="preserve"> conditions under a single </w:t>
      </w:r>
      <w:r w:rsidR="00F4064B">
        <w:rPr>
          <w:color w:val="000000"/>
        </w:rPr>
        <w:t>s</w:t>
      </w:r>
      <w:r w:rsidRPr="000E70D7">
        <w:rPr>
          <w:color w:val="000000"/>
        </w:rPr>
        <w:t xml:space="preserve">ervice disability rating, coded analogously to 5003.  This coding approach is countenanced by AR 635-40; but, IAW DoDI 6040.44, the Board must apply separate codes and ratings in its recommendations if compensable ratings for each joint are achieved IAW VASRD §4.71a.  When the Board judges that two or more separate ratings are warranted in such cases, however, it must satisfy the requirement that each </w:t>
      </w:r>
      <w:r w:rsidR="00F4064B">
        <w:rPr>
          <w:color w:val="000000"/>
        </w:rPr>
        <w:t>“</w:t>
      </w:r>
      <w:r w:rsidRPr="000E70D7">
        <w:rPr>
          <w:color w:val="000000"/>
        </w:rPr>
        <w:t>unbundled</w:t>
      </w:r>
      <w:r w:rsidR="00F4064B">
        <w:rPr>
          <w:color w:val="000000"/>
        </w:rPr>
        <w:t>”</w:t>
      </w:r>
      <w:r w:rsidRPr="000E70D7">
        <w:rPr>
          <w:color w:val="000000"/>
        </w:rPr>
        <w:t xml:space="preserve"> condition was unfitting in and of itself.  This combined rating approach by the PEB may reflect its judgment that the constellation of conditions was unfitting, not a judgment that each condition was independently unfitting.  </w:t>
      </w:r>
      <w:r w:rsidR="0020431B">
        <w:rPr>
          <w:color w:val="000000"/>
        </w:rPr>
        <w:t>The</w:t>
      </w:r>
      <w:r w:rsidRPr="000E70D7">
        <w:rPr>
          <w:color w:val="000000"/>
        </w:rPr>
        <w:t xml:space="preserve"> §4.71a criteria are met for sepa</w:t>
      </w:r>
      <w:r w:rsidR="0020431B">
        <w:rPr>
          <w:color w:val="000000"/>
        </w:rPr>
        <w:t xml:space="preserve">rate joint ratings in this case.  Both orthopedic conditions were specified in the commander’s statement; and, </w:t>
      </w:r>
      <w:r w:rsidR="00970034">
        <w:rPr>
          <w:color w:val="000000"/>
        </w:rPr>
        <w:t xml:space="preserve">it elaborated </w:t>
      </w:r>
      <w:r w:rsidR="0020431B">
        <w:rPr>
          <w:color w:val="000000"/>
        </w:rPr>
        <w:t>both upper and lower extremity limitations</w:t>
      </w:r>
      <w:r w:rsidR="0079180E">
        <w:rPr>
          <w:color w:val="000000"/>
        </w:rPr>
        <w:t xml:space="preserve"> as </w:t>
      </w:r>
      <w:r w:rsidR="0079180E">
        <w:rPr>
          <w:color w:val="000000"/>
        </w:rPr>
        <w:lastRenderedPageBreak/>
        <w:t>interfering with performance.  Likewise there were separate and distinct profile restrictions imposed.  All members therefore agreed that each condition should be conceded as separately unfitting, and t</w:t>
      </w:r>
      <w:r w:rsidRPr="000E70D7">
        <w:rPr>
          <w:color w:val="000000"/>
        </w:rPr>
        <w:t xml:space="preserve">he Board is </w:t>
      </w:r>
      <w:r w:rsidR="0079180E">
        <w:rPr>
          <w:color w:val="000000"/>
        </w:rPr>
        <w:t>forwarding</w:t>
      </w:r>
      <w:r w:rsidRPr="000E70D7">
        <w:rPr>
          <w:color w:val="000000"/>
        </w:rPr>
        <w:t xml:space="preserve"> separate rating recommendations as follows.</w:t>
      </w:r>
    </w:p>
    <w:p w:rsidR="007C5152" w:rsidRPr="00DF7BC2" w:rsidRDefault="007C5152" w:rsidP="00DF7BC2">
      <w:pPr>
        <w:jc w:val="both"/>
        <w:rPr>
          <w:color w:val="000000"/>
        </w:rPr>
      </w:pPr>
    </w:p>
    <w:p w:rsidR="0069687C" w:rsidRDefault="000E70D7" w:rsidP="0069687C">
      <w:pPr>
        <w:jc w:val="both"/>
        <w:rPr>
          <w:color w:val="000000"/>
          <w:szCs w:val="24"/>
        </w:rPr>
      </w:pPr>
      <w:proofErr w:type="gramStart"/>
      <w:r>
        <w:rPr>
          <w:color w:val="000000"/>
          <w:u w:val="single"/>
        </w:rPr>
        <w:t>Right Shou</w:t>
      </w:r>
      <w:r w:rsidR="003A4B03">
        <w:rPr>
          <w:color w:val="000000"/>
          <w:u w:val="single"/>
        </w:rPr>
        <w:t>l</w:t>
      </w:r>
      <w:r>
        <w:rPr>
          <w:color w:val="000000"/>
          <w:u w:val="single"/>
        </w:rPr>
        <w:t>der</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3A4B03">
        <w:rPr>
          <w:color w:val="000000"/>
        </w:rPr>
        <w:t>The CI first suffered a spontaneous right shoulder dislocation doing</w:t>
      </w:r>
      <w:r w:rsidR="00FE3910">
        <w:rPr>
          <w:color w:val="000000"/>
        </w:rPr>
        <w:t xml:space="preserve"> push-ups in</w:t>
      </w:r>
      <w:r w:rsidR="003A4B03">
        <w:rPr>
          <w:color w:val="000000"/>
        </w:rPr>
        <w:t xml:space="preserve"> 1994, but </w:t>
      </w:r>
      <w:r w:rsidR="00FE3910">
        <w:rPr>
          <w:color w:val="000000"/>
        </w:rPr>
        <w:t>recurrent dislocation did not become a significant issue until 2003.  At that time she underwent arthroscopic surgical stabilization, but results were unsatisfactory.  In February, 2005 she underwent an open procedure (</w:t>
      </w:r>
      <w:proofErr w:type="spellStart"/>
      <w:r w:rsidR="00FE3910">
        <w:rPr>
          <w:color w:val="000000"/>
        </w:rPr>
        <w:t>subacromial</w:t>
      </w:r>
      <w:proofErr w:type="spellEnd"/>
      <w:r w:rsidR="00FE3910">
        <w:rPr>
          <w:color w:val="000000"/>
        </w:rPr>
        <w:t xml:space="preserve"> </w:t>
      </w:r>
      <w:proofErr w:type="spellStart"/>
      <w:r w:rsidR="00FE3910">
        <w:rPr>
          <w:color w:val="000000"/>
        </w:rPr>
        <w:t>bursectomy</w:t>
      </w:r>
      <w:proofErr w:type="spellEnd"/>
      <w:r w:rsidR="00FE3910">
        <w:rPr>
          <w:color w:val="000000"/>
        </w:rPr>
        <w:t xml:space="preserve"> and capsular shift).  She suffered no further dislocations, but continued to experience pain and functional limitations.  </w:t>
      </w:r>
      <w:r w:rsidR="0020431B">
        <w:rPr>
          <w:color w:val="000000"/>
        </w:rPr>
        <w:t>Findings on i</w:t>
      </w:r>
      <w:r w:rsidR="007F2193">
        <w:rPr>
          <w:color w:val="000000"/>
        </w:rPr>
        <w:t xml:space="preserve">maging </w:t>
      </w:r>
      <w:r w:rsidR="0020431B">
        <w:rPr>
          <w:color w:val="000000"/>
        </w:rPr>
        <w:t xml:space="preserve">were confined to expected post-surgical changes.  </w:t>
      </w:r>
      <w:r w:rsidR="0069687C" w:rsidRPr="00B652C3">
        <w:rPr>
          <w:color w:val="000000"/>
          <w:szCs w:val="24"/>
        </w:rPr>
        <w:t xml:space="preserve">There were </w:t>
      </w:r>
      <w:r w:rsidR="00F4064B">
        <w:rPr>
          <w:color w:val="000000"/>
          <w:szCs w:val="24"/>
        </w:rPr>
        <w:t>three goniometric range-of-</w:t>
      </w:r>
      <w:r w:rsidR="0069687C" w:rsidRPr="00B652C3">
        <w:rPr>
          <w:color w:val="000000"/>
          <w:szCs w:val="24"/>
        </w:rPr>
        <w:t>motion (ROM) evaluations in evidence, with documentation of additional ratable criteria, which the Board weighed in arriving at its rating recommendation; as summarized in the chart below.</w:t>
      </w:r>
    </w:p>
    <w:p w:rsidR="00D71499" w:rsidRDefault="00D71499" w:rsidP="0069687C">
      <w:pPr>
        <w:jc w:val="both"/>
        <w:rPr>
          <w:color w:val="000000"/>
          <w:szCs w:val="24"/>
        </w:rPr>
      </w:pPr>
    </w:p>
    <w:tbl>
      <w:tblPr>
        <w:tblW w:w="9270" w:type="dxa"/>
        <w:jc w:val="center"/>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6"/>
        <w:gridCol w:w="2629"/>
        <w:gridCol w:w="2070"/>
        <w:gridCol w:w="2475"/>
      </w:tblGrid>
      <w:tr w:rsidR="00854370" w:rsidRPr="00854370" w:rsidTr="00211BF8">
        <w:trPr>
          <w:jc w:val="center"/>
        </w:trPr>
        <w:tc>
          <w:tcPr>
            <w:tcW w:w="2096" w:type="dxa"/>
            <w:shd w:val="clear" w:color="auto" w:fill="D9D9D9"/>
            <w:vAlign w:val="center"/>
          </w:tcPr>
          <w:p w:rsidR="00854370" w:rsidRPr="00854370" w:rsidRDefault="00854370" w:rsidP="00854370">
            <w:pPr>
              <w:contextualSpacing/>
              <w:rPr>
                <w:rFonts w:eastAsia="Calibri"/>
                <w:color w:val="auto"/>
                <w:sz w:val="22"/>
                <w:szCs w:val="22"/>
              </w:rPr>
            </w:pPr>
            <w:r w:rsidRPr="00854370">
              <w:rPr>
                <w:rFonts w:eastAsia="Calibri"/>
                <w:color w:val="auto"/>
                <w:sz w:val="22"/>
                <w:szCs w:val="22"/>
              </w:rPr>
              <w:t>Right Shoulder ROM</w:t>
            </w:r>
          </w:p>
        </w:tc>
        <w:tc>
          <w:tcPr>
            <w:tcW w:w="2629" w:type="dxa"/>
            <w:shd w:val="clear" w:color="auto" w:fill="D9D9D9"/>
            <w:vAlign w:val="center"/>
          </w:tcPr>
          <w:p w:rsidR="00854370" w:rsidRPr="00854370" w:rsidRDefault="00211BF8" w:rsidP="00211BF8">
            <w:pPr>
              <w:contextualSpacing/>
              <w:rPr>
                <w:rFonts w:eastAsia="Calibri"/>
                <w:color w:val="auto"/>
                <w:sz w:val="22"/>
                <w:szCs w:val="22"/>
              </w:rPr>
            </w:pPr>
            <w:r>
              <w:rPr>
                <w:rFonts w:eastAsia="Calibri"/>
                <w:color w:val="auto"/>
                <w:sz w:val="22"/>
                <w:szCs w:val="22"/>
              </w:rPr>
              <w:t xml:space="preserve">Civ. Ortho ~9 </w:t>
            </w:r>
            <w:r w:rsidRPr="00854370">
              <w:rPr>
                <w:rFonts w:eastAsia="Calibri"/>
                <w:color w:val="auto"/>
                <w:sz w:val="22"/>
                <w:szCs w:val="22"/>
              </w:rPr>
              <w:t>Mo. Pre-Sep</w:t>
            </w:r>
          </w:p>
        </w:tc>
        <w:tc>
          <w:tcPr>
            <w:tcW w:w="2070" w:type="dxa"/>
            <w:shd w:val="clear" w:color="auto" w:fill="D9D9D9"/>
          </w:tcPr>
          <w:p w:rsidR="00854370" w:rsidRPr="00854370" w:rsidRDefault="00211BF8" w:rsidP="00854370">
            <w:pPr>
              <w:contextualSpacing/>
              <w:rPr>
                <w:rFonts w:eastAsia="Calibri"/>
                <w:color w:val="auto"/>
                <w:sz w:val="22"/>
                <w:szCs w:val="22"/>
              </w:rPr>
            </w:pPr>
            <w:r>
              <w:rPr>
                <w:rFonts w:eastAsia="Calibri"/>
                <w:color w:val="auto"/>
                <w:sz w:val="22"/>
                <w:szCs w:val="22"/>
              </w:rPr>
              <w:t xml:space="preserve">MEB </w:t>
            </w:r>
            <w:r w:rsidRPr="00854370">
              <w:rPr>
                <w:rFonts w:eastAsia="Calibri"/>
                <w:color w:val="auto"/>
                <w:sz w:val="22"/>
                <w:szCs w:val="22"/>
              </w:rPr>
              <w:t>~8 Mo. Pre-Sep</w:t>
            </w:r>
          </w:p>
        </w:tc>
        <w:tc>
          <w:tcPr>
            <w:tcW w:w="2475" w:type="dxa"/>
            <w:shd w:val="clear" w:color="auto" w:fill="D9D9D9"/>
            <w:vAlign w:val="center"/>
          </w:tcPr>
          <w:p w:rsidR="00854370" w:rsidRPr="00854370" w:rsidRDefault="00854370" w:rsidP="00854370">
            <w:pPr>
              <w:contextualSpacing/>
              <w:rPr>
                <w:rFonts w:eastAsia="Cambria"/>
                <w:color w:val="auto"/>
                <w:sz w:val="22"/>
                <w:szCs w:val="22"/>
              </w:rPr>
            </w:pPr>
            <w:r w:rsidRPr="00854370">
              <w:rPr>
                <w:rFonts w:eastAsia="Calibri"/>
                <w:color w:val="auto"/>
                <w:sz w:val="22"/>
                <w:szCs w:val="22"/>
              </w:rPr>
              <w:t>VA</w:t>
            </w:r>
            <w:r w:rsidRPr="00854370">
              <w:rPr>
                <w:rFonts w:eastAsia="Cambria"/>
                <w:color w:val="auto"/>
                <w:sz w:val="22"/>
                <w:szCs w:val="22"/>
              </w:rPr>
              <w:t xml:space="preserve"> C&amp;P </w:t>
            </w:r>
            <w:r>
              <w:rPr>
                <w:rFonts w:eastAsia="Cambria"/>
                <w:color w:val="auto"/>
                <w:sz w:val="22"/>
                <w:szCs w:val="22"/>
              </w:rPr>
              <w:t xml:space="preserve"> </w:t>
            </w:r>
            <w:r w:rsidRPr="00854370">
              <w:rPr>
                <w:rFonts w:eastAsia="Cambria"/>
                <w:color w:val="auto"/>
                <w:sz w:val="22"/>
                <w:szCs w:val="22"/>
              </w:rPr>
              <w:t>~2 Mo. Post-Sep</w:t>
            </w:r>
          </w:p>
        </w:tc>
      </w:tr>
      <w:tr w:rsidR="00211BF8" w:rsidRPr="00854370" w:rsidTr="00874297">
        <w:trPr>
          <w:jc w:val="center"/>
        </w:trPr>
        <w:tc>
          <w:tcPr>
            <w:tcW w:w="2096" w:type="dxa"/>
            <w:vAlign w:val="center"/>
          </w:tcPr>
          <w:p w:rsidR="00211BF8" w:rsidRPr="00854370" w:rsidRDefault="00211BF8" w:rsidP="00854370">
            <w:pPr>
              <w:contextualSpacing/>
              <w:rPr>
                <w:rFonts w:eastAsia="Calibri"/>
                <w:color w:val="auto"/>
                <w:sz w:val="22"/>
                <w:szCs w:val="22"/>
              </w:rPr>
            </w:pPr>
            <w:r w:rsidRPr="00854370">
              <w:rPr>
                <w:rFonts w:eastAsia="Calibri"/>
                <w:color w:val="auto"/>
                <w:sz w:val="22"/>
                <w:szCs w:val="22"/>
              </w:rPr>
              <w:t>Flexion (0-180⁰)</w:t>
            </w:r>
          </w:p>
        </w:tc>
        <w:tc>
          <w:tcPr>
            <w:tcW w:w="2629" w:type="dxa"/>
            <w:vAlign w:val="center"/>
          </w:tcPr>
          <w:p w:rsidR="00211BF8" w:rsidRPr="00854370" w:rsidRDefault="00211BF8" w:rsidP="00854370">
            <w:pPr>
              <w:contextualSpacing/>
              <w:rPr>
                <w:rFonts w:eastAsia="Calibri"/>
                <w:color w:val="auto"/>
                <w:sz w:val="22"/>
                <w:szCs w:val="22"/>
              </w:rPr>
            </w:pPr>
            <w:r>
              <w:rPr>
                <w:rFonts w:eastAsia="Calibri"/>
                <w:color w:val="auto"/>
                <w:sz w:val="22"/>
                <w:szCs w:val="22"/>
              </w:rPr>
              <w:t>165</w:t>
            </w:r>
            <w:r w:rsidRPr="00854370">
              <w:rPr>
                <w:rFonts w:eastAsia="Calibri"/>
                <w:color w:val="auto"/>
                <w:sz w:val="22"/>
                <w:szCs w:val="22"/>
              </w:rPr>
              <w:t>⁰</w:t>
            </w:r>
          </w:p>
        </w:tc>
        <w:tc>
          <w:tcPr>
            <w:tcW w:w="2070" w:type="dxa"/>
            <w:vAlign w:val="center"/>
          </w:tcPr>
          <w:p w:rsidR="00211BF8" w:rsidRPr="00854370" w:rsidRDefault="00211BF8" w:rsidP="00874297">
            <w:pPr>
              <w:contextualSpacing/>
              <w:rPr>
                <w:rFonts w:eastAsia="Calibri"/>
                <w:color w:val="auto"/>
                <w:sz w:val="22"/>
                <w:szCs w:val="22"/>
              </w:rPr>
            </w:pPr>
            <w:r>
              <w:rPr>
                <w:rFonts w:eastAsia="Calibri"/>
                <w:color w:val="auto"/>
                <w:sz w:val="22"/>
                <w:szCs w:val="22"/>
              </w:rPr>
              <w:t>150</w:t>
            </w:r>
            <w:r w:rsidRPr="00854370">
              <w:rPr>
                <w:rFonts w:eastAsia="Calibri"/>
                <w:color w:val="auto"/>
                <w:sz w:val="22"/>
                <w:szCs w:val="22"/>
              </w:rPr>
              <w:t>⁰</w:t>
            </w:r>
          </w:p>
        </w:tc>
        <w:tc>
          <w:tcPr>
            <w:tcW w:w="2475" w:type="dxa"/>
            <w:vAlign w:val="center"/>
          </w:tcPr>
          <w:p w:rsidR="00211BF8" w:rsidRPr="00854370" w:rsidRDefault="00211BF8" w:rsidP="00854370">
            <w:pPr>
              <w:contextualSpacing/>
              <w:rPr>
                <w:rFonts w:eastAsia="Calibri"/>
                <w:color w:val="auto"/>
                <w:sz w:val="22"/>
                <w:szCs w:val="22"/>
              </w:rPr>
            </w:pPr>
            <w:r>
              <w:rPr>
                <w:rFonts w:eastAsia="Calibri"/>
                <w:color w:val="auto"/>
                <w:sz w:val="22"/>
                <w:szCs w:val="22"/>
              </w:rPr>
              <w:t>18</w:t>
            </w:r>
            <w:r w:rsidRPr="00854370">
              <w:rPr>
                <w:rFonts w:eastAsia="Calibri"/>
                <w:color w:val="auto"/>
                <w:sz w:val="22"/>
                <w:szCs w:val="22"/>
              </w:rPr>
              <w:t>0⁰</w:t>
            </w:r>
          </w:p>
        </w:tc>
      </w:tr>
      <w:tr w:rsidR="00211BF8" w:rsidRPr="00854370" w:rsidTr="00874297">
        <w:trPr>
          <w:jc w:val="center"/>
        </w:trPr>
        <w:tc>
          <w:tcPr>
            <w:tcW w:w="2096" w:type="dxa"/>
            <w:vAlign w:val="center"/>
          </w:tcPr>
          <w:p w:rsidR="00211BF8" w:rsidRPr="00854370" w:rsidRDefault="00211BF8" w:rsidP="00854370">
            <w:pPr>
              <w:contextualSpacing/>
              <w:rPr>
                <w:rFonts w:eastAsia="Calibri"/>
                <w:color w:val="auto"/>
                <w:sz w:val="22"/>
                <w:szCs w:val="22"/>
              </w:rPr>
            </w:pPr>
            <w:r w:rsidRPr="00854370">
              <w:rPr>
                <w:rFonts w:eastAsia="Calibri"/>
                <w:color w:val="auto"/>
                <w:sz w:val="22"/>
                <w:szCs w:val="22"/>
              </w:rPr>
              <w:t>Abduction (0-180⁰)</w:t>
            </w:r>
          </w:p>
        </w:tc>
        <w:tc>
          <w:tcPr>
            <w:tcW w:w="2629" w:type="dxa"/>
            <w:vAlign w:val="center"/>
          </w:tcPr>
          <w:p w:rsidR="00211BF8" w:rsidRPr="00854370" w:rsidRDefault="00211BF8" w:rsidP="00854370">
            <w:pPr>
              <w:contextualSpacing/>
              <w:rPr>
                <w:rFonts w:eastAsia="Calibri"/>
                <w:color w:val="auto"/>
                <w:sz w:val="22"/>
                <w:szCs w:val="22"/>
              </w:rPr>
            </w:pPr>
            <w:r>
              <w:rPr>
                <w:rFonts w:eastAsia="Calibri"/>
                <w:color w:val="auto"/>
                <w:sz w:val="22"/>
                <w:szCs w:val="22"/>
              </w:rPr>
              <w:t>165</w:t>
            </w:r>
            <w:r w:rsidRPr="00854370">
              <w:rPr>
                <w:rFonts w:eastAsia="Calibri"/>
                <w:color w:val="auto"/>
                <w:sz w:val="22"/>
                <w:szCs w:val="22"/>
              </w:rPr>
              <w:t>⁰</w:t>
            </w:r>
          </w:p>
        </w:tc>
        <w:tc>
          <w:tcPr>
            <w:tcW w:w="2070" w:type="dxa"/>
            <w:vAlign w:val="center"/>
          </w:tcPr>
          <w:p w:rsidR="00211BF8" w:rsidRPr="00854370" w:rsidRDefault="00211BF8" w:rsidP="00874297">
            <w:pPr>
              <w:contextualSpacing/>
              <w:rPr>
                <w:rFonts w:eastAsia="Calibri"/>
                <w:color w:val="auto"/>
                <w:sz w:val="22"/>
                <w:szCs w:val="22"/>
              </w:rPr>
            </w:pPr>
            <w:r>
              <w:rPr>
                <w:rFonts w:eastAsia="Calibri"/>
                <w:color w:val="auto"/>
                <w:sz w:val="22"/>
                <w:szCs w:val="22"/>
              </w:rPr>
              <w:t>140</w:t>
            </w:r>
            <w:r w:rsidRPr="00854370">
              <w:rPr>
                <w:rFonts w:eastAsia="Calibri"/>
                <w:color w:val="auto"/>
                <w:sz w:val="22"/>
                <w:szCs w:val="22"/>
              </w:rPr>
              <w:t>⁰</w:t>
            </w:r>
          </w:p>
        </w:tc>
        <w:tc>
          <w:tcPr>
            <w:tcW w:w="2475" w:type="dxa"/>
            <w:vAlign w:val="center"/>
          </w:tcPr>
          <w:p w:rsidR="00211BF8" w:rsidRPr="00854370" w:rsidRDefault="00211BF8" w:rsidP="00854370">
            <w:pPr>
              <w:contextualSpacing/>
              <w:rPr>
                <w:rFonts w:eastAsia="Calibri"/>
                <w:color w:val="auto"/>
                <w:sz w:val="22"/>
                <w:szCs w:val="22"/>
              </w:rPr>
            </w:pPr>
            <w:r>
              <w:rPr>
                <w:rFonts w:eastAsia="Calibri"/>
                <w:color w:val="auto"/>
                <w:sz w:val="22"/>
                <w:szCs w:val="22"/>
              </w:rPr>
              <w:t>180</w:t>
            </w:r>
            <w:r w:rsidRPr="00854370">
              <w:rPr>
                <w:rFonts w:eastAsia="Calibri"/>
                <w:color w:val="auto"/>
                <w:sz w:val="22"/>
                <w:szCs w:val="22"/>
              </w:rPr>
              <w:t>⁰</w:t>
            </w:r>
          </w:p>
        </w:tc>
      </w:tr>
      <w:tr w:rsidR="001B1C25" w:rsidRPr="00854370" w:rsidTr="00874297">
        <w:trPr>
          <w:jc w:val="center"/>
        </w:trPr>
        <w:tc>
          <w:tcPr>
            <w:tcW w:w="2096" w:type="dxa"/>
            <w:vAlign w:val="center"/>
          </w:tcPr>
          <w:p w:rsidR="001B1C25" w:rsidRPr="00854370" w:rsidRDefault="001B1C25" w:rsidP="00854370">
            <w:pPr>
              <w:tabs>
                <w:tab w:val="left" w:pos="288"/>
                <w:tab w:val="left" w:pos="4752"/>
              </w:tabs>
              <w:rPr>
                <w:rFonts w:eastAsia="Cambria"/>
                <w:color w:val="auto"/>
                <w:sz w:val="22"/>
                <w:szCs w:val="22"/>
              </w:rPr>
            </w:pPr>
            <w:r w:rsidRPr="00854370">
              <w:rPr>
                <w:rFonts w:eastAsia="Cambria"/>
                <w:color w:val="auto"/>
                <w:sz w:val="22"/>
                <w:szCs w:val="22"/>
              </w:rPr>
              <w:t>Comments</w:t>
            </w:r>
          </w:p>
        </w:tc>
        <w:tc>
          <w:tcPr>
            <w:tcW w:w="7174" w:type="dxa"/>
            <w:gridSpan w:val="3"/>
            <w:vAlign w:val="center"/>
          </w:tcPr>
          <w:p w:rsidR="001B1C25" w:rsidRPr="00854370" w:rsidRDefault="001B1C25" w:rsidP="001B1C25">
            <w:pPr>
              <w:tabs>
                <w:tab w:val="left" w:pos="288"/>
                <w:tab w:val="left" w:pos="4752"/>
              </w:tabs>
              <w:rPr>
                <w:rFonts w:eastAsia="Cambria"/>
                <w:color w:val="auto"/>
                <w:sz w:val="22"/>
                <w:szCs w:val="22"/>
              </w:rPr>
            </w:pPr>
            <w:r>
              <w:rPr>
                <w:rFonts w:eastAsia="Cambria"/>
                <w:color w:val="auto"/>
                <w:sz w:val="22"/>
                <w:szCs w:val="22"/>
              </w:rPr>
              <w:t xml:space="preserve">No instability or </w:t>
            </w:r>
            <w:proofErr w:type="spellStart"/>
            <w:r>
              <w:rPr>
                <w:rFonts w:eastAsia="Cambria"/>
                <w:color w:val="auto"/>
                <w:sz w:val="22"/>
                <w:szCs w:val="22"/>
              </w:rPr>
              <w:t>subluxation</w:t>
            </w:r>
            <w:proofErr w:type="spellEnd"/>
            <w:r>
              <w:rPr>
                <w:rFonts w:eastAsia="Cambria"/>
                <w:color w:val="auto"/>
                <w:sz w:val="22"/>
                <w:szCs w:val="22"/>
              </w:rPr>
              <w:t>; surgical scars; painful motion.</w:t>
            </w:r>
          </w:p>
        </w:tc>
      </w:tr>
      <w:tr w:rsidR="00854370" w:rsidRPr="00854370" w:rsidTr="00211BF8">
        <w:trPr>
          <w:trHeight w:val="70"/>
          <w:jc w:val="center"/>
        </w:trPr>
        <w:tc>
          <w:tcPr>
            <w:tcW w:w="2096" w:type="dxa"/>
            <w:vAlign w:val="center"/>
          </w:tcPr>
          <w:p w:rsidR="00854370" w:rsidRPr="00854370" w:rsidRDefault="00854370" w:rsidP="00854370">
            <w:pPr>
              <w:tabs>
                <w:tab w:val="left" w:pos="288"/>
                <w:tab w:val="left" w:pos="4752"/>
              </w:tabs>
              <w:rPr>
                <w:rFonts w:eastAsia="Cambria"/>
                <w:color w:val="auto"/>
                <w:sz w:val="22"/>
                <w:szCs w:val="22"/>
              </w:rPr>
            </w:pPr>
            <w:r w:rsidRPr="00854370">
              <w:rPr>
                <w:rFonts w:eastAsia="Cambria"/>
                <w:color w:val="auto"/>
                <w:sz w:val="22"/>
                <w:szCs w:val="22"/>
              </w:rPr>
              <w:t>§4.71a Rating</w:t>
            </w:r>
            <w:r w:rsidR="001B1C25">
              <w:rPr>
                <w:rFonts w:eastAsia="Cambria"/>
                <w:color w:val="auto"/>
                <w:sz w:val="22"/>
                <w:szCs w:val="22"/>
              </w:rPr>
              <w:t>*</w:t>
            </w:r>
          </w:p>
        </w:tc>
        <w:tc>
          <w:tcPr>
            <w:tcW w:w="2629" w:type="dxa"/>
            <w:vAlign w:val="center"/>
          </w:tcPr>
          <w:p w:rsidR="00854370" w:rsidRPr="00854370" w:rsidRDefault="001B1C25" w:rsidP="00854370">
            <w:pPr>
              <w:tabs>
                <w:tab w:val="left" w:pos="288"/>
                <w:tab w:val="left" w:pos="4752"/>
              </w:tabs>
              <w:rPr>
                <w:rFonts w:eastAsia="Cambria"/>
                <w:color w:val="auto"/>
                <w:sz w:val="22"/>
                <w:szCs w:val="22"/>
              </w:rPr>
            </w:pPr>
            <w:r>
              <w:rPr>
                <w:rFonts w:eastAsia="Cambria"/>
                <w:color w:val="auto"/>
                <w:sz w:val="22"/>
                <w:szCs w:val="22"/>
              </w:rPr>
              <w:t>1</w:t>
            </w:r>
            <w:r w:rsidR="00854370" w:rsidRPr="00854370">
              <w:rPr>
                <w:rFonts w:eastAsia="Cambria"/>
                <w:color w:val="auto"/>
                <w:sz w:val="22"/>
                <w:szCs w:val="22"/>
              </w:rPr>
              <w:t>0%</w:t>
            </w:r>
          </w:p>
        </w:tc>
        <w:tc>
          <w:tcPr>
            <w:tcW w:w="2070" w:type="dxa"/>
          </w:tcPr>
          <w:p w:rsidR="00854370" w:rsidRPr="00854370" w:rsidRDefault="001B1C25" w:rsidP="00854370">
            <w:pPr>
              <w:tabs>
                <w:tab w:val="left" w:pos="288"/>
                <w:tab w:val="left" w:pos="4752"/>
              </w:tabs>
              <w:rPr>
                <w:rFonts w:eastAsia="Cambria"/>
                <w:color w:val="auto"/>
                <w:sz w:val="22"/>
                <w:szCs w:val="22"/>
              </w:rPr>
            </w:pPr>
            <w:r>
              <w:rPr>
                <w:rFonts w:eastAsia="Cambria"/>
                <w:color w:val="auto"/>
                <w:sz w:val="22"/>
                <w:szCs w:val="22"/>
              </w:rPr>
              <w:t>1</w:t>
            </w:r>
            <w:r w:rsidRPr="00854370">
              <w:rPr>
                <w:rFonts w:eastAsia="Cambria"/>
                <w:color w:val="auto"/>
                <w:sz w:val="22"/>
                <w:szCs w:val="22"/>
              </w:rPr>
              <w:t>0%</w:t>
            </w:r>
          </w:p>
        </w:tc>
        <w:tc>
          <w:tcPr>
            <w:tcW w:w="2475" w:type="dxa"/>
            <w:vAlign w:val="center"/>
          </w:tcPr>
          <w:p w:rsidR="00854370" w:rsidRPr="00854370" w:rsidRDefault="001B1C25" w:rsidP="00854370">
            <w:pPr>
              <w:tabs>
                <w:tab w:val="left" w:pos="288"/>
                <w:tab w:val="left" w:pos="4752"/>
              </w:tabs>
              <w:rPr>
                <w:rFonts w:eastAsia="Cambria"/>
                <w:color w:val="auto"/>
                <w:sz w:val="22"/>
                <w:szCs w:val="22"/>
              </w:rPr>
            </w:pPr>
            <w:r>
              <w:rPr>
                <w:rFonts w:eastAsia="Cambria"/>
                <w:color w:val="auto"/>
                <w:sz w:val="22"/>
                <w:szCs w:val="22"/>
              </w:rPr>
              <w:t>1</w:t>
            </w:r>
            <w:r w:rsidRPr="00854370">
              <w:rPr>
                <w:rFonts w:eastAsia="Cambria"/>
                <w:color w:val="auto"/>
                <w:sz w:val="22"/>
                <w:szCs w:val="22"/>
              </w:rPr>
              <w:t>0%</w:t>
            </w:r>
          </w:p>
        </w:tc>
      </w:tr>
    </w:tbl>
    <w:p w:rsidR="00D71499" w:rsidRPr="001B1C25" w:rsidRDefault="001B1C25" w:rsidP="0069687C">
      <w:pPr>
        <w:jc w:val="both"/>
        <w:rPr>
          <w:color w:val="000000"/>
          <w:sz w:val="22"/>
          <w:szCs w:val="22"/>
        </w:rPr>
      </w:pPr>
      <w:r w:rsidRPr="001B1C25">
        <w:rPr>
          <w:color w:val="000000"/>
          <w:sz w:val="22"/>
          <w:szCs w:val="22"/>
        </w:rPr>
        <w:t xml:space="preserve"> * With application</w:t>
      </w:r>
      <w:r>
        <w:rPr>
          <w:color w:val="000000"/>
          <w:sz w:val="22"/>
          <w:szCs w:val="22"/>
        </w:rPr>
        <w:t xml:space="preserve"> of §4.59 (painful motion)</w:t>
      </w:r>
      <w:r w:rsidR="007C1814">
        <w:rPr>
          <w:color w:val="000000"/>
          <w:sz w:val="22"/>
          <w:szCs w:val="22"/>
        </w:rPr>
        <w:t>; minimal compensable ROMs are 90⁰ flexion/abduction</w:t>
      </w:r>
      <w:r>
        <w:rPr>
          <w:color w:val="000000"/>
          <w:sz w:val="22"/>
          <w:szCs w:val="22"/>
        </w:rPr>
        <w:t>.</w:t>
      </w:r>
    </w:p>
    <w:p w:rsidR="00CF0280" w:rsidRDefault="00CF0280" w:rsidP="0069687C">
      <w:pPr>
        <w:jc w:val="both"/>
        <w:rPr>
          <w:color w:val="000000"/>
          <w:szCs w:val="24"/>
        </w:rPr>
      </w:pPr>
    </w:p>
    <w:p w:rsidR="00CF0280" w:rsidRDefault="00CF0280" w:rsidP="00CF0280">
      <w:pPr>
        <w:jc w:val="both"/>
        <w:rPr>
          <w:color w:val="000000"/>
          <w:szCs w:val="24"/>
        </w:rPr>
      </w:pPr>
      <w:r>
        <w:rPr>
          <w:color w:val="000000"/>
          <w:szCs w:val="24"/>
        </w:rPr>
        <w:t>A</w:t>
      </w:r>
      <w:r w:rsidR="007C1814">
        <w:rPr>
          <w:color w:val="000000"/>
          <w:szCs w:val="24"/>
        </w:rPr>
        <w:t>t the MEB exam, the CI</w:t>
      </w:r>
      <w:r w:rsidR="00F4064B">
        <w:rPr>
          <w:color w:val="000000"/>
          <w:szCs w:val="24"/>
        </w:rPr>
        <w:t xml:space="preserve"> reported constant pain rated 5/10, and aggravations up to 10/</w:t>
      </w:r>
      <w:r w:rsidR="007C1814">
        <w:rPr>
          <w:color w:val="000000"/>
          <w:szCs w:val="24"/>
        </w:rPr>
        <w:t>10 with overuse.</w:t>
      </w:r>
      <w:r>
        <w:rPr>
          <w:color w:val="000000"/>
          <w:szCs w:val="24"/>
        </w:rPr>
        <w:t xml:space="preserve"> </w:t>
      </w:r>
      <w:r w:rsidR="007C1814">
        <w:rPr>
          <w:color w:val="000000"/>
          <w:szCs w:val="24"/>
        </w:rPr>
        <w:t xml:space="preserve"> </w:t>
      </w:r>
      <w:r>
        <w:rPr>
          <w:color w:val="000000"/>
          <w:szCs w:val="24"/>
        </w:rPr>
        <w:t xml:space="preserve">At </w:t>
      </w:r>
      <w:r w:rsidRPr="007C1814">
        <w:rPr>
          <w:color w:val="000000"/>
          <w:szCs w:val="24"/>
        </w:rPr>
        <w:t xml:space="preserve">the </w:t>
      </w:r>
      <w:r>
        <w:rPr>
          <w:color w:val="000000"/>
          <w:szCs w:val="24"/>
        </w:rPr>
        <w:t xml:space="preserve">VA </w:t>
      </w:r>
      <w:r w:rsidRPr="00CF0280">
        <w:rPr>
          <w:color w:val="000000"/>
          <w:szCs w:val="24"/>
        </w:rPr>
        <w:t>Compensation and Pension (C&amp;P)</w:t>
      </w:r>
      <w:r w:rsidR="00A002F0">
        <w:rPr>
          <w:color w:val="000000"/>
          <w:szCs w:val="24"/>
        </w:rPr>
        <w:t xml:space="preserve"> ex</w:t>
      </w:r>
      <w:r w:rsidR="00BE75A9">
        <w:rPr>
          <w:color w:val="000000"/>
          <w:szCs w:val="24"/>
        </w:rPr>
        <w:t>am</w:t>
      </w:r>
      <w:r w:rsidR="00F4064B">
        <w:rPr>
          <w:color w:val="000000"/>
          <w:szCs w:val="24"/>
        </w:rPr>
        <w:t xml:space="preserve"> after separation</w:t>
      </w:r>
      <w:r w:rsidR="00BE75A9">
        <w:rPr>
          <w:color w:val="000000"/>
          <w:szCs w:val="24"/>
        </w:rPr>
        <w:t>, the CI reported constant 10</w:t>
      </w:r>
      <w:r w:rsidR="00F4064B">
        <w:rPr>
          <w:color w:val="000000"/>
          <w:szCs w:val="24"/>
        </w:rPr>
        <w:t>/</w:t>
      </w:r>
      <w:r w:rsidR="00A002F0">
        <w:rPr>
          <w:color w:val="000000"/>
          <w:szCs w:val="24"/>
        </w:rPr>
        <w:t xml:space="preserve">10 pain sometimes requiring </w:t>
      </w:r>
      <w:proofErr w:type="spellStart"/>
      <w:r w:rsidR="00A002F0">
        <w:rPr>
          <w:color w:val="000000"/>
          <w:szCs w:val="24"/>
        </w:rPr>
        <w:t>bedrest</w:t>
      </w:r>
      <w:proofErr w:type="spellEnd"/>
      <w:r w:rsidR="00A002F0">
        <w:rPr>
          <w:color w:val="000000"/>
          <w:szCs w:val="24"/>
        </w:rPr>
        <w:t xml:space="preserve"> for relief</w:t>
      </w:r>
      <w:r>
        <w:rPr>
          <w:color w:val="000000"/>
          <w:szCs w:val="24"/>
        </w:rPr>
        <w:t xml:space="preserve">.  </w:t>
      </w:r>
      <w:r w:rsidR="00A002F0">
        <w:rPr>
          <w:color w:val="000000"/>
          <w:szCs w:val="24"/>
        </w:rPr>
        <w:t xml:space="preserve">No prescribed </w:t>
      </w:r>
      <w:proofErr w:type="spellStart"/>
      <w:r w:rsidR="00A002F0">
        <w:rPr>
          <w:color w:val="000000"/>
          <w:szCs w:val="24"/>
        </w:rPr>
        <w:t>bedrest</w:t>
      </w:r>
      <w:proofErr w:type="spellEnd"/>
      <w:r w:rsidR="00A002F0">
        <w:rPr>
          <w:color w:val="000000"/>
          <w:szCs w:val="24"/>
        </w:rPr>
        <w:t xml:space="preserve"> was evidenced in the </w:t>
      </w:r>
      <w:r w:rsidR="00F4064B">
        <w:rPr>
          <w:color w:val="000000"/>
          <w:szCs w:val="24"/>
        </w:rPr>
        <w:t>s</w:t>
      </w:r>
      <w:r w:rsidR="00A002F0">
        <w:rPr>
          <w:color w:val="000000"/>
          <w:szCs w:val="24"/>
        </w:rPr>
        <w:t xml:space="preserve">ervice treatment record (STR).  </w:t>
      </w:r>
    </w:p>
    <w:p w:rsidR="00CF0280" w:rsidRDefault="00CF0280" w:rsidP="0069687C">
      <w:pPr>
        <w:jc w:val="both"/>
        <w:rPr>
          <w:color w:val="000000"/>
          <w:szCs w:val="24"/>
        </w:rPr>
      </w:pPr>
    </w:p>
    <w:p w:rsidR="00241B01" w:rsidRPr="0050642F" w:rsidRDefault="00AD2379" w:rsidP="0050642F">
      <w:pPr>
        <w:tabs>
          <w:tab w:val="left" w:pos="288"/>
          <w:tab w:val="left" w:pos="4752"/>
        </w:tabs>
        <w:jc w:val="both"/>
        <w:rPr>
          <w:color w:val="000000"/>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A002F0">
        <w:rPr>
          <w:color w:val="000000"/>
          <w:szCs w:val="24"/>
        </w:rPr>
        <w:t xml:space="preserve">The VA coded the right shoulder condition </w:t>
      </w:r>
      <w:r w:rsidR="0034400C">
        <w:rPr>
          <w:color w:val="000000"/>
          <w:szCs w:val="24"/>
        </w:rPr>
        <w:t>as</w:t>
      </w:r>
      <w:r w:rsidR="00A002F0">
        <w:rPr>
          <w:color w:val="000000"/>
          <w:szCs w:val="24"/>
        </w:rPr>
        <w:t xml:space="preserve"> 5020 (</w:t>
      </w:r>
      <w:proofErr w:type="spellStart"/>
      <w:r w:rsidR="00A002F0">
        <w:rPr>
          <w:color w:val="000000"/>
          <w:szCs w:val="24"/>
        </w:rPr>
        <w:t>synovitis</w:t>
      </w:r>
      <w:proofErr w:type="spellEnd"/>
      <w:r w:rsidR="00A002F0">
        <w:rPr>
          <w:color w:val="000000"/>
          <w:szCs w:val="24"/>
        </w:rPr>
        <w:t xml:space="preserve">) which </w:t>
      </w:r>
      <w:r w:rsidR="00BE75A9">
        <w:rPr>
          <w:color w:val="000000"/>
          <w:szCs w:val="24"/>
        </w:rPr>
        <w:t>defaults to the rating</w:t>
      </w:r>
      <w:r w:rsidR="00A002F0">
        <w:rPr>
          <w:color w:val="000000"/>
          <w:szCs w:val="24"/>
        </w:rPr>
        <w:t xml:space="preserve"> criteria </w:t>
      </w:r>
      <w:r w:rsidR="00BE75A9">
        <w:rPr>
          <w:color w:val="000000"/>
          <w:szCs w:val="24"/>
        </w:rPr>
        <w:t>for</w:t>
      </w:r>
      <w:r w:rsidR="00A002F0">
        <w:rPr>
          <w:color w:val="000000"/>
          <w:szCs w:val="24"/>
        </w:rPr>
        <w:t xml:space="preserve"> 5003 (degenerative arthritis).  </w:t>
      </w:r>
      <w:r w:rsidR="007F2193">
        <w:rPr>
          <w:color w:val="000000"/>
          <w:szCs w:val="24"/>
        </w:rPr>
        <w:t xml:space="preserve">As charted above, there is no compensable limitation of ROM.  </w:t>
      </w:r>
      <w:r w:rsidR="007F2193" w:rsidRPr="007F2193">
        <w:rPr>
          <w:color w:val="000000"/>
          <w:szCs w:val="24"/>
        </w:rPr>
        <w:t xml:space="preserve">There was no clinical and/or radiologic evidence that suggested ankylosis, loss of the humeral head, nonunion, malunion, fibrous union, deformity, nonunion or dislocation of the scapula, or recurrent dislocations of the humerus that would have justified any alternate shoulder code with higher rating potential.  </w:t>
      </w:r>
      <w:r w:rsidR="00886001">
        <w:rPr>
          <w:color w:val="000000"/>
          <w:szCs w:val="24"/>
        </w:rPr>
        <w:t xml:space="preserve">Since none of the </w:t>
      </w:r>
      <w:r w:rsidR="0050642F">
        <w:rPr>
          <w:color w:val="000000"/>
          <w:szCs w:val="24"/>
        </w:rPr>
        <w:t xml:space="preserve">higher rated </w:t>
      </w:r>
      <w:r w:rsidR="00886001">
        <w:rPr>
          <w:color w:val="000000"/>
          <w:szCs w:val="24"/>
        </w:rPr>
        <w:t xml:space="preserve">shoulder joint codes are clinically applicable, the Board concurs that </w:t>
      </w:r>
      <w:r w:rsidR="0050642F">
        <w:rPr>
          <w:color w:val="000000"/>
          <w:szCs w:val="24"/>
        </w:rPr>
        <w:t xml:space="preserve">a default rating under 5003 criteria (leveraging §4.59 to achieve the minimal compensable 10% rating) is appropriate.   </w:t>
      </w:r>
      <w:r w:rsidR="003D502F">
        <w:rPr>
          <w:color w:val="000000"/>
          <w:szCs w:val="24"/>
        </w:rPr>
        <w:t>In that regard, the a</w:t>
      </w:r>
      <w:r w:rsidR="00E035F1">
        <w:rPr>
          <w:color w:val="000000"/>
          <w:szCs w:val="24"/>
        </w:rPr>
        <w:t xml:space="preserve">ction </w:t>
      </w:r>
      <w:r w:rsidR="003D502F">
        <w:rPr>
          <w:color w:val="000000"/>
          <w:szCs w:val="24"/>
        </w:rPr>
        <w:t>o</w:t>
      </w:r>
      <w:r w:rsidR="00E035F1">
        <w:rPr>
          <w:color w:val="000000"/>
          <w:szCs w:val="24"/>
        </w:rPr>
        <w:t xml:space="preserve">fficer recommends code 5099-5024 (analogous to tenosynovitis) as the most </w:t>
      </w:r>
      <w:r w:rsidR="0050642F">
        <w:rPr>
          <w:color w:val="000000"/>
          <w:szCs w:val="24"/>
        </w:rPr>
        <w:t xml:space="preserve">applicable </w:t>
      </w:r>
      <w:r w:rsidR="00E035F1">
        <w:rPr>
          <w:color w:val="000000"/>
          <w:szCs w:val="24"/>
        </w:rPr>
        <w:t>clinical fit</w:t>
      </w:r>
      <w:r w:rsidR="0050642F">
        <w:rPr>
          <w:color w:val="000000"/>
          <w:szCs w:val="24"/>
        </w:rPr>
        <w:t xml:space="preserve">.  </w:t>
      </w:r>
      <w:r w:rsidR="00241B01" w:rsidRPr="00241B01">
        <w:rPr>
          <w:rFonts w:eastAsia="Calibri" w:cs="Times New Roman"/>
          <w:color w:val="auto"/>
          <w:szCs w:val="24"/>
        </w:rPr>
        <w:t xml:space="preserve">After due deliberation, considering all of the evidence and mindful of VASRD §4.3 (reasonable </w:t>
      </w:r>
      <w:r w:rsidR="003D502F">
        <w:rPr>
          <w:rFonts w:eastAsia="Calibri" w:cs="Times New Roman"/>
          <w:color w:val="auto"/>
          <w:szCs w:val="24"/>
        </w:rPr>
        <w:t>doubt), the Board recommends a s</w:t>
      </w:r>
      <w:r w:rsidR="00241B01" w:rsidRPr="00241B01">
        <w:rPr>
          <w:rFonts w:eastAsia="Calibri" w:cs="Times New Roman"/>
          <w:color w:val="auto"/>
          <w:szCs w:val="24"/>
        </w:rPr>
        <w:t xml:space="preserve">ervice disability rating of </w:t>
      </w:r>
      <w:r w:rsidR="0050642F">
        <w:rPr>
          <w:rFonts w:eastAsia="Calibri" w:cs="Times New Roman"/>
          <w:color w:val="auto"/>
          <w:szCs w:val="24"/>
        </w:rPr>
        <w:t>1</w:t>
      </w:r>
      <w:r w:rsidR="00241B01" w:rsidRPr="00241B01">
        <w:rPr>
          <w:rFonts w:eastAsia="Calibri" w:cs="Times New Roman"/>
          <w:color w:val="auto"/>
          <w:szCs w:val="24"/>
        </w:rPr>
        <w:t xml:space="preserve">0% for the </w:t>
      </w:r>
      <w:r w:rsidR="0050642F">
        <w:rPr>
          <w:rFonts w:eastAsia="Calibri" w:cs="Times New Roman"/>
          <w:color w:val="auto"/>
          <w:szCs w:val="24"/>
        </w:rPr>
        <w:t>right shoulder</w:t>
      </w:r>
      <w:r w:rsidR="00241B01" w:rsidRPr="00241B01">
        <w:rPr>
          <w:rFonts w:eastAsia="Calibri" w:cs="Times New Roman"/>
          <w:color w:val="auto"/>
          <w:szCs w:val="24"/>
        </w:rPr>
        <w:t xml:space="preserve"> condition.</w:t>
      </w:r>
    </w:p>
    <w:p w:rsidR="00626902" w:rsidRDefault="00626902" w:rsidP="00241B01">
      <w:pPr>
        <w:jc w:val="both"/>
        <w:rPr>
          <w:rFonts w:eastAsia="Calibri" w:cs="Times New Roman"/>
          <w:color w:val="auto"/>
          <w:szCs w:val="24"/>
        </w:rPr>
      </w:pPr>
    </w:p>
    <w:p w:rsidR="0050642F" w:rsidRDefault="0050642F" w:rsidP="009A7578">
      <w:pPr>
        <w:jc w:val="both"/>
        <w:rPr>
          <w:rFonts w:eastAsia="Calibri" w:cs="Times New Roman"/>
          <w:color w:val="auto"/>
          <w:szCs w:val="24"/>
        </w:rPr>
      </w:pPr>
      <w:proofErr w:type="gramStart"/>
      <w:r w:rsidRPr="0050642F">
        <w:rPr>
          <w:rFonts w:eastAsia="Calibri" w:cs="Times New Roman"/>
          <w:color w:val="auto"/>
          <w:szCs w:val="24"/>
          <w:u w:val="single"/>
        </w:rPr>
        <w:t>Right Knee Condition</w:t>
      </w:r>
      <w:r>
        <w:rPr>
          <w:rFonts w:eastAsia="Calibri" w:cs="Times New Roman"/>
          <w:color w:val="auto"/>
          <w:szCs w:val="24"/>
        </w:rPr>
        <w:t>.</w:t>
      </w:r>
      <w:proofErr w:type="gramEnd"/>
      <w:r>
        <w:rPr>
          <w:rFonts w:eastAsia="Calibri" w:cs="Times New Roman"/>
          <w:color w:val="auto"/>
          <w:szCs w:val="24"/>
        </w:rPr>
        <w:t xml:space="preserve">  </w:t>
      </w:r>
      <w:r w:rsidR="007613C5">
        <w:rPr>
          <w:rFonts w:eastAsia="Calibri" w:cs="Times New Roman"/>
          <w:color w:val="auto"/>
          <w:szCs w:val="24"/>
        </w:rPr>
        <w:t xml:space="preserve">The CI fell onto her knee running an obstacle course in 1996, and had experienced intermittent pain and swelling since the injury.  It was not profiled until MEB proceedings were underway for the shoulder condition.  She </w:t>
      </w:r>
      <w:r w:rsidR="00FC1B1A">
        <w:rPr>
          <w:rFonts w:eastAsia="Calibri" w:cs="Times New Roman"/>
          <w:color w:val="auto"/>
          <w:szCs w:val="24"/>
        </w:rPr>
        <w:t>related</w:t>
      </w:r>
      <w:r w:rsidR="007613C5">
        <w:rPr>
          <w:rFonts w:eastAsia="Calibri" w:cs="Times New Roman"/>
          <w:color w:val="auto"/>
          <w:szCs w:val="24"/>
        </w:rPr>
        <w:t xml:space="preserve"> to the MEB examiner that she </w:t>
      </w:r>
      <w:r w:rsidR="00FC1B1A">
        <w:rPr>
          <w:rFonts w:eastAsia="Calibri" w:cs="Times New Roman"/>
          <w:color w:val="auto"/>
          <w:szCs w:val="24"/>
        </w:rPr>
        <w:t>had undergone a course of physical therapy and was issued a brace for use with activities.  She reported pain with “any increase in usage, especially aggravated by stairs</w:t>
      </w:r>
      <w:r w:rsidR="00F4064B">
        <w:rPr>
          <w:rFonts w:eastAsia="Calibri" w:cs="Times New Roman"/>
          <w:color w:val="auto"/>
          <w:szCs w:val="24"/>
        </w:rPr>
        <w:t>.</w:t>
      </w:r>
      <w:r w:rsidR="00FC1B1A">
        <w:rPr>
          <w:rFonts w:eastAsia="Calibri" w:cs="Times New Roman"/>
          <w:color w:val="auto"/>
          <w:szCs w:val="24"/>
        </w:rPr>
        <w:t xml:space="preserve">” </w:t>
      </w:r>
      <w:r w:rsidR="00A76121">
        <w:rPr>
          <w:rFonts w:eastAsia="Calibri" w:cs="Times New Roman"/>
          <w:color w:val="auto"/>
          <w:szCs w:val="24"/>
        </w:rPr>
        <w:t xml:space="preserve"> </w:t>
      </w:r>
      <w:r w:rsidR="00FC1B1A">
        <w:rPr>
          <w:rFonts w:eastAsia="Calibri" w:cs="Times New Roman"/>
          <w:color w:val="auto"/>
          <w:szCs w:val="24"/>
        </w:rPr>
        <w:t xml:space="preserve">Plain x-ray revealed some mild degenerative changes.  Magnetic resonance imaging </w:t>
      </w:r>
      <w:r w:rsidR="000C0105">
        <w:rPr>
          <w:rFonts w:eastAsia="Calibri" w:cs="Times New Roman"/>
          <w:color w:val="auto"/>
          <w:szCs w:val="24"/>
        </w:rPr>
        <w:t xml:space="preserve">(MRI) </w:t>
      </w:r>
      <w:r w:rsidR="00FC1B1A">
        <w:rPr>
          <w:rFonts w:eastAsia="Calibri" w:cs="Times New Roman"/>
          <w:color w:val="auto"/>
          <w:szCs w:val="24"/>
        </w:rPr>
        <w:t xml:space="preserve">showed normal ligaments, cartilage and internal structures without effusion.  The ROM measurements </w:t>
      </w:r>
      <w:r w:rsidR="00A76121">
        <w:rPr>
          <w:rFonts w:eastAsia="Calibri" w:cs="Times New Roman"/>
          <w:color w:val="auto"/>
          <w:szCs w:val="24"/>
        </w:rPr>
        <w:t xml:space="preserve">recorded </w:t>
      </w:r>
      <w:r w:rsidR="00FC1B1A">
        <w:rPr>
          <w:rFonts w:eastAsia="Calibri" w:cs="Times New Roman"/>
          <w:color w:val="auto"/>
          <w:szCs w:val="24"/>
        </w:rPr>
        <w:t xml:space="preserve">in </w:t>
      </w:r>
      <w:r w:rsidR="00F4064B">
        <w:rPr>
          <w:rFonts w:eastAsia="Calibri" w:cs="Times New Roman"/>
          <w:color w:val="auto"/>
          <w:szCs w:val="24"/>
        </w:rPr>
        <w:t>s</w:t>
      </w:r>
      <w:r w:rsidR="00FC1B1A">
        <w:rPr>
          <w:rFonts w:eastAsia="Calibri" w:cs="Times New Roman"/>
          <w:color w:val="auto"/>
          <w:szCs w:val="24"/>
        </w:rPr>
        <w:t xml:space="preserve">ervice </w:t>
      </w:r>
      <w:r w:rsidR="00A76121">
        <w:rPr>
          <w:rFonts w:eastAsia="Calibri" w:cs="Times New Roman"/>
          <w:color w:val="auto"/>
          <w:szCs w:val="24"/>
        </w:rPr>
        <w:t>were a flexion of 129</w:t>
      </w:r>
      <w:r w:rsidR="00A76121">
        <w:rPr>
          <w:rFonts w:eastAsia="Calibri"/>
          <w:color w:val="auto"/>
          <w:szCs w:val="24"/>
        </w:rPr>
        <w:t>⁰</w:t>
      </w:r>
      <w:r w:rsidR="00A76121">
        <w:rPr>
          <w:rFonts w:eastAsia="Calibri" w:cs="Times New Roman"/>
          <w:color w:val="auto"/>
          <w:szCs w:val="24"/>
        </w:rPr>
        <w:t xml:space="preserve"> (normal 140</w:t>
      </w:r>
      <w:r w:rsidR="00A76121">
        <w:rPr>
          <w:rFonts w:eastAsia="Calibri"/>
          <w:color w:val="auto"/>
          <w:szCs w:val="24"/>
        </w:rPr>
        <w:t>⁰</w:t>
      </w:r>
      <w:r w:rsidR="00A76121">
        <w:rPr>
          <w:rFonts w:eastAsia="Calibri" w:cs="Times New Roman"/>
          <w:color w:val="auto"/>
          <w:szCs w:val="24"/>
        </w:rPr>
        <w:t xml:space="preserve">) “limited by pain” and normal extension.  Mild left lateral </w:t>
      </w:r>
      <w:proofErr w:type="spellStart"/>
      <w:r w:rsidR="00A76121">
        <w:rPr>
          <w:rFonts w:eastAsia="Calibri" w:cs="Times New Roman"/>
          <w:color w:val="auto"/>
          <w:szCs w:val="24"/>
        </w:rPr>
        <w:t>ligamental</w:t>
      </w:r>
      <w:proofErr w:type="spellEnd"/>
      <w:r w:rsidR="00A76121">
        <w:rPr>
          <w:rFonts w:eastAsia="Calibri" w:cs="Times New Roman"/>
          <w:color w:val="auto"/>
          <w:szCs w:val="24"/>
        </w:rPr>
        <w:t xml:space="preserve"> laxity was noted on exam.  At the VA evaluation</w:t>
      </w:r>
      <w:r w:rsidR="00F4064B">
        <w:rPr>
          <w:rFonts w:eastAsia="Calibri" w:cs="Times New Roman"/>
          <w:color w:val="auto"/>
          <w:szCs w:val="24"/>
        </w:rPr>
        <w:t xml:space="preserve"> after separation</w:t>
      </w:r>
      <w:r w:rsidR="00A76121">
        <w:rPr>
          <w:rFonts w:eastAsia="Calibri" w:cs="Times New Roman"/>
          <w:color w:val="auto"/>
          <w:szCs w:val="24"/>
        </w:rPr>
        <w:t>, the CI</w:t>
      </w:r>
      <w:r w:rsidR="00F4064B">
        <w:rPr>
          <w:rFonts w:eastAsia="Calibri" w:cs="Times New Roman"/>
          <w:color w:val="auto"/>
          <w:szCs w:val="24"/>
        </w:rPr>
        <w:t xml:space="preserve"> reported constant pain rated 6/</w:t>
      </w:r>
      <w:r w:rsidR="00A76121">
        <w:rPr>
          <w:rFonts w:eastAsia="Calibri" w:cs="Times New Roman"/>
          <w:color w:val="auto"/>
          <w:szCs w:val="24"/>
        </w:rPr>
        <w:t>10 aggravated by “every movement</w:t>
      </w:r>
      <w:r w:rsidR="00F4064B">
        <w:rPr>
          <w:rFonts w:eastAsia="Calibri" w:cs="Times New Roman"/>
          <w:color w:val="auto"/>
          <w:szCs w:val="24"/>
        </w:rPr>
        <w:t>.</w:t>
      </w:r>
      <w:r w:rsidR="00A76121">
        <w:rPr>
          <w:rFonts w:eastAsia="Calibri" w:cs="Times New Roman"/>
          <w:color w:val="auto"/>
          <w:szCs w:val="24"/>
        </w:rPr>
        <w:t xml:space="preserve">”  The VA </w:t>
      </w:r>
      <w:r w:rsidR="00A76121">
        <w:rPr>
          <w:rFonts w:eastAsia="Calibri" w:cs="Times New Roman"/>
          <w:color w:val="auto"/>
          <w:szCs w:val="24"/>
        </w:rPr>
        <w:lastRenderedPageBreak/>
        <w:t xml:space="preserve">examiner reported normal ROM measurements </w:t>
      </w:r>
      <w:r w:rsidR="0034400C">
        <w:rPr>
          <w:rFonts w:eastAsia="Calibri" w:cs="Times New Roman"/>
          <w:color w:val="auto"/>
          <w:szCs w:val="24"/>
        </w:rPr>
        <w:t xml:space="preserve">for </w:t>
      </w:r>
      <w:r w:rsidR="00A76121">
        <w:rPr>
          <w:rFonts w:eastAsia="Calibri" w:cs="Times New Roman"/>
          <w:color w:val="auto"/>
          <w:szCs w:val="24"/>
        </w:rPr>
        <w:t xml:space="preserve">flexion and extension.  </w:t>
      </w:r>
      <w:r w:rsidR="0034400C">
        <w:rPr>
          <w:rFonts w:eastAsia="Calibri" w:cs="Times New Roman"/>
          <w:color w:val="auto"/>
          <w:szCs w:val="24"/>
        </w:rPr>
        <w:t>Crepitus was noted on exam;</w:t>
      </w:r>
      <w:r w:rsidR="00A76121">
        <w:rPr>
          <w:rFonts w:eastAsia="Calibri" w:cs="Times New Roman"/>
          <w:color w:val="auto"/>
          <w:szCs w:val="24"/>
        </w:rPr>
        <w:t xml:space="preserve"> but</w:t>
      </w:r>
      <w:r w:rsidR="0034400C">
        <w:rPr>
          <w:rFonts w:eastAsia="Calibri" w:cs="Times New Roman"/>
          <w:color w:val="auto"/>
          <w:szCs w:val="24"/>
        </w:rPr>
        <w:t>,</w:t>
      </w:r>
      <w:r w:rsidR="00A76121">
        <w:rPr>
          <w:rFonts w:eastAsia="Calibri" w:cs="Times New Roman"/>
          <w:color w:val="auto"/>
          <w:szCs w:val="24"/>
        </w:rPr>
        <w:t xml:space="preserve"> there was no effusion</w:t>
      </w:r>
      <w:r w:rsidR="0034400C">
        <w:rPr>
          <w:rFonts w:eastAsia="Calibri" w:cs="Times New Roman"/>
          <w:color w:val="auto"/>
          <w:szCs w:val="24"/>
        </w:rPr>
        <w:t xml:space="preserve">, locking or instability.  Gait was normal on all </w:t>
      </w:r>
      <w:r w:rsidR="00F4064B">
        <w:rPr>
          <w:rFonts w:eastAsia="Calibri" w:cs="Times New Roman"/>
          <w:color w:val="auto"/>
          <w:szCs w:val="24"/>
        </w:rPr>
        <w:t>s</w:t>
      </w:r>
      <w:r w:rsidR="0034400C">
        <w:rPr>
          <w:rFonts w:eastAsia="Calibri" w:cs="Times New Roman"/>
          <w:color w:val="auto"/>
          <w:szCs w:val="24"/>
        </w:rPr>
        <w:t>ervice and VA examinations.</w:t>
      </w:r>
    </w:p>
    <w:p w:rsidR="0034400C" w:rsidRDefault="0034400C" w:rsidP="009A7578">
      <w:pPr>
        <w:jc w:val="both"/>
        <w:rPr>
          <w:rFonts w:eastAsia="Calibri" w:cs="Times New Roman"/>
          <w:color w:val="auto"/>
          <w:szCs w:val="24"/>
        </w:rPr>
      </w:pPr>
    </w:p>
    <w:p w:rsidR="000C0105" w:rsidRPr="0050642F" w:rsidRDefault="0034400C" w:rsidP="000C0105">
      <w:pPr>
        <w:tabs>
          <w:tab w:val="left" w:pos="288"/>
          <w:tab w:val="left" w:pos="4752"/>
        </w:tabs>
        <w:jc w:val="both"/>
        <w:rPr>
          <w:color w:val="000000"/>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Pr>
          <w:color w:val="000000"/>
          <w:szCs w:val="24"/>
        </w:rPr>
        <w:t>The VA coded the condition as 5010</w:t>
      </w:r>
      <w:r w:rsidR="006D0D98">
        <w:rPr>
          <w:color w:val="000000"/>
          <w:szCs w:val="24"/>
        </w:rPr>
        <w:t xml:space="preserve">-5260 (traumatic arthritis rated for limitation of motion), although this is a somewhat enigmatic choice given a normal ROM by the VA examiner.  Presumably §4.59 was applied to achieve the compensable rating.  As with the shoulder condition, there is no compensable limitation of ROM and no applicable joint code which would achieve a higher rating than 10%.  </w:t>
      </w:r>
      <w:r w:rsidR="000C0105">
        <w:rPr>
          <w:color w:val="000000"/>
          <w:szCs w:val="24"/>
        </w:rPr>
        <w:t xml:space="preserve">The MEB examiner specifically documented painful motion which would again support a minimal compensable rating under 5003 criteria, and there was radiographic confirmation of degenerative arthritis. </w:t>
      </w:r>
      <w:r w:rsidR="003424AC">
        <w:rPr>
          <w:color w:val="000000"/>
          <w:szCs w:val="24"/>
        </w:rPr>
        <w:t xml:space="preserve"> </w:t>
      </w:r>
      <w:r w:rsidR="006D0D98">
        <w:rPr>
          <w:color w:val="000000"/>
          <w:szCs w:val="24"/>
        </w:rPr>
        <w:t xml:space="preserve">A separate rating </w:t>
      </w:r>
      <w:r w:rsidR="000C0105">
        <w:rPr>
          <w:color w:val="000000"/>
          <w:szCs w:val="24"/>
        </w:rPr>
        <w:t>under 5257 (r</w:t>
      </w:r>
      <w:r w:rsidR="000C0105" w:rsidRPr="000C0105">
        <w:rPr>
          <w:color w:val="000000"/>
          <w:szCs w:val="24"/>
        </w:rPr>
        <w:t xml:space="preserve">ecurrent </w:t>
      </w:r>
      <w:proofErr w:type="spellStart"/>
      <w:r w:rsidR="000C0105" w:rsidRPr="000C0105">
        <w:rPr>
          <w:color w:val="000000"/>
          <w:szCs w:val="24"/>
        </w:rPr>
        <w:t>subluxation</w:t>
      </w:r>
      <w:proofErr w:type="spellEnd"/>
      <w:r w:rsidR="000C0105" w:rsidRPr="000C0105">
        <w:rPr>
          <w:color w:val="000000"/>
          <w:szCs w:val="24"/>
        </w:rPr>
        <w:t xml:space="preserve"> or lateral instability</w:t>
      </w:r>
      <w:r w:rsidR="000C0105">
        <w:rPr>
          <w:color w:val="000000"/>
          <w:szCs w:val="24"/>
        </w:rPr>
        <w:t>)</w:t>
      </w:r>
      <w:r w:rsidR="006D0D98">
        <w:rPr>
          <w:color w:val="000000"/>
          <w:szCs w:val="24"/>
        </w:rPr>
        <w:t xml:space="preserve"> </w:t>
      </w:r>
      <w:r w:rsidR="000C0105">
        <w:rPr>
          <w:color w:val="000000"/>
          <w:szCs w:val="24"/>
        </w:rPr>
        <w:t xml:space="preserve">was entertained based on the MEB examiner’s </w:t>
      </w:r>
      <w:proofErr w:type="spellStart"/>
      <w:r w:rsidR="000C0105">
        <w:rPr>
          <w:color w:val="000000"/>
          <w:szCs w:val="24"/>
        </w:rPr>
        <w:t>ligamental</w:t>
      </w:r>
      <w:proofErr w:type="spellEnd"/>
      <w:r w:rsidR="000C0105">
        <w:rPr>
          <w:color w:val="000000"/>
          <w:szCs w:val="24"/>
        </w:rPr>
        <w:t xml:space="preserve"> finding</w:t>
      </w:r>
      <w:r w:rsidR="00A37DFB">
        <w:rPr>
          <w:color w:val="000000"/>
          <w:szCs w:val="24"/>
        </w:rPr>
        <w:t xml:space="preserve"> and the fact that a brace was prescribed</w:t>
      </w:r>
      <w:r w:rsidR="000C0105">
        <w:rPr>
          <w:color w:val="000000"/>
          <w:szCs w:val="24"/>
        </w:rPr>
        <w:t xml:space="preserve">; but, the absence of corroborating examinations and the MRI confirmation of intact ligaments were compelling arguments undermining support for additional rating on this basis.  </w:t>
      </w:r>
      <w:r w:rsidR="000C0105" w:rsidRPr="00241B01">
        <w:rPr>
          <w:rFonts w:eastAsia="Calibri" w:cs="Times New Roman"/>
          <w:color w:val="auto"/>
          <w:szCs w:val="24"/>
        </w:rPr>
        <w:t xml:space="preserve">After due deliberation, considering all of the evidence and mindful of VASRD §4.3 (reasonable doubt), the Board recommends a </w:t>
      </w:r>
      <w:r w:rsidR="00F4064B">
        <w:rPr>
          <w:rFonts w:eastAsia="Calibri" w:cs="Times New Roman"/>
          <w:color w:val="auto"/>
          <w:szCs w:val="24"/>
        </w:rPr>
        <w:t>s</w:t>
      </w:r>
      <w:r w:rsidR="000C0105" w:rsidRPr="00241B01">
        <w:rPr>
          <w:rFonts w:eastAsia="Calibri" w:cs="Times New Roman"/>
          <w:color w:val="auto"/>
          <w:szCs w:val="24"/>
        </w:rPr>
        <w:t xml:space="preserve">ervice disability rating of </w:t>
      </w:r>
      <w:r w:rsidR="000C0105">
        <w:rPr>
          <w:rFonts w:eastAsia="Calibri" w:cs="Times New Roman"/>
          <w:color w:val="auto"/>
          <w:szCs w:val="24"/>
        </w:rPr>
        <w:t>1</w:t>
      </w:r>
      <w:r w:rsidR="000C0105" w:rsidRPr="00241B01">
        <w:rPr>
          <w:rFonts w:eastAsia="Calibri" w:cs="Times New Roman"/>
          <w:color w:val="auto"/>
          <w:szCs w:val="24"/>
        </w:rPr>
        <w:t xml:space="preserve">0% for the </w:t>
      </w:r>
      <w:r w:rsidR="000C0105">
        <w:rPr>
          <w:rFonts w:eastAsia="Calibri" w:cs="Times New Roman"/>
          <w:color w:val="auto"/>
          <w:szCs w:val="24"/>
        </w:rPr>
        <w:t>right knee</w:t>
      </w:r>
      <w:r w:rsidR="000C0105" w:rsidRPr="00241B01">
        <w:rPr>
          <w:rFonts w:eastAsia="Calibri" w:cs="Times New Roman"/>
          <w:color w:val="auto"/>
          <w:szCs w:val="24"/>
        </w:rPr>
        <w:t xml:space="preserve"> condition.</w:t>
      </w:r>
      <w:r w:rsidR="000C0105">
        <w:rPr>
          <w:rFonts w:eastAsia="Calibri" w:cs="Times New Roman"/>
          <w:color w:val="auto"/>
          <w:szCs w:val="24"/>
        </w:rPr>
        <w:t xml:space="preserve">  The </w:t>
      </w:r>
      <w:r w:rsidR="00F4064B">
        <w:rPr>
          <w:rFonts w:eastAsia="Calibri" w:cs="Times New Roman"/>
          <w:color w:val="auto"/>
          <w:szCs w:val="24"/>
        </w:rPr>
        <w:t>a</w:t>
      </w:r>
      <w:r w:rsidR="000C0105">
        <w:rPr>
          <w:rFonts w:eastAsia="Calibri" w:cs="Times New Roman"/>
          <w:color w:val="auto"/>
          <w:szCs w:val="24"/>
        </w:rPr>
        <w:t xml:space="preserve">ction </w:t>
      </w:r>
      <w:r w:rsidR="00F4064B">
        <w:rPr>
          <w:rFonts w:eastAsia="Calibri" w:cs="Times New Roman"/>
          <w:color w:val="auto"/>
          <w:szCs w:val="24"/>
        </w:rPr>
        <w:t>o</w:t>
      </w:r>
      <w:r w:rsidR="000C0105">
        <w:rPr>
          <w:rFonts w:eastAsia="Calibri" w:cs="Times New Roman"/>
          <w:color w:val="auto"/>
          <w:szCs w:val="24"/>
        </w:rPr>
        <w:t>fficer recommends code 5010 (traumatic arthritis) for its clinical fit.</w:t>
      </w:r>
    </w:p>
    <w:p w:rsidR="0034400C" w:rsidRDefault="0034400C" w:rsidP="009A7578">
      <w:pPr>
        <w:jc w:val="both"/>
        <w:rPr>
          <w:rFonts w:eastAsia="Calibri" w:cs="Times New Roman"/>
          <w:color w:val="auto"/>
          <w:szCs w:val="24"/>
        </w:rPr>
      </w:pPr>
    </w:p>
    <w:p w:rsidR="00AD2379" w:rsidRPr="009E4DC7" w:rsidRDefault="00AD2379" w:rsidP="009A7578">
      <w:pPr>
        <w:jc w:val="both"/>
        <w:rPr>
          <w:b/>
          <w:i/>
          <w:color w:val="000000"/>
        </w:rPr>
      </w:pPr>
      <w:proofErr w:type="gramStart"/>
      <w:r w:rsidRPr="001F29F9">
        <w:rPr>
          <w:rFonts w:eastAsia="HiddenHorzOCR"/>
          <w:color w:val="000000"/>
          <w:u w:val="single"/>
        </w:rPr>
        <w:t>Other PEB Conditions</w:t>
      </w:r>
      <w:r w:rsidRPr="001F29F9">
        <w:rPr>
          <w:rFonts w:eastAsia="HiddenHorzOCR"/>
          <w:color w:val="000000"/>
        </w:rPr>
        <w:t>.</w:t>
      </w:r>
      <w:proofErr w:type="gramEnd"/>
      <w:r w:rsidRPr="001F29F9">
        <w:rPr>
          <w:rFonts w:eastAsia="HiddenHorzOCR"/>
          <w:color w:val="000000"/>
        </w:rPr>
        <w:t xml:space="preserve"> </w:t>
      </w:r>
      <w:r w:rsidRPr="001F29F9">
        <w:rPr>
          <w:color w:val="000000"/>
        </w:rPr>
        <w:t xml:space="preserve">The other conditions forwarded by the MEB and adjudicated as not unfitting by the PEB were </w:t>
      </w:r>
      <w:r w:rsidR="00874297">
        <w:rPr>
          <w:color w:val="000000"/>
        </w:rPr>
        <w:t>headaches and GERD</w:t>
      </w:r>
      <w:r w:rsidR="00542022">
        <w:rPr>
          <w:color w:val="000000"/>
        </w:rPr>
        <w:t>.</w:t>
      </w:r>
      <w:r w:rsidRPr="00D8352E">
        <w:rPr>
          <w:color w:val="000000"/>
        </w:rPr>
        <w:t xml:space="preserve"> </w:t>
      </w:r>
      <w:r w:rsidR="00417999">
        <w:rPr>
          <w:color w:val="000000"/>
        </w:rPr>
        <w:t xml:space="preserve"> </w:t>
      </w:r>
      <w:r w:rsidR="00874297">
        <w:rPr>
          <w:color w:val="000000"/>
        </w:rPr>
        <w:t>The headache condition appeared in the narrative summary (NARSUM), but was not identified in the STR as an active clinical issue.  The onset dated to 2004</w:t>
      </w:r>
      <w:r w:rsidR="003424AC">
        <w:rPr>
          <w:color w:val="000000"/>
        </w:rPr>
        <w:t>,</w:t>
      </w:r>
      <w:r w:rsidR="00874297">
        <w:rPr>
          <w:color w:val="000000"/>
        </w:rPr>
        <w:t xml:space="preserve"> and the CI related </w:t>
      </w:r>
      <w:r w:rsidR="003424AC">
        <w:rPr>
          <w:color w:val="000000"/>
        </w:rPr>
        <w:t>an association with pain from</w:t>
      </w:r>
      <w:r w:rsidR="00874297">
        <w:rPr>
          <w:color w:val="000000"/>
        </w:rPr>
        <w:t xml:space="preserve"> the shoulder condition.  It was treated with acetaminophen and no prostrating episodes are in evidence.  </w:t>
      </w:r>
      <w:r w:rsidR="00FD408A">
        <w:rPr>
          <w:color w:val="000000"/>
        </w:rPr>
        <w:t>The first STR entry for GERD was in 2004 when the CI sought treatment for</w:t>
      </w:r>
      <w:r w:rsidR="003424AC">
        <w:rPr>
          <w:color w:val="000000"/>
        </w:rPr>
        <w:t xml:space="preserve"> heartburn.  Endoscopy in </w:t>
      </w:r>
      <w:r w:rsidR="00F4064B">
        <w:rPr>
          <w:color w:val="000000"/>
        </w:rPr>
        <w:t xml:space="preserve">       </w:t>
      </w:r>
      <w:r w:rsidR="003424AC">
        <w:rPr>
          <w:color w:val="000000"/>
        </w:rPr>
        <w:t>April</w:t>
      </w:r>
      <w:r w:rsidR="00FD408A">
        <w:rPr>
          <w:color w:val="000000"/>
        </w:rPr>
        <w:t xml:space="preserve"> 2006 revealed mild gastritis and a small </w:t>
      </w:r>
      <w:proofErr w:type="spellStart"/>
      <w:r w:rsidR="00FD408A">
        <w:rPr>
          <w:color w:val="000000"/>
        </w:rPr>
        <w:t>hiatal</w:t>
      </w:r>
      <w:proofErr w:type="spellEnd"/>
      <w:r w:rsidR="00FD408A">
        <w:rPr>
          <w:color w:val="000000"/>
        </w:rPr>
        <w:t xml:space="preserve"> hernia.  At the time of separation she was treated with </w:t>
      </w:r>
      <w:proofErr w:type="spellStart"/>
      <w:r w:rsidR="00FD408A">
        <w:rPr>
          <w:color w:val="000000"/>
        </w:rPr>
        <w:t>Aciphex</w:t>
      </w:r>
      <w:proofErr w:type="spellEnd"/>
      <w:r w:rsidR="00FD408A">
        <w:rPr>
          <w:color w:val="000000"/>
        </w:rPr>
        <w:t xml:space="preserve"> (</w:t>
      </w:r>
      <w:r w:rsidR="003424AC">
        <w:rPr>
          <w:color w:val="000000"/>
        </w:rPr>
        <w:t>suppressor of</w:t>
      </w:r>
      <w:r w:rsidR="00FD408A">
        <w:rPr>
          <w:color w:val="000000"/>
        </w:rPr>
        <w:t xml:space="preserve"> acid production), but no acute symptoms were reported in the NARSUM; and, no clinical activity during the MEB period is evidenced in the STR.  </w:t>
      </w:r>
      <w:r w:rsidR="00BA386D">
        <w:rPr>
          <w:color w:val="000000"/>
        </w:rPr>
        <w:t>Neither of these conditions was</w:t>
      </w:r>
      <w:r w:rsidRPr="00D8352E">
        <w:rPr>
          <w:color w:val="000000"/>
        </w:rPr>
        <w:t xml:space="preserve"> profiled, implicated in the commander’s statement or noted as failing retention standards.</w:t>
      </w:r>
      <w:r w:rsidRPr="001F29F9">
        <w:rPr>
          <w:color w:val="000000"/>
        </w:rPr>
        <w:t xml:space="preserve"> </w:t>
      </w:r>
      <w:r w:rsidR="00417999">
        <w:rPr>
          <w:color w:val="000000"/>
        </w:rPr>
        <w:t xml:space="preserve"> </w:t>
      </w:r>
      <w:r w:rsidR="00BA386D">
        <w:rPr>
          <w:color w:val="000000"/>
        </w:rPr>
        <w:t>Both</w:t>
      </w:r>
      <w:r w:rsidRPr="001F29F9">
        <w:rPr>
          <w:color w:val="000000"/>
        </w:rPr>
        <w:t xml:space="preserve"> were reviewed by the </w:t>
      </w:r>
      <w:r w:rsidR="003D502F">
        <w:rPr>
          <w:color w:val="000000"/>
        </w:rPr>
        <w:t>a</w:t>
      </w:r>
      <w:r w:rsidR="00417999" w:rsidRPr="001F29F9">
        <w:rPr>
          <w:color w:val="000000"/>
        </w:rPr>
        <w:t xml:space="preserve">ction </w:t>
      </w:r>
      <w:r w:rsidR="003D502F">
        <w:rPr>
          <w:color w:val="000000"/>
        </w:rPr>
        <w:t>o</w:t>
      </w:r>
      <w:r w:rsidR="00417999" w:rsidRPr="001F29F9">
        <w:rPr>
          <w:color w:val="000000"/>
        </w:rPr>
        <w:t xml:space="preserve">fficer </w:t>
      </w:r>
      <w:r w:rsidRPr="001F29F9">
        <w:rPr>
          <w:color w:val="000000"/>
        </w:rPr>
        <w:t xml:space="preserve">and considered by the Board. </w:t>
      </w:r>
      <w:r w:rsidR="00607AC8">
        <w:rPr>
          <w:color w:val="000000"/>
        </w:rPr>
        <w:t xml:space="preserve"> </w:t>
      </w:r>
      <w:r w:rsidRPr="001F29F9">
        <w:rPr>
          <w:color w:val="000000"/>
        </w:rPr>
        <w:t xml:space="preserve">There was no indication from the record that </w:t>
      </w:r>
      <w:r w:rsidR="00BA386D">
        <w:rPr>
          <w:color w:val="000000"/>
        </w:rPr>
        <w:t>either</w:t>
      </w:r>
      <w:r w:rsidRPr="001F29F9">
        <w:rPr>
          <w:color w:val="000000"/>
        </w:rPr>
        <w:t xml:space="preserve"> of these conditions significantly interfered with satisfactory duty performance. </w:t>
      </w:r>
      <w:r w:rsidR="006002FE">
        <w:rPr>
          <w:color w:val="000000"/>
        </w:rPr>
        <w:t xml:space="preserve"> </w:t>
      </w:r>
      <w:r w:rsidRPr="001F29F9">
        <w:rPr>
          <w:color w:val="000000"/>
        </w:rPr>
        <w:t>All evidence considered</w:t>
      </w:r>
      <w:proofErr w:type="gramStart"/>
      <w:r w:rsidRPr="001F29F9">
        <w:rPr>
          <w:color w:val="000000"/>
        </w:rPr>
        <w:t>,</w:t>
      </w:r>
      <w:proofErr w:type="gramEnd"/>
      <w:r w:rsidRPr="001F29F9">
        <w:rPr>
          <w:color w:val="000000"/>
        </w:rPr>
        <w:t xml:space="preserve"> there is not reasonable doubt in the CI’s favor supporting </w:t>
      </w:r>
      <w:r w:rsidR="00CB3F63">
        <w:rPr>
          <w:color w:val="000000"/>
        </w:rPr>
        <w:t>a change in</w:t>
      </w:r>
      <w:r w:rsidRPr="001F29F9">
        <w:rPr>
          <w:color w:val="000000"/>
        </w:rPr>
        <w:t xml:space="preserve"> the PEB fitness </w:t>
      </w:r>
      <w:r w:rsidR="006A58C1">
        <w:rPr>
          <w:color w:val="000000"/>
        </w:rPr>
        <w:t>determinations</w:t>
      </w:r>
      <w:r w:rsidRPr="001F29F9">
        <w:rPr>
          <w:color w:val="000000"/>
        </w:rPr>
        <w:t xml:space="preserve"> for </w:t>
      </w:r>
      <w:r w:rsidR="00BA386D">
        <w:rPr>
          <w:color w:val="000000"/>
        </w:rPr>
        <w:t>the headache or GERD</w:t>
      </w:r>
      <w:r w:rsidRPr="001F29F9">
        <w:rPr>
          <w:color w:val="000000"/>
        </w:rPr>
        <w:t xml:space="preserve"> conditions.</w:t>
      </w:r>
    </w:p>
    <w:p w:rsidR="006002FE" w:rsidRDefault="006002FE" w:rsidP="009A7578">
      <w:pPr>
        <w:jc w:val="both"/>
        <w:rPr>
          <w:color w:val="000000"/>
        </w:rPr>
      </w:pPr>
    </w:p>
    <w:p w:rsidR="00434694" w:rsidRPr="00BA386D" w:rsidRDefault="00AD2379" w:rsidP="00A02AA8">
      <w:pPr>
        <w:jc w:val="both"/>
        <w:rPr>
          <w:color w:val="auto"/>
          <w:szCs w:val="24"/>
        </w:rPr>
      </w:pPr>
      <w:proofErr w:type="gramStart"/>
      <w:r w:rsidRPr="00D8352E">
        <w:rPr>
          <w:color w:val="000000"/>
          <w:u w:val="single"/>
        </w:rPr>
        <w:t>Remaining Conditions</w:t>
      </w:r>
      <w:r w:rsidRPr="00164413">
        <w:rPr>
          <w:color w:val="000000"/>
        </w:rPr>
        <w:t>.</w:t>
      </w:r>
      <w:proofErr w:type="gramEnd"/>
      <w:r w:rsidRPr="00164413">
        <w:rPr>
          <w:color w:val="000000"/>
        </w:rPr>
        <w:t xml:space="preserve"> </w:t>
      </w:r>
      <w:r w:rsidR="00680450">
        <w:rPr>
          <w:color w:val="000000"/>
        </w:rPr>
        <w:t xml:space="preserve"> </w:t>
      </w:r>
      <w:r w:rsidR="00923E9A">
        <w:rPr>
          <w:color w:val="000000"/>
        </w:rPr>
        <w:t xml:space="preserve">The CI had a previously addressed and stable asthma condition.  She had undergone a MEB for it in 1999, and was found fit by the PEB at that time.  The condition carried a permanent P3 profile and had not impeded MOS performance for the ensuing years up to the time of separation for the orthopedic conditions.  There was no indication that the acuity </w:t>
      </w:r>
      <w:r w:rsidR="003269E6">
        <w:rPr>
          <w:color w:val="000000"/>
        </w:rPr>
        <w:t xml:space="preserve">of the </w:t>
      </w:r>
      <w:r w:rsidR="00923E9A">
        <w:rPr>
          <w:color w:val="000000"/>
        </w:rPr>
        <w:t xml:space="preserve">asthma </w:t>
      </w:r>
      <w:r w:rsidR="003269E6">
        <w:rPr>
          <w:color w:val="000000"/>
        </w:rPr>
        <w:t xml:space="preserve">condition </w:t>
      </w:r>
      <w:r w:rsidR="00923E9A">
        <w:rPr>
          <w:color w:val="000000"/>
        </w:rPr>
        <w:t xml:space="preserve">had changed at separation, and thus </w:t>
      </w:r>
      <w:r w:rsidR="003269E6">
        <w:rPr>
          <w:color w:val="000000"/>
        </w:rPr>
        <w:t>it was not re-adjudicated by the final PEB.</w:t>
      </w:r>
      <w:r w:rsidR="00F325FE">
        <w:rPr>
          <w:color w:val="000000"/>
        </w:rPr>
        <w:t xml:space="preserve"> </w:t>
      </w:r>
      <w:r w:rsidR="003269E6">
        <w:rPr>
          <w:color w:val="000000"/>
        </w:rPr>
        <w:t xml:space="preserve"> The </w:t>
      </w:r>
      <w:r w:rsidR="003D502F">
        <w:rPr>
          <w:color w:val="000000"/>
        </w:rPr>
        <w:t>a</w:t>
      </w:r>
      <w:r w:rsidR="003269E6">
        <w:rPr>
          <w:color w:val="000000"/>
        </w:rPr>
        <w:t xml:space="preserve">ction </w:t>
      </w:r>
      <w:r w:rsidR="003D502F">
        <w:rPr>
          <w:color w:val="000000"/>
        </w:rPr>
        <w:t>o</w:t>
      </w:r>
      <w:r w:rsidR="003269E6">
        <w:rPr>
          <w:color w:val="000000"/>
        </w:rPr>
        <w:t>fficer and fellow Board members agreed that fitness for this condition was therefore well established</w:t>
      </w:r>
      <w:r w:rsidR="003424AC">
        <w:rPr>
          <w:color w:val="000000"/>
        </w:rPr>
        <w:t>,</w:t>
      </w:r>
      <w:r w:rsidR="003269E6">
        <w:rPr>
          <w:color w:val="000000"/>
        </w:rPr>
        <w:t xml:space="preserve"> </w:t>
      </w:r>
      <w:r w:rsidR="003D502F">
        <w:rPr>
          <w:color w:val="000000"/>
        </w:rPr>
        <w:t>and that it was not subject to s</w:t>
      </w:r>
      <w:r w:rsidR="003269E6">
        <w:rPr>
          <w:color w:val="000000"/>
        </w:rPr>
        <w:t>ervice rating at the time of separation for the orthopedic conditions.</w:t>
      </w:r>
      <w:r w:rsidR="00923E9A">
        <w:rPr>
          <w:color w:val="000000"/>
        </w:rPr>
        <w:t xml:space="preserve"> </w:t>
      </w:r>
      <w:r w:rsidR="003269E6">
        <w:rPr>
          <w:color w:val="000000"/>
        </w:rPr>
        <w:t xml:space="preserve"> </w:t>
      </w:r>
      <w:r w:rsidR="00680450" w:rsidRPr="00680450">
        <w:rPr>
          <w:rFonts w:eastAsia="Calibri" w:cs="Times New Roman"/>
          <w:color w:val="auto"/>
          <w:szCs w:val="24"/>
        </w:rPr>
        <w:t xml:space="preserve">Other conditions identified in the </w:t>
      </w:r>
      <w:r w:rsidR="00033287">
        <w:rPr>
          <w:rFonts w:eastAsia="Calibri" w:cs="Times New Roman"/>
          <w:color w:val="auto"/>
          <w:szCs w:val="24"/>
        </w:rPr>
        <w:t xml:space="preserve">core </w:t>
      </w:r>
      <w:r w:rsidR="00680450" w:rsidRPr="00680450">
        <w:rPr>
          <w:rFonts w:eastAsia="Calibri" w:cs="Times New Roman"/>
          <w:color w:val="auto"/>
          <w:szCs w:val="24"/>
        </w:rPr>
        <w:t xml:space="preserve">DES file </w:t>
      </w:r>
      <w:r w:rsidR="009E4DC7">
        <w:rPr>
          <w:rFonts w:eastAsia="Calibri" w:cs="Times New Roman"/>
          <w:color w:val="auto"/>
          <w:szCs w:val="24"/>
        </w:rPr>
        <w:t>included</w:t>
      </w:r>
      <w:r w:rsidR="00680450" w:rsidRPr="00680450">
        <w:rPr>
          <w:rFonts w:eastAsia="Calibri" w:cs="Times New Roman"/>
          <w:color w:val="auto"/>
          <w:szCs w:val="24"/>
        </w:rPr>
        <w:t xml:space="preserve"> </w:t>
      </w:r>
      <w:r w:rsidR="003269E6">
        <w:rPr>
          <w:color w:val="000000"/>
        </w:rPr>
        <w:t>sinusitis, dry eyes, upper back pain, left knee pain, a previously fractured clavicle, and urinary tract symptoms</w:t>
      </w:r>
      <w:r w:rsidR="00680450" w:rsidRPr="00680450">
        <w:rPr>
          <w:rFonts w:eastAsia="Calibri" w:cs="Times New Roman"/>
          <w:color w:val="auto"/>
          <w:szCs w:val="24"/>
        </w:rPr>
        <w:t xml:space="preserve">.  </w:t>
      </w:r>
      <w:r w:rsidRPr="00D8352E">
        <w:rPr>
          <w:color w:val="000000"/>
        </w:rPr>
        <w:t>Several additional non-acute conditions or medical complaints were also documented.</w:t>
      </w:r>
      <w:r w:rsidR="00033287">
        <w:rPr>
          <w:color w:val="000000"/>
        </w:rPr>
        <w:t xml:space="preserve"> </w:t>
      </w:r>
      <w:r w:rsidRPr="00D8352E">
        <w:rPr>
          <w:color w:val="000000"/>
        </w:rPr>
        <w:t xml:space="preserve"> </w:t>
      </w:r>
      <w:r w:rsidR="00607AC8" w:rsidRPr="00607AC8">
        <w:rPr>
          <w:color w:val="000000"/>
        </w:rPr>
        <w:t>None of these conditions were significantly clinically or occupationally active during the MEB period; none carried attached profiles; and, none were implicated in the c</w:t>
      </w:r>
      <w:r w:rsidR="00607AC8">
        <w:rPr>
          <w:color w:val="000000"/>
        </w:rPr>
        <w:t>ommander’s statement.</w:t>
      </w:r>
      <w:r w:rsidR="00607AC8" w:rsidRPr="00607AC8">
        <w:rPr>
          <w:color w:val="000000"/>
        </w:rPr>
        <w:t xml:space="preserve">  These conditions were reviewed by the </w:t>
      </w:r>
      <w:r w:rsidR="003D502F">
        <w:rPr>
          <w:color w:val="000000"/>
        </w:rPr>
        <w:t>a</w:t>
      </w:r>
      <w:r w:rsidR="00607AC8" w:rsidRPr="00607AC8">
        <w:rPr>
          <w:color w:val="000000"/>
        </w:rPr>
        <w:t xml:space="preserve">ction </w:t>
      </w:r>
      <w:r w:rsidR="003D502F">
        <w:rPr>
          <w:color w:val="000000"/>
        </w:rPr>
        <w:t>o</w:t>
      </w:r>
      <w:r w:rsidR="00607AC8" w:rsidRPr="00607AC8">
        <w:rPr>
          <w:color w:val="000000"/>
        </w:rPr>
        <w:t xml:space="preserve">fficer and considered by the Board.  </w:t>
      </w:r>
      <w:r w:rsidRPr="00D8352E">
        <w:rPr>
          <w:color w:val="000000"/>
        </w:rPr>
        <w:t xml:space="preserve">It was determined that none could be argued as unfitting and subject to separation rating. </w:t>
      </w:r>
      <w:r w:rsidR="00607AC8">
        <w:rPr>
          <w:color w:val="000000"/>
        </w:rPr>
        <w:t xml:space="preserve"> </w:t>
      </w:r>
      <w:r w:rsidR="003269E6">
        <w:rPr>
          <w:color w:val="000000"/>
        </w:rPr>
        <w:t>No additional conditions were identified at the VA evaluation</w:t>
      </w:r>
      <w:r w:rsidR="003D502F">
        <w:rPr>
          <w:color w:val="000000"/>
        </w:rPr>
        <w:t xml:space="preserve"> after </w:t>
      </w:r>
      <w:r w:rsidR="003D502F">
        <w:rPr>
          <w:color w:val="000000"/>
        </w:rPr>
        <w:lastRenderedPageBreak/>
        <w:t>separation</w:t>
      </w:r>
      <w:r w:rsidR="003269E6">
        <w:rPr>
          <w:color w:val="000000"/>
        </w:rPr>
        <w:t xml:space="preserve">.  </w:t>
      </w:r>
      <w:r w:rsidR="00BA386D">
        <w:rPr>
          <w:color w:val="000000"/>
        </w:rPr>
        <w:t xml:space="preserve">The CI’s application refers to surgery </w:t>
      </w:r>
      <w:r w:rsidR="003D502F">
        <w:rPr>
          <w:color w:val="000000"/>
        </w:rPr>
        <w:t xml:space="preserve">after separation </w:t>
      </w:r>
      <w:r w:rsidR="00BA386D">
        <w:rPr>
          <w:color w:val="000000"/>
        </w:rPr>
        <w:t>for GERD (as addressed above) and flat feet.  The foot c</w:t>
      </w:r>
      <w:r w:rsidR="003424AC">
        <w:rPr>
          <w:color w:val="000000"/>
        </w:rPr>
        <w:t>ondition was not documented in s</w:t>
      </w:r>
      <w:r w:rsidR="00BA386D">
        <w:rPr>
          <w:color w:val="000000"/>
        </w:rPr>
        <w:t xml:space="preserve">ervice or </w:t>
      </w:r>
      <w:r w:rsidR="003424AC">
        <w:rPr>
          <w:color w:val="000000"/>
        </w:rPr>
        <w:t xml:space="preserve">by the VA </w:t>
      </w:r>
      <w:r w:rsidR="00BA386D">
        <w:rPr>
          <w:color w:val="000000"/>
        </w:rPr>
        <w:t xml:space="preserve">at separation.  It was identified by </w:t>
      </w:r>
      <w:r w:rsidR="003D502F">
        <w:rPr>
          <w:color w:val="000000"/>
        </w:rPr>
        <w:t>the VA in 2008, but not service-</w:t>
      </w:r>
      <w:r w:rsidR="00BA386D">
        <w:rPr>
          <w:color w:val="000000"/>
        </w:rPr>
        <w:t xml:space="preserve">connected at that time.  </w:t>
      </w:r>
      <w:r w:rsidR="00BA386D" w:rsidRPr="00AA088E">
        <w:rPr>
          <w:color w:val="auto"/>
          <w:szCs w:val="24"/>
        </w:rPr>
        <w:t>The Board does not have the authority under DoDI 6040.44 to render fitness or rating recommendations for any conditions not considered by the DES.</w:t>
      </w:r>
      <w:r w:rsidR="00BA386D">
        <w:rPr>
          <w:color w:val="auto"/>
          <w:szCs w:val="24"/>
        </w:rPr>
        <w:t xml:space="preserve">  </w:t>
      </w:r>
      <w:r w:rsidR="00AA088E" w:rsidRPr="00D8352E">
        <w:rPr>
          <w:color w:val="000000"/>
        </w:rPr>
        <w:t>The Board therefore has no reasonable basis for recommending any additional unfitting conditions for separation rating.</w:t>
      </w:r>
    </w:p>
    <w:p w:rsidR="00AD2379" w:rsidRPr="009A7578" w:rsidRDefault="00AD2379" w:rsidP="006364ED">
      <w:pPr>
        <w:jc w:val="left"/>
        <w:rPr>
          <w:color w:val="000000"/>
          <w:highlight w:val="magenta"/>
        </w:rPr>
      </w:pPr>
    </w:p>
    <w:p w:rsidR="00560F12" w:rsidRPr="006A58C1" w:rsidRDefault="00AD2379" w:rsidP="00560F12">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the USAPDA pain policy </w:t>
      </w:r>
      <w:r w:rsidR="00BA386D">
        <w:rPr>
          <w:rFonts w:eastAsia="Calibri" w:cs="Times New Roman"/>
          <w:color w:val="auto"/>
          <w:szCs w:val="24"/>
        </w:rPr>
        <w:t xml:space="preserve">and presumptively on AR </w:t>
      </w:r>
      <w:r w:rsidR="00F1682C" w:rsidRPr="000E70D7">
        <w:rPr>
          <w:color w:val="000000"/>
        </w:rPr>
        <w:t>635-40</w:t>
      </w:r>
      <w:r w:rsidR="00F1682C">
        <w:rPr>
          <w:color w:val="000000"/>
        </w:rPr>
        <w:t xml:space="preserve"> </w:t>
      </w:r>
      <w:r w:rsidR="00241B01" w:rsidRPr="00241B01">
        <w:rPr>
          <w:rFonts w:eastAsia="Calibri" w:cs="Times New Roman"/>
          <w:color w:val="auto"/>
          <w:szCs w:val="24"/>
        </w:rPr>
        <w:t xml:space="preserve">for rating </w:t>
      </w:r>
      <w:r w:rsidR="00F1682C">
        <w:rPr>
          <w:rFonts w:eastAsia="Calibri" w:cs="Times New Roman"/>
          <w:color w:val="auto"/>
          <w:szCs w:val="24"/>
        </w:rPr>
        <w:t>the right shoulder and right knee conditions</w:t>
      </w:r>
      <w:r w:rsidR="00241B01" w:rsidRPr="00241B01">
        <w:rPr>
          <w:rFonts w:eastAsia="Calibri" w:cs="Times New Roman"/>
          <w:color w:val="auto"/>
          <w:szCs w:val="24"/>
        </w:rPr>
        <w:t xml:space="preserve"> was operant in this case</w:t>
      </w:r>
      <w:r w:rsidR="00F1682C">
        <w:rPr>
          <w:rFonts w:eastAsia="Calibri" w:cs="Times New Roman"/>
          <w:color w:val="auto"/>
          <w:szCs w:val="24"/>
        </w:rPr>
        <w:t>;</w:t>
      </w:r>
      <w:r w:rsidR="00241B01" w:rsidRPr="00241B01">
        <w:rPr>
          <w:rFonts w:eastAsia="Calibri" w:cs="Times New Roman"/>
          <w:color w:val="auto"/>
          <w:szCs w:val="24"/>
        </w:rPr>
        <w:t xml:space="preserve"> and</w:t>
      </w:r>
      <w:r w:rsidR="00F1682C">
        <w:rPr>
          <w:rFonts w:eastAsia="Calibri" w:cs="Times New Roman"/>
          <w:color w:val="auto"/>
          <w:szCs w:val="24"/>
        </w:rPr>
        <w:t>,</w:t>
      </w:r>
      <w:r w:rsidR="00241B01" w:rsidRPr="00241B01">
        <w:rPr>
          <w:rFonts w:eastAsia="Calibri" w:cs="Times New Roman"/>
          <w:color w:val="auto"/>
          <w:szCs w:val="24"/>
        </w:rPr>
        <w:t xml:space="preserve"> the condition</w:t>
      </w:r>
      <w:r w:rsidR="00F1682C">
        <w:rPr>
          <w:rFonts w:eastAsia="Calibri" w:cs="Times New Roman"/>
          <w:color w:val="auto"/>
          <w:szCs w:val="24"/>
        </w:rPr>
        <w:t>s were</w:t>
      </w:r>
      <w:r w:rsidR="00241B01" w:rsidRPr="00241B01">
        <w:rPr>
          <w:rFonts w:eastAsia="Calibri" w:cs="Times New Roman"/>
          <w:color w:val="auto"/>
          <w:szCs w:val="24"/>
        </w:rPr>
        <w:t xml:space="preserve"> adjudicated independently of that policy </w:t>
      </w:r>
      <w:r w:rsidR="00F1682C">
        <w:rPr>
          <w:rFonts w:eastAsia="Calibri" w:cs="Times New Roman"/>
          <w:color w:val="auto"/>
          <w:szCs w:val="24"/>
        </w:rPr>
        <w:t xml:space="preserve">and regulation </w:t>
      </w:r>
      <w:r w:rsidR="00241B01" w:rsidRPr="00241B01">
        <w:rPr>
          <w:rFonts w:eastAsia="Calibri" w:cs="Times New Roman"/>
          <w:color w:val="auto"/>
          <w:szCs w:val="24"/>
        </w:rPr>
        <w:t xml:space="preserve">by the Board. </w:t>
      </w:r>
      <w:r w:rsidR="00F1682C">
        <w:rPr>
          <w:rFonts w:eastAsia="Calibri" w:cs="Times New Roman"/>
          <w:color w:val="auto"/>
          <w:szCs w:val="24"/>
        </w:rPr>
        <w:t xml:space="preserve"> </w:t>
      </w:r>
      <w:r w:rsidR="00F1682C" w:rsidRPr="00F1682C">
        <w:rPr>
          <w:rFonts w:eastAsia="Calibri" w:cs="Times New Roman"/>
          <w:color w:val="auto"/>
          <w:szCs w:val="24"/>
        </w:rPr>
        <w:t xml:space="preserve">In the matter of the </w:t>
      </w:r>
      <w:r w:rsidR="00F1682C">
        <w:rPr>
          <w:rFonts w:eastAsia="Calibri" w:cs="Times New Roman"/>
          <w:color w:val="auto"/>
          <w:szCs w:val="24"/>
        </w:rPr>
        <w:t>jointly rated right shoulder and right knee</w:t>
      </w:r>
      <w:r w:rsidR="00F1682C" w:rsidRPr="00F1682C">
        <w:rPr>
          <w:rFonts w:eastAsia="Calibri" w:cs="Times New Roman"/>
          <w:color w:val="auto"/>
          <w:szCs w:val="24"/>
        </w:rPr>
        <w:t xml:space="preserve"> condition</w:t>
      </w:r>
      <w:r w:rsidR="00F1682C">
        <w:rPr>
          <w:rFonts w:eastAsia="Calibri" w:cs="Times New Roman"/>
          <w:color w:val="auto"/>
          <w:szCs w:val="24"/>
        </w:rPr>
        <w:t>s</w:t>
      </w:r>
      <w:r w:rsidR="00F1682C" w:rsidRPr="00F1682C">
        <w:rPr>
          <w:rFonts w:eastAsia="Calibri" w:cs="Times New Roman"/>
          <w:color w:val="auto"/>
          <w:szCs w:val="24"/>
        </w:rPr>
        <w:t xml:space="preserve">, the Board unanimously recommends that </w:t>
      </w:r>
      <w:r w:rsidR="00F1682C">
        <w:rPr>
          <w:rFonts w:eastAsia="Calibri" w:cs="Times New Roman"/>
          <w:color w:val="auto"/>
          <w:szCs w:val="24"/>
        </w:rPr>
        <w:t>they</w:t>
      </w:r>
      <w:r w:rsidR="00F1682C" w:rsidRPr="00F1682C">
        <w:rPr>
          <w:rFonts w:eastAsia="Calibri" w:cs="Times New Roman"/>
          <w:color w:val="auto"/>
          <w:szCs w:val="24"/>
        </w:rPr>
        <w:t xml:space="preserve"> be rated for two separate unfitting conditions as follows:  </w:t>
      </w:r>
      <w:r w:rsidR="00F1682C">
        <w:rPr>
          <w:rFonts w:eastAsia="Calibri" w:cs="Times New Roman"/>
          <w:color w:val="auto"/>
          <w:szCs w:val="24"/>
        </w:rPr>
        <w:t>a right shoulder condition</w:t>
      </w:r>
      <w:r w:rsidR="00F1682C" w:rsidRPr="00F1682C">
        <w:rPr>
          <w:rFonts w:eastAsia="Calibri" w:cs="Times New Roman"/>
          <w:color w:val="auto"/>
          <w:szCs w:val="24"/>
        </w:rPr>
        <w:t xml:space="preserve"> coded </w:t>
      </w:r>
      <w:r w:rsidR="00F1682C">
        <w:rPr>
          <w:color w:val="000000"/>
        </w:rPr>
        <w:t>5099-502</w:t>
      </w:r>
      <w:r w:rsidR="00914A27">
        <w:rPr>
          <w:color w:val="000000"/>
        </w:rPr>
        <w:t>4</w:t>
      </w:r>
      <w:r w:rsidR="00F1682C">
        <w:rPr>
          <w:color w:val="000000"/>
        </w:rPr>
        <w:t xml:space="preserve"> </w:t>
      </w:r>
      <w:r w:rsidR="00F1682C" w:rsidRPr="00F1682C">
        <w:rPr>
          <w:rFonts w:eastAsia="Calibri" w:cs="Times New Roman"/>
          <w:color w:val="auto"/>
          <w:szCs w:val="24"/>
        </w:rPr>
        <w:t xml:space="preserve">and rated </w:t>
      </w:r>
      <w:r w:rsidR="006A58C1">
        <w:rPr>
          <w:rFonts w:eastAsia="Calibri" w:cs="Times New Roman"/>
          <w:color w:val="auto"/>
          <w:szCs w:val="24"/>
        </w:rPr>
        <w:t>1</w:t>
      </w:r>
      <w:r w:rsidR="00F1682C" w:rsidRPr="00F1682C">
        <w:rPr>
          <w:rFonts w:eastAsia="Calibri" w:cs="Times New Roman"/>
          <w:color w:val="auto"/>
          <w:szCs w:val="24"/>
        </w:rPr>
        <w:t>0%</w:t>
      </w:r>
      <w:r w:rsidR="006A58C1">
        <w:rPr>
          <w:rFonts w:eastAsia="Calibri" w:cs="Times New Roman"/>
          <w:color w:val="auto"/>
          <w:szCs w:val="24"/>
        </w:rPr>
        <w:t>,</w:t>
      </w:r>
      <w:r w:rsidR="00F1682C" w:rsidRPr="00F1682C">
        <w:rPr>
          <w:rFonts w:eastAsia="Calibri" w:cs="Times New Roman"/>
          <w:color w:val="auto"/>
          <w:szCs w:val="24"/>
        </w:rPr>
        <w:t xml:space="preserve"> and </w:t>
      </w:r>
      <w:r w:rsidR="006A58C1">
        <w:rPr>
          <w:rFonts w:eastAsia="Calibri" w:cs="Times New Roman"/>
          <w:color w:val="auto"/>
          <w:szCs w:val="24"/>
        </w:rPr>
        <w:t>a right knee condition</w:t>
      </w:r>
      <w:r w:rsidR="006A58C1" w:rsidRPr="00F1682C">
        <w:rPr>
          <w:rFonts w:eastAsia="Calibri" w:cs="Times New Roman"/>
          <w:color w:val="auto"/>
          <w:szCs w:val="24"/>
        </w:rPr>
        <w:t xml:space="preserve"> </w:t>
      </w:r>
      <w:r w:rsidR="00F1682C" w:rsidRPr="00F1682C">
        <w:rPr>
          <w:rFonts w:eastAsia="Calibri" w:cs="Times New Roman"/>
          <w:color w:val="auto"/>
          <w:szCs w:val="24"/>
        </w:rPr>
        <w:t xml:space="preserve">coded </w:t>
      </w:r>
      <w:r w:rsidR="006A58C1">
        <w:rPr>
          <w:rFonts w:eastAsia="Calibri" w:cs="Times New Roman"/>
          <w:color w:val="auto"/>
          <w:szCs w:val="24"/>
        </w:rPr>
        <w:t>5010</w:t>
      </w:r>
      <w:r w:rsidR="00F1682C" w:rsidRPr="00F1682C">
        <w:rPr>
          <w:rFonts w:eastAsia="Calibri" w:cs="Times New Roman"/>
          <w:color w:val="auto"/>
          <w:szCs w:val="24"/>
        </w:rPr>
        <w:t xml:space="preserve"> and rated </w:t>
      </w:r>
      <w:r w:rsidR="006A58C1">
        <w:rPr>
          <w:rFonts w:eastAsia="Calibri" w:cs="Times New Roman"/>
          <w:color w:val="auto"/>
          <w:szCs w:val="24"/>
        </w:rPr>
        <w:t>1</w:t>
      </w:r>
      <w:r w:rsidR="00F1682C" w:rsidRPr="00F1682C">
        <w:rPr>
          <w:rFonts w:eastAsia="Calibri" w:cs="Times New Roman"/>
          <w:color w:val="auto"/>
          <w:szCs w:val="24"/>
        </w:rPr>
        <w:t xml:space="preserve">0%; both IAW VASRD §4.71a.  </w:t>
      </w:r>
      <w:r w:rsidR="00560F12" w:rsidRPr="00560F12">
        <w:rPr>
          <w:rFonts w:eastAsia="Calibri" w:cs="Times New Roman"/>
          <w:color w:val="auto"/>
          <w:szCs w:val="24"/>
        </w:rPr>
        <w:t xml:space="preserve">In the matter of the </w:t>
      </w:r>
      <w:r w:rsidR="006A58C1">
        <w:rPr>
          <w:rFonts w:eastAsia="Calibri" w:cs="Times New Roman"/>
          <w:color w:val="auto"/>
          <w:szCs w:val="24"/>
        </w:rPr>
        <w:t xml:space="preserve">headache and </w:t>
      </w:r>
      <w:r w:rsidR="003D502F">
        <w:rPr>
          <w:rFonts w:eastAsia="Calibri" w:cs="Times New Roman"/>
          <w:color w:val="auto"/>
          <w:szCs w:val="24"/>
        </w:rPr>
        <w:t>GERD</w:t>
      </w:r>
      <w:r w:rsidR="00560F12" w:rsidRPr="00560F12">
        <w:rPr>
          <w:rFonts w:eastAsia="Calibri" w:cs="Times New Roman"/>
          <w:color w:val="auto"/>
          <w:szCs w:val="24"/>
        </w:rPr>
        <w:t xml:space="preserve"> </w:t>
      </w:r>
      <w:r w:rsidR="00560F12" w:rsidRPr="006A58C1">
        <w:rPr>
          <w:rFonts w:eastAsia="Calibri" w:cs="Times New Roman"/>
          <w:color w:val="auto"/>
          <w:szCs w:val="24"/>
        </w:rPr>
        <w:t xml:space="preserve">conditions, the Board unanimously recommends no change from the PEB </w:t>
      </w:r>
      <w:r w:rsidR="00347D0D" w:rsidRPr="006A58C1">
        <w:rPr>
          <w:rFonts w:eastAsia="Calibri" w:cs="Times New Roman"/>
          <w:color w:val="auto"/>
          <w:szCs w:val="24"/>
        </w:rPr>
        <w:t>determinations</w:t>
      </w:r>
      <w:r w:rsidR="00560F12" w:rsidRPr="006A58C1">
        <w:rPr>
          <w:rFonts w:eastAsia="Calibri" w:cs="Times New Roman"/>
          <w:color w:val="auto"/>
          <w:szCs w:val="24"/>
        </w:rPr>
        <w:t xml:space="preserve"> as not unfitting</w:t>
      </w:r>
      <w:r w:rsidR="00560F12" w:rsidRPr="00560F12">
        <w:rPr>
          <w:rFonts w:eastAsia="Calibri" w:cs="Times New Roman"/>
          <w:color w:val="auto"/>
          <w:szCs w:val="24"/>
        </w:rPr>
        <w:t>.</w:t>
      </w:r>
      <w:r w:rsidR="006A58C1">
        <w:rPr>
          <w:rFonts w:eastAsia="Calibri" w:cs="Times New Roman"/>
          <w:color w:val="auto"/>
          <w:szCs w:val="24"/>
        </w:rPr>
        <w:t xml:space="preserve">  </w:t>
      </w:r>
      <w:r w:rsidR="00560F12" w:rsidRPr="00560F12">
        <w:rPr>
          <w:rFonts w:eastAsia="Calibri" w:cs="Times New Roman"/>
          <w:color w:val="auto"/>
          <w:szCs w:val="24"/>
        </w:rPr>
        <w:t xml:space="preserve">In the matter of the </w:t>
      </w:r>
      <w:r w:rsidR="006A58C1">
        <w:rPr>
          <w:rFonts w:eastAsia="Calibri" w:cs="Times New Roman"/>
          <w:color w:val="auto"/>
          <w:szCs w:val="24"/>
        </w:rPr>
        <w:t>asthma</w:t>
      </w:r>
      <w:r w:rsidR="00560F12" w:rsidRPr="00560F12">
        <w:rPr>
          <w:rFonts w:eastAsia="Calibri" w:cs="Times New Roman"/>
          <w:color w:val="auto"/>
          <w:szCs w:val="24"/>
        </w:rPr>
        <w:t xml:space="preserve">, </w:t>
      </w:r>
      <w:r w:rsidR="006A58C1">
        <w:rPr>
          <w:rFonts w:eastAsia="Calibri" w:cs="Times New Roman"/>
          <w:color w:val="auto"/>
          <w:szCs w:val="24"/>
        </w:rPr>
        <w:t>flat feet,</w:t>
      </w:r>
      <w:r w:rsidR="00560F12" w:rsidRPr="00560F12">
        <w:rPr>
          <w:rFonts w:eastAsia="Calibri" w:cs="Times New Roman"/>
          <w:color w:val="auto"/>
          <w:szCs w:val="24"/>
        </w:rPr>
        <w:t xml:space="preserve"> </w:t>
      </w:r>
      <w:r w:rsidR="006A58C1" w:rsidRPr="006A58C1">
        <w:rPr>
          <w:rFonts w:eastAsia="Calibri" w:cs="Times New Roman"/>
          <w:color w:val="auto"/>
          <w:szCs w:val="24"/>
        </w:rPr>
        <w:t xml:space="preserve">left knee </w:t>
      </w:r>
      <w:r w:rsidR="00560F12" w:rsidRPr="006A58C1">
        <w:rPr>
          <w:rFonts w:eastAsia="Calibri" w:cs="Times New Roman"/>
          <w:color w:val="auto"/>
          <w:szCs w:val="24"/>
        </w:rPr>
        <w:t>or any other medical conditions eligible for Board consideration, the Board unanimously agrees that it cannot</w:t>
      </w:r>
      <w:r w:rsidR="00560F12" w:rsidRPr="006A58C1">
        <w:rPr>
          <w:rFonts w:eastAsia="Calibri" w:cs="Times New Roman"/>
          <w:color w:val="000080"/>
          <w:szCs w:val="24"/>
        </w:rPr>
        <w:t xml:space="preserve"> </w:t>
      </w:r>
      <w:r w:rsidR="00560F12" w:rsidRPr="006A58C1">
        <w:rPr>
          <w:rFonts w:eastAsia="Calibri" w:cs="Times New Roman"/>
          <w:color w:val="auto"/>
          <w:szCs w:val="24"/>
        </w:rPr>
        <w:t xml:space="preserve">recommend any findings of unfit for additional </w:t>
      </w:r>
      <w:r w:rsidR="003D502F">
        <w:rPr>
          <w:rFonts w:eastAsia="Calibri" w:cs="Times New Roman"/>
          <w:color w:val="auto"/>
          <w:szCs w:val="24"/>
        </w:rPr>
        <w:t>s</w:t>
      </w:r>
      <w:r w:rsidR="00560F12" w:rsidRPr="006A58C1">
        <w:rPr>
          <w:rFonts w:eastAsia="Calibri" w:cs="Times New Roman"/>
          <w:color w:val="auto"/>
          <w:szCs w:val="24"/>
        </w:rPr>
        <w:t xml:space="preserve">ervice disability rating.  </w:t>
      </w:r>
    </w:p>
    <w:p w:rsidR="00AD2379" w:rsidRPr="006A58C1" w:rsidRDefault="00AD2379" w:rsidP="00BF0E94">
      <w:pPr>
        <w:pBdr>
          <w:bottom w:val="single" w:sz="12" w:space="1" w:color="auto"/>
        </w:pBdr>
        <w:tabs>
          <w:tab w:val="left" w:pos="288"/>
          <w:tab w:val="left" w:pos="4752"/>
        </w:tabs>
        <w:jc w:val="both"/>
        <w:rPr>
          <w:color w:val="000000"/>
        </w:rPr>
      </w:pPr>
    </w:p>
    <w:p w:rsidR="00AD2379" w:rsidRPr="006A58C1" w:rsidRDefault="00AD2379" w:rsidP="006364ED">
      <w:pPr>
        <w:jc w:val="left"/>
        <w:rPr>
          <w:color w:val="000000"/>
        </w:rPr>
      </w:pPr>
    </w:p>
    <w:p w:rsidR="00565636" w:rsidRPr="00565636" w:rsidRDefault="00AD2379" w:rsidP="00565636">
      <w:pPr>
        <w:jc w:val="both"/>
        <w:rPr>
          <w:rFonts w:eastAsia="Calibri" w:cs="Times New Roman"/>
          <w:color w:val="000080"/>
          <w:szCs w:val="24"/>
        </w:rPr>
      </w:pPr>
      <w:r w:rsidRPr="006A58C1">
        <w:rPr>
          <w:color w:val="000000"/>
          <w:u w:val="single"/>
        </w:rPr>
        <w:t>RECOMMENDATION</w:t>
      </w:r>
      <w:r w:rsidRPr="006A58C1">
        <w:rPr>
          <w:color w:val="000000"/>
        </w:rPr>
        <w:t xml:space="preserve">: </w:t>
      </w:r>
      <w:r w:rsidR="006A58C1" w:rsidRPr="006A58C1">
        <w:rPr>
          <w:color w:val="000000"/>
        </w:rPr>
        <w:t xml:space="preserve"> </w:t>
      </w:r>
      <w:r w:rsidR="00565636" w:rsidRPr="00565636">
        <w:rPr>
          <w:rFonts w:eastAsia="Calibri" w:cs="Times New Roman"/>
          <w:color w:val="auto"/>
          <w:szCs w:val="24"/>
        </w:rPr>
        <w:t xml:space="preserve">The Board recommends that the CI’s prior determination be modified as follows, effective as of the </w:t>
      </w:r>
      <w:r w:rsidR="00565636" w:rsidRPr="006A58C1">
        <w:rPr>
          <w:rFonts w:eastAsia="Calibri" w:cs="Times New Roman"/>
          <w:color w:val="auto"/>
          <w:szCs w:val="24"/>
        </w:rPr>
        <w:t>date of her prior</w:t>
      </w:r>
      <w:r w:rsidR="00565636" w:rsidRPr="00565636">
        <w:rPr>
          <w:rFonts w:eastAsia="Calibri" w:cs="Times New Roman"/>
          <w:color w:val="auto"/>
          <w:szCs w:val="24"/>
        </w:rPr>
        <w:t xml:space="preserve"> medical separation.</w:t>
      </w:r>
    </w:p>
    <w:p w:rsidR="00565636" w:rsidRPr="001F29F9" w:rsidRDefault="00565636" w:rsidP="00B22D42">
      <w:pPr>
        <w:jc w:val="left"/>
        <w:rPr>
          <w:color w:val="000000"/>
        </w:rPr>
      </w:pP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50642F" w:rsidP="00BF0E94">
            <w:pPr>
              <w:tabs>
                <w:tab w:val="left" w:pos="288"/>
                <w:tab w:val="left" w:pos="4752"/>
              </w:tabs>
              <w:jc w:val="left"/>
              <w:rPr>
                <w:color w:val="000000"/>
              </w:rPr>
            </w:pPr>
            <w:r>
              <w:rPr>
                <w:color w:val="000000"/>
              </w:rPr>
              <w:t>Surgical Residuals, Right Shoulder</w:t>
            </w:r>
          </w:p>
        </w:tc>
        <w:tc>
          <w:tcPr>
            <w:tcW w:w="1530" w:type="dxa"/>
            <w:vAlign w:val="center"/>
          </w:tcPr>
          <w:p w:rsidR="00AD2379" w:rsidRPr="000D5DBE" w:rsidRDefault="00E035F1" w:rsidP="00BF0E94">
            <w:pPr>
              <w:tabs>
                <w:tab w:val="left" w:pos="288"/>
                <w:tab w:val="left" w:pos="4752"/>
              </w:tabs>
              <w:rPr>
                <w:color w:val="000000"/>
              </w:rPr>
            </w:pPr>
            <w:r>
              <w:rPr>
                <w:color w:val="000000"/>
              </w:rPr>
              <w:t>5099-502</w:t>
            </w:r>
            <w:r w:rsidR="006320CB">
              <w:rPr>
                <w:color w:val="000000"/>
              </w:rPr>
              <w:t>4</w:t>
            </w:r>
          </w:p>
        </w:tc>
        <w:tc>
          <w:tcPr>
            <w:tcW w:w="1026" w:type="dxa"/>
            <w:vAlign w:val="center"/>
          </w:tcPr>
          <w:p w:rsidR="00AD2379" w:rsidRPr="000D5DBE" w:rsidRDefault="00F1682C" w:rsidP="00BF0E94">
            <w:pPr>
              <w:tabs>
                <w:tab w:val="left" w:pos="288"/>
                <w:tab w:val="left" w:pos="4752"/>
              </w:tabs>
              <w:rPr>
                <w:color w:val="000000"/>
              </w:rPr>
            </w:pPr>
            <w:r>
              <w:rPr>
                <w:color w:val="000000"/>
              </w:rPr>
              <w:t>1</w:t>
            </w:r>
            <w:r w:rsidR="00AD2379" w:rsidRPr="000D5DBE">
              <w:rPr>
                <w:color w:val="000000"/>
              </w:rPr>
              <w:t>0%</w:t>
            </w:r>
          </w:p>
        </w:tc>
      </w:tr>
      <w:tr w:rsidR="0050642F" w:rsidRPr="000D5DBE" w:rsidTr="00C42AED">
        <w:trPr>
          <w:jc w:val="center"/>
        </w:trPr>
        <w:tc>
          <w:tcPr>
            <w:tcW w:w="6768" w:type="dxa"/>
            <w:vAlign w:val="center"/>
          </w:tcPr>
          <w:p w:rsidR="0050642F" w:rsidRDefault="00F1682C" w:rsidP="00BF0E94">
            <w:pPr>
              <w:tabs>
                <w:tab w:val="left" w:pos="288"/>
                <w:tab w:val="left" w:pos="4752"/>
              </w:tabs>
              <w:jc w:val="left"/>
              <w:rPr>
                <w:color w:val="000000"/>
              </w:rPr>
            </w:pPr>
            <w:r>
              <w:rPr>
                <w:color w:val="000000"/>
              </w:rPr>
              <w:t>Traumatic Arthritis, Right Knee</w:t>
            </w:r>
          </w:p>
        </w:tc>
        <w:tc>
          <w:tcPr>
            <w:tcW w:w="1530" w:type="dxa"/>
            <w:vAlign w:val="center"/>
          </w:tcPr>
          <w:p w:rsidR="0050642F" w:rsidRDefault="00F1682C" w:rsidP="00BF0E94">
            <w:pPr>
              <w:tabs>
                <w:tab w:val="left" w:pos="288"/>
                <w:tab w:val="left" w:pos="4752"/>
              </w:tabs>
              <w:rPr>
                <w:color w:val="000000"/>
              </w:rPr>
            </w:pPr>
            <w:r>
              <w:rPr>
                <w:color w:val="000000"/>
              </w:rPr>
              <w:t>5010</w:t>
            </w:r>
          </w:p>
        </w:tc>
        <w:tc>
          <w:tcPr>
            <w:tcW w:w="1026" w:type="dxa"/>
            <w:vAlign w:val="center"/>
          </w:tcPr>
          <w:p w:rsidR="0050642F" w:rsidRDefault="00F1682C" w:rsidP="00BF0E94">
            <w:pPr>
              <w:tabs>
                <w:tab w:val="left" w:pos="288"/>
                <w:tab w:val="left" w:pos="4752"/>
              </w:tabs>
              <w:rPr>
                <w:color w:val="000000"/>
              </w:rPr>
            </w:pPr>
            <w:r>
              <w:rPr>
                <w:color w:val="000000"/>
              </w:rPr>
              <w:t>1</w:t>
            </w:r>
            <w:r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F1682C"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Pr="001F29F9" w:rsidRDefault="00AD2379" w:rsidP="00BF0E94">
      <w:pPr>
        <w:tabs>
          <w:tab w:val="left" w:pos="288"/>
          <w:tab w:val="left" w:pos="4752"/>
        </w:tabs>
        <w:jc w:val="both"/>
        <w:rPr>
          <w:color w:val="000000"/>
        </w:rPr>
      </w:pPr>
      <w:r w:rsidRPr="001F29F9">
        <w:rPr>
          <w:color w:val="000000"/>
        </w:rPr>
        <w:t>The following documentary evidence was considered:</w:t>
      </w:r>
    </w:p>
    <w:p w:rsidR="00AD2379" w:rsidRPr="001F29F9" w:rsidRDefault="00AD2379" w:rsidP="00B3575C">
      <w:pPr>
        <w:tabs>
          <w:tab w:val="left" w:pos="288"/>
          <w:tab w:val="left" w:pos="4752"/>
        </w:tabs>
        <w:spacing w:line="440" w:lineRule="exact"/>
        <w:jc w:val="both"/>
        <w:rPr>
          <w:color w:val="000000"/>
        </w:rPr>
      </w:pPr>
      <w:r w:rsidRPr="001F29F9">
        <w:rPr>
          <w:color w:val="000000"/>
        </w:rPr>
        <w:t xml:space="preserve">Exhibit A.  DD Form 294, dated </w:t>
      </w:r>
      <w:r w:rsidR="00A749D6">
        <w:rPr>
          <w:color w:val="000000"/>
        </w:rPr>
        <w:t>20110905</w:t>
      </w:r>
      <w:r w:rsidR="003D502F">
        <w:rPr>
          <w:color w:val="000000"/>
        </w:rPr>
        <w:t>, w/atchs</w:t>
      </w:r>
    </w:p>
    <w:p w:rsidR="00AD2379" w:rsidRPr="001F29F9" w:rsidRDefault="00AD2379" w:rsidP="00BF0E94">
      <w:pPr>
        <w:tabs>
          <w:tab w:val="left" w:pos="288"/>
          <w:tab w:val="left" w:pos="4752"/>
        </w:tabs>
        <w:jc w:val="both"/>
        <w:rPr>
          <w:color w:val="000000"/>
        </w:rPr>
      </w:pPr>
      <w:r w:rsidRPr="001F29F9">
        <w:rPr>
          <w:color w:val="000000"/>
        </w:rPr>
        <w:t>Exhib</w:t>
      </w:r>
      <w:r w:rsidR="003D502F">
        <w:rPr>
          <w:color w:val="000000"/>
        </w:rPr>
        <w:t>it B.  Service Treatment Record</w:t>
      </w:r>
    </w:p>
    <w:p w:rsidR="00AD2379" w:rsidRPr="001F29F9" w:rsidRDefault="00AD2379" w:rsidP="00BF0E94">
      <w:pPr>
        <w:tabs>
          <w:tab w:val="left" w:pos="288"/>
          <w:tab w:val="left" w:pos="4752"/>
        </w:tabs>
        <w:jc w:val="both"/>
        <w:rPr>
          <w:color w:val="000000"/>
        </w:rPr>
      </w:pPr>
      <w:r w:rsidRPr="001F29F9">
        <w:rPr>
          <w:color w:val="000000"/>
        </w:rPr>
        <w:t>Exhibit C.  Department of Ve</w:t>
      </w:r>
      <w:r w:rsidR="003D502F">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r>
      <w:r w:rsidR="00141F05">
        <w:rPr>
          <w:color w:val="000000"/>
        </w:rPr>
        <w:t>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D2379" w:rsidRPr="001F29F9" w:rsidRDefault="00AD2379" w:rsidP="00BF0E94">
      <w:pPr>
        <w:tabs>
          <w:tab w:val="left" w:pos="0"/>
          <w:tab w:val="left" w:pos="4320"/>
        </w:tabs>
        <w:jc w:val="both"/>
        <w:rPr>
          <w:color w:val="000000"/>
        </w:rPr>
      </w:pPr>
      <w:r w:rsidRPr="001F29F9">
        <w:rPr>
          <w:color w:val="000000"/>
        </w:rPr>
        <w:tab/>
        <w:t xml:space="preserve">           Physical Disability Board of Review</w:t>
      </w:r>
    </w:p>
    <w:p w:rsidR="00141F05" w:rsidRDefault="00141F05">
      <w:pPr>
        <w:spacing w:line="240" w:lineRule="auto"/>
        <w:jc w:val="left"/>
        <w:rPr>
          <w:b/>
          <w:color w:val="000000"/>
          <w:highlight w:val="yellow"/>
        </w:rPr>
      </w:pPr>
      <w:r>
        <w:rPr>
          <w:b/>
          <w:color w:val="000000"/>
          <w:highlight w:val="yellow"/>
        </w:rPr>
        <w:br w:type="page"/>
      </w:r>
    </w:p>
    <w:p w:rsidR="00141F05" w:rsidRDefault="00141F05" w:rsidP="00141F05">
      <w:pPr>
        <w:sectPr w:rsidR="00141F05">
          <w:pgSz w:w="12240" w:h="15840"/>
          <w:pgMar w:top="2160" w:right="1440" w:bottom="1440" w:left="1440" w:header="720" w:footer="720" w:gutter="0"/>
          <w:cols w:space="720"/>
        </w:sectPr>
      </w:pPr>
    </w:p>
    <w:p w:rsidR="00141F05" w:rsidRDefault="00141F05" w:rsidP="00141F05">
      <w:pPr>
        <w:pStyle w:val="Header"/>
        <w:tabs>
          <w:tab w:val="left" w:pos="720"/>
        </w:tabs>
        <w:jc w:val="left"/>
      </w:pPr>
      <w:r>
        <w:lastRenderedPageBreak/>
        <w:t>SFMR-RB</w:t>
      </w:r>
      <w:r>
        <w:tab/>
      </w:r>
      <w:r>
        <w:tab/>
      </w:r>
      <w:r>
        <w:tab/>
      </w:r>
      <w:r>
        <w:tab/>
      </w:r>
      <w:r>
        <w:tab/>
      </w:r>
      <w:r>
        <w:tab/>
      </w:r>
      <w:r>
        <w:tab/>
      </w:r>
      <w:r>
        <w:tab/>
      </w:r>
      <w:r>
        <w:tab/>
      </w:r>
    </w:p>
    <w:p w:rsidR="00141F05" w:rsidRDefault="00141F05" w:rsidP="00141F05">
      <w:pPr>
        <w:pStyle w:val="Header"/>
        <w:tabs>
          <w:tab w:val="left" w:pos="720"/>
        </w:tabs>
        <w:jc w:val="left"/>
      </w:pPr>
    </w:p>
    <w:p w:rsidR="00141F05" w:rsidRDefault="00141F05" w:rsidP="00141F05">
      <w:pPr>
        <w:jc w:val="left"/>
      </w:pPr>
    </w:p>
    <w:p w:rsidR="00141F05" w:rsidRDefault="00141F05" w:rsidP="00141F05">
      <w:pPr>
        <w:jc w:val="left"/>
      </w:pPr>
      <w:r>
        <w:t xml:space="preserve">MEMORANDUM FOR Commander, US Army Physical Disability Agency </w:t>
      </w:r>
    </w:p>
    <w:p w:rsidR="00141F05" w:rsidRDefault="00141F05" w:rsidP="00141F05">
      <w:pPr>
        <w:jc w:val="left"/>
      </w:pPr>
      <w:r>
        <w:t>(TAPD-ZB /), 2900 Crystal Drive, Suite 300, Arlington, VA  22202</w:t>
      </w:r>
    </w:p>
    <w:p w:rsidR="00141F05" w:rsidRDefault="00141F05" w:rsidP="00141F05">
      <w:pPr>
        <w:jc w:val="left"/>
      </w:pPr>
    </w:p>
    <w:p w:rsidR="00141F05" w:rsidRDefault="00141F05" w:rsidP="00141F05">
      <w:pPr>
        <w:ind w:right="-180"/>
        <w:jc w:val="left"/>
      </w:pPr>
      <w:r>
        <w:t xml:space="preserve">SUBJECT:  Department of Defense Physical Disability Board of Review Recommendation </w:t>
      </w:r>
    </w:p>
    <w:p w:rsidR="00141F05" w:rsidRDefault="00141F05" w:rsidP="00141F05">
      <w:pPr>
        <w:pStyle w:val="Header"/>
        <w:tabs>
          <w:tab w:val="left" w:pos="720"/>
        </w:tabs>
        <w:jc w:val="left"/>
      </w:pPr>
      <w:proofErr w:type="gramStart"/>
      <w:r>
        <w:t>for</w:t>
      </w:r>
      <w:proofErr w:type="gramEnd"/>
      <w:r>
        <w:t xml:space="preserve"> XXXXXXXXX, AR20120007688 (PD201100787)</w:t>
      </w:r>
    </w:p>
    <w:p w:rsidR="00141F05" w:rsidRDefault="00141F05" w:rsidP="00141F05">
      <w:pPr>
        <w:pStyle w:val="Header"/>
        <w:tabs>
          <w:tab w:val="left" w:pos="720"/>
        </w:tabs>
        <w:jc w:val="left"/>
      </w:pPr>
    </w:p>
    <w:p w:rsidR="00141F05" w:rsidRDefault="00141F05" w:rsidP="00141F05">
      <w:pPr>
        <w:jc w:val="left"/>
      </w:pPr>
    </w:p>
    <w:p w:rsidR="00141F05" w:rsidRDefault="00141F05" w:rsidP="00141F05">
      <w:pPr>
        <w:jc w:val="left"/>
      </w:pPr>
      <w: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141F05" w:rsidRDefault="00141F05" w:rsidP="00141F05">
      <w:pPr>
        <w:jc w:val="left"/>
      </w:pPr>
    </w:p>
    <w:p w:rsidR="00141F05" w:rsidRDefault="00141F05" w:rsidP="00141F05">
      <w:pPr>
        <w:jc w:val="left"/>
      </w:pPr>
      <w:r>
        <w:t xml:space="preserve">2.  I direct that all the Department of the Army records of the individual concerned be corrected accordingly no later than 120 days from the date of this memorandum.   </w:t>
      </w:r>
    </w:p>
    <w:p w:rsidR="00141F05" w:rsidRDefault="00141F05" w:rsidP="00141F05">
      <w:pPr>
        <w:jc w:val="left"/>
      </w:pPr>
    </w:p>
    <w:p w:rsidR="00141F05" w:rsidRDefault="00141F05" w:rsidP="00141F0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41F05" w:rsidRDefault="00141F05" w:rsidP="00141F05">
      <w:pPr>
        <w:jc w:val="left"/>
      </w:pPr>
    </w:p>
    <w:p w:rsidR="00141F05" w:rsidRDefault="00141F05" w:rsidP="00141F05">
      <w:pPr>
        <w:jc w:val="left"/>
      </w:pPr>
      <w:r>
        <w:t xml:space="preserve"> BY ORDER OF THE SECRETARY OF THE ARMY:</w:t>
      </w:r>
    </w:p>
    <w:p w:rsidR="00141F05" w:rsidRDefault="00141F05" w:rsidP="00141F05">
      <w:pPr>
        <w:jc w:val="left"/>
      </w:pPr>
    </w:p>
    <w:p w:rsidR="00141F05" w:rsidRDefault="00141F05" w:rsidP="00141F05">
      <w:pPr>
        <w:jc w:val="left"/>
      </w:pPr>
    </w:p>
    <w:p w:rsidR="00141F05" w:rsidRDefault="00141F05" w:rsidP="00141F05">
      <w:pPr>
        <w:pStyle w:val="Header"/>
        <w:tabs>
          <w:tab w:val="left" w:pos="720"/>
        </w:tabs>
        <w:jc w:val="left"/>
      </w:pPr>
    </w:p>
    <w:p w:rsidR="00141F05" w:rsidRDefault="00141F05" w:rsidP="00141F05">
      <w:pPr>
        <w:jc w:val="left"/>
      </w:pPr>
    </w:p>
    <w:p w:rsidR="00141F05" w:rsidRDefault="00141F05" w:rsidP="00141F05">
      <w:pPr>
        <w:jc w:val="left"/>
      </w:pPr>
      <w:bookmarkStart w:id="0" w:name="OLE_LINK4"/>
      <w:bookmarkStart w:id="1" w:name="OLE_LINK3"/>
      <w:r>
        <w:t>Encl</w:t>
      </w:r>
      <w:r>
        <w:tab/>
      </w:r>
      <w:r>
        <w:tab/>
      </w:r>
      <w:r>
        <w:tab/>
      </w:r>
      <w:r>
        <w:tab/>
      </w:r>
      <w:r>
        <w:tab/>
      </w:r>
      <w:r>
        <w:tab/>
        <w:t xml:space="preserve">     XXXXXXXXXX</w:t>
      </w:r>
    </w:p>
    <w:p w:rsidR="00141F05" w:rsidRDefault="00141F05" w:rsidP="00141F05">
      <w:pPr>
        <w:jc w:val="left"/>
      </w:pPr>
      <w:r>
        <w:tab/>
      </w:r>
      <w:r>
        <w:tab/>
      </w:r>
      <w:r>
        <w:tab/>
      </w:r>
      <w:r>
        <w:tab/>
      </w:r>
      <w:r>
        <w:tab/>
      </w:r>
      <w:r>
        <w:tab/>
        <w:t xml:space="preserve">     Deputy Assistant Secretary</w:t>
      </w:r>
    </w:p>
    <w:p w:rsidR="00141F05" w:rsidRDefault="00141F05" w:rsidP="00141F05">
      <w:pPr>
        <w:jc w:val="left"/>
      </w:pPr>
      <w:r>
        <w:tab/>
      </w:r>
      <w:r>
        <w:tab/>
      </w:r>
      <w:r>
        <w:tab/>
      </w:r>
      <w:r>
        <w:tab/>
      </w:r>
      <w:r>
        <w:tab/>
      </w:r>
      <w:r>
        <w:tab/>
        <w:t xml:space="preserve">         (Army Review Boards)</w:t>
      </w:r>
      <w:bookmarkEnd w:id="0"/>
      <w:bookmarkEnd w:id="1"/>
    </w:p>
    <w:p w:rsidR="00141F05" w:rsidRDefault="00141F05" w:rsidP="00141F05">
      <w:pPr>
        <w:jc w:val="left"/>
      </w:pPr>
    </w:p>
    <w:p w:rsidR="00141F05" w:rsidRDefault="00141F05" w:rsidP="00141F05">
      <w:pPr>
        <w:jc w:val="left"/>
      </w:pPr>
      <w:r>
        <w:t xml:space="preserve">CF: </w:t>
      </w:r>
    </w:p>
    <w:p w:rsidR="00141F05" w:rsidRDefault="00141F05" w:rsidP="00141F05">
      <w:pPr>
        <w:jc w:val="left"/>
      </w:pPr>
      <w:r>
        <w:t xml:space="preserve">(  ) </w:t>
      </w:r>
      <w:proofErr w:type="gramStart"/>
      <w:r>
        <w:t>DoD</w:t>
      </w:r>
      <w:proofErr w:type="gramEnd"/>
      <w:r>
        <w:t xml:space="preserve"> PDBR</w:t>
      </w:r>
    </w:p>
    <w:p w:rsidR="00141F05" w:rsidRDefault="00141F05" w:rsidP="00141F05">
      <w:pPr>
        <w:jc w:val="left"/>
      </w:pPr>
      <w:r>
        <w:t>(  ) DVA</w:t>
      </w:r>
    </w:p>
    <w:p w:rsidR="00CE4899" w:rsidRDefault="00CE4899" w:rsidP="00141F05">
      <w:pPr>
        <w:jc w:val="left"/>
        <w:rPr>
          <w:b/>
          <w:color w:val="000000"/>
          <w:highlight w:val="yellow"/>
        </w:rPr>
      </w:pPr>
    </w:p>
    <w:sectPr w:rsidR="00CE489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38" w:rsidRDefault="00DE0238">
      <w:r>
        <w:separator/>
      </w:r>
    </w:p>
  </w:endnote>
  <w:endnote w:type="continuationSeparator" w:id="0">
    <w:p w:rsidR="00DE0238" w:rsidRDefault="00DE02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97" w:rsidRPr="00374247" w:rsidRDefault="00874297" w:rsidP="00726F84">
    <w:pPr>
      <w:pStyle w:val="Footer"/>
      <w:ind w:firstLine="4320"/>
      <w:rPr>
        <w:color w:val="auto"/>
      </w:rPr>
    </w:pPr>
    <w:r w:rsidRPr="00374247">
      <w:rPr>
        <w:color w:val="auto"/>
      </w:rPr>
      <w:t xml:space="preserve">   </w:t>
    </w:r>
    <w:fldSimple w:instr=" PAGE   \* MERGEFORMAT ">
      <w:r w:rsidR="00141F05" w:rsidRPr="00141F05">
        <w:rPr>
          <w:noProof/>
          <w:color w:val="auto"/>
        </w:rPr>
        <w:t>6</w:t>
      </w:r>
    </w:fldSimple>
    <w:r w:rsidRPr="00374247">
      <w:rPr>
        <w:color w:val="auto"/>
      </w:rPr>
      <w:t xml:space="preserve">                                                           </w:t>
    </w:r>
    <w:r w:rsidRPr="001D64F3">
      <w:rPr>
        <w:color w:val="auto"/>
      </w:rPr>
      <w:t>PD1</w:t>
    </w:r>
    <w:r w:rsidR="002F76FB">
      <w:rPr>
        <w:color w:val="auto"/>
      </w:rPr>
      <w:t>100787</w:t>
    </w:r>
  </w:p>
  <w:p w:rsidR="00874297" w:rsidRPr="00684CE6" w:rsidRDefault="0087429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38" w:rsidRDefault="00DE0238">
      <w:r>
        <w:separator/>
      </w:r>
    </w:p>
  </w:footnote>
  <w:footnote w:type="continuationSeparator" w:id="0">
    <w:p w:rsidR="00DE0238" w:rsidRDefault="00DE0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30776"/>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BBA"/>
    <w:rsid w:val="000A5071"/>
    <w:rsid w:val="000B0AD2"/>
    <w:rsid w:val="000B1022"/>
    <w:rsid w:val="000B2FB8"/>
    <w:rsid w:val="000B471C"/>
    <w:rsid w:val="000B4C7B"/>
    <w:rsid w:val="000B4C99"/>
    <w:rsid w:val="000C0105"/>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E70D7"/>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04C3"/>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1F05"/>
    <w:rsid w:val="001421FD"/>
    <w:rsid w:val="001425C8"/>
    <w:rsid w:val="00142EBA"/>
    <w:rsid w:val="00143AC7"/>
    <w:rsid w:val="00143B79"/>
    <w:rsid w:val="00145965"/>
    <w:rsid w:val="00150B8A"/>
    <w:rsid w:val="00150DCB"/>
    <w:rsid w:val="00151912"/>
    <w:rsid w:val="0015313A"/>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377F"/>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1328"/>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C25"/>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B2E"/>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4772"/>
    <w:rsid w:val="001F6E0B"/>
    <w:rsid w:val="00200AA0"/>
    <w:rsid w:val="00202325"/>
    <w:rsid w:val="00202736"/>
    <w:rsid w:val="00203652"/>
    <w:rsid w:val="0020431B"/>
    <w:rsid w:val="00204562"/>
    <w:rsid w:val="00205B4F"/>
    <w:rsid w:val="002060B6"/>
    <w:rsid w:val="002066B5"/>
    <w:rsid w:val="00210EAC"/>
    <w:rsid w:val="00211612"/>
    <w:rsid w:val="002119B6"/>
    <w:rsid w:val="00211BF8"/>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5842"/>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C775F"/>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6BD9"/>
    <w:rsid w:val="002E7072"/>
    <w:rsid w:val="002E7570"/>
    <w:rsid w:val="002E764B"/>
    <w:rsid w:val="002E7C25"/>
    <w:rsid w:val="002F08D1"/>
    <w:rsid w:val="002F0D6A"/>
    <w:rsid w:val="002F0E28"/>
    <w:rsid w:val="002F195B"/>
    <w:rsid w:val="002F287E"/>
    <w:rsid w:val="002F2981"/>
    <w:rsid w:val="002F2D63"/>
    <w:rsid w:val="002F6AD8"/>
    <w:rsid w:val="002F76FB"/>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9E6"/>
    <w:rsid w:val="00326B1C"/>
    <w:rsid w:val="00326C08"/>
    <w:rsid w:val="00326F7F"/>
    <w:rsid w:val="00327616"/>
    <w:rsid w:val="00330311"/>
    <w:rsid w:val="00330D55"/>
    <w:rsid w:val="00331E92"/>
    <w:rsid w:val="003320E8"/>
    <w:rsid w:val="0033238E"/>
    <w:rsid w:val="003328FD"/>
    <w:rsid w:val="00332DE3"/>
    <w:rsid w:val="0033334F"/>
    <w:rsid w:val="0033414F"/>
    <w:rsid w:val="00334514"/>
    <w:rsid w:val="0033555E"/>
    <w:rsid w:val="0033601F"/>
    <w:rsid w:val="00336805"/>
    <w:rsid w:val="00337351"/>
    <w:rsid w:val="00341A54"/>
    <w:rsid w:val="003424AC"/>
    <w:rsid w:val="0034400C"/>
    <w:rsid w:val="00344A4F"/>
    <w:rsid w:val="00344D17"/>
    <w:rsid w:val="0034669F"/>
    <w:rsid w:val="003470C4"/>
    <w:rsid w:val="00347D0D"/>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1DC2"/>
    <w:rsid w:val="00393651"/>
    <w:rsid w:val="00393D7D"/>
    <w:rsid w:val="00394926"/>
    <w:rsid w:val="00394FF9"/>
    <w:rsid w:val="00395651"/>
    <w:rsid w:val="00395E12"/>
    <w:rsid w:val="003962A8"/>
    <w:rsid w:val="00396779"/>
    <w:rsid w:val="00397DB7"/>
    <w:rsid w:val="003A27B2"/>
    <w:rsid w:val="003A40B4"/>
    <w:rsid w:val="003A41BA"/>
    <w:rsid w:val="003A4B0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02F"/>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1FB4"/>
    <w:rsid w:val="00422B75"/>
    <w:rsid w:val="00424612"/>
    <w:rsid w:val="0042528C"/>
    <w:rsid w:val="00425672"/>
    <w:rsid w:val="00425A6A"/>
    <w:rsid w:val="00426A23"/>
    <w:rsid w:val="00427741"/>
    <w:rsid w:val="00427C7F"/>
    <w:rsid w:val="00427F54"/>
    <w:rsid w:val="004316FD"/>
    <w:rsid w:val="00433F36"/>
    <w:rsid w:val="00434694"/>
    <w:rsid w:val="00434860"/>
    <w:rsid w:val="00434BBD"/>
    <w:rsid w:val="0043503A"/>
    <w:rsid w:val="00437B8A"/>
    <w:rsid w:val="00437D18"/>
    <w:rsid w:val="00437D77"/>
    <w:rsid w:val="00441D99"/>
    <w:rsid w:val="004429D9"/>
    <w:rsid w:val="004434EF"/>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3A2B"/>
    <w:rsid w:val="00484212"/>
    <w:rsid w:val="004848C3"/>
    <w:rsid w:val="00484BA9"/>
    <w:rsid w:val="0048599A"/>
    <w:rsid w:val="00486818"/>
    <w:rsid w:val="004918B7"/>
    <w:rsid w:val="0049255F"/>
    <w:rsid w:val="0049445D"/>
    <w:rsid w:val="00494D39"/>
    <w:rsid w:val="00495350"/>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77A3"/>
    <w:rsid w:val="005000AB"/>
    <w:rsid w:val="00500EAF"/>
    <w:rsid w:val="00500F3C"/>
    <w:rsid w:val="005025EE"/>
    <w:rsid w:val="00503401"/>
    <w:rsid w:val="00503D35"/>
    <w:rsid w:val="00503DDF"/>
    <w:rsid w:val="00505524"/>
    <w:rsid w:val="005058D5"/>
    <w:rsid w:val="0050642F"/>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4A06"/>
    <w:rsid w:val="00565636"/>
    <w:rsid w:val="00566404"/>
    <w:rsid w:val="005701C1"/>
    <w:rsid w:val="005703BF"/>
    <w:rsid w:val="00570754"/>
    <w:rsid w:val="005709F7"/>
    <w:rsid w:val="00570EAA"/>
    <w:rsid w:val="005710A9"/>
    <w:rsid w:val="005716B0"/>
    <w:rsid w:val="00571B11"/>
    <w:rsid w:val="00571D1B"/>
    <w:rsid w:val="00571DA3"/>
    <w:rsid w:val="005738F5"/>
    <w:rsid w:val="00573D34"/>
    <w:rsid w:val="00574A1B"/>
    <w:rsid w:val="005753DA"/>
    <w:rsid w:val="00575963"/>
    <w:rsid w:val="00575EBE"/>
    <w:rsid w:val="00576ACF"/>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4798"/>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20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4BC"/>
    <w:rsid w:val="0069687C"/>
    <w:rsid w:val="00696C74"/>
    <w:rsid w:val="00697C9B"/>
    <w:rsid w:val="006A10FA"/>
    <w:rsid w:val="006A12E0"/>
    <w:rsid w:val="006A3D6C"/>
    <w:rsid w:val="006A40E6"/>
    <w:rsid w:val="006A516B"/>
    <w:rsid w:val="006A5362"/>
    <w:rsid w:val="006A543A"/>
    <w:rsid w:val="006A58C1"/>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14C"/>
    <w:rsid w:val="006C73D4"/>
    <w:rsid w:val="006D0D98"/>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13C5"/>
    <w:rsid w:val="00763CAE"/>
    <w:rsid w:val="00763F95"/>
    <w:rsid w:val="007651ED"/>
    <w:rsid w:val="00766C87"/>
    <w:rsid w:val="00771043"/>
    <w:rsid w:val="0077272B"/>
    <w:rsid w:val="00773AF7"/>
    <w:rsid w:val="00773C45"/>
    <w:rsid w:val="00774FFD"/>
    <w:rsid w:val="007758A9"/>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80E"/>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1814"/>
    <w:rsid w:val="007C238B"/>
    <w:rsid w:val="007C2802"/>
    <w:rsid w:val="007C3E5A"/>
    <w:rsid w:val="007C4115"/>
    <w:rsid w:val="007C433E"/>
    <w:rsid w:val="007C4452"/>
    <w:rsid w:val="007C4B3C"/>
    <w:rsid w:val="007C4DB1"/>
    <w:rsid w:val="007C5152"/>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193"/>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2DD5"/>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370"/>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4297"/>
    <w:rsid w:val="0087566D"/>
    <w:rsid w:val="00875B50"/>
    <w:rsid w:val="00875B51"/>
    <w:rsid w:val="00875F2D"/>
    <w:rsid w:val="008762E7"/>
    <w:rsid w:val="008764DC"/>
    <w:rsid w:val="00882CC2"/>
    <w:rsid w:val="00883103"/>
    <w:rsid w:val="0088325A"/>
    <w:rsid w:val="00883930"/>
    <w:rsid w:val="00884535"/>
    <w:rsid w:val="00886001"/>
    <w:rsid w:val="008902BE"/>
    <w:rsid w:val="0089038F"/>
    <w:rsid w:val="00890CDA"/>
    <w:rsid w:val="00891BBA"/>
    <w:rsid w:val="00891DA7"/>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27"/>
    <w:rsid w:val="00914ADB"/>
    <w:rsid w:val="00915196"/>
    <w:rsid w:val="00917182"/>
    <w:rsid w:val="00920251"/>
    <w:rsid w:val="00920259"/>
    <w:rsid w:val="00921CFD"/>
    <w:rsid w:val="00923B25"/>
    <w:rsid w:val="00923E9A"/>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6608"/>
    <w:rsid w:val="009576BC"/>
    <w:rsid w:val="00957899"/>
    <w:rsid w:val="00957927"/>
    <w:rsid w:val="00960357"/>
    <w:rsid w:val="0096168C"/>
    <w:rsid w:val="00961840"/>
    <w:rsid w:val="009625E3"/>
    <w:rsid w:val="00962F2D"/>
    <w:rsid w:val="00963A7A"/>
    <w:rsid w:val="009672CD"/>
    <w:rsid w:val="00970034"/>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C7"/>
    <w:rsid w:val="009E4DFC"/>
    <w:rsid w:val="009E5789"/>
    <w:rsid w:val="009E57B1"/>
    <w:rsid w:val="009E6379"/>
    <w:rsid w:val="009F020F"/>
    <w:rsid w:val="009F2094"/>
    <w:rsid w:val="009F3B63"/>
    <w:rsid w:val="009F43E2"/>
    <w:rsid w:val="009F491F"/>
    <w:rsid w:val="009F6292"/>
    <w:rsid w:val="009F6EC5"/>
    <w:rsid w:val="009F7809"/>
    <w:rsid w:val="009F7822"/>
    <w:rsid w:val="009F7AF5"/>
    <w:rsid w:val="00A002F0"/>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7DFB"/>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460"/>
    <w:rsid w:val="00A70E7B"/>
    <w:rsid w:val="00A717EA"/>
    <w:rsid w:val="00A730B0"/>
    <w:rsid w:val="00A7387A"/>
    <w:rsid w:val="00A73B84"/>
    <w:rsid w:val="00A7411D"/>
    <w:rsid w:val="00A749D6"/>
    <w:rsid w:val="00A756C4"/>
    <w:rsid w:val="00A7592B"/>
    <w:rsid w:val="00A75ED7"/>
    <w:rsid w:val="00A76094"/>
    <w:rsid w:val="00A76121"/>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717"/>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824"/>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386D"/>
    <w:rsid w:val="00BA4609"/>
    <w:rsid w:val="00BA5BE2"/>
    <w:rsid w:val="00BA60FC"/>
    <w:rsid w:val="00BA6A9C"/>
    <w:rsid w:val="00BA7F46"/>
    <w:rsid w:val="00BB0388"/>
    <w:rsid w:val="00BB0A0A"/>
    <w:rsid w:val="00BB133C"/>
    <w:rsid w:val="00BB1F04"/>
    <w:rsid w:val="00BB4294"/>
    <w:rsid w:val="00BB45B5"/>
    <w:rsid w:val="00BB4DDE"/>
    <w:rsid w:val="00BB5288"/>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E75A9"/>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3B1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375D"/>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899"/>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8D6"/>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499"/>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FE3"/>
    <w:rsid w:val="00DA195B"/>
    <w:rsid w:val="00DA27F3"/>
    <w:rsid w:val="00DA2D1E"/>
    <w:rsid w:val="00DA3A55"/>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238"/>
    <w:rsid w:val="00DE0C67"/>
    <w:rsid w:val="00DE3555"/>
    <w:rsid w:val="00DE3AAD"/>
    <w:rsid w:val="00DE598A"/>
    <w:rsid w:val="00DE6952"/>
    <w:rsid w:val="00DE6FBE"/>
    <w:rsid w:val="00DE7A7D"/>
    <w:rsid w:val="00DE7E74"/>
    <w:rsid w:val="00DF071B"/>
    <w:rsid w:val="00DF5C84"/>
    <w:rsid w:val="00DF5D3A"/>
    <w:rsid w:val="00DF5EC0"/>
    <w:rsid w:val="00DF6EF8"/>
    <w:rsid w:val="00DF6EFE"/>
    <w:rsid w:val="00DF7BC2"/>
    <w:rsid w:val="00E00A69"/>
    <w:rsid w:val="00E017BC"/>
    <w:rsid w:val="00E017F0"/>
    <w:rsid w:val="00E01A0E"/>
    <w:rsid w:val="00E025FE"/>
    <w:rsid w:val="00E0346A"/>
    <w:rsid w:val="00E035F1"/>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4EFF"/>
    <w:rsid w:val="00F1516A"/>
    <w:rsid w:val="00F15EE5"/>
    <w:rsid w:val="00F1682C"/>
    <w:rsid w:val="00F171F9"/>
    <w:rsid w:val="00F1737C"/>
    <w:rsid w:val="00F173AA"/>
    <w:rsid w:val="00F22A26"/>
    <w:rsid w:val="00F24072"/>
    <w:rsid w:val="00F26432"/>
    <w:rsid w:val="00F3197A"/>
    <w:rsid w:val="00F32139"/>
    <w:rsid w:val="00F325FE"/>
    <w:rsid w:val="00F33CF0"/>
    <w:rsid w:val="00F33D56"/>
    <w:rsid w:val="00F34E08"/>
    <w:rsid w:val="00F4064B"/>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CA9"/>
    <w:rsid w:val="00FA78C8"/>
    <w:rsid w:val="00FA7A2F"/>
    <w:rsid w:val="00FB09FE"/>
    <w:rsid w:val="00FB0E80"/>
    <w:rsid w:val="00FB101D"/>
    <w:rsid w:val="00FB1725"/>
    <w:rsid w:val="00FB2493"/>
    <w:rsid w:val="00FB42B7"/>
    <w:rsid w:val="00FB4484"/>
    <w:rsid w:val="00FB561A"/>
    <w:rsid w:val="00FB593A"/>
    <w:rsid w:val="00FB6410"/>
    <w:rsid w:val="00FB6E82"/>
    <w:rsid w:val="00FB792E"/>
    <w:rsid w:val="00FB7CF0"/>
    <w:rsid w:val="00FC0042"/>
    <w:rsid w:val="00FC1B1A"/>
    <w:rsid w:val="00FC1E67"/>
    <w:rsid w:val="00FC2A13"/>
    <w:rsid w:val="00FC4284"/>
    <w:rsid w:val="00FC4576"/>
    <w:rsid w:val="00FC494C"/>
    <w:rsid w:val="00FC5FF5"/>
    <w:rsid w:val="00FC6285"/>
    <w:rsid w:val="00FC78FB"/>
    <w:rsid w:val="00FC7DBC"/>
    <w:rsid w:val="00FD076A"/>
    <w:rsid w:val="00FD0AA0"/>
    <w:rsid w:val="00FD1D5A"/>
    <w:rsid w:val="00FD408A"/>
    <w:rsid w:val="00FD4B85"/>
    <w:rsid w:val="00FD5059"/>
    <w:rsid w:val="00FD554D"/>
    <w:rsid w:val="00FD5BCC"/>
    <w:rsid w:val="00FD5EB8"/>
    <w:rsid w:val="00FD6C2D"/>
    <w:rsid w:val="00FD7B23"/>
    <w:rsid w:val="00FE2A48"/>
    <w:rsid w:val="00FE2DEF"/>
    <w:rsid w:val="00FE323C"/>
    <w:rsid w:val="00FE3910"/>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3673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4BF6-DE3D-470A-AD6B-DB8EA43A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2012-04-25T13:36:00Z</cp:lastPrinted>
  <dcterms:created xsi:type="dcterms:W3CDTF">2012-05-18T15:12:00Z</dcterms:created>
  <dcterms:modified xsi:type="dcterms:W3CDTF">2012-06-05T15:52:00Z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