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FE7E35">
      <w:pPr>
        <w:tabs>
          <w:tab w:val="left" w:pos="288"/>
          <w:tab w:val="left" w:pos="4752"/>
          <w:tab w:val="left" w:pos="6390"/>
          <w:tab w:val="left" w:pos="9270"/>
        </w:tabs>
        <w:jc w:val="left"/>
        <w:rPr>
          <w:caps/>
          <w:color w:val="000000" w:themeColor="text1"/>
        </w:rPr>
      </w:pPr>
      <w:r w:rsidRPr="001F29F9">
        <w:rPr>
          <w:caps/>
          <w:color w:val="000000" w:themeColor="text1"/>
        </w:rPr>
        <w:t xml:space="preserve">NAME:  </w:t>
      </w:r>
      <w:r w:rsidR="00FE7E35">
        <w:rPr>
          <w:caps/>
          <w:color w:val="000000" w:themeColor="text1"/>
        </w:rPr>
        <w:tab/>
        <w:t xml:space="preserve">                              </w:t>
      </w:r>
      <w:r w:rsidRPr="001F29F9">
        <w:rPr>
          <w:caps/>
          <w:color w:val="000000" w:themeColor="text1"/>
        </w:rPr>
        <w:t>BRANCH OF SERVICE</w:t>
      </w:r>
      <w:r w:rsidRPr="00237671">
        <w:rPr>
          <w:caps/>
          <w:color w:val="000000" w:themeColor="text1"/>
        </w:rPr>
        <w:t xml:space="preserve">: </w:t>
      </w:r>
      <w:r w:rsidR="004C24C5" w:rsidRPr="00237671">
        <w:rPr>
          <w:caps/>
          <w:color w:val="000000" w:themeColor="text1"/>
        </w:rPr>
        <w:t xml:space="preserve"> </w:t>
      </w:r>
      <w:r w:rsidR="00332DE3" w:rsidRPr="00237671">
        <w:rPr>
          <w:caps/>
          <w:color w:val="000000" w:themeColor="text1"/>
        </w:rPr>
        <w:t xml:space="preserve">Army </w:t>
      </w:r>
    </w:p>
    <w:p w:rsidR="00DE3AAD" w:rsidRPr="001F29F9" w:rsidRDefault="00012733" w:rsidP="00FE7E35">
      <w:pPr>
        <w:tabs>
          <w:tab w:val="left" w:pos="288"/>
          <w:tab w:val="left" w:pos="4166"/>
          <w:tab w:val="left" w:pos="4752"/>
          <w:tab w:val="left" w:pos="5130"/>
          <w:tab w:val="left" w:pos="9270"/>
        </w:tabs>
        <w:jc w:val="left"/>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F33C8F">
        <w:rPr>
          <w:caps/>
          <w:color w:val="000000" w:themeColor="text1"/>
        </w:rPr>
        <w:t>00781</w:t>
      </w:r>
      <w:r w:rsidR="00FE7E35">
        <w:rPr>
          <w:color w:val="000000" w:themeColor="text1"/>
        </w:rPr>
        <w:t xml:space="preserve"> </w:t>
      </w:r>
      <w:r w:rsidR="00FE7E35">
        <w:rPr>
          <w:color w:val="000000" w:themeColor="text1"/>
        </w:rPr>
        <w:tab/>
      </w:r>
      <w:r w:rsidR="00FE7E35">
        <w:rPr>
          <w:color w:val="000000" w:themeColor="text1"/>
        </w:rPr>
        <w:tab/>
      </w:r>
      <w:r w:rsidR="00FE7E35">
        <w:rPr>
          <w:color w:val="000000" w:themeColor="text1"/>
        </w:rPr>
        <w:tab/>
        <w:t xml:space="preserve">                       </w:t>
      </w:r>
      <w:r w:rsidR="00DE3AAD" w:rsidRPr="001F29F9">
        <w:rPr>
          <w:color w:val="000000" w:themeColor="text1"/>
        </w:rPr>
        <w:t>SEPARATION DATE:  200</w:t>
      </w:r>
      <w:r w:rsidR="00F33C8F">
        <w:rPr>
          <w:color w:val="000000" w:themeColor="text1"/>
        </w:rPr>
        <w:t>40308</w:t>
      </w:r>
    </w:p>
    <w:p w:rsidR="003B2143" w:rsidRPr="001F29F9" w:rsidRDefault="004F3639" w:rsidP="00FE7E35">
      <w:pPr>
        <w:tabs>
          <w:tab w:val="left" w:pos="288"/>
          <w:tab w:val="left" w:pos="5130"/>
        </w:tabs>
        <w:jc w:val="left"/>
        <w:rPr>
          <w:color w:val="000000" w:themeColor="text1"/>
        </w:rPr>
      </w:pPr>
      <w:r w:rsidRPr="001F29F9">
        <w:rPr>
          <w:caps/>
          <w:color w:val="000000" w:themeColor="text1"/>
        </w:rPr>
        <w:t>BOARD DATE:  201</w:t>
      </w:r>
      <w:r w:rsidR="00FE7E35">
        <w:rPr>
          <w:caps/>
          <w:color w:val="000000" w:themeColor="text1"/>
        </w:rPr>
        <w:t>20601</w:t>
      </w:r>
      <w:r w:rsidR="003B2143" w:rsidRPr="001F29F9">
        <w:rPr>
          <w:caps/>
          <w:color w:val="000000" w:themeColor="text1"/>
        </w:rPr>
        <w:tab/>
      </w:r>
      <w:r w:rsidR="003B2143" w:rsidRPr="001F29F9">
        <w:rPr>
          <w:rFonts w:cs="Times New Roman"/>
          <w:caps/>
          <w:color w:val="000000" w:themeColor="text1"/>
          <w:szCs w:val="24"/>
        </w:rPr>
        <w:t xml:space="preserve">      </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FE7E35" w:rsidRDefault="00FE7E35" w:rsidP="00C577A3">
      <w:pPr>
        <w:tabs>
          <w:tab w:val="left" w:pos="288"/>
          <w:tab w:val="left" w:pos="4752"/>
        </w:tabs>
        <w:jc w:val="both"/>
        <w:rPr>
          <w:color w:val="000000" w:themeColor="text1"/>
          <w:u w:val="single"/>
        </w:rPr>
      </w:pPr>
    </w:p>
    <w:p w:rsidR="00C577A3" w:rsidRPr="001F29F9" w:rsidRDefault="00FB0E80" w:rsidP="00C577A3">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SGT/E-5</w:t>
      </w:r>
      <w:r w:rsidR="00705C40" w:rsidRPr="001F29F9">
        <w:rPr>
          <w:color w:val="000000" w:themeColor="text1"/>
          <w:szCs w:val="24"/>
        </w:rPr>
        <w:t xml:space="preserve"> (</w:t>
      </w:r>
      <w:r w:rsidR="00F33C8F">
        <w:rPr>
          <w:color w:val="000000" w:themeColor="text1"/>
          <w:szCs w:val="24"/>
        </w:rPr>
        <w:t>63B</w:t>
      </w:r>
      <w:r w:rsidR="00FE7E35">
        <w:rPr>
          <w:color w:val="000000" w:themeColor="text1"/>
          <w:szCs w:val="24"/>
        </w:rPr>
        <w:t xml:space="preserve">, </w:t>
      </w:r>
      <w:r w:rsidR="00F33C8F">
        <w:rPr>
          <w:color w:val="000000" w:themeColor="text1"/>
          <w:szCs w:val="24"/>
        </w:rPr>
        <w:t>V</w:t>
      </w:r>
      <w:r w:rsidR="00861E00">
        <w:rPr>
          <w:color w:val="000000" w:themeColor="text1"/>
          <w:szCs w:val="24"/>
        </w:rPr>
        <w:t>ehicle</w:t>
      </w:r>
      <w:r w:rsidR="00F33C8F">
        <w:rPr>
          <w:color w:val="000000" w:themeColor="text1"/>
          <w:szCs w:val="24"/>
        </w:rPr>
        <w:t xml:space="preserve"> Mechanic</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w:t>
      </w:r>
      <w:r w:rsidR="00971004">
        <w:rPr>
          <w:color w:val="000000" w:themeColor="text1"/>
          <w:szCs w:val="24"/>
        </w:rPr>
        <w:t>f</w:t>
      </w:r>
      <w:r w:rsidR="00FE7E35">
        <w:rPr>
          <w:color w:val="000000" w:themeColor="text1"/>
          <w:szCs w:val="24"/>
        </w:rPr>
        <w:t>o</w:t>
      </w:r>
      <w:r w:rsidR="00971004">
        <w:rPr>
          <w:color w:val="000000" w:themeColor="text1"/>
          <w:szCs w:val="24"/>
        </w:rPr>
        <w:t>r</w:t>
      </w:r>
      <w:r w:rsidR="00FE7E35">
        <w:rPr>
          <w:color w:val="000000" w:themeColor="text1"/>
          <w:szCs w:val="24"/>
        </w:rPr>
        <w:t xml:space="preserve"> </w:t>
      </w:r>
      <w:r w:rsidR="00B9099D">
        <w:rPr>
          <w:color w:val="000000" w:themeColor="text1"/>
          <w:szCs w:val="24"/>
        </w:rPr>
        <w:t>right knee</w:t>
      </w:r>
      <w:r w:rsidR="00FE7E35">
        <w:rPr>
          <w:color w:val="000000" w:themeColor="text1"/>
          <w:szCs w:val="24"/>
        </w:rPr>
        <w:t xml:space="preserve"> pain</w:t>
      </w:r>
      <w:r w:rsidR="00B9099D">
        <w:rPr>
          <w:color w:val="000000" w:themeColor="text1"/>
          <w:szCs w:val="24"/>
        </w:rPr>
        <w:t xml:space="preserve">. </w:t>
      </w:r>
      <w:r w:rsidR="00971004">
        <w:rPr>
          <w:color w:val="000000" w:themeColor="text1"/>
          <w:szCs w:val="24"/>
        </w:rPr>
        <w:t xml:space="preserve"> </w:t>
      </w:r>
      <w:r w:rsidR="00054ED4">
        <w:rPr>
          <w:color w:val="000000" w:themeColor="text1"/>
          <w:szCs w:val="24"/>
        </w:rPr>
        <w:t>He was treated, but</w:t>
      </w:r>
      <w:r w:rsidR="00971004" w:rsidRPr="00C577A3">
        <w:rPr>
          <w:color w:val="000000" w:themeColor="text1"/>
          <w:szCs w:val="24"/>
        </w:rPr>
        <w:t xml:space="preserve"> did not respond adequately to </w:t>
      </w:r>
      <w:r w:rsidR="00054ED4">
        <w:rPr>
          <w:color w:val="000000" w:themeColor="text1"/>
          <w:szCs w:val="24"/>
        </w:rPr>
        <w:t xml:space="preserve">fully </w:t>
      </w:r>
      <w:r w:rsidR="00971004" w:rsidRPr="00C577A3">
        <w:rPr>
          <w:color w:val="000000" w:themeColor="text1"/>
          <w:szCs w:val="24"/>
        </w:rPr>
        <w:t xml:space="preserve">perform his military </w:t>
      </w:r>
      <w:r w:rsidR="00054ED4">
        <w:rPr>
          <w:color w:val="000000" w:themeColor="text1"/>
          <w:szCs w:val="24"/>
        </w:rPr>
        <w:t xml:space="preserve">duties </w:t>
      </w:r>
      <w:r w:rsidR="00971004" w:rsidRPr="00C577A3">
        <w:rPr>
          <w:color w:val="000000" w:themeColor="text1"/>
          <w:szCs w:val="24"/>
        </w:rPr>
        <w:t xml:space="preserve">or meet physical fitness standards.  He was issued a permanent profile and underwent a Medical Evaluation Board (MEB). </w:t>
      </w:r>
      <w:r w:rsidR="00C577A3" w:rsidRPr="00C577A3">
        <w:rPr>
          <w:color w:val="000000" w:themeColor="text1"/>
          <w:szCs w:val="24"/>
        </w:rPr>
        <w:t xml:space="preserve"> </w:t>
      </w:r>
      <w:r w:rsidR="00BE19D7">
        <w:rPr>
          <w:color w:val="000000" w:themeColor="text1"/>
          <w:szCs w:val="24"/>
        </w:rPr>
        <w:t>The r</w:t>
      </w:r>
      <w:r w:rsidR="00C577A3" w:rsidRPr="00C577A3">
        <w:rPr>
          <w:color w:val="000000" w:themeColor="text1"/>
          <w:szCs w:val="24"/>
        </w:rPr>
        <w:t>ight knee</w:t>
      </w:r>
      <w:r w:rsidR="00BE19D7">
        <w:rPr>
          <w:color w:val="000000" w:themeColor="text1"/>
          <w:szCs w:val="24"/>
        </w:rPr>
        <w:t xml:space="preserve"> condition </w:t>
      </w:r>
      <w:r w:rsidR="00971004" w:rsidRPr="00C577A3">
        <w:rPr>
          <w:color w:val="000000" w:themeColor="text1"/>
          <w:szCs w:val="24"/>
        </w:rPr>
        <w:t>w</w:t>
      </w:r>
      <w:r w:rsidR="00C577A3" w:rsidRPr="00C577A3">
        <w:rPr>
          <w:color w:val="000000" w:themeColor="text1"/>
          <w:szCs w:val="24"/>
        </w:rPr>
        <w:t xml:space="preserve">as </w:t>
      </w:r>
      <w:r w:rsidR="00971004" w:rsidRPr="00C577A3">
        <w:rPr>
          <w:color w:val="000000" w:themeColor="text1"/>
          <w:szCs w:val="24"/>
        </w:rPr>
        <w:t>forwarded to the Physical Evaluation Board (PEB) as medically unacceptable IAW AR 40-501.</w:t>
      </w:r>
      <w:r w:rsidR="00C577A3" w:rsidRPr="00C577A3">
        <w:rPr>
          <w:color w:val="000000" w:themeColor="text1"/>
          <w:szCs w:val="24"/>
        </w:rPr>
        <w:t xml:space="preserve">  Two other conditions, identified below, were </w:t>
      </w:r>
      <w:r w:rsidR="00BE19D7">
        <w:rPr>
          <w:color w:val="000000" w:themeColor="text1"/>
          <w:szCs w:val="24"/>
        </w:rPr>
        <w:t xml:space="preserve">listed </w:t>
      </w:r>
      <w:r w:rsidR="00C577A3" w:rsidRPr="00C577A3">
        <w:rPr>
          <w:color w:val="000000" w:themeColor="text1"/>
          <w:szCs w:val="24"/>
        </w:rPr>
        <w:t xml:space="preserve">on the </w:t>
      </w:r>
      <w:r w:rsidR="00BE19D7">
        <w:rPr>
          <w:color w:val="000000" w:themeColor="text1"/>
          <w:szCs w:val="24"/>
        </w:rPr>
        <w:t>DA Form 3947</w:t>
      </w:r>
      <w:r w:rsidR="00C577A3" w:rsidRPr="00C577A3">
        <w:rPr>
          <w:color w:val="000000" w:themeColor="text1"/>
          <w:szCs w:val="24"/>
        </w:rPr>
        <w:t xml:space="preserve"> as medically acceptable.  The PEB </w:t>
      </w:r>
      <w:r w:rsidR="00BE19D7">
        <w:rPr>
          <w:color w:val="000000" w:themeColor="text1"/>
          <w:szCs w:val="24"/>
        </w:rPr>
        <w:t xml:space="preserve">found </w:t>
      </w:r>
      <w:r w:rsidR="00C577A3" w:rsidRPr="00C577A3">
        <w:rPr>
          <w:color w:val="000000" w:themeColor="text1"/>
          <w:szCs w:val="24"/>
        </w:rPr>
        <w:t xml:space="preserve">the right knee condition unfitting, </w:t>
      </w:r>
      <w:r w:rsidR="00BE19D7">
        <w:rPr>
          <w:color w:val="000000" w:themeColor="text1"/>
          <w:szCs w:val="24"/>
        </w:rPr>
        <w:t xml:space="preserve">and </w:t>
      </w:r>
      <w:r w:rsidR="00C577A3" w:rsidRPr="00C577A3">
        <w:rPr>
          <w:color w:val="000000" w:themeColor="text1"/>
          <w:szCs w:val="24"/>
        </w:rPr>
        <w:t xml:space="preserve">rated </w:t>
      </w:r>
      <w:r w:rsidR="00BE19D7">
        <w:rPr>
          <w:color w:val="000000" w:themeColor="text1"/>
          <w:szCs w:val="24"/>
        </w:rPr>
        <w:t xml:space="preserve">it </w:t>
      </w:r>
      <w:r w:rsidR="00C577A3" w:rsidRPr="00C577A3">
        <w:rPr>
          <w:color w:val="000000" w:themeColor="text1"/>
          <w:szCs w:val="24"/>
        </w:rPr>
        <w:t xml:space="preserve">10% </w:t>
      </w:r>
      <w:r w:rsidR="00BE19D7">
        <w:rPr>
          <w:color w:val="000000" w:themeColor="text1"/>
          <w:szCs w:val="24"/>
        </w:rPr>
        <w:t>IAW</w:t>
      </w:r>
      <w:r w:rsidR="00C577A3" w:rsidRPr="00C577A3">
        <w:rPr>
          <w:color w:val="000000" w:themeColor="text1"/>
          <w:szCs w:val="24"/>
        </w:rPr>
        <w:t xml:space="preserve"> the Veterans</w:t>
      </w:r>
      <w:r w:rsidR="00BE19D7">
        <w:rPr>
          <w:color w:val="000000" w:themeColor="text1"/>
          <w:szCs w:val="24"/>
        </w:rPr>
        <w:t>’</w:t>
      </w:r>
      <w:r w:rsidR="00C577A3" w:rsidRPr="00C577A3">
        <w:rPr>
          <w:color w:val="000000" w:themeColor="text1"/>
          <w:szCs w:val="24"/>
        </w:rPr>
        <w:t xml:space="preserve"> Administration Schedule for Rating Disabilities (VASRD).</w:t>
      </w:r>
      <w:r w:rsidR="00C577A3" w:rsidRPr="00C577A3">
        <w:rPr>
          <w:color w:val="000000" w:themeColor="text1"/>
        </w:rPr>
        <w:t xml:space="preserve"> </w:t>
      </w:r>
      <w:r w:rsidR="009673F2">
        <w:rPr>
          <w:color w:val="000000" w:themeColor="text1"/>
        </w:rPr>
        <w:t xml:space="preserve"> </w:t>
      </w:r>
      <w:r w:rsidR="00C577A3" w:rsidRPr="00C577A3">
        <w:rPr>
          <w:color w:val="000000" w:themeColor="text1"/>
        </w:rPr>
        <w:t xml:space="preserve">The CI made no appeals, and was </w:t>
      </w:r>
      <w:r w:rsidR="00BE19D7">
        <w:rPr>
          <w:color w:val="000000" w:themeColor="text1"/>
        </w:rPr>
        <w:t xml:space="preserve">thus </w:t>
      </w:r>
      <w:r w:rsidR="00C577A3" w:rsidRPr="00C577A3">
        <w:rPr>
          <w:color w:val="000000" w:themeColor="text1"/>
        </w:rPr>
        <w:t>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237671" w:rsidRPr="001F29F9" w:rsidRDefault="002C6E5B" w:rsidP="00237671">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237671" w:rsidRPr="00237671">
        <w:t xml:space="preserve"> </w:t>
      </w:r>
      <w:r w:rsidR="00237671">
        <w:t xml:space="preserve">  </w:t>
      </w:r>
      <w:r w:rsidR="00237671" w:rsidRPr="00237671">
        <w:rPr>
          <w:color w:val="auto"/>
        </w:rPr>
        <w:t>The CI states</w:t>
      </w:r>
      <w:r w:rsidR="00BE19D7">
        <w:rPr>
          <w:color w:val="auto"/>
        </w:rPr>
        <w:t xml:space="preserve">, </w:t>
      </w:r>
      <w:r w:rsidR="00237671" w:rsidRPr="00237671">
        <w:rPr>
          <w:color w:val="000000" w:themeColor="text1"/>
        </w:rPr>
        <w:t>“</w:t>
      </w:r>
      <w:proofErr w:type="gramStart"/>
      <w:r w:rsidR="009A5344">
        <w:rPr>
          <w:color w:val="000000" w:themeColor="text1"/>
        </w:rPr>
        <w:t>r</w:t>
      </w:r>
      <w:r w:rsidR="00237671" w:rsidRPr="00237671">
        <w:rPr>
          <w:color w:val="000000" w:themeColor="text1"/>
        </w:rPr>
        <w:t>ight</w:t>
      </w:r>
      <w:proofErr w:type="gramEnd"/>
      <w:r w:rsidR="00237671" w:rsidRPr="00237671">
        <w:rPr>
          <w:color w:val="000000" w:themeColor="text1"/>
        </w:rPr>
        <w:t xml:space="preserve"> knee limitation of motion, VA provided 20% rating, secondary left knee.  Military did not consider all conditions as a result of motorcycle accident.  Back condition was not considered, will be having surgery 8/1/2011</w:t>
      </w:r>
      <w:r w:rsidR="00BE19D7">
        <w:rPr>
          <w:color w:val="000000" w:themeColor="text1"/>
        </w:rPr>
        <w:t>.</w:t>
      </w:r>
      <w:r w:rsidR="00237671" w:rsidRPr="00237671">
        <w:rPr>
          <w:color w:val="000000" w:themeColor="text1"/>
        </w:rPr>
        <w:t>”</w:t>
      </w:r>
      <w:r w:rsidR="00237671" w:rsidRPr="00237671">
        <w:rPr>
          <w:rFonts w:eastAsiaTheme="minorHAnsi"/>
          <w:color w:val="000000" w:themeColor="text1"/>
          <w:szCs w:val="24"/>
        </w:rPr>
        <w:t xml:space="preserve"> </w:t>
      </w:r>
    </w:p>
    <w:p w:rsidR="002B51B4" w:rsidRPr="00F64312" w:rsidRDefault="002B51B4" w:rsidP="002B51B4">
      <w:pPr>
        <w:pBdr>
          <w:bottom w:val="single" w:sz="12" w:space="1" w:color="auto"/>
        </w:pBdr>
        <w:tabs>
          <w:tab w:val="left" w:pos="288"/>
          <w:tab w:val="left" w:pos="4752"/>
        </w:tabs>
        <w:jc w:val="both"/>
        <w:rPr>
          <w:color w:val="auto"/>
        </w:rPr>
      </w:pPr>
    </w:p>
    <w:p w:rsidR="002B51B4" w:rsidRPr="00F64312" w:rsidRDefault="002B51B4" w:rsidP="002B51B4">
      <w:pPr>
        <w:jc w:val="both"/>
        <w:rPr>
          <w:color w:val="auto"/>
          <w:u w:val="single"/>
        </w:rPr>
      </w:pPr>
    </w:p>
    <w:p w:rsidR="002B51B4" w:rsidRPr="008D5D3F" w:rsidRDefault="002B51B4" w:rsidP="002B51B4">
      <w:pPr>
        <w:jc w:val="both"/>
        <w:rPr>
          <w:color w:val="auto"/>
        </w:rPr>
      </w:pPr>
      <w:r w:rsidRPr="000464DC">
        <w:rPr>
          <w:color w:val="auto"/>
          <w:u w:val="single"/>
        </w:rPr>
        <w:t>SCOPE OF REVIEW</w:t>
      </w:r>
      <w:r w:rsidRPr="000464DC">
        <w:rPr>
          <w:color w:val="auto"/>
        </w:rPr>
        <w:t>:  The Board’s scope of review, as defined in DoDI 6040.44, is limited to those conditions which were determined by the PEB to be unfitting for continued military service; or, when requested by the CI, those condition(s) identified but not determined to be unfitting by the PEB.</w:t>
      </w:r>
      <w:r w:rsidR="00455B1A" w:rsidRPr="000464DC">
        <w:rPr>
          <w:color w:val="auto"/>
        </w:rPr>
        <w:t xml:space="preserve">  In this case, the right knee condition and the </w:t>
      </w:r>
      <w:r w:rsidR="000464DC" w:rsidRPr="000464DC">
        <w:rPr>
          <w:color w:val="auto"/>
        </w:rPr>
        <w:t>low back pain (</w:t>
      </w:r>
      <w:r w:rsidR="00455B1A" w:rsidRPr="000464DC">
        <w:rPr>
          <w:color w:val="auto"/>
        </w:rPr>
        <w:t>LBP</w:t>
      </w:r>
      <w:r w:rsidR="000464DC" w:rsidRPr="000464DC">
        <w:rPr>
          <w:color w:val="auto"/>
        </w:rPr>
        <w:t>)</w:t>
      </w:r>
      <w:r w:rsidRPr="000464DC">
        <w:rPr>
          <w:color w:val="auto"/>
        </w:rPr>
        <w:t xml:space="preserve"> </w:t>
      </w:r>
      <w:r w:rsidR="00455B1A" w:rsidRPr="000464DC">
        <w:rPr>
          <w:color w:val="auto"/>
        </w:rPr>
        <w:t>meet the criteria prescribed in DoDI 6040.44 for Board purview</w:t>
      </w:r>
      <w:r w:rsidR="000464DC" w:rsidRPr="000464DC">
        <w:rPr>
          <w:color w:val="auto"/>
        </w:rPr>
        <w:t xml:space="preserve">, </w:t>
      </w:r>
      <w:r w:rsidR="00455B1A" w:rsidRPr="000464DC">
        <w:rPr>
          <w:color w:val="auto"/>
        </w:rPr>
        <w:t xml:space="preserve">and are addressed below.  </w:t>
      </w:r>
      <w:r w:rsidR="00355D01">
        <w:rPr>
          <w:color w:val="auto"/>
        </w:rPr>
        <w:t>R</w:t>
      </w:r>
      <w:r w:rsidR="000464DC" w:rsidRPr="000464DC">
        <w:rPr>
          <w:color w:val="auto"/>
        </w:rPr>
        <w:t>ight ankle stiffness</w:t>
      </w:r>
      <w:r w:rsidR="00223E2D">
        <w:rPr>
          <w:color w:val="auto"/>
        </w:rPr>
        <w:t>, tinnitus,</w:t>
      </w:r>
      <w:r w:rsidR="00355D01">
        <w:rPr>
          <w:color w:val="auto"/>
        </w:rPr>
        <w:t xml:space="preserve"> and the left knee problem are</w:t>
      </w:r>
      <w:r w:rsidR="000464DC" w:rsidRPr="000464DC">
        <w:rPr>
          <w:color w:val="auto"/>
        </w:rPr>
        <w:t xml:space="preserve"> </w:t>
      </w:r>
      <w:r w:rsidRPr="000464DC">
        <w:rPr>
          <w:color w:val="auto"/>
        </w:rPr>
        <w:t xml:space="preserve">outside the Board’s scope of review, </w:t>
      </w:r>
      <w:r w:rsidR="000464DC" w:rsidRPr="000464DC">
        <w:rPr>
          <w:color w:val="auto"/>
        </w:rPr>
        <w:t xml:space="preserve">but </w:t>
      </w:r>
      <w:r w:rsidRPr="000464DC">
        <w:rPr>
          <w:color w:val="auto"/>
        </w:rPr>
        <w:t>remain eligible for future consideration by the Army Board for the Correction of Military Records (</w:t>
      </w:r>
      <w:r w:rsidR="000464DC" w:rsidRPr="000464DC">
        <w:rPr>
          <w:color w:val="auto"/>
        </w:rPr>
        <w:t>A</w:t>
      </w:r>
      <w:r w:rsidRPr="000464DC">
        <w:rPr>
          <w:color w:val="auto"/>
        </w:rPr>
        <w:t>BCMR).</w:t>
      </w:r>
      <w:r>
        <w:rPr>
          <w:color w:val="auto"/>
        </w:rPr>
        <w:t xml:space="preserve"> </w:t>
      </w:r>
    </w:p>
    <w:p w:rsidR="002B51B4" w:rsidRPr="00F64312" w:rsidRDefault="002B51B4" w:rsidP="002B51B4">
      <w:pPr>
        <w:pBdr>
          <w:bottom w:val="single" w:sz="12" w:space="1" w:color="auto"/>
        </w:pBdr>
        <w:tabs>
          <w:tab w:val="left" w:pos="288"/>
          <w:tab w:val="left" w:pos="4752"/>
        </w:tabs>
        <w:jc w:val="both"/>
        <w:rPr>
          <w:color w:val="auto"/>
        </w:rPr>
      </w:pPr>
    </w:p>
    <w:p w:rsidR="002B51B4" w:rsidRDefault="002B51B4"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2178"/>
        <w:gridCol w:w="1080"/>
        <w:gridCol w:w="900"/>
        <w:gridCol w:w="2322"/>
        <w:gridCol w:w="1080"/>
        <w:gridCol w:w="828"/>
        <w:gridCol w:w="990"/>
      </w:tblGrid>
      <w:tr w:rsidR="002B4E22" w:rsidRPr="001F29F9"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D2721C" w:rsidP="00D2721C">
            <w:pPr>
              <w:contextualSpacing/>
              <w:rPr>
                <w:rFonts w:ascii="Calibri" w:hAnsi="Calibri" w:cs="Calibri"/>
                <w:b/>
                <w:color w:val="000000" w:themeColor="text1"/>
                <w:sz w:val="18"/>
                <w:szCs w:val="18"/>
              </w:rPr>
            </w:pPr>
            <w:r>
              <w:rPr>
                <w:rFonts w:ascii="Calibri" w:hAnsi="Calibri" w:cs="Calibri"/>
                <w:b/>
                <w:color w:val="000000" w:themeColor="text1"/>
                <w:sz w:val="18"/>
                <w:szCs w:val="18"/>
              </w:rPr>
              <w:t>Army</w:t>
            </w:r>
            <w:r w:rsidR="00B731E4" w:rsidRPr="001F29F9">
              <w:rPr>
                <w:rFonts w:ascii="Calibri" w:hAnsi="Calibri" w:cs="Calibri"/>
                <w:b/>
                <w:color w:val="000000" w:themeColor="text1"/>
                <w:sz w:val="18"/>
                <w:szCs w:val="18"/>
              </w:rPr>
              <w:t xml:space="preserve"> PEB – </w:t>
            </w:r>
            <w:r>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ated 200</w:t>
            </w:r>
            <w:r w:rsidR="00B9099D">
              <w:rPr>
                <w:rFonts w:ascii="Calibri" w:hAnsi="Calibri" w:cs="Calibri"/>
                <w:b/>
                <w:color w:val="000000" w:themeColor="text1"/>
                <w:sz w:val="18"/>
                <w:szCs w:val="18"/>
              </w:rPr>
              <w:t>31223</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D2721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861E00">
              <w:rPr>
                <w:rFonts w:ascii="Calibri" w:hAnsi="Calibri" w:cs="Calibri"/>
                <w:b/>
                <w:color w:val="000000" w:themeColor="text1"/>
                <w:sz w:val="18"/>
                <w:szCs w:val="18"/>
              </w:rPr>
              <w:t>1</w:t>
            </w:r>
            <w:r w:rsidR="0079154B" w:rsidRPr="001F29F9">
              <w:rPr>
                <w:rFonts w:ascii="Calibri" w:hAnsi="Calibri" w:cs="Calibri"/>
                <w:b/>
                <w:color w:val="000000" w:themeColor="text1"/>
                <w:sz w:val="18"/>
                <w:szCs w:val="18"/>
              </w:rPr>
              <w:t xml:space="preserve"> </w:t>
            </w:r>
            <w:r w:rsidR="00D2721C">
              <w:rPr>
                <w:rFonts w:ascii="Calibri" w:hAnsi="Calibri" w:cs="Calibri"/>
                <w:b/>
                <w:color w:val="000000" w:themeColor="text1"/>
                <w:sz w:val="18"/>
                <w:szCs w:val="18"/>
              </w:rPr>
              <w:t>m</w:t>
            </w:r>
            <w:r w:rsidRPr="001F29F9">
              <w:rPr>
                <w:rFonts w:ascii="Calibri" w:hAnsi="Calibri" w:cs="Calibri"/>
                <w:b/>
                <w:color w:val="000000" w:themeColor="text1"/>
                <w:sz w:val="18"/>
                <w:szCs w:val="18"/>
              </w:rPr>
              <w:t>o</w:t>
            </w:r>
            <w:r w:rsidRPr="00861E00">
              <w:rPr>
                <w:rFonts w:ascii="Calibri" w:hAnsi="Calibri" w:cs="Calibri"/>
                <w:b/>
                <w:color w:val="000000" w:themeColor="text1"/>
                <w:sz w:val="18"/>
                <w:szCs w:val="18"/>
              </w:rPr>
              <w:t>. Pr</w:t>
            </w:r>
            <w:r w:rsidR="007272F1" w:rsidRPr="00861E00">
              <w:rPr>
                <w:rFonts w:ascii="Calibri" w:hAnsi="Calibri" w:cs="Calibri"/>
                <w:b/>
                <w:color w:val="000000" w:themeColor="text1"/>
                <w:sz w:val="18"/>
                <w:szCs w:val="18"/>
              </w:rPr>
              <w:t>e</w:t>
            </w:r>
            <w:r w:rsidR="00861E00" w:rsidRPr="00861E00">
              <w:rPr>
                <w:rFonts w:ascii="Calibri" w:hAnsi="Calibri" w:cs="Calibri"/>
                <w:b/>
                <w:color w:val="000000" w:themeColor="text1"/>
                <w:sz w:val="18"/>
                <w:szCs w:val="18"/>
              </w:rPr>
              <w:t>-</w:t>
            </w:r>
            <w:r w:rsidRPr="001F29F9">
              <w:rPr>
                <w:rFonts w:ascii="Calibri" w:hAnsi="Calibri" w:cs="Calibri"/>
                <w:b/>
                <w:color w:val="000000" w:themeColor="text1"/>
                <w:sz w:val="18"/>
                <w:szCs w:val="18"/>
              </w:rPr>
              <w:t xml:space="preserve">Separation) – All Effective </w:t>
            </w:r>
            <w:r w:rsidR="002D08F3" w:rsidRPr="001F29F9">
              <w:rPr>
                <w:rFonts w:ascii="Calibri" w:hAnsi="Calibri" w:cs="Calibri"/>
                <w:b/>
                <w:color w:val="000000" w:themeColor="text1"/>
                <w:sz w:val="18"/>
                <w:szCs w:val="18"/>
              </w:rPr>
              <w:t>200</w:t>
            </w:r>
            <w:r w:rsidR="00B9099D">
              <w:rPr>
                <w:rFonts w:ascii="Calibri" w:hAnsi="Calibri" w:cs="Calibri"/>
                <w:b/>
                <w:color w:val="000000" w:themeColor="text1"/>
                <w:sz w:val="18"/>
                <w:szCs w:val="18"/>
              </w:rPr>
              <w:t>40309</w:t>
            </w:r>
          </w:p>
        </w:tc>
      </w:tr>
      <w:tr w:rsidR="002B4E22" w:rsidRPr="001F29F9" w:rsidTr="003C53E8">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3C53E8">
        <w:trPr>
          <w:trHeight w:val="115"/>
          <w:jc w:val="center"/>
        </w:trPr>
        <w:tc>
          <w:tcPr>
            <w:tcW w:w="2178" w:type="dxa"/>
            <w:tcBorders>
              <w:right w:val="single" w:sz="4" w:space="0" w:color="auto"/>
            </w:tcBorders>
            <w:shd w:val="clear" w:color="auto" w:fill="FFFFFF" w:themeFill="background1"/>
            <w:vAlign w:val="center"/>
          </w:tcPr>
          <w:p w:rsidR="00BC5860" w:rsidRPr="001F29F9" w:rsidRDefault="00B9099D" w:rsidP="002D73F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Knee</w:t>
            </w:r>
            <w:r w:rsidR="002D73FD">
              <w:rPr>
                <w:rFonts w:ascii="Calibri" w:eastAsia="Times New Roman" w:hAnsi="Calibri" w:cs="Calibri"/>
                <w:color w:val="000000" w:themeColor="text1"/>
                <w:sz w:val="18"/>
                <w:szCs w:val="18"/>
              </w:rPr>
              <w:t xml:space="preserve"> Condition</w:t>
            </w:r>
          </w:p>
        </w:tc>
        <w:tc>
          <w:tcPr>
            <w:tcW w:w="1080" w:type="dxa"/>
            <w:tcBorders>
              <w:left w:val="single" w:sz="4" w:space="0" w:color="auto"/>
            </w:tcBorders>
            <w:shd w:val="clear" w:color="auto" w:fill="FFFFFF" w:themeFill="background1"/>
            <w:vAlign w:val="center"/>
          </w:tcPr>
          <w:p w:rsidR="00BC5860" w:rsidRPr="001F29F9" w:rsidRDefault="00B9099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5261</w:t>
            </w:r>
          </w:p>
        </w:tc>
        <w:tc>
          <w:tcPr>
            <w:tcW w:w="900" w:type="dxa"/>
            <w:tcBorders>
              <w:right w:val="thinThickThinSmallGap" w:sz="24" w:space="0" w:color="auto"/>
            </w:tcBorders>
            <w:shd w:val="clear" w:color="auto" w:fill="FFFFFF" w:themeFill="background1"/>
            <w:vAlign w:val="center"/>
          </w:tcPr>
          <w:p w:rsidR="00BC5860" w:rsidRPr="001F29F9" w:rsidRDefault="00B9099D">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1F29F9" w:rsidRDefault="00B9099D" w:rsidP="002D73F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Knee Injury</w:t>
            </w:r>
          </w:p>
        </w:tc>
        <w:tc>
          <w:tcPr>
            <w:tcW w:w="1080" w:type="dxa"/>
            <w:shd w:val="clear" w:color="auto" w:fill="FFFFFF" w:themeFill="background1"/>
            <w:vAlign w:val="center"/>
          </w:tcPr>
          <w:p w:rsidR="00BC5860" w:rsidRPr="001F29F9" w:rsidRDefault="00B9099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5099-5014</w:t>
            </w:r>
          </w:p>
        </w:tc>
        <w:tc>
          <w:tcPr>
            <w:tcW w:w="828" w:type="dxa"/>
            <w:shd w:val="clear" w:color="auto" w:fill="FFFFFF" w:themeFill="background1"/>
            <w:vAlign w:val="center"/>
          </w:tcPr>
          <w:p w:rsidR="00BC5860" w:rsidRPr="001F29F9" w:rsidRDefault="00B9099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C5860" w:rsidRPr="00861E00" w:rsidRDefault="00963DB5">
            <w:pPr>
              <w:spacing w:line="180" w:lineRule="exact"/>
              <w:contextualSpacing/>
              <w:rPr>
                <w:rFonts w:ascii="Calibri" w:eastAsia="Times New Roman" w:hAnsi="Calibri" w:cs="Calibri"/>
                <w:color w:val="000000" w:themeColor="text1"/>
                <w:sz w:val="18"/>
                <w:szCs w:val="18"/>
              </w:rPr>
            </w:pPr>
            <w:r w:rsidRPr="00861E00">
              <w:rPr>
                <w:rFonts w:ascii="Calibri" w:eastAsia="Times New Roman" w:hAnsi="Calibri" w:cs="Calibri"/>
                <w:color w:val="000000" w:themeColor="text1"/>
                <w:sz w:val="18"/>
                <w:szCs w:val="18"/>
              </w:rPr>
              <w:t>20040220</w:t>
            </w:r>
          </w:p>
        </w:tc>
      </w:tr>
      <w:tr w:rsidR="00B9099D" w:rsidRPr="001F29F9" w:rsidTr="003C25EB">
        <w:trPr>
          <w:trHeight w:val="106"/>
          <w:jc w:val="center"/>
        </w:trPr>
        <w:tc>
          <w:tcPr>
            <w:tcW w:w="2178" w:type="dxa"/>
            <w:tcBorders>
              <w:right w:val="single" w:sz="4" w:space="0" w:color="auto"/>
            </w:tcBorders>
            <w:shd w:val="clear" w:color="auto" w:fill="FFFFFF" w:themeFill="background1"/>
            <w:vAlign w:val="center"/>
          </w:tcPr>
          <w:p w:rsidR="00B9099D" w:rsidRPr="001F29F9" w:rsidRDefault="00B9099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Low Back Pain</w:t>
            </w:r>
            <w:r w:rsidR="002D73FD">
              <w:rPr>
                <w:rFonts w:ascii="Calibri" w:eastAsia="Times New Roman" w:hAnsi="Calibri" w:cs="Calibri"/>
                <w:color w:val="000000" w:themeColor="text1"/>
                <w:sz w:val="18"/>
                <w:szCs w:val="18"/>
              </w:rPr>
              <w:t xml:space="preserve"> (LBP)</w:t>
            </w:r>
          </w:p>
        </w:tc>
        <w:tc>
          <w:tcPr>
            <w:tcW w:w="1980" w:type="dxa"/>
            <w:gridSpan w:val="2"/>
            <w:tcBorders>
              <w:left w:val="single" w:sz="4" w:space="0" w:color="auto"/>
              <w:right w:val="thinThickThinSmallGap" w:sz="24" w:space="0" w:color="auto"/>
            </w:tcBorders>
            <w:shd w:val="clear" w:color="auto" w:fill="FFFFFF" w:themeFill="background1"/>
            <w:vAlign w:val="center"/>
          </w:tcPr>
          <w:p w:rsidR="00B9099D" w:rsidRPr="001F29F9" w:rsidRDefault="00B9099D">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B9099D" w:rsidRPr="001F29F9" w:rsidRDefault="00052A7C">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Lumbar </w:t>
            </w:r>
            <w:proofErr w:type="spellStart"/>
            <w:r>
              <w:rPr>
                <w:rFonts w:ascii="Calibri" w:eastAsia="Times New Roman" w:hAnsi="Calibri" w:cs="Calibri"/>
                <w:color w:val="000000" w:themeColor="text1"/>
                <w:sz w:val="18"/>
                <w:szCs w:val="18"/>
              </w:rPr>
              <w:t>Myofascial</w:t>
            </w:r>
            <w:proofErr w:type="spellEnd"/>
            <w:r>
              <w:rPr>
                <w:rFonts w:ascii="Calibri" w:eastAsia="Times New Roman" w:hAnsi="Calibri" w:cs="Calibri"/>
                <w:color w:val="000000" w:themeColor="text1"/>
                <w:sz w:val="18"/>
                <w:szCs w:val="18"/>
              </w:rPr>
              <w:t xml:space="preserve"> Strain</w:t>
            </w:r>
          </w:p>
        </w:tc>
        <w:tc>
          <w:tcPr>
            <w:tcW w:w="1080" w:type="dxa"/>
            <w:tcBorders>
              <w:left w:val="single" w:sz="4" w:space="0" w:color="auto"/>
            </w:tcBorders>
            <w:shd w:val="clear" w:color="auto" w:fill="FFFFFF" w:themeFill="background1"/>
            <w:vAlign w:val="center"/>
          </w:tcPr>
          <w:p w:rsidR="00B9099D" w:rsidRPr="001F29F9" w:rsidRDefault="00052A7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5237</w:t>
            </w:r>
          </w:p>
        </w:tc>
        <w:tc>
          <w:tcPr>
            <w:tcW w:w="828" w:type="dxa"/>
            <w:shd w:val="clear" w:color="auto" w:fill="FFFFFF" w:themeFill="background1"/>
            <w:vAlign w:val="center"/>
          </w:tcPr>
          <w:p w:rsidR="00B9099D" w:rsidRPr="001F29F9" w:rsidRDefault="00052A7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9099D" w:rsidRPr="00861E00" w:rsidRDefault="00963DB5">
            <w:pPr>
              <w:spacing w:line="180" w:lineRule="exact"/>
              <w:contextualSpacing/>
              <w:rPr>
                <w:rFonts w:ascii="Calibri" w:eastAsia="Times New Roman" w:hAnsi="Calibri" w:cs="Calibri"/>
                <w:color w:val="000000" w:themeColor="text1"/>
                <w:sz w:val="18"/>
                <w:szCs w:val="18"/>
              </w:rPr>
            </w:pPr>
            <w:r w:rsidRPr="00861E00">
              <w:rPr>
                <w:rFonts w:ascii="Calibri" w:eastAsia="Times New Roman" w:hAnsi="Calibri" w:cs="Calibri"/>
                <w:color w:val="000000" w:themeColor="text1"/>
                <w:sz w:val="18"/>
                <w:szCs w:val="18"/>
              </w:rPr>
              <w:t>20040220</w:t>
            </w:r>
          </w:p>
        </w:tc>
      </w:tr>
      <w:tr w:rsidR="00B9099D" w:rsidRPr="001F29F9" w:rsidTr="003C25EB">
        <w:trPr>
          <w:trHeight w:val="97"/>
          <w:jc w:val="center"/>
        </w:trPr>
        <w:tc>
          <w:tcPr>
            <w:tcW w:w="2178" w:type="dxa"/>
            <w:tcBorders>
              <w:right w:val="single" w:sz="4" w:space="0" w:color="auto"/>
            </w:tcBorders>
            <w:shd w:val="clear" w:color="auto" w:fill="FFFFFF" w:themeFill="background1"/>
            <w:vAlign w:val="center"/>
          </w:tcPr>
          <w:p w:rsidR="00B9099D" w:rsidRPr="001F29F9" w:rsidRDefault="00B9099D" w:rsidP="002D73F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w:t>
            </w:r>
            <w:r w:rsidR="002D73FD">
              <w:rPr>
                <w:rFonts w:ascii="Calibri" w:eastAsia="Times New Roman" w:hAnsi="Calibri" w:cs="Calibri"/>
                <w:color w:val="000000" w:themeColor="text1"/>
                <w:sz w:val="18"/>
                <w:szCs w:val="18"/>
              </w:rPr>
              <w:t>ight</w:t>
            </w:r>
            <w:r>
              <w:rPr>
                <w:rFonts w:ascii="Calibri" w:eastAsia="Times New Roman" w:hAnsi="Calibri" w:cs="Calibri"/>
                <w:color w:val="000000" w:themeColor="text1"/>
                <w:sz w:val="18"/>
                <w:szCs w:val="18"/>
              </w:rPr>
              <w:t xml:space="preserve"> Ankle Stiffness </w:t>
            </w:r>
          </w:p>
        </w:tc>
        <w:tc>
          <w:tcPr>
            <w:tcW w:w="1980" w:type="dxa"/>
            <w:gridSpan w:val="2"/>
            <w:tcBorders>
              <w:left w:val="single" w:sz="4" w:space="0" w:color="auto"/>
              <w:right w:val="thinThickThinSmallGap" w:sz="24" w:space="0" w:color="auto"/>
            </w:tcBorders>
            <w:shd w:val="clear" w:color="auto" w:fill="FFFFFF" w:themeFill="background1"/>
            <w:vAlign w:val="center"/>
          </w:tcPr>
          <w:p w:rsidR="00B9099D" w:rsidRPr="001F29F9" w:rsidRDefault="00B9099D">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B9099D" w:rsidRPr="001F29F9" w:rsidRDefault="00052A7C">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Distal Fibula Fracture</w:t>
            </w:r>
          </w:p>
        </w:tc>
        <w:tc>
          <w:tcPr>
            <w:tcW w:w="1080" w:type="dxa"/>
            <w:tcBorders>
              <w:left w:val="single" w:sz="4" w:space="0" w:color="auto"/>
            </w:tcBorders>
            <w:shd w:val="clear" w:color="auto" w:fill="FFFFFF" w:themeFill="background1"/>
            <w:vAlign w:val="center"/>
          </w:tcPr>
          <w:p w:rsidR="00B9099D" w:rsidRPr="001F29F9" w:rsidRDefault="00052A7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5271</w:t>
            </w:r>
          </w:p>
        </w:tc>
        <w:tc>
          <w:tcPr>
            <w:tcW w:w="828" w:type="dxa"/>
            <w:shd w:val="clear" w:color="auto" w:fill="FFFFFF" w:themeFill="background1"/>
            <w:vAlign w:val="center"/>
          </w:tcPr>
          <w:p w:rsidR="00B9099D" w:rsidRPr="001F29F9" w:rsidRDefault="00052A7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w:t>
            </w:r>
          </w:p>
        </w:tc>
        <w:tc>
          <w:tcPr>
            <w:tcW w:w="990" w:type="dxa"/>
            <w:shd w:val="clear" w:color="auto" w:fill="FFFFFF" w:themeFill="background1"/>
            <w:vAlign w:val="center"/>
          </w:tcPr>
          <w:p w:rsidR="00B9099D" w:rsidRPr="00861E00" w:rsidRDefault="00963DB5">
            <w:pPr>
              <w:spacing w:line="180" w:lineRule="exact"/>
              <w:contextualSpacing/>
              <w:rPr>
                <w:rFonts w:ascii="Calibri" w:eastAsia="Times New Roman" w:hAnsi="Calibri" w:cs="Calibri"/>
                <w:color w:val="000000" w:themeColor="text1"/>
                <w:sz w:val="18"/>
                <w:szCs w:val="18"/>
              </w:rPr>
            </w:pPr>
            <w:r w:rsidRPr="00861E00">
              <w:rPr>
                <w:rFonts w:ascii="Calibri" w:eastAsia="Times New Roman" w:hAnsi="Calibri" w:cs="Calibri"/>
                <w:color w:val="000000" w:themeColor="text1"/>
                <w:sz w:val="18"/>
                <w:szCs w:val="18"/>
              </w:rPr>
              <w:t>20040220</w:t>
            </w:r>
          </w:p>
        </w:tc>
      </w:tr>
      <w:tr w:rsidR="00052A7C" w:rsidRPr="001F29F9" w:rsidTr="00052A7C">
        <w:trPr>
          <w:trHeight w:val="178"/>
          <w:jc w:val="center"/>
        </w:trPr>
        <w:tc>
          <w:tcPr>
            <w:tcW w:w="4158" w:type="dxa"/>
            <w:gridSpan w:val="3"/>
            <w:tcBorders>
              <w:bottom w:val="nil"/>
              <w:right w:val="thinThickThinSmallGap" w:sz="24" w:space="0" w:color="auto"/>
            </w:tcBorders>
            <w:shd w:val="clear" w:color="auto" w:fill="FFFFFF" w:themeFill="background1"/>
            <w:vAlign w:val="center"/>
          </w:tcPr>
          <w:p w:rsidR="00052A7C" w:rsidRPr="001F29F9" w:rsidRDefault="00052A7C">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052A7C" w:rsidRPr="001F29F9" w:rsidRDefault="00052A7C">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052A7C" w:rsidRPr="001F29F9" w:rsidRDefault="00052A7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828" w:type="dxa"/>
            <w:shd w:val="clear" w:color="auto" w:fill="FFFFFF" w:themeFill="background1"/>
            <w:vAlign w:val="center"/>
          </w:tcPr>
          <w:p w:rsidR="00052A7C" w:rsidRPr="001F29F9" w:rsidRDefault="00052A7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052A7C" w:rsidRPr="00861E00" w:rsidRDefault="00963DB5" w:rsidP="00861E00">
            <w:pPr>
              <w:spacing w:line="180" w:lineRule="exact"/>
              <w:contextualSpacing/>
              <w:rPr>
                <w:rFonts w:ascii="Calibri" w:eastAsia="Times New Roman" w:hAnsi="Calibri" w:cs="Calibri"/>
                <w:color w:val="000000" w:themeColor="text1"/>
                <w:sz w:val="18"/>
                <w:szCs w:val="18"/>
              </w:rPr>
            </w:pPr>
            <w:r w:rsidRPr="00861E00">
              <w:rPr>
                <w:rFonts w:ascii="Calibri" w:eastAsia="Times New Roman" w:hAnsi="Calibri" w:cs="Calibri"/>
                <w:color w:val="000000" w:themeColor="text1"/>
                <w:sz w:val="18"/>
                <w:szCs w:val="18"/>
              </w:rPr>
              <w:t>20040301</w:t>
            </w:r>
          </w:p>
        </w:tc>
      </w:tr>
      <w:tr w:rsidR="00052A7C" w:rsidRPr="001F29F9" w:rsidTr="003C25EB">
        <w:trPr>
          <w:trHeight w:val="142"/>
          <w:jc w:val="center"/>
        </w:trPr>
        <w:tc>
          <w:tcPr>
            <w:tcW w:w="4158" w:type="dxa"/>
            <w:gridSpan w:val="3"/>
            <w:tcBorders>
              <w:top w:val="nil"/>
              <w:right w:val="thinThickThinSmallGap" w:sz="24" w:space="0" w:color="auto"/>
            </w:tcBorders>
            <w:shd w:val="clear" w:color="auto" w:fill="FFFFFF" w:themeFill="background1"/>
            <w:vAlign w:val="center"/>
          </w:tcPr>
          <w:p w:rsidR="00052A7C" w:rsidRPr="001F29F9" w:rsidRDefault="00052A7C">
            <w:pPr>
              <w:spacing w:line="18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052A7C" w:rsidRPr="001F29F9" w:rsidRDefault="00052A7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00D2721C">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w:t>
            </w:r>
            <w:r w:rsidR="00D2721C">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1</w:t>
            </w:r>
          </w:p>
        </w:tc>
        <w:tc>
          <w:tcPr>
            <w:tcW w:w="990" w:type="dxa"/>
            <w:shd w:val="clear" w:color="auto" w:fill="FFFFFF" w:themeFill="background1"/>
            <w:vAlign w:val="center"/>
          </w:tcPr>
          <w:p w:rsidR="00052A7C" w:rsidRPr="00861E00" w:rsidRDefault="00861E00">
            <w:pPr>
              <w:spacing w:line="180" w:lineRule="exact"/>
              <w:contextualSpacing/>
              <w:rPr>
                <w:rFonts w:ascii="Calibri" w:eastAsia="Times New Roman" w:hAnsi="Calibri" w:cs="Calibri"/>
                <w:color w:val="000000" w:themeColor="text1"/>
                <w:sz w:val="18"/>
                <w:szCs w:val="18"/>
              </w:rPr>
            </w:pPr>
            <w:r w:rsidRPr="00861E00">
              <w:rPr>
                <w:rFonts w:ascii="Calibri" w:eastAsia="Times New Roman" w:hAnsi="Calibri" w:cs="Calibri"/>
                <w:color w:val="000000" w:themeColor="text1"/>
                <w:sz w:val="18"/>
                <w:szCs w:val="18"/>
              </w:rPr>
              <w:t>20040220</w:t>
            </w:r>
          </w:p>
        </w:tc>
      </w:tr>
      <w:tr w:rsidR="007A65A9" w:rsidRPr="001F29F9" w:rsidTr="003C53E8">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052A7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052A7C">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052A7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052A7C">
              <w:rPr>
                <w:rFonts w:ascii="Calibri" w:hAnsi="Calibri" w:cs="Calibri"/>
                <w:b/>
                <w:color w:val="000000" w:themeColor="text1"/>
                <w:sz w:val="18"/>
                <w:szCs w:val="18"/>
              </w:rPr>
              <w:t>4</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Default="00A97CD9" w:rsidP="00F33C8F">
      <w:pPr>
        <w:pBdr>
          <w:bottom w:val="single" w:sz="12" w:space="2" w:color="auto"/>
        </w:pBdr>
        <w:tabs>
          <w:tab w:val="left" w:pos="288"/>
          <w:tab w:val="left" w:pos="4752"/>
        </w:tabs>
        <w:jc w:val="both"/>
        <w:rPr>
          <w:color w:val="000000" w:themeColor="text1"/>
          <w:szCs w:val="24"/>
        </w:rPr>
      </w:pPr>
    </w:p>
    <w:p w:rsidR="00861E00" w:rsidRDefault="00861E00" w:rsidP="00F33C8F">
      <w:pPr>
        <w:jc w:val="left"/>
        <w:rPr>
          <w:b/>
          <w:color w:val="000000" w:themeColor="text1"/>
          <w:u w:val="single"/>
        </w:rPr>
      </w:pPr>
    </w:p>
    <w:p w:rsidR="00054ED4" w:rsidRDefault="002C6E5B" w:rsidP="00D2721C">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34122F">
        <w:rPr>
          <w:color w:val="000000" w:themeColor="text1"/>
          <w:szCs w:val="24"/>
        </w:rPr>
        <w:t xml:space="preserve">  </w:t>
      </w:r>
      <w:r w:rsidR="00B505E9">
        <w:rPr>
          <w:color w:val="000000" w:themeColor="text1"/>
          <w:szCs w:val="24"/>
        </w:rPr>
        <w:t xml:space="preserve">  </w:t>
      </w:r>
      <w:r w:rsidR="0034122F" w:rsidRPr="0034122F">
        <w:rPr>
          <w:color w:val="000000" w:themeColor="text1"/>
          <w:szCs w:val="24"/>
        </w:rPr>
        <w:t xml:space="preserve">The Board acknowledges the CI’s contention that service ratings should have been conferred for other conditions. The Board is subject to the same laws for service disability entitlements as those under which the Disability Evaluation System (DES) operates. </w:t>
      </w:r>
      <w:r w:rsidR="0034122F">
        <w:rPr>
          <w:color w:val="000000" w:themeColor="text1"/>
          <w:szCs w:val="24"/>
        </w:rPr>
        <w:t xml:space="preserve"> </w:t>
      </w:r>
      <w:r w:rsidR="0034122F" w:rsidRPr="0034122F">
        <w:rPr>
          <w:color w:val="000000" w:themeColor="text1"/>
          <w:szCs w:val="24"/>
        </w:rPr>
        <w:t xml:space="preserve">While the DES considers all of the </w:t>
      </w:r>
      <w:r w:rsidR="00F12D4A">
        <w:rPr>
          <w:color w:val="000000" w:themeColor="text1"/>
          <w:szCs w:val="24"/>
        </w:rPr>
        <w:t>CI</w:t>
      </w:r>
      <w:r w:rsidR="0034122F" w:rsidRPr="0034122F">
        <w:rPr>
          <w:color w:val="000000" w:themeColor="text1"/>
          <w:szCs w:val="24"/>
        </w:rPr>
        <w:t xml:space="preserve">'s medical conditions, compensation can only be offered for </w:t>
      </w:r>
      <w:r w:rsidR="0034122F" w:rsidRPr="0034122F">
        <w:rPr>
          <w:color w:val="000000" w:themeColor="text1"/>
          <w:szCs w:val="24"/>
        </w:rPr>
        <w:lastRenderedPageBreak/>
        <w:t xml:space="preserve">those medical conditions that cut short a service member’s career, and then only to the degree of severity present at the time of </w:t>
      </w:r>
      <w:r w:rsidR="002708A3">
        <w:rPr>
          <w:color w:val="000000" w:themeColor="text1"/>
          <w:szCs w:val="24"/>
        </w:rPr>
        <w:t>separation</w:t>
      </w:r>
      <w:r w:rsidR="0034122F" w:rsidRPr="0034122F">
        <w:rPr>
          <w:color w:val="000000" w:themeColor="text1"/>
          <w:szCs w:val="24"/>
        </w:rPr>
        <w:t xml:space="preserve">. </w:t>
      </w:r>
      <w:r w:rsidR="0034122F">
        <w:rPr>
          <w:color w:val="000000" w:themeColor="text1"/>
          <w:szCs w:val="24"/>
        </w:rPr>
        <w:t xml:space="preserve"> </w:t>
      </w:r>
      <w:r w:rsidR="0034122F" w:rsidRPr="0034122F">
        <w:rPr>
          <w:color w:val="000000" w:themeColor="text1"/>
          <w:szCs w:val="24"/>
        </w:rPr>
        <w:t xml:space="preserve">However the </w:t>
      </w:r>
      <w:r w:rsidR="009A5344">
        <w:rPr>
          <w:color w:val="000000" w:themeColor="text1"/>
          <w:szCs w:val="24"/>
        </w:rPr>
        <w:t xml:space="preserve">Department of </w:t>
      </w:r>
      <w:r w:rsidR="0034122F" w:rsidRPr="0034122F">
        <w:rPr>
          <w:color w:val="000000" w:themeColor="text1"/>
          <w:szCs w:val="24"/>
        </w:rPr>
        <w:t>Veteran</w:t>
      </w:r>
      <w:r w:rsidR="00F12D4A">
        <w:rPr>
          <w:color w:val="000000" w:themeColor="text1"/>
          <w:szCs w:val="24"/>
        </w:rPr>
        <w:t>s’ A</w:t>
      </w:r>
      <w:r w:rsidR="009A5344">
        <w:rPr>
          <w:color w:val="000000" w:themeColor="text1"/>
          <w:szCs w:val="24"/>
        </w:rPr>
        <w:t>ffairs</w:t>
      </w:r>
      <w:r w:rsidR="00F12D4A">
        <w:rPr>
          <w:color w:val="000000" w:themeColor="text1"/>
          <w:szCs w:val="24"/>
        </w:rPr>
        <w:t xml:space="preserve"> (</w:t>
      </w:r>
      <w:r w:rsidR="009A5344">
        <w:rPr>
          <w:color w:val="000000" w:themeColor="text1"/>
          <w:szCs w:val="24"/>
        </w:rPr>
        <w:t>D</w:t>
      </w:r>
      <w:r w:rsidR="00F12D4A">
        <w:rPr>
          <w:color w:val="000000" w:themeColor="text1"/>
          <w:szCs w:val="24"/>
        </w:rPr>
        <w:t xml:space="preserve">VA) </w:t>
      </w:r>
      <w:r w:rsidR="0034122F" w:rsidRPr="0034122F">
        <w:rPr>
          <w:color w:val="000000" w:themeColor="text1"/>
          <w:szCs w:val="24"/>
        </w:rPr>
        <w:t>is empo</w:t>
      </w:r>
      <w:r w:rsidR="009A5344">
        <w:rPr>
          <w:color w:val="000000" w:themeColor="text1"/>
          <w:szCs w:val="24"/>
        </w:rPr>
        <w:t>wered to compensate all service-</w:t>
      </w:r>
      <w:r w:rsidR="0034122F" w:rsidRPr="0034122F">
        <w:rPr>
          <w:color w:val="000000" w:themeColor="text1"/>
          <w:szCs w:val="24"/>
        </w:rPr>
        <w:t xml:space="preserve">connected conditions and to periodically reevaluate said conditions for the purpose of adjusting the </w:t>
      </w:r>
      <w:r w:rsidR="00210494">
        <w:rPr>
          <w:color w:val="000000" w:themeColor="text1"/>
          <w:szCs w:val="24"/>
        </w:rPr>
        <w:t>V</w:t>
      </w:r>
      <w:r w:rsidR="0034122F" w:rsidRPr="0034122F">
        <w:rPr>
          <w:color w:val="000000" w:themeColor="text1"/>
          <w:szCs w:val="24"/>
        </w:rPr>
        <w:t>eteran’s disability rating should</w:t>
      </w:r>
      <w:r w:rsidR="00210494">
        <w:rPr>
          <w:color w:val="000000" w:themeColor="text1"/>
          <w:szCs w:val="24"/>
        </w:rPr>
        <w:t xml:space="preserve"> the</w:t>
      </w:r>
      <w:r w:rsidR="0034122F" w:rsidRPr="0034122F">
        <w:rPr>
          <w:color w:val="000000" w:themeColor="text1"/>
          <w:szCs w:val="24"/>
        </w:rPr>
        <w:t xml:space="preserve"> degree of impairment vary over time.</w:t>
      </w:r>
    </w:p>
    <w:p w:rsidR="00054ED4" w:rsidRDefault="00054ED4" w:rsidP="00BF0E94">
      <w:pPr>
        <w:jc w:val="left"/>
        <w:rPr>
          <w:color w:val="000000" w:themeColor="text1"/>
          <w:szCs w:val="24"/>
        </w:rPr>
      </w:pPr>
    </w:p>
    <w:p w:rsidR="003C53E8" w:rsidRPr="00C42CF6" w:rsidRDefault="00B21C05" w:rsidP="00C42CF6">
      <w:pPr>
        <w:jc w:val="both"/>
        <w:rPr>
          <w:color w:val="auto"/>
          <w:szCs w:val="24"/>
        </w:rPr>
      </w:pPr>
      <w:proofErr w:type="gramStart"/>
      <w:r w:rsidRPr="00B21C05">
        <w:rPr>
          <w:color w:val="000000" w:themeColor="text1"/>
          <w:szCs w:val="24"/>
          <w:u w:val="single"/>
        </w:rPr>
        <w:t>Right Knee</w:t>
      </w:r>
      <w:r w:rsidR="003C54B1">
        <w:rPr>
          <w:color w:val="000000" w:themeColor="text1"/>
          <w:szCs w:val="24"/>
          <w:u w:val="single"/>
        </w:rPr>
        <w:t xml:space="preserve"> </w:t>
      </w:r>
      <w:r w:rsidR="003F2EEE" w:rsidRPr="003C54B1">
        <w:rPr>
          <w:color w:val="000000" w:themeColor="text1"/>
          <w:szCs w:val="24"/>
          <w:u w:val="single"/>
        </w:rPr>
        <w:t>Condition</w:t>
      </w:r>
      <w:r w:rsidR="00221490">
        <w:rPr>
          <w:color w:val="000000" w:themeColor="text1"/>
          <w:szCs w:val="24"/>
        </w:rPr>
        <w:t>.</w:t>
      </w:r>
      <w:proofErr w:type="gramEnd"/>
      <w:r w:rsidR="00221490">
        <w:rPr>
          <w:color w:val="000000" w:themeColor="text1"/>
          <w:szCs w:val="24"/>
        </w:rPr>
        <w:t xml:space="preserve">  In November 2002, the CI injured his right knee in a </w:t>
      </w:r>
      <w:r w:rsidR="00221490">
        <w:rPr>
          <w:color w:val="auto"/>
          <w:szCs w:val="24"/>
        </w:rPr>
        <w:t xml:space="preserve">motorcycle accident.  He had surgical repair of his </w:t>
      </w:r>
      <w:r w:rsidR="00B1148C">
        <w:rPr>
          <w:color w:val="auto"/>
          <w:szCs w:val="24"/>
        </w:rPr>
        <w:t xml:space="preserve">knee </w:t>
      </w:r>
      <w:r w:rsidR="00221490">
        <w:rPr>
          <w:color w:val="auto"/>
          <w:szCs w:val="24"/>
        </w:rPr>
        <w:t>injury, followed by extensive rehabilitation.</w:t>
      </w:r>
      <w:r w:rsidR="00B1148C">
        <w:rPr>
          <w:color w:val="auto"/>
          <w:szCs w:val="24"/>
        </w:rPr>
        <w:t xml:space="preserve">  </w:t>
      </w:r>
      <w:r w:rsidR="00E24761">
        <w:rPr>
          <w:color w:val="auto"/>
          <w:szCs w:val="24"/>
        </w:rPr>
        <w:t>In May 2003, a second surgical procedure was performed on the right knee</w:t>
      </w:r>
      <w:r w:rsidR="002708A3">
        <w:rPr>
          <w:color w:val="auto"/>
          <w:szCs w:val="24"/>
        </w:rPr>
        <w:t xml:space="preserve">; which included </w:t>
      </w:r>
      <w:proofErr w:type="spellStart"/>
      <w:r w:rsidR="002708A3">
        <w:rPr>
          <w:color w:val="auto"/>
          <w:szCs w:val="24"/>
        </w:rPr>
        <w:t>lysis</w:t>
      </w:r>
      <w:proofErr w:type="spellEnd"/>
      <w:r w:rsidR="002708A3">
        <w:rPr>
          <w:color w:val="auto"/>
          <w:szCs w:val="24"/>
        </w:rPr>
        <w:t xml:space="preserve"> of adhesions, partial lateral </w:t>
      </w:r>
      <w:proofErr w:type="spellStart"/>
      <w:r w:rsidR="002708A3">
        <w:rPr>
          <w:color w:val="auto"/>
          <w:szCs w:val="24"/>
        </w:rPr>
        <w:t>meniscectomy</w:t>
      </w:r>
      <w:proofErr w:type="spellEnd"/>
      <w:r w:rsidR="002708A3">
        <w:rPr>
          <w:color w:val="auto"/>
          <w:szCs w:val="24"/>
        </w:rPr>
        <w:t xml:space="preserve">, and a mini-open lateral release.  </w:t>
      </w:r>
      <w:r w:rsidR="00B1148C">
        <w:rPr>
          <w:color w:val="auto"/>
          <w:szCs w:val="24"/>
        </w:rPr>
        <w:t>However, in spite of treatment, his right knee problems persisted and an MEB was initiated.  At his</w:t>
      </w:r>
      <w:r w:rsidR="002D73FD">
        <w:rPr>
          <w:color w:val="auto"/>
          <w:szCs w:val="24"/>
        </w:rPr>
        <w:t xml:space="preserve"> September 2003 Orthopedic visit, </w:t>
      </w:r>
      <w:r w:rsidR="00795BFB">
        <w:rPr>
          <w:color w:val="auto"/>
          <w:szCs w:val="24"/>
        </w:rPr>
        <w:t>he had full muscle strength of the distal extremities</w:t>
      </w:r>
      <w:r w:rsidR="00C42CF6">
        <w:rPr>
          <w:color w:val="auto"/>
          <w:szCs w:val="24"/>
        </w:rPr>
        <w:t xml:space="preserve">, and </w:t>
      </w:r>
      <w:r w:rsidR="00795BFB">
        <w:rPr>
          <w:color w:val="auto"/>
          <w:szCs w:val="24"/>
        </w:rPr>
        <w:t>significant tightness at the retinaculum of the patella</w:t>
      </w:r>
      <w:r w:rsidR="00C42CF6">
        <w:rPr>
          <w:color w:val="auto"/>
          <w:szCs w:val="24"/>
        </w:rPr>
        <w:t xml:space="preserve">.  Six weeks later, at his November 2003 MEB exam, there was joint warmth </w:t>
      </w:r>
      <w:r w:rsidR="00E24761">
        <w:rPr>
          <w:color w:val="auto"/>
          <w:szCs w:val="24"/>
        </w:rPr>
        <w:t>and</w:t>
      </w:r>
      <w:r w:rsidR="00C42CF6">
        <w:rPr>
          <w:color w:val="auto"/>
          <w:szCs w:val="24"/>
        </w:rPr>
        <w:t xml:space="preserve"> tenderness to palpation (TTP).  </w:t>
      </w:r>
      <w:proofErr w:type="spellStart"/>
      <w:r w:rsidR="00E41E11">
        <w:rPr>
          <w:rFonts w:asciiTheme="minorHAnsi" w:hAnsiTheme="minorHAnsi" w:cs="Times New Roman"/>
          <w:color w:val="auto"/>
          <w:szCs w:val="24"/>
        </w:rPr>
        <w:t>Lachman’s</w:t>
      </w:r>
      <w:proofErr w:type="spellEnd"/>
      <w:r w:rsidR="00E41E11">
        <w:rPr>
          <w:rFonts w:asciiTheme="minorHAnsi" w:hAnsiTheme="minorHAnsi" w:cs="Times New Roman"/>
          <w:color w:val="auto"/>
          <w:szCs w:val="24"/>
        </w:rPr>
        <w:t xml:space="preserve"> test was negative. </w:t>
      </w:r>
      <w:r w:rsidR="00E41E11">
        <w:rPr>
          <w:color w:val="auto"/>
          <w:szCs w:val="24"/>
        </w:rPr>
        <w:t xml:space="preserve"> </w:t>
      </w:r>
      <w:r w:rsidR="00C42CF6">
        <w:rPr>
          <w:color w:val="auto"/>
          <w:szCs w:val="24"/>
        </w:rPr>
        <w:t xml:space="preserve">In February 2004, he had a VA </w:t>
      </w:r>
      <w:r w:rsidR="00210494">
        <w:rPr>
          <w:color w:val="auto"/>
          <w:szCs w:val="24"/>
        </w:rPr>
        <w:t>C</w:t>
      </w:r>
      <w:r w:rsidR="00C42CF6">
        <w:rPr>
          <w:color w:val="auto"/>
          <w:szCs w:val="24"/>
        </w:rPr>
        <w:t xml:space="preserve">ompensation and </w:t>
      </w:r>
      <w:r w:rsidR="00210494">
        <w:rPr>
          <w:color w:val="auto"/>
          <w:szCs w:val="24"/>
        </w:rPr>
        <w:t>P</w:t>
      </w:r>
      <w:r w:rsidR="00C42CF6">
        <w:rPr>
          <w:color w:val="auto"/>
          <w:szCs w:val="24"/>
        </w:rPr>
        <w:t xml:space="preserve">ension (C&amp;P) exam.  </w:t>
      </w:r>
      <w:r w:rsidR="00923DBA">
        <w:rPr>
          <w:color w:val="auto"/>
          <w:szCs w:val="24"/>
        </w:rPr>
        <w:t xml:space="preserve">At that time, he was limping and wearing a right knee brace.  </w:t>
      </w:r>
      <w:r w:rsidR="00223E2D">
        <w:rPr>
          <w:color w:val="auto"/>
          <w:szCs w:val="24"/>
        </w:rPr>
        <w:t>T</w:t>
      </w:r>
      <w:r w:rsidR="00C42CF6">
        <w:rPr>
          <w:color w:val="auto"/>
          <w:szCs w:val="24"/>
        </w:rPr>
        <w:t>he examiner noted painful motion of the right knee</w:t>
      </w:r>
      <w:r w:rsidR="00E24761">
        <w:rPr>
          <w:color w:val="auto"/>
          <w:szCs w:val="24"/>
        </w:rPr>
        <w:t>.  The</w:t>
      </w:r>
      <w:r w:rsidR="00210494">
        <w:rPr>
          <w:color w:val="auto"/>
          <w:szCs w:val="24"/>
        </w:rPr>
        <w:t xml:space="preserve"> range-of-</w:t>
      </w:r>
      <w:r w:rsidR="00C42CF6">
        <w:rPr>
          <w:color w:val="auto"/>
          <w:szCs w:val="24"/>
        </w:rPr>
        <w:t xml:space="preserve">motion (ROM) </w:t>
      </w:r>
      <w:r w:rsidR="00223E2D">
        <w:rPr>
          <w:color w:val="auto"/>
          <w:szCs w:val="24"/>
        </w:rPr>
        <w:t xml:space="preserve">was better, but </w:t>
      </w:r>
      <w:r w:rsidR="00C42CF6">
        <w:rPr>
          <w:color w:val="auto"/>
          <w:szCs w:val="24"/>
        </w:rPr>
        <w:t xml:space="preserve">became more restricted with repetition.  The ROM from </w:t>
      </w:r>
      <w:r w:rsidR="00D2721C">
        <w:rPr>
          <w:color w:val="auto"/>
          <w:szCs w:val="24"/>
        </w:rPr>
        <w:t xml:space="preserve">these </w:t>
      </w:r>
      <w:r w:rsidR="00C42CF6">
        <w:rPr>
          <w:color w:val="auto"/>
          <w:szCs w:val="24"/>
        </w:rPr>
        <w:t xml:space="preserve">three </w:t>
      </w:r>
      <w:r w:rsidR="00D2721C">
        <w:rPr>
          <w:color w:val="auto"/>
          <w:szCs w:val="24"/>
        </w:rPr>
        <w:t xml:space="preserve">knee </w:t>
      </w:r>
      <w:r w:rsidR="00C42CF6">
        <w:rPr>
          <w:color w:val="auto"/>
          <w:szCs w:val="24"/>
        </w:rPr>
        <w:t>exams is summarized below.</w:t>
      </w:r>
    </w:p>
    <w:p w:rsidR="003C54B1" w:rsidRPr="003C54B1" w:rsidRDefault="003C54B1" w:rsidP="003C54B1">
      <w:pPr>
        <w:rPr>
          <w:rFonts w:eastAsiaTheme="minorHAnsi"/>
          <w:b/>
          <w:color w:val="000000" w:themeColor="text1"/>
          <w:szCs w:val="18"/>
        </w:rPr>
      </w:pPr>
    </w:p>
    <w:tbl>
      <w:tblPr>
        <w:tblpPr w:leftFromText="180" w:rightFromText="180" w:vertAnchor="text" w:tblpXSpec="center" w:tblpY="1"/>
        <w:tblOverlap w:val="neve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086"/>
        <w:gridCol w:w="1982"/>
        <w:gridCol w:w="2250"/>
      </w:tblGrid>
      <w:tr w:rsidR="002C6C87" w:rsidRPr="003C54B1" w:rsidTr="006949DB">
        <w:tc>
          <w:tcPr>
            <w:tcW w:w="2070" w:type="dxa"/>
            <w:shd w:val="clear" w:color="auto" w:fill="D9D9D9" w:themeFill="background1" w:themeFillShade="D9"/>
            <w:vAlign w:val="center"/>
          </w:tcPr>
          <w:p w:rsidR="002C6C87" w:rsidRPr="00795BFB" w:rsidRDefault="002C6C87" w:rsidP="003C25EB">
            <w:pPr>
              <w:contextualSpacing/>
              <w:rPr>
                <w:rFonts w:eastAsia="Calibri"/>
                <w:color w:val="000000" w:themeColor="text1"/>
                <w:sz w:val="18"/>
                <w:szCs w:val="18"/>
              </w:rPr>
            </w:pPr>
            <w:r w:rsidRPr="00795BFB">
              <w:rPr>
                <w:rFonts w:eastAsia="Calibri"/>
                <w:color w:val="000000" w:themeColor="text1"/>
                <w:sz w:val="18"/>
                <w:szCs w:val="18"/>
              </w:rPr>
              <w:t>Goniometric ROM –</w:t>
            </w:r>
          </w:p>
          <w:p w:rsidR="002C6C87" w:rsidRPr="00795BFB" w:rsidRDefault="002C6C87" w:rsidP="003C25EB">
            <w:pPr>
              <w:contextualSpacing/>
              <w:rPr>
                <w:rFonts w:eastAsia="Calibri"/>
                <w:color w:val="000000" w:themeColor="text1"/>
                <w:sz w:val="18"/>
                <w:szCs w:val="18"/>
              </w:rPr>
            </w:pPr>
            <w:r w:rsidRPr="00795BFB">
              <w:rPr>
                <w:rFonts w:eastAsia="Calibri"/>
                <w:color w:val="000000" w:themeColor="text1"/>
                <w:sz w:val="18"/>
                <w:szCs w:val="18"/>
              </w:rPr>
              <w:t>Right Knee</w:t>
            </w:r>
          </w:p>
        </w:tc>
        <w:tc>
          <w:tcPr>
            <w:tcW w:w="2086" w:type="dxa"/>
            <w:shd w:val="clear" w:color="auto" w:fill="D9D9D9" w:themeFill="background1" w:themeFillShade="D9"/>
          </w:tcPr>
          <w:p w:rsidR="002C6C87" w:rsidRDefault="002C6C87" w:rsidP="006949DB">
            <w:pPr>
              <w:contextualSpacing/>
              <w:rPr>
                <w:rFonts w:eastAsia="Calibri"/>
                <w:color w:val="000000" w:themeColor="text1"/>
                <w:sz w:val="18"/>
                <w:szCs w:val="18"/>
              </w:rPr>
            </w:pPr>
            <w:r>
              <w:rPr>
                <w:rFonts w:eastAsia="Calibri"/>
                <w:color w:val="000000" w:themeColor="text1"/>
                <w:sz w:val="18"/>
                <w:szCs w:val="18"/>
              </w:rPr>
              <w:t xml:space="preserve">Ortho – </w:t>
            </w:r>
            <w:r w:rsidR="00E54FF6">
              <w:rPr>
                <w:rFonts w:eastAsia="Calibri"/>
                <w:color w:val="000000" w:themeColor="text1"/>
                <w:sz w:val="18"/>
                <w:szCs w:val="18"/>
              </w:rPr>
              <w:t>23 wks</w:t>
            </w:r>
            <w:r w:rsidR="006949DB">
              <w:rPr>
                <w:rFonts w:eastAsia="Calibri"/>
                <w:color w:val="000000" w:themeColor="text1"/>
                <w:sz w:val="18"/>
                <w:szCs w:val="18"/>
              </w:rPr>
              <w:t>.</w:t>
            </w:r>
            <w:r w:rsidR="00E54FF6">
              <w:rPr>
                <w:rFonts w:eastAsia="Calibri"/>
                <w:color w:val="000000" w:themeColor="text1"/>
                <w:sz w:val="18"/>
                <w:szCs w:val="18"/>
              </w:rPr>
              <w:t xml:space="preserve"> Pre-Sep</w:t>
            </w:r>
          </w:p>
          <w:p w:rsidR="00E54FF6" w:rsidRPr="00795BFB" w:rsidRDefault="00E54FF6" w:rsidP="006949DB">
            <w:pPr>
              <w:contextualSpacing/>
              <w:rPr>
                <w:rFonts w:eastAsia="Calibri"/>
                <w:color w:val="000000" w:themeColor="text1"/>
                <w:sz w:val="18"/>
                <w:szCs w:val="18"/>
              </w:rPr>
            </w:pPr>
            <w:r>
              <w:rPr>
                <w:rFonts w:eastAsia="Calibri"/>
                <w:color w:val="000000" w:themeColor="text1"/>
                <w:sz w:val="18"/>
                <w:szCs w:val="18"/>
              </w:rPr>
              <w:t>(20030929)</w:t>
            </w:r>
          </w:p>
        </w:tc>
        <w:tc>
          <w:tcPr>
            <w:tcW w:w="1982" w:type="dxa"/>
            <w:shd w:val="clear" w:color="auto" w:fill="D9D9D9" w:themeFill="background1" w:themeFillShade="D9"/>
            <w:vAlign w:val="center"/>
          </w:tcPr>
          <w:p w:rsidR="002C6C87" w:rsidRPr="00795BFB" w:rsidRDefault="002C6C87" w:rsidP="006949DB">
            <w:pPr>
              <w:contextualSpacing/>
              <w:rPr>
                <w:rFonts w:asciiTheme="minorHAnsi" w:eastAsia="Calibri" w:hAnsiTheme="minorHAnsi"/>
                <w:color w:val="000000" w:themeColor="text1"/>
                <w:sz w:val="18"/>
                <w:szCs w:val="18"/>
              </w:rPr>
            </w:pPr>
            <w:r w:rsidRPr="00795BFB">
              <w:rPr>
                <w:rFonts w:eastAsia="Calibri"/>
                <w:color w:val="000000" w:themeColor="text1"/>
                <w:sz w:val="18"/>
                <w:szCs w:val="18"/>
              </w:rPr>
              <w:t>MEB</w:t>
            </w:r>
            <w:r w:rsidR="00E54FF6">
              <w:rPr>
                <w:rFonts w:eastAsia="Calibri"/>
                <w:color w:val="000000" w:themeColor="text1"/>
                <w:sz w:val="18"/>
                <w:szCs w:val="18"/>
              </w:rPr>
              <w:t xml:space="preserve"> – 17 wks</w:t>
            </w:r>
            <w:r w:rsidR="006949DB">
              <w:rPr>
                <w:rFonts w:eastAsia="Calibri"/>
                <w:color w:val="000000" w:themeColor="text1"/>
                <w:sz w:val="18"/>
                <w:szCs w:val="18"/>
              </w:rPr>
              <w:t>.</w:t>
            </w:r>
            <w:r w:rsidRPr="00795BFB">
              <w:rPr>
                <w:rFonts w:eastAsia="Calibri"/>
                <w:color w:val="000000" w:themeColor="text1"/>
                <w:sz w:val="18"/>
                <w:szCs w:val="18"/>
              </w:rPr>
              <w:t xml:space="preserve"> Pre-Sep</w:t>
            </w:r>
          </w:p>
          <w:p w:rsidR="002C6C87" w:rsidRPr="00795BFB" w:rsidRDefault="002C6C87" w:rsidP="006949DB">
            <w:pPr>
              <w:contextualSpacing/>
              <w:rPr>
                <w:rFonts w:eastAsia="Calibri"/>
                <w:color w:val="000000" w:themeColor="text1"/>
                <w:sz w:val="18"/>
                <w:szCs w:val="18"/>
              </w:rPr>
            </w:pPr>
            <w:r w:rsidRPr="00795BFB">
              <w:rPr>
                <w:rFonts w:asciiTheme="minorHAnsi" w:eastAsia="Calibri" w:hAnsiTheme="minorHAnsi"/>
                <w:color w:val="000000" w:themeColor="text1"/>
                <w:sz w:val="18"/>
                <w:szCs w:val="18"/>
              </w:rPr>
              <w:t>(20031</w:t>
            </w:r>
            <w:r w:rsidR="00E54FF6">
              <w:rPr>
                <w:rFonts w:asciiTheme="minorHAnsi" w:eastAsia="Calibri" w:hAnsiTheme="minorHAnsi"/>
                <w:color w:val="000000" w:themeColor="text1"/>
                <w:sz w:val="18"/>
                <w:szCs w:val="18"/>
              </w:rPr>
              <w:t>112</w:t>
            </w:r>
            <w:r w:rsidRPr="00795BFB">
              <w:rPr>
                <w:rFonts w:asciiTheme="minorHAnsi" w:eastAsia="Calibri" w:hAnsiTheme="minorHAnsi"/>
                <w:color w:val="000000" w:themeColor="text1"/>
                <w:sz w:val="18"/>
                <w:szCs w:val="18"/>
              </w:rPr>
              <w:t>)</w:t>
            </w:r>
          </w:p>
        </w:tc>
        <w:tc>
          <w:tcPr>
            <w:tcW w:w="2250" w:type="dxa"/>
            <w:shd w:val="clear" w:color="auto" w:fill="D9D9D9" w:themeFill="background1" w:themeFillShade="D9"/>
            <w:vAlign w:val="center"/>
          </w:tcPr>
          <w:p w:rsidR="002C6C87" w:rsidRPr="00795BFB" w:rsidRDefault="002C6C87" w:rsidP="003C25EB">
            <w:pPr>
              <w:contextualSpacing/>
              <w:rPr>
                <w:rFonts w:asciiTheme="minorHAnsi" w:eastAsia="Calibri" w:hAnsiTheme="minorHAnsi"/>
                <w:color w:val="000000" w:themeColor="text1"/>
                <w:sz w:val="18"/>
                <w:szCs w:val="18"/>
              </w:rPr>
            </w:pPr>
            <w:r w:rsidRPr="00795BFB">
              <w:rPr>
                <w:rFonts w:eastAsia="Calibri"/>
                <w:color w:val="000000" w:themeColor="text1"/>
                <w:sz w:val="18"/>
                <w:szCs w:val="18"/>
              </w:rPr>
              <w:t>VA</w:t>
            </w:r>
            <w:r w:rsidRPr="00795BFB">
              <w:rPr>
                <w:rFonts w:eastAsiaTheme="minorHAnsi"/>
                <w:color w:val="000000" w:themeColor="text1"/>
                <w:sz w:val="18"/>
                <w:szCs w:val="18"/>
              </w:rPr>
              <w:t xml:space="preserve"> C&amp;P</w:t>
            </w:r>
            <w:r w:rsidR="00E54FF6">
              <w:rPr>
                <w:rFonts w:eastAsiaTheme="minorHAnsi"/>
                <w:color w:val="000000" w:themeColor="text1"/>
                <w:sz w:val="18"/>
                <w:szCs w:val="18"/>
              </w:rPr>
              <w:t xml:space="preserve"> – 2½ wks</w:t>
            </w:r>
            <w:r w:rsidR="006949DB">
              <w:rPr>
                <w:rFonts w:eastAsiaTheme="minorHAnsi"/>
                <w:color w:val="000000" w:themeColor="text1"/>
                <w:sz w:val="18"/>
                <w:szCs w:val="18"/>
              </w:rPr>
              <w:t>.</w:t>
            </w:r>
            <w:r w:rsidR="00E54FF6">
              <w:rPr>
                <w:rFonts w:eastAsiaTheme="minorHAnsi"/>
                <w:color w:val="000000" w:themeColor="text1"/>
                <w:sz w:val="18"/>
                <w:szCs w:val="18"/>
              </w:rPr>
              <w:t xml:space="preserve"> </w:t>
            </w:r>
            <w:r w:rsidRPr="00795BFB">
              <w:rPr>
                <w:rFonts w:eastAsia="Calibri"/>
                <w:color w:val="000000" w:themeColor="text1"/>
                <w:sz w:val="18"/>
                <w:szCs w:val="18"/>
              </w:rPr>
              <w:t>Pre-Sep</w:t>
            </w:r>
          </w:p>
          <w:p w:rsidR="002C6C87" w:rsidRPr="00795BFB" w:rsidRDefault="002C6C87" w:rsidP="00A078A6">
            <w:pPr>
              <w:contextualSpacing/>
              <w:rPr>
                <w:rFonts w:eastAsiaTheme="minorHAnsi"/>
                <w:color w:val="000000" w:themeColor="text1"/>
                <w:sz w:val="18"/>
                <w:szCs w:val="18"/>
              </w:rPr>
            </w:pPr>
            <w:r w:rsidRPr="00795BFB">
              <w:rPr>
                <w:rFonts w:asciiTheme="minorHAnsi" w:eastAsia="Calibri" w:hAnsiTheme="minorHAnsi"/>
                <w:color w:val="000000" w:themeColor="text1"/>
                <w:sz w:val="18"/>
                <w:szCs w:val="18"/>
              </w:rPr>
              <w:t>(20040220)</w:t>
            </w:r>
          </w:p>
        </w:tc>
      </w:tr>
      <w:tr w:rsidR="002C6C87" w:rsidRPr="003C54B1" w:rsidTr="006949DB">
        <w:tc>
          <w:tcPr>
            <w:tcW w:w="2070" w:type="dxa"/>
            <w:vAlign w:val="center"/>
          </w:tcPr>
          <w:p w:rsidR="002C6C87" w:rsidRPr="00795BFB" w:rsidRDefault="002C6C87" w:rsidP="003C25EB">
            <w:pPr>
              <w:contextualSpacing/>
              <w:rPr>
                <w:rFonts w:eastAsia="Calibri"/>
                <w:color w:val="000000" w:themeColor="text1"/>
                <w:sz w:val="18"/>
                <w:szCs w:val="18"/>
              </w:rPr>
            </w:pPr>
            <w:r w:rsidRPr="00795BFB">
              <w:rPr>
                <w:rFonts w:eastAsia="Calibri"/>
                <w:color w:val="000000" w:themeColor="text1"/>
                <w:sz w:val="18"/>
                <w:szCs w:val="18"/>
              </w:rPr>
              <w:t>Flexion (140⁰ is normal)</w:t>
            </w:r>
          </w:p>
        </w:tc>
        <w:tc>
          <w:tcPr>
            <w:tcW w:w="2086" w:type="dxa"/>
          </w:tcPr>
          <w:p w:rsidR="002C6C87" w:rsidRPr="00795BFB" w:rsidRDefault="006949DB" w:rsidP="006949DB">
            <w:pPr>
              <w:contextualSpacing/>
              <w:rPr>
                <w:rFonts w:eastAsia="Calibri"/>
                <w:color w:val="000000" w:themeColor="text1"/>
                <w:sz w:val="18"/>
                <w:szCs w:val="18"/>
              </w:rPr>
            </w:pPr>
            <w:r w:rsidRPr="00795BFB">
              <w:rPr>
                <w:rFonts w:eastAsia="Calibri"/>
                <w:color w:val="000000" w:themeColor="text1"/>
                <w:sz w:val="18"/>
                <w:szCs w:val="18"/>
              </w:rPr>
              <w:t>11</w:t>
            </w:r>
            <w:r>
              <w:rPr>
                <w:rFonts w:eastAsia="Calibri"/>
                <w:color w:val="000000" w:themeColor="text1"/>
                <w:sz w:val="18"/>
                <w:szCs w:val="18"/>
              </w:rPr>
              <w:t>2</w:t>
            </w:r>
            <w:r w:rsidRPr="00795BFB">
              <w:rPr>
                <w:rFonts w:eastAsia="Calibri"/>
                <w:color w:val="000000" w:themeColor="text1"/>
                <w:sz w:val="18"/>
                <w:szCs w:val="18"/>
              </w:rPr>
              <w:t>⁰</w:t>
            </w:r>
          </w:p>
        </w:tc>
        <w:tc>
          <w:tcPr>
            <w:tcW w:w="1982" w:type="dxa"/>
            <w:vAlign w:val="center"/>
          </w:tcPr>
          <w:p w:rsidR="002C6C87" w:rsidRPr="00795BFB" w:rsidRDefault="002C6C87" w:rsidP="006949DB">
            <w:pPr>
              <w:contextualSpacing/>
              <w:rPr>
                <w:rFonts w:eastAsia="Calibri"/>
                <w:color w:val="000000" w:themeColor="text1"/>
                <w:sz w:val="18"/>
                <w:szCs w:val="18"/>
              </w:rPr>
            </w:pPr>
            <w:r w:rsidRPr="00795BFB">
              <w:rPr>
                <w:rFonts w:eastAsia="Calibri"/>
                <w:color w:val="000000" w:themeColor="text1"/>
                <w:sz w:val="18"/>
                <w:szCs w:val="18"/>
              </w:rPr>
              <w:t>110⁰</w:t>
            </w:r>
          </w:p>
        </w:tc>
        <w:tc>
          <w:tcPr>
            <w:tcW w:w="2250" w:type="dxa"/>
            <w:vMerge w:val="restart"/>
            <w:vAlign w:val="center"/>
          </w:tcPr>
          <w:p w:rsidR="002C6C87" w:rsidRDefault="006949DB" w:rsidP="00A078A6">
            <w:pPr>
              <w:contextualSpacing/>
              <w:rPr>
                <w:rFonts w:eastAsia="Calibri"/>
                <w:color w:val="000000" w:themeColor="text1"/>
                <w:sz w:val="18"/>
                <w:szCs w:val="18"/>
              </w:rPr>
            </w:pPr>
            <w:r>
              <w:rPr>
                <w:rFonts w:eastAsia="Calibri"/>
                <w:color w:val="000000" w:themeColor="text1"/>
                <w:sz w:val="18"/>
                <w:szCs w:val="18"/>
              </w:rPr>
              <w:t xml:space="preserve"> </w:t>
            </w:r>
            <w:r w:rsidR="002C6C87" w:rsidRPr="00795BFB">
              <w:rPr>
                <w:rFonts w:eastAsia="Calibri"/>
                <w:color w:val="000000" w:themeColor="text1"/>
                <w:sz w:val="18"/>
                <w:szCs w:val="18"/>
              </w:rPr>
              <w:t>90</w:t>
            </w:r>
            <w:r w:rsidRPr="00795BFB">
              <w:rPr>
                <w:rFonts w:eastAsia="Calibri"/>
                <w:color w:val="000000" w:themeColor="text1"/>
                <w:sz w:val="18"/>
                <w:szCs w:val="18"/>
              </w:rPr>
              <w:t>⁰</w:t>
            </w:r>
          </w:p>
          <w:p w:rsidR="002C6C87" w:rsidRPr="00795BFB" w:rsidRDefault="00223E2D" w:rsidP="006949DB">
            <w:pPr>
              <w:contextualSpacing/>
              <w:jc w:val="both"/>
              <w:rPr>
                <w:rFonts w:eastAsia="Calibri"/>
                <w:color w:val="000000" w:themeColor="text1"/>
                <w:sz w:val="18"/>
                <w:szCs w:val="18"/>
              </w:rPr>
            </w:pPr>
            <w:r>
              <w:rPr>
                <w:rFonts w:eastAsia="Calibri"/>
                <w:color w:val="000000" w:themeColor="text1"/>
                <w:sz w:val="18"/>
                <w:szCs w:val="18"/>
              </w:rPr>
              <w:t xml:space="preserve">                        </w:t>
            </w:r>
            <w:r w:rsidR="006949DB" w:rsidRPr="00795BFB">
              <w:rPr>
                <w:rFonts w:eastAsia="Calibri"/>
                <w:color w:val="000000" w:themeColor="text1"/>
                <w:sz w:val="18"/>
                <w:szCs w:val="18"/>
              </w:rPr>
              <w:t>0⁰</w:t>
            </w:r>
          </w:p>
        </w:tc>
      </w:tr>
      <w:tr w:rsidR="002C6C87" w:rsidRPr="003C54B1" w:rsidTr="006949DB">
        <w:tc>
          <w:tcPr>
            <w:tcW w:w="2070" w:type="dxa"/>
            <w:tcBorders>
              <w:bottom w:val="single" w:sz="4" w:space="0" w:color="auto"/>
            </w:tcBorders>
            <w:vAlign w:val="center"/>
          </w:tcPr>
          <w:p w:rsidR="002C6C87" w:rsidRPr="00795BFB" w:rsidRDefault="002C6C87" w:rsidP="003C25EB">
            <w:pPr>
              <w:contextualSpacing/>
              <w:rPr>
                <w:rFonts w:eastAsia="Calibri"/>
                <w:color w:val="000000" w:themeColor="text1"/>
                <w:sz w:val="18"/>
                <w:szCs w:val="18"/>
              </w:rPr>
            </w:pPr>
            <w:r w:rsidRPr="00795BFB">
              <w:rPr>
                <w:rFonts w:eastAsia="Calibri"/>
                <w:color w:val="000000" w:themeColor="text1"/>
                <w:sz w:val="18"/>
                <w:szCs w:val="18"/>
              </w:rPr>
              <w:t xml:space="preserve">Extension (0⁰ </w:t>
            </w:r>
            <w:r>
              <w:rPr>
                <w:rFonts w:eastAsia="Calibri"/>
                <w:color w:val="000000" w:themeColor="text1"/>
                <w:sz w:val="18"/>
                <w:szCs w:val="18"/>
              </w:rPr>
              <w:t xml:space="preserve">is </w:t>
            </w:r>
            <w:r w:rsidRPr="00795BFB">
              <w:rPr>
                <w:rFonts w:eastAsia="Calibri"/>
                <w:color w:val="000000" w:themeColor="text1"/>
                <w:sz w:val="18"/>
                <w:szCs w:val="18"/>
              </w:rPr>
              <w:t>normal)</w:t>
            </w:r>
          </w:p>
        </w:tc>
        <w:tc>
          <w:tcPr>
            <w:tcW w:w="2086" w:type="dxa"/>
            <w:tcBorders>
              <w:bottom w:val="single" w:sz="4" w:space="0" w:color="auto"/>
            </w:tcBorders>
          </w:tcPr>
          <w:p w:rsidR="002C6C87" w:rsidRPr="00795BFB" w:rsidRDefault="006949DB" w:rsidP="006949DB">
            <w:pPr>
              <w:contextualSpacing/>
              <w:rPr>
                <w:rFonts w:eastAsia="Calibri"/>
                <w:color w:val="000000" w:themeColor="text1"/>
                <w:sz w:val="18"/>
                <w:szCs w:val="18"/>
              </w:rPr>
            </w:pPr>
            <w:r w:rsidRPr="00795BFB">
              <w:rPr>
                <w:rFonts w:eastAsia="Calibri"/>
                <w:color w:val="000000" w:themeColor="text1"/>
                <w:sz w:val="18"/>
                <w:szCs w:val="18"/>
              </w:rPr>
              <w:t>1</w:t>
            </w:r>
            <w:r>
              <w:rPr>
                <w:rFonts w:eastAsia="Calibri"/>
                <w:color w:val="000000" w:themeColor="text1"/>
                <w:sz w:val="18"/>
                <w:szCs w:val="18"/>
              </w:rPr>
              <w:t>5</w:t>
            </w:r>
            <w:r w:rsidRPr="00795BFB">
              <w:rPr>
                <w:rFonts w:eastAsia="Calibri"/>
                <w:color w:val="000000" w:themeColor="text1"/>
                <w:sz w:val="18"/>
                <w:szCs w:val="18"/>
              </w:rPr>
              <w:t>⁰</w:t>
            </w:r>
          </w:p>
        </w:tc>
        <w:tc>
          <w:tcPr>
            <w:tcW w:w="1982" w:type="dxa"/>
            <w:tcBorders>
              <w:bottom w:val="single" w:sz="4" w:space="0" w:color="auto"/>
            </w:tcBorders>
            <w:vAlign w:val="center"/>
          </w:tcPr>
          <w:p w:rsidR="002C6C87" w:rsidRPr="00795BFB" w:rsidRDefault="002C6C87" w:rsidP="006949DB">
            <w:pPr>
              <w:contextualSpacing/>
              <w:rPr>
                <w:rFonts w:eastAsia="Calibri"/>
                <w:color w:val="000000" w:themeColor="text1"/>
                <w:sz w:val="18"/>
                <w:szCs w:val="18"/>
              </w:rPr>
            </w:pPr>
            <w:r w:rsidRPr="00795BFB">
              <w:rPr>
                <w:rFonts w:eastAsia="Calibri"/>
                <w:color w:val="000000" w:themeColor="text1"/>
                <w:sz w:val="18"/>
                <w:szCs w:val="18"/>
              </w:rPr>
              <w:t>10⁰</w:t>
            </w:r>
          </w:p>
        </w:tc>
        <w:tc>
          <w:tcPr>
            <w:tcW w:w="2250" w:type="dxa"/>
            <w:vMerge/>
            <w:tcBorders>
              <w:bottom w:val="single" w:sz="4" w:space="0" w:color="auto"/>
            </w:tcBorders>
            <w:vAlign w:val="center"/>
          </w:tcPr>
          <w:p w:rsidR="002C6C87" w:rsidRPr="00795BFB" w:rsidRDefault="002C6C87" w:rsidP="003C25EB">
            <w:pPr>
              <w:contextualSpacing/>
              <w:rPr>
                <w:rFonts w:eastAsia="Calibri"/>
                <w:color w:val="000000" w:themeColor="text1"/>
                <w:sz w:val="18"/>
                <w:szCs w:val="18"/>
              </w:rPr>
            </w:pPr>
          </w:p>
        </w:tc>
      </w:tr>
      <w:tr w:rsidR="002C6C87" w:rsidRPr="003C54B1" w:rsidTr="006949DB">
        <w:tc>
          <w:tcPr>
            <w:tcW w:w="2070" w:type="dxa"/>
            <w:tcBorders>
              <w:top w:val="single" w:sz="4" w:space="0" w:color="auto"/>
              <w:left w:val="single" w:sz="4" w:space="0" w:color="auto"/>
              <w:bottom w:val="single" w:sz="4" w:space="0" w:color="auto"/>
              <w:right w:val="single" w:sz="4" w:space="0" w:color="auto"/>
            </w:tcBorders>
            <w:vAlign w:val="center"/>
          </w:tcPr>
          <w:p w:rsidR="002C6C87" w:rsidRPr="00795BFB" w:rsidRDefault="002C6C87" w:rsidP="003C25EB">
            <w:pPr>
              <w:tabs>
                <w:tab w:val="left" w:pos="288"/>
                <w:tab w:val="left" w:pos="4752"/>
              </w:tabs>
              <w:rPr>
                <w:rFonts w:eastAsiaTheme="minorHAnsi"/>
                <w:color w:val="000000" w:themeColor="text1"/>
                <w:sz w:val="18"/>
                <w:szCs w:val="18"/>
              </w:rPr>
            </w:pPr>
            <w:r w:rsidRPr="00795BFB">
              <w:rPr>
                <w:rFonts w:eastAsiaTheme="minorHAnsi"/>
                <w:color w:val="000000" w:themeColor="text1"/>
                <w:sz w:val="18"/>
                <w:szCs w:val="18"/>
              </w:rPr>
              <w:t>Comment</w:t>
            </w:r>
          </w:p>
        </w:tc>
        <w:tc>
          <w:tcPr>
            <w:tcW w:w="2086" w:type="dxa"/>
            <w:tcBorders>
              <w:top w:val="single" w:sz="4" w:space="0" w:color="auto"/>
              <w:left w:val="single" w:sz="4" w:space="0" w:color="auto"/>
              <w:bottom w:val="single" w:sz="4" w:space="0" w:color="auto"/>
              <w:right w:val="single" w:sz="4" w:space="0" w:color="auto"/>
            </w:tcBorders>
          </w:tcPr>
          <w:p w:rsidR="002C6C87" w:rsidRPr="00795BFB" w:rsidRDefault="006949DB" w:rsidP="006949DB">
            <w:pPr>
              <w:tabs>
                <w:tab w:val="left" w:pos="288"/>
                <w:tab w:val="left" w:pos="4752"/>
              </w:tabs>
              <w:rPr>
                <w:rFonts w:eastAsiaTheme="minorHAnsi"/>
                <w:color w:val="000000" w:themeColor="text1"/>
                <w:sz w:val="18"/>
                <w:szCs w:val="18"/>
              </w:rPr>
            </w:pPr>
            <w:r>
              <w:rPr>
                <w:rFonts w:eastAsiaTheme="minorHAnsi"/>
                <w:color w:val="000000" w:themeColor="text1"/>
                <w:sz w:val="18"/>
                <w:szCs w:val="18"/>
              </w:rPr>
              <w:t>Significant tightness</w:t>
            </w:r>
          </w:p>
        </w:tc>
        <w:tc>
          <w:tcPr>
            <w:tcW w:w="1982" w:type="dxa"/>
            <w:tcBorders>
              <w:top w:val="single" w:sz="4" w:space="0" w:color="auto"/>
              <w:left w:val="single" w:sz="4" w:space="0" w:color="auto"/>
              <w:bottom w:val="single" w:sz="4" w:space="0" w:color="auto"/>
              <w:right w:val="single" w:sz="4" w:space="0" w:color="auto"/>
            </w:tcBorders>
            <w:vAlign w:val="center"/>
          </w:tcPr>
          <w:p w:rsidR="002C6C87" w:rsidRPr="00795BFB" w:rsidRDefault="006949DB" w:rsidP="006949DB">
            <w:pPr>
              <w:tabs>
                <w:tab w:val="left" w:pos="288"/>
                <w:tab w:val="left" w:pos="4752"/>
              </w:tabs>
              <w:rPr>
                <w:rFonts w:eastAsiaTheme="minorHAnsi"/>
                <w:color w:val="000000" w:themeColor="text1"/>
                <w:sz w:val="18"/>
                <w:szCs w:val="18"/>
              </w:rPr>
            </w:pPr>
            <w:r>
              <w:rPr>
                <w:rFonts w:eastAsiaTheme="minorHAnsi"/>
                <w:color w:val="000000" w:themeColor="text1"/>
                <w:sz w:val="18"/>
                <w:szCs w:val="18"/>
              </w:rPr>
              <w:t>Tender to palpation</w:t>
            </w:r>
          </w:p>
        </w:tc>
        <w:tc>
          <w:tcPr>
            <w:tcW w:w="2250" w:type="dxa"/>
            <w:tcBorders>
              <w:top w:val="single" w:sz="4" w:space="0" w:color="auto"/>
              <w:left w:val="single" w:sz="4" w:space="0" w:color="auto"/>
              <w:bottom w:val="single" w:sz="4" w:space="0" w:color="auto"/>
              <w:right w:val="single" w:sz="4" w:space="0" w:color="auto"/>
            </w:tcBorders>
            <w:vAlign w:val="center"/>
          </w:tcPr>
          <w:p w:rsidR="002C6C87" w:rsidRPr="00795BFB" w:rsidRDefault="006949DB" w:rsidP="006949DB">
            <w:pPr>
              <w:tabs>
                <w:tab w:val="left" w:pos="288"/>
                <w:tab w:val="left" w:pos="4752"/>
              </w:tabs>
              <w:rPr>
                <w:rFonts w:eastAsiaTheme="minorHAnsi"/>
                <w:color w:val="000000" w:themeColor="text1"/>
                <w:sz w:val="18"/>
                <w:szCs w:val="18"/>
              </w:rPr>
            </w:pPr>
            <w:r>
              <w:rPr>
                <w:rFonts w:eastAsia="Calibri"/>
                <w:color w:val="000000" w:themeColor="text1"/>
                <w:sz w:val="18"/>
                <w:szCs w:val="18"/>
              </w:rPr>
              <w:t>Painful motion</w:t>
            </w:r>
          </w:p>
        </w:tc>
      </w:tr>
      <w:tr w:rsidR="002C6C87" w:rsidRPr="003C54B1" w:rsidTr="006949DB">
        <w:tc>
          <w:tcPr>
            <w:tcW w:w="2070" w:type="dxa"/>
            <w:tcBorders>
              <w:top w:val="single" w:sz="4" w:space="0" w:color="auto"/>
              <w:left w:val="single" w:sz="4" w:space="0" w:color="auto"/>
              <w:bottom w:val="single" w:sz="4" w:space="0" w:color="auto"/>
              <w:right w:val="single" w:sz="4" w:space="0" w:color="auto"/>
            </w:tcBorders>
            <w:vAlign w:val="center"/>
          </w:tcPr>
          <w:p w:rsidR="002C6C87" w:rsidRPr="00795BFB" w:rsidRDefault="002C6C87" w:rsidP="006949DB">
            <w:pPr>
              <w:tabs>
                <w:tab w:val="left" w:pos="288"/>
                <w:tab w:val="left" w:pos="4752"/>
              </w:tabs>
              <w:rPr>
                <w:rFonts w:eastAsiaTheme="minorHAnsi"/>
                <w:color w:val="000000" w:themeColor="text1"/>
                <w:sz w:val="18"/>
                <w:szCs w:val="18"/>
              </w:rPr>
            </w:pPr>
            <w:r w:rsidRPr="00795BFB">
              <w:rPr>
                <w:rFonts w:eastAsiaTheme="minorHAnsi"/>
                <w:color w:val="000000" w:themeColor="text1"/>
                <w:sz w:val="18"/>
                <w:szCs w:val="18"/>
              </w:rPr>
              <w:t>§4.71a Rating</w:t>
            </w:r>
          </w:p>
        </w:tc>
        <w:tc>
          <w:tcPr>
            <w:tcW w:w="2086" w:type="dxa"/>
            <w:tcBorders>
              <w:top w:val="single" w:sz="4" w:space="0" w:color="auto"/>
              <w:left w:val="single" w:sz="4" w:space="0" w:color="auto"/>
              <w:bottom w:val="single" w:sz="4" w:space="0" w:color="auto"/>
              <w:right w:val="single" w:sz="4" w:space="0" w:color="auto"/>
            </w:tcBorders>
          </w:tcPr>
          <w:p w:rsidR="002C6C87" w:rsidRPr="00795BFB" w:rsidRDefault="006949DB" w:rsidP="006949DB">
            <w:pPr>
              <w:tabs>
                <w:tab w:val="left" w:pos="288"/>
                <w:tab w:val="left" w:pos="4752"/>
              </w:tabs>
              <w:rPr>
                <w:rFonts w:eastAsiaTheme="minorHAnsi"/>
                <w:color w:val="000000" w:themeColor="text1"/>
                <w:sz w:val="18"/>
                <w:szCs w:val="18"/>
              </w:rPr>
            </w:pPr>
            <w:r>
              <w:rPr>
                <w:rFonts w:eastAsiaTheme="minorHAnsi"/>
                <w:color w:val="000000" w:themeColor="text1"/>
                <w:sz w:val="18"/>
                <w:szCs w:val="18"/>
              </w:rPr>
              <w:t>20%</w:t>
            </w:r>
          </w:p>
        </w:tc>
        <w:tc>
          <w:tcPr>
            <w:tcW w:w="1982" w:type="dxa"/>
            <w:tcBorders>
              <w:top w:val="single" w:sz="4" w:space="0" w:color="auto"/>
              <w:left w:val="single" w:sz="4" w:space="0" w:color="auto"/>
              <w:bottom w:val="single" w:sz="4" w:space="0" w:color="auto"/>
              <w:right w:val="single" w:sz="4" w:space="0" w:color="auto"/>
            </w:tcBorders>
            <w:vAlign w:val="center"/>
          </w:tcPr>
          <w:p w:rsidR="002C6C87" w:rsidRPr="00795BFB" w:rsidRDefault="002C6C87" w:rsidP="006949DB">
            <w:pPr>
              <w:tabs>
                <w:tab w:val="left" w:pos="288"/>
                <w:tab w:val="left" w:pos="4752"/>
              </w:tabs>
              <w:rPr>
                <w:rFonts w:eastAsiaTheme="minorHAnsi"/>
                <w:color w:val="000000" w:themeColor="text1"/>
                <w:sz w:val="18"/>
                <w:szCs w:val="18"/>
              </w:rPr>
            </w:pPr>
            <w:r w:rsidRPr="00795BFB">
              <w:rPr>
                <w:rFonts w:eastAsiaTheme="minorHAnsi"/>
                <w:color w:val="000000" w:themeColor="text1"/>
                <w:sz w:val="18"/>
                <w:szCs w:val="18"/>
              </w:rPr>
              <w:t>10%</w:t>
            </w:r>
          </w:p>
        </w:tc>
        <w:tc>
          <w:tcPr>
            <w:tcW w:w="2250" w:type="dxa"/>
            <w:tcBorders>
              <w:top w:val="single" w:sz="4" w:space="0" w:color="auto"/>
              <w:left w:val="single" w:sz="4" w:space="0" w:color="auto"/>
              <w:bottom w:val="single" w:sz="4" w:space="0" w:color="auto"/>
              <w:right w:val="single" w:sz="4" w:space="0" w:color="auto"/>
            </w:tcBorders>
            <w:vAlign w:val="center"/>
          </w:tcPr>
          <w:p w:rsidR="002C6C87" w:rsidRPr="00795BFB" w:rsidRDefault="002C6C87" w:rsidP="006949DB">
            <w:pPr>
              <w:tabs>
                <w:tab w:val="left" w:pos="288"/>
                <w:tab w:val="left" w:pos="4752"/>
              </w:tabs>
              <w:rPr>
                <w:rFonts w:eastAsiaTheme="minorHAnsi"/>
                <w:color w:val="000000" w:themeColor="text1"/>
                <w:sz w:val="18"/>
                <w:szCs w:val="18"/>
              </w:rPr>
            </w:pPr>
            <w:r w:rsidRPr="00795BFB">
              <w:rPr>
                <w:rFonts w:eastAsiaTheme="minorHAnsi"/>
                <w:color w:val="000000" w:themeColor="text1"/>
                <w:sz w:val="18"/>
                <w:szCs w:val="18"/>
              </w:rPr>
              <w:t>10%</w:t>
            </w:r>
            <w:r w:rsidR="006949DB">
              <w:rPr>
                <w:rFonts w:eastAsiaTheme="minorHAnsi"/>
                <w:color w:val="000000" w:themeColor="text1"/>
                <w:sz w:val="18"/>
                <w:szCs w:val="18"/>
              </w:rPr>
              <w:t>*</w:t>
            </w:r>
          </w:p>
        </w:tc>
      </w:tr>
    </w:tbl>
    <w:p w:rsidR="002B3139" w:rsidRPr="0048388C" w:rsidRDefault="002B3139" w:rsidP="002B3139">
      <w:pPr>
        <w:jc w:val="both"/>
        <w:rPr>
          <w:rFonts w:eastAsia="Calibri"/>
          <w:color w:val="auto"/>
          <w:sz w:val="16"/>
          <w:szCs w:val="16"/>
        </w:rPr>
      </w:pPr>
      <w:r>
        <w:rPr>
          <w:rFonts w:asciiTheme="minorHAnsi" w:hAnsiTheme="minorHAnsi"/>
          <w:color w:val="auto"/>
          <w:sz w:val="16"/>
          <w:szCs w:val="16"/>
        </w:rPr>
        <w:t xml:space="preserve">             </w:t>
      </w:r>
      <w:r w:rsidRPr="0048388C">
        <w:rPr>
          <w:rFonts w:asciiTheme="minorHAnsi" w:hAnsiTheme="minorHAnsi"/>
          <w:color w:val="auto"/>
          <w:sz w:val="16"/>
          <w:szCs w:val="16"/>
        </w:rPr>
        <w:t>*</w:t>
      </w:r>
      <w:r w:rsidR="004F69F6">
        <w:rPr>
          <w:rFonts w:asciiTheme="minorHAnsi" w:hAnsiTheme="minorHAnsi"/>
          <w:color w:val="auto"/>
          <w:sz w:val="16"/>
          <w:szCs w:val="16"/>
        </w:rPr>
        <w:t xml:space="preserve">10% is </w:t>
      </w:r>
      <w:r w:rsidRPr="0048388C">
        <w:rPr>
          <w:rFonts w:asciiTheme="minorHAnsi" w:hAnsiTheme="minorHAnsi"/>
          <w:color w:val="auto"/>
          <w:sz w:val="16"/>
          <w:szCs w:val="16"/>
        </w:rPr>
        <w:t xml:space="preserve">based on </w:t>
      </w:r>
      <w:r w:rsidRPr="0048388C">
        <w:rPr>
          <w:rFonts w:eastAsia="Calibri"/>
          <w:color w:val="auto"/>
          <w:sz w:val="16"/>
          <w:szCs w:val="16"/>
        </w:rPr>
        <w:t xml:space="preserve">VASRD §4.40, </w:t>
      </w:r>
      <w:r w:rsidRPr="0048388C">
        <w:rPr>
          <w:rFonts w:asciiTheme="minorHAnsi" w:eastAsiaTheme="minorHAnsi" w:hAnsiTheme="minorHAnsi"/>
          <w:color w:val="auto"/>
          <w:sz w:val="16"/>
          <w:szCs w:val="16"/>
        </w:rPr>
        <w:t xml:space="preserve">§4.45, and </w:t>
      </w:r>
      <w:r w:rsidRPr="0048388C">
        <w:rPr>
          <w:rFonts w:eastAsia="Calibri"/>
          <w:color w:val="auto"/>
          <w:sz w:val="16"/>
          <w:szCs w:val="16"/>
        </w:rPr>
        <w:t>§4.59</w:t>
      </w:r>
    </w:p>
    <w:p w:rsidR="003C54B1" w:rsidRPr="001F29F9" w:rsidRDefault="003C54B1" w:rsidP="002B3139">
      <w:pPr>
        <w:jc w:val="both"/>
        <w:rPr>
          <w:rFonts w:eastAsiaTheme="minorHAnsi"/>
          <w:color w:val="000000" w:themeColor="text1"/>
          <w:szCs w:val="18"/>
        </w:rPr>
      </w:pPr>
    </w:p>
    <w:p w:rsidR="003C54B1" w:rsidRPr="00E41E11" w:rsidRDefault="00B9133F" w:rsidP="00E41E11">
      <w:pPr>
        <w:jc w:val="both"/>
        <w:rPr>
          <w:color w:val="auto"/>
          <w:szCs w:val="24"/>
        </w:rPr>
      </w:pPr>
      <w:r>
        <w:rPr>
          <w:rFonts w:asciiTheme="minorHAnsi" w:hAnsiTheme="minorHAnsi" w:cs="Times New Roman"/>
          <w:color w:val="auto"/>
          <w:szCs w:val="24"/>
        </w:rPr>
        <w:t>The Board carefully examined all evidentiary information available.</w:t>
      </w:r>
      <w:r w:rsidR="00D2721C">
        <w:rPr>
          <w:rFonts w:asciiTheme="minorHAnsi" w:hAnsiTheme="minorHAnsi" w:cs="Times New Roman"/>
          <w:color w:val="auto"/>
          <w:szCs w:val="24"/>
        </w:rPr>
        <w:t xml:space="preserve">  The Board determined that the February 2004 C&amp;P exam had </w:t>
      </w:r>
      <w:r w:rsidR="009673F2">
        <w:rPr>
          <w:rFonts w:asciiTheme="minorHAnsi" w:hAnsiTheme="minorHAnsi" w:cs="Times New Roman"/>
          <w:color w:val="auto"/>
          <w:szCs w:val="24"/>
        </w:rPr>
        <w:t xml:space="preserve">the </w:t>
      </w:r>
      <w:r w:rsidR="00D2721C">
        <w:rPr>
          <w:rFonts w:asciiTheme="minorHAnsi" w:hAnsiTheme="minorHAnsi" w:cs="Times New Roman"/>
          <w:color w:val="auto"/>
          <w:szCs w:val="24"/>
        </w:rPr>
        <w:t>greatest probative value, since it was temporally most proximal to the date of separation.</w:t>
      </w:r>
      <w:r w:rsidR="00E41E11">
        <w:rPr>
          <w:rFonts w:asciiTheme="minorHAnsi" w:hAnsiTheme="minorHAnsi" w:cs="Times New Roman"/>
          <w:color w:val="auto"/>
          <w:szCs w:val="24"/>
        </w:rPr>
        <w:t xml:space="preserve">  At that exam, t</w:t>
      </w:r>
      <w:r w:rsidR="00E41E11" w:rsidRPr="00363E72">
        <w:rPr>
          <w:color w:val="000000" w:themeColor="text1"/>
          <w:szCs w:val="24"/>
        </w:rPr>
        <w:t xml:space="preserve">he </w:t>
      </w:r>
      <w:r w:rsidR="00E41E11">
        <w:rPr>
          <w:color w:val="000000" w:themeColor="text1"/>
          <w:szCs w:val="24"/>
        </w:rPr>
        <w:t>right knee</w:t>
      </w:r>
      <w:r w:rsidR="00E41E11" w:rsidRPr="00363E72">
        <w:rPr>
          <w:color w:val="000000" w:themeColor="text1"/>
          <w:szCs w:val="24"/>
        </w:rPr>
        <w:t xml:space="preserve"> </w:t>
      </w:r>
      <w:r w:rsidR="00E41E11">
        <w:rPr>
          <w:color w:val="000000" w:themeColor="text1"/>
          <w:szCs w:val="24"/>
        </w:rPr>
        <w:t xml:space="preserve">ROM </w:t>
      </w:r>
      <w:r w:rsidR="00E41E11" w:rsidRPr="00363E72">
        <w:rPr>
          <w:color w:val="000000" w:themeColor="text1"/>
          <w:szCs w:val="24"/>
        </w:rPr>
        <w:t>fail</w:t>
      </w:r>
      <w:r w:rsidR="00E41E11">
        <w:rPr>
          <w:color w:val="000000" w:themeColor="text1"/>
          <w:szCs w:val="24"/>
        </w:rPr>
        <w:t>ed</w:t>
      </w:r>
      <w:r w:rsidR="00E41E11" w:rsidRPr="00363E72">
        <w:rPr>
          <w:color w:val="000000" w:themeColor="text1"/>
          <w:szCs w:val="24"/>
        </w:rPr>
        <w:t xml:space="preserve"> to reach compensable levels for the VASRD codes specific to leg </w:t>
      </w:r>
      <w:r w:rsidR="00E41E11">
        <w:rPr>
          <w:color w:val="000000" w:themeColor="text1"/>
          <w:szCs w:val="24"/>
        </w:rPr>
        <w:t xml:space="preserve">flexion and </w:t>
      </w:r>
      <w:r w:rsidR="00E41E11" w:rsidRPr="00363E72">
        <w:rPr>
          <w:color w:val="000000" w:themeColor="text1"/>
          <w:szCs w:val="24"/>
        </w:rPr>
        <w:t>extension</w:t>
      </w:r>
      <w:r w:rsidR="00E41E11">
        <w:rPr>
          <w:color w:val="000000" w:themeColor="text1"/>
          <w:szCs w:val="24"/>
        </w:rPr>
        <w:t xml:space="preserve"> (5260 and 5261</w:t>
      </w:r>
      <w:r w:rsidR="00E41E11" w:rsidRPr="00363E72">
        <w:rPr>
          <w:color w:val="000000" w:themeColor="text1"/>
          <w:szCs w:val="24"/>
        </w:rPr>
        <w:t>).</w:t>
      </w:r>
      <w:r w:rsidR="00E41E11" w:rsidRPr="008640DF">
        <w:rPr>
          <w:color w:val="000000" w:themeColor="text1"/>
          <w:szCs w:val="24"/>
        </w:rPr>
        <w:t xml:space="preserve"> </w:t>
      </w:r>
      <w:r w:rsidR="00E41E11">
        <w:rPr>
          <w:color w:val="000000" w:themeColor="text1"/>
          <w:szCs w:val="24"/>
        </w:rPr>
        <w:t xml:space="preserve"> </w:t>
      </w:r>
      <w:r w:rsidR="00E41E11" w:rsidRPr="008640DF">
        <w:rPr>
          <w:color w:val="000000" w:themeColor="text1"/>
          <w:szCs w:val="24"/>
        </w:rPr>
        <w:t>Thus</w:t>
      </w:r>
      <w:r w:rsidR="009673F2">
        <w:rPr>
          <w:color w:val="000000" w:themeColor="text1"/>
          <w:szCs w:val="24"/>
        </w:rPr>
        <w:t>,</w:t>
      </w:r>
      <w:r w:rsidR="00E41E11" w:rsidRPr="008640DF">
        <w:rPr>
          <w:color w:val="000000" w:themeColor="text1"/>
          <w:szCs w:val="24"/>
        </w:rPr>
        <w:t xml:space="preserve"> there </w:t>
      </w:r>
      <w:r w:rsidR="00E41E11">
        <w:rPr>
          <w:color w:val="000000" w:themeColor="text1"/>
          <w:szCs w:val="24"/>
        </w:rPr>
        <w:t>was</w:t>
      </w:r>
      <w:r w:rsidR="00E41E11" w:rsidRPr="008640DF">
        <w:rPr>
          <w:color w:val="000000" w:themeColor="text1"/>
          <w:szCs w:val="24"/>
        </w:rPr>
        <w:t xml:space="preserve"> no compe</w:t>
      </w:r>
      <w:r w:rsidR="00E41E11">
        <w:rPr>
          <w:color w:val="000000" w:themeColor="text1"/>
          <w:szCs w:val="24"/>
        </w:rPr>
        <w:t>nsable ROM impairment for the right knee</w:t>
      </w:r>
      <w:r w:rsidR="00E41E11" w:rsidRPr="008640DF">
        <w:rPr>
          <w:color w:val="000000" w:themeColor="text1"/>
          <w:szCs w:val="24"/>
        </w:rPr>
        <w:t xml:space="preserve">. </w:t>
      </w:r>
      <w:r w:rsidR="00E41E11">
        <w:rPr>
          <w:color w:val="000000" w:themeColor="text1"/>
          <w:szCs w:val="24"/>
        </w:rPr>
        <w:t xml:space="preserve"> </w:t>
      </w:r>
      <w:r w:rsidR="00E41E11">
        <w:rPr>
          <w:rFonts w:eastAsia="Calibri"/>
          <w:color w:val="auto"/>
          <w:szCs w:val="24"/>
        </w:rPr>
        <w:t>However; IAW VASRD §4.40, §4.45 and §4.59</w:t>
      </w:r>
      <w:r w:rsidR="00E41E11">
        <w:rPr>
          <w:color w:val="auto"/>
          <w:szCs w:val="24"/>
        </w:rPr>
        <w:t xml:space="preserve">, a 10% rating is warranted when there is satisfactory evidence of functional limitation due to painful motion of a major joint.  </w:t>
      </w:r>
      <w:r w:rsidR="00E41E11" w:rsidRPr="008640DF">
        <w:rPr>
          <w:color w:val="000000" w:themeColor="text1"/>
          <w:szCs w:val="24"/>
        </w:rPr>
        <w:t xml:space="preserve">The </w:t>
      </w:r>
      <w:r w:rsidR="00E41E11">
        <w:rPr>
          <w:color w:val="000000" w:themeColor="text1"/>
          <w:szCs w:val="24"/>
        </w:rPr>
        <w:t xml:space="preserve">Board noted that there was no </w:t>
      </w:r>
      <w:r w:rsidR="00223E2D">
        <w:rPr>
          <w:color w:val="000000" w:themeColor="text1"/>
          <w:szCs w:val="24"/>
        </w:rPr>
        <w:t xml:space="preserve">objective evidence of </w:t>
      </w:r>
      <w:r w:rsidR="00E41E11">
        <w:rPr>
          <w:color w:val="000000" w:themeColor="text1"/>
          <w:szCs w:val="24"/>
        </w:rPr>
        <w:t xml:space="preserve">ligamentous laxity or joint instability which would be required for a rating under code 5257.  Likewise, the CI’s symptoms did not warrant an evaluation under code 5258.  </w:t>
      </w:r>
      <w:r w:rsidR="002B3139">
        <w:rPr>
          <w:color w:val="000000" w:themeColor="text1"/>
          <w:szCs w:val="24"/>
        </w:rPr>
        <w:t xml:space="preserve">He does qualify for a rating under code 5259, but the maximum rating is only 10%.  </w:t>
      </w:r>
      <w:r w:rsidR="00E41E11" w:rsidRPr="008640DF">
        <w:rPr>
          <w:color w:val="000000" w:themeColor="text1"/>
          <w:szCs w:val="24"/>
        </w:rPr>
        <w:t xml:space="preserve">Thus, there </w:t>
      </w:r>
      <w:r w:rsidR="00E41E11">
        <w:rPr>
          <w:color w:val="000000" w:themeColor="text1"/>
          <w:szCs w:val="24"/>
        </w:rPr>
        <w:t>was</w:t>
      </w:r>
      <w:r w:rsidR="00E41E11" w:rsidRPr="008640DF">
        <w:rPr>
          <w:color w:val="000000" w:themeColor="text1"/>
          <w:szCs w:val="24"/>
        </w:rPr>
        <w:t xml:space="preserve"> no </w:t>
      </w:r>
      <w:r w:rsidR="00E41E11">
        <w:rPr>
          <w:color w:val="000000" w:themeColor="text1"/>
          <w:szCs w:val="24"/>
        </w:rPr>
        <w:t>path</w:t>
      </w:r>
      <w:r w:rsidR="00E41E11" w:rsidRPr="008640DF">
        <w:rPr>
          <w:color w:val="000000" w:themeColor="text1"/>
          <w:szCs w:val="24"/>
        </w:rPr>
        <w:t xml:space="preserve"> to a rating higher than 10%</w:t>
      </w:r>
      <w:r w:rsidR="00E41E11">
        <w:rPr>
          <w:color w:val="000000" w:themeColor="text1"/>
          <w:szCs w:val="24"/>
        </w:rPr>
        <w:t xml:space="preserve">.  After due deliberation, considering all of the evidence, and mindful of VASRD </w:t>
      </w:r>
      <w:r w:rsidR="00E41E11" w:rsidRPr="00766F79">
        <w:rPr>
          <w:color w:val="000000" w:themeColor="text1"/>
          <w:szCs w:val="24"/>
        </w:rPr>
        <w:t>§</w:t>
      </w:r>
      <w:r w:rsidR="00E41E11">
        <w:rPr>
          <w:color w:val="000000" w:themeColor="text1"/>
          <w:szCs w:val="24"/>
        </w:rPr>
        <w:t>4.3 (</w:t>
      </w:r>
      <w:r w:rsidR="00210494">
        <w:rPr>
          <w:color w:val="000000" w:themeColor="text1"/>
          <w:szCs w:val="24"/>
        </w:rPr>
        <w:t>r</w:t>
      </w:r>
      <w:r w:rsidR="00E41E11">
        <w:rPr>
          <w:color w:val="000000" w:themeColor="text1"/>
          <w:szCs w:val="24"/>
        </w:rPr>
        <w:t>easonable doubt), the Board unanimously recommends a rating of 10% for the right knee condition, IAW</w:t>
      </w:r>
      <w:r w:rsidR="00E41E11" w:rsidRPr="00117D9B">
        <w:rPr>
          <w:rFonts w:eastAsia="Calibri"/>
          <w:color w:val="auto"/>
          <w:szCs w:val="24"/>
        </w:rPr>
        <w:t xml:space="preserve"> </w:t>
      </w:r>
      <w:r w:rsidR="00E41E11">
        <w:rPr>
          <w:rFonts w:eastAsia="Calibri"/>
          <w:color w:val="auto"/>
          <w:szCs w:val="24"/>
        </w:rPr>
        <w:t>VASRD §4.40, §4.45, §4.59, and §4.71a</w:t>
      </w:r>
      <w:r w:rsidR="00E41E11">
        <w:rPr>
          <w:color w:val="000000" w:themeColor="text1"/>
          <w:szCs w:val="24"/>
        </w:rPr>
        <w:t xml:space="preserve">.   </w:t>
      </w:r>
    </w:p>
    <w:p w:rsidR="003C54B1" w:rsidRDefault="003C54B1" w:rsidP="003C53E8">
      <w:pPr>
        <w:tabs>
          <w:tab w:val="left" w:pos="288"/>
          <w:tab w:val="left" w:pos="4752"/>
        </w:tabs>
        <w:jc w:val="left"/>
        <w:rPr>
          <w:rFonts w:asciiTheme="minorHAnsi" w:hAnsiTheme="minorHAnsi" w:cs="Times New Roman"/>
          <w:color w:val="auto"/>
          <w:szCs w:val="24"/>
        </w:rPr>
      </w:pPr>
    </w:p>
    <w:p w:rsidR="00A02AA8" w:rsidRPr="001F29F9" w:rsidRDefault="004C60A3" w:rsidP="00A02AA8">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her Condition</w:t>
      </w:r>
      <w:r w:rsidR="003604A5" w:rsidRPr="001F29F9">
        <w:rPr>
          <w:rFonts w:eastAsia="HiddenHorzOCR"/>
          <w:color w:val="000000" w:themeColor="text1"/>
          <w:szCs w:val="24"/>
        </w:rPr>
        <w:t>.</w:t>
      </w:r>
      <w:proofErr w:type="gramEnd"/>
      <w:r w:rsidR="003C5B54" w:rsidRPr="001F29F9">
        <w:rPr>
          <w:rFonts w:eastAsia="HiddenHorzOCR"/>
          <w:color w:val="000000" w:themeColor="text1"/>
          <w:szCs w:val="24"/>
        </w:rPr>
        <w:t xml:space="preserve"> </w:t>
      </w:r>
      <w:r w:rsidR="003057DE">
        <w:rPr>
          <w:rFonts w:eastAsia="HiddenHorzOCR"/>
          <w:color w:val="000000" w:themeColor="text1"/>
          <w:szCs w:val="24"/>
        </w:rPr>
        <w:t xml:space="preserve"> </w:t>
      </w:r>
      <w:r w:rsidR="00210494">
        <w:rPr>
          <w:color w:val="000000" w:themeColor="text1"/>
          <w:szCs w:val="24"/>
        </w:rPr>
        <w:t>LBP</w:t>
      </w:r>
      <w:r w:rsidR="003057DE" w:rsidRPr="003057DE">
        <w:rPr>
          <w:color w:val="000000" w:themeColor="text1"/>
          <w:szCs w:val="24"/>
        </w:rPr>
        <w:t xml:space="preserve"> </w:t>
      </w:r>
      <w:r w:rsidR="00E41E11">
        <w:rPr>
          <w:color w:val="000000" w:themeColor="text1"/>
          <w:szCs w:val="24"/>
        </w:rPr>
        <w:t>w</w:t>
      </w:r>
      <w:r w:rsidR="002B3139">
        <w:rPr>
          <w:color w:val="000000" w:themeColor="text1"/>
          <w:szCs w:val="24"/>
        </w:rPr>
        <w:t>as</w:t>
      </w:r>
      <w:r w:rsidR="00E41E11">
        <w:rPr>
          <w:color w:val="000000" w:themeColor="text1"/>
          <w:szCs w:val="24"/>
        </w:rPr>
        <w:t xml:space="preserve"> </w:t>
      </w:r>
      <w:r w:rsidR="00E41E11" w:rsidRPr="003057DE">
        <w:rPr>
          <w:color w:val="000000" w:themeColor="text1"/>
          <w:szCs w:val="24"/>
        </w:rPr>
        <w:t xml:space="preserve">adjudicated </w:t>
      </w:r>
      <w:r w:rsidR="00E41E11">
        <w:rPr>
          <w:color w:val="000000" w:themeColor="text1"/>
          <w:szCs w:val="24"/>
        </w:rPr>
        <w:t xml:space="preserve">by the PEB as </w:t>
      </w:r>
      <w:r w:rsidR="00E41E11" w:rsidRPr="003057DE">
        <w:rPr>
          <w:color w:val="000000" w:themeColor="text1"/>
          <w:szCs w:val="24"/>
        </w:rPr>
        <w:t>not unfitting</w:t>
      </w:r>
      <w:r w:rsidR="003057DE" w:rsidRPr="003057DE">
        <w:rPr>
          <w:color w:val="000000" w:themeColor="text1"/>
          <w:szCs w:val="24"/>
        </w:rPr>
        <w:t xml:space="preserve">.  </w:t>
      </w:r>
      <w:r w:rsidR="002B3139">
        <w:rPr>
          <w:color w:val="000000" w:themeColor="text1"/>
          <w:szCs w:val="24"/>
        </w:rPr>
        <w:t>This</w:t>
      </w:r>
      <w:r w:rsidR="008C3223" w:rsidRPr="003057DE">
        <w:rPr>
          <w:color w:val="000000" w:themeColor="text1"/>
          <w:szCs w:val="24"/>
        </w:rPr>
        <w:t xml:space="preserve"> condition</w:t>
      </w:r>
      <w:r w:rsidR="002B3139">
        <w:rPr>
          <w:color w:val="000000" w:themeColor="text1"/>
          <w:szCs w:val="24"/>
        </w:rPr>
        <w:t xml:space="preserve"> was</w:t>
      </w:r>
      <w:r w:rsidR="008C3223" w:rsidRPr="003057DE">
        <w:rPr>
          <w:color w:val="000000" w:themeColor="text1"/>
          <w:szCs w:val="24"/>
        </w:rPr>
        <w:t xml:space="preserve"> </w:t>
      </w:r>
      <w:r w:rsidR="002B3139">
        <w:rPr>
          <w:color w:val="000000" w:themeColor="text1"/>
          <w:szCs w:val="24"/>
        </w:rPr>
        <w:t xml:space="preserve">not </w:t>
      </w:r>
      <w:r w:rsidR="008C3223" w:rsidRPr="003057DE">
        <w:rPr>
          <w:color w:val="000000" w:themeColor="text1"/>
          <w:szCs w:val="24"/>
        </w:rPr>
        <w:t xml:space="preserve">profiled, implicated in the </w:t>
      </w:r>
      <w:r w:rsidR="0080588E" w:rsidRPr="003057DE">
        <w:rPr>
          <w:color w:val="000000" w:themeColor="text1"/>
          <w:szCs w:val="24"/>
        </w:rPr>
        <w:t>c</w:t>
      </w:r>
      <w:r w:rsidR="008C3223" w:rsidRPr="003057DE">
        <w:rPr>
          <w:color w:val="000000" w:themeColor="text1"/>
          <w:szCs w:val="24"/>
        </w:rPr>
        <w:t>ommander’s statement</w:t>
      </w:r>
      <w:r w:rsidR="004F69F6">
        <w:rPr>
          <w:color w:val="000000" w:themeColor="text1"/>
          <w:szCs w:val="24"/>
        </w:rPr>
        <w:t>,</w:t>
      </w:r>
      <w:r w:rsidR="008C3223" w:rsidRPr="003057DE">
        <w:rPr>
          <w:color w:val="000000" w:themeColor="text1"/>
          <w:szCs w:val="24"/>
        </w:rPr>
        <w:t xml:space="preserve"> or noted as failing retention standards.  </w:t>
      </w:r>
      <w:r w:rsidR="00F26A26">
        <w:rPr>
          <w:color w:val="000000" w:themeColor="text1"/>
          <w:szCs w:val="24"/>
        </w:rPr>
        <w:t xml:space="preserve">LBP was </w:t>
      </w:r>
      <w:r w:rsidR="008C3223" w:rsidRPr="003057DE">
        <w:rPr>
          <w:color w:val="000000" w:themeColor="text1"/>
          <w:szCs w:val="24"/>
        </w:rPr>
        <w:t xml:space="preserve">reviewed by the </w:t>
      </w:r>
      <w:r w:rsidR="0080588E" w:rsidRPr="003057DE">
        <w:rPr>
          <w:color w:val="000000" w:themeColor="text1"/>
          <w:szCs w:val="24"/>
        </w:rPr>
        <w:t xml:space="preserve">action officer </w:t>
      </w:r>
      <w:r w:rsidR="008C3223" w:rsidRPr="003057DE">
        <w:rPr>
          <w:color w:val="000000" w:themeColor="text1"/>
          <w:szCs w:val="24"/>
        </w:rPr>
        <w:t xml:space="preserve">and considered by the Board.  There was no indication from the record that </w:t>
      </w:r>
      <w:r w:rsidR="00F26A26">
        <w:rPr>
          <w:color w:val="000000" w:themeColor="text1"/>
          <w:szCs w:val="24"/>
        </w:rPr>
        <w:t>it</w:t>
      </w:r>
      <w:r w:rsidR="008C3223" w:rsidRPr="001F29F9">
        <w:rPr>
          <w:color w:val="000000" w:themeColor="text1"/>
          <w:szCs w:val="24"/>
        </w:rPr>
        <w:t xml:space="preserve"> significantly interfered with satisfactory </w:t>
      </w:r>
      <w:r w:rsidR="0080588E" w:rsidRPr="001F29F9">
        <w:rPr>
          <w:color w:val="000000" w:themeColor="text1"/>
          <w:szCs w:val="24"/>
        </w:rPr>
        <w:t xml:space="preserve">duty </w:t>
      </w:r>
      <w:r w:rsidR="008C3223" w:rsidRPr="001F29F9">
        <w:rPr>
          <w:color w:val="000000" w:themeColor="text1"/>
          <w:szCs w:val="24"/>
        </w:rPr>
        <w:t>performance.  All evidence considered</w:t>
      </w:r>
      <w:proofErr w:type="gramStart"/>
      <w:r w:rsidR="008C3223" w:rsidRPr="001F29F9">
        <w:rPr>
          <w:color w:val="000000" w:themeColor="text1"/>
          <w:szCs w:val="24"/>
        </w:rPr>
        <w:t>,</w:t>
      </w:r>
      <w:proofErr w:type="gramEnd"/>
      <w:r w:rsidR="008C3223" w:rsidRPr="001F29F9">
        <w:rPr>
          <w:color w:val="000000" w:themeColor="text1"/>
          <w:szCs w:val="24"/>
        </w:rPr>
        <w:t xml:space="preserve"> there is not reasonable doubt in the CI’s favor supporting re</w:t>
      </w:r>
      <w:r w:rsidR="000F63B2">
        <w:rPr>
          <w:color w:val="000000" w:themeColor="text1"/>
          <w:szCs w:val="24"/>
        </w:rPr>
        <w:t>versal</w:t>
      </w:r>
      <w:r w:rsidR="008C3223" w:rsidRPr="001F29F9">
        <w:rPr>
          <w:color w:val="000000" w:themeColor="text1"/>
          <w:szCs w:val="24"/>
        </w:rPr>
        <w:t xml:space="preserve"> of the PEB fitness adjudication for </w:t>
      </w:r>
      <w:r w:rsidR="00F26A26">
        <w:rPr>
          <w:color w:val="000000" w:themeColor="text1"/>
          <w:szCs w:val="24"/>
        </w:rPr>
        <w:t xml:space="preserve">the LBP </w:t>
      </w:r>
      <w:r w:rsidR="008C3223" w:rsidRPr="001F29F9">
        <w:rPr>
          <w:color w:val="000000" w:themeColor="text1"/>
          <w:szCs w:val="24"/>
        </w:rPr>
        <w:t>condition.</w:t>
      </w:r>
      <w:r w:rsidR="000F63B2">
        <w:rPr>
          <w:color w:val="000000" w:themeColor="text1"/>
          <w:szCs w:val="24"/>
        </w:rPr>
        <w:t xml:space="preserve">  </w:t>
      </w:r>
      <w:r w:rsidR="00A02AA8" w:rsidRPr="008B69E0">
        <w:rPr>
          <w:color w:val="000000" w:themeColor="text1"/>
          <w:szCs w:val="24"/>
        </w:rPr>
        <w:t>The Board therefore has no reasonable</w:t>
      </w:r>
      <w:r w:rsidR="00A02AA8" w:rsidRPr="001F29F9">
        <w:rPr>
          <w:color w:val="000000" w:themeColor="text1"/>
          <w:szCs w:val="24"/>
        </w:rPr>
        <w:t xml:space="preserve"> basis for recommending any additional unfitting conditions for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210494" w:rsidRDefault="00C56FC8" w:rsidP="00210494">
      <w:pPr>
        <w:jc w:val="both"/>
        <w:rPr>
          <w:rFonts w:cs="Times New Roman"/>
          <w:color w:val="auto"/>
        </w:rPr>
      </w:pPr>
      <w:r w:rsidRPr="008251CD">
        <w:rPr>
          <w:color w:val="000000" w:themeColor="text1"/>
          <w:szCs w:val="24"/>
          <w:u w:val="single"/>
        </w:rPr>
        <w:lastRenderedPageBreak/>
        <w:t>BOARD FINDINGS</w:t>
      </w:r>
      <w:r w:rsidRPr="008251CD">
        <w:rPr>
          <w:color w:val="000000" w:themeColor="text1"/>
          <w:szCs w:val="24"/>
        </w:rPr>
        <w:t>:</w:t>
      </w:r>
      <w:r w:rsidRPr="008251CD">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F63B2" w:rsidRPr="008251CD">
        <w:rPr>
          <w:rFonts w:asciiTheme="minorHAnsi" w:eastAsiaTheme="minorHAnsi" w:hAnsiTheme="minorHAnsi" w:cs="Times New Roman"/>
          <w:color w:val="auto"/>
          <w:szCs w:val="24"/>
        </w:rPr>
        <w:t>.  In the matter of the</w:t>
      </w:r>
      <w:r w:rsidR="00223E2D" w:rsidRPr="008251CD">
        <w:rPr>
          <w:rFonts w:asciiTheme="minorHAnsi" w:eastAsiaTheme="minorHAnsi" w:hAnsiTheme="minorHAnsi" w:cs="Times New Roman"/>
          <w:color w:val="auto"/>
          <w:szCs w:val="24"/>
        </w:rPr>
        <w:t xml:space="preserve"> right knee condition</w:t>
      </w:r>
      <w:r w:rsidR="008251CD" w:rsidRPr="008251CD">
        <w:rPr>
          <w:rFonts w:eastAsia="Calibri" w:cs="Times New Roman"/>
          <w:color w:val="auto"/>
          <w:szCs w:val="24"/>
        </w:rPr>
        <w:t xml:space="preserve">, and IAW </w:t>
      </w:r>
      <w:r w:rsidR="008251CD" w:rsidRPr="008251CD">
        <w:rPr>
          <w:rFonts w:eastAsia="Calibri"/>
          <w:color w:val="auto"/>
          <w:szCs w:val="24"/>
        </w:rPr>
        <w:t>VASRD §4.40, §4.45, §4.59, and §4.71a;</w:t>
      </w:r>
      <w:r w:rsidR="008251CD" w:rsidRPr="008251CD">
        <w:rPr>
          <w:rFonts w:eastAsia="Calibri" w:cs="Times New Roman"/>
          <w:color w:val="auto"/>
          <w:szCs w:val="24"/>
        </w:rPr>
        <w:t xml:space="preserve"> the Board unanimously recommends no change in the PEB adjudication.</w:t>
      </w:r>
      <w:r w:rsidR="008251CD">
        <w:rPr>
          <w:rFonts w:eastAsia="Calibri" w:cs="Times New Roman"/>
          <w:color w:val="auto"/>
          <w:szCs w:val="24"/>
        </w:rPr>
        <w:t xml:space="preserve">  </w:t>
      </w:r>
      <w:r w:rsidR="008251CD" w:rsidRPr="008251CD">
        <w:rPr>
          <w:rFonts w:eastAsia="Calibri" w:cs="Times New Roman"/>
          <w:color w:val="auto"/>
          <w:szCs w:val="24"/>
        </w:rPr>
        <w:t>In the matter of the LBP,</w:t>
      </w:r>
      <w:r w:rsidR="008251CD" w:rsidRPr="008251CD">
        <w:rPr>
          <w:rFonts w:eastAsia="HiddenHorzOCR"/>
          <w:color w:val="000000" w:themeColor="text1"/>
          <w:szCs w:val="24"/>
        </w:rPr>
        <w:t xml:space="preserve"> </w:t>
      </w:r>
      <w:r w:rsidR="008251CD" w:rsidRPr="008251CD">
        <w:rPr>
          <w:rFonts w:eastAsia="Calibri" w:cs="Times New Roman"/>
          <w:color w:val="auto"/>
          <w:szCs w:val="24"/>
        </w:rPr>
        <w:t>the Board unanimously recommends no change in the PEB determination as not unfitting.</w:t>
      </w:r>
      <w:r w:rsidR="008251CD" w:rsidRPr="00F64312">
        <w:rPr>
          <w:rFonts w:eastAsia="Calibri" w:cs="Times New Roman"/>
          <w:color w:val="auto"/>
          <w:szCs w:val="24"/>
        </w:rPr>
        <w:t xml:space="preserve">  </w:t>
      </w:r>
    </w:p>
    <w:p w:rsidR="006B4AA2" w:rsidRPr="00210494" w:rsidRDefault="00C56FC8" w:rsidP="00BF0E94">
      <w:pPr>
        <w:jc w:val="both"/>
        <w:rPr>
          <w:rFonts w:cs="Times New Roman"/>
          <w:color w:val="auto"/>
        </w:rPr>
      </w:pPr>
      <w:r w:rsidRPr="001F29F9">
        <w:rPr>
          <w:color w:val="000000" w:themeColor="text1"/>
          <w:szCs w:val="24"/>
          <w:u w:val="single"/>
        </w:rPr>
        <w:t>RECOMMENDATION</w:t>
      </w:r>
      <w:r w:rsidRPr="001F29F9">
        <w:rPr>
          <w:color w:val="000000" w:themeColor="text1"/>
          <w:szCs w:val="24"/>
        </w:rPr>
        <w:t>:</w:t>
      </w:r>
      <w:r w:rsidR="00210494">
        <w:rPr>
          <w:rFonts w:cs="Times New Roman"/>
          <w:color w:val="auto"/>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E33305" w:rsidRPr="001F29F9" w:rsidRDefault="00E33305"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0F63B2" w:rsidP="00BF0E94">
            <w:pPr>
              <w:tabs>
                <w:tab w:val="left" w:pos="288"/>
                <w:tab w:val="left" w:pos="4752"/>
              </w:tabs>
              <w:jc w:val="left"/>
              <w:rPr>
                <w:color w:val="000000" w:themeColor="text1"/>
                <w:szCs w:val="24"/>
              </w:rPr>
            </w:pPr>
            <w:r>
              <w:rPr>
                <w:color w:val="000000" w:themeColor="text1"/>
                <w:szCs w:val="24"/>
              </w:rPr>
              <w:t>Right knee condition</w:t>
            </w:r>
          </w:p>
        </w:tc>
        <w:tc>
          <w:tcPr>
            <w:tcW w:w="1710" w:type="dxa"/>
            <w:vAlign w:val="center"/>
          </w:tcPr>
          <w:p w:rsidR="00A95BBA" w:rsidRPr="001F29F9" w:rsidRDefault="000F63B2" w:rsidP="00BF0E94">
            <w:pPr>
              <w:tabs>
                <w:tab w:val="left" w:pos="288"/>
                <w:tab w:val="left" w:pos="4752"/>
              </w:tabs>
              <w:rPr>
                <w:color w:val="000000" w:themeColor="text1"/>
                <w:szCs w:val="24"/>
              </w:rPr>
            </w:pPr>
            <w:r>
              <w:rPr>
                <w:color w:val="000000" w:themeColor="text1"/>
                <w:szCs w:val="24"/>
              </w:rPr>
              <w:t>5261</w:t>
            </w:r>
          </w:p>
        </w:tc>
        <w:tc>
          <w:tcPr>
            <w:tcW w:w="1170" w:type="dxa"/>
            <w:vAlign w:val="center"/>
          </w:tcPr>
          <w:p w:rsidR="00A95BBA" w:rsidRPr="001F29F9" w:rsidRDefault="000F63B2" w:rsidP="000F63B2">
            <w:pPr>
              <w:tabs>
                <w:tab w:val="left" w:pos="288"/>
                <w:tab w:val="left" w:pos="4752"/>
              </w:tabs>
              <w:rPr>
                <w:color w:val="000000" w:themeColor="text1"/>
                <w:szCs w:val="24"/>
              </w:rPr>
            </w:pPr>
            <w:r w:rsidRPr="000F63B2">
              <w:rPr>
                <w:color w:val="000000" w:themeColor="text1"/>
                <w:szCs w:val="24"/>
              </w:rPr>
              <w:t>10</w:t>
            </w:r>
            <w:r w:rsidR="00A95BBA" w:rsidRPr="000F63B2">
              <w:rPr>
                <w:color w:val="000000" w:themeColor="text1"/>
                <w:szCs w:val="24"/>
              </w:rPr>
              <w:t>%</w:t>
            </w:r>
          </w:p>
        </w:tc>
      </w:tr>
      <w:tr w:rsidR="00A95BBA" w:rsidRPr="001F29F9" w:rsidTr="0080588E">
        <w:tblPrEx>
          <w:tblLook w:val="0000" w:firstRow="0" w:lastRow="0" w:firstColumn="0" w:lastColumn="0" w:noHBand="0" w:noVBand="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0F63B2" w:rsidP="00BF0E94">
            <w:pPr>
              <w:tabs>
                <w:tab w:val="left" w:pos="288"/>
                <w:tab w:val="left" w:pos="4752"/>
              </w:tabs>
              <w:rPr>
                <w:b/>
                <w:color w:val="000000" w:themeColor="text1"/>
                <w:szCs w:val="24"/>
              </w:rPr>
            </w:pPr>
            <w:r w:rsidRPr="000F63B2">
              <w:rPr>
                <w:b/>
                <w:color w:val="000000" w:themeColor="text1"/>
                <w:szCs w:val="24"/>
              </w:rPr>
              <w:t>1</w:t>
            </w:r>
            <w:r w:rsidR="00A95BBA" w:rsidRPr="000F63B2">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27479B" w:rsidRDefault="00FB1725" w:rsidP="0027479B">
      <w:pPr>
        <w:tabs>
          <w:tab w:val="left" w:pos="288"/>
          <w:tab w:val="left" w:pos="4752"/>
        </w:tabs>
        <w:jc w:val="both"/>
        <w:rPr>
          <w:color w:val="000000" w:themeColor="text1"/>
        </w:rPr>
      </w:pPr>
      <w:r w:rsidRPr="001F29F9">
        <w:rPr>
          <w:color w:val="000000" w:themeColor="text1"/>
        </w:rPr>
        <w:t>The following documentary evidence was considered:</w:t>
      </w:r>
    </w:p>
    <w:p w:rsidR="0027479B" w:rsidRDefault="0027479B" w:rsidP="0027479B">
      <w:pPr>
        <w:tabs>
          <w:tab w:val="left" w:pos="288"/>
          <w:tab w:val="left" w:pos="4752"/>
        </w:tabs>
        <w:jc w:val="both"/>
        <w:rPr>
          <w:color w:val="000000" w:themeColor="text1"/>
        </w:rPr>
      </w:pPr>
    </w:p>
    <w:p w:rsidR="00114F20" w:rsidRPr="001F29F9" w:rsidRDefault="00FB1725" w:rsidP="0027479B">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237671">
        <w:rPr>
          <w:color w:val="000000" w:themeColor="text1"/>
          <w:szCs w:val="24"/>
        </w:rPr>
        <w:t>10728</w:t>
      </w:r>
      <w:r w:rsidR="00210494">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210494">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210494">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F00E60" w:rsidRPr="001F29F9">
        <w:rPr>
          <w:color w:val="000000" w:themeColor="text1"/>
          <w:szCs w:val="24"/>
        </w:rPr>
        <w:t xml:space="preserve">MICHAEL F. LoGRANDE, </w:t>
      </w:r>
      <w:r w:rsidR="00E3077F" w:rsidRPr="001F29F9">
        <w:rPr>
          <w:color w:val="000000" w:themeColor="text1"/>
          <w:szCs w:val="24"/>
        </w:rPr>
        <w:t>DAF</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C1607" w:rsidRDefault="00DC1607" w:rsidP="00BF0E94">
      <w:pPr>
        <w:rPr>
          <w:color w:val="000000" w:themeColor="text1"/>
          <w:szCs w:val="24"/>
          <w:u w:val="single"/>
        </w:rPr>
      </w:pPr>
    </w:p>
    <w:p w:rsidR="00996790" w:rsidRDefault="00996790">
      <w:pPr>
        <w:rPr>
          <w:color w:val="000000" w:themeColor="text1"/>
          <w:szCs w:val="24"/>
          <w:u w:val="single"/>
        </w:rPr>
      </w:pPr>
      <w:r>
        <w:rPr>
          <w:color w:val="000000" w:themeColor="text1"/>
          <w:szCs w:val="24"/>
          <w:u w:val="single"/>
        </w:rPr>
        <w:br w:type="page"/>
      </w:r>
    </w:p>
    <w:p w:rsidR="00996790" w:rsidRDefault="00996790" w:rsidP="00996790">
      <w:pPr>
        <w:sectPr w:rsidR="00996790">
          <w:pgSz w:w="12240" w:h="15840"/>
          <w:pgMar w:top="2160" w:right="1440" w:bottom="1440" w:left="1440" w:header="720" w:footer="720" w:gutter="0"/>
          <w:cols w:space="720"/>
        </w:sectPr>
      </w:pPr>
    </w:p>
    <w:p w:rsidR="00996790" w:rsidRDefault="00996790" w:rsidP="00996790">
      <w:pPr>
        <w:pStyle w:val="Header"/>
        <w:tabs>
          <w:tab w:val="left" w:pos="720"/>
        </w:tabs>
        <w:jc w:val="left"/>
      </w:pPr>
      <w:r>
        <w:lastRenderedPageBreak/>
        <w:t>SFMR-RB</w:t>
      </w:r>
      <w:r>
        <w:tab/>
      </w:r>
      <w:r>
        <w:tab/>
      </w:r>
      <w:r>
        <w:tab/>
      </w:r>
      <w:r>
        <w:tab/>
      </w:r>
      <w:r>
        <w:tab/>
      </w:r>
      <w:r>
        <w:tab/>
      </w:r>
      <w:r>
        <w:tab/>
      </w:r>
      <w:r>
        <w:tab/>
      </w:r>
      <w:r>
        <w:tab/>
      </w:r>
    </w:p>
    <w:p w:rsidR="00996790" w:rsidRDefault="00996790" w:rsidP="00996790">
      <w:pPr>
        <w:pStyle w:val="Header"/>
        <w:tabs>
          <w:tab w:val="left" w:pos="720"/>
        </w:tabs>
        <w:jc w:val="left"/>
      </w:pPr>
    </w:p>
    <w:p w:rsidR="00996790" w:rsidRDefault="00996790" w:rsidP="00996790">
      <w:pPr>
        <w:jc w:val="left"/>
      </w:pPr>
    </w:p>
    <w:p w:rsidR="00996790" w:rsidRDefault="00996790" w:rsidP="00996790">
      <w:pPr>
        <w:jc w:val="left"/>
      </w:pPr>
      <w:r>
        <w:t xml:space="preserve">MEMORANDUM FOR Commander, US Army Physical Disability Agency </w:t>
      </w:r>
    </w:p>
    <w:p w:rsidR="00996790" w:rsidRDefault="00996790" w:rsidP="00996790">
      <w:pPr>
        <w:jc w:val="left"/>
      </w:pPr>
      <w:r>
        <w:t>(TAPD-ZB /</w:t>
      </w:r>
      <w:bookmarkStart w:id="0" w:name="_GoBack"/>
      <w:bookmarkEnd w:id="0"/>
      <w:r>
        <w:t>), 2900 Crystal Drive, Suite 300, Arlington, VA  22202</w:t>
      </w:r>
    </w:p>
    <w:p w:rsidR="00996790" w:rsidRDefault="00996790" w:rsidP="00996790">
      <w:pPr>
        <w:jc w:val="left"/>
      </w:pPr>
    </w:p>
    <w:p w:rsidR="00996790" w:rsidRDefault="00996790" w:rsidP="00996790">
      <w:pPr>
        <w:ind w:right="-180"/>
        <w:jc w:val="left"/>
      </w:pPr>
      <w:r>
        <w:t>SUBJECT:  Department of Defense Physical Disability Board of Review Recommendation for Mr., AR20120011829 (PD201100781)</w:t>
      </w:r>
    </w:p>
    <w:p w:rsidR="00996790" w:rsidRDefault="00996790" w:rsidP="00996790">
      <w:pPr>
        <w:pStyle w:val="Header"/>
        <w:tabs>
          <w:tab w:val="left" w:pos="720"/>
        </w:tabs>
        <w:jc w:val="left"/>
      </w:pPr>
    </w:p>
    <w:p w:rsidR="00996790" w:rsidRDefault="00996790" w:rsidP="00996790">
      <w:pPr>
        <w:jc w:val="left"/>
      </w:pPr>
    </w:p>
    <w:p w:rsidR="00996790" w:rsidRDefault="00996790" w:rsidP="00996790">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996790" w:rsidRDefault="00996790" w:rsidP="00996790">
      <w:pPr>
        <w:jc w:val="left"/>
      </w:pPr>
      <w:r>
        <w:t>This decision is final.  The individual concerned, counsel (if any), and any Members of Congress who have shown interest in this application have been notified of this decision by mail.</w:t>
      </w:r>
    </w:p>
    <w:p w:rsidR="00996790" w:rsidRDefault="00996790" w:rsidP="00996790">
      <w:pPr>
        <w:jc w:val="left"/>
      </w:pPr>
    </w:p>
    <w:p w:rsidR="00996790" w:rsidRDefault="00996790" w:rsidP="00996790">
      <w:pPr>
        <w:jc w:val="left"/>
      </w:pPr>
      <w:r>
        <w:t xml:space="preserve"> BY ORDER OF THE SECRETARY OF THE ARMY:</w:t>
      </w:r>
    </w:p>
    <w:p w:rsidR="00996790" w:rsidRDefault="00996790" w:rsidP="00996790">
      <w:pPr>
        <w:jc w:val="left"/>
      </w:pPr>
    </w:p>
    <w:p w:rsidR="00996790" w:rsidRDefault="00996790" w:rsidP="00996790">
      <w:pPr>
        <w:jc w:val="left"/>
      </w:pPr>
    </w:p>
    <w:p w:rsidR="00996790" w:rsidRDefault="00996790" w:rsidP="00996790">
      <w:pPr>
        <w:pStyle w:val="Header"/>
        <w:tabs>
          <w:tab w:val="left" w:pos="720"/>
        </w:tabs>
        <w:jc w:val="left"/>
      </w:pPr>
    </w:p>
    <w:p w:rsidR="00996790" w:rsidRDefault="00996790" w:rsidP="00996790">
      <w:pPr>
        <w:jc w:val="left"/>
      </w:pPr>
    </w:p>
    <w:p w:rsidR="00996790" w:rsidRDefault="00996790" w:rsidP="00996790">
      <w:pPr>
        <w:jc w:val="left"/>
      </w:pPr>
      <w:bookmarkStart w:id="1" w:name="OLE_LINK4"/>
      <w:bookmarkStart w:id="2" w:name="OLE_LINK3"/>
      <w:r>
        <w:t>Encl</w:t>
      </w:r>
      <w:r>
        <w:tab/>
      </w:r>
      <w:r>
        <w:tab/>
      </w:r>
      <w:r>
        <w:tab/>
      </w:r>
      <w:r>
        <w:tab/>
      </w:r>
      <w:r>
        <w:tab/>
      </w:r>
      <w:r>
        <w:tab/>
        <w:t xml:space="preserve">     CATHERINE C. MITRANO</w:t>
      </w:r>
    </w:p>
    <w:p w:rsidR="00996790" w:rsidRDefault="00996790" w:rsidP="00996790">
      <w:pPr>
        <w:jc w:val="left"/>
      </w:pPr>
      <w:r>
        <w:tab/>
      </w:r>
      <w:r>
        <w:tab/>
      </w:r>
      <w:r>
        <w:tab/>
      </w:r>
      <w:r>
        <w:tab/>
      </w:r>
      <w:r>
        <w:tab/>
      </w:r>
      <w:r>
        <w:tab/>
        <w:t xml:space="preserve">     Deputy Assistant Secretary</w:t>
      </w:r>
    </w:p>
    <w:p w:rsidR="00996790" w:rsidRDefault="00996790" w:rsidP="00996790">
      <w:pPr>
        <w:jc w:val="left"/>
      </w:pPr>
      <w:r>
        <w:tab/>
      </w:r>
      <w:r>
        <w:tab/>
      </w:r>
      <w:r>
        <w:tab/>
      </w:r>
      <w:r>
        <w:tab/>
      </w:r>
      <w:r>
        <w:tab/>
      </w:r>
      <w:r>
        <w:tab/>
        <w:t xml:space="preserve">         (Army Review Boards)</w:t>
      </w:r>
      <w:bookmarkEnd w:id="1"/>
      <w:bookmarkEnd w:id="2"/>
    </w:p>
    <w:p w:rsidR="00996790" w:rsidRDefault="00996790" w:rsidP="00996790">
      <w:pPr>
        <w:jc w:val="left"/>
      </w:pPr>
    </w:p>
    <w:p w:rsidR="00996790" w:rsidRDefault="00996790" w:rsidP="00996790">
      <w:pPr>
        <w:jc w:val="left"/>
      </w:pPr>
      <w:r>
        <w:t xml:space="preserve">CF: </w:t>
      </w:r>
    </w:p>
    <w:p w:rsidR="00996790" w:rsidRDefault="00996790" w:rsidP="00996790">
      <w:pPr>
        <w:jc w:val="left"/>
      </w:pPr>
      <w:r>
        <w:t xml:space="preserve">(  ) </w:t>
      </w:r>
      <w:proofErr w:type="gramStart"/>
      <w:r>
        <w:t>DoD</w:t>
      </w:r>
      <w:proofErr w:type="gramEnd"/>
      <w:r>
        <w:t xml:space="preserve"> PDBR</w:t>
      </w:r>
    </w:p>
    <w:p w:rsidR="00996790" w:rsidRDefault="00996790" w:rsidP="00996790">
      <w:pPr>
        <w:jc w:val="left"/>
      </w:pPr>
      <w:r>
        <w:t>(  ) DVA</w:t>
      </w:r>
    </w:p>
    <w:p w:rsidR="00996790" w:rsidRDefault="00996790" w:rsidP="00996790">
      <w:pPr>
        <w:jc w:val="left"/>
      </w:pPr>
    </w:p>
    <w:p w:rsidR="00DC1607" w:rsidRPr="00DC1607" w:rsidRDefault="00DC1607" w:rsidP="00DC1607">
      <w:pPr>
        <w:jc w:val="left"/>
        <w:rPr>
          <w:color w:val="000000" w:themeColor="text1"/>
          <w:szCs w:val="24"/>
          <w:u w:val="single"/>
        </w:rPr>
      </w:pPr>
    </w:p>
    <w:sectPr w:rsidR="00DC1607" w:rsidRPr="00DC1607"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E4" w:rsidRDefault="00B037E4">
      <w:r>
        <w:separator/>
      </w:r>
    </w:p>
  </w:endnote>
  <w:endnote w:type="continuationSeparator" w:id="0">
    <w:p w:rsidR="00B037E4" w:rsidRDefault="00B0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embedRegular r:id="rId1" w:fontKey="{4B476013-A641-4212-A89D-0215B8A38BF5}"/>
    <w:embedBold r:id="rId2" w:fontKey="{FECFD075-6EF4-41F7-99DB-9AD70E7D0799}"/>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Cs w:val="24"/>
      </w:rPr>
      <w:id w:val="94093361"/>
      <w:docPartObj>
        <w:docPartGallery w:val="Page Numbers (Bottom of Page)"/>
        <w:docPartUnique/>
      </w:docPartObj>
    </w:sdtPr>
    <w:sdtEndPr/>
    <w:sdtContent>
      <w:p w:rsidR="00C42CF6" w:rsidRPr="00374247" w:rsidRDefault="00C42CF6" w:rsidP="00374247">
        <w:pPr>
          <w:pStyle w:val="Footer"/>
          <w:ind w:firstLine="4320"/>
          <w:rPr>
            <w:color w:val="auto"/>
            <w:szCs w:val="24"/>
          </w:rPr>
        </w:pPr>
        <w:r w:rsidRPr="00374247">
          <w:rPr>
            <w:color w:val="auto"/>
            <w:szCs w:val="24"/>
          </w:rPr>
          <w:t xml:space="preserve">   </w:t>
        </w:r>
        <w:r w:rsidR="00AD571B" w:rsidRPr="00374247">
          <w:rPr>
            <w:color w:val="auto"/>
            <w:szCs w:val="24"/>
          </w:rPr>
          <w:fldChar w:fldCharType="begin"/>
        </w:r>
        <w:r w:rsidRPr="00374247">
          <w:rPr>
            <w:color w:val="auto"/>
            <w:szCs w:val="24"/>
          </w:rPr>
          <w:instrText xml:space="preserve"> PAGE   \* MERGEFORMAT </w:instrText>
        </w:r>
        <w:r w:rsidR="00AD571B" w:rsidRPr="00374247">
          <w:rPr>
            <w:color w:val="auto"/>
            <w:szCs w:val="24"/>
          </w:rPr>
          <w:fldChar w:fldCharType="separate"/>
        </w:r>
        <w:r w:rsidR="00996790" w:rsidRPr="00996790">
          <w:rPr>
            <w:noProof/>
            <w:color w:val="auto"/>
          </w:rPr>
          <w:t>3</w:t>
        </w:r>
        <w:r w:rsidR="00AD571B" w:rsidRPr="00374247">
          <w:rPr>
            <w:color w:val="auto"/>
            <w:szCs w:val="24"/>
          </w:rPr>
          <w:fldChar w:fldCharType="end"/>
        </w:r>
        <w:r w:rsidRPr="00374247">
          <w:rPr>
            <w:color w:val="auto"/>
            <w:szCs w:val="24"/>
          </w:rPr>
          <w:t xml:space="preserve">                                                           </w:t>
        </w:r>
        <w:r w:rsidRPr="001D64F3">
          <w:rPr>
            <w:color w:val="auto"/>
            <w:szCs w:val="24"/>
          </w:rPr>
          <w:t>P</w:t>
        </w:r>
        <w:r w:rsidRPr="00237671">
          <w:rPr>
            <w:color w:val="auto"/>
            <w:szCs w:val="24"/>
          </w:rPr>
          <w:t>D110078</w:t>
        </w:r>
        <w:r>
          <w:rPr>
            <w:color w:val="auto"/>
            <w:szCs w:val="24"/>
          </w:rPr>
          <w:t>1</w:t>
        </w:r>
      </w:p>
    </w:sdtContent>
  </w:sdt>
  <w:p w:rsidR="00C42CF6" w:rsidRPr="00684CE6" w:rsidRDefault="00C42CF6">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E4" w:rsidRDefault="00B037E4">
      <w:r>
        <w:separator/>
      </w:r>
    </w:p>
  </w:footnote>
  <w:footnote w:type="continuationSeparator" w:id="0">
    <w:p w:rsidR="00B037E4" w:rsidRDefault="00B03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TrueTypeFonts/>
  <w:embedSystem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4DC"/>
    <w:rsid w:val="00051622"/>
    <w:rsid w:val="00051A11"/>
    <w:rsid w:val="00052234"/>
    <w:rsid w:val="00052A7C"/>
    <w:rsid w:val="00053D7C"/>
    <w:rsid w:val="00054ED4"/>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196C"/>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845"/>
    <w:rsid w:val="000F427B"/>
    <w:rsid w:val="000F43D0"/>
    <w:rsid w:val="000F4F18"/>
    <w:rsid w:val="000F63B2"/>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2927"/>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0CE1"/>
    <w:rsid w:val="001710A0"/>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357"/>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2B9"/>
    <w:rsid w:val="00203652"/>
    <w:rsid w:val="00204562"/>
    <w:rsid w:val="00205B4F"/>
    <w:rsid w:val="002060B6"/>
    <w:rsid w:val="002066B5"/>
    <w:rsid w:val="002075A9"/>
    <w:rsid w:val="00210494"/>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490"/>
    <w:rsid w:val="002216BF"/>
    <w:rsid w:val="00221B9B"/>
    <w:rsid w:val="00222268"/>
    <w:rsid w:val="00223E2D"/>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671"/>
    <w:rsid w:val="002378C2"/>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67"/>
    <w:rsid w:val="00262EA5"/>
    <w:rsid w:val="0026318D"/>
    <w:rsid w:val="00264148"/>
    <w:rsid w:val="002660AF"/>
    <w:rsid w:val="00270864"/>
    <w:rsid w:val="002708A3"/>
    <w:rsid w:val="002712F7"/>
    <w:rsid w:val="0027159C"/>
    <w:rsid w:val="002722F2"/>
    <w:rsid w:val="00274549"/>
    <w:rsid w:val="0027479B"/>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139"/>
    <w:rsid w:val="002B32E9"/>
    <w:rsid w:val="002B4E22"/>
    <w:rsid w:val="002B51B4"/>
    <w:rsid w:val="002B6FA0"/>
    <w:rsid w:val="002B7710"/>
    <w:rsid w:val="002C0DEA"/>
    <w:rsid w:val="002C34F6"/>
    <w:rsid w:val="002C3B6D"/>
    <w:rsid w:val="002C3F59"/>
    <w:rsid w:val="002C5D9D"/>
    <w:rsid w:val="002C5F10"/>
    <w:rsid w:val="002C6C87"/>
    <w:rsid w:val="002C6E5B"/>
    <w:rsid w:val="002D08F3"/>
    <w:rsid w:val="002D18B4"/>
    <w:rsid w:val="002D2058"/>
    <w:rsid w:val="002D231A"/>
    <w:rsid w:val="002D5330"/>
    <w:rsid w:val="002D5F57"/>
    <w:rsid w:val="002D73D4"/>
    <w:rsid w:val="002D73FD"/>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E7F"/>
    <w:rsid w:val="002F7F81"/>
    <w:rsid w:val="00300A36"/>
    <w:rsid w:val="00301B45"/>
    <w:rsid w:val="003057DE"/>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22F"/>
    <w:rsid w:val="00341A54"/>
    <w:rsid w:val="00344A4F"/>
    <w:rsid w:val="00344D17"/>
    <w:rsid w:val="0034669F"/>
    <w:rsid w:val="003470C4"/>
    <w:rsid w:val="00351498"/>
    <w:rsid w:val="00352B22"/>
    <w:rsid w:val="00352CBF"/>
    <w:rsid w:val="00354547"/>
    <w:rsid w:val="003549F5"/>
    <w:rsid w:val="00355ACB"/>
    <w:rsid w:val="00355D01"/>
    <w:rsid w:val="003567DE"/>
    <w:rsid w:val="003574F3"/>
    <w:rsid w:val="00357831"/>
    <w:rsid w:val="003604A5"/>
    <w:rsid w:val="0036114B"/>
    <w:rsid w:val="003618B6"/>
    <w:rsid w:val="0036199A"/>
    <w:rsid w:val="003620C8"/>
    <w:rsid w:val="0036319E"/>
    <w:rsid w:val="003632A4"/>
    <w:rsid w:val="00363362"/>
    <w:rsid w:val="0036392A"/>
    <w:rsid w:val="003646F5"/>
    <w:rsid w:val="00364CAB"/>
    <w:rsid w:val="00365767"/>
    <w:rsid w:val="003659C0"/>
    <w:rsid w:val="003660DF"/>
    <w:rsid w:val="00367D4F"/>
    <w:rsid w:val="00370743"/>
    <w:rsid w:val="00370EF5"/>
    <w:rsid w:val="00370F49"/>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5EB"/>
    <w:rsid w:val="003C294B"/>
    <w:rsid w:val="003C5046"/>
    <w:rsid w:val="003C53E8"/>
    <w:rsid w:val="003C54B1"/>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E02"/>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3F9"/>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0992"/>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B1A"/>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69F6"/>
    <w:rsid w:val="004F77A3"/>
    <w:rsid w:val="005000AB"/>
    <w:rsid w:val="00500EAF"/>
    <w:rsid w:val="00500F3C"/>
    <w:rsid w:val="005025EE"/>
    <w:rsid w:val="00503401"/>
    <w:rsid w:val="00503DDF"/>
    <w:rsid w:val="00504CD5"/>
    <w:rsid w:val="00505524"/>
    <w:rsid w:val="005058D5"/>
    <w:rsid w:val="00506688"/>
    <w:rsid w:val="00510588"/>
    <w:rsid w:val="00510F9C"/>
    <w:rsid w:val="0051146C"/>
    <w:rsid w:val="0051220B"/>
    <w:rsid w:val="00512253"/>
    <w:rsid w:val="00512484"/>
    <w:rsid w:val="00514449"/>
    <w:rsid w:val="00515419"/>
    <w:rsid w:val="005157BD"/>
    <w:rsid w:val="00516E68"/>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3770D"/>
    <w:rsid w:val="005400C5"/>
    <w:rsid w:val="005404CD"/>
    <w:rsid w:val="00540BE0"/>
    <w:rsid w:val="00540BEF"/>
    <w:rsid w:val="00542B34"/>
    <w:rsid w:val="00542C9A"/>
    <w:rsid w:val="005436C2"/>
    <w:rsid w:val="005442D4"/>
    <w:rsid w:val="0054586A"/>
    <w:rsid w:val="00545B3F"/>
    <w:rsid w:val="0054631F"/>
    <w:rsid w:val="00546C24"/>
    <w:rsid w:val="005471BA"/>
    <w:rsid w:val="00547BDA"/>
    <w:rsid w:val="00547BE6"/>
    <w:rsid w:val="0055034F"/>
    <w:rsid w:val="00550476"/>
    <w:rsid w:val="0055288D"/>
    <w:rsid w:val="005543F5"/>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6F2A"/>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5EFB"/>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9DB"/>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5FC8"/>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0D17"/>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5807"/>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BFB"/>
    <w:rsid w:val="00795CE9"/>
    <w:rsid w:val="00796045"/>
    <w:rsid w:val="007968AC"/>
    <w:rsid w:val="007969AB"/>
    <w:rsid w:val="007973D8"/>
    <w:rsid w:val="00797801"/>
    <w:rsid w:val="007A0861"/>
    <w:rsid w:val="007A0B39"/>
    <w:rsid w:val="007A14A4"/>
    <w:rsid w:val="007A168F"/>
    <w:rsid w:val="007A199E"/>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9FF"/>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51CD"/>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1941"/>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00"/>
    <w:rsid w:val="00861E7C"/>
    <w:rsid w:val="0086429C"/>
    <w:rsid w:val="00865207"/>
    <w:rsid w:val="008656A7"/>
    <w:rsid w:val="00865FA3"/>
    <w:rsid w:val="00866231"/>
    <w:rsid w:val="00866E68"/>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FBA"/>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69E0"/>
    <w:rsid w:val="008B6EF1"/>
    <w:rsid w:val="008B753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3DBA"/>
    <w:rsid w:val="0092402E"/>
    <w:rsid w:val="009259BA"/>
    <w:rsid w:val="00926FCB"/>
    <w:rsid w:val="009303BB"/>
    <w:rsid w:val="0093108A"/>
    <w:rsid w:val="00931B6D"/>
    <w:rsid w:val="0093311A"/>
    <w:rsid w:val="009346D0"/>
    <w:rsid w:val="009369A6"/>
    <w:rsid w:val="00937F57"/>
    <w:rsid w:val="0094031E"/>
    <w:rsid w:val="009419B4"/>
    <w:rsid w:val="00941A4C"/>
    <w:rsid w:val="00941AE2"/>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DB5"/>
    <w:rsid w:val="009642D8"/>
    <w:rsid w:val="009672CD"/>
    <w:rsid w:val="009673F2"/>
    <w:rsid w:val="00971004"/>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10A"/>
    <w:rsid w:val="00990FD6"/>
    <w:rsid w:val="009935C3"/>
    <w:rsid w:val="0099421F"/>
    <w:rsid w:val="00994FC8"/>
    <w:rsid w:val="00996790"/>
    <w:rsid w:val="009A0DE3"/>
    <w:rsid w:val="009A1643"/>
    <w:rsid w:val="009A215A"/>
    <w:rsid w:val="009A26B9"/>
    <w:rsid w:val="009A49D3"/>
    <w:rsid w:val="009A4F1B"/>
    <w:rsid w:val="009A5344"/>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8A6"/>
    <w:rsid w:val="00A0798C"/>
    <w:rsid w:val="00A07BDD"/>
    <w:rsid w:val="00A07F12"/>
    <w:rsid w:val="00A1105B"/>
    <w:rsid w:val="00A1213C"/>
    <w:rsid w:val="00A130E8"/>
    <w:rsid w:val="00A15B6B"/>
    <w:rsid w:val="00A15EB4"/>
    <w:rsid w:val="00A16172"/>
    <w:rsid w:val="00A16876"/>
    <w:rsid w:val="00A16CEA"/>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B59"/>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7FB"/>
    <w:rsid w:val="00A9225E"/>
    <w:rsid w:val="00A92BD3"/>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3FD3"/>
    <w:rsid w:val="00AB4BA4"/>
    <w:rsid w:val="00AB592E"/>
    <w:rsid w:val="00AC0C1C"/>
    <w:rsid w:val="00AC1305"/>
    <w:rsid w:val="00AC2544"/>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1B"/>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2778"/>
    <w:rsid w:val="00B037E4"/>
    <w:rsid w:val="00B04562"/>
    <w:rsid w:val="00B0472F"/>
    <w:rsid w:val="00B06930"/>
    <w:rsid w:val="00B0773A"/>
    <w:rsid w:val="00B07955"/>
    <w:rsid w:val="00B1148C"/>
    <w:rsid w:val="00B1176B"/>
    <w:rsid w:val="00B140B8"/>
    <w:rsid w:val="00B14FAA"/>
    <w:rsid w:val="00B15BED"/>
    <w:rsid w:val="00B15D30"/>
    <w:rsid w:val="00B15F09"/>
    <w:rsid w:val="00B16D18"/>
    <w:rsid w:val="00B177DE"/>
    <w:rsid w:val="00B20624"/>
    <w:rsid w:val="00B21C05"/>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0ED"/>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7B"/>
    <w:rsid w:val="00B83F87"/>
    <w:rsid w:val="00B8478F"/>
    <w:rsid w:val="00B84F93"/>
    <w:rsid w:val="00B9099D"/>
    <w:rsid w:val="00B9133F"/>
    <w:rsid w:val="00B91676"/>
    <w:rsid w:val="00B9322B"/>
    <w:rsid w:val="00B93640"/>
    <w:rsid w:val="00B955D5"/>
    <w:rsid w:val="00B95833"/>
    <w:rsid w:val="00BA1824"/>
    <w:rsid w:val="00BA2D98"/>
    <w:rsid w:val="00BA2F0C"/>
    <w:rsid w:val="00BA30D1"/>
    <w:rsid w:val="00BA30E1"/>
    <w:rsid w:val="00BA3C5F"/>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9D7"/>
    <w:rsid w:val="00BE229C"/>
    <w:rsid w:val="00BE2AB8"/>
    <w:rsid w:val="00BE2FC1"/>
    <w:rsid w:val="00BE3142"/>
    <w:rsid w:val="00BE4039"/>
    <w:rsid w:val="00BE6365"/>
    <w:rsid w:val="00BE7EA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2CF6"/>
    <w:rsid w:val="00C4338C"/>
    <w:rsid w:val="00C43C2B"/>
    <w:rsid w:val="00C45B27"/>
    <w:rsid w:val="00C4652E"/>
    <w:rsid w:val="00C472C7"/>
    <w:rsid w:val="00C5019E"/>
    <w:rsid w:val="00C50C8C"/>
    <w:rsid w:val="00C51962"/>
    <w:rsid w:val="00C51D07"/>
    <w:rsid w:val="00C5377C"/>
    <w:rsid w:val="00C53E8A"/>
    <w:rsid w:val="00C54DF3"/>
    <w:rsid w:val="00C560A7"/>
    <w:rsid w:val="00C56FC8"/>
    <w:rsid w:val="00C577A3"/>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6B"/>
    <w:rsid w:val="00C94CB6"/>
    <w:rsid w:val="00C95299"/>
    <w:rsid w:val="00C95A72"/>
    <w:rsid w:val="00C9650E"/>
    <w:rsid w:val="00C97000"/>
    <w:rsid w:val="00C975BD"/>
    <w:rsid w:val="00CA068D"/>
    <w:rsid w:val="00CA08DF"/>
    <w:rsid w:val="00CA1228"/>
    <w:rsid w:val="00CA130A"/>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ADE"/>
    <w:rsid w:val="00CD1EF2"/>
    <w:rsid w:val="00CD32BD"/>
    <w:rsid w:val="00CD34C7"/>
    <w:rsid w:val="00CD5653"/>
    <w:rsid w:val="00CD5E6D"/>
    <w:rsid w:val="00CD63C8"/>
    <w:rsid w:val="00CD76F8"/>
    <w:rsid w:val="00CD78A5"/>
    <w:rsid w:val="00CE02E8"/>
    <w:rsid w:val="00CE069E"/>
    <w:rsid w:val="00CE0DE0"/>
    <w:rsid w:val="00CE2CC2"/>
    <w:rsid w:val="00CE3722"/>
    <w:rsid w:val="00CE5869"/>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21C"/>
    <w:rsid w:val="00D27C99"/>
    <w:rsid w:val="00D31683"/>
    <w:rsid w:val="00D33452"/>
    <w:rsid w:val="00D336C8"/>
    <w:rsid w:val="00D339E8"/>
    <w:rsid w:val="00D33FDD"/>
    <w:rsid w:val="00D3654A"/>
    <w:rsid w:val="00D3662E"/>
    <w:rsid w:val="00D373F1"/>
    <w:rsid w:val="00D37567"/>
    <w:rsid w:val="00D40B1F"/>
    <w:rsid w:val="00D40D75"/>
    <w:rsid w:val="00D42454"/>
    <w:rsid w:val="00D43978"/>
    <w:rsid w:val="00D43CBD"/>
    <w:rsid w:val="00D449F0"/>
    <w:rsid w:val="00D462D7"/>
    <w:rsid w:val="00D46A33"/>
    <w:rsid w:val="00D47A0A"/>
    <w:rsid w:val="00D5062C"/>
    <w:rsid w:val="00D50C8C"/>
    <w:rsid w:val="00D50D0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B75"/>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3593"/>
    <w:rsid w:val="00DD6082"/>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761"/>
    <w:rsid w:val="00E24849"/>
    <w:rsid w:val="00E2536E"/>
    <w:rsid w:val="00E25A99"/>
    <w:rsid w:val="00E25B8A"/>
    <w:rsid w:val="00E25EF8"/>
    <w:rsid w:val="00E2632B"/>
    <w:rsid w:val="00E26F75"/>
    <w:rsid w:val="00E27423"/>
    <w:rsid w:val="00E3077F"/>
    <w:rsid w:val="00E322F7"/>
    <w:rsid w:val="00E33305"/>
    <w:rsid w:val="00E3369B"/>
    <w:rsid w:val="00E362D2"/>
    <w:rsid w:val="00E36D76"/>
    <w:rsid w:val="00E40478"/>
    <w:rsid w:val="00E405EA"/>
    <w:rsid w:val="00E408B7"/>
    <w:rsid w:val="00E412EB"/>
    <w:rsid w:val="00E41637"/>
    <w:rsid w:val="00E41E11"/>
    <w:rsid w:val="00E42789"/>
    <w:rsid w:val="00E43F59"/>
    <w:rsid w:val="00E464F0"/>
    <w:rsid w:val="00E46EF3"/>
    <w:rsid w:val="00E47370"/>
    <w:rsid w:val="00E473E9"/>
    <w:rsid w:val="00E47B47"/>
    <w:rsid w:val="00E50BEB"/>
    <w:rsid w:val="00E53460"/>
    <w:rsid w:val="00E548FA"/>
    <w:rsid w:val="00E54FF6"/>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A7CEB"/>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4DCD"/>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4A"/>
    <w:rsid w:val="00F12D7A"/>
    <w:rsid w:val="00F130D0"/>
    <w:rsid w:val="00F13AC6"/>
    <w:rsid w:val="00F14933"/>
    <w:rsid w:val="00F1516A"/>
    <w:rsid w:val="00F15EE5"/>
    <w:rsid w:val="00F171F9"/>
    <w:rsid w:val="00F1737C"/>
    <w:rsid w:val="00F173AA"/>
    <w:rsid w:val="00F22A26"/>
    <w:rsid w:val="00F24072"/>
    <w:rsid w:val="00F26432"/>
    <w:rsid w:val="00F26A26"/>
    <w:rsid w:val="00F3197A"/>
    <w:rsid w:val="00F32139"/>
    <w:rsid w:val="00F33C8F"/>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6B54"/>
    <w:rsid w:val="00F67E31"/>
    <w:rsid w:val="00F70B44"/>
    <w:rsid w:val="00F71436"/>
    <w:rsid w:val="00F718A8"/>
    <w:rsid w:val="00F7207E"/>
    <w:rsid w:val="00F72183"/>
    <w:rsid w:val="00F75C12"/>
    <w:rsid w:val="00F76D01"/>
    <w:rsid w:val="00F80B43"/>
    <w:rsid w:val="00F80C97"/>
    <w:rsid w:val="00F81C35"/>
    <w:rsid w:val="00F81E4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16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1A20"/>
    <w:rsid w:val="00FE2A48"/>
    <w:rsid w:val="00FE2DEF"/>
    <w:rsid w:val="00FE323C"/>
    <w:rsid w:val="00FE3A27"/>
    <w:rsid w:val="00FE5D0A"/>
    <w:rsid w:val="00FE6469"/>
    <w:rsid w:val="00FE7C22"/>
    <w:rsid w:val="00FE7C6D"/>
    <w:rsid w:val="00FE7E35"/>
    <w:rsid w:val="00FF05D0"/>
    <w:rsid w:val="00FF06CE"/>
    <w:rsid w:val="00FF0DC2"/>
    <w:rsid w:val="00FF0FF7"/>
    <w:rsid w:val="00FF1022"/>
    <w:rsid w:val="00FF10A2"/>
    <w:rsid w:val="00FF1438"/>
    <w:rsid w:val="00FF3010"/>
    <w:rsid w:val="00FF3A38"/>
    <w:rsid w:val="00FF3C25"/>
    <w:rsid w:val="00FF4129"/>
    <w:rsid w:val="00FF44F7"/>
    <w:rsid w:val="00FF4C90"/>
    <w:rsid w:val="00FF580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996790"/>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61837384">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09D1-A123-4E65-8FF2-51DD2AF2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2011-04-08T11:41:00Z</cp:lastPrinted>
  <dcterms:created xsi:type="dcterms:W3CDTF">2012-07-18T13:54:00Z</dcterms:created>
  <dcterms:modified xsi:type="dcterms:W3CDTF">2012-07-26T14:26:00Z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