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rPr>
      </w:pPr>
      <w:r w:rsidRPr="001F29F9">
        <w:rPr>
          <w:color w:val="000000"/>
        </w:rPr>
        <w:t>RECORD OF PROCEEDINGS</w:t>
      </w:r>
    </w:p>
    <w:p w:rsidR="00540BEF" w:rsidRPr="001F29F9" w:rsidRDefault="00540BEF" w:rsidP="00BF0E94">
      <w:pPr>
        <w:tabs>
          <w:tab w:val="left" w:pos="288"/>
          <w:tab w:val="left" w:pos="4752"/>
        </w:tabs>
        <w:rPr>
          <w:color w:val="000000"/>
        </w:rPr>
      </w:pPr>
      <w:r w:rsidRPr="001F29F9">
        <w:rPr>
          <w:color w:val="000000"/>
        </w:rPr>
        <w:t>PHYSICAL DISABILITY BOARD OF REVIEW</w:t>
      </w:r>
    </w:p>
    <w:p w:rsidR="00540BEF" w:rsidRPr="001F29F9" w:rsidRDefault="00540BEF" w:rsidP="00BF0E94">
      <w:pPr>
        <w:tabs>
          <w:tab w:val="left" w:pos="288"/>
          <w:tab w:val="left" w:pos="4752"/>
        </w:tabs>
        <w:jc w:val="both"/>
        <w:rPr>
          <w:caps/>
          <w:color w:val="000000"/>
        </w:rPr>
      </w:pPr>
    </w:p>
    <w:p w:rsidR="00E0346A" w:rsidRPr="00FE54AD" w:rsidRDefault="00F629C0" w:rsidP="00BF0E94">
      <w:pPr>
        <w:tabs>
          <w:tab w:val="left" w:pos="288"/>
          <w:tab w:val="left" w:pos="4752"/>
          <w:tab w:val="left" w:pos="5130"/>
          <w:tab w:val="left" w:pos="9270"/>
        </w:tabs>
        <w:jc w:val="both"/>
        <w:rPr>
          <w:caps/>
          <w:color w:val="000000"/>
        </w:rPr>
      </w:pPr>
      <w:r w:rsidRPr="00FE54AD">
        <w:rPr>
          <w:caps/>
          <w:color w:val="000000"/>
        </w:rPr>
        <w:t xml:space="preserve">NAME:  </w:t>
      </w:r>
      <w:r w:rsidR="00455922">
        <w:rPr>
          <w:caps/>
          <w:color w:val="000000"/>
        </w:rPr>
        <w:t>XXXXXXXXXXX</w:t>
      </w:r>
      <w:r w:rsidR="004216DA" w:rsidRPr="00FE54AD">
        <w:rPr>
          <w:caps/>
          <w:color w:val="000000"/>
        </w:rPr>
        <w:t xml:space="preserve">             </w:t>
      </w:r>
      <w:r w:rsidR="00332DE3" w:rsidRPr="00FE54AD">
        <w:rPr>
          <w:caps/>
          <w:color w:val="000000"/>
        </w:rPr>
        <w:t xml:space="preserve"> </w:t>
      </w:r>
      <w:r w:rsidR="004216DA" w:rsidRPr="00FE54AD">
        <w:rPr>
          <w:caps/>
          <w:color w:val="000000"/>
        </w:rPr>
        <w:t xml:space="preserve">  </w:t>
      </w:r>
      <w:r w:rsidR="001528EF" w:rsidRPr="00FE54AD">
        <w:rPr>
          <w:caps/>
          <w:color w:val="000000"/>
        </w:rPr>
        <w:tab/>
      </w:r>
      <w:r w:rsidR="001528EF" w:rsidRPr="00FE54AD">
        <w:rPr>
          <w:caps/>
          <w:color w:val="000000"/>
        </w:rPr>
        <w:tab/>
        <w:t xml:space="preserve">                   </w:t>
      </w:r>
      <w:r w:rsidR="004D2B67">
        <w:rPr>
          <w:caps/>
          <w:color w:val="000000"/>
        </w:rPr>
        <w:t xml:space="preserve"> </w:t>
      </w:r>
      <w:r w:rsidR="007A03D4">
        <w:rPr>
          <w:caps/>
          <w:color w:val="000000"/>
        </w:rPr>
        <w:t xml:space="preserve"> </w:t>
      </w:r>
      <w:r w:rsidRPr="00FE54AD">
        <w:rPr>
          <w:caps/>
          <w:color w:val="000000"/>
        </w:rPr>
        <w:t xml:space="preserve">BRANCH OF SERVICE: </w:t>
      </w:r>
      <w:r w:rsidR="004C24C5" w:rsidRPr="00FE54AD">
        <w:rPr>
          <w:caps/>
          <w:color w:val="000000"/>
        </w:rPr>
        <w:t xml:space="preserve"> </w:t>
      </w:r>
      <w:r w:rsidR="004D2B67">
        <w:rPr>
          <w:caps/>
          <w:color w:val="000000"/>
        </w:rPr>
        <w:t>Army</w:t>
      </w:r>
    </w:p>
    <w:p w:rsidR="00DE3AAD" w:rsidRPr="001F29F9" w:rsidRDefault="00012733" w:rsidP="0068098E">
      <w:pPr>
        <w:tabs>
          <w:tab w:val="left" w:pos="288"/>
          <w:tab w:val="left" w:pos="4166"/>
          <w:tab w:val="left" w:pos="4752"/>
          <w:tab w:val="left" w:pos="5130"/>
          <w:tab w:val="left" w:pos="9270"/>
        </w:tabs>
        <w:jc w:val="both"/>
        <w:rPr>
          <w:caps/>
          <w:color w:val="000000"/>
        </w:rPr>
      </w:pPr>
      <w:r w:rsidRPr="00FE54AD">
        <w:rPr>
          <w:caps/>
          <w:color w:val="000000"/>
        </w:rPr>
        <w:t>C</w:t>
      </w:r>
      <w:r w:rsidR="00DE3AAD" w:rsidRPr="00FE54AD">
        <w:rPr>
          <w:caps/>
          <w:color w:val="000000"/>
        </w:rPr>
        <w:t>ASE NUMBER:  PD</w:t>
      </w:r>
      <w:r w:rsidR="008F58E1" w:rsidRPr="00FE54AD">
        <w:rPr>
          <w:caps/>
          <w:color w:val="000000"/>
        </w:rPr>
        <w:t>11</w:t>
      </w:r>
      <w:r w:rsidR="00DE3AAD" w:rsidRPr="00FE54AD">
        <w:rPr>
          <w:caps/>
          <w:color w:val="000000"/>
        </w:rPr>
        <w:t>00</w:t>
      </w:r>
      <w:r w:rsidR="001528EF" w:rsidRPr="00FE54AD">
        <w:rPr>
          <w:caps/>
          <w:color w:val="000000"/>
        </w:rPr>
        <w:t>776</w:t>
      </w:r>
      <w:r w:rsidR="00DE3AAD" w:rsidRPr="001F29F9">
        <w:rPr>
          <w:color w:val="000000"/>
        </w:rPr>
        <w:t xml:space="preserve"> </w:t>
      </w:r>
      <w:r w:rsidR="00DE3AAD" w:rsidRPr="001F29F9">
        <w:rPr>
          <w:color w:val="000000"/>
        </w:rPr>
        <w:tab/>
      </w:r>
      <w:r w:rsidR="0068098E" w:rsidRPr="001F29F9">
        <w:rPr>
          <w:color w:val="000000"/>
        </w:rPr>
        <w:tab/>
      </w:r>
      <w:r w:rsidR="00DE3AAD" w:rsidRPr="001F29F9">
        <w:rPr>
          <w:color w:val="000000"/>
        </w:rPr>
        <w:t xml:space="preserve">         </w:t>
      </w:r>
      <w:r w:rsidR="00E0346A" w:rsidRPr="001F29F9">
        <w:rPr>
          <w:color w:val="000000"/>
        </w:rPr>
        <w:t xml:space="preserve">           </w:t>
      </w:r>
      <w:r w:rsidR="004D2B67">
        <w:rPr>
          <w:color w:val="000000"/>
        </w:rPr>
        <w:t xml:space="preserve"> </w:t>
      </w:r>
      <w:r w:rsidR="009002DE">
        <w:rPr>
          <w:color w:val="000000"/>
        </w:rPr>
        <w:t xml:space="preserve">      </w:t>
      </w:r>
      <w:r w:rsidR="00E0346A" w:rsidRPr="001F29F9">
        <w:rPr>
          <w:color w:val="000000"/>
        </w:rPr>
        <w:t xml:space="preserve"> </w:t>
      </w:r>
      <w:r w:rsidR="00DE3AAD" w:rsidRPr="001F29F9">
        <w:rPr>
          <w:color w:val="000000"/>
        </w:rPr>
        <w:t>SEPARATION DATE:  200</w:t>
      </w:r>
      <w:r w:rsidR="001528EF">
        <w:rPr>
          <w:color w:val="000000"/>
        </w:rPr>
        <w:t>50</w:t>
      </w:r>
      <w:r w:rsidR="007F01CE">
        <w:rPr>
          <w:color w:val="000000"/>
        </w:rPr>
        <w:t>409</w:t>
      </w:r>
    </w:p>
    <w:p w:rsidR="0020438D" w:rsidRDefault="00F00BA3" w:rsidP="00BF0E94">
      <w:pPr>
        <w:tabs>
          <w:tab w:val="left" w:pos="288"/>
          <w:tab w:val="left" w:pos="5130"/>
        </w:tabs>
        <w:jc w:val="both"/>
        <w:rPr>
          <w:caps/>
          <w:color w:val="000000"/>
        </w:rPr>
      </w:pPr>
      <w:r>
        <w:rPr>
          <w:caps/>
          <w:color w:val="000000"/>
        </w:rPr>
        <w:t>BOARD DATE:  2012</w:t>
      </w:r>
      <w:r w:rsidR="0020438D">
        <w:rPr>
          <w:caps/>
          <w:color w:val="000000"/>
        </w:rPr>
        <w:t>0410</w:t>
      </w:r>
    </w:p>
    <w:p w:rsidR="006C05F5" w:rsidRPr="006C05F5" w:rsidRDefault="006C05F5" w:rsidP="00BF0E94">
      <w:pPr>
        <w:tabs>
          <w:tab w:val="left" w:pos="288"/>
          <w:tab w:val="left" w:pos="4752"/>
        </w:tabs>
        <w:jc w:val="both"/>
        <w:rPr>
          <w:color w:val="000000"/>
        </w:rPr>
      </w:pPr>
      <w:r>
        <w:rPr>
          <w:b/>
          <w:color w:val="000000"/>
          <w:u w:val="single"/>
        </w:rPr>
        <w:t>_____________________________________________________________________________</w:t>
      </w:r>
    </w:p>
    <w:p w:rsidR="006C05F5" w:rsidRPr="001F29F9" w:rsidRDefault="006C05F5" w:rsidP="00BF0E94">
      <w:pPr>
        <w:tabs>
          <w:tab w:val="left" w:pos="288"/>
          <w:tab w:val="left" w:pos="4752"/>
        </w:tabs>
        <w:jc w:val="both"/>
        <w:rPr>
          <w:color w:val="000000"/>
        </w:rPr>
      </w:pPr>
    </w:p>
    <w:p w:rsidR="00F63FC7" w:rsidRPr="001F29F9" w:rsidRDefault="00FB0E80" w:rsidP="00BF0E94">
      <w:pPr>
        <w:tabs>
          <w:tab w:val="left" w:pos="288"/>
          <w:tab w:val="left" w:pos="4752"/>
        </w:tabs>
        <w:jc w:val="both"/>
        <w:rPr>
          <w:color w:val="000000"/>
        </w:rPr>
      </w:pPr>
      <w:r w:rsidRPr="001F29F9">
        <w:rPr>
          <w:color w:val="000000"/>
          <w:u w:val="single"/>
        </w:rPr>
        <w:t>SUMMARY OF CASE</w:t>
      </w:r>
      <w:r w:rsidRPr="001F29F9">
        <w:rPr>
          <w:color w:val="000000"/>
        </w:rPr>
        <w:t xml:space="preserve">:  </w:t>
      </w:r>
      <w:r w:rsidR="009759C2" w:rsidRPr="001F29F9">
        <w:rPr>
          <w:color w:val="000000"/>
        </w:rPr>
        <w:t>Data extracted from the available evidence of record reflects that this covered individual (CI)</w:t>
      </w:r>
      <w:r w:rsidR="00570754" w:rsidRPr="001F29F9">
        <w:rPr>
          <w:color w:val="000000"/>
        </w:rPr>
        <w:t xml:space="preserve"> </w:t>
      </w:r>
      <w:r w:rsidR="002C6E5B" w:rsidRPr="001F29F9">
        <w:rPr>
          <w:color w:val="000000"/>
          <w:szCs w:val="24"/>
        </w:rPr>
        <w:t xml:space="preserve">was </w:t>
      </w:r>
      <w:r w:rsidR="00E322F7" w:rsidRPr="001F29F9">
        <w:rPr>
          <w:color w:val="000000"/>
          <w:szCs w:val="24"/>
        </w:rPr>
        <w:t xml:space="preserve">a </w:t>
      </w:r>
      <w:r w:rsidR="0009481B">
        <w:rPr>
          <w:color w:val="000000"/>
          <w:szCs w:val="24"/>
        </w:rPr>
        <w:t>National Guard</w:t>
      </w:r>
      <w:r w:rsidR="002E65E6" w:rsidRPr="001F29F9">
        <w:rPr>
          <w:color w:val="000000"/>
          <w:szCs w:val="24"/>
        </w:rPr>
        <w:t xml:space="preserve"> </w:t>
      </w:r>
      <w:r w:rsidR="00661BA2" w:rsidRPr="001F29F9">
        <w:rPr>
          <w:color w:val="000000"/>
          <w:szCs w:val="24"/>
        </w:rPr>
        <w:t>SGT/E-5</w:t>
      </w:r>
      <w:r w:rsidR="00705C40" w:rsidRPr="001F29F9">
        <w:rPr>
          <w:color w:val="000000"/>
          <w:szCs w:val="24"/>
        </w:rPr>
        <w:t xml:space="preserve"> (</w:t>
      </w:r>
      <w:r w:rsidR="004613D0" w:rsidRPr="004613D0">
        <w:rPr>
          <w:color w:val="000000"/>
          <w:szCs w:val="24"/>
        </w:rPr>
        <w:t>31L20</w:t>
      </w:r>
      <w:r w:rsidR="008F43CA">
        <w:rPr>
          <w:color w:val="000000"/>
          <w:szCs w:val="24"/>
        </w:rPr>
        <w:t>/</w:t>
      </w:r>
      <w:r w:rsidR="004613D0" w:rsidRPr="004613D0">
        <w:rPr>
          <w:color w:val="000000"/>
          <w:szCs w:val="24"/>
        </w:rPr>
        <w:t>F6 Wire Sys</w:t>
      </w:r>
      <w:r w:rsidR="004613D0">
        <w:rPr>
          <w:color w:val="000000"/>
          <w:szCs w:val="24"/>
        </w:rPr>
        <w:t>tem</w:t>
      </w:r>
      <w:r w:rsidR="004613D0" w:rsidRPr="004613D0">
        <w:rPr>
          <w:color w:val="000000"/>
          <w:szCs w:val="24"/>
        </w:rPr>
        <w:t xml:space="preserve"> Inst</w:t>
      </w:r>
      <w:r w:rsidR="004613D0">
        <w:rPr>
          <w:color w:val="000000"/>
          <w:szCs w:val="24"/>
        </w:rPr>
        <w:t>aller</w:t>
      </w:r>
      <w:r w:rsidR="00E322F7" w:rsidRPr="001F29F9">
        <w:rPr>
          <w:color w:val="000000"/>
          <w:szCs w:val="24"/>
        </w:rPr>
        <w:t>)</w:t>
      </w:r>
      <w:r w:rsidR="00C75F3D" w:rsidRPr="001F29F9">
        <w:rPr>
          <w:color w:val="000000"/>
          <w:szCs w:val="24"/>
        </w:rPr>
        <w:t xml:space="preserve">, </w:t>
      </w:r>
      <w:r w:rsidR="002C6E5B" w:rsidRPr="001F29F9">
        <w:rPr>
          <w:color w:val="000000"/>
          <w:szCs w:val="24"/>
        </w:rPr>
        <w:t xml:space="preserve">medically separated for </w:t>
      </w:r>
      <w:r w:rsidR="004613D0" w:rsidRPr="004613D0">
        <w:rPr>
          <w:bCs/>
          <w:color w:val="000000"/>
          <w:szCs w:val="24"/>
        </w:rPr>
        <w:t>chronic pain, right knee without significant instability.</w:t>
      </w:r>
      <w:r w:rsidR="00857D6B">
        <w:rPr>
          <w:bCs/>
          <w:color w:val="000000"/>
          <w:szCs w:val="24"/>
        </w:rPr>
        <w:t xml:space="preserve">  </w:t>
      </w:r>
      <w:r w:rsidR="004613D0" w:rsidRPr="004613D0">
        <w:rPr>
          <w:color w:val="000000"/>
          <w:szCs w:val="24"/>
        </w:rPr>
        <w:t>He</w:t>
      </w:r>
      <w:r w:rsidR="00643C8F" w:rsidRPr="004613D0">
        <w:rPr>
          <w:color w:val="000000"/>
          <w:szCs w:val="24"/>
        </w:rPr>
        <w:t xml:space="preserve"> did not respond adequately to treatment and w</w:t>
      </w:r>
      <w:r w:rsidR="004613D0" w:rsidRPr="004613D0">
        <w:rPr>
          <w:color w:val="000000"/>
          <w:szCs w:val="24"/>
        </w:rPr>
        <w:t>as unable to perform within his</w:t>
      </w:r>
      <w:r w:rsidR="00643C8F" w:rsidRPr="004613D0">
        <w:rPr>
          <w:color w:val="000000"/>
          <w:szCs w:val="24"/>
        </w:rPr>
        <w:t xml:space="preserve"> </w:t>
      </w:r>
      <w:r w:rsidR="00C82B71">
        <w:rPr>
          <w:color w:val="000000"/>
          <w:szCs w:val="24"/>
        </w:rPr>
        <w:t>M</w:t>
      </w:r>
      <w:r w:rsidR="00643C8F" w:rsidRPr="004613D0">
        <w:rPr>
          <w:color w:val="000000"/>
          <w:szCs w:val="24"/>
        </w:rPr>
        <w:t xml:space="preserve">ilitary </w:t>
      </w:r>
      <w:r w:rsidR="00C82B71">
        <w:rPr>
          <w:color w:val="000000"/>
          <w:szCs w:val="24"/>
        </w:rPr>
        <w:t>O</w:t>
      </w:r>
      <w:r w:rsidR="00643C8F" w:rsidRPr="004613D0">
        <w:rPr>
          <w:color w:val="000000"/>
          <w:szCs w:val="24"/>
        </w:rPr>
        <w:t xml:space="preserve">ccupational </w:t>
      </w:r>
      <w:r w:rsidR="00C82B71">
        <w:rPr>
          <w:color w:val="000000"/>
          <w:szCs w:val="24"/>
        </w:rPr>
        <w:t>S</w:t>
      </w:r>
      <w:r w:rsidR="00643C8F" w:rsidRPr="004613D0">
        <w:rPr>
          <w:color w:val="000000"/>
          <w:szCs w:val="24"/>
        </w:rPr>
        <w:t>pecialty (</w:t>
      </w:r>
      <w:r w:rsidR="004613D0" w:rsidRPr="004613D0">
        <w:rPr>
          <w:color w:val="000000"/>
          <w:szCs w:val="24"/>
        </w:rPr>
        <w:t>31L</w:t>
      </w:r>
      <w:r w:rsidR="00643C8F" w:rsidRPr="004613D0">
        <w:rPr>
          <w:color w:val="000000"/>
          <w:szCs w:val="24"/>
        </w:rPr>
        <w:t xml:space="preserve">) or meet </w:t>
      </w:r>
      <w:r w:rsidR="004613D0" w:rsidRPr="004613D0">
        <w:rPr>
          <w:color w:val="000000"/>
          <w:szCs w:val="24"/>
        </w:rPr>
        <w:t>physical fitness standards.  He</w:t>
      </w:r>
      <w:r w:rsidR="00643C8F" w:rsidRPr="004613D0">
        <w:rPr>
          <w:color w:val="000000"/>
          <w:szCs w:val="24"/>
        </w:rPr>
        <w:t xml:space="preserve"> was issued a permanent </w:t>
      </w:r>
      <w:r w:rsidR="004613D0" w:rsidRPr="004613D0">
        <w:rPr>
          <w:color w:val="000000"/>
          <w:szCs w:val="24"/>
        </w:rPr>
        <w:t>L3 and H2</w:t>
      </w:r>
      <w:r w:rsidR="00643C8F" w:rsidRPr="004613D0">
        <w:rPr>
          <w:color w:val="000000"/>
          <w:szCs w:val="24"/>
        </w:rPr>
        <w:t xml:space="preserve"> profile and underwent a Medical Evaluation Board (MEB).</w:t>
      </w:r>
      <w:r w:rsidR="00857D6B">
        <w:rPr>
          <w:color w:val="000000"/>
          <w:szCs w:val="24"/>
        </w:rPr>
        <w:t xml:space="preserve">  </w:t>
      </w:r>
      <w:r w:rsidR="006C05F5">
        <w:rPr>
          <w:color w:val="000000"/>
          <w:szCs w:val="24"/>
        </w:rPr>
        <w:t>Medi</w:t>
      </w:r>
      <w:r w:rsidR="00B0575F">
        <w:rPr>
          <w:color w:val="000000"/>
          <w:szCs w:val="24"/>
        </w:rPr>
        <w:t xml:space="preserve">al meniscus </w:t>
      </w:r>
      <w:proofErr w:type="spellStart"/>
      <w:r w:rsidR="00B0575F">
        <w:rPr>
          <w:color w:val="000000"/>
          <w:szCs w:val="24"/>
        </w:rPr>
        <w:t>myxoid</w:t>
      </w:r>
      <w:proofErr w:type="spellEnd"/>
      <w:r w:rsidR="00B0575F">
        <w:rPr>
          <w:color w:val="000000"/>
          <w:szCs w:val="24"/>
        </w:rPr>
        <w:t xml:space="preserve"> degeneration with knee pain, locking and instability </w:t>
      </w:r>
      <w:r w:rsidR="004613D0" w:rsidRPr="004613D0">
        <w:rPr>
          <w:color w:val="000000"/>
          <w:szCs w:val="24"/>
        </w:rPr>
        <w:t>was</w:t>
      </w:r>
      <w:r w:rsidR="000A33C8" w:rsidRPr="004613D0">
        <w:rPr>
          <w:color w:val="000000"/>
          <w:szCs w:val="24"/>
        </w:rPr>
        <w:t xml:space="preserve"> forwarded to the Physical Evaluation Board (PEB) as medically unacceptable IAW AR 40-501</w:t>
      </w:r>
      <w:r w:rsidR="00376E08" w:rsidRPr="004613D0">
        <w:rPr>
          <w:color w:val="000000"/>
          <w:szCs w:val="24"/>
        </w:rPr>
        <w:t>.</w:t>
      </w:r>
      <w:r w:rsidR="00857D6B">
        <w:rPr>
          <w:color w:val="000000"/>
          <w:szCs w:val="24"/>
        </w:rPr>
        <w:t xml:space="preserve">  </w:t>
      </w:r>
      <w:r w:rsidR="001A5E62" w:rsidRPr="001F29F9">
        <w:rPr>
          <w:color w:val="000000"/>
          <w:szCs w:val="24"/>
        </w:rPr>
        <w:t>No other conditions appeared on the MEB’s submission.  Other conditions included in the</w:t>
      </w:r>
      <w:r w:rsidR="00DC17F2" w:rsidRPr="001F29F9">
        <w:rPr>
          <w:color w:val="000000"/>
          <w:szCs w:val="24"/>
        </w:rPr>
        <w:t xml:space="preserve"> </w:t>
      </w:r>
      <w:r w:rsidR="00555C66" w:rsidRPr="001F29F9">
        <w:rPr>
          <w:color w:val="000000"/>
          <w:szCs w:val="24"/>
        </w:rPr>
        <w:t xml:space="preserve">Disability Evaluation System (DES) </w:t>
      </w:r>
      <w:r w:rsidR="001A5E62" w:rsidRPr="001F29F9">
        <w:rPr>
          <w:color w:val="000000"/>
          <w:szCs w:val="24"/>
        </w:rPr>
        <w:t>packet will be discussed below.</w:t>
      </w:r>
      <w:r w:rsidR="00857D6B">
        <w:rPr>
          <w:color w:val="000000"/>
          <w:szCs w:val="24"/>
        </w:rPr>
        <w:t xml:space="preserve"> </w:t>
      </w:r>
      <w:r w:rsidR="00B0575F">
        <w:rPr>
          <w:color w:val="000000"/>
          <w:szCs w:val="24"/>
        </w:rPr>
        <w:t xml:space="preserve"> </w:t>
      </w:r>
      <w:r w:rsidR="00842BAA" w:rsidRPr="006E7226">
        <w:rPr>
          <w:color w:val="000000"/>
          <w:szCs w:val="24"/>
        </w:rPr>
        <w:t xml:space="preserve">The PEB adjudicated the </w:t>
      </w:r>
      <w:r w:rsidR="006E7226" w:rsidRPr="006E7226">
        <w:rPr>
          <w:bCs/>
          <w:color w:val="000000"/>
          <w:szCs w:val="24"/>
        </w:rPr>
        <w:t>chronic pain, right knee without significant instability</w:t>
      </w:r>
      <w:r w:rsidR="00842BAA" w:rsidRPr="006E7226">
        <w:rPr>
          <w:color w:val="000000"/>
          <w:szCs w:val="24"/>
        </w:rPr>
        <w:t xml:space="preserve"> condition </w:t>
      </w:r>
      <w:r w:rsidR="00B0575F" w:rsidRPr="001F29F9">
        <w:rPr>
          <w:color w:val="000000"/>
          <w:szCs w:val="24"/>
        </w:rPr>
        <w:t xml:space="preserve">as unfitting, </w:t>
      </w:r>
      <w:r w:rsidR="00842BAA" w:rsidRPr="006E7226">
        <w:rPr>
          <w:color w:val="000000"/>
          <w:szCs w:val="24"/>
        </w:rPr>
        <w:t xml:space="preserve">rated </w:t>
      </w:r>
      <w:r w:rsidR="006E7226" w:rsidRPr="006E7226">
        <w:rPr>
          <w:color w:val="000000"/>
          <w:szCs w:val="24"/>
        </w:rPr>
        <w:t>10</w:t>
      </w:r>
      <w:r w:rsidR="00842BAA" w:rsidRPr="006E7226">
        <w:rPr>
          <w:color w:val="000000"/>
          <w:szCs w:val="24"/>
        </w:rPr>
        <w:t>%</w:t>
      </w:r>
      <w:r w:rsidR="006C05F5">
        <w:rPr>
          <w:color w:val="000000"/>
          <w:szCs w:val="24"/>
        </w:rPr>
        <w:t>,</w:t>
      </w:r>
      <w:r w:rsidR="00842BAA" w:rsidRPr="006E7226">
        <w:rPr>
          <w:color w:val="000000"/>
          <w:szCs w:val="24"/>
        </w:rPr>
        <w:t xml:space="preserve"> with application of the US Army Physical Disability Agency (USAPDA) pain policy </w:t>
      </w:r>
      <w:r w:rsidR="00B0575F">
        <w:rPr>
          <w:color w:val="000000"/>
          <w:szCs w:val="24"/>
        </w:rPr>
        <w:t>a</w:t>
      </w:r>
      <w:r w:rsidR="009369A6" w:rsidRPr="006E7226">
        <w:rPr>
          <w:color w:val="000000"/>
          <w:szCs w:val="24"/>
        </w:rPr>
        <w:t xml:space="preserve">nd </w:t>
      </w:r>
      <w:r w:rsidR="00842BAA" w:rsidRPr="006E7226">
        <w:rPr>
          <w:color w:val="000000"/>
          <w:szCs w:val="24"/>
        </w:rPr>
        <w:t>Veterans Administration Schedule for Rating Di</w:t>
      </w:r>
      <w:r w:rsidR="006C05F5">
        <w:rPr>
          <w:color w:val="000000"/>
          <w:szCs w:val="24"/>
        </w:rPr>
        <w:t>sabilities (VASRD)</w:t>
      </w:r>
      <w:r w:rsidR="00842BAA" w:rsidRPr="006E7226">
        <w:rPr>
          <w:color w:val="000000"/>
          <w:szCs w:val="24"/>
        </w:rPr>
        <w:t>.</w:t>
      </w:r>
      <w:r w:rsidR="00857D6B">
        <w:rPr>
          <w:color w:val="000000"/>
          <w:szCs w:val="24"/>
        </w:rPr>
        <w:t xml:space="preserve"> </w:t>
      </w:r>
      <w:r w:rsidR="006C05F5">
        <w:rPr>
          <w:color w:val="000000"/>
          <w:szCs w:val="24"/>
        </w:rPr>
        <w:t xml:space="preserve"> </w:t>
      </w:r>
      <w:r w:rsidR="00B20624" w:rsidRPr="001F29F9">
        <w:rPr>
          <w:color w:val="000000"/>
        </w:rPr>
        <w:t xml:space="preserve">The CI </w:t>
      </w:r>
      <w:r w:rsidR="00190E48" w:rsidRPr="001F29F9">
        <w:rPr>
          <w:color w:val="000000"/>
        </w:rPr>
        <w:t xml:space="preserve">made no appeals, </w:t>
      </w:r>
      <w:r w:rsidR="00B20624" w:rsidRPr="001F29F9">
        <w:rPr>
          <w:color w:val="000000"/>
        </w:rPr>
        <w:t xml:space="preserve">and was medically separated with a </w:t>
      </w:r>
      <w:r w:rsidR="006E7226">
        <w:rPr>
          <w:color w:val="000000"/>
        </w:rPr>
        <w:t>10</w:t>
      </w:r>
      <w:r w:rsidR="00B20624" w:rsidRPr="001F29F9">
        <w:rPr>
          <w:color w:val="000000"/>
        </w:rPr>
        <w:t>% combined disability rating.</w:t>
      </w:r>
    </w:p>
    <w:p w:rsidR="004174F0" w:rsidRPr="001F29F9" w:rsidRDefault="004174F0" w:rsidP="00BF0E94">
      <w:pPr>
        <w:pBdr>
          <w:bottom w:val="single" w:sz="12" w:space="1" w:color="auto"/>
        </w:pBdr>
        <w:tabs>
          <w:tab w:val="left" w:pos="288"/>
          <w:tab w:val="left" w:pos="4752"/>
        </w:tabs>
        <w:jc w:val="both"/>
        <w:rPr>
          <w:color w:val="000000"/>
        </w:rPr>
      </w:pPr>
    </w:p>
    <w:p w:rsidR="004174F0" w:rsidRPr="001F29F9" w:rsidRDefault="004174F0" w:rsidP="00BF0E94">
      <w:pPr>
        <w:tabs>
          <w:tab w:val="left" w:pos="288"/>
          <w:tab w:val="left" w:pos="4752"/>
        </w:tabs>
        <w:jc w:val="both"/>
        <w:rPr>
          <w:color w:val="000000"/>
        </w:rPr>
      </w:pPr>
    </w:p>
    <w:p w:rsidR="009E41B0" w:rsidRPr="001F29F9" w:rsidRDefault="002C6E5B" w:rsidP="001034F8">
      <w:pPr>
        <w:tabs>
          <w:tab w:val="left" w:pos="288"/>
          <w:tab w:val="left" w:pos="4752"/>
        </w:tabs>
        <w:jc w:val="both"/>
        <w:rPr>
          <w:color w:val="000000"/>
        </w:rPr>
      </w:pPr>
      <w:r w:rsidRPr="001F29F9">
        <w:rPr>
          <w:color w:val="000000"/>
          <w:u w:val="single"/>
        </w:rPr>
        <w:t>CI CONTENTION</w:t>
      </w:r>
      <w:r w:rsidRPr="001F29F9">
        <w:rPr>
          <w:color w:val="000000"/>
        </w:rPr>
        <w:t>:</w:t>
      </w:r>
      <w:r w:rsidR="001034F8">
        <w:rPr>
          <w:color w:val="000000"/>
        </w:rPr>
        <w:t xml:space="preserve">  “</w:t>
      </w:r>
      <w:r w:rsidR="001034F8" w:rsidRPr="001034F8">
        <w:rPr>
          <w:color w:val="000000"/>
        </w:rPr>
        <w:t xml:space="preserve">Only a single condition was evaluated. </w:t>
      </w:r>
      <w:r w:rsidR="000D603E">
        <w:rPr>
          <w:color w:val="000000"/>
        </w:rPr>
        <w:t xml:space="preserve"> </w:t>
      </w:r>
      <w:proofErr w:type="gramStart"/>
      <w:r w:rsidR="001034F8" w:rsidRPr="001034F8">
        <w:rPr>
          <w:color w:val="000000"/>
        </w:rPr>
        <w:t>From my understanding now of this matter a full medical evaluation should of been done.</w:t>
      </w:r>
      <w:proofErr w:type="gramEnd"/>
      <w:r w:rsidR="001034F8" w:rsidRPr="001034F8">
        <w:rPr>
          <w:color w:val="000000"/>
        </w:rPr>
        <w:t xml:space="preserve"> </w:t>
      </w:r>
      <w:r w:rsidR="000D603E">
        <w:rPr>
          <w:color w:val="000000"/>
        </w:rPr>
        <w:t xml:space="preserve"> </w:t>
      </w:r>
      <w:r w:rsidR="001034F8" w:rsidRPr="001034F8">
        <w:rPr>
          <w:color w:val="000000"/>
        </w:rPr>
        <w:t>When I was</w:t>
      </w:r>
      <w:r w:rsidR="001034F8">
        <w:rPr>
          <w:color w:val="000000"/>
        </w:rPr>
        <w:t xml:space="preserve"> </w:t>
      </w:r>
      <w:r w:rsidR="001034F8" w:rsidRPr="001034F8">
        <w:rPr>
          <w:color w:val="000000"/>
        </w:rPr>
        <w:t xml:space="preserve">going through the process I was informed only my </w:t>
      </w:r>
      <w:r w:rsidR="001034F8" w:rsidRPr="0020438D">
        <w:rPr>
          <w:color w:val="000000"/>
        </w:rPr>
        <w:t>knee</w:t>
      </w:r>
      <w:r w:rsidR="001034F8" w:rsidRPr="001034F8">
        <w:rPr>
          <w:color w:val="000000"/>
        </w:rPr>
        <w:t xml:space="preserve"> was being looked at. </w:t>
      </w:r>
      <w:r w:rsidR="000D603E">
        <w:rPr>
          <w:color w:val="000000"/>
        </w:rPr>
        <w:t xml:space="preserve"> </w:t>
      </w:r>
      <w:r w:rsidR="001034F8" w:rsidRPr="001034F8">
        <w:rPr>
          <w:color w:val="000000"/>
        </w:rPr>
        <w:t xml:space="preserve">I have chronic </w:t>
      </w:r>
      <w:r w:rsidR="001034F8" w:rsidRPr="0020438D">
        <w:rPr>
          <w:color w:val="000000"/>
        </w:rPr>
        <w:t>migraines</w:t>
      </w:r>
      <w:r w:rsidR="001034F8" w:rsidRPr="001034F8">
        <w:rPr>
          <w:color w:val="000000"/>
        </w:rPr>
        <w:t xml:space="preserve"> since 2000, constant </w:t>
      </w:r>
      <w:r w:rsidR="001034F8" w:rsidRPr="007D4CC2">
        <w:rPr>
          <w:color w:val="000000"/>
        </w:rPr>
        <w:t>pain in groin area</w:t>
      </w:r>
      <w:r w:rsidR="001034F8">
        <w:rPr>
          <w:color w:val="000000"/>
        </w:rPr>
        <w:t xml:space="preserve"> </w:t>
      </w:r>
      <w:r w:rsidR="001034F8" w:rsidRPr="001034F8">
        <w:rPr>
          <w:color w:val="000000"/>
        </w:rPr>
        <w:t xml:space="preserve">which was check out and said </w:t>
      </w:r>
      <w:r w:rsidR="001034F8" w:rsidRPr="007D4CC2">
        <w:rPr>
          <w:color w:val="000000"/>
        </w:rPr>
        <w:t xml:space="preserve">possible </w:t>
      </w:r>
      <w:r w:rsidR="001034F8" w:rsidRPr="0020438D">
        <w:rPr>
          <w:color w:val="000000"/>
        </w:rPr>
        <w:t>hernia</w:t>
      </w:r>
      <w:r w:rsidR="001034F8" w:rsidRPr="001034F8">
        <w:rPr>
          <w:color w:val="000000"/>
        </w:rPr>
        <w:t xml:space="preserve">. </w:t>
      </w:r>
      <w:r w:rsidR="000D603E">
        <w:rPr>
          <w:color w:val="000000"/>
        </w:rPr>
        <w:t xml:space="preserve"> </w:t>
      </w:r>
      <w:proofErr w:type="gramStart"/>
      <w:r w:rsidR="001034F8" w:rsidRPr="001034F8">
        <w:rPr>
          <w:color w:val="000000"/>
        </w:rPr>
        <w:t xml:space="preserve">Problems with both my </w:t>
      </w:r>
      <w:r w:rsidR="001034F8" w:rsidRPr="0020438D">
        <w:rPr>
          <w:color w:val="000000"/>
        </w:rPr>
        <w:t>wrists</w:t>
      </w:r>
      <w:r w:rsidR="001034F8" w:rsidRPr="001034F8">
        <w:rPr>
          <w:color w:val="000000"/>
        </w:rPr>
        <w:t xml:space="preserve"> and </w:t>
      </w:r>
      <w:r w:rsidR="001034F8" w:rsidRPr="0020438D">
        <w:rPr>
          <w:color w:val="000000"/>
        </w:rPr>
        <w:t>shoulders</w:t>
      </w:r>
      <w:r w:rsidR="001034F8" w:rsidRPr="001034F8">
        <w:rPr>
          <w:color w:val="000000"/>
        </w:rPr>
        <w:t>.</w:t>
      </w:r>
      <w:r w:rsidR="000D603E">
        <w:rPr>
          <w:color w:val="000000"/>
        </w:rPr>
        <w:t>”</w:t>
      </w:r>
      <w:proofErr w:type="gramEnd"/>
      <w:r w:rsidR="006C05F5">
        <w:rPr>
          <w:color w:val="000000"/>
        </w:rPr>
        <w:t xml:space="preserve">  </w:t>
      </w:r>
      <w:r w:rsidR="009E41B0">
        <w:rPr>
          <w:color w:val="000000"/>
        </w:rPr>
        <w:t xml:space="preserve">He </w:t>
      </w:r>
      <w:r w:rsidR="003F2AAB" w:rsidRPr="0020438D">
        <w:rPr>
          <w:color w:val="000000"/>
        </w:rPr>
        <w:t>additionally lists all of his VA conditions and</w:t>
      </w:r>
      <w:r w:rsidR="003F2AAB" w:rsidRPr="005C4D72">
        <w:rPr>
          <w:rFonts w:eastAsiaTheme="minorHAnsi" w:cstheme="minorBidi"/>
          <w:color w:val="auto"/>
          <w:szCs w:val="24"/>
        </w:rPr>
        <w:t xml:space="preserve"> ratings as per the rating chart below.  A contention for their inclusion in the separation rating is therefore implied.</w:t>
      </w:r>
    </w:p>
    <w:p w:rsidR="004174F0" w:rsidRPr="001F29F9" w:rsidRDefault="004174F0" w:rsidP="00BF0E94">
      <w:pPr>
        <w:pBdr>
          <w:bottom w:val="single" w:sz="12" w:space="1" w:color="auto"/>
        </w:pBdr>
        <w:tabs>
          <w:tab w:val="left" w:pos="288"/>
          <w:tab w:val="left" w:pos="4752"/>
        </w:tabs>
        <w:jc w:val="both"/>
        <w:rPr>
          <w:color w:val="000000"/>
        </w:rPr>
      </w:pPr>
    </w:p>
    <w:p w:rsidR="006C05F5" w:rsidRDefault="006C05F5" w:rsidP="00BF0E94">
      <w:pPr>
        <w:jc w:val="left"/>
        <w:rPr>
          <w:color w:val="000000"/>
          <w:u w:val="single"/>
        </w:rPr>
      </w:pPr>
    </w:p>
    <w:p w:rsidR="001537D8" w:rsidRPr="001F29F9" w:rsidRDefault="007F0AB7" w:rsidP="00BF0E94">
      <w:pPr>
        <w:jc w:val="left"/>
        <w:rPr>
          <w:color w:val="000000"/>
        </w:rPr>
      </w:pPr>
      <w:r w:rsidRPr="001F29F9">
        <w:rPr>
          <w:color w:val="000000"/>
          <w:u w:val="single"/>
        </w:rPr>
        <w:t>R</w:t>
      </w:r>
      <w:r w:rsidR="002C6E5B" w:rsidRPr="001F29F9">
        <w:rPr>
          <w:color w:val="000000"/>
          <w:u w:val="single"/>
        </w:rPr>
        <w:t>ATING COMPARISON</w:t>
      </w:r>
      <w:r w:rsidR="002C6E5B" w:rsidRPr="001F29F9">
        <w:rPr>
          <w:color w:val="000000"/>
        </w:rPr>
        <w:t>:</w:t>
      </w:r>
    </w:p>
    <w:p w:rsidR="002151AB" w:rsidRPr="001F29F9" w:rsidRDefault="002151AB" w:rsidP="001034F8">
      <w:pPr>
        <w:jc w:val="both"/>
        <w:rPr>
          <w:color w:val="000000"/>
        </w:rPr>
      </w:pPr>
    </w:p>
    <w:tbl>
      <w:tblPr>
        <w:tblpPr w:leftFromText="187" w:rightFromText="187" w:vertAnchor="text" w:tblpXSpec="center" w:tblpY="1"/>
        <w:tblOverlap w:val="never"/>
        <w:tblW w:w="9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7"/>
        <w:gridCol w:w="1080"/>
        <w:gridCol w:w="900"/>
        <w:gridCol w:w="2521"/>
        <w:gridCol w:w="1080"/>
        <w:gridCol w:w="829"/>
        <w:gridCol w:w="990"/>
      </w:tblGrid>
      <w:tr w:rsidR="002B4E22" w:rsidRPr="003B5F80" w:rsidTr="00631626">
        <w:trPr>
          <w:trHeight w:val="233"/>
          <w:jc w:val="center"/>
        </w:trPr>
        <w:tc>
          <w:tcPr>
            <w:tcW w:w="4157" w:type="dxa"/>
            <w:gridSpan w:val="3"/>
            <w:tcBorders>
              <w:right w:val="thinThickThinSmallGap" w:sz="24" w:space="0" w:color="auto"/>
            </w:tcBorders>
            <w:shd w:val="clear" w:color="auto" w:fill="D9D9D9"/>
            <w:vAlign w:val="center"/>
          </w:tcPr>
          <w:p w:rsidR="002B4E22" w:rsidRPr="003B5F80" w:rsidRDefault="00B731E4" w:rsidP="001034F8">
            <w:pPr>
              <w:contextualSpacing/>
              <w:rPr>
                <w:rFonts w:eastAsia="Calibri"/>
                <w:b/>
                <w:color w:val="000000"/>
                <w:sz w:val="18"/>
                <w:szCs w:val="18"/>
              </w:rPr>
            </w:pPr>
            <w:r w:rsidRPr="003B5F80">
              <w:rPr>
                <w:rFonts w:eastAsia="Calibri"/>
                <w:b/>
                <w:color w:val="000000"/>
                <w:sz w:val="18"/>
                <w:szCs w:val="18"/>
              </w:rPr>
              <w:t>Service PEB – Dated 200</w:t>
            </w:r>
            <w:r w:rsidR="001034F8">
              <w:rPr>
                <w:rFonts w:eastAsia="Calibri"/>
                <w:b/>
                <w:color w:val="000000"/>
                <w:sz w:val="18"/>
                <w:szCs w:val="18"/>
              </w:rPr>
              <w:t>50305</w:t>
            </w:r>
          </w:p>
        </w:tc>
        <w:tc>
          <w:tcPr>
            <w:tcW w:w="5420" w:type="dxa"/>
            <w:gridSpan w:val="4"/>
            <w:tcBorders>
              <w:left w:val="thinThickThinSmallGap" w:sz="24" w:space="0" w:color="auto"/>
            </w:tcBorders>
            <w:shd w:val="clear" w:color="auto" w:fill="D9D9D9"/>
            <w:vAlign w:val="center"/>
          </w:tcPr>
          <w:p w:rsidR="002B4E22" w:rsidRPr="003B5F80" w:rsidRDefault="002B4E22" w:rsidP="007E039F">
            <w:pPr>
              <w:contextualSpacing/>
              <w:rPr>
                <w:rFonts w:eastAsia="Calibri"/>
                <w:b/>
                <w:color w:val="000000"/>
                <w:sz w:val="18"/>
                <w:szCs w:val="18"/>
              </w:rPr>
            </w:pPr>
            <w:r w:rsidRPr="003B5F80">
              <w:rPr>
                <w:rFonts w:eastAsia="Calibri"/>
                <w:b/>
                <w:color w:val="000000"/>
                <w:sz w:val="18"/>
                <w:szCs w:val="18"/>
              </w:rPr>
              <w:t>VA</w:t>
            </w:r>
            <w:r w:rsidR="00D01044">
              <w:rPr>
                <w:rFonts w:eastAsia="Calibri"/>
                <w:b/>
                <w:color w:val="000000"/>
                <w:sz w:val="18"/>
                <w:szCs w:val="18"/>
              </w:rPr>
              <w:t xml:space="preserve"> </w:t>
            </w:r>
            <w:r w:rsidR="007E039F">
              <w:rPr>
                <w:rFonts w:eastAsia="Calibri"/>
                <w:b/>
                <w:color w:val="000000"/>
                <w:sz w:val="18"/>
                <w:szCs w:val="18"/>
              </w:rPr>
              <w:t>(</w:t>
            </w:r>
            <w:r w:rsidR="00870BFB">
              <w:rPr>
                <w:rFonts w:eastAsia="Calibri"/>
                <w:b/>
                <w:color w:val="000000"/>
                <w:sz w:val="18"/>
                <w:szCs w:val="18"/>
              </w:rPr>
              <w:t>~</w:t>
            </w:r>
            <w:r w:rsidR="007E039F">
              <w:rPr>
                <w:rFonts w:eastAsia="Calibri"/>
                <w:b/>
                <w:color w:val="000000"/>
                <w:sz w:val="18"/>
                <w:szCs w:val="18"/>
              </w:rPr>
              <w:t>3 Mo. Post Sep)</w:t>
            </w:r>
            <w:r w:rsidRPr="003B5F80">
              <w:rPr>
                <w:rFonts w:eastAsia="Calibri"/>
                <w:b/>
                <w:color w:val="000000"/>
                <w:sz w:val="18"/>
                <w:szCs w:val="18"/>
              </w:rPr>
              <w:t xml:space="preserve"> – All Effective Date </w:t>
            </w:r>
            <w:r w:rsidR="002D08F3" w:rsidRPr="003B5F80">
              <w:rPr>
                <w:rFonts w:eastAsia="Calibri"/>
                <w:b/>
                <w:color w:val="000000"/>
                <w:sz w:val="18"/>
                <w:szCs w:val="18"/>
              </w:rPr>
              <w:t>200</w:t>
            </w:r>
            <w:r w:rsidR="004C4A8F">
              <w:rPr>
                <w:rFonts w:eastAsia="Calibri"/>
                <w:b/>
                <w:color w:val="000000"/>
                <w:sz w:val="18"/>
                <w:szCs w:val="18"/>
              </w:rPr>
              <w:t>50410</w:t>
            </w:r>
          </w:p>
        </w:tc>
      </w:tr>
      <w:tr w:rsidR="002B4E22" w:rsidRPr="003B5F80" w:rsidTr="00631626">
        <w:trPr>
          <w:trHeight w:val="278"/>
          <w:jc w:val="center"/>
        </w:trPr>
        <w:tc>
          <w:tcPr>
            <w:tcW w:w="2177" w:type="dxa"/>
            <w:tcBorders>
              <w:bottom w:val="single" w:sz="4" w:space="0" w:color="000000"/>
              <w:right w:val="single" w:sz="4" w:space="0" w:color="auto"/>
            </w:tcBorders>
            <w:shd w:val="clear" w:color="auto" w:fill="D9D9D9"/>
            <w:vAlign w:val="center"/>
          </w:tcPr>
          <w:p w:rsidR="002B4E22" w:rsidRPr="003B5F80" w:rsidRDefault="002B4E22" w:rsidP="003B5F80">
            <w:pPr>
              <w:contextualSpacing/>
              <w:rPr>
                <w:rFonts w:eastAsia="Calibri"/>
                <w:b/>
                <w:color w:val="000000"/>
                <w:sz w:val="18"/>
                <w:szCs w:val="18"/>
              </w:rPr>
            </w:pPr>
            <w:r w:rsidRPr="003B5F80">
              <w:rPr>
                <w:rFonts w:eastAsia="Calibri"/>
                <w:b/>
                <w:color w:val="000000"/>
                <w:sz w:val="18"/>
                <w:szCs w:val="18"/>
              </w:rPr>
              <w:t>Condition</w:t>
            </w:r>
          </w:p>
        </w:tc>
        <w:tc>
          <w:tcPr>
            <w:tcW w:w="1080" w:type="dxa"/>
            <w:tcBorders>
              <w:left w:val="single" w:sz="4" w:space="0" w:color="auto"/>
              <w:bottom w:val="single" w:sz="4" w:space="0" w:color="000000"/>
            </w:tcBorders>
            <w:shd w:val="clear" w:color="auto" w:fill="D9D9D9"/>
            <w:vAlign w:val="center"/>
          </w:tcPr>
          <w:p w:rsidR="002B4E22" w:rsidRPr="003B5F80" w:rsidRDefault="002B4E22" w:rsidP="003B5F80">
            <w:pPr>
              <w:contextualSpacing/>
              <w:rPr>
                <w:rFonts w:eastAsia="Calibri"/>
                <w:b/>
                <w:color w:val="000000"/>
                <w:sz w:val="18"/>
                <w:szCs w:val="18"/>
              </w:rPr>
            </w:pPr>
            <w:r w:rsidRPr="003B5F80">
              <w:rPr>
                <w:rFonts w:eastAsia="Calibri"/>
                <w:b/>
                <w:color w:val="000000"/>
                <w:sz w:val="18"/>
                <w:szCs w:val="18"/>
              </w:rPr>
              <w:t>Code</w:t>
            </w:r>
          </w:p>
        </w:tc>
        <w:tc>
          <w:tcPr>
            <w:tcW w:w="900" w:type="dxa"/>
            <w:tcBorders>
              <w:bottom w:val="single" w:sz="4" w:space="0" w:color="000000"/>
              <w:right w:val="thinThickThinSmallGap" w:sz="24" w:space="0" w:color="auto"/>
            </w:tcBorders>
            <w:shd w:val="clear" w:color="auto" w:fill="D9D9D9"/>
            <w:vAlign w:val="center"/>
          </w:tcPr>
          <w:p w:rsidR="002B4E22" w:rsidRPr="003B5F80" w:rsidRDefault="002B4E22" w:rsidP="003B5F80">
            <w:pPr>
              <w:contextualSpacing/>
              <w:rPr>
                <w:rFonts w:eastAsia="Calibri"/>
                <w:b/>
                <w:color w:val="000000"/>
                <w:sz w:val="18"/>
                <w:szCs w:val="18"/>
              </w:rPr>
            </w:pPr>
            <w:r w:rsidRPr="003B5F80">
              <w:rPr>
                <w:rFonts w:eastAsia="Calibri"/>
                <w:b/>
                <w:color w:val="000000"/>
                <w:sz w:val="18"/>
                <w:szCs w:val="18"/>
              </w:rPr>
              <w:t>Rating</w:t>
            </w:r>
          </w:p>
        </w:tc>
        <w:tc>
          <w:tcPr>
            <w:tcW w:w="2521" w:type="dxa"/>
            <w:tcBorders>
              <w:left w:val="thinThickThinSmallGap" w:sz="24" w:space="0" w:color="auto"/>
              <w:bottom w:val="single" w:sz="4" w:space="0" w:color="000000"/>
            </w:tcBorders>
            <w:shd w:val="clear" w:color="auto" w:fill="D9D9D9"/>
            <w:vAlign w:val="center"/>
          </w:tcPr>
          <w:p w:rsidR="002B4E22" w:rsidRPr="003B5F80" w:rsidRDefault="002B4E22" w:rsidP="003B5F80">
            <w:pPr>
              <w:contextualSpacing/>
              <w:rPr>
                <w:rFonts w:eastAsia="Calibri"/>
                <w:b/>
                <w:color w:val="000000"/>
                <w:sz w:val="18"/>
                <w:szCs w:val="18"/>
              </w:rPr>
            </w:pPr>
            <w:r w:rsidRPr="003B5F80">
              <w:rPr>
                <w:rFonts w:eastAsia="Calibri"/>
                <w:b/>
                <w:color w:val="000000"/>
                <w:sz w:val="18"/>
                <w:szCs w:val="18"/>
              </w:rPr>
              <w:t>Condition</w:t>
            </w:r>
          </w:p>
        </w:tc>
        <w:tc>
          <w:tcPr>
            <w:tcW w:w="1080" w:type="dxa"/>
            <w:tcBorders>
              <w:bottom w:val="single" w:sz="4" w:space="0" w:color="000000"/>
            </w:tcBorders>
            <w:shd w:val="clear" w:color="auto" w:fill="D9D9D9"/>
            <w:vAlign w:val="center"/>
          </w:tcPr>
          <w:p w:rsidR="002B4E22" w:rsidRPr="003B5F80" w:rsidRDefault="002B4E22" w:rsidP="003B5F80">
            <w:pPr>
              <w:contextualSpacing/>
              <w:rPr>
                <w:rFonts w:eastAsia="Calibri"/>
                <w:b/>
                <w:color w:val="000000"/>
                <w:sz w:val="18"/>
                <w:szCs w:val="18"/>
              </w:rPr>
            </w:pPr>
            <w:r w:rsidRPr="003B5F80">
              <w:rPr>
                <w:rFonts w:eastAsia="Calibri"/>
                <w:b/>
                <w:color w:val="000000"/>
                <w:sz w:val="18"/>
                <w:szCs w:val="18"/>
              </w:rPr>
              <w:t>Code</w:t>
            </w:r>
          </w:p>
        </w:tc>
        <w:tc>
          <w:tcPr>
            <w:tcW w:w="829" w:type="dxa"/>
            <w:tcBorders>
              <w:bottom w:val="single" w:sz="4" w:space="0" w:color="000000"/>
            </w:tcBorders>
            <w:shd w:val="clear" w:color="auto" w:fill="D9D9D9"/>
            <w:vAlign w:val="center"/>
          </w:tcPr>
          <w:p w:rsidR="002B4E22" w:rsidRPr="003B5F80" w:rsidRDefault="002B4E22" w:rsidP="003B5F80">
            <w:pPr>
              <w:contextualSpacing/>
              <w:rPr>
                <w:rFonts w:eastAsia="Calibri"/>
                <w:b/>
                <w:color w:val="000000"/>
                <w:sz w:val="18"/>
                <w:szCs w:val="18"/>
              </w:rPr>
            </w:pPr>
            <w:r w:rsidRPr="003B5F80">
              <w:rPr>
                <w:rFonts w:eastAsia="Calibri"/>
                <w:b/>
                <w:color w:val="000000"/>
                <w:sz w:val="18"/>
                <w:szCs w:val="18"/>
              </w:rPr>
              <w:t>Rating</w:t>
            </w:r>
          </w:p>
        </w:tc>
        <w:tc>
          <w:tcPr>
            <w:tcW w:w="990" w:type="dxa"/>
            <w:tcBorders>
              <w:bottom w:val="single" w:sz="4" w:space="0" w:color="000000"/>
            </w:tcBorders>
            <w:shd w:val="clear" w:color="auto" w:fill="D9D9D9"/>
            <w:vAlign w:val="center"/>
          </w:tcPr>
          <w:p w:rsidR="002B4E22" w:rsidRPr="003B5F80" w:rsidRDefault="002B4E22" w:rsidP="003B5F80">
            <w:pPr>
              <w:contextualSpacing/>
              <w:rPr>
                <w:rFonts w:eastAsia="Calibri"/>
                <w:b/>
                <w:color w:val="000000"/>
                <w:sz w:val="18"/>
                <w:szCs w:val="18"/>
              </w:rPr>
            </w:pPr>
            <w:r w:rsidRPr="003B5F80">
              <w:rPr>
                <w:rFonts w:eastAsia="Calibri"/>
                <w:b/>
                <w:color w:val="000000"/>
                <w:sz w:val="18"/>
                <w:szCs w:val="18"/>
              </w:rPr>
              <w:t>Exam</w:t>
            </w:r>
          </w:p>
        </w:tc>
      </w:tr>
      <w:tr w:rsidR="00C03C21" w:rsidRPr="003B5F80" w:rsidTr="00631626">
        <w:trPr>
          <w:trHeight w:val="347"/>
          <w:jc w:val="center"/>
        </w:trPr>
        <w:tc>
          <w:tcPr>
            <w:tcW w:w="2177" w:type="dxa"/>
            <w:tcBorders>
              <w:right w:val="single" w:sz="4" w:space="0" w:color="auto"/>
            </w:tcBorders>
            <w:shd w:val="clear" w:color="auto" w:fill="FFFFFF"/>
            <w:vAlign w:val="center"/>
          </w:tcPr>
          <w:p w:rsidR="00BC5860" w:rsidRPr="003B5F80" w:rsidRDefault="00425EA9" w:rsidP="001854FC">
            <w:pPr>
              <w:spacing w:line="180" w:lineRule="exact"/>
              <w:contextualSpacing/>
              <w:jc w:val="left"/>
              <w:rPr>
                <w:color w:val="000000"/>
                <w:sz w:val="18"/>
                <w:szCs w:val="18"/>
              </w:rPr>
            </w:pPr>
            <w:r>
              <w:rPr>
                <w:rFonts w:eastAsia="Calibri"/>
                <w:bCs/>
                <w:color w:val="000000"/>
                <w:sz w:val="18"/>
                <w:szCs w:val="18"/>
              </w:rPr>
              <w:t>Chronic Pain, Right Knee</w:t>
            </w:r>
          </w:p>
        </w:tc>
        <w:tc>
          <w:tcPr>
            <w:tcW w:w="1080" w:type="dxa"/>
            <w:tcBorders>
              <w:left w:val="single" w:sz="4" w:space="0" w:color="auto"/>
            </w:tcBorders>
            <w:shd w:val="clear" w:color="auto" w:fill="FFFFFF"/>
            <w:vAlign w:val="center"/>
          </w:tcPr>
          <w:p w:rsidR="00BC5860" w:rsidRPr="003B5F80" w:rsidRDefault="001034F8" w:rsidP="003B5F80">
            <w:pPr>
              <w:spacing w:line="180" w:lineRule="exact"/>
              <w:contextualSpacing/>
              <w:rPr>
                <w:color w:val="000000"/>
                <w:sz w:val="18"/>
                <w:szCs w:val="18"/>
              </w:rPr>
            </w:pPr>
            <w:r>
              <w:rPr>
                <w:rFonts w:eastAsia="Calibri"/>
                <w:color w:val="000000"/>
                <w:sz w:val="18"/>
                <w:szCs w:val="18"/>
              </w:rPr>
              <w:t>5099-5003</w:t>
            </w:r>
          </w:p>
        </w:tc>
        <w:tc>
          <w:tcPr>
            <w:tcW w:w="900" w:type="dxa"/>
            <w:tcBorders>
              <w:right w:val="thinThickThinSmallGap" w:sz="24" w:space="0" w:color="auto"/>
            </w:tcBorders>
            <w:shd w:val="clear" w:color="auto" w:fill="FFFFFF"/>
            <w:vAlign w:val="center"/>
          </w:tcPr>
          <w:p w:rsidR="00BC5860" w:rsidRPr="003B5F80" w:rsidRDefault="001034F8" w:rsidP="003B5F80">
            <w:pPr>
              <w:spacing w:line="180" w:lineRule="exact"/>
              <w:rPr>
                <w:color w:val="000000"/>
                <w:sz w:val="18"/>
                <w:szCs w:val="18"/>
              </w:rPr>
            </w:pPr>
            <w:r>
              <w:rPr>
                <w:rFonts w:eastAsia="Calibri"/>
                <w:color w:val="000000"/>
                <w:sz w:val="18"/>
                <w:szCs w:val="18"/>
              </w:rPr>
              <w:t>10</w:t>
            </w:r>
            <w:r w:rsidR="00C03C21" w:rsidRPr="003B5F80">
              <w:rPr>
                <w:rFonts w:eastAsia="Calibri"/>
                <w:color w:val="000000"/>
                <w:sz w:val="18"/>
                <w:szCs w:val="18"/>
              </w:rPr>
              <w:t>%</w:t>
            </w:r>
          </w:p>
        </w:tc>
        <w:tc>
          <w:tcPr>
            <w:tcW w:w="2521" w:type="dxa"/>
            <w:tcBorders>
              <w:left w:val="thinThickThinSmallGap" w:sz="24" w:space="0" w:color="auto"/>
            </w:tcBorders>
            <w:shd w:val="clear" w:color="auto" w:fill="FFFFFF"/>
            <w:vAlign w:val="center"/>
          </w:tcPr>
          <w:p w:rsidR="00BC5860" w:rsidRPr="003B5F80" w:rsidRDefault="004C4A8F" w:rsidP="001854FC">
            <w:pPr>
              <w:spacing w:line="180" w:lineRule="exact"/>
              <w:contextualSpacing/>
              <w:jc w:val="left"/>
              <w:rPr>
                <w:color w:val="000000"/>
                <w:sz w:val="18"/>
                <w:szCs w:val="18"/>
              </w:rPr>
            </w:pPr>
            <w:r>
              <w:rPr>
                <w:rFonts w:eastAsia="Calibri"/>
                <w:color w:val="000000"/>
                <w:sz w:val="18"/>
                <w:szCs w:val="18"/>
              </w:rPr>
              <w:t>D</w:t>
            </w:r>
            <w:r w:rsidR="001854FC">
              <w:rPr>
                <w:rFonts w:eastAsia="Calibri"/>
                <w:color w:val="000000"/>
                <w:sz w:val="18"/>
                <w:szCs w:val="18"/>
              </w:rPr>
              <w:t>JD</w:t>
            </w:r>
            <w:r w:rsidR="00DC29EC">
              <w:rPr>
                <w:rFonts w:eastAsia="Calibri"/>
                <w:color w:val="000000"/>
                <w:sz w:val="18"/>
                <w:szCs w:val="18"/>
              </w:rPr>
              <w:t>, Right Knee</w:t>
            </w:r>
          </w:p>
        </w:tc>
        <w:tc>
          <w:tcPr>
            <w:tcW w:w="1080" w:type="dxa"/>
            <w:shd w:val="clear" w:color="auto" w:fill="FFFFFF"/>
            <w:vAlign w:val="center"/>
          </w:tcPr>
          <w:p w:rsidR="00BC5860" w:rsidRPr="003B5F80" w:rsidRDefault="004C4A8F" w:rsidP="003B5F80">
            <w:pPr>
              <w:spacing w:line="180" w:lineRule="exact"/>
              <w:contextualSpacing/>
              <w:rPr>
                <w:color w:val="000000"/>
                <w:sz w:val="18"/>
                <w:szCs w:val="18"/>
              </w:rPr>
            </w:pPr>
            <w:r>
              <w:rPr>
                <w:rFonts w:eastAsia="Calibri"/>
                <w:color w:val="000000"/>
                <w:sz w:val="18"/>
                <w:szCs w:val="18"/>
              </w:rPr>
              <w:t>5010-5260</w:t>
            </w:r>
          </w:p>
        </w:tc>
        <w:tc>
          <w:tcPr>
            <w:tcW w:w="829" w:type="dxa"/>
            <w:shd w:val="clear" w:color="auto" w:fill="FFFFFF"/>
            <w:vAlign w:val="center"/>
          </w:tcPr>
          <w:p w:rsidR="00BC5860" w:rsidRPr="003B5F80" w:rsidRDefault="004C4A8F" w:rsidP="004C4A8F">
            <w:pPr>
              <w:spacing w:line="180" w:lineRule="exact"/>
              <w:contextualSpacing/>
              <w:rPr>
                <w:color w:val="000000"/>
                <w:sz w:val="18"/>
                <w:szCs w:val="18"/>
              </w:rPr>
            </w:pPr>
            <w:r>
              <w:rPr>
                <w:rFonts w:eastAsia="Calibri"/>
                <w:color w:val="000000"/>
                <w:sz w:val="18"/>
                <w:szCs w:val="18"/>
              </w:rPr>
              <w:t>10</w:t>
            </w:r>
            <w:r w:rsidR="00C03C21" w:rsidRPr="003B5F80">
              <w:rPr>
                <w:rFonts w:eastAsia="Calibri"/>
                <w:color w:val="000000"/>
                <w:sz w:val="18"/>
                <w:szCs w:val="18"/>
              </w:rPr>
              <w:t>%</w:t>
            </w:r>
            <w:r w:rsidR="006B1382">
              <w:rPr>
                <w:rFonts w:eastAsia="Calibri"/>
                <w:color w:val="000000"/>
                <w:sz w:val="18"/>
                <w:szCs w:val="18"/>
              </w:rPr>
              <w:t>*</w:t>
            </w:r>
          </w:p>
        </w:tc>
        <w:tc>
          <w:tcPr>
            <w:tcW w:w="990" w:type="dxa"/>
            <w:shd w:val="clear" w:color="auto" w:fill="FFFFFF"/>
            <w:vAlign w:val="center"/>
          </w:tcPr>
          <w:p w:rsidR="00BC5860" w:rsidRPr="00AD3E85" w:rsidRDefault="007E039F" w:rsidP="003B5F80">
            <w:pPr>
              <w:spacing w:line="180" w:lineRule="exact"/>
              <w:contextualSpacing/>
              <w:rPr>
                <w:color w:val="auto"/>
                <w:sz w:val="18"/>
                <w:szCs w:val="18"/>
              </w:rPr>
            </w:pPr>
            <w:r w:rsidRPr="00AD3E85">
              <w:rPr>
                <w:rFonts w:eastAsia="Calibri"/>
                <w:color w:val="auto"/>
                <w:sz w:val="18"/>
                <w:szCs w:val="18"/>
              </w:rPr>
              <w:t>20050725</w:t>
            </w:r>
          </w:p>
        </w:tc>
      </w:tr>
      <w:tr w:rsidR="00912FA1" w:rsidRPr="003B5F80" w:rsidTr="00631626">
        <w:trPr>
          <w:trHeight w:val="287"/>
          <w:jc w:val="center"/>
        </w:trPr>
        <w:tc>
          <w:tcPr>
            <w:tcW w:w="4157" w:type="dxa"/>
            <w:gridSpan w:val="3"/>
            <w:vMerge w:val="restart"/>
            <w:tcBorders>
              <w:right w:val="thinThickThinSmallGap" w:sz="24" w:space="0" w:color="auto"/>
            </w:tcBorders>
            <w:shd w:val="clear" w:color="auto" w:fill="FFFFFF"/>
            <w:vAlign w:val="center"/>
          </w:tcPr>
          <w:p w:rsidR="00912FA1" w:rsidRPr="003B5F80" w:rsidRDefault="00912FA1" w:rsidP="00F5658D">
            <w:pPr>
              <w:spacing w:line="180" w:lineRule="exact"/>
              <w:contextualSpacing/>
              <w:rPr>
                <w:color w:val="000000"/>
                <w:sz w:val="18"/>
                <w:szCs w:val="18"/>
              </w:rPr>
            </w:pPr>
            <w:r w:rsidRPr="003B5F80">
              <w:rPr>
                <w:rFonts w:eastAsia="Calibri"/>
                <w:color w:val="000000"/>
                <w:sz w:val="18"/>
                <w:szCs w:val="18"/>
              </w:rPr>
              <w:t>↓No Additional MEB/PEB Entries↓</w:t>
            </w:r>
          </w:p>
        </w:tc>
        <w:tc>
          <w:tcPr>
            <w:tcW w:w="2521" w:type="dxa"/>
            <w:tcBorders>
              <w:left w:val="thinThickThinSmallGap" w:sz="24" w:space="0" w:color="auto"/>
              <w:right w:val="single" w:sz="4" w:space="0" w:color="auto"/>
            </w:tcBorders>
            <w:shd w:val="clear" w:color="auto" w:fill="FFFFFF"/>
            <w:vAlign w:val="center"/>
          </w:tcPr>
          <w:p w:rsidR="00912FA1" w:rsidRPr="003B5F80" w:rsidRDefault="00912FA1" w:rsidP="003B5F80">
            <w:pPr>
              <w:spacing w:line="180" w:lineRule="exact"/>
              <w:contextualSpacing/>
              <w:jc w:val="left"/>
              <w:rPr>
                <w:color w:val="000000"/>
                <w:sz w:val="18"/>
                <w:szCs w:val="18"/>
              </w:rPr>
            </w:pPr>
            <w:r>
              <w:rPr>
                <w:rFonts w:eastAsia="Calibri"/>
                <w:color w:val="000000"/>
                <w:sz w:val="18"/>
                <w:szCs w:val="18"/>
              </w:rPr>
              <w:t>Migraine Headaches</w:t>
            </w:r>
          </w:p>
        </w:tc>
        <w:tc>
          <w:tcPr>
            <w:tcW w:w="1080" w:type="dxa"/>
            <w:tcBorders>
              <w:left w:val="single" w:sz="4" w:space="0" w:color="auto"/>
            </w:tcBorders>
            <w:shd w:val="clear" w:color="auto" w:fill="FFFFFF"/>
            <w:vAlign w:val="center"/>
          </w:tcPr>
          <w:p w:rsidR="00912FA1" w:rsidRPr="003B5F80" w:rsidRDefault="00912FA1" w:rsidP="003B5F80">
            <w:pPr>
              <w:spacing w:line="180" w:lineRule="exact"/>
              <w:contextualSpacing/>
              <w:rPr>
                <w:color w:val="000000"/>
                <w:sz w:val="18"/>
                <w:szCs w:val="18"/>
              </w:rPr>
            </w:pPr>
            <w:r>
              <w:rPr>
                <w:rFonts w:eastAsia="Calibri"/>
                <w:color w:val="000000"/>
                <w:sz w:val="18"/>
                <w:szCs w:val="18"/>
              </w:rPr>
              <w:t>8100</w:t>
            </w:r>
          </w:p>
        </w:tc>
        <w:tc>
          <w:tcPr>
            <w:tcW w:w="829" w:type="dxa"/>
            <w:shd w:val="clear" w:color="auto" w:fill="FFFFFF"/>
            <w:vAlign w:val="center"/>
          </w:tcPr>
          <w:p w:rsidR="00912FA1" w:rsidRPr="003B5F80" w:rsidRDefault="00912FA1" w:rsidP="003B5F80">
            <w:pPr>
              <w:spacing w:line="180" w:lineRule="exact"/>
              <w:contextualSpacing/>
              <w:rPr>
                <w:color w:val="000000"/>
                <w:sz w:val="18"/>
                <w:szCs w:val="18"/>
              </w:rPr>
            </w:pPr>
            <w:r>
              <w:rPr>
                <w:rFonts w:eastAsia="Calibri"/>
                <w:color w:val="000000"/>
                <w:sz w:val="18"/>
                <w:szCs w:val="18"/>
              </w:rPr>
              <w:t>30</w:t>
            </w:r>
            <w:r w:rsidRPr="003B5F80">
              <w:rPr>
                <w:rFonts w:eastAsia="Calibri"/>
                <w:color w:val="000000"/>
                <w:sz w:val="18"/>
                <w:szCs w:val="18"/>
              </w:rPr>
              <w:t>%</w:t>
            </w:r>
          </w:p>
        </w:tc>
        <w:tc>
          <w:tcPr>
            <w:tcW w:w="990" w:type="dxa"/>
            <w:shd w:val="clear" w:color="auto" w:fill="FFFFFF"/>
            <w:vAlign w:val="center"/>
          </w:tcPr>
          <w:p w:rsidR="00912FA1" w:rsidRPr="00AD3E85" w:rsidRDefault="00912FA1" w:rsidP="003B5F80">
            <w:pPr>
              <w:spacing w:line="180" w:lineRule="exact"/>
              <w:contextualSpacing/>
              <w:rPr>
                <w:color w:val="auto"/>
                <w:sz w:val="18"/>
                <w:szCs w:val="18"/>
              </w:rPr>
            </w:pPr>
            <w:r w:rsidRPr="00AD3E85">
              <w:rPr>
                <w:rFonts w:eastAsia="Calibri"/>
                <w:color w:val="auto"/>
                <w:sz w:val="18"/>
                <w:szCs w:val="18"/>
              </w:rPr>
              <w:t>20050725</w:t>
            </w:r>
          </w:p>
        </w:tc>
      </w:tr>
      <w:tr w:rsidR="00912FA1" w:rsidRPr="003B5F80" w:rsidTr="00631626">
        <w:trPr>
          <w:trHeight w:val="287"/>
          <w:jc w:val="center"/>
        </w:trPr>
        <w:tc>
          <w:tcPr>
            <w:tcW w:w="4157" w:type="dxa"/>
            <w:gridSpan w:val="3"/>
            <w:vMerge/>
            <w:tcBorders>
              <w:right w:val="thinThickThinSmallGap" w:sz="24" w:space="0" w:color="auto"/>
            </w:tcBorders>
            <w:shd w:val="clear" w:color="auto" w:fill="FFFFFF"/>
            <w:vAlign w:val="center"/>
          </w:tcPr>
          <w:p w:rsidR="00912FA1" w:rsidRPr="003B5F80" w:rsidRDefault="00912FA1" w:rsidP="00F5658D">
            <w:pPr>
              <w:spacing w:line="180" w:lineRule="exact"/>
              <w:contextualSpacing/>
              <w:rPr>
                <w:color w:val="000000"/>
                <w:sz w:val="18"/>
                <w:szCs w:val="18"/>
                <w:highlight w:val="yellow"/>
              </w:rPr>
            </w:pPr>
          </w:p>
        </w:tc>
        <w:tc>
          <w:tcPr>
            <w:tcW w:w="2521" w:type="dxa"/>
            <w:tcBorders>
              <w:left w:val="thinThickThinSmallGap" w:sz="24" w:space="0" w:color="auto"/>
              <w:right w:val="single" w:sz="4" w:space="0" w:color="auto"/>
            </w:tcBorders>
            <w:shd w:val="clear" w:color="auto" w:fill="FFFFFF"/>
            <w:vAlign w:val="center"/>
          </w:tcPr>
          <w:p w:rsidR="00912FA1" w:rsidRPr="003B5F80" w:rsidRDefault="00912FA1" w:rsidP="003B5F80">
            <w:pPr>
              <w:spacing w:line="180" w:lineRule="exact"/>
              <w:contextualSpacing/>
              <w:jc w:val="left"/>
              <w:rPr>
                <w:color w:val="000000"/>
                <w:sz w:val="18"/>
                <w:szCs w:val="18"/>
              </w:rPr>
            </w:pPr>
            <w:r>
              <w:rPr>
                <w:color w:val="000000"/>
                <w:sz w:val="18"/>
                <w:szCs w:val="18"/>
              </w:rPr>
              <w:t>Left Shoulder Tendonitis</w:t>
            </w:r>
          </w:p>
        </w:tc>
        <w:tc>
          <w:tcPr>
            <w:tcW w:w="1080" w:type="dxa"/>
            <w:tcBorders>
              <w:left w:val="single" w:sz="4" w:space="0" w:color="auto"/>
            </w:tcBorders>
            <w:shd w:val="clear" w:color="auto" w:fill="FFFFFF"/>
            <w:vAlign w:val="center"/>
          </w:tcPr>
          <w:p w:rsidR="00912FA1" w:rsidRPr="003B5F80" w:rsidRDefault="00912FA1" w:rsidP="003B5F80">
            <w:pPr>
              <w:spacing w:line="180" w:lineRule="exact"/>
              <w:contextualSpacing/>
              <w:rPr>
                <w:color w:val="000000"/>
                <w:sz w:val="18"/>
                <w:szCs w:val="18"/>
              </w:rPr>
            </w:pPr>
            <w:r>
              <w:rPr>
                <w:color w:val="000000"/>
                <w:sz w:val="18"/>
                <w:szCs w:val="18"/>
              </w:rPr>
              <w:t>5203</w:t>
            </w:r>
          </w:p>
        </w:tc>
        <w:tc>
          <w:tcPr>
            <w:tcW w:w="829" w:type="dxa"/>
            <w:shd w:val="clear" w:color="auto" w:fill="FFFFFF"/>
            <w:vAlign w:val="center"/>
          </w:tcPr>
          <w:p w:rsidR="00912FA1" w:rsidRPr="003B5F80" w:rsidRDefault="00912FA1" w:rsidP="003B5F80">
            <w:pPr>
              <w:spacing w:line="180" w:lineRule="exact"/>
              <w:contextualSpacing/>
              <w:rPr>
                <w:color w:val="000000"/>
                <w:sz w:val="18"/>
                <w:szCs w:val="18"/>
              </w:rPr>
            </w:pPr>
            <w:r>
              <w:rPr>
                <w:color w:val="000000"/>
                <w:sz w:val="18"/>
                <w:szCs w:val="18"/>
              </w:rPr>
              <w:t>10%</w:t>
            </w:r>
          </w:p>
        </w:tc>
        <w:tc>
          <w:tcPr>
            <w:tcW w:w="990" w:type="dxa"/>
            <w:shd w:val="clear" w:color="auto" w:fill="FFFFFF"/>
          </w:tcPr>
          <w:p w:rsidR="00912FA1" w:rsidRPr="00AD3E85" w:rsidRDefault="00912FA1">
            <w:pPr>
              <w:rPr>
                <w:color w:val="auto"/>
                <w:sz w:val="18"/>
                <w:szCs w:val="18"/>
              </w:rPr>
            </w:pPr>
            <w:r w:rsidRPr="00AD3E85">
              <w:rPr>
                <w:rFonts w:eastAsia="Calibri"/>
                <w:color w:val="auto"/>
                <w:sz w:val="18"/>
                <w:szCs w:val="18"/>
              </w:rPr>
              <w:t>20050725</w:t>
            </w:r>
          </w:p>
        </w:tc>
      </w:tr>
      <w:tr w:rsidR="00912FA1" w:rsidRPr="003B5F80" w:rsidTr="00631626">
        <w:trPr>
          <w:trHeight w:val="287"/>
          <w:jc w:val="center"/>
        </w:trPr>
        <w:tc>
          <w:tcPr>
            <w:tcW w:w="4157" w:type="dxa"/>
            <w:gridSpan w:val="3"/>
            <w:vMerge/>
            <w:tcBorders>
              <w:right w:val="thinThickThinSmallGap" w:sz="24" w:space="0" w:color="auto"/>
            </w:tcBorders>
            <w:shd w:val="clear" w:color="auto" w:fill="FFFFFF"/>
            <w:vAlign w:val="center"/>
          </w:tcPr>
          <w:p w:rsidR="00912FA1" w:rsidRPr="003B5F80" w:rsidRDefault="00912FA1" w:rsidP="00F5658D">
            <w:pPr>
              <w:spacing w:line="180" w:lineRule="exact"/>
              <w:contextualSpacing/>
              <w:rPr>
                <w:color w:val="000000"/>
                <w:sz w:val="18"/>
                <w:szCs w:val="18"/>
                <w:highlight w:val="yellow"/>
              </w:rPr>
            </w:pPr>
          </w:p>
        </w:tc>
        <w:tc>
          <w:tcPr>
            <w:tcW w:w="2521" w:type="dxa"/>
            <w:tcBorders>
              <w:left w:val="thinThickThinSmallGap" w:sz="24" w:space="0" w:color="auto"/>
              <w:right w:val="single" w:sz="4" w:space="0" w:color="auto"/>
            </w:tcBorders>
            <w:shd w:val="clear" w:color="auto" w:fill="FFFFFF"/>
            <w:vAlign w:val="center"/>
          </w:tcPr>
          <w:p w:rsidR="00912FA1" w:rsidRPr="003B5F80" w:rsidRDefault="00631626" w:rsidP="003B5F80">
            <w:pPr>
              <w:spacing w:line="180" w:lineRule="exact"/>
              <w:contextualSpacing/>
              <w:jc w:val="left"/>
              <w:rPr>
                <w:color w:val="000000"/>
                <w:sz w:val="18"/>
                <w:szCs w:val="18"/>
              </w:rPr>
            </w:pPr>
            <w:r>
              <w:rPr>
                <w:color w:val="000000"/>
                <w:sz w:val="18"/>
                <w:szCs w:val="18"/>
              </w:rPr>
              <w:t xml:space="preserve">Right </w:t>
            </w:r>
            <w:r w:rsidR="00912FA1">
              <w:rPr>
                <w:color w:val="000000"/>
                <w:sz w:val="18"/>
                <w:szCs w:val="18"/>
              </w:rPr>
              <w:t>Shoulder Tendonitis</w:t>
            </w:r>
          </w:p>
        </w:tc>
        <w:tc>
          <w:tcPr>
            <w:tcW w:w="1080" w:type="dxa"/>
            <w:tcBorders>
              <w:left w:val="single" w:sz="4" w:space="0" w:color="auto"/>
            </w:tcBorders>
            <w:shd w:val="clear" w:color="auto" w:fill="FFFFFF"/>
            <w:vAlign w:val="center"/>
          </w:tcPr>
          <w:p w:rsidR="00912FA1" w:rsidRPr="003B5F80" w:rsidRDefault="00912FA1" w:rsidP="003B5F80">
            <w:pPr>
              <w:spacing w:line="180" w:lineRule="exact"/>
              <w:contextualSpacing/>
              <w:rPr>
                <w:color w:val="000000"/>
                <w:sz w:val="18"/>
                <w:szCs w:val="18"/>
              </w:rPr>
            </w:pPr>
            <w:r>
              <w:rPr>
                <w:color w:val="000000"/>
                <w:sz w:val="18"/>
                <w:szCs w:val="18"/>
              </w:rPr>
              <w:t>5203</w:t>
            </w:r>
          </w:p>
        </w:tc>
        <w:tc>
          <w:tcPr>
            <w:tcW w:w="829" w:type="dxa"/>
            <w:shd w:val="clear" w:color="auto" w:fill="FFFFFF"/>
            <w:vAlign w:val="center"/>
          </w:tcPr>
          <w:p w:rsidR="00912FA1" w:rsidRPr="003B5F80" w:rsidRDefault="00912FA1" w:rsidP="003B5F80">
            <w:pPr>
              <w:spacing w:line="180" w:lineRule="exact"/>
              <w:contextualSpacing/>
              <w:rPr>
                <w:color w:val="000000"/>
                <w:sz w:val="18"/>
                <w:szCs w:val="18"/>
              </w:rPr>
            </w:pPr>
            <w:r>
              <w:rPr>
                <w:color w:val="000000"/>
                <w:sz w:val="18"/>
                <w:szCs w:val="18"/>
              </w:rPr>
              <w:t>10%</w:t>
            </w:r>
          </w:p>
        </w:tc>
        <w:tc>
          <w:tcPr>
            <w:tcW w:w="990" w:type="dxa"/>
            <w:shd w:val="clear" w:color="auto" w:fill="FFFFFF"/>
          </w:tcPr>
          <w:p w:rsidR="00912FA1" w:rsidRPr="00AD3E85" w:rsidRDefault="00912FA1">
            <w:pPr>
              <w:rPr>
                <w:color w:val="auto"/>
                <w:sz w:val="18"/>
                <w:szCs w:val="18"/>
              </w:rPr>
            </w:pPr>
            <w:r w:rsidRPr="00AD3E85">
              <w:rPr>
                <w:rFonts w:eastAsia="Calibri"/>
                <w:color w:val="auto"/>
                <w:sz w:val="18"/>
                <w:szCs w:val="18"/>
              </w:rPr>
              <w:t>20050725</w:t>
            </w:r>
          </w:p>
        </w:tc>
      </w:tr>
      <w:tr w:rsidR="00912FA1" w:rsidRPr="003B5F80" w:rsidTr="00631626">
        <w:trPr>
          <w:trHeight w:val="287"/>
          <w:jc w:val="center"/>
        </w:trPr>
        <w:tc>
          <w:tcPr>
            <w:tcW w:w="4157" w:type="dxa"/>
            <w:gridSpan w:val="3"/>
            <w:vMerge/>
            <w:tcBorders>
              <w:right w:val="thinThickThinSmallGap" w:sz="24" w:space="0" w:color="auto"/>
            </w:tcBorders>
            <w:shd w:val="clear" w:color="auto" w:fill="FFFFFF"/>
            <w:vAlign w:val="center"/>
          </w:tcPr>
          <w:p w:rsidR="00912FA1" w:rsidRPr="003B5F80" w:rsidRDefault="00912FA1" w:rsidP="00F5658D">
            <w:pPr>
              <w:spacing w:line="180" w:lineRule="exact"/>
              <w:contextualSpacing/>
              <w:rPr>
                <w:color w:val="000000"/>
                <w:sz w:val="18"/>
                <w:szCs w:val="18"/>
              </w:rPr>
            </w:pPr>
          </w:p>
        </w:tc>
        <w:tc>
          <w:tcPr>
            <w:tcW w:w="2521" w:type="dxa"/>
            <w:tcBorders>
              <w:left w:val="thinThickThinSmallGap" w:sz="24" w:space="0" w:color="auto"/>
              <w:right w:val="single" w:sz="4" w:space="0" w:color="auto"/>
            </w:tcBorders>
            <w:shd w:val="clear" w:color="auto" w:fill="FFFFFF"/>
            <w:vAlign w:val="center"/>
          </w:tcPr>
          <w:p w:rsidR="00912FA1" w:rsidRPr="003B5F80" w:rsidRDefault="00912FA1" w:rsidP="003B5F80">
            <w:pPr>
              <w:spacing w:line="180" w:lineRule="exact"/>
              <w:contextualSpacing/>
              <w:jc w:val="left"/>
              <w:rPr>
                <w:color w:val="000000"/>
                <w:sz w:val="18"/>
                <w:szCs w:val="18"/>
              </w:rPr>
            </w:pPr>
            <w:r>
              <w:rPr>
                <w:color w:val="000000"/>
                <w:sz w:val="18"/>
                <w:szCs w:val="18"/>
              </w:rPr>
              <w:t>Tinni</w:t>
            </w:r>
            <w:r w:rsidRPr="004C4A8F">
              <w:rPr>
                <w:color w:val="000000"/>
                <w:sz w:val="18"/>
                <w:szCs w:val="18"/>
              </w:rPr>
              <w:t>tus</w:t>
            </w:r>
          </w:p>
        </w:tc>
        <w:tc>
          <w:tcPr>
            <w:tcW w:w="1080" w:type="dxa"/>
            <w:tcBorders>
              <w:left w:val="single" w:sz="4" w:space="0" w:color="auto"/>
              <w:right w:val="single" w:sz="4" w:space="0" w:color="auto"/>
            </w:tcBorders>
            <w:shd w:val="clear" w:color="auto" w:fill="FFFFFF"/>
            <w:vAlign w:val="center"/>
          </w:tcPr>
          <w:p w:rsidR="00912FA1" w:rsidRPr="003B5F80" w:rsidRDefault="00912FA1" w:rsidP="003B5F80">
            <w:pPr>
              <w:spacing w:line="180" w:lineRule="exact"/>
              <w:contextualSpacing/>
              <w:rPr>
                <w:color w:val="000000"/>
                <w:sz w:val="18"/>
                <w:szCs w:val="18"/>
              </w:rPr>
            </w:pPr>
            <w:r>
              <w:rPr>
                <w:color w:val="000000"/>
                <w:sz w:val="18"/>
                <w:szCs w:val="18"/>
              </w:rPr>
              <w:t>6260</w:t>
            </w:r>
          </w:p>
        </w:tc>
        <w:tc>
          <w:tcPr>
            <w:tcW w:w="829" w:type="dxa"/>
            <w:tcBorders>
              <w:left w:val="single" w:sz="4" w:space="0" w:color="auto"/>
            </w:tcBorders>
            <w:shd w:val="clear" w:color="auto" w:fill="FFFFFF"/>
            <w:vAlign w:val="center"/>
          </w:tcPr>
          <w:p w:rsidR="00912FA1" w:rsidRPr="003B5F80" w:rsidRDefault="00912FA1" w:rsidP="003B5F80">
            <w:pPr>
              <w:spacing w:line="180" w:lineRule="exact"/>
              <w:contextualSpacing/>
              <w:rPr>
                <w:color w:val="000000"/>
                <w:sz w:val="18"/>
                <w:szCs w:val="18"/>
              </w:rPr>
            </w:pPr>
            <w:r>
              <w:rPr>
                <w:color w:val="000000"/>
                <w:sz w:val="18"/>
                <w:szCs w:val="18"/>
              </w:rPr>
              <w:t>10%</w:t>
            </w:r>
          </w:p>
        </w:tc>
        <w:tc>
          <w:tcPr>
            <w:tcW w:w="990" w:type="dxa"/>
            <w:shd w:val="clear" w:color="auto" w:fill="FFFFFF"/>
            <w:vAlign w:val="center"/>
          </w:tcPr>
          <w:p w:rsidR="00912FA1" w:rsidRPr="00AD3E85" w:rsidRDefault="00912FA1" w:rsidP="003B5F80">
            <w:pPr>
              <w:spacing w:line="180" w:lineRule="exact"/>
              <w:contextualSpacing/>
              <w:rPr>
                <w:color w:val="auto"/>
                <w:sz w:val="18"/>
                <w:szCs w:val="18"/>
                <w:highlight w:val="yellow"/>
              </w:rPr>
            </w:pPr>
            <w:r w:rsidRPr="00AD3E85">
              <w:rPr>
                <w:color w:val="auto"/>
                <w:sz w:val="18"/>
                <w:szCs w:val="18"/>
              </w:rPr>
              <w:t>20050716</w:t>
            </w:r>
          </w:p>
        </w:tc>
      </w:tr>
      <w:tr w:rsidR="00912FA1" w:rsidRPr="003B5F80" w:rsidTr="00631626">
        <w:trPr>
          <w:trHeight w:val="287"/>
          <w:jc w:val="center"/>
        </w:trPr>
        <w:tc>
          <w:tcPr>
            <w:tcW w:w="4157" w:type="dxa"/>
            <w:gridSpan w:val="3"/>
            <w:vMerge/>
            <w:tcBorders>
              <w:right w:val="thinThickThinSmallGap" w:sz="24" w:space="0" w:color="auto"/>
            </w:tcBorders>
            <w:shd w:val="clear" w:color="auto" w:fill="FFFFFF"/>
            <w:vAlign w:val="center"/>
          </w:tcPr>
          <w:p w:rsidR="00912FA1" w:rsidRPr="003B5F80" w:rsidRDefault="00912FA1" w:rsidP="00F5658D">
            <w:pPr>
              <w:spacing w:line="180" w:lineRule="exact"/>
              <w:contextualSpacing/>
              <w:rPr>
                <w:rFonts w:eastAsia="Calibri"/>
                <w:color w:val="000000"/>
                <w:sz w:val="18"/>
                <w:szCs w:val="18"/>
              </w:rPr>
            </w:pPr>
          </w:p>
        </w:tc>
        <w:tc>
          <w:tcPr>
            <w:tcW w:w="2521" w:type="dxa"/>
            <w:tcBorders>
              <w:left w:val="thinThickThinSmallGap" w:sz="24" w:space="0" w:color="auto"/>
              <w:right w:val="single" w:sz="4" w:space="0" w:color="auto"/>
            </w:tcBorders>
            <w:shd w:val="clear" w:color="auto" w:fill="FFFFFF"/>
            <w:vAlign w:val="center"/>
          </w:tcPr>
          <w:p w:rsidR="00912FA1" w:rsidRDefault="00912FA1" w:rsidP="00631626">
            <w:pPr>
              <w:spacing w:line="180" w:lineRule="exact"/>
              <w:contextualSpacing/>
              <w:jc w:val="left"/>
              <w:rPr>
                <w:color w:val="000000"/>
                <w:sz w:val="18"/>
                <w:szCs w:val="18"/>
              </w:rPr>
            </w:pPr>
            <w:r>
              <w:rPr>
                <w:color w:val="000000"/>
                <w:sz w:val="18"/>
                <w:szCs w:val="18"/>
              </w:rPr>
              <w:t>Right El</w:t>
            </w:r>
            <w:r w:rsidRPr="004C4A8F">
              <w:rPr>
                <w:color w:val="000000"/>
                <w:sz w:val="18"/>
                <w:szCs w:val="18"/>
              </w:rPr>
              <w:t xml:space="preserve">bow </w:t>
            </w:r>
            <w:proofErr w:type="spellStart"/>
            <w:r w:rsidRPr="004C4A8F">
              <w:rPr>
                <w:color w:val="000000"/>
                <w:sz w:val="18"/>
                <w:szCs w:val="18"/>
              </w:rPr>
              <w:t>Ulnar</w:t>
            </w:r>
            <w:proofErr w:type="spellEnd"/>
            <w:r w:rsidRPr="004C4A8F">
              <w:rPr>
                <w:color w:val="000000"/>
                <w:sz w:val="18"/>
                <w:szCs w:val="18"/>
              </w:rPr>
              <w:t xml:space="preserve"> </w:t>
            </w:r>
            <w:r w:rsidR="00631626">
              <w:rPr>
                <w:color w:val="000000"/>
                <w:sz w:val="18"/>
                <w:szCs w:val="18"/>
              </w:rPr>
              <w:t>N</w:t>
            </w:r>
            <w:r w:rsidRPr="004C4A8F">
              <w:rPr>
                <w:color w:val="000000"/>
                <w:sz w:val="18"/>
                <w:szCs w:val="18"/>
              </w:rPr>
              <w:t>europathy</w:t>
            </w:r>
          </w:p>
        </w:tc>
        <w:tc>
          <w:tcPr>
            <w:tcW w:w="1080" w:type="dxa"/>
            <w:tcBorders>
              <w:left w:val="single" w:sz="4" w:space="0" w:color="auto"/>
              <w:right w:val="single" w:sz="4" w:space="0" w:color="auto"/>
            </w:tcBorders>
            <w:shd w:val="clear" w:color="auto" w:fill="FFFFFF"/>
            <w:vAlign w:val="center"/>
          </w:tcPr>
          <w:p w:rsidR="00912FA1" w:rsidRDefault="00912FA1" w:rsidP="003B5F80">
            <w:pPr>
              <w:spacing w:line="180" w:lineRule="exact"/>
              <w:contextualSpacing/>
              <w:rPr>
                <w:color w:val="000000"/>
                <w:sz w:val="18"/>
                <w:szCs w:val="18"/>
              </w:rPr>
            </w:pPr>
            <w:r>
              <w:rPr>
                <w:color w:val="000000"/>
                <w:sz w:val="18"/>
                <w:szCs w:val="18"/>
              </w:rPr>
              <w:t>8516</w:t>
            </w:r>
          </w:p>
        </w:tc>
        <w:tc>
          <w:tcPr>
            <w:tcW w:w="829" w:type="dxa"/>
            <w:tcBorders>
              <w:left w:val="single" w:sz="4" w:space="0" w:color="auto"/>
            </w:tcBorders>
            <w:shd w:val="clear" w:color="auto" w:fill="FFFFFF"/>
            <w:vAlign w:val="center"/>
          </w:tcPr>
          <w:p w:rsidR="00912FA1" w:rsidRDefault="00912FA1" w:rsidP="003B5F80">
            <w:pPr>
              <w:spacing w:line="180" w:lineRule="exact"/>
              <w:contextualSpacing/>
              <w:rPr>
                <w:color w:val="000000"/>
                <w:sz w:val="18"/>
                <w:szCs w:val="18"/>
              </w:rPr>
            </w:pPr>
            <w:r>
              <w:rPr>
                <w:color w:val="000000"/>
                <w:sz w:val="18"/>
                <w:szCs w:val="18"/>
              </w:rPr>
              <w:t>10%</w:t>
            </w:r>
          </w:p>
        </w:tc>
        <w:tc>
          <w:tcPr>
            <w:tcW w:w="990" w:type="dxa"/>
            <w:shd w:val="clear" w:color="auto" w:fill="FFFFFF"/>
            <w:vAlign w:val="center"/>
          </w:tcPr>
          <w:p w:rsidR="00912FA1" w:rsidRPr="00AD3E85" w:rsidRDefault="00912FA1" w:rsidP="003B5F80">
            <w:pPr>
              <w:spacing w:line="180" w:lineRule="exact"/>
              <w:contextualSpacing/>
              <w:rPr>
                <w:color w:val="auto"/>
                <w:sz w:val="18"/>
                <w:szCs w:val="18"/>
                <w:highlight w:val="yellow"/>
              </w:rPr>
            </w:pPr>
            <w:r w:rsidRPr="00AD3E85">
              <w:rPr>
                <w:color w:val="auto"/>
                <w:sz w:val="18"/>
                <w:szCs w:val="18"/>
              </w:rPr>
              <w:t>20050725</w:t>
            </w:r>
          </w:p>
        </w:tc>
      </w:tr>
      <w:tr w:rsidR="00636B0E" w:rsidRPr="003B5F80" w:rsidTr="00631626">
        <w:trPr>
          <w:trHeight w:val="370"/>
          <w:jc w:val="center"/>
        </w:trPr>
        <w:tc>
          <w:tcPr>
            <w:tcW w:w="4157" w:type="dxa"/>
            <w:gridSpan w:val="3"/>
            <w:vMerge/>
            <w:tcBorders>
              <w:right w:val="thinThickThinSmallGap" w:sz="24" w:space="0" w:color="auto"/>
            </w:tcBorders>
            <w:shd w:val="clear" w:color="auto" w:fill="FFFFFF"/>
            <w:vAlign w:val="center"/>
          </w:tcPr>
          <w:p w:rsidR="00636B0E" w:rsidRPr="003B5F80" w:rsidRDefault="00636B0E" w:rsidP="003B5F80">
            <w:pPr>
              <w:spacing w:line="180" w:lineRule="exact"/>
              <w:contextualSpacing/>
              <w:rPr>
                <w:color w:val="000000"/>
                <w:sz w:val="18"/>
                <w:szCs w:val="18"/>
              </w:rPr>
            </w:pPr>
          </w:p>
        </w:tc>
        <w:tc>
          <w:tcPr>
            <w:tcW w:w="4430" w:type="dxa"/>
            <w:gridSpan w:val="3"/>
            <w:tcBorders>
              <w:left w:val="thinThickThinSmallGap" w:sz="24" w:space="0" w:color="auto"/>
              <w:right w:val="single" w:sz="4" w:space="0" w:color="auto"/>
            </w:tcBorders>
            <w:shd w:val="clear" w:color="auto" w:fill="FFFFFF"/>
            <w:vAlign w:val="center"/>
          </w:tcPr>
          <w:p w:rsidR="00636B0E" w:rsidRPr="003B5F80" w:rsidRDefault="00636B0E" w:rsidP="0005080D">
            <w:pPr>
              <w:spacing w:line="180" w:lineRule="exact"/>
              <w:contextualSpacing/>
              <w:rPr>
                <w:color w:val="000000"/>
                <w:sz w:val="18"/>
                <w:szCs w:val="18"/>
              </w:rPr>
            </w:pPr>
            <w:r w:rsidRPr="003B5F80">
              <w:rPr>
                <w:rFonts w:eastAsia="Calibri"/>
                <w:color w:val="000000"/>
                <w:sz w:val="18"/>
                <w:szCs w:val="18"/>
              </w:rPr>
              <w:t>0% x</w:t>
            </w:r>
            <w:r>
              <w:rPr>
                <w:rFonts w:eastAsia="Calibri"/>
                <w:color w:val="000000"/>
                <w:sz w:val="18"/>
                <w:szCs w:val="18"/>
              </w:rPr>
              <w:t xml:space="preserve"> 2</w:t>
            </w:r>
            <w:r w:rsidRPr="003B5F80">
              <w:rPr>
                <w:rFonts w:eastAsia="Calibri"/>
                <w:color w:val="000000"/>
                <w:sz w:val="18"/>
                <w:szCs w:val="18"/>
              </w:rPr>
              <w:t xml:space="preserve">/Not Service Connected x </w:t>
            </w:r>
            <w:r>
              <w:rPr>
                <w:rFonts w:eastAsia="Calibri"/>
                <w:color w:val="000000"/>
                <w:sz w:val="18"/>
                <w:szCs w:val="18"/>
              </w:rPr>
              <w:t>1</w:t>
            </w:r>
          </w:p>
        </w:tc>
        <w:tc>
          <w:tcPr>
            <w:tcW w:w="990" w:type="dxa"/>
            <w:tcBorders>
              <w:left w:val="single" w:sz="4" w:space="0" w:color="auto"/>
            </w:tcBorders>
            <w:shd w:val="clear" w:color="auto" w:fill="FFFFFF"/>
            <w:vAlign w:val="center"/>
          </w:tcPr>
          <w:p w:rsidR="00636B0E" w:rsidRPr="00AD3E85" w:rsidRDefault="00636B0E" w:rsidP="0005080D">
            <w:pPr>
              <w:spacing w:line="180" w:lineRule="exact"/>
              <w:contextualSpacing/>
              <w:rPr>
                <w:color w:val="auto"/>
                <w:sz w:val="18"/>
                <w:szCs w:val="18"/>
              </w:rPr>
            </w:pPr>
            <w:r w:rsidRPr="00AD3E85">
              <w:rPr>
                <w:rFonts w:eastAsia="Calibri"/>
                <w:color w:val="auto"/>
                <w:sz w:val="18"/>
                <w:szCs w:val="18"/>
              </w:rPr>
              <w:t>20050725</w:t>
            </w:r>
          </w:p>
        </w:tc>
      </w:tr>
      <w:tr w:rsidR="007A65A9" w:rsidRPr="003B5F80" w:rsidTr="00631626">
        <w:trPr>
          <w:trHeight w:val="125"/>
          <w:jc w:val="center"/>
        </w:trPr>
        <w:tc>
          <w:tcPr>
            <w:tcW w:w="4157" w:type="dxa"/>
            <w:gridSpan w:val="3"/>
            <w:tcBorders>
              <w:right w:val="thinThickThinSmallGap" w:sz="24" w:space="0" w:color="auto"/>
            </w:tcBorders>
            <w:shd w:val="clear" w:color="auto" w:fill="D9D9D9"/>
            <w:vAlign w:val="center"/>
          </w:tcPr>
          <w:p w:rsidR="007A65A9" w:rsidRPr="003B5F80" w:rsidRDefault="007A65A9" w:rsidP="003B5F80">
            <w:pPr>
              <w:contextualSpacing/>
              <w:rPr>
                <w:rFonts w:eastAsia="Calibri"/>
                <w:b/>
                <w:color w:val="000000"/>
                <w:sz w:val="18"/>
                <w:szCs w:val="18"/>
              </w:rPr>
            </w:pPr>
            <w:r w:rsidRPr="003B5F80">
              <w:rPr>
                <w:rFonts w:eastAsia="Calibri"/>
                <w:b/>
                <w:color w:val="000000"/>
                <w:sz w:val="18"/>
                <w:szCs w:val="18"/>
              </w:rPr>
              <w:t xml:space="preserve">Combined: </w:t>
            </w:r>
            <w:r w:rsidR="006458FD" w:rsidRPr="003B5F80">
              <w:rPr>
                <w:rFonts w:eastAsia="Calibri"/>
                <w:b/>
                <w:color w:val="000000"/>
                <w:sz w:val="18"/>
                <w:szCs w:val="18"/>
              </w:rPr>
              <w:t xml:space="preserve"> </w:t>
            </w:r>
            <w:r w:rsidR="004C4A8F">
              <w:rPr>
                <w:rFonts w:eastAsia="Calibri"/>
                <w:b/>
                <w:color w:val="000000"/>
                <w:sz w:val="18"/>
                <w:szCs w:val="18"/>
              </w:rPr>
              <w:t>10</w:t>
            </w:r>
            <w:r w:rsidRPr="003B5F80">
              <w:rPr>
                <w:rFonts w:eastAsia="Calibri"/>
                <w:b/>
                <w:color w:val="000000"/>
                <w:sz w:val="18"/>
                <w:szCs w:val="18"/>
              </w:rPr>
              <w:t>%</w:t>
            </w:r>
          </w:p>
        </w:tc>
        <w:tc>
          <w:tcPr>
            <w:tcW w:w="5420" w:type="dxa"/>
            <w:gridSpan w:val="4"/>
            <w:tcBorders>
              <w:left w:val="thinThickThinSmallGap" w:sz="24" w:space="0" w:color="auto"/>
            </w:tcBorders>
            <w:shd w:val="clear" w:color="auto" w:fill="D9D9D9"/>
            <w:vAlign w:val="center"/>
          </w:tcPr>
          <w:p w:rsidR="007A65A9" w:rsidRPr="003B5F80" w:rsidRDefault="007A65A9" w:rsidP="003B5F80">
            <w:pPr>
              <w:contextualSpacing/>
              <w:rPr>
                <w:rFonts w:eastAsia="Calibri"/>
                <w:b/>
                <w:color w:val="000000"/>
                <w:sz w:val="18"/>
                <w:szCs w:val="18"/>
              </w:rPr>
            </w:pPr>
            <w:r w:rsidRPr="003B5F80">
              <w:rPr>
                <w:rFonts w:eastAsia="Calibri"/>
                <w:b/>
                <w:color w:val="000000"/>
                <w:sz w:val="18"/>
                <w:szCs w:val="18"/>
              </w:rPr>
              <w:t xml:space="preserve">Combined:  </w:t>
            </w:r>
            <w:r w:rsidR="004C4A8F">
              <w:rPr>
                <w:rFonts w:eastAsia="Calibri"/>
                <w:b/>
                <w:color w:val="000000"/>
                <w:sz w:val="18"/>
                <w:szCs w:val="18"/>
              </w:rPr>
              <w:t>6</w:t>
            </w:r>
            <w:r w:rsidR="006F0F9C" w:rsidRPr="003B5F80">
              <w:rPr>
                <w:rFonts w:eastAsia="Calibri"/>
                <w:b/>
                <w:color w:val="000000"/>
                <w:sz w:val="18"/>
                <w:szCs w:val="18"/>
              </w:rPr>
              <w:t>0</w:t>
            </w:r>
            <w:r w:rsidRPr="003B5F80">
              <w:rPr>
                <w:rFonts w:eastAsia="Calibri"/>
                <w:b/>
                <w:color w:val="000000"/>
                <w:sz w:val="18"/>
                <w:szCs w:val="18"/>
              </w:rPr>
              <w:t>%</w:t>
            </w:r>
          </w:p>
        </w:tc>
      </w:tr>
    </w:tbl>
    <w:p w:rsidR="00AD3E85" w:rsidRPr="002B2491" w:rsidRDefault="002B2491" w:rsidP="002B2491">
      <w:pPr>
        <w:pBdr>
          <w:bottom w:val="single" w:sz="12" w:space="1" w:color="auto"/>
        </w:pBdr>
        <w:tabs>
          <w:tab w:val="left" w:pos="288"/>
          <w:tab w:val="left" w:pos="4752"/>
        </w:tabs>
        <w:jc w:val="both"/>
        <w:rPr>
          <w:color w:val="000000"/>
          <w:sz w:val="18"/>
          <w:szCs w:val="18"/>
        </w:rPr>
      </w:pPr>
      <w:r>
        <w:rPr>
          <w:color w:val="000000"/>
          <w:sz w:val="18"/>
          <w:szCs w:val="18"/>
        </w:rPr>
        <w:t>*C</w:t>
      </w:r>
      <w:r w:rsidR="006B1382" w:rsidRPr="002B2491">
        <w:rPr>
          <w:color w:val="000000"/>
          <w:sz w:val="18"/>
          <w:szCs w:val="18"/>
        </w:rPr>
        <w:t>ontinued at 10% after re-evaluation</w:t>
      </w:r>
      <w:r w:rsidR="00B94EA9">
        <w:rPr>
          <w:color w:val="000000"/>
          <w:sz w:val="18"/>
          <w:szCs w:val="18"/>
        </w:rPr>
        <w:t>s in 2006 and 2008</w:t>
      </w:r>
      <w:r>
        <w:rPr>
          <w:color w:val="000000"/>
          <w:sz w:val="18"/>
          <w:szCs w:val="18"/>
        </w:rPr>
        <w:t>; Right wrist tendonitis increased to 10% effective 20070828</w:t>
      </w:r>
    </w:p>
    <w:p w:rsidR="002B2491" w:rsidRPr="001F29F9" w:rsidRDefault="002B2491" w:rsidP="002B2491">
      <w:pPr>
        <w:pBdr>
          <w:bottom w:val="single" w:sz="12" w:space="1" w:color="auto"/>
        </w:pBdr>
        <w:tabs>
          <w:tab w:val="left" w:pos="288"/>
          <w:tab w:val="left" w:pos="4752"/>
        </w:tabs>
        <w:jc w:val="both"/>
        <w:rPr>
          <w:color w:val="000000"/>
        </w:rPr>
      </w:pPr>
    </w:p>
    <w:p w:rsidR="0083160D" w:rsidRDefault="0083160D" w:rsidP="0057712C">
      <w:pPr>
        <w:jc w:val="left"/>
        <w:rPr>
          <w:color w:val="000000"/>
          <w:szCs w:val="24"/>
          <w:u w:val="single"/>
        </w:rPr>
      </w:pPr>
    </w:p>
    <w:p w:rsidR="00F7313C" w:rsidRDefault="002C6E5B" w:rsidP="00F7313C">
      <w:pPr>
        <w:tabs>
          <w:tab w:val="left" w:pos="288"/>
          <w:tab w:val="left" w:pos="4752"/>
        </w:tabs>
        <w:jc w:val="both"/>
        <w:rPr>
          <w:rFonts w:asciiTheme="minorHAnsi" w:hAnsiTheme="minorHAnsi"/>
          <w:color w:val="auto"/>
          <w:szCs w:val="24"/>
        </w:rPr>
      </w:pPr>
      <w:r w:rsidRPr="001F29F9">
        <w:rPr>
          <w:color w:val="000000"/>
          <w:szCs w:val="24"/>
          <w:u w:val="single"/>
        </w:rPr>
        <w:lastRenderedPageBreak/>
        <w:t>ANALYSIS SUMMARY</w:t>
      </w:r>
      <w:r w:rsidRPr="001F29F9">
        <w:rPr>
          <w:color w:val="000000"/>
          <w:szCs w:val="24"/>
        </w:rPr>
        <w:t>:</w:t>
      </w:r>
      <w:r w:rsidR="007A03D4">
        <w:rPr>
          <w:color w:val="000000"/>
          <w:szCs w:val="24"/>
        </w:rPr>
        <w:t xml:space="preserve">  </w:t>
      </w:r>
      <w:r w:rsidR="003F2AAB" w:rsidRPr="00A76BA0">
        <w:rPr>
          <w:rFonts w:asciiTheme="minorHAnsi" w:hAnsiTheme="minorHAnsi"/>
          <w:color w:val="auto"/>
          <w:szCs w:val="24"/>
        </w:rPr>
        <w:t>The DES is responsible for maintaining a fit and v</w:t>
      </w:r>
      <w:r w:rsidR="00C82B71">
        <w:rPr>
          <w:rFonts w:asciiTheme="minorHAnsi" w:hAnsiTheme="minorHAnsi"/>
          <w:color w:val="auto"/>
          <w:szCs w:val="24"/>
        </w:rPr>
        <w:t xml:space="preserve">ital fighting force. While the </w:t>
      </w:r>
      <w:r w:rsidR="003F2AAB" w:rsidRPr="00A76BA0">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3F2AAB">
        <w:rPr>
          <w:rFonts w:asciiTheme="minorHAnsi" w:hAnsiTheme="minorHAnsi"/>
          <w:color w:val="auto"/>
          <w:szCs w:val="24"/>
        </w:rPr>
        <w:t>disposition</w:t>
      </w:r>
      <w:r w:rsidR="00F7313C">
        <w:rPr>
          <w:rFonts w:asciiTheme="minorHAnsi" w:hAnsiTheme="minorHAnsi"/>
          <w:color w:val="auto"/>
          <w:szCs w:val="24"/>
        </w:rPr>
        <w:t xml:space="preserve">.  </w:t>
      </w:r>
      <w:r w:rsidR="00C82B71">
        <w:rPr>
          <w:rFonts w:asciiTheme="minorHAnsi" w:hAnsiTheme="minorHAnsi"/>
          <w:color w:val="auto"/>
          <w:szCs w:val="24"/>
        </w:rPr>
        <w:t xml:space="preserve">The </w:t>
      </w:r>
      <w:r w:rsidR="00F7313C" w:rsidRPr="00F7313C">
        <w:rPr>
          <w:rFonts w:asciiTheme="minorHAnsi" w:hAnsiTheme="minorHAnsi"/>
          <w:color w:val="auto"/>
          <w:szCs w:val="24"/>
        </w:rPr>
        <w:t>DES has neither the role nor the authority to compensate service members for anticipated future severity or potential complications of conditions resulting in medical separation nor for cond</w:t>
      </w:r>
      <w:r w:rsidR="00C82B71">
        <w:rPr>
          <w:rFonts w:asciiTheme="minorHAnsi" w:hAnsiTheme="minorHAnsi"/>
          <w:color w:val="auto"/>
          <w:szCs w:val="24"/>
        </w:rPr>
        <w:t>itions determined to be service-</w:t>
      </w:r>
      <w:r w:rsidR="00F7313C" w:rsidRPr="00F7313C">
        <w:rPr>
          <w:rFonts w:asciiTheme="minorHAnsi" w:hAnsiTheme="minorHAnsi"/>
          <w:color w:val="auto"/>
          <w:szCs w:val="24"/>
        </w:rPr>
        <w:t xml:space="preserve">connected by the </w:t>
      </w:r>
      <w:r w:rsidR="00C82B71">
        <w:rPr>
          <w:rFonts w:asciiTheme="minorHAnsi" w:hAnsiTheme="minorHAnsi"/>
          <w:color w:val="auto"/>
          <w:szCs w:val="24"/>
        </w:rPr>
        <w:t>Department of Veterans’ Affairs (D</w:t>
      </w:r>
      <w:r w:rsidR="00F7313C" w:rsidRPr="00F7313C">
        <w:rPr>
          <w:rFonts w:asciiTheme="minorHAnsi" w:hAnsiTheme="minorHAnsi"/>
          <w:color w:val="auto"/>
          <w:szCs w:val="24"/>
        </w:rPr>
        <w:t>VA</w:t>
      </w:r>
      <w:r w:rsidR="00C82B71">
        <w:rPr>
          <w:rFonts w:asciiTheme="minorHAnsi" w:hAnsiTheme="minorHAnsi"/>
          <w:color w:val="auto"/>
          <w:szCs w:val="24"/>
        </w:rPr>
        <w:t>)</w:t>
      </w:r>
      <w:r w:rsidR="00F7313C" w:rsidRPr="00F7313C">
        <w:rPr>
          <w:rFonts w:asciiTheme="minorHAnsi" w:hAnsiTheme="minorHAnsi"/>
          <w:color w:val="auto"/>
          <w:szCs w:val="24"/>
        </w:rPr>
        <w:t xml:space="preserve"> but not determined to be unfitting by the PEB.  </w:t>
      </w:r>
      <w:r w:rsidR="003F2AAB" w:rsidRPr="00A76BA0">
        <w:rPr>
          <w:rFonts w:asciiTheme="minorHAnsi" w:hAnsiTheme="minorHAnsi"/>
          <w:color w:val="auto"/>
          <w:szCs w:val="24"/>
        </w:rPr>
        <w:t xml:space="preserve">However the </w:t>
      </w:r>
      <w:r w:rsidR="00C82B71">
        <w:rPr>
          <w:rFonts w:asciiTheme="minorHAnsi" w:hAnsiTheme="minorHAnsi"/>
          <w:color w:val="auto"/>
          <w:szCs w:val="24"/>
        </w:rPr>
        <w:t>DVA</w:t>
      </w:r>
      <w:r w:rsidR="003F2AAB" w:rsidRPr="00A76BA0">
        <w:rPr>
          <w:rFonts w:asciiTheme="minorHAnsi" w:hAnsiTheme="minorHAnsi"/>
          <w:color w:val="auto"/>
          <w:szCs w:val="24"/>
        </w:rPr>
        <w:t xml:space="preserve">, operating under a different set of laws (Title 38, United States Code), is empowered to compensate </w:t>
      </w:r>
      <w:r w:rsidR="003F2AAB">
        <w:rPr>
          <w:rFonts w:asciiTheme="minorHAnsi" w:hAnsiTheme="minorHAnsi"/>
          <w:color w:val="auto"/>
          <w:szCs w:val="24"/>
        </w:rPr>
        <w:t xml:space="preserve">all </w:t>
      </w:r>
      <w:r w:rsidR="00C82B71">
        <w:rPr>
          <w:rFonts w:asciiTheme="minorHAnsi" w:hAnsiTheme="minorHAnsi"/>
          <w:color w:val="auto"/>
          <w:szCs w:val="24"/>
        </w:rPr>
        <w:t>service-</w:t>
      </w:r>
      <w:r w:rsidR="003F2AAB" w:rsidRPr="00A76BA0">
        <w:rPr>
          <w:rFonts w:asciiTheme="minorHAnsi" w:hAnsiTheme="minorHAnsi"/>
          <w:color w:val="auto"/>
          <w:szCs w:val="24"/>
        </w:rPr>
        <w:t xml:space="preserve">connected conditions and to periodically re-evaluate said conditions for the purpose of adjusting the </w:t>
      </w:r>
      <w:r w:rsidR="00C82B71">
        <w:rPr>
          <w:rFonts w:asciiTheme="minorHAnsi" w:hAnsiTheme="minorHAnsi"/>
          <w:color w:val="auto"/>
          <w:szCs w:val="24"/>
        </w:rPr>
        <w:t>V</w:t>
      </w:r>
      <w:r w:rsidR="003F2AAB" w:rsidRPr="00A76BA0">
        <w:rPr>
          <w:rFonts w:asciiTheme="minorHAnsi" w:hAnsiTheme="minorHAnsi"/>
          <w:color w:val="auto"/>
          <w:szCs w:val="24"/>
        </w:rPr>
        <w:t xml:space="preserve">eteran’s disability rating should </w:t>
      </w:r>
      <w:r w:rsidR="00C82B71">
        <w:rPr>
          <w:rFonts w:asciiTheme="minorHAnsi" w:hAnsiTheme="minorHAnsi"/>
          <w:color w:val="auto"/>
          <w:szCs w:val="24"/>
        </w:rPr>
        <w:t>the</w:t>
      </w:r>
      <w:r w:rsidR="003F2AAB" w:rsidRPr="00A76BA0">
        <w:rPr>
          <w:rFonts w:asciiTheme="minorHAnsi" w:hAnsiTheme="minorHAnsi"/>
          <w:color w:val="auto"/>
          <w:szCs w:val="24"/>
        </w:rPr>
        <w:t xml:space="preserve"> degree of impairment vary over time.</w:t>
      </w:r>
      <w:r w:rsidR="00F7313C">
        <w:rPr>
          <w:rFonts w:asciiTheme="minorHAnsi" w:hAnsiTheme="minorHAnsi"/>
          <w:color w:val="auto"/>
          <w:szCs w:val="24"/>
        </w:rPr>
        <w:t xml:space="preserve">  </w:t>
      </w:r>
      <w:r w:rsidR="003F2AAB" w:rsidRPr="007B5D59">
        <w:rPr>
          <w:rFonts w:asciiTheme="minorHAnsi" w:hAnsiTheme="minorHAnsi"/>
          <w:color w:val="auto"/>
          <w:szCs w:val="24"/>
        </w:rPr>
        <w:t>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3F2AAB">
        <w:rPr>
          <w:rFonts w:asciiTheme="minorHAnsi" w:hAnsiTheme="minorHAnsi"/>
          <w:color w:val="auto"/>
          <w:szCs w:val="24"/>
        </w:rPr>
        <w:t xml:space="preserve">  </w:t>
      </w:r>
      <w:r w:rsidR="003F2AAB" w:rsidRPr="007B5D59">
        <w:rPr>
          <w:rFonts w:asciiTheme="minorHAnsi" w:hAnsiTheme="minorHAnsi"/>
          <w:color w:val="auto"/>
          <w:szCs w:val="24"/>
        </w:rPr>
        <w:t xml:space="preserve"> The Board’s threshold for countering DES fitness determinations is higher than the VASRD §4.3 reasonable doubt standard used for its rating recommendations; but, remains adherent to the DoDI 6040.44 “fair and equitable” standard.</w:t>
      </w:r>
      <w:r w:rsidR="003F2AAB">
        <w:rPr>
          <w:rFonts w:asciiTheme="minorHAnsi" w:hAnsiTheme="minorHAnsi"/>
          <w:color w:val="auto"/>
          <w:szCs w:val="24"/>
        </w:rPr>
        <w:t xml:space="preserve">  </w:t>
      </w:r>
      <w:r w:rsidR="00B54A8E">
        <w:rPr>
          <w:rFonts w:asciiTheme="minorHAnsi" w:hAnsiTheme="minorHAnsi"/>
          <w:color w:val="auto"/>
          <w:szCs w:val="24"/>
        </w:rPr>
        <w:t>Furthermore, a “</w:t>
      </w:r>
      <w:r w:rsidR="003F2AAB" w:rsidRPr="001F5378">
        <w:rPr>
          <w:rFonts w:asciiTheme="minorHAnsi" w:hAnsiTheme="minorHAnsi"/>
          <w:color w:val="auto"/>
          <w:szCs w:val="24"/>
        </w:rPr>
        <w:t>crystal ball</w:t>
      </w:r>
      <w:r w:rsidR="00B54A8E">
        <w:rPr>
          <w:rFonts w:asciiTheme="minorHAnsi" w:hAnsiTheme="minorHAnsi"/>
          <w:color w:val="auto"/>
          <w:szCs w:val="24"/>
        </w:rPr>
        <w:t>”</w:t>
      </w:r>
      <w:r w:rsidR="003F2AAB" w:rsidRPr="001F5378">
        <w:rPr>
          <w:rFonts w:asciiTheme="minorHAnsi" w:hAnsiTheme="minorHAnsi"/>
          <w:color w:val="auto"/>
          <w:szCs w:val="24"/>
        </w:rPr>
        <w:t xml:space="preserve"> requirement is not imposed on the service </w:t>
      </w:r>
      <w:r w:rsidR="00C82B71">
        <w:rPr>
          <w:rFonts w:asciiTheme="minorHAnsi" w:hAnsiTheme="minorHAnsi"/>
          <w:color w:val="auto"/>
          <w:szCs w:val="24"/>
        </w:rPr>
        <w:t>PEB’s by the Board; and, the 12-</w:t>
      </w:r>
      <w:r w:rsidR="003F2AAB" w:rsidRPr="001F5378">
        <w:rPr>
          <w:rFonts w:asciiTheme="minorHAnsi" w:hAnsiTheme="minorHAnsi"/>
          <w:color w:val="auto"/>
          <w:szCs w:val="24"/>
        </w:rPr>
        <w:t>month window specified in DoDI 6040.44 is appropriate for rating comparisons but not for new developments after separation.</w:t>
      </w:r>
      <w:r w:rsidR="003F2AAB">
        <w:rPr>
          <w:rFonts w:asciiTheme="minorHAnsi" w:hAnsiTheme="minorHAnsi"/>
          <w:color w:val="auto"/>
          <w:szCs w:val="24"/>
        </w:rPr>
        <w:t xml:space="preserve">  </w:t>
      </w:r>
      <w:r w:rsidR="00F7313C">
        <w:rPr>
          <w:rFonts w:asciiTheme="minorHAnsi" w:hAnsiTheme="minorHAnsi"/>
          <w:color w:val="auto"/>
          <w:szCs w:val="24"/>
        </w:rPr>
        <w:t>T</w:t>
      </w:r>
      <w:r w:rsidR="00F7313C" w:rsidRPr="00D53297">
        <w:rPr>
          <w:rFonts w:asciiTheme="minorHAnsi" w:hAnsiTheme="minorHAnsi"/>
          <w:color w:val="auto"/>
          <w:szCs w:val="24"/>
        </w:rPr>
        <w:t xml:space="preserve">he Board has neither the jurisdiction nor authority to scrutinize or render opinions in reference to the CI’s statements in the application regarding suspected DES improprieties in the processing of his case.   </w:t>
      </w:r>
    </w:p>
    <w:p w:rsidR="00F7313C" w:rsidRPr="001F29F9" w:rsidRDefault="00F7313C" w:rsidP="00BF0E94">
      <w:pPr>
        <w:jc w:val="left"/>
        <w:rPr>
          <w:color w:val="000000"/>
          <w:szCs w:val="24"/>
        </w:rPr>
      </w:pPr>
    </w:p>
    <w:p w:rsidR="00615A66" w:rsidRDefault="00335C7C" w:rsidP="007A4F18">
      <w:pPr>
        <w:jc w:val="both"/>
        <w:rPr>
          <w:color w:val="000000"/>
          <w:szCs w:val="24"/>
        </w:rPr>
      </w:pPr>
      <w:proofErr w:type="gramStart"/>
      <w:r w:rsidRPr="00335C7C">
        <w:rPr>
          <w:bCs/>
          <w:color w:val="000000"/>
          <w:szCs w:val="24"/>
          <w:u w:val="single"/>
        </w:rPr>
        <w:t>Chronic pain, right knee without significant instability</w:t>
      </w:r>
      <w:r w:rsidR="00DD105E">
        <w:rPr>
          <w:bCs/>
          <w:color w:val="000000"/>
          <w:szCs w:val="24"/>
        </w:rPr>
        <w:t>.</w:t>
      </w:r>
      <w:proofErr w:type="gramEnd"/>
      <w:r w:rsidR="007A03D4">
        <w:rPr>
          <w:bCs/>
          <w:color w:val="000000"/>
          <w:szCs w:val="24"/>
        </w:rPr>
        <w:t xml:space="preserve">  </w:t>
      </w:r>
      <w:r w:rsidR="00291D8B">
        <w:rPr>
          <w:color w:val="000000"/>
          <w:szCs w:val="24"/>
        </w:rPr>
        <w:t xml:space="preserve">There </w:t>
      </w:r>
      <w:r w:rsidR="00291D8B" w:rsidRPr="00A87D43">
        <w:rPr>
          <w:color w:val="000000"/>
          <w:szCs w:val="24"/>
        </w:rPr>
        <w:t xml:space="preserve">were </w:t>
      </w:r>
      <w:r w:rsidR="00A87D43" w:rsidRPr="00A87D43">
        <w:rPr>
          <w:color w:val="000000"/>
          <w:szCs w:val="24"/>
        </w:rPr>
        <w:t>three</w:t>
      </w:r>
      <w:r w:rsidR="00A57C35" w:rsidRPr="00A87D43">
        <w:rPr>
          <w:color w:val="000000"/>
          <w:szCs w:val="24"/>
        </w:rPr>
        <w:t xml:space="preserve"> range</w:t>
      </w:r>
      <w:r w:rsidR="00C82B71">
        <w:rPr>
          <w:color w:val="000000"/>
          <w:szCs w:val="24"/>
        </w:rPr>
        <w:t>-</w:t>
      </w:r>
      <w:r w:rsidR="00A57C35" w:rsidRPr="00A87D43">
        <w:rPr>
          <w:color w:val="000000"/>
          <w:szCs w:val="24"/>
        </w:rPr>
        <w:t>of</w:t>
      </w:r>
      <w:r w:rsidR="00C82B71">
        <w:rPr>
          <w:color w:val="000000"/>
          <w:szCs w:val="24"/>
        </w:rPr>
        <w:t>-</w:t>
      </w:r>
      <w:r w:rsidR="00A57C35" w:rsidRPr="00A87D43">
        <w:rPr>
          <w:color w:val="000000"/>
          <w:szCs w:val="24"/>
        </w:rPr>
        <w:t>motion (ROM) evaluations in evidence, with documentation of additional ratable</w:t>
      </w:r>
      <w:r w:rsidR="00A57C35" w:rsidRPr="00291D8B">
        <w:rPr>
          <w:color w:val="000000"/>
          <w:szCs w:val="24"/>
        </w:rPr>
        <w:t xml:space="preserve"> criteria, which the Board weighed in arriving at its rating </w:t>
      </w:r>
      <w:r w:rsidR="00A87D43">
        <w:rPr>
          <w:color w:val="000000"/>
          <w:szCs w:val="24"/>
        </w:rPr>
        <w:t xml:space="preserve">recommendation.  Although the 2006 </w:t>
      </w:r>
      <w:r w:rsidR="00E75975">
        <w:rPr>
          <w:color w:val="000000"/>
          <w:szCs w:val="24"/>
        </w:rPr>
        <w:t xml:space="preserve">VA </w:t>
      </w:r>
      <w:r w:rsidR="00C82B71">
        <w:rPr>
          <w:color w:val="000000"/>
          <w:szCs w:val="24"/>
        </w:rPr>
        <w:t>C</w:t>
      </w:r>
      <w:r w:rsidR="00E75975">
        <w:rPr>
          <w:color w:val="000000"/>
          <w:szCs w:val="24"/>
        </w:rPr>
        <w:t xml:space="preserve">ompensation and </w:t>
      </w:r>
      <w:r w:rsidR="00C82B71">
        <w:rPr>
          <w:color w:val="000000"/>
          <w:szCs w:val="24"/>
        </w:rPr>
        <w:t>P</w:t>
      </w:r>
      <w:r w:rsidR="00E75975">
        <w:rPr>
          <w:color w:val="000000"/>
          <w:szCs w:val="24"/>
        </w:rPr>
        <w:t xml:space="preserve">ension (C&amp;P) </w:t>
      </w:r>
      <w:r w:rsidR="00A87D43">
        <w:rPr>
          <w:color w:val="000000"/>
          <w:szCs w:val="24"/>
        </w:rPr>
        <w:t xml:space="preserve">examination is over 14 months after separation, it is both after the second arthroscopy (done after separation) and also after the post-operative recovery period.  </w:t>
      </w:r>
    </w:p>
    <w:p w:rsidR="00DD105E" w:rsidRDefault="00DD105E" w:rsidP="004C7409">
      <w:pPr>
        <w:jc w:val="left"/>
        <w:rPr>
          <w:color w:val="000000"/>
          <w:szCs w:val="24"/>
        </w:rPr>
      </w:pPr>
    </w:p>
    <w:tbl>
      <w:tblPr>
        <w:tblpPr w:leftFromText="180" w:rightFromText="180" w:vertAnchor="text" w:tblpXSpec="center" w:tblpY="1"/>
        <w:tblOverlap w:val="never"/>
        <w:tblW w:w="8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2"/>
        <w:gridCol w:w="1980"/>
        <w:gridCol w:w="2250"/>
        <w:gridCol w:w="2430"/>
      </w:tblGrid>
      <w:tr w:rsidR="00291D8B" w:rsidRPr="003B5F80" w:rsidTr="007A4F18">
        <w:tc>
          <w:tcPr>
            <w:tcW w:w="1962" w:type="dxa"/>
            <w:shd w:val="clear" w:color="auto" w:fill="D9D9D9"/>
            <w:vAlign w:val="center"/>
          </w:tcPr>
          <w:p w:rsidR="00291D8B" w:rsidRPr="003B5F80" w:rsidRDefault="00291D8B" w:rsidP="00DD105E">
            <w:pPr>
              <w:contextualSpacing/>
              <w:rPr>
                <w:rFonts w:eastAsia="Calibri"/>
                <w:color w:val="000000"/>
                <w:sz w:val="18"/>
                <w:szCs w:val="18"/>
              </w:rPr>
            </w:pPr>
            <w:r w:rsidRPr="003B5F80">
              <w:rPr>
                <w:rFonts w:eastAsia="Calibri"/>
                <w:color w:val="000000"/>
                <w:sz w:val="18"/>
                <w:szCs w:val="18"/>
              </w:rPr>
              <w:t>ROM –</w:t>
            </w:r>
            <w:r>
              <w:rPr>
                <w:rFonts w:eastAsia="Calibri"/>
                <w:color w:val="000000"/>
                <w:sz w:val="18"/>
                <w:szCs w:val="18"/>
              </w:rPr>
              <w:t xml:space="preserve"> </w:t>
            </w:r>
            <w:r w:rsidRPr="003B5F80">
              <w:rPr>
                <w:rFonts w:eastAsia="Calibri"/>
                <w:color w:val="000000"/>
                <w:sz w:val="18"/>
                <w:szCs w:val="18"/>
              </w:rPr>
              <w:t>R</w:t>
            </w:r>
            <w:r>
              <w:rPr>
                <w:rFonts w:eastAsia="Calibri"/>
                <w:color w:val="000000"/>
                <w:sz w:val="18"/>
                <w:szCs w:val="18"/>
              </w:rPr>
              <w:t>ight</w:t>
            </w:r>
            <w:r w:rsidRPr="003B5F80">
              <w:rPr>
                <w:rFonts w:eastAsia="Calibri"/>
                <w:color w:val="000000"/>
                <w:sz w:val="18"/>
                <w:szCs w:val="18"/>
              </w:rPr>
              <w:t xml:space="preserve"> Knee</w:t>
            </w:r>
          </w:p>
        </w:tc>
        <w:tc>
          <w:tcPr>
            <w:tcW w:w="1980" w:type="dxa"/>
            <w:shd w:val="clear" w:color="auto" w:fill="D9D9D9"/>
            <w:vAlign w:val="center"/>
          </w:tcPr>
          <w:p w:rsidR="00291D8B" w:rsidRPr="003B5F80" w:rsidRDefault="00A87D43" w:rsidP="004C7409">
            <w:pPr>
              <w:contextualSpacing/>
              <w:rPr>
                <w:rFonts w:eastAsia="Calibri"/>
                <w:color w:val="000000"/>
                <w:sz w:val="18"/>
                <w:szCs w:val="18"/>
              </w:rPr>
            </w:pPr>
            <w:r w:rsidRPr="003B5F80">
              <w:rPr>
                <w:rFonts w:eastAsia="Calibri"/>
                <w:color w:val="000000"/>
                <w:sz w:val="18"/>
                <w:szCs w:val="18"/>
              </w:rPr>
              <w:t xml:space="preserve">MEB </w:t>
            </w:r>
            <w:r>
              <w:rPr>
                <w:rFonts w:eastAsia="Calibri"/>
                <w:color w:val="000000"/>
                <w:sz w:val="18"/>
                <w:szCs w:val="18"/>
              </w:rPr>
              <w:t xml:space="preserve">(NARSUM), </w:t>
            </w:r>
            <w:r w:rsidR="00291D8B" w:rsidRPr="003B5F80">
              <w:rPr>
                <w:rFonts w:eastAsia="Calibri"/>
                <w:color w:val="000000"/>
                <w:sz w:val="18"/>
                <w:szCs w:val="18"/>
              </w:rPr>
              <w:t>~</w:t>
            </w:r>
            <w:r w:rsidR="007A03D4">
              <w:rPr>
                <w:rFonts w:eastAsia="Calibri"/>
                <w:color w:val="000000"/>
                <w:sz w:val="18"/>
                <w:szCs w:val="18"/>
              </w:rPr>
              <w:t>1</w:t>
            </w:r>
            <w:r w:rsidR="00291D8B" w:rsidRPr="003B5F80">
              <w:rPr>
                <w:rFonts w:eastAsia="Calibri"/>
                <w:color w:val="000000"/>
                <w:sz w:val="18"/>
                <w:szCs w:val="18"/>
              </w:rPr>
              <w:t xml:space="preserve"> Mo. Pre-Sep</w:t>
            </w:r>
          </w:p>
          <w:p w:rsidR="00291D8B" w:rsidRPr="003B5F80" w:rsidRDefault="00291D8B" w:rsidP="00E75975">
            <w:pPr>
              <w:contextualSpacing/>
              <w:rPr>
                <w:rFonts w:eastAsia="Calibri"/>
                <w:color w:val="000000"/>
                <w:sz w:val="18"/>
                <w:szCs w:val="18"/>
              </w:rPr>
            </w:pPr>
            <w:r w:rsidRPr="006E398C">
              <w:rPr>
                <w:rFonts w:eastAsia="Calibri"/>
                <w:color w:val="000000"/>
                <w:sz w:val="18"/>
                <w:szCs w:val="18"/>
              </w:rPr>
              <w:t>(2005</w:t>
            </w:r>
            <w:r w:rsidR="00E75975" w:rsidRPr="006E398C">
              <w:rPr>
                <w:rFonts w:eastAsia="Calibri"/>
                <w:color w:val="000000"/>
                <w:sz w:val="18"/>
                <w:szCs w:val="18"/>
              </w:rPr>
              <w:t>0309</w:t>
            </w:r>
            <w:r w:rsidRPr="006E398C">
              <w:rPr>
                <w:rFonts w:eastAsia="Calibri"/>
                <w:color w:val="000000"/>
                <w:sz w:val="18"/>
                <w:szCs w:val="18"/>
              </w:rPr>
              <w:t>)</w:t>
            </w:r>
          </w:p>
        </w:tc>
        <w:tc>
          <w:tcPr>
            <w:tcW w:w="2250" w:type="dxa"/>
            <w:shd w:val="clear" w:color="auto" w:fill="D9D9D9"/>
            <w:vAlign w:val="center"/>
          </w:tcPr>
          <w:p w:rsidR="00A87D43" w:rsidRDefault="00A87D43" w:rsidP="00A87D43">
            <w:pPr>
              <w:contextualSpacing/>
              <w:rPr>
                <w:rFonts w:eastAsia="Calibri"/>
                <w:color w:val="000000"/>
                <w:sz w:val="18"/>
                <w:szCs w:val="18"/>
              </w:rPr>
            </w:pPr>
            <w:r>
              <w:rPr>
                <w:rFonts w:eastAsia="Calibri"/>
                <w:color w:val="000000"/>
                <w:sz w:val="18"/>
                <w:szCs w:val="18"/>
              </w:rPr>
              <w:t>VA C&amp;P</w:t>
            </w:r>
          </w:p>
          <w:p w:rsidR="00A87D43" w:rsidRPr="003B5F80" w:rsidRDefault="00A87D43" w:rsidP="00A87D43">
            <w:pPr>
              <w:contextualSpacing/>
              <w:rPr>
                <w:rFonts w:eastAsia="Calibri"/>
                <w:color w:val="000000"/>
                <w:sz w:val="18"/>
                <w:szCs w:val="18"/>
              </w:rPr>
            </w:pPr>
            <w:r w:rsidRPr="003B5F80">
              <w:rPr>
                <w:rFonts w:eastAsia="Calibri"/>
                <w:color w:val="000000"/>
                <w:sz w:val="18"/>
                <w:szCs w:val="18"/>
              </w:rPr>
              <w:t>~</w:t>
            </w:r>
            <w:r w:rsidR="00807058">
              <w:rPr>
                <w:rFonts w:eastAsia="Calibri"/>
                <w:color w:val="000000"/>
                <w:sz w:val="18"/>
                <w:szCs w:val="18"/>
              </w:rPr>
              <w:t>3</w:t>
            </w:r>
            <w:r w:rsidRPr="003B5F80">
              <w:rPr>
                <w:rFonts w:eastAsia="Calibri"/>
                <w:color w:val="000000"/>
                <w:sz w:val="18"/>
                <w:szCs w:val="18"/>
              </w:rPr>
              <w:t xml:space="preserve"> Mo. After-Sep</w:t>
            </w:r>
          </w:p>
          <w:p w:rsidR="00291D8B" w:rsidRPr="003B5F80" w:rsidRDefault="00A87D43" w:rsidP="00E75975">
            <w:pPr>
              <w:contextualSpacing/>
              <w:rPr>
                <w:rFonts w:eastAsia="Calibri"/>
                <w:color w:val="000000"/>
                <w:sz w:val="18"/>
                <w:szCs w:val="18"/>
              </w:rPr>
            </w:pPr>
            <w:r w:rsidRPr="006E398C">
              <w:rPr>
                <w:rFonts w:eastAsia="Calibri"/>
                <w:color w:val="000000"/>
                <w:sz w:val="18"/>
                <w:szCs w:val="18"/>
              </w:rPr>
              <w:t>(2005</w:t>
            </w:r>
            <w:r w:rsidR="00E75975" w:rsidRPr="006E398C">
              <w:rPr>
                <w:rFonts w:eastAsia="Calibri"/>
                <w:color w:val="000000"/>
                <w:sz w:val="18"/>
                <w:szCs w:val="18"/>
              </w:rPr>
              <w:t>0725</w:t>
            </w:r>
            <w:r w:rsidRPr="006E398C">
              <w:rPr>
                <w:rFonts w:eastAsia="Calibri"/>
                <w:color w:val="000000"/>
                <w:sz w:val="18"/>
                <w:szCs w:val="18"/>
              </w:rPr>
              <w:t>)</w:t>
            </w:r>
          </w:p>
        </w:tc>
        <w:tc>
          <w:tcPr>
            <w:tcW w:w="2430" w:type="dxa"/>
            <w:shd w:val="clear" w:color="auto" w:fill="D9D9D9"/>
            <w:vAlign w:val="center"/>
          </w:tcPr>
          <w:p w:rsidR="00291D8B" w:rsidRDefault="00A87D43" w:rsidP="004C7409">
            <w:pPr>
              <w:contextualSpacing/>
              <w:rPr>
                <w:rFonts w:eastAsia="Calibri"/>
                <w:color w:val="000000"/>
                <w:sz w:val="18"/>
                <w:szCs w:val="18"/>
              </w:rPr>
            </w:pPr>
            <w:r>
              <w:rPr>
                <w:rFonts w:eastAsia="Calibri"/>
                <w:color w:val="000000"/>
                <w:sz w:val="18"/>
                <w:szCs w:val="18"/>
              </w:rPr>
              <w:t>VA C&amp;P</w:t>
            </w:r>
          </w:p>
          <w:p w:rsidR="00291D8B" w:rsidRPr="003B5F80" w:rsidRDefault="00291D8B" w:rsidP="004C7409">
            <w:pPr>
              <w:contextualSpacing/>
              <w:rPr>
                <w:rFonts w:eastAsia="Calibri"/>
                <w:color w:val="000000"/>
                <w:sz w:val="18"/>
                <w:szCs w:val="18"/>
              </w:rPr>
            </w:pPr>
            <w:r w:rsidRPr="003B5F80">
              <w:rPr>
                <w:rFonts w:eastAsia="Calibri"/>
                <w:color w:val="000000"/>
                <w:sz w:val="18"/>
                <w:szCs w:val="18"/>
              </w:rPr>
              <w:t>~</w:t>
            </w:r>
            <w:r w:rsidR="00A87D43">
              <w:rPr>
                <w:rFonts w:eastAsia="Calibri"/>
                <w:color w:val="000000"/>
                <w:sz w:val="18"/>
                <w:szCs w:val="18"/>
              </w:rPr>
              <w:t>14</w:t>
            </w:r>
            <w:r w:rsidRPr="003B5F80">
              <w:rPr>
                <w:rFonts w:eastAsia="Calibri"/>
                <w:color w:val="000000"/>
                <w:sz w:val="18"/>
                <w:szCs w:val="18"/>
              </w:rPr>
              <w:t xml:space="preserve"> Mo. After-Sep</w:t>
            </w:r>
          </w:p>
          <w:p w:rsidR="00291D8B" w:rsidRPr="003B5F80" w:rsidRDefault="00291D8B" w:rsidP="00A87D43">
            <w:pPr>
              <w:contextualSpacing/>
              <w:rPr>
                <w:rFonts w:eastAsia="Calibri"/>
                <w:color w:val="000000"/>
                <w:sz w:val="18"/>
                <w:szCs w:val="18"/>
              </w:rPr>
            </w:pPr>
            <w:r w:rsidRPr="006E398C">
              <w:rPr>
                <w:rFonts w:eastAsia="Calibri"/>
                <w:color w:val="000000"/>
                <w:sz w:val="18"/>
                <w:szCs w:val="18"/>
              </w:rPr>
              <w:t>(</w:t>
            </w:r>
            <w:r w:rsidR="00A87D43" w:rsidRPr="006E398C">
              <w:rPr>
                <w:rFonts w:eastAsia="Calibri"/>
                <w:color w:val="000000"/>
                <w:sz w:val="18"/>
                <w:szCs w:val="18"/>
              </w:rPr>
              <w:t>20060607</w:t>
            </w:r>
            <w:r w:rsidRPr="006E398C">
              <w:rPr>
                <w:rFonts w:eastAsia="Calibri"/>
                <w:color w:val="000000"/>
                <w:sz w:val="18"/>
                <w:szCs w:val="18"/>
              </w:rPr>
              <w:t>)</w:t>
            </w:r>
          </w:p>
        </w:tc>
      </w:tr>
      <w:tr w:rsidR="00291D8B" w:rsidRPr="003B5F80" w:rsidTr="007A4F18">
        <w:tc>
          <w:tcPr>
            <w:tcW w:w="1962" w:type="dxa"/>
            <w:vAlign w:val="center"/>
          </w:tcPr>
          <w:p w:rsidR="00291D8B" w:rsidRPr="003B5F80" w:rsidRDefault="00291D8B" w:rsidP="0005080D">
            <w:pPr>
              <w:contextualSpacing/>
              <w:rPr>
                <w:rFonts w:eastAsia="Calibri"/>
                <w:color w:val="000000"/>
                <w:sz w:val="18"/>
                <w:szCs w:val="18"/>
              </w:rPr>
            </w:pPr>
            <w:r w:rsidRPr="003B5F80">
              <w:rPr>
                <w:rFonts w:eastAsia="Calibri"/>
                <w:color w:val="000000"/>
                <w:sz w:val="18"/>
                <w:szCs w:val="18"/>
              </w:rPr>
              <w:t>Flexion (140⁰ normal)</w:t>
            </w:r>
          </w:p>
        </w:tc>
        <w:tc>
          <w:tcPr>
            <w:tcW w:w="1980" w:type="dxa"/>
            <w:vAlign w:val="center"/>
          </w:tcPr>
          <w:p w:rsidR="00291D8B" w:rsidRPr="003B5F80" w:rsidRDefault="00291D8B" w:rsidP="0005080D">
            <w:pPr>
              <w:contextualSpacing/>
              <w:rPr>
                <w:rFonts w:eastAsia="Calibri"/>
                <w:color w:val="000000"/>
                <w:sz w:val="18"/>
                <w:szCs w:val="18"/>
              </w:rPr>
            </w:pPr>
            <w:r>
              <w:rPr>
                <w:rFonts w:eastAsia="Calibri"/>
                <w:color w:val="000000"/>
                <w:sz w:val="18"/>
                <w:szCs w:val="18"/>
              </w:rPr>
              <w:t>91</w:t>
            </w:r>
            <w:r w:rsidRPr="003B5F80">
              <w:rPr>
                <w:rFonts w:eastAsia="Calibri"/>
                <w:color w:val="000000"/>
                <w:sz w:val="18"/>
                <w:szCs w:val="18"/>
              </w:rPr>
              <w:t>⁰</w:t>
            </w:r>
            <w:r>
              <w:rPr>
                <w:rFonts w:eastAsia="Calibri"/>
                <w:color w:val="000000"/>
                <w:sz w:val="18"/>
                <w:szCs w:val="18"/>
              </w:rPr>
              <w:t xml:space="preserve"> (90</w:t>
            </w:r>
            <w:r w:rsidRPr="003B5F80">
              <w:rPr>
                <w:rFonts w:eastAsia="Calibri"/>
                <w:color w:val="000000"/>
                <w:sz w:val="18"/>
                <w:szCs w:val="18"/>
              </w:rPr>
              <w:t>⁰</w:t>
            </w:r>
            <w:r>
              <w:rPr>
                <w:rFonts w:eastAsia="Calibri"/>
                <w:color w:val="000000"/>
                <w:sz w:val="18"/>
                <w:szCs w:val="18"/>
              </w:rPr>
              <w:t>)</w:t>
            </w:r>
          </w:p>
        </w:tc>
        <w:tc>
          <w:tcPr>
            <w:tcW w:w="2250" w:type="dxa"/>
            <w:vAlign w:val="center"/>
          </w:tcPr>
          <w:p w:rsidR="00291D8B" w:rsidRPr="001D70E1" w:rsidRDefault="00A87D43" w:rsidP="003768AF">
            <w:pPr>
              <w:contextualSpacing/>
              <w:rPr>
                <w:rFonts w:eastAsia="Calibri"/>
                <w:color w:val="000000"/>
                <w:sz w:val="18"/>
                <w:szCs w:val="18"/>
              </w:rPr>
            </w:pPr>
            <w:r>
              <w:rPr>
                <w:rFonts w:eastAsia="Calibri"/>
                <w:color w:val="000000"/>
                <w:sz w:val="18"/>
                <w:szCs w:val="18"/>
              </w:rPr>
              <w:t>90</w:t>
            </w:r>
            <w:r w:rsidRPr="003B5F80">
              <w:rPr>
                <w:rFonts w:eastAsia="Calibri"/>
                <w:color w:val="000000"/>
                <w:sz w:val="18"/>
                <w:szCs w:val="18"/>
              </w:rPr>
              <w:t>⁰</w:t>
            </w:r>
            <w:r>
              <w:rPr>
                <w:rFonts w:eastAsia="Calibri"/>
                <w:color w:val="000000"/>
                <w:sz w:val="18"/>
                <w:szCs w:val="18"/>
              </w:rPr>
              <w:t xml:space="preserve"> </w:t>
            </w:r>
          </w:p>
        </w:tc>
        <w:tc>
          <w:tcPr>
            <w:tcW w:w="2430" w:type="dxa"/>
            <w:vAlign w:val="center"/>
          </w:tcPr>
          <w:p w:rsidR="00291D8B" w:rsidRPr="003B5F80" w:rsidRDefault="007A4F18" w:rsidP="007A4F18">
            <w:pPr>
              <w:contextualSpacing/>
              <w:rPr>
                <w:rFonts w:eastAsia="Calibri"/>
                <w:color w:val="000000"/>
                <w:sz w:val="18"/>
                <w:szCs w:val="18"/>
              </w:rPr>
            </w:pPr>
            <w:r>
              <w:rPr>
                <w:rFonts w:eastAsia="Calibri"/>
                <w:color w:val="000000"/>
                <w:sz w:val="18"/>
                <w:szCs w:val="18"/>
              </w:rPr>
              <w:t>140</w:t>
            </w:r>
            <w:r w:rsidR="00291D8B" w:rsidRPr="003B5F80">
              <w:rPr>
                <w:rFonts w:eastAsia="Calibri"/>
                <w:color w:val="000000"/>
                <w:sz w:val="18"/>
                <w:szCs w:val="18"/>
              </w:rPr>
              <w:t>⁰</w:t>
            </w:r>
          </w:p>
        </w:tc>
      </w:tr>
      <w:tr w:rsidR="00291D8B" w:rsidRPr="003B5F80" w:rsidTr="007A4F18">
        <w:tc>
          <w:tcPr>
            <w:tcW w:w="1962" w:type="dxa"/>
            <w:tcBorders>
              <w:bottom w:val="single" w:sz="4" w:space="0" w:color="auto"/>
            </w:tcBorders>
            <w:vAlign w:val="center"/>
          </w:tcPr>
          <w:p w:rsidR="00291D8B" w:rsidRPr="003B5F80" w:rsidRDefault="00291D8B" w:rsidP="0005080D">
            <w:pPr>
              <w:contextualSpacing/>
              <w:rPr>
                <w:rFonts w:eastAsia="Calibri"/>
                <w:color w:val="000000"/>
                <w:sz w:val="18"/>
                <w:szCs w:val="18"/>
              </w:rPr>
            </w:pPr>
            <w:r w:rsidRPr="003B5F80">
              <w:rPr>
                <w:rFonts w:eastAsia="Calibri"/>
                <w:color w:val="000000"/>
                <w:sz w:val="18"/>
                <w:szCs w:val="18"/>
              </w:rPr>
              <w:t>Extension (0⁰ normal)</w:t>
            </w:r>
          </w:p>
        </w:tc>
        <w:tc>
          <w:tcPr>
            <w:tcW w:w="1980" w:type="dxa"/>
            <w:tcBorders>
              <w:bottom w:val="single" w:sz="4" w:space="0" w:color="auto"/>
            </w:tcBorders>
            <w:vAlign w:val="center"/>
          </w:tcPr>
          <w:p w:rsidR="00291D8B" w:rsidRPr="003B5F80" w:rsidRDefault="00291D8B" w:rsidP="0005080D">
            <w:pPr>
              <w:contextualSpacing/>
              <w:rPr>
                <w:rFonts w:eastAsia="Calibri"/>
                <w:color w:val="000000"/>
                <w:sz w:val="18"/>
                <w:szCs w:val="18"/>
              </w:rPr>
            </w:pPr>
            <w:r>
              <w:rPr>
                <w:rFonts w:eastAsia="Calibri"/>
                <w:color w:val="000000"/>
                <w:sz w:val="18"/>
                <w:szCs w:val="18"/>
              </w:rPr>
              <w:t>0</w:t>
            </w:r>
            <w:r w:rsidRPr="003B5F80">
              <w:rPr>
                <w:rFonts w:eastAsia="Calibri"/>
                <w:color w:val="000000"/>
                <w:sz w:val="18"/>
                <w:szCs w:val="18"/>
              </w:rPr>
              <w:t>⁰</w:t>
            </w:r>
          </w:p>
        </w:tc>
        <w:tc>
          <w:tcPr>
            <w:tcW w:w="2250" w:type="dxa"/>
            <w:tcBorders>
              <w:bottom w:val="single" w:sz="4" w:space="0" w:color="auto"/>
            </w:tcBorders>
            <w:vAlign w:val="center"/>
          </w:tcPr>
          <w:p w:rsidR="00291D8B" w:rsidRPr="001D70E1" w:rsidRDefault="007A4F18" w:rsidP="007A4F18">
            <w:pPr>
              <w:contextualSpacing/>
              <w:rPr>
                <w:rFonts w:eastAsia="Calibri"/>
                <w:color w:val="000000"/>
                <w:sz w:val="18"/>
                <w:szCs w:val="18"/>
              </w:rPr>
            </w:pPr>
            <w:r>
              <w:rPr>
                <w:rFonts w:eastAsia="Calibri"/>
                <w:color w:val="000000"/>
                <w:sz w:val="18"/>
                <w:szCs w:val="18"/>
              </w:rPr>
              <w:t>0</w:t>
            </w:r>
            <w:r w:rsidRPr="003B5F80">
              <w:rPr>
                <w:rFonts w:eastAsia="Calibri"/>
                <w:color w:val="000000"/>
                <w:sz w:val="18"/>
                <w:szCs w:val="18"/>
              </w:rPr>
              <w:t>⁰</w:t>
            </w:r>
          </w:p>
        </w:tc>
        <w:tc>
          <w:tcPr>
            <w:tcW w:w="2430" w:type="dxa"/>
            <w:tcBorders>
              <w:bottom w:val="single" w:sz="4" w:space="0" w:color="auto"/>
            </w:tcBorders>
            <w:vAlign w:val="center"/>
          </w:tcPr>
          <w:p w:rsidR="00291D8B" w:rsidRPr="003B5F80" w:rsidRDefault="007A4F18" w:rsidP="007A4F18">
            <w:pPr>
              <w:contextualSpacing/>
              <w:rPr>
                <w:rFonts w:eastAsia="Calibri"/>
                <w:color w:val="000000"/>
                <w:sz w:val="18"/>
                <w:szCs w:val="18"/>
              </w:rPr>
            </w:pPr>
            <w:r>
              <w:rPr>
                <w:rFonts w:eastAsia="Calibri"/>
                <w:color w:val="000000"/>
                <w:sz w:val="18"/>
                <w:szCs w:val="18"/>
              </w:rPr>
              <w:t>0</w:t>
            </w:r>
            <w:r w:rsidRPr="003B5F80">
              <w:rPr>
                <w:rFonts w:eastAsia="Calibri"/>
                <w:color w:val="000000"/>
                <w:sz w:val="18"/>
                <w:szCs w:val="18"/>
              </w:rPr>
              <w:t>⁰</w:t>
            </w:r>
          </w:p>
        </w:tc>
      </w:tr>
      <w:tr w:rsidR="00291D8B" w:rsidRPr="003B5F80" w:rsidTr="007A4F18">
        <w:tc>
          <w:tcPr>
            <w:tcW w:w="1962" w:type="dxa"/>
            <w:tcBorders>
              <w:top w:val="single" w:sz="4" w:space="0" w:color="auto"/>
              <w:left w:val="single" w:sz="4" w:space="0" w:color="auto"/>
              <w:bottom w:val="single" w:sz="4" w:space="0" w:color="auto"/>
              <w:right w:val="single" w:sz="4" w:space="0" w:color="auto"/>
            </w:tcBorders>
            <w:vAlign w:val="center"/>
          </w:tcPr>
          <w:p w:rsidR="00291D8B" w:rsidRPr="003B5F80" w:rsidRDefault="00291D8B" w:rsidP="0005080D">
            <w:pPr>
              <w:tabs>
                <w:tab w:val="left" w:pos="288"/>
                <w:tab w:val="left" w:pos="4752"/>
              </w:tabs>
              <w:rPr>
                <w:rFonts w:eastAsia="Calibri"/>
                <w:color w:val="000000"/>
                <w:sz w:val="18"/>
                <w:szCs w:val="18"/>
              </w:rPr>
            </w:pPr>
            <w:r w:rsidRPr="003B5F80">
              <w:rPr>
                <w:rFonts w:eastAsia="Calibri"/>
                <w:color w:val="000000"/>
                <w:sz w:val="18"/>
                <w:szCs w:val="18"/>
              </w:rPr>
              <w:t>Comment</w:t>
            </w:r>
          </w:p>
        </w:tc>
        <w:tc>
          <w:tcPr>
            <w:tcW w:w="1980" w:type="dxa"/>
            <w:tcBorders>
              <w:top w:val="single" w:sz="4" w:space="0" w:color="auto"/>
              <w:left w:val="single" w:sz="4" w:space="0" w:color="auto"/>
              <w:bottom w:val="single" w:sz="4" w:space="0" w:color="auto"/>
              <w:right w:val="single" w:sz="4" w:space="0" w:color="auto"/>
            </w:tcBorders>
            <w:vAlign w:val="center"/>
          </w:tcPr>
          <w:p w:rsidR="00291D8B" w:rsidRPr="00DD105E" w:rsidRDefault="007A4F18" w:rsidP="0005080D">
            <w:pPr>
              <w:tabs>
                <w:tab w:val="left" w:pos="288"/>
                <w:tab w:val="left" w:pos="4752"/>
              </w:tabs>
              <w:jc w:val="left"/>
              <w:rPr>
                <w:rFonts w:eastAsia="Calibri"/>
                <w:color w:val="000000"/>
                <w:sz w:val="18"/>
                <w:szCs w:val="18"/>
                <w:highlight w:val="yellow"/>
              </w:rPr>
            </w:pPr>
            <w:r w:rsidRPr="007A4F18">
              <w:rPr>
                <w:rFonts w:eastAsia="Calibri"/>
                <w:color w:val="000000"/>
                <w:sz w:val="18"/>
                <w:szCs w:val="18"/>
              </w:rPr>
              <w:t>No instability</w:t>
            </w:r>
          </w:p>
        </w:tc>
        <w:tc>
          <w:tcPr>
            <w:tcW w:w="2250" w:type="dxa"/>
            <w:tcBorders>
              <w:top w:val="single" w:sz="4" w:space="0" w:color="auto"/>
              <w:left w:val="single" w:sz="4" w:space="0" w:color="auto"/>
              <w:bottom w:val="single" w:sz="4" w:space="0" w:color="auto"/>
              <w:right w:val="single" w:sz="4" w:space="0" w:color="auto"/>
            </w:tcBorders>
            <w:vAlign w:val="center"/>
          </w:tcPr>
          <w:p w:rsidR="003768AF" w:rsidRDefault="00A87D43" w:rsidP="006E398C">
            <w:pPr>
              <w:tabs>
                <w:tab w:val="left" w:pos="288"/>
                <w:tab w:val="left" w:pos="4752"/>
              </w:tabs>
              <w:jc w:val="left"/>
              <w:rPr>
                <w:rFonts w:eastAsia="Calibri"/>
                <w:color w:val="000000"/>
                <w:sz w:val="18"/>
                <w:szCs w:val="18"/>
              </w:rPr>
            </w:pPr>
            <w:r>
              <w:rPr>
                <w:rFonts w:eastAsia="Calibri"/>
                <w:color w:val="000000"/>
                <w:sz w:val="18"/>
                <w:szCs w:val="18"/>
              </w:rPr>
              <w:t xml:space="preserve">17 days </w:t>
            </w:r>
            <w:r w:rsidR="006E398C">
              <w:rPr>
                <w:rFonts w:eastAsia="Calibri"/>
                <w:color w:val="000000"/>
                <w:sz w:val="18"/>
                <w:szCs w:val="18"/>
              </w:rPr>
              <w:t xml:space="preserve">post </w:t>
            </w:r>
            <w:r>
              <w:rPr>
                <w:rFonts w:eastAsia="Calibri"/>
                <w:color w:val="000000"/>
                <w:sz w:val="18"/>
                <w:szCs w:val="18"/>
              </w:rPr>
              <w:t>arthroscopy</w:t>
            </w:r>
            <w:r w:rsidR="009002DE">
              <w:rPr>
                <w:rFonts w:eastAsia="Calibri"/>
                <w:color w:val="000000"/>
                <w:sz w:val="18"/>
                <w:szCs w:val="18"/>
              </w:rPr>
              <w:t>.</w:t>
            </w:r>
          </w:p>
          <w:p w:rsidR="003768AF" w:rsidRDefault="003768AF" w:rsidP="006E398C">
            <w:pPr>
              <w:tabs>
                <w:tab w:val="left" w:pos="288"/>
                <w:tab w:val="left" w:pos="4752"/>
              </w:tabs>
              <w:jc w:val="left"/>
              <w:rPr>
                <w:rFonts w:eastAsia="Calibri"/>
                <w:color w:val="000000"/>
                <w:sz w:val="18"/>
                <w:szCs w:val="18"/>
              </w:rPr>
            </w:pPr>
            <w:r>
              <w:rPr>
                <w:rFonts w:eastAsia="Calibri"/>
                <w:color w:val="000000"/>
                <w:sz w:val="18"/>
                <w:szCs w:val="18"/>
              </w:rPr>
              <w:t xml:space="preserve">Pain </w:t>
            </w:r>
            <w:proofErr w:type="gramStart"/>
            <w:r>
              <w:rPr>
                <w:rFonts w:eastAsia="Calibri"/>
                <w:color w:val="000000"/>
                <w:sz w:val="18"/>
                <w:szCs w:val="18"/>
              </w:rPr>
              <w:t>at 90</w:t>
            </w:r>
            <w:r w:rsidRPr="003B5F80">
              <w:rPr>
                <w:rFonts w:eastAsia="Calibri"/>
                <w:color w:val="000000"/>
                <w:sz w:val="18"/>
                <w:szCs w:val="18"/>
              </w:rPr>
              <w:t>⁰</w:t>
            </w:r>
            <w:r>
              <w:rPr>
                <w:rFonts w:eastAsia="Calibri"/>
                <w:color w:val="000000"/>
                <w:sz w:val="18"/>
                <w:szCs w:val="18"/>
              </w:rPr>
              <w:t xml:space="preserve"> flexion</w:t>
            </w:r>
            <w:proofErr w:type="gramEnd"/>
            <w:r>
              <w:rPr>
                <w:rFonts w:eastAsia="Calibri"/>
                <w:color w:val="000000"/>
                <w:sz w:val="18"/>
                <w:szCs w:val="18"/>
              </w:rPr>
              <w:t>.</w:t>
            </w:r>
          </w:p>
          <w:p w:rsidR="00291D8B" w:rsidRPr="003B5F80" w:rsidRDefault="006E398C" w:rsidP="006E398C">
            <w:pPr>
              <w:tabs>
                <w:tab w:val="left" w:pos="288"/>
                <w:tab w:val="left" w:pos="4752"/>
              </w:tabs>
              <w:jc w:val="left"/>
              <w:rPr>
                <w:rFonts w:eastAsia="Calibri"/>
                <w:color w:val="000000"/>
                <w:sz w:val="18"/>
                <w:szCs w:val="18"/>
              </w:rPr>
            </w:pPr>
            <w:r>
              <w:rPr>
                <w:rFonts w:eastAsia="Calibri"/>
                <w:color w:val="000000"/>
                <w:sz w:val="18"/>
                <w:szCs w:val="18"/>
              </w:rPr>
              <w:t xml:space="preserve"> Limited examination.</w:t>
            </w:r>
          </w:p>
        </w:tc>
        <w:tc>
          <w:tcPr>
            <w:tcW w:w="2430" w:type="dxa"/>
            <w:tcBorders>
              <w:top w:val="single" w:sz="4" w:space="0" w:color="auto"/>
              <w:left w:val="single" w:sz="4" w:space="0" w:color="auto"/>
              <w:bottom w:val="single" w:sz="4" w:space="0" w:color="auto"/>
              <w:right w:val="single" w:sz="4" w:space="0" w:color="auto"/>
            </w:tcBorders>
            <w:vAlign w:val="center"/>
          </w:tcPr>
          <w:p w:rsidR="00291D8B" w:rsidRPr="000F0CF0" w:rsidRDefault="00A87D43" w:rsidP="007A4F18">
            <w:pPr>
              <w:tabs>
                <w:tab w:val="left" w:pos="288"/>
                <w:tab w:val="left" w:pos="4752"/>
              </w:tabs>
              <w:jc w:val="left"/>
              <w:rPr>
                <w:rFonts w:eastAsia="Calibri"/>
                <w:color w:val="000000"/>
                <w:sz w:val="18"/>
                <w:szCs w:val="18"/>
              </w:rPr>
            </w:pPr>
            <w:r>
              <w:rPr>
                <w:rFonts w:eastAsia="Calibri"/>
                <w:color w:val="000000"/>
                <w:sz w:val="18"/>
                <w:szCs w:val="18"/>
              </w:rPr>
              <w:t xml:space="preserve">No </w:t>
            </w:r>
            <w:proofErr w:type="spellStart"/>
            <w:r>
              <w:rPr>
                <w:rFonts w:eastAsia="Calibri"/>
                <w:color w:val="000000"/>
                <w:sz w:val="18"/>
                <w:szCs w:val="18"/>
              </w:rPr>
              <w:t>ligamentous</w:t>
            </w:r>
            <w:proofErr w:type="spellEnd"/>
            <w:r>
              <w:rPr>
                <w:rFonts w:eastAsia="Calibri"/>
                <w:color w:val="000000"/>
                <w:sz w:val="18"/>
                <w:szCs w:val="18"/>
              </w:rPr>
              <w:t xml:space="preserve"> instability.  </w:t>
            </w:r>
            <w:proofErr w:type="spellStart"/>
            <w:r>
              <w:rPr>
                <w:rFonts w:eastAsia="Calibri"/>
                <w:color w:val="000000"/>
                <w:sz w:val="18"/>
                <w:szCs w:val="18"/>
              </w:rPr>
              <w:t>McMurrays</w:t>
            </w:r>
            <w:proofErr w:type="spellEnd"/>
            <w:r>
              <w:rPr>
                <w:rFonts w:eastAsia="Calibri"/>
                <w:color w:val="000000"/>
                <w:sz w:val="18"/>
                <w:szCs w:val="18"/>
              </w:rPr>
              <w:t xml:space="preserve"> negative</w:t>
            </w:r>
          </w:p>
        </w:tc>
      </w:tr>
      <w:tr w:rsidR="00291D8B" w:rsidRPr="003B5F80" w:rsidTr="007A4F18">
        <w:tc>
          <w:tcPr>
            <w:tcW w:w="1962" w:type="dxa"/>
            <w:tcBorders>
              <w:top w:val="single" w:sz="4" w:space="0" w:color="auto"/>
              <w:left w:val="single" w:sz="4" w:space="0" w:color="auto"/>
              <w:bottom w:val="single" w:sz="4" w:space="0" w:color="auto"/>
              <w:right w:val="single" w:sz="4" w:space="0" w:color="auto"/>
            </w:tcBorders>
            <w:vAlign w:val="center"/>
          </w:tcPr>
          <w:p w:rsidR="00291D8B" w:rsidRPr="003B5F80" w:rsidRDefault="007A4F18" w:rsidP="0005080D">
            <w:pPr>
              <w:tabs>
                <w:tab w:val="left" w:pos="288"/>
                <w:tab w:val="left" w:pos="4752"/>
              </w:tabs>
              <w:rPr>
                <w:rFonts w:eastAsia="Calibri"/>
                <w:color w:val="000000"/>
                <w:sz w:val="18"/>
                <w:szCs w:val="18"/>
              </w:rPr>
            </w:pPr>
            <w:r>
              <w:rPr>
                <w:rFonts w:eastAsia="Calibri"/>
                <w:color w:val="000000"/>
                <w:sz w:val="18"/>
                <w:szCs w:val="18"/>
              </w:rPr>
              <w:t>§4.71a Rating</w:t>
            </w:r>
          </w:p>
        </w:tc>
        <w:tc>
          <w:tcPr>
            <w:tcW w:w="1980" w:type="dxa"/>
            <w:tcBorders>
              <w:top w:val="single" w:sz="4" w:space="0" w:color="auto"/>
              <w:left w:val="single" w:sz="4" w:space="0" w:color="auto"/>
              <w:bottom w:val="single" w:sz="4" w:space="0" w:color="auto"/>
              <w:right w:val="single" w:sz="4" w:space="0" w:color="auto"/>
            </w:tcBorders>
            <w:vAlign w:val="center"/>
          </w:tcPr>
          <w:p w:rsidR="00291D8B" w:rsidRPr="003B5F80" w:rsidRDefault="00A87D43" w:rsidP="007A4F18">
            <w:pPr>
              <w:tabs>
                <w:tab w:val="left" w:pos="288"/>
                <w:tab w:val="left" w:pos="4752"/>
              </w:tabs>
              <w:rPr>
                <w:rFonts w:eastAsia="Calibri"/>
                <w:color w:val="000000"/>
                <w:sz w:val="18"/>
                <w:szCs w:val="18"/>
              </w:rPr>
            </w:pPr>
            <w:r>
              <w:rPr>
                <w:rFonts w:eastAsia="Calibri"/>
                <w:color w:val="000000"/>
                <w:sz w:val="18"/>
                <w:szCs w:val="18"/>
              </w:rPr>
              <w:t>10</w:t>
            </w:r>
            <w:r w:rsidRPr="003B5F80">
              <w:rPr>
                <w:rFonts w:eastAsia="Calibri"/>
                <w:color w:val="000000"/>
                <w:sz w:val="18"/>
                <w:szCs w:val="18"/>
              </w:rPr>
              <w:t>%</w:t>
            </w:r>
          </w:p>
        </w:tc>
        <w:tc>
          <w:tcPr>
            <w:tcW w:w="2250" w:type="dxa"/>
            <w:tcBorders>
              <w:top w:val="single" w:sz="4" w:space="0" w:color="auto"/>
              <w:left w:val="single" w:sz="4" w:space="0" w:color="auto"/>
              <w:bottom w:val="single" w:sz="4" w:space="0" w:color="auto"/>
              <w:right w:val="single" w:sz="4" w:space="0" w:color="auto"/>
            </w:tcBorders>
            <w:vAlign w:val="center"/>
          </w:tcPr>
          <w:p w:rsidR="00291D8B" w:rsidRPr="003B5F80" w:rsidRDefault="00A87D43" w:rsidP="00845559">
            <w:pPr>
              <w:tabs>
                <w:tab w:val="left" w:pos="288"/>
                <w:tab w:val="left" w:pos="4752"/>
              </w:tabs>
              <w:rPr>
                <w:rFonts w:eastAsia="Calibri"/>
                <w:color w:val="000000"/>
                <w:sz w:val="18"/>
                <w:szCs w:val="18"/>
              </w:rPr>
            </w:pPr>
            <w:r>
              <w:rPr>
                <w:rFonts w:eastAsia="Calibri"/>
                <w:color w:val="000000"/>
                <w:sz w:val="18"/>
                <w:szCs w:val="18"/>
              </w:rPr>
              <w:t>10</w:t>
            </w:r>
            <w:r w:rsidRPr="003B5F80">
              <w:rPr>
                <w:rFonts w:eastAsia="Calibri"/>
                <w:color w:val="000000"/>
                <w:sz w:val="18"/>
                <w:szCs w:val="18"/>
              </w:rPr>
              <w:t>%</w:t>
            </w:r>
          </w:p>
        </w:tc>
        <w:tc>
          <w:tcPr>
            <w:tcW w:w="2430" w:type="dxa"/>
            <w:tcBorders>
              <w:top w:val="single" w:sz="4" w:space="0" w:color="auto"/>
              <w:left w:val="single" w:sz="4" w:space="0" w:color="auto"/>
              <w:bottom w:val="single" w:sz="4" w:space="0" w:color="auto"/>
              <w:right w:val="single" w:sz="4" w:space="0" w:color="auto"/>
            </w:tcBorders>
            <w:vAlign w:val="center"/>
          </w:tcPr>
          <w:p w:rsidR="00291D8B" w:rsidRPr="003B5F80" w:rsidRDefault="00291D8B" w:rsidP="00A87D43">
            <w:pPr>
              <w:tabs>
                <w:tab w:val="left" w:pos="288"/>
                <w:tab w:val="left" w:pos="4752"/>
              </w:tabs>
              <w:rPr>
                <w:rFonts w:eastAsia="Calibri"/>
                <w:color w:val="000000"/>
                <w:sz w:val="18"/>
                <w:szCs w:val="18"/>
              </w:rPr>
            </w:pPr>
            <w:r>
              <w:rPr>
                <w:rFonts w:eastAsia="Calibri"/>
                <w:color w:val="000000"/>
                <w:sz w:val="18"/>
                <w:szCs w:val="18"/>
              </w:rPr>
              <w:t>10</w:t>
            </w:r>
            <w:r w:rsidRPr="003B5F80">
              <w:rPr>
                <w:rFonts w:eastAsia="Calibri"/>
                <w:color w:val="000000"/>
                <w:sz w:val="18"/>
                <w:szCs w:val="18"/>
              </w:rPr>
              <w:t>%</w:t>
            </w:r>
          </w:p>
        </w:tc>
      </w:tr>
    </w:tbl>
    <w:p w:rsidR="00DD105E" w:rsidRDefault="00DD105E" w:rsidP="00987CC2">
      <w:pPr>
        <w:jc w:val="left"/>
        <w:rPr>
          <w:rFonts w:eastAsia="Calibri"/>
          <w:color w:val="000000"/>
          <w:szCs w:val="18"/>
        </w:rPr>
      </w:pPr>
    </w:p>
    <w:p w:rsidR="00F828C9" w:rsidRPr="006B2337" w:rsidRDefault="00A87D43" w:rsidP="0020438D">
      <w:pPr>
        <w:jc w:val="both"/>
        <w:rPr>
          <w:rFonts w:cs="Arial"/>
          <w:color w:val="000000"/>
          <w:szCs w:val="24"/>
        </w:rPr>
      </w:pPr>
      <w:r>
        <w:rPr>
          <w:rFonts w:eastAsia="Calibri"/>
          <w:color w:val="000000"/>
          <w:szCs w:val="18"/>
        </w:rPr>
        <w:t>The C</w:t>
      </w:r>
      <w:r w:rsidR="009002DE">
        <w:rPr>
          <w:rFonts w:eastAsia="Calibri"/>
          <w:color w:val="000000"/>
          <w:szCs w:val="18"/>
        </w:rPr>
        <w:t>I</w:t>
      </w:r>
      <w:r>
        <w:rPr>
          <w:rFonts w:eastAsia="Calibri"/>
          <w:color w:val="000000"/>
          <w:szCs w:val="18"/>
        </w:rPr>
        <w:t xml:space="preserve"> initially injured his right knee in 1994</w:t>
      </w:r>
      <w:r w:rsidR="00195804">
        <w:rPr>
          <w:rFonts w:eastAsia="Calibri"/>
          <w:color w:val="000000"/>
          <w:szCs w:val="18"/>
        </w:rPr>
        <w:t xml:space="preserve"> after falling from a telephone pole</w:t>
      </w:r>
      <w:r w:rsidR="00486969">
        <w:rPr>
          <w:rFonts w:eastAsia="Calibri"/>
          <w:color w:val="000000"/>
          <w:szCs w:val="18"/>
        </w:rPr>
        <w:t xml:space="preserve"> while on active duty.</w:t>
      </w:r>
      <w:r>
        <w:rPr>
          <w:rFonts w:eastAsia="Calibri"/>
          <w:color w:val="000000"/>
          <w:szCs w:val="18"/>
        </w:rPr>
        <w:t xml:space="preserve">  He had persistent pain, but was returned to duty in 1996 by a MOS </w:t>
      </w:r>
      <w:r w:rsidR="004C6AC8">
        <w:rPr>
          <w:rFonts w:eastAsia="Calibri"/>
          <w:color w:val="000000"/>
          <w:szCs w:val="18"/>
        </w:rPr>
        <w:t>M</w:t>
      </w:r>
      <w:r>
        <w:rPr>
          <w:rFonts w:eastAsia="Calibri"/>
          <w:color w:val="000000"/>
          <w:szCs w:val="18"/>
        </w:rPr>
        <w:t xml:space="preserve">edical </w:t>
      </w:r>
      <w:r w:rsidR="004C6AC8">
        <w:rPr>
          <w:rFonts w:eastAsia="Calibri"/>
          <w:color w:val="000000"/>
          <w:szCs w:val="18"/>
        </w:rPr>
        <w:t>R</w:t>
      </w:r>
      <w:r>
        <w:rPr>
          <w:rFonts w:eastAsia="Calibri"/>
          <w:color w:val="000000"/>
          <w:szCs w:val="18"/>
        </w:rPr>
        <w:t xml:space="preserve">etention </w:t>
      </w:r>
      <w:r w:rsidR="004C6AC8">
        <w:rPr>
          <w:rFonts w:eastAsia="Calibri"/>
          <w:color w:val="000000"/>
          <w:szCs w:val="18"/>
        </w:rPr>
        <w:t>B</w:t>
      </w:r>
      <w:r>
        <w:rPr>
          <w:rFonts w:eastAsia="Calibri"/>
          <w:color w:val="000000"/>
          <w:szCs w:val="18"/>
        </w:rPr>
        <w:t xml:space="preserve">oard (MMRB).  However, his pain persisted and increased leading to a </w:t>
      </w:r>
      <w:r w:rsidR="009002DE">
        <w:rPr>
          <w:rFonts w:eastAsia="Calibri"/>
          <w:color w:val="000000"/>
          <w:szCs w:val="18"/>
        </w:rPr>
        <w:t>diagnostic</w:t>
      </w:r>
      <w:r>
        <w:rPr>
          <w:rFonts w:eastAsia="Calibri"/>
          <w:color w:val="000000"/>
          <w:szCs w:val="18"/>
        </w:rPr>
        <w:t xml:space="preserve"> and therapeutic arthroscopy in 1997.  The menisci were intact, but medial and lateral </w:t>
      </w:r>
      <w:r w:rsidRPr="00486969">
        <w:rPr>
          <w:rFonts w:eastAsia="Calibri"/>
          <w:color w:val="000000"/>
          <w:szCs w:val="18"/>
        </w:rPr>
        <w:t xml:space="preserve">tibial plateau </w:t>
      </w:r>
      <w:r w:rsidR="00486969">
        <w:rPr>
          <w:rFonts w:eastAsia="Calibri"/>
          <w:color w:val="000000"/>
          <w:szCs w:val="18"/>
        </w:rPr>
        <w:t xml:space="preserve">grade I </w:t>
      </w:r>
      <w:proofErr w:type="spellStart"/>
      <w:r w:rsidR="00791992" w:rsidRPr="0020438D">
        <w:rPr>
          <w:rFonts w:eastAsia="Calibri"/>
          <w:color w:val="000000"/>
          <w:szCs w:val="18"/>
        </w:rPr>
        <w:t>chondromalacia</w:t>
      </w:r>
      <w:proofErr w:type="spellEnd"/>
      <w:r w:rsidRPr="00486969">
        <w:rPr>
          <w:rFonts w:eastAsia="Calibri"/>
          <w:color w:val="000000"/>
          <w:szCs w:val="18"/>
        </w:rPr>
        <w:t xml:space="preserve"> </w:t>
      </w:r>
      <w:r w:rsidR="00486969" w:rsidRPr="00486969">
        <w:rPr>
          <w:rFonts w:eastAsia="Calibri"/>
          <w:color w:val="000000"/>
          <w:szCs w:val="18"/>
        </w:rPr>
        <w:t>(</w:t>
      </w:r>
      <w:r w:rsidR="00486969">
        <w:rPr>
          <w:rFonts w:eastAsia="Calibri"/>
          <w:color w:val="000000"/>
          <w:szCs w:val="18"/>
        </w:rPr>
        <w:t xml:space="preserve">mild </w:t>
      </w:r>
      <w:r w:rsidR="00486969" w:rsidRPr="00486969">
        <w:rPr>
          <w:rFonts w:eastAsia="Calibri"/>
          <w:color w:val="000000"/>
          <w:szCs w:val="18"/>
        </w:rPr>
        <w:t xml:space="preserve">degenerative changes) </w:t>
      </w:r>
      <w:r>
        <w:rPr>
          <w:rFonts w:eastAsia="Calibri"/>
          <w:color w:val="000000"/>
          <w:szCs w:val="18"/>
        </w:rPr>
        <w:t>was present.</w:t>
      </w:r>
      <w:r w:rsidR="00486969">
        <w:rPr>
          <w:rFonts w:eastAsia="Calibri"/>
          <w:color w:val="000000"/>
          <w:szCs w:val="18"/>
        </w:rPr>
        <w:t xml:space="preserve">  Both menisci and the anterior </w:t>
      </w:r>
      <w:proofErr w:type="spellStart"/>
      <w:r w:rsidR="00486969">
        <w:rPr>
          <w:rFonts w:eastAsia="Calibri"/>
          <w:color w:val="000000"/>
          <w:szCs w:val="18"/>
        </w:rPr>
        <w:t>cruciate</w:t>
      </w:r>
      <w:proofErr w:type="spellEnd"/>
      <w:r w:rsidR="00486969">
        <w:rPr>
          <w:rFonts w:eastAsia="Calibri"/>
          <w:color w:val="000000"/>
          <w:szCs w:val="18"/>
        </w:rPr>
        <w:t xml:space="preserve"> ligament were intact.  </w:t>
      </w:r>
      <w:r>
        <w:rPr>
          <w:rFonts w:eastAsia="Calibri"/>
          <w:color w:val="000000"/>
          <w:szCs w:val="18"/>
        </w:rPr>
        <w:t xml:space="preserve">He was managed conservatively and able to meet his MOS requirements until </w:t>
      </w:r>
      <w:r w:rsidR="00195804">
        <w:rPr>
          <w:rFonts w:eastAsia="Calibri"/>
          <w:color w:val="000000"/>
          <w:szCs w:val="18"/>
        </w:rPr>
        <w:t xml:space="preserve">exacerbation </w:t>
      </w:r>
      <w:r>
        <w:rPr>
          <w:rFonts w:eastAsia="Calibri"/>
          <w:color w:val="000000"/>
          <w:szCs w:val="18"/>
        </w:rPr>
        <w:t xml:space="preserve">in </w:t>
      </w:r>
      <w:r w:rsidR="00195804">
        <w:rPr>
          <w:rFonts w:eastAsia="Calibri"/>
          <w:color w:val="000000"/>
          <w:szCs w:val="18"/>
        </w:rPr>
        <w:t xml:space="preserve">December of 2004 with increased activity </w:t>
      </w:r>
      <w:r w:rsidR="00486969">
        <w:rPr>
          <w:rFonts w:eastAsia="Calibri"/>
          <w:color w:val="000000"/>
          <w:szCs w:val="18"/>
        </w:rPr>
        <w:t xml:space="preserve">during military training in </w:t>
      </w:r>
      <w:r w:rsidR="00195804">
        <w:rPr>
          <w:rFonts w:eastAsia="Calibri"/>
          <w:color w:val="000000"/>
          <w:szCs w:val="18"/>
        </w:rPr>
        <w:t xml:space="preserve">preparation for deployment and stepping into a hole, twisting his ankle and knee.  MRI </w:t>
      </w:r>
      <w:r w:rsidR="00E75975">
        <w:rPr>
          <w:rFonts w:eastAsia="Calibri"/>
          <w:color w:val="000000"/>
          <w:szCs w:val="18"/>
        </w:rPr>
        <w:t xml:space="preserve">of the </w:t>
      </w:r>
      <w:r w:rsidR="00195804" w:rsidRPr="0020438D">
        <w:rPr>
          <w:rFonts w:eastAsia="Calibri"/>
          <w:color w:val="000000"/>
          <w:szCs w:val="18"/>
        </w:rPr>
        <w:t xml:space="preserve">right knee </w:t>
      </w:r>
      <w:r w:rsidR="00E75975" w:rsidRPr="0020438D">
        <w:rPr>
          <w:rFonts w:eastAsia="Calibri"/>
          <w:color w:val="000000"/>
          <w:szCs w:val="18"/>
        </w:rPr>
        <w:t xml:space="preserve">showed </w:t>
      </w:r>
      <w:r w:rsidR="00C375BE" w:rsidRPr="0020438D">
        <w:rPr>
          <w:rFonts w:eastAsia="Calibri"/>
          <w:color w:val="000000"/>
          <w:szCs w:val="18"/>
        </w:rPr>
        <w:t xml:space="preserve">a </w:t>
      </w:r>
      <w:r w:rsidR="006E398C" w:rsidRPr="0020438D">
        <w:rPr>
          <w:rFonts w:eastAsia="Calibri"/>
          <w:color w:val="000000"/>
          <w:szCs w:val="18"/>
        </w:rPr>
        <w:t xml:space="preserve">small peripheral </w:t>
      </w:r>
      <w:r w:rsidR="00C375BE" w:rsidRPr="0020438D">
        <w:rPr>
          <w:rFonts w:eastAsia="Calibri"/>
          <w:color w:val="000000"/>
          <w:szCs w:val="18"/>
        </w:rPr>
        <w:t xml:space="preserve">tear of the posterior horn of the </w:t>
      </w:r>
      <w:r w:rsidR="00195804" w:rsidRPr="0020438D">
        <w:rPr>
          <w:rFonts w:eastAsia="Calibri"/>
          <w:color w:val="000000"/>
          <w:szCs w:val="18"/>
        </w:rPr>
        <w:t xml:space="preserve">medial </w:t>
      </w:r>
      <w:proofErr w:type="spellStart"/>
      <w:r w:rsidR="00C375BE" w:rsidRPr="0020438D">
        <w:rPr>
          <w:rFonts w:eastAsia="Calibri"/>
          <w:color w:val="000000"/>
          <w:szCs w:val="18"/>
        </w:rPr>
        <w:t>meniscal</w:t>
      </w:r>
      <w:proofErr w:type="spellEnd"/>
      <w:r w:rsidR="00C375BE" w:rsidRPr="0020438D">
        <w:rPr>
          <w:rFonts w:eastAsia="Calibri"/>
          <w:color w:val="000000"/>
          <w:szCs w:val="18"/>
        </w:rPr>
        <w:t xml:space="preserve"> with </w:t>
      </w:r>
      <w:proofErr w:type="spellStart"/>
      <w:r w:rsidR="00C375BE" w:rsidRPr="0020438D">
        <w:rPr>
          <w:rFonts w:eastAsia="Calibri"/>
          <w:color w:val="000000"/>
          <w:szCs w:val="18"/>
        </w:rPr>
        <w:t>myxoid</w:t>
      </w:r>
      <w:proofErr w:type="spellEnd"/>
      <w:r w:rsidR="00C375BE" w:rsidRPr="0020438D">
        <w:rPr>
          <w:rFonts w:eastAsia="Calibri"/>
          <w:color w:val="000000"/>
          <w:szCs w:val="18"/>
        </w:rPr>
        <w:t xml:space="preserve"> degeneration o</w:t>
      </w:r>
      <w:r w:rsidR="00C375BE">
        <w:rPr>
          <w:rFonts w:eastAsia="Calibri"/>
          <w:color w:val="000000"/>
          <w:szCs w:val="18"/>
        </w:rPr>
        <w:t>f the medial meniscus</w:t>
      </w:r>
      <w:r w:rsidR="00195804">
        <w:rPr>
          <w:rFonts w:eastAsia="Calibri"/>
          <w:color w:val="000000"/>
          <w:szCs w:val="18"/>
        </w:rPr>
        <w:t>.</w:t>
      </w:r>
      <w:r w:rsidR="0020438D">
        <w:rPr>
          <w:rFonts w:eastAsia="Calibri"/>
          <w:color w:val="000000"/>
          <w:szCs w:val="18"/>
        </w:rPr>
        <w:t xml:space="preserve">  </w:t>
      </w:r>
      <w:r w:rsidR="00195804">
        <w:rPr>
          <w:rFonts w:eastAsia="Calibri"/>
          <w:color w:val="000000"/>
          <w:szCs w:val="18"/>
        </w:rPr>
        <w:t>The MEB examination was accomplished 9 February 2005.</w:t>
      </w:r>
      <w:r w:rsidR="007A4F18">
        <w:rPr>
          <w:rFonts w:eastAsia="Calibri"/>
          <w:color w:val="000000"/>
          <w:szCs w:val="18"/>
        </w:rPr>
        <w:t xml:space="preserve">  T</w:t>
      </w:r>
      <w:r w:rsidR="006E398C">
        <w:rPr>
          <w:rFonts w:eastAsia="Calibri"/>
          <w:color w:val="000000"/>
          <w:szCs w:val="18"/>
        </w:rPr>
        <w:t xml:space="preserve">he CI reported he was able to walk without difficulty, but </w:t>
      </w:r>
      <w:r w:rsidR="006E398C">
        <w:rPr>
          <w:rFonts w:eastAsia="Calibri"/>
          <w:color w:val="000000"/>
          <w:szCs w:val="18"/>
        </w:rPr>
        <w:lastRenderedPageBreak/>
        <w:t>running and marching with load bearing caused pain knee and swelling.</w:t>
      </w:r>
      <w:r w:rsidR="007A4F18">
        <w:rPr>
          <w:rFonts w:eastAsia="Calibri"/>
          <w:color w:val="000000"/>
          <w:szCs w:val="18"/>
        </w:rPr>
        <w:t xml:space="preserve">  P</w:t>
      </w:r>
      <w:r w:rsidR="009002DE">
        <w:rPr>
          <w:rFonts w:eastAsia="Calibri"/>
          <w:color w:val="000000"/>
          <w:szCs w:val="18"/>
        </w:rPr>
        <w:t>ain with</w:t>
      </w:r>
      <w:r w:rsidR="00C375BE">
        <w:rPr>
          <w:rFonts w:eastAsia="Calibri"/>
          <w:color w:val="000000"/>
          <w:szCs w:val="18"/>
        </w:rPr>
        <w:t xml:space="preserve"> rotation was noted as well as crepitus with flexion and extension.  The examiner stated that the remainder of the exam was unremarkable implying no </w:t>
      </w:r>
      <w:proofErr w:type="spellStart"/>
      <w:r w:rsidR="00C375BE">
        <w:rPr>
          <w:rFonts w:eastAsia="Calibri"/>
          <w:color w:val="000000"/>
          <w:szCs w:val="18"/>
        </w:rPr>
        <w:t>ligamentous</w:t>
      </w:r>
      <w:proofErr w:type="spellEnd"/>
      <w:r w:rsidR="00C375BE">
        <w:rPr>
          <w:rFonts w:eastAsia="Calibri"/>
          <w:color w:val="000000"/>
          <w:szCs w:val="18"/>
        </w:rPr>
        <w:t xml:space="preserve"> instability, abnormal </w:t>
      </w:r>
      <w:proofErr w:type="spellStart"/>
      <w:r w:rsidR="00C375BE">
        <w:rPr>
          <w:rFonts w:eastAsia="Calibri"/>
          <w:color w:val="000000"/>
          <w:szCs w:val="18"/>
        </w:rPr>
        <w:t>McMurrays</w:t>
      </w:r>
      <w:proofErr w:type="spellEnd"/>
      <w:r w:rsidR="00C375BE">
        <w:rPr>
          <w:rFonts w:eastAsia="Calibri"/>
          <w:color w:val="000000"/>
          <w:szCs w:val="18"/>
        </w:rPr>
        <w:t xml:space="preserve"> test or effusion.  </w:t>
      </w:r>
      <w:r w:rsidR="00927648">
        <w:rPr>
          <w:rFonts w:eastAsia="Calibri"/>
          <w:color w:val="000000"/>
          <w:szCs w:val="18"/>
        </w:rPr>
        <w:t>In the diagnosis, t</w:t>
      </w:r>
      <w:r w:rsidR="006E398C">
        <w:rPr>
          <w:rFonts w:eastAsia="Calibri"/>
          <w:color w:val="000000"/>
          <w:szCs w:val="18"/>
        </w:rPr>
        <w:t xml:space="preserve">he examiner recorded </w:t>
      </w:r>
      <w:r w:rsidR="00927648">
        <w:rPr>
          <w:rFonts w:eastAsia="Calibri"/>
          <w:color w:val="000000"/>
          <w:szCs w:val="18"/>
        </w:rPr>
        <w:t xml:space="preserve">locking and instability that was not noted in the clinical history or noted previously by orthopedic examiners.  There were no </w:t>
      </w:r>
      <w:proofErr w:type="spellStart"/>
      <w:r w:rsidR="00927648">
        <w:rPr>
          <w:rFonts w:eastAsia="Calibri"/>
          <w:color w:val="000000"/>
          <w:szCs w:val="18"/>
        </w:rPr>
        <w:t>ligamentous</w:t>
      </w:r>
      <w:proofErr w:type="spellEnd"/>
      <w:r w:rsidR="00927648">
        <w:rPr>
          <w:rFonts w:eastAsia="Calibri"/>
          <w:color w:val="000000"/>
          <w:szCs w:val="18"/>
        </w:rPr>
        <w:t xml:space="preserve"> injury to cause instability and there was no dislocation of the meniscus or loose bodies to cause locking.  </w:t>
      </w:r>
      <w:r w:rsidR="00C375BE">
        <w:rPr>
          <w:rFonts w:eastAsia="Calibri"/>
          <w:color w:val="000000"/>
          <w:szCs w:val="18"/>
        </w:rPr>
        <w:t xml:space="preserve">An orthopedic examination </w:t>
      </w:r>
      <w:r w:rsidR="00C82B71">
        <w:rPr>
          <w:rFonts w:eastAsia="Calibri"/>
          <w:color w:val="000000"/>
          <w:szCs w:val="18"/>
        </w:rPr>
        <w:t>a</w:t>
      </w:r>
      <w:r w:rsidR="00C375BE">
        <w:rPr>
          <w:rFonts w:eastAsia="Calibri"/>
          <w:color w:val="000000"/>
          <w:szCs w:val="18"/>
        </w:rPr>
        <w:t xml:space="preserve"> month later</w:t>
      </w:r>
      <w:r w:rsidR="00C82B71">
        <w:rPr>
          <w:rFonts w:eastAsia="Calibri"/>
          <w:color w:val="000000"/>
          <w:szCs w:val="18"/>
        </w:rPr>
        <w:t xml:space="preserve">, performed on </w:t>
      </w:r>
      <w:r w:rsidR="006E398C">
        <w:rPr>
          <w:rFonts w:eastAsia="Calibri"/>
          <w:color w:val="000000"/>
          <w:szCs w:val="18"/>
        </w:rPr>
        <w:t>9 March 2005,</w:t>
      </w:r>
      <w:r w:rsidR="00C375BE">
        <w:rPr>
          <w:rFonts w:eastAsia="Calibri"/>
          <w:color w:val="000000"/>
          <w:szCs w:val="18"/>
        </w:rPr>
        <w:t xml:space="preserve"> noted full ROM of the knee with diffuse, mild tenderness.  No effusion </w:t>
      </w:r>
      <w:r w:rsidR="006E398C">
        <w:rPr>
          <w:rFonts w:eastAsia="Calibri"/>
          <w:color w:val="000000"/>
          <w:szCs w:val="18"/>
        </w:rPr>
        <w:t xml:space="preserve">or instability </w:t>
      </w:r>
      <w:r w:rsidR="00C375BE">
        <w:rPr>
          <w:rFonts w:eastAsia="Calibri"/>
          <w:color w:val="000000"/>
          <w:szCs w:val="18"/>
        </w:rPr>
        <w:t>was noted</w:t>
      </w:r>
      <w:r w:rsidR="00834D59">
        <w:rPr>
          <w:rFonts w:eastAsia="Calibri"/>
          <w:color w:val="000000"/>
          <w:szCs w:val="18"/>
        </w:rPr>
        <w:t>.</w:t>
      </w:r>
      <w:r w:rsidR="00927648">
        <w:rPr>
          <w:rFonts w:eastAsia="Calibri"/>
          <w:color w:val="000000"/>
          <w:szCs w:val="18"/>
        </w:rPr>
        <w:t xml:space="preserve"> </w:t>
      </w:r>
      <w:r w:rsidR="0020438D">
        <w:rPr>
          <w:rFonts w:eastAsia="Calibri"/>
          <w:color w:val="000000"/>
          <w:szCs w:val="18"/>
        </w:rPr>
        <w:t xml:space="preserve"> </w:t>
      </w:r>
      <w:r w:rsidR="00927648">
        <w:rPr>
          <w:rFonts w:eastAsia="Calibri"/>
          <w:color w:val="000000"/>
          <w:szCs w:val="18"/>
        </w:rPr>
        <w:t xml:space="preserve">Physical therapy </w:t>
      </w:r>
      <w:r w:rsidR="00C82B71">
        <w:rPr>
          <w:rFonts w:eastAsia="Calibri"/>
          <w:color w:val="000000"/>
          <w:szCs w:val="18"/>
        </w:rPr>
        <w:t>ROM</w:t>
      </w:r>
      <w:r w:rsidR="00927648">
        <w:rPr>
          <w:rFonts w:eastAsia="Calibri"/>
          <w:color w:val="000000"/>
          <w:szCs w:val="18"/>
        </w:rPr>
        <w:t xml:space="preserve"> </w:t>
      </w:r>
      <w:r w:rsidR="004C6AC8">
        <w:rPr>
          <w:rFonts w:eastAsia="Calibri"/>
          <w:color w:val="000000"/>
          <w:szCs w:val="18"/>
        </w:rPr>
        <w:t xml:space="preserve">on </w:t>
      </w:r>
      <w:r w:rsidR="00927648">
        <w:rPr>
          <w:rFonts w:eastAsia="Calibri"/>
          <w:color w:val="000000"/>
          <w:szCs w:val="18"/>
        </w:rPr>
        <w:t>9 March 2005 recorded ex</w:t>
      </w:r>
      <w:r w:rsidR="00791992">
        <w:rPr>
          <w:rFonts w:eastAsia="Calibri"/>
          <w:color w:val="000000"/>
          <w:szCs w:val="18"/>
        </w:rPr>
        <w:t>t</w:t>
      </w:r>
      <w:r w:rsidR="00927648">
        <w:rPr>
          <w:rFonts w:eastAsia="Calibri"/>
          <w:color w:val="000000"/>
          <w:szCs w:val="18"/>
        </w:rPr>
        <w:t>en</w:t>
      </w:r>
      <w:r w:rsidR="00791992">
        <w:rPr>
          <w:rFonts w:eastAsia="Calibri"/>
          <w:color w:val="000000"/>
          <w:szCs w:val="18"/>
        </w:rPr>
        <w:t>s</w:t>
      </w:r>
      <w:r w:rsidR="00927648">
        <w:rPr>
          <w:rFonts w:eastAsia="Calibri"/>
          <w:color w:val="000000"/>
          <w:szCs w:val="18"/>
        </w:rPr>
        <w:t>ion of 0 degrees and flexion of 91 degrees with pain.</w:t>
      </w:r>
      <w:r w:rsidR="0020438D">
        <w:rPr>
          <w:rFonts w:eastAsia="Calibri"/>
          <w:color w:val="000000"/>
          <w:szCs w:val="18"/>
        </w:rPr>
        <w:t xml:space="preserve">  </w:t>
      </w:r>
      <w:r w:rsidR="004C6AC8">
        <w:rPr>
          <w:rFonts w:eastAsia="Calibri"/>
          <w:color w:val="000000"/>
          <w:szCs w:val="18"/>
        </w:rPr>
        <w:t>Four</w:t>
      </w:r>
      <w:r w:rsidR="00927648">
        <w:rPr>
          <w:rFonts w:eastAsia="Calibri"/>
          <w:color w:val="000000"/>
          <w:szCs w:val="18"/>
        </w:rPr>
        <w:t xml:space="preserve"> months after separation on 8 July 2005, the CI underwent arthroscopic surgery of the right knee.  </w:t>
      </w:r>
      <w:r w:rsidR="00834D59">
        <w:rPr>
          <w:rFonts w:eastAsia="Calibri"/>
          <w:color w:val="000000"/>
          <w:szCs w:val="18"/>
        </w:rPr>
        <w:t xml:space="preserve">The initial VA </w:t>
      </w:r>
      <w:r w:rsidR="00C82B71">
        <w:rPr>
          <w:rFonts w:eastAsia="Calibri"/>
          <w:color w:val="000000"/>
          <w:szCs w:val="18"/>
        </w:rPr>
        <w:t xml:space="preserve">C&amp;P exam, performed </w:t>
      </w:r>
      <w:r w:rsidR="00834D59">
        <w:rPr>
          <w:rFonts w:eastAsia="Calibri"/>
          <w:color w:val="000000"/>
          <w:szCs w:val="18"/>
        </w:rPr>
        <w:t xml:space="preserve">on 25 July 2005, 17 days after his arthroscopy.  He was noted to be in the </w:t>
      </w:r>
      <w:r w:rsidR="003E30AD">
        <w:rPr>
          <w:rFonts w:eastAsia="Calibri"/>
          <w:color w:val="000000"/>
          <w:szCs w:val="18"/>
        </w:rPr>
        <w:t xml:space="preserve">immediate </w:t>
      </w:r>
      <w:r w:rsidR="00834D59">
        <w:rPr>
          <w:rFonts w:eastAsia="Calibri"/>
          <w:color w:val="000000"/>
          <w:szCs w:val="18"/>
        </w:rPr>
        <w:t>post-operative period and to have pain with flexion and weight bearing.  The exam was very limited due to pain.  The VA did a second C&amp;P</w:t>
      </w:r>
      <w:r w:rsidR="00C82B71">
        <w:rPr>
          <w:rFonts w:eastAsia="Calibri"/>
          <w:color w:val="000000"/>
          <w:szCs w:val="18"/>
        </w:rPr>
        <w:t>,</w:t>
      </w:r>
      <w:r w:rsidR="00834D59">
        <w:rPr>
          <w:rFonts w:eastAsia="Calibri"/>
          <w:color w:val="000000"/>
          <w:szCs w:val="18"/>
        </w:rPr>
        <w:t xml:space="preserve"> </w:t>
      </w:r>
      <w:r w:rsidR="00C82B71">
        <w:rPr>
          <w:rFonts w:eastAsia="Calibri"/>
          <w:color w:val="000000"/>
          <w:szCs w:val="18"/>
        </w:rPr>
        <w:t xml:space="preserve">performed </w:t>
      </w:r>
      <w:r w:rsidR="00834D59">
        <w:rPr>
          <w:rFonts w:eastAsia="Calibri"/>
          <w:color w:val="000000"/>
          <w:szCs w:val="18"/>
        </w:rPr>
        <w:t xml:space="preserve">on 7 June 2006, 14 months after separation and 11 months after surgery.  No effusion or atrophy was present.  ROM was normal and </w:t>
      </w:r>
      <w:r w:rsidR="00E75975">
        <w:rPr>
          <w:rFonts w:eastAsia="Calibri"/>
          <w:color w:val="000000"/>
          <w:szCs w:val="18"/>
        </w:rPr>
        <w:t>tests for instability (d</w:t>
      </w:r>
      <w:r w:rsidR="00834D59">
        <w:rPr>
          <w:rFonts w:eastAsia="Calibri"/>
          <w:color w:val="000000"/>
          <w:szCs w:val="18"/>
        </w:rPr>
        <w:t>rawers, collateral ligament</w:t>
      </w:r>
      <w:r w:rsidR="00E75975">
        <w:rPr>
          <w:rFonts w:eastAsia="Calibri"/>
          <w:color w:val="000000"/>
          <w:szCs w:val="18"/>
        </w:rPr>
        <w:t>) and meniscus pathology (</w:t>
      </w:r>
      <w:proofErr w:type="spellStart"/>
      <w:r w:rsidR="00834D59">
        <w:rPr>
          <w:rFonts w:eastAsia="Calibri"/>
          <w:color w:val="000000"/>
          <w:szCs w:val="18"/>
        </w:rPr>
        <w:t>McMurrays</w:t>
      </w:r>
      <w:proofErr w:type="spellEnd"/>
      <w:r w:rsidR="00834D59">
        <w:rPr>
          <w:rFonts w:eastAsia="Calibri"/>
          <w:color w:val="000000"/>
          <w:szCs w:val="18"/>
        </w:rPr>
        <w:t xml:space="preserve"> tests</w:t>
      </w:r>
      <w:r w:rsidR="00E75975">
        <w:rPr>
          <w:rFonts w:eastAsia="Calibri"/>
          <w:color w:val="000000"/>
          <w:szCs w:val="18"/>
        </w:rPr>
        <w:t>)</w:t>
      </w:r>
      <w:r w:rsidR="00834D59">
        <w:rPr>
          <w:rFonts w:eastAsia="Calibri"/>
          <w:color w:val="000000"/>
          <w:szCs w:val="18"/>
        </w:rPr>
        <w:t xml:space="preserve"> were all normal.  No crepitus was noted.  Deluca criteria were negative.</w:t>
      </w:r>
      <w:r w:rsidR="0020438D">
        <w:rPr>
          <w:rFonts w:eastAsia="Calibri"/>
          <w:color w:val="000000"/>
          <w:szCs w:val="18"/>
        </w:rPr>
        <w:t xml:space="preserve">  </w:t>
      </w:r>
      <w:r w:rsidR="00A668AD">
        <w:rPr>
          <w:rFonts w:eastAsia="Calibri"/>
          <w:color w:val="000000"/>
          <w:szCs w:val="18"/>
        </w:rPr>
        <w:t xml:space="preserve">The PEB and VA both rated the knee at 10%, but coded it as 5099-5003, analogous to degenerative arthritis, and 5010-5260, traumatic arthritis and limitation of leg flexion, respectively.  The Board notes that the VA continued the 10% rating at both the 2006 and 2008 re-evaluations.  </w:t>
      </w:r>
      <w:r w:rsidR="00F828C9">
        <w:rPr>
          <w:rFonts w:eastAsia="Calibri"/>
          <w:color w:val="000000"/>
          <w:szCs w:val="18"/>
        </w:rPr>
        <w:t>The Board noted that there was no effusion, only one annotation of “locking</w:t>
      </w:r>
      <w:r w:rsidR="00C82B71">
        <w:rPr>
          <w:rFonts w:eastAsia="Calibri"/>
          <w:color w:val="000000"/>
          <w:szCs w:val="18"/>
        </w:rPr>
        <w:t>,</w:t>
      </w:r>
      <w:r w:rsidR="00F828C9">
        <w:rPr>
          <w:rFonts w:eastAsia="Calibri"/>
          <w:color w:val="000000"/>
          <w:szCs w:val="18"/>
        </w:rPr>
        <w:t xml:space="preserve">” and a non-compensable limitation in ROM.  The Board considered the different coding options available, but none would support a higher rating than the 10% awarded by the PEB.  </w:t>
      </w:r>
      <w:r w:rsidR="00F828C9" w:rsidRPr="006B2337">
        <w:rPr>
          <w:rFonts w:cs="Arial"/>
          <w:color w:val="000000"/>
          <w:szCs w:val="24"/>
        </w:rPr>
        <w:t xml:space="preserve">After due deliberation in consideration of the totality of the evidence, the Board concluded that there was insufficient cause to recommend a change from the PEB fitness adjudication for the </w:t>
      </w:r>
      <w:r w:rsidR="00F828C9">
        <w:rPr>
          <w:rFonts w:cs="Arial"/>
          <w:color w:val="000000"/>
          <w:szCs w:val="24"/>
        </w:rPr>
        <w:t>right knee</w:t>
      </w:r>
      <w:r w:rsidR="00F828C9" w:rsidRPr="006B2337">
        <w:rPr>
          <w:rFonts w:cs="Arial"/>
          <w:color w:val="000000"/>
          <w:szCs w:val="24"/>
        </w:rPr>
        <w:t xml:space="preserve"> condition.</w:t>
      </w:r>
    </w:p>
    <w:p w:rsidR="008C3223" w:rsidRPr="001F29F9" w:rsidRDefault="008C3223" w:rsidP="008C3223">
      <w:pPr>
        <w:jc w:val="both"/>
        <w:rPr>
          <w:color w:val="000000"/>
          <w:szCs w:val="24"/>
        </w:rPr>
      </w:pPr>
    </w:p>
    <w:p w:rsidR="00EC337D" w:rsidRPr="001F29F9" w:rsidRDefault="00EC337D" w:rsidP="00250A54">
      <w:pPr>
        <w:jc w:val="both"/>
        <w:rPr>
          <w:color w:val="000000"/>
          <w:szCs w:val="24"/>
        </w:rPr>
      </w:pPr>
      <w:proofErr w:type="gramStart"/>
      <w:r w:rsidRPr="001F29F9">
        <w:rPr>
          <w:rFonts w:eastAsia="HiddenHorzOCR"/>
          <w:color w:val="000000"/>
          <w:szCs w:val="24"/>
          <w:u w:val="single"/>
        </w:rPr>
        <w:t>Other Contended Conditions</w:t>
      </w:r>
      <w:r w:rsidRPr="001F29F9">
        <w:rPr>
          <w:rFonts w:eastAsia="HiddenHorzOCR"/>
          <w:color w:val="000000"/>
          <w:szCs w:val="24"/>
        </w:rPr>
        <w:t>.</w:t>
      </w:r>
      <w:proofErr w:type="gramEnd"/>
      <w:r w:rsidRPr="001F29F9">
        <w:rPr>
          <w:rFonts w:eastAsia="HiddenHorzOCR"/>
          <w:color w:val="000000"/>
          <w:szCs w:val="24"/>
        </w:rPr>
        <w:t xml:space="preserve">  The CI’s application asserts that compensable ratings should be considered for </w:t>
      </w:r>
      <w:r w:rsidR="00250A54" w:rsidRPr="0020438D">
        <w:rPr>
          <w:rFonts w:eastAsia="HiddenHorzOCR"/>
          <w:color w:val="000000"/>
          <w:szCs w:val="24"/>
        </w:rPr>
        <w:t xml:space="preserve">migraines, </w:t>
      </w:r>
      <w:r w:rsidR="00F828C9" w:rsidRPr="0020438D">
        <w:rPr>
          <w:rFonts w:eastAsia="HiddenHorzOCR"/>
          <w:color w:val="000000"/>
          <w:szCs w:val="24"/>
        </w:rPr>
        <w:t>groin condition and right hip</w:t>
      </w:r>
      <w:r w:rsidR="00250A54" w:rsidRPr="0020438D">
        <w:rPr>
          <w:rFonts w:eastAsia="HiddenHorzOCR"/>
          <w:color w:val="000000"/>
          <w:szCs w:val="24"/>
        </w:rPr>
        <w:t>, wrists and shoulders</w:t>
      </w:r>
      <w:r w:rsidR="00F828C9">
        <w:rPr>
          <w:rFonts w:eastAsia="HiddenHorzOCR"/>
          <w:color w:val="000000"/>
          <w:szCs w:val="24"/>
        </w:rPr>
        <w:t>, tinnitus</w:t>
      </w:r>
      <w:r w:rsidR="009002DE">
        <w:rPr>
          <w:rFonts w:eastAsia="HiddenHorzOCR"/>
          <w:color w:val="000000"/>
          <w:szCs w:val="24"/>
        </w:rPr>
        <w:t xml:space="preserve"> with impaired hearing,</w:t>
      </w:r>
      <w:r w:rsidR="00F828C9">
        <w:rPr>
          <w:rFonts w:eastAsia="HiddenHorzOCR"/>
          <w:color w:val="000000"/>
          <w:szCs w:val="24"/>
        </w:rPr>
        <w:t xml:space="preserve"> and </w:t>
      </w:r>
      <w:proofErr w:type="spellStart"/>
      <w:r w:rsidR="00F828C9">
        <w:rPr>
          <w:rFonts w:eastAsia="HiddenHorzOCR"/>
          <w:color w:val="000000"/>
          <w:szCs w:val="24"/>
        </w:rPr>
        <w:t>ulnar</w:t>
      </w:r>
      <w:proofErr w:type="spellEnd"/>
      <w:r w:rsidR="00F828C9">
        <w:rPr>
          <w:rFonts w:eastAsia="HiddenHorzOCR"/>
          <w:color w:val="000000"/>
          <w:szCs w:val="24"/>
        </w:rPr>
        <w:t xml:space="preserve"> neuropathy</w:t>
      </w:r>
      <w:r w:rsidR="00250A54">
        <w:rPr>
          <w:rFonts w:eastAsia="HiddenHorzOCR"/>
          <w:color w:val="000000"/>
          <w:szCs w:val="24"/>
        </w:rPr>
        <w:t>.</w:t>
      </w:r>
      <w:r w:rsidRPr="001F29F9">
        <w:rPr>
          <w:rFonts w:eastAsia="HiddenHorzOCR"/>
          <w:color w:val="000000"/>
          <w:szCs w:val="24"/>
        </w:rPr>
        <w:t xml:space="preserve">  All</w:t>
      </w:r>
      <w:r w:rsidRPr="0020438D">
        <w:rPr>
          <w:rFonts w:eastAsia="HiddenHorzOCR"/>
          <w:color w:val="000000"/>
          <w:szCs w:val="24"/>
        </w:rPr>
        <w:t xml:space="preserve"> of these</w:t>
      </w:r>
      <w:r w:rsidRPr="001F29F9">
        <w:rPr>
          <w:color w:val="000000"/>
          <w:szCs w:val="24"/>
        </w:rPr>
        <w:t xml:space="preserve"> conditions were reviewed by the </w:t>
      </w:r>
      <w:r w:rsidR="0080588E" w:rsidRPr="001F29F9">
        <w:rPr>
          <w:color w:val="000000"/>
          <w:szCs w:val="24"/>
        </w:rPr>
        <w:t xml:space="preserve">action officer </w:t>
      </w:r>
      <w:r w:rsidRPr="001F29F9">
        <w:rPr>
          <w:color w:val="000000"/>
          <w:szCs w:val="24"/>
        </w:rPr>
        <w:t>and considered by the Board.  There was no evidence for concluding that any of the conditions interfered with duty performance to a degree that could be argued as unfitting.  The Board determined therefore that none of the sta</w:t>
      </w:r>
      <w:r w:rsidR="0028261C" w:rsidRPr="001F29F9">
        <w:rPr>
          <w:color w:val="000000"/>
          <w:szCs w:val="24"/>
        </w:rPr>
        <w:t>ted conditions were subject to s</w:t>
      </w:r>
      <w:r w:rsidRPr="001F29F9">
        <w:rPr>
          <w:color w:val="000000"/>
          <w:szCs w:val="24"/>
        </w:rPr>
        <w:t>ervice disability rating.</w:t>
      </w:r>
    </w:p>
    <w:p w:rsidR="00054867" w:rsidRDefault="00054867" w:rsidP="00A02AA8">
      <w:pPr>
        <w:jc w:val="both"/>
        <w:rPr>
          <w:color w:val="000000"/>
          <w:szCs w:val="24"/>
          <w:u w:val="single"/>
        </w:rPr>
      </w:pPr>
    </w:p>
    <w:p w:rsidR="007C3E5A" w:rsidRPr="001F29F9" w:rsidRDefault="003C5B54" w:rsidP="003C247E">
      <w:pPr>
        <w:jc w:val="both"/>
        <w:rPr>
          <w:color w:val="000000"/>
          <w:szCs w:val="24"/>
        </w:rPr>
      </w:pPr>
      <w:proofErr w:type="gramStart"/>
      <w:r w:rsidRPr="001F29F9">
        <w:rPr>
          <w:color w:val="000000"/>
          <w:szCs w:val="24"/>
          <w:u w:val="single"/>
        </w:rPr>
        <w:t>Remaining Conditions.</w:t>
      </w:r>
      <w:proofErr w:type="gramEnd"/>
      <w:r w:rsidRPr="001F29F9">
        <w:rPr>
          <w:color w:val="000000"/>
          <w:szCs w:val="24"/>
        </w:rPr>
        <w:t xml:space="preserve">  </w:t>
      </w:r>
      <w:r w:rsidR="00A02AA8" w:rsidRPr="001F29F9">
        <w:rPr>
          <w:color w:val="000000"/>
          <w:szCs w:val="24"/>
        </w:rPr>
        <w:t>Other conditions identified in the DES file were</w:t>
      </w:r>
      <w:r w:rsidR="00B534E1">
        <w:rPr>
          <w:color w:val="000000"/>
          <w:szCs w:val="24"/>
        </w:rPr>
        <w:t xml:space="preserve"> </w:t>
      </w:r>
      <w:r w:rsidR="008A40D5" w:rsidRPr="0020438D">
        <w:rPr>
          <w:color w:val="000000"/>
          <w:szCs w:val="24"/>
        </w:rPr>
        <w:t>f</w:t>
      </w:r>
      <w:r w:rsidR="00E75975" w:rsidRPr="0020438D">
        <w:rPr>
          <w:color w:val="000000"/>
          <w:szCs w:val="24"/>
        </w:rPr>
        <w:t>oot</w:t>
      </w:r>
      <w:r w:rsidR="00F828C9" w:rsidRPr="0020438D">
        <w:rPr>
          <w:color w:val="000000"/>
          <w:szCs w:val="24"/>
        </w:rPr>
        <w:t xml:space="preserve"> issues</w:t>
      </w:r>
      <w:r w:rsidR="008A40D5" w:rsidRPr="0020438D">
        <w:rPr>
          <w:color w:val="000000"/>
          <w:szCs w:val="24"/>
        </w:rPr>
        <w:t xml:space="preserve">, trouble sleeping and </w:t>
      </w:r>
      <w:r w:rsidR="00F828C9">
        <w:rPr>
          <w:color w:val="000000"/>
          <w:szCs w:val="24"/>
        </w:rPr>
        <w:t>headaches</w:t>
      </w:r>
      <w:r w:rsidR="00A02AA8" w:rsidRPr="008A40D5">
        <w:rPr>
          <w:color w:val="000000"/>
          <w:szCs w:val="24"/>
        </w:rPr>
        <w:t>.  Several</w:t>
      </w:r>
      <w:r w:rsidR="00A02AA8" w:rsidRPr="001F29F9">
        <w:rPr>
          <w:color w:val="000000"/>
          <w:szCs w:val="24"/>
        </w:rPr>
        <w:t xml:space="preserve"> additional non-acute conditions or medical complaints were also documented.  </w:t>
      </w:r>
      <w:r w:rsidR="00A02AA8" w:rsidRPr="0020438D">
        <w:rPr>
          <w:color w:val="000000"/>
          <w:szCs w:val="24"/>
        </w:rPr>
        <w:t>None of the</w:t>
      </w:r>
      <w:r w:rsidR="00F828C9" w:rsidRPr="0020438D">
        <w:rPr>
          <w:color w:val="000000"/>
          <w:szCs w:val="24"/>
        </w:rPr>
        <w:t xml:space="preserve">se conditions were </w:t>
      </w:r>
      <w:r w:rsidR="00A02AA8" w:rsidRPr="0020438D">
        <w:rPr>
          <w:color w:val="000000"/>
          <w:szCs w:val="24"/>
        </w:rPr>
        <w:t xml:space="preserve">clinically or occupationally </w:t>
      </w:r>
      <w:r w:rsidR="00F828C9" w:rsidRPr="0020438D">
        <w:rPr>
          <w:color w:val="000000"/>
          <w:szCs w:val="24"/>
        </w:rPr>
        <w:t xml:space="preserve">significant </w:t>
      </w:r>
      <w:r w:rsidR="00A02AA8" w:rsidRPr="0020438D">
        <w:rPr>
          <w:color w:val="000000"/>
          <w:szCs w:val="24"/>
        </w:rPr>
        <w:t>during the MEB period</w:t>
      </w:r>
      <w:r w:rsidR="0080588E" w:rsidRPr="0020438D">
        <w:rPr>
          <w:color w:val="000000"/>
          <w:szCs w:val="24"/>
        </w:rPr>
        <w:t>,</w:t>
      </w:r>
      <w:r w:rsidR="00A02AA8" w:rsidRPr="0020438D">
        <w:rPr>
          <w:color w:val="000000"/>
          <w:szCs w:val="24"/>
        </w:rPr>
        <w:t xml:space="preserve"> none carried attached profiles</w:t>
      </w:r>
      <w:r w:rsidR="009002DE" w:rsidRPr="0020438D">
        <w:rPr>
          <w:color w:val="000000"/>
          <w:szCs w:val="24"/>
        </w:rPr>
        <w:t xml:space="preserve"> at the time of separation</w:t>
      </w:r>
      <w:r w:rsidR="0080588E" w:rsidRPr="0020438D">
        <w:rPr>
          <w:color w:val="000000"/>
          <w:szCs w:val="24"/>
        </w:rPr>
        <w:t>,</w:t>
      </w:r>
      <w:r w:rsidR="00A02AA8" w:rsidRPr="0020438D">
        <w:rPr>
          <w:color w:val="000000"/>
          <w:szCs w:val="24"/>
        </w:rPr>
        <w:t xml:space="preserve"> and none were implicated in the </w:t>
      </w:r>
      <w:r w:rsidR="0080588E" w:rsidRPr="0020438D">
        <w:rPr>
          <w:color w:val="000000"/>
          <w:szCs w:val="24"/>
        </w:rPr>
        <w:t>c</w:t>
      </w:r>
      <w:r w:rsidR="00A02AA8" w:rsidRPr="0020438D">
        <w:rPr>
          <w:color w:val="000000"/>
          <w:szCs w:val="24"/>
        </w:rPr>
        <w:t>ommander’s statement</w:t>
      </w:r>
      <w:r w:rsidR="00A02AA8" w:rsidRPr="001F29F9">
        <w:rPr>
          <w:color w:val="000000"/>
          <w:szCs w:val="24"/>
        </w:rPr>
        <w:t xml:space="preserve">.  These conditions were reviewed by the </w:t>
      </w:r>
      <w:r w:rsidR="0080588E" w:rsidRPr="001F29F9">
        <w:rPr>
          <w:color w:val="000000"/>
          <w:szCs w:val="24"/>
        </w:rPr>
        <w:t xml:space="preserve">action officer </w:t>
      </w:r>
      <w:r w:rsidR="00A02AA8" w:rsidRPr="001F29F9">
        <w:rPr>
          <w:color w:val="000000"/>
          <w:szCs w:val="24"/>
        </w:rPr>
        <w:t xml:space="preserve">and considered by the Board.  It was determined that none could be argued as unfitting and subject to separation rating.  </w:t>
      </w:r>
      <w:r w:rsidR="007A0DFF">
        <w:rPr>
          <w:color w:val="000000"/>
          <w:szCs w:val="24"/>
        </w:rPr>
        <w:t>No additional service-</w:t>
      </w:r>
      <w:r w:rsidR="009002DE">
        <w:rPr>
          <w:color w:val="000000"/>
          <w:szCs w:val="24"/>
        </w:rPr>
        <w:t xml:space="preserve">connected conditions </w:t>
      </w:r>
      <w:r w:rsidR="00A02AA8" w:rsidRPr="001F29F9">
        <w:rPr>
          <w:color w:val="000000"/>
          <w:szCs w:val="24"/>
        </w:rPr>
        <w:t xml:space="preserve">were noted in the VA </w:t>
      </w:r>
      <w:r w:rsidR="007A0DFF">
        <w:rPr>
          <w:color w:val="000000"/>
          <w:szCs w:val="24"/>
        </w:rPr>
        <w:t xml:space="preserve">records </w:t>
      </w:r>
      <w:r w:rsidR="00A02AA8" w:rsidRPr="001F29F9">
        <w:rPr>
          <w:color w:val="000000"/>
          <w:szCs w:val="24"/>
        </w:rPr>
        <w:t>proximal to separation</w:t>
      </w:r>
      <w:r w:rsidR="009002DE">
        <w:rPr>
          <w:color w:val="000000"/>
          <w:szCs w:val="24"/>
        </w:rPr>
        <w:t xml:space="preserve">. </w:t>
      </w:r>
      <w:r w:rsidR="00A02AA8" w:rsidRPr="001F29F9">
        <w:rPr>
          <w:color w:val="000000"/>
          <w:szCs w:val="24"/>
        </w:rPr>
        <w:t xml:space="preserve"> The Board therefore has no reasonable basis for recommending any additional unfitting conditions for separation rating.</w:t>
      </w:r>
      <w:r w:rsidR="009002DE">
        <w:rPr>
          <w:color w:val="000000"/>
          <w:szCs w:val="24"/>
        </w:rPr>
        <w:t xml:space="preserve">  </w:t>
      </w:r>
    </w:p>
    <w:p w:rsidR="001031F4" w:rsidRPr="001F29F9" w:rsidRDefault="001031F4" w:rsidP="00BF0E94">
      <w:pPr>
        <w:pBdr>
          <w:bottom w:val="single" w:sz="12" w:space="1" w:color="auto"/>
        </w:pBdr>
        <w:tabs>
          <w:tab w:val="left" w:pos="288"/>
          <w:tab w:val="left" w:pos="4752"/>
        </w:tabs>
        <w:jc w:val="both"/>
        <w:rPr>
          <w:color w:val="000000"/>
        </w:rPr>
      </w:pPr>
    </w:p>
    <w:p w:rsidR="00F1737C" w:rsidRPr="001F29F9" w:rsidRDefault="00F1737C" w:rsidP="006364ED">
      <w:pPr>
        <w:jc w:val="left"/>
        <w:rPr>
          <w:color w:val="000000"/>
          <w:szCs w:val="24"/>
        </w:rPr>
      </w:pPr>
    </w:p>
    <w:p w:rsidR="009002DE" w:rsidRDefault="00C56FC8" w:rsidP="0020438D">
      <w:pPr>
        <w:jc w:val="both"/>
        <w:rPr>
          <w:rFonts w:eastAsia="Calibri"/>
          <w:color w:val="000000"/>
          <w:szCs w:val="24"/>
        </w:rPr>
      </w:pPr>
      <w:r w:rsidRPr="001F29F9">
        <w:rPr>
          <w:color w:val="000000"/>
          <w:szCs w:val="24"/>
          <w:u w:val="single"/>
        </w:rPr>
        <w:t>BOARD FINDINGS</w:t>
      </w:r>
      <w:r w:rsidRPr="001F29F9">
        <w:rPr>
          <w:color w:val="000000"/>
          <w:szCs w:val="24"/>
        </w:rPr>
        <w:t>:</w:t>
      </w:r>
      <w:r w:rsidRPr="001F29F9">
        <w:rPr>
          <w:rFonts w:eastAsia="Calibri"/>
          <w:color w:val="000000"/>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002DE">
        <w:rPr>
          <w:rFonts w:eastAsia="Calibri"/>
          <w:color w:val="000000"/>
          <w:szCs w:val="24"/>
        </w:rPr>
        <w:t xml:space="preserve">  </w:t>
      </w:r>
      <w:r w:rsidR="009002DE" w:rsidRPr="0020438D">
        <w:rPr>
          <w:rFonts w:eastAsia="Calibri"/>
          <w:color w:val="000000"/>
          <w:szCs w:val="24"/>
        </w:rPr>
        <w:t xml:space="preserve">In the matter of the right knee pain condition, the Board unanimously recommends no change from the PEB adjudication.  In the matter of the migraines, groin condition and right hip, wrists and </w:t>
      </w:r>
      <w:r w:rsidR="009002DE" w:rsidRPr="0020438D">
        <w:rPr>
          <w:rFonts w:eastAsia="Calibri"/>
          <w:color w:val="000000"/>
          <w:szCs w:val="24"/>
        </w:rPr>
        <w:lastRenderedPageBreak/>
        <w:t xml:space="preserve">shoulders, tinnitus with impaired hearing, and </w:t>
      </w:r>
      <w:proofErr w:type="spellStart"/>
      <w:r w:rsidR="009002DE" w:rsidRPr="0020438D">
        <w:rPr>
          <w:rFonts w:eastAsia="Calibri"/>
          <w:color w:val="000000"/>
          <w:szCs w:val="24"/>
        </w:rPr>
        <w:t>ulnar</w:t>
      </w:r>
      <w:proofErr w:type="spellEnd"/>
      <w:r w:rsidR="009002DE" w:rsidRPr="0020438D">
        <w:rPr>
          <w:rFonts w:eastAsia="Calibri"/>
          <w:color w:val="000000"/>
          <w:szCs w:val="24"/>
        </w:rPr>
        <w:t xml:space="preserve"> neuropathy or any</w:t>
      </w:r>
      <w:r w:rsidR="009002DE">
        <w:rPr>
          <w:rFonts w:cs="Arial"/>
          <w:color w:val="000000"/>
        </w:rPr>
        <w:t xml:space="preserve"> other condition eligible for Board consideration</w:t>
      </w:r>
      <w:r w:rsidR="009002DE" w:rsidRPr="00E3004D">
        <w:rPr>
          <w:rFonts w:cs="Arial"/>
          <w:color w:val="auto"/>
        </w:rPr>
        <w:t xml:space="preserve">, </w:t>
      </w:r>
      <w:r w:rsidR="009002DE" w:rsidRPr="00E3004D">
        <w:rPr>
          <w:color w:val="auto"/>
          <w:szCs w:val="24"/>
        </w:rPr>
        <w:t>the Board unanimously agrees that it cannot recommend any findings of unfit for additional rating at separation.</w:t>
      </w:r>
      <w:r w:rsidR="009002DE">
        <w:rPr>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rPr>
      </w:pPr>
    </w:p>
    <w:p w:rsidR="00F1737C" w:rsidRDefault="00F1737C" w:rsidP="006364ED">
      <w:pPr>
        <w:jc w:val="left"/>
        <w:rPr>
          <w:color w:val="000000"/>
          <w:szCs w:val="24"/>
        </w:rPr>
      </w:pPr>
    </w:p>
    <w:p w:rsidR="0020438D" w:rsidRDefault="0020438D" w:rsidP="006364ED">
      <w:pPr>
        <w:jc w:val="left"/>
        <w:rPr>
          <w:color w:val="000000"/>
          <w:szCs w:val="24"/>
        </w:rPr>
      </w:pPr>
    </w:p>
    <w:p w:rsidR="0020438D" w:rsidRPr="001F29F9" w:rsidRDefault="0020438D" w:rsidP="006364ED">
      <w:pPr>
        <w:jc w:val="left"/>
        <w:rPr>
          <w:color w:val="000000"/>
          <w:szCs w:val="24"/>
        </w:rPr>
      </w:pPr>
    </w:p>
    <w:p w:rsidR="006B4AA2" w:rsidRPr="001F29F9" w:rsidRDefault="00C56FC8" w:rsidP="009002DE">
      <w:pPr>
        <w:jc w:val="left"/>
        <w:rPr>
          <w:color w:val="000000"/>
          <w:szCs w:val="24"/>
        </w:rPr>
      </w:pPr>
      <w:r w:rsidRPr="001F29F9">
        <w:rPr>
          <w:color w:val="000000"/>
          <w:szCs w:val="24"/>
          <w:u w:val="single"/>
        </w:rPr>
        <w:t>RECOMMENDATION</w:t>
      </w:r>
      <w:r w:rsidRPr="001F29F9">
        <w:rPr>
          <w:color w:val="000000"/>
          <w:szCs w:val="24"/>
        </w:rPr>
        <w:t xml:space="preserve">: </w:t>
      </w:r>
      <w:r w:rsidR="00E53460" w:rsidRPr="001F29F9">
        <w:rPr>
          <w:color w:val="000000"/>
          <w:szCs w:val="24"/>
        </w:rPr>
        <w:t xml:space="preserve"> </w:t>
      </w:r>
      <w:r w:rsidRPr="001F29F9">
        <w:rPr>
          <w:color w:val="000000"/>
          <w:szCs w:val="24"/>
        </w:rPr>
        <w:t>The Board</w:t>
      </w:r>
      <w:r w:rsidR="006A543A" w:rsidRPr="001F29F9">
        <w:rPr>
          <w:color w:val="000000"/>
          <w:szCs w:val="24"/>
        </w:rPr>
        <w:t>,</w:t>
      </w:r>
      <w:r w:rsidRPr="001F29F9">
        <w:rPr>
          <w:color w:val="000000"/>
          <w:szCs w:val="24"/>
        </w:rPr>
        <w:t xml:space="preserve"> therefore</w:t>
      </w:r>
      <w:r w:rsidR="006A543A" w:rsidRPr="001F29F9">
        <w:rPr>
          <w:color w:val="000000"/>
          <w:szCs w:val="24"/>
        </w:rPr>
        <w:t>,</w:t>
      </w:r>
      <w:r w:rsidRPr="001F29F9">
        <w:rPr>
          <w:color w:val="000000"/>
          <w:szCs w:val="24"/>
        </w:rPr>
        <w:t xml:space="preserve"> recommends that there be no </w:t>
      </w:r>
      <w:proofErr w:type="spellStart"/>
      <w:r w:rsidRPr="001F29F9">
        <w:rPr>
          <w:color w:val="000000"/>
          <w:szCs w:val="24"/>
        </w:rPr>
        <w:t>recharacterization</w:t>
      </w:r>
      <w:proofErr w:type="spellEnd"/>
      <w:r w:rsidRPr="001F29F9">
        <w:rPr>
          <w:color w:val="000000"/>
          <w:szCs w:val="24"/>
        </w:rPr>
        <w:t xml:space="preserve"> of the CI’s disability and separation determination</w:t>
      </w:r>
      <w:r w:rsidR="008C3FD0" w:rsidRPr="001F29F9">
        <w:rPr>
          <w:color w:val="000000"/>
          <w:szCs w:val="24"/>
        </w:rPr>
        <w:t>,</w:t>
      </w:r>
      <w:r w:rsidR="00BD2A49" w:rsidRPr="001F29F9">
        <w:rPr>
          <w:color w:val="000000"/>
          <w:szCs w:val="24"/>
        </w:rPr>
        <w:t xml:space="preserve"> as follows:</w:t>
      </w:r>
      <w:r w:rsidR="003604A5" w:rsidRPr="001F29F9">
        <w:rPr>
          <w:color w:val="000000"/>
          <w:szCs w:val="24"/>
        </w:rPr>
        <w:t xml:space="preserve"> </w:t>
      </w:r>
    </w:p>
    <w:p w:rsidR="00BA6A9C" w:rsidRPr="001F29F9" w:rsidRDefault="00BA6A9C" w:rsidP="00BF0E94">
      <w:pPr>
        <w:tabs>
          <w:tab w:val="left" w:pos="288"/>
          <w:tab w:val="left" w:pos="4752"/>
        </w:tabs>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3B5F80" w:rsidTr="0080588E">
        <w:trPr>
          <w:trHeight w:val="233"/>
          <w:jc w:val="center"/>
        </w:trPr>
        <w:tc>
          <w:tcPr>
            <w:tcW w:w="6282" w:type="dxa"/>
            <w:shd w:val="clear" w:color="auto" w:fill="D9D9D9"/>
            <w:vAlign w:val="center"/>
          </w:tcPr>
          <w:p w:rsidR="00A95BBA" w:rsidRPr="003B5F80" w:rsidRDefault="00A95BBA" w:rsidP="00BF0E94">
            <w:pPr>
              <w:tabs>
                <w:tab w:val="left" w:pos="288"/>
                <w:tab w:val="left" w:pos="4752"/>
              </w:tabs>
              <w:rPr>
                <w:b/>
                <w:color w:val="000000"/>
                <w:szCs w:val="24"/>
              </w:rPr>
            </w:pPr>
            <w:r w:rsidRPr="003B5F80">
              <w:rPr>
                <w:b/>
                <w:color w:val="000000"/>
                <w:szCs w:val="24"/>
              </w:rPr>
              <w:t>UNFITTING CONDITION</w:t>
            </w:r>
          </w:p>
        </w:tc>
        <w:tc>
          <w:tcPr>
            <w:tcW w:w="1710" w:type="dxa"/>
            <w:shd w:val="clear" w:color="auto" w:fill="D9D9D9"/>
            <w:vAlign w:val="center"/>
          </w:tcPr>
          <w:p w:rsidR="00A95BBA" w:rsidRPr="003B5F80" w:rsidRDefault="00A95BBA" w:rsidP="00BF0E94">
            <w:pPr>
              <w:tabs>
                <w:tab w:val="left" w:pos="288"/>
                <w:tab w:val="left" w:pos="4752"/>
              </w:tabs>
              <w:rPr>
                <w:b/>
                <w:color w:val="000000"/>
                <w:szCs w:val="24"/>
              </w:rPr>
            </w:pPr>
            <w:r w:rsidRPr="003B5F80">
              <w:rPr>
                <w:b/>
                <w:color w:val="000000"/>
                <w:szCs w:val="24"/>
              </w:rPr>
              <w:t>VASRD CODE</w:t>
            </w:r>
          </w:p>
        </w:tc>
        <w:tc>
          <w:tcPr>
            <w:tcW w:w="1170" w:type="dxa"/>
            <w:shd w:val="clear" w:color="auto" w:fill="D9D9D9"/>
            <w:vAlign w:val="center"/>
          </w:tcPr>
          <w:p w:rsidR="00A95BBA" w:rsidRPr="003B5F80" w:rsidRDefault="00A95BBA" w:rsidP="00BF0E94">
            <w:pPr>
              <w:tabs>
                <w:tab w:val="left" w:pos="288"/>
                <w:tab w:val="left" w:pos="4752"/>
              </w:tabs>
              <w:rPr>
                <w:b/>
                <w:color w:val="000000"/>
                <w:szCs w:val="24"/>
              </w:rPr>
            </w:pPr>
            <w:r w:rsidRPr="003B5F80">
              <w:rPr>
                <w:b/>
                <w:color w:val="000000"/>
                <w:szCs w:val="24"/>
              </w:rPr>
              <w:t>RATING</w:t>
            </w:r>
          </w:p>
        </w:tc>
      </w:tr>
      <w:tr w:rsidR="008C6D32" w:rsidRPr="003B5F80" w:rsidTr="0080588E">
        <w:trPr>
          <w:jc w:val="center"/>
        </w:trPr>
        <w:tc>
          <w:tcPr>
            <w:tcW w:w="6282" w:type="dxa"/>
            <w:vAlign w:val="center"/>
          </w:tcPr>
          <w:p w:rsidR="008C6D32" w:rsidRPr="008C6D32" w:rsidRDefault="008C6D32" w:rsidP="008C6D32">
            <w:pPr>
              <w:contextualSpacing/>
              <w:jc w:val="left"/>
              <w:rPr>
                <w:color w:val="000000"/>
                <w:szCs w:val="18"/>
              </w:rPr>
            </w:pPr>
            <w:r w:rsidRPr="008C6D32">
              <w:rPr>
                <w:rFonts w:eastAsia="Calibri"/>
                <w:bCs/>
                <w:color w:val="000000"/>
                <w:szCs w:val="18"/>
              </w:rPr>
              <w:t>Chronic Pain, Right Knee</w:t>
            </w:r>
          </w:p>
        </w:tc>
        <w:tc>
          <w:tcPr>
            <w:tcW w:w="1710" w:type="dxa"/>
            <w:vAlign w:val="center"/>
          </w:tcPr>
          <w:p w:rsidR="008C6D32" w:rsidRPr="008C6D32" w:rsidRDefault="008C6D32" w:rsidP="008C6D32">
            <w:pPr>
              <w:contextualSpacing/>
              <w:rPr>
                <w:color w:val="000000"/>
                <w:szCs w:val="18"/>
              </w:rPr>
            </w:pPr>
            <w:r w:rsidRPr="00E81357">
              <w:rPr>
                <w:rFonts w:eastAsia="Calibri"/>
                <w:color w:val="000000"/>
                <w:szCs w:val="18"/>
              </w:rPr>
              <w:t>5099-5003</w:t>
            </w:r>
          </w:p>
        </w:tc>
        <w:tc>
          <w:tcPr>
            <w:tcW w:w="1170" w:type="dxa"/>
            <w:vAlign w:val="center"/>
          </w:tcPr>
          <w:p w:rsidR="008C6D32" w:rsidRPr="008C6D32" w:rsidRDefault="008C6D32" w:rsidP="008C6D32">
            <w:pPr>
              <w:rPr>
                <w:color w:val="000000"/>
                <w:szCs w:val="18"/>
              </w:rPr>
            </w:pPr>
            <w:r w:rsidRPr="008C6D32">
              <w:rPr>
                <w:rFonts w:eastAsia="Calibri"/>
                <w:color w:val="000000"/>
                <w:szCs w:val="18"/>
              </w:rPr>
              <w:t>10%</w:t>
            </w:r>
          </w:p>
        </w:tc>
      </w:tr>
      <w:tr w:rsidR="00A95BBA" w:rsidRPr="003B5F80"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vAlign w:val="center"/>
          </w:tcPr>
          <w:p w:rsidR="00A95BBA" w:rsidRPr="003B5F80" w:rsidRDefault="00A95BBA" w:rsidP="00BF0E94">
            <w:pPr>
              <w:tabs>
                <w:tab w:val="left" w:pos="288"/>
                <w:tab w:val="left" w:pos="4752"/>
              </w:tabs>
              <w:rPr>
                <w:b/>
                <w:color w:val="000000"/>
                <w:szCs w:val="24"/>
              </w:rPr>
            </w:pPr>
            <w:r w:rsidRPr="003B5F80">
              <w:rPr>
                <w:b/>
                <w:color w:val="000000"/>
                <w:szCs w:val="24"/>
              </w:rPr>
              <w:t>COMBINED</w:t>
            </w:r>
          </w:p>
        </w:tc>
        <w:tc>
          <w:tcPr>
            <w:tcW w:w="1170" w:type="dxa"/>
            <w:tcBorders>
              <w:bottom w:val="single" w:sz="4" w:space="0" w:color="000000"/>
            </w:tcBorders>
            <w:shd w:val="clear" w:color="auto" w:fill="D9D9D9"/>
            <w:vAlign w:val="center"/>
          </w:tcPr>
          <w:p w:rsidR="00A95BBA" w:rsidRPr="003B5F80" w:rsidRDefault="008C6D32" w:rsidP="00BF0E94">
            <w:pPr>
              <w:tabs>
                <w:tab w:val="left" w:pos="288"/>
                <w:tab w:val="left" w:pos="4752"/>
              </w:tabs>
              <w:rPr>
                <w:b/>
                <w:color w:val="000000"/>
                <w:szCs w:val="24"/>
              </w:rPr>
            </w:pPr>
            <w:r w:rsidRPr="00E81357">
              <w:rPr>
                <w:b/>
                <w:color w:val="000000"/>
                <w:szCs w:val="24"/>
              </w:rPr>
              <w:t>1</w:t>
            </w:r>
            <w:r w:rsidR="00A95BBA" w:rsidRPr="00E81357">
              <w:rPr>
                <w:b/>
                <w:color w:val="000000"/>
                <w:szCs w:val="24"/>
              </w:rPr>
              <w:t>0</w:t>
            </w:r>
            <w:r w:rsidR="00A95BBA" w:rsidRPr="003B5F80">
              <w:rPr>
                <w:b/>
                <w:color w:val="000000"/>
                <w:szCs w:val="24"/>
              </w:rPr>
              <w:t>%</w:t>
            </w:r>
          </w:p>
        </w:tc>
      </w:tr>
    </w:tbl>
    <w:p w:rsidR="005B1D09" w:rsidRPr="001F29F9" w:rsidRDefault="005B1D09" w:rsidP="00BF0E94">
      <w:pPr>
        <w:pBdr>
          <w:bottom w:val="single" w:sz="12" w:space="1" w:color="auto"/>
        </w:pBdr>
        <w:tabs>
          <w:tab w:val="left" w:pos="288"/>
          <w:tab w:val="left" w:pos="4752"/>
        </w:tabs>
        <w:jc w:val="both"/>
        <w:rPr>
          <w:color w:val="000000"/>
        </w:rPr>
      </w:pPr>
    </w:p>
    <w:p w:rsidR="005B1D09" w:rsidRPr="001F29F9" w:rsidRDefault="005B1D09" w:rsidP="00BF0E94">
      <w:pPr>
        <w:rPr>
          <w:color w:val="000000"/>
          <w:szCs w:val="24"/>
        </w:rPr>
      </w:pPr>
    </w:p>
    <w:p w:rsidR="00D91DA6" w:rsidRPr="001F29F9" w:rsidRDefault="00FB1725" w:rsidP="007A0DFF">
      <w:pPr>
        <w:tabs>
          <w:tab w:val="left" w:pos="288"/>
          <w:tab w:val="left" w:pos="4752"/>
        </w:tabs>
        <w:jc w:val="both"/>
        <w:rPr>
          <w:color w:val="000000"/>
        </w:rPr>
      </w:pPr>
      <w:r w:rsidRPr="001F29F9">
        <w:rPr>
          <w:color w:val="000000"/>
        </w:rPr>
        <w:t>The following documentary evidence was considered:</w:t>
      </w:r>
    </w:p>
    <w:p w:rsidR="00EB5EFD" w:rsidRPr="001F29F9" w:rsidRDefault="00EB5EFD" w:rsidP="007A0DFF">
      <w:pPr>
        <w:tabs>
          <w:tab w:val="left" w:pos="288"/>
          <w:tab w:val="left" w:pos="4752"/>
        </w:tabs>
        <w:jc w:val="both"/>
        <w:rPr>
          <w:color w:val="000000"/>
        </w:rPr>
      </w:pPr>
    </w:p>
    <w:p w:rsidR="00114F20" w:rsidRPr="001F29F9" w:rsidRDefault="00FB1725" w:rsidP="007A0DFF">
      <w:pPr>
        <w:tabs>
          <w:tab w:val="left" w:pos="288"/>
          <w:tab w:val="left" w:pos="4752"/>
        </w:tabs>
        <w:jc w:val="both"/>
        <w:rPr>
          <w:color w:val="000000"/>
        </w:rPr>
      </w:pPr>
      <w:r w:rsidRPr="001F29F9">
        <w:rPr>
          <w:color w:val="000000"/>
        </w:rPr>
        <w:t xml:space="preserve">Exhibit A.  DD Form </w:t>
      </w:r>
      <w:proofErr w:type="gramStart"/>
      <w:r w:rsidRPr="001F29F9">
        <w:rPr>
          <w:color w:val="000000"/>
        </w:rPr>
        <w:t>294,</w:t>
      </w:r>
      <w:proofErr w:type="gramEnd"/>
      <w:r w:rsidRPr="001F29F9">
        <w:rPr>
          <w:color w:val="000000"/>
        </w:rPr>
        <w:t xml:space="preserve"> </w:t>
      </w:r>
      <w:r w:rsidRPr="001F29F9">
        <w:rPr>
          <w:color w:val="000000"/>
          <w:szCs w:val="24"/>
        </w:rPr>
        <w:t>dated 20</w:t>
      </w:r>
      <w:r w:rsidR="001215DF" w:rsidRPr="001F29F9">
        <w:rPr>
          <w:color w:val="000000"/>
          <w:szCs w:val="24"/>
        </w:rPr>
        <w:t>1</w:t>
      </w:r>
      <w:r w:rsidR="00335C7C">
        <w:rPr>
          <w:color w:val="000000"/>
          <w:szCs w:val="24"/>
        </w:rPr>
        <w:t>10831</w:t>
      </w:r>
      <w:r w:rsidRPr="001F29F9">
        <w:rPr>
          <w:color w:val="000000"/>
        </w:rPr>
        <w:t>, w/atchs.</w:t>
      </w:r>
    </w:p>
    <w:p w:rsidR="00114F20" w:rsidRPr="001F29F9" w:rsidRDefault="00FB1725" w:rsidP="007A0DFF">
      <w:pPr>
        <w:tabs>
          <w:tab w:val="left" w:pos="288"/>
          <w:tab w:val="left" w:pos="4752"/>
        </w:tabs>
        <w:jc w:val="both"/>
        <w:rPr>
          <w:color w:val="000000"/>
        </w:rPr>
      </w:pPr>
      <w:r w:rsidRPr="001F29F9">
        <w:rPr>
          <w:color w:val="000000"/>
        </w:rPr>
        <w:t xml:space="preserve">Exhibit B.  </w:t>
      </w:r>
      <w:proofErr w:type="gramStart"/>
      <w:r w:rsidRPr="001F29F9">
        <w:rPr>
          <w:color w:val="000000"/>
        </w:rPr>
        <w:t>Service Treatment Record.</w:t>
      </w:r>
      <w:proofErr w:type="gramEnd"/>
    </w:p>
    <w:p w:rsidR="00114F20" w:rsidRPr="001F29F9" w:rsidRDefault="00FB1725" w:rsidP="007A0DFF">
      <w:pPr>
        <w:tabs>
          <w:tab w:val="left" w:pos="288"/>
          <w:tab w:val="left" w:pos="4752"/>
        </w:tabs>
        <w:jc w:val="both"/>
        <w:rPr>
          <w:color w:val="000000"/>
        </w:rPr>
      </w:pPr>
      <w:r w:rsidRPr="001F29F9">
        <w:rPr>
          <w:color w:val="000000"/>
        </w:rPr>
        <w:t xml:space="preserve">Exhibit C.  </w:t>
      </w:r>
      <w:proofErr w:type="gramStart"/>
      <w:r w:rsidRPr="001F29F9">
        <w:rPr>
          <w:color w:val="000000"/>
        </w:rPr>
        <w:t>Department of Veterans Affairs Treatment Record.</w:t>
      </w:r>
      <w:proofErr w:type="gramEnd"/>
    </w:p>
    <w:p w:rsidR="00D91DA6" w:rsidRPr="001F29F9" w:rsidRDefault="00D91DA6" w:rsidP="007A0DFF">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114F20" w:rsidRPr="001F29F9" w:rsidRDefault="00114F20" w:rsidP="00BF0E94">
      <w:pPr>
        <w:tabs>
          <w:tab w:val="left" w:pos="288"/>
          <w:tab w:val="left" w:pos="4752"/>
        </w:tabs>
        <w:jc w:val="both"/>
        <w:rPr>
          <w:color w:val="000000"/>
        </w:rPr>
      </w:pPr>
    </w:p>
    <w:p w:rsidR="00E3077F"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455922">
        <w:rPr>
          <w:color w:val="000000"/>
          <w:szCs w:val="24"/>
        </w:rPr>
        <w:t>XXXXXXXXXXXX</w:t>
      </w:r>
    </w:p>
    <w:p w:rsidR="002F195B" w:rsidRPr="001F29F9" w:rsidRDefault="00220FA9" w:rsidP="00BF0E9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5F73CA" w:rsidRPr="001F29F9">
        <w:rPr>
          <w:color w:val="000000"/>
          <w:szCs w:val="24"/>
        </w:rPr>
        <w:t>President</w:t>
      </w:r>
    </w:p>
    <w:p w:rsidR="00E3077F" w:rsidRDefault="002F195B" w:rsidP="00BF0E94">
      <w:pPr>
        <w:tabs>
          <w:tab w:val="left" w:pos="0"/>
          <w:tab w:val="left" w:pos="4320"/>
        </w:tabs>
        <w:jc w:val="both"/>
        <w:rPr>
          <w:color w:val="000000"/>
          <w:szCs w:val="24"/>
        </w:rPr>
      </w:pPr>
      <w:r w:rsidRPr="001F29F9">
        <w:rPr>
          <w:color w:val="000000"/>
          <w:szCs w:val="24"/>
        </w:rPr>
        <w:tab/>
        <w:t xml:space="preserve">           </w:t>
      </w:r>
      <w:r w:rsidR="00220FA9" w:rsidRPr="001F29F9">
        <w:rPr>
          <w:color w:val="000000"/>
          <w:szCs w:val="24"/>
        </w:rPr>
        <w:t>P</w:t>
      </w:r>
      <w:r w:rsidR="00E3077F" w:rsidRPr="001F29F9">
        <w:rPr>
          <w:color w:val="000000"/>
          <w:szCs w:val="24"/>
        </w:rPr>
        <w:t>hysical Disability Board of Review</w:t>
      </w:r>
    </w:p>
    <w:p w:rsidR="00455922" w:rsidRDefault="00455922">
      <w:pPr>
        <w:spacing w:line="240" w:lineRule="auto"/>
        <w:jc w:val="left"/>
        <w:rPr>
          <w:color w:val="000000"/>
          <w:szCs w:val="24"/>
        </w:rPr>
      </w:pPr>
      <w:r>
        <w:rPr>
          <w:color w:val="000000"/>
          <w:szCs w:val="24"/>
        </w:rPr>
        <w:br w:type="page"/>
      </w:r>
    </w:p>
    <w:p w:rsidR="00455922" w:rsidRDefault="00455922" w:rsidP="00455922">
      <w:pPr>
        <w:sectPr w:rsidR="00455922">
          <w:pgSz w:w="12240" w:h="15840"/>
          <w:pgMar w:top="2160" w:right="1440" w:bottom="1440" w:left="1440" w:header="720" w:footer="720" w:gutter="0"/>
          <w:cols w:space="720"/>
        </w:sectPr>
      </w:pPr>
    </w:p>
    <w:p w:rsidR="00455922" w:rsidRDefault="00455922" w:rsidP="00455922">
      <w:pPr>
        <w:pStyle w:val="Header"/>
        <w:tabs>
          <w:tab w:val="left" w:pos="720"/>
        </w:tabs>
        <w:jc w:val="left"/>
      </w:pPr>
      <w:r>
        <w:lastRenderedPageBreak/>
        <w:t>SFMR-RB</w:t>
      </w:r>
      <w:r>
        <w:tab/>
      </w:r>
      <w:r>
        <w:tab/>
      </w:r>
      <w:r>
        <w:tab/>
      </w:r>
      <w:r>
        <w:tab/>
      </w:r>
      <w:r>
        <w:tab/>
      </w:r>
      <w:r>
        <w:tab/>
      </w:r>
      <w:r>
        <w:tab/>
      </w:r>
      <w:r>
        <w:tab/>
      </w:r>
      <w:r>
        <w:tab/>
      </w:r>
    </w:p>
    <w:p w:rsidR="00455922" w:rsidRDefault="00455922" w:rsidP="00455922">
      <w:pPr>
        <w:pStyle w:val="Header"/>
        <w:tabs>
          <w:tab w:val="left" w:pos="720"/>
        </w:tabs>
        <w:jc w:val="left"/>
      </w:pPr>
    </w:p>
    <w:p w:rsidR="00455922" w:rsidRDefault="00455922" w:rsidP="00455922">
      <w:pPr>
        <w:jc w:val="left"/>
      </w:pPr>
    </w:p>
    <w:p w:rsidR="00455922" w:rsidRDefault="00455922" w:rsidP="00455922">
      <w:pPr>
        <w:jc w:val="left"/>
      </w:pPr>
      <w:r>
        <w:t xml:space="preserve">MEMORANDUM FOR Commander, US Army Physical Disability Agency </w:t>
      </w:r>
    </w:p>
    <w:p w:rsidR="00455922" w:rsidRDefault="00455922" w:rsidP="00455922">
      <w:pPr>
        <w:jc w:val="left"/>
      </w:pPr>
      <w:r>
        <w:t>(TAPD-ZB /), 2900 Crystal Drive, Suite 300, Arlington, VA  22202</w:t>
      </w:r>
    </w:p>
    <w:p w:rsidR="00455922" w:rsidRDefault="00455922" w:rsidP="00455922">
      <w:pPr>
        <w:jc w:val="left"/>
      </w:pPr>
    </w:p>
    <w:p w:rsidR="00455922" w:rsidRDefault="00455922" w:rsidP="00455922">
      <w:pPr>
        <w:ind w:right="-180"/>
        <w:jc w:val="left"/>
      </w:pPr>
      <w:r>
        <w:t>SUBJECT:  Department of Defense Physical Disability Board of Review Recommendation for XXXXXXXXXXX, AR20120007701 (PD201100776)</w:t>
      </w:r>
    </w:p>
    <w:p w:rsidR="00455922" w:rsidRDefault="00455922" w:rsidP="00455922">
      <w:pPr>
        <w:pStyle w:val="Header"/>
        <w:tabs>
          <w:tab w:val="left" w:pos="720"/>
        </w:tabs>
        <w:jc w:val="left"/>
      </w:pPr>
    </w:p>
    <w:p w:rsidR="00455922" w:rsidRDefault="00455922" w:rsidP="00455922">
      <w:pPr>
        <w:jc w:val="left"/>
      </w:pPr>
    </w:p>
    <w:p w:rsidR="00455922" w:rsidRDefault="00455922" w:rsidP="00455922">
      <w:pPr>
        <w:jc w:val="left"/>
      </w:pPr>
      <w: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455922" w:rsidRDefault="00455922" w:rsidP="00455922">
      <w:pPr>
        <w:jc w:val="left"/>
      </w:pPr>
      <w:r>
        <w:t>This decision is final.  The individual concerned, counsel (if any), and any Members of Congress who have shown interest in this application have been notified of this decision by mail.</w:t>
      </w:r>
    </w:p>
    <w:p w:rsidR="00455922" w:rsidRDefault="00455922" w:rsidP="00455922">
      <w:pPr>
        <w:jc w:val="left"/>
      </w:pPr>
    </w:p>
    <w:p w:rsidR="00455922" w:rsidRDefault="00455922" w:rsidP="00455922">
      <w:pPr>
        <w:jc w:val="left"/>
      </w:pPr>
      <w:r>
        <w:t xml:space="preserve"> BY ORDER OF THE SECRETARY OF THE ARMY:</w:t>
      </w:r>
    </w:p>
    <w:p w:rsidR="00455922" w:rsidRDefault="00455922" w:rsidP="00455922">
      <w:pPr>
        <w:jc w:val="left"/>
      </w:pPr>
    </w:p>
    <w:p w:rsidR="00455922" w:rsidRDefault="00455922" w:rsidP="00455922">
      <w:pPr>
        <w:jc w:val="left"/>
      </w:pPr>
    </w:p>
    <w:p w:rsidR="00455922" w:rsidRDefault="00455922" w:rsidP="00455922">
      <w:pPr>
        <w:pStyle w:val="Header"/>
        <w:tabs>
          <w:tab w:val="left" w:pos="720"/>
        </w:tabs>
        <w:jc w:val="left"/>
      </w:pPr>
    </w:p>
    <w:p w:rsidR="00455922" w:rsidRDefault="00455922" w:rsidP="00455922">
      <w:pPr>
        <w:jc w:val="left"/>
      </w:pPr>
    </w:p>
    <w:p w:rsidR="00455922" w:rsidRDefault="00455922" w:rsidP="00455922">
      <w:pPr>
        <w:jc w:val="left"/>
      </w:pPr>
      <w:bookmarkStart w:id="0" w:name="OLE_LINK4"/>
      <w:bookmarkStart w:id="1" w:name="OLE_LINK3"/>
      <w:r>
        <w:t>Encl</w:t>
      </w:r>
      <w:r>
        <w:tab/>
      </w:r>
      <w:r>
        <w:tab/>
      </w:r>
      <w:r>
        <w:tab/>
      </w:r>
      <w:r>
        <w:tab/>
      </w:r>
      <w:r>
        <w:tab/>
      </w:r>
      <w:r>
        <w:tab/>
        <w:t xml:space="preserve">     XXXXXXXXX</w:t>
      </w:r>
    </w:p>
    <w:p w:rsidR="00455922" w:rsidRDefault="00455922" w:rsidP="00455922">
      <w:pPr>
        <w:jc w:val="left"/>
      </w:pPr>
      <w:r>
        <w:tab/>
      </w:r>
      <w:r>
        <w:tab/>
      </w:r>
      <w:r>
        <w:tab/>
      </w:r>
      <w:r>
        <w:tab/>
      </w:r>
      <w:r>
        <w:tab/>
      </w:r>
      <w:r>
        <w:tab/>
        <w:t xml:space="preserve">     Deputy Assistant Secretary</w:t>
      </w:r>
    </w:p>
    <w:p w:rsidR="00455922" w:rsidRDefault="00455922" w:rsidP="00455922">
      <w:pPr>
        <w:jc w:val="left"/>
      </w:pPr>
      <w:r>
        <w:tab/>
      </w:r>
      <w:r>
        <w:tab/>
      </w:r>
      <w:r>
        <w:tab/>
      </w:r>
      <w:r>
        <w:tab/>
      </w:r>
      <w:r>
        <w:tab/>
      </w:r>
      <w:r>
        <w:tab/>
        <w:t xml:space="preserve">         (Army Review Boards)</w:t>
      </w:r>
      <w:bookmarkEnd w:id="0"/>
      <w:bookmarkEnd w:id="1"/>
    </w:p>
    <w:p w:rsidR="00455922" w:rsidRDefault="00455922" w:rsidP="00455922">
      <w:pPr>
        <w:jc w:val="left"/>
      </w:pPr>
    </w:p>
    <w:p w:rsidR="00455922" w:rsidRDefault="00455922" w:rsidP="00455922">
      <w:pPr>
        <w:jc w:val="left"/>
      </w:pPr>
      <w:r>
        <w:t xml:space="preserve">CF: </w:t>
      </w:r>
    </w:p>
    <w:p w:rsidR="00455922" w:rsidRDefault="00455922" w:rsidP="00455922">
      <w:pPr>
        <w:jc w:val="left"/>
      </w:pPr>
      <w:r>
        <w:t xml:space="preserve">(  ) </w:t>
      </w:r>
      <w:proofErr w:type="gramStart"/>
      <w:r>
        <w:t>DoD</w:t>
      </w:r>
      <w:proofErr w:type="gramEnd"/>
      <w:r>
        <w:t xml:space="preserve"> PDBR</w:t>
      </w:r>
    </w:p>
    <w:p w:rsidR="00455922" w:rsidRDefault="00455922" w:rsidP="00455922">
      <w:pPr>
        <w:jc w:val="left"/>
      </w:pPr>
      <w:r>
        <w:t>(  ) DVA</w:t>
      </w:r>
    </w:p>
    <w:p w:rsidR="00455922" w:rsidRDefault="00455922" w:rsidP="00455922">
      <w:pPr>
        <w:jc w:val="left"/>
      </w:pPr>
    </w:p>
    <w:p w:rsidR="0020438D" w:rsidRDefault="0020438D" w:rsidP="00455922">
      <w:pPr>
        <w:tabs>
          <w:tab w:val="left" w:pos="0"/>
          <w:tab w:val="left" w:pos="4320"/>
        </w:tabs>
        <w:jc w:val="left"/>
        <w:rPr>
          <w:color w:val="000000"/>
          <w:szCs w:val="24"/>
        </w:rPr>
      </w:pPr>
    </w:p>
    <w:sectPr w:rsidR="0020438D"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A10" w:rsidRDefault="009B1A10">
      <w:r>
        <w:separator/>
      </w:r>
    </w:p>
  </w:endnote>
  <w:endnote w:type="continuationSeparator" w:id="0">
    <w:p w:rsidR="009B1A10" w:rsidRDefault="009B1A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E7" w:rsidRPr="00374247" w:rsidRDefault="00D229E7" w:rsidP="00374247">
    <w:pPr>
      <w:pStyle w:val="Footer"/>
      <w:ind w:firstLine="4320"/>
      <w:rPr>
        <w:color w:val="auto"/>
        <w:szCs w:val="24"/>
      </w:rPr>
    </w:pPr>
    <w:r w:rsidRPr="00374247">
      <w:rPr>
        <w:color w:val="auto"/>
        <w:szCs w:val="24"/>
      </w:rPr>
      <w:t xml:space="preserve">   </w:t>
    </w:r>
    <w:r w:rsidR="002C0148" w:rsidRPr="00374247">
      <w:rPr>
        <w:color w:val="auto"/>
        <w:szCs w:val="24"/>
      </w:rPr>
      <w:fldChar w:fldCharType="begin"/>
    </w:r>
    <w:r w:rsidRPr="00374247">
      <w:rPr>
        <w:color w:val="auto"/>
        <w:szCs w:val="24"/>
      </w:rPr>
      <w:instrText xml:space="preserve"> PAGE   \* MERGEFORMAT </w:instrText>
    </w:r>
    <w:r w:rsidR="002C0148" w:rsidRPr="00374247">
      <w:rPr>
        <w:color w:val="auto"/>
        <w:szCs w:val="24"/>
      </w:rPr>
      <w:fldChar w:fldCharType="separate"/>
    </w:r>
    <w:r w:rsidR="00455922" w:rsidRPr="00455922">
      <w:rPr>
        <w:noProof/>
        <w:color w:val="auto"/>
      </w:rPr>
      <w:t>5</w:t>
    </w:r>
    <w:r w:rsidR="002C0148" w:rsidRPr="00374247">
      <w:rPr>
        <w:color w:val="auto"/>
        <w:szCs w:val="24"/>
      </w:rPr>
      <w:fldChar w:fldCharType="end"/>
    </w:r>
    <w:r w:rsidRPr="00374247">
      <w:rPr>
        <w:color w:val="auto"/>
        <w:szCs w:val="24"/>
      </w:rPr>
      <w:t xml:space="preserve">                                                           </w:t>
    </w:r>
    <w:r w:rsidRPr="006F1790">
      <w:rPr>
        <w:color w:val="auto"/>
        <w:szCs w:val="24"/>
      </w:rPr>
      <w:t>PD1100</w:t>
    </w:r>
    <w:r w:rsidR="006F1790" w:rsidRPr="006F1790">
      <w:rPr>
        <w:color w:val="auto"/>
        <w:szCs w:val="24"/>
      </w:rPr>
      <w:t>776</w:t>
    </w:r>
  </w:p>
  <w:p w:rsidR="00D229E7" w:rsidRPr="00684CE6" w:rsidRDefault="00D229E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A10" w:rsidRDefault="009B1A10">
      <w:r>
        <w:separator/>
      </w:r>
    </w:p>
  </w:footnote>
  <w:footnote w:type="continuationSeparator" w:id="0">
    <w:p w:rsidR="009B1A10" w:rsidRDefault="009B1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47223"/>
    <w:multiLevelType w:val="hybridMultilevel"/>
    <w:tmpl w:val="0406C9A0"/>
    <w:lvl w:ilvl="0" w:tplc="D58E529E">
      <w:start w:val="501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6"/>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rsids>
    <w:rsidRoot w:val="001C28D1"/>
    <w:rsid w:val="000005F5"/>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48C1"/>
    <w:rsid w:val="00035C3A"/>
    <w:rsid w:val="00036E4B"/>
    <w:rsid w:val="00037929"/>
    <w:rsid w:val="000379D0"/>
    <w:rsid w:val="00040FC4"/>
    <w:rsid w:val="000416F8"/>
    <w:rsid w:val="00042C26"/>
    <w:rsid w:val="00043382"/>
    <w:rsid w:val="00044623"/>
    <w:rsid w:val="000452D7"/>
    <w:rsid w:val="0005080D"/>
    <w:rsid w:val="00051622"/>
    <w:rsid w:val="00051A11"/>
    <w:rsid w:val="00052234"/>
    <w:rsid w:val="00053D7C"/>
    <w:rsid w:val="00054867"/>
    <w:rsid w:val="000575C5"/>
    <w:rsid w:val="000577C9"/>
    <w:rsid w:val="00060FFD"/>
    <w:rsid w:val="00061D69"/>
    <w:rsid w:val="0006431E"/>
    <w:rsid w:val="00064E92"/>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0DC8"/>
    <w:rsid w:val="00092619"/>
    <w:rsid w:val="00092C66"/>
    <w:rsid w:val="0009481B"/>
    <w:rsid w:val="000949DD"/>
    <w:rsid w:val="00094E4F"/>
    <w:rsid w:val="00095301"/>
    <w:rsid w:val="000A2BCE"/>
    <w:rsid w:val="000A31E2"/>
    <w:rsid w:val="000A33C8"/>
    <w:rsid w:val="000A41E3"/>
    <w:rsid w:val="000A4BBA"/>
    <w:rsid w:val="000A4E38"/>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2BA"/>
    <w:rsid w:val="000D43F9"/>
    <w:rsid w:val="000D4717"/>
    <w:rsid w:val="000D603E"/>
    <w:rsid w:val="000D6457"/>
    <w:rsid w:val="000D7D55"/>
    <w:rsid w:val="000E0993"/>
    <w:rsid w:val="000E2E50"/>
    <w:rsid w:val="000E37E0"/>
    <w:rsid w:val="000E3F20"/>
    <w:rsid w:val="000E4C25"/>
    <w:rsid w:val="000E4CBF"/>
    <w:rsid w:val="000E5577"/>
    <w:rsid w:val="000E7034"/>
    <w:rsid w:val="000F02BE"/>
    <w:rsid w:val="000F0928"/>
    <w:rsid w:val="000F0B3D"/>
    <w:rsid w:val="000F0CF0"/>
    <w:rsid w:val="000F1E65"/>
    <w:rsid w:val="000F427B"/>
    <w:rsid w:val="000F43D0"/>
    <w:rsid w:val="000F4F18"/>
    <w:rsid w:val="000F688E"/>
    <w:rsid w:val="000F7181"/>
    <w:rsid w:val="000F7581"/>
    <w:rsid w:val="001007CE"/>
    <w:rsid w:val="001008C1"/>
    <w:rsid w:val="001023DB"/>
    <w:rsid w:val="00102B8D"/>
    <w:rsid w:val="001031F4"/>
    <w:rsid w:val="001034F8"/>
    <w:rsid w:val="00103948"/>
    <w:rsid w:val="00103CCF"/>
    <w:rsid w:val="0010417F"/>
    <w:rsid w:val="001042D2"/>
    <w:rsid w:val="0010530E"/>
    <w:rsid w:val="00105C07"/>
    <w:rsid w:val="00106920"/>
    <w:rsid w:val="00106AD8"/>
    <w:rsid w:val="001078DB"/>
    <w:rsid w:val="001079FA"/>
    <w:rsid w:val="00107EC5"/>
    <w:rsid w:val="001103CD"/>
    <w:rsid w:val="00113D2A"/>
    <w:rsid w:val="00114855"/>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28EF"/>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DC7"/>
    <w:rsid w:val="00183F77"/>
    <w:rsid w:val="00183FB3"/>
    <w:rsid w:val="001844D8"/>
    <w:rsid w:val="001854FC"/>
    <w:rsid w:val="00185DA8"/>
    <w:rsid w:val="00185ECB"/>
    <w:rsid w:val="001865E0"/>
    <w:rsid w:val="001870F0"/>
    <w:rsid w:val="00190E48"/>
    <w:rsid w:val="0019114B"/>
    <w:rsid w:val="0019273F"/>
    <w:rsid w:val="00193814"/>
    <w:rsid w:val="00193AAB"/>
    <w:rsid w:val="00193AD5"/>
    <w:rsid w:val="00194930"/>
    <w:rsid w:val="00195804"/>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5E0"/>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14C"/>
    <w:rsid w:val="001C7231"/>
    <w:rsid w:val="001C7418"/>
    <w:rsid w:val="001C79A2"/>
    <w:rsid w:val="001C7EBE"/>
    <w:rsid w:val="001D0051"/>
    <w:rsid w:val="001D150B"/>
    <w:rsid w:val="001D169A"/>
    <w:rsid w:val="001D2224"/>
    <w:rsid w:val="001D31AA"/>
    <w:rsid w:val="001D37B9"/>
    <w:rsid w:val="001D3DC0"/>
    <w:rsid w:val="001D4F88"/>
    <w:rsid w:val="001D64F3"/>
    <w:rsid w:val="001D68CF"/>
    <w:rsid w:val="001D6A8C"/>
    <w:rsid w:val="001D70E1"/>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38D"/>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3F6D"/>
    <w:rsid w:val="00246860"/>
    <w:rsid w:val="002468D9"/>
    <w:rsid w:val="00246995"/>
    <w:rsid w:val="00246DFF"/>
    <w:rsid w:val="00246E89"/>
    <w:rsid w:val="00250A54"/>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1D8B"/>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16CF"/>
    <w:rsid w:val="002B2491"/>
    <w:rsid w:val="002B2645"/>
    <w:rsid w:val="002B303A"/>
    <w:rsid w:val="002B32E9"/>
    <w:rsid w:val="002B4E22"/>
    <w:rsid w:val="002B5548"/>
    <w:rsid w:val="002B6FA0"/>
    <w:rsid w:val="002B7710"/>
    <w:rsid w:val="002C0148"/>
    <w:rsid w:val="002C0DEA"/>
    <w:rsid w:val="002C34F6"/>
    <w:rsid w:val="002C3B6D"/>
    <w:rsid w:val="002C3F59"/>
    <w:rsid w:val="002C5D9D"/>
    <w:rsid w:val="002C5F10"/>
    <w:rsid w:val="002C6E5B"/>
    <w:rsid w:val="002D08F3"/>
    <w:rsid w:val="002D18B4"/>
    <w:rsid w:val="002D2058"/>
    <w:rsid w:val="002D231A"/>
    <w:rsid w:val="002D3BA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8DA"/>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5C7C"/>
    <w:rsid w:val="0033601F"/>
    <w:rsid w:val="00336805"/>
    <w:rsid w:val="00337351"/>
    <w:rsid w:val="00341A54"/>
    <w:rsid w:val="00343084"/>
    <w:rsid w:val="00344A4F"/>
    <w:rsid w:val="00344D17"/>
    <w:rsid w:val="0034669F"/>
    <w:rsid w:val="003470C4"/>
    <w:rsid w:val="00351498"/>
    <w:rsid w:val="00352B22"/>
    <w:rsid w:val="00352CBF"/>
    <w:rsid w:val="00354547"/>
    <w:rsid w:val="003549F5"/>
    <w:rsid w:val="00355ACB"/>
    <w:rsid w:val="003567DE"/>
    <w:rsid w:val="003574F3"/>
    <w:rsid w:val="00357831"/>
    <w:rsid w:val="0036028E"/>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8AF"/>
    <w:rsid w:val="00376A07"/>
    <w:rsid w:val="00376B81"/>
    <w:rsid w:val="00376E08"/>
    <w:rsid w:val="00377BD2"/>
    <w:rsid w:val="00380FD4"/>
    <w:rsid w:val="00381E16"/>
    <w:rsid w:val="003821E1"/>
    <w:rsid w:val="003840F6"/>
    <w:rsid w:val="00384866"/>
    <w:rsid w:val="00384AB9"/>
    <w:rsid w:val="00385081"/>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5F80"/>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0AD"/>
    <w:rsid w:val="003E31E3"/>
    <w:rsid w:val="003E3E93"/>
    <w:rsid w:val="003E46D1"/>
    <w:rsid w:val="003E6214"/>
    <w:rsid w:val="003F070E"/>
    <w:rsid w:val="003F1206"/>
    <w:rsid w:val="003F2418"/>
    <w:rsid w:val="003F28DB"/>
    <w:rsid w:val="003F2AAB"/>
    <w:rsid w:val="003F2EEE"/>
    <w:rsid w:val="003F58B0"/>
    <w:rsid w:val="003F590D"/>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5EA9"/>
    <w:rsid w:val="00426A23"/>
    <w:rsid w:val="00427C7F"/>
    <w:rsid w:val="00427F54"/>
    <w:rsid w:val="004316FD"/>
    <w:rsid w:val="00433F36"/>
    <w:rsid w:val="00434860"/>
    <w:rsid w:val="00434BBD"/>
    <w:rsid w:val="0043503A"/>
    <w:rsid w:val="00437B8A"/>
    <w:rsid w:val="00437D18"/>
    <w:rsid w:val="00437D77"/>
    <w:rsid w:val="00440C6B"/>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922"/>
    <w:rsid w:val="0045645D"/>
    <w:rsid w:val="0045707D"/>
    <w:rsid w:val="004574C6"/>
    <w:rsid w:val="00457743"/>
    <w:rsid w:val="00457BCF"/>
    <w:rsid w:val="00457DCE"/>
    <w:rsid w:val="00460E3F"/>
    <w:rsid w:val="0046111A"/>
    <w:rsid w:val="004613D0"/>
    <w:rsid w:val="00462F68"/>
    <w:rsid w:val="0046369B"/>
    <w:rsid w:val="004640E9"/>
    <w:rsid w:val="004647EB"/>
    <w:rsid w:val="00466CED"/>
    <w:rsid w:val="00466EB5"/>
    <w:rsid w:val="00467592"/>
    <w:rsid w:val="00467690"/>
    <w:rsid w:val="00467A14"/>
    <w:rsid w:val="004718E7"/>
    <w:rsid w:val="00472289"/>
    <w:rsid w:val="00472535"/>
    <w:rsid w:val="0047481F"/>
    <w:rsid w:val="004761CC"/>
    <w:rsid w:val="004766C9"/>
    <w:rsid w:val="00480D4A"/>
    <w:rsid w:val="00481DA1"/>
    <w:rsid w:val="00483A2B"/>
    <w:rsid w:val="00484212"/>
    <w:rsid w:val="004848C3"/>
    <w:rsid w:val="00484BA9"/>
    <w:rsid w:val="0048599A"/>
    <w:rsid w:val="00486818"/>
    <w:rsid w:val="00486969"/>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A8F"/>
    <w:rsid w:val="004C4CAF"/>
    <w:rsid w:val="004C5E33"/>
    <w:rsid w:val="004C60A3"/>
    <w:rsid w:val="004C6AC8"/>
    <w:rsid w:val="004C6CDA"/>
    <w:rsid w:val="004C7409"/>
    <w:rsid w:val="004D10D4"/>
    <w:rsid w:val="004D16BD"/>
    <w:rsid w:val="004D2AAB"/>
    <w:rsid w:val="004D2B67"/>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065"/>
    <w:rsid w:val="004F77A3"/>
    <w:rsid w:val="005000AB"/>
    <w:rsid w:val="00500EAF"/>
    <w:rsid w:val="00500F3C"/>
    <w:rsid w:val="005025EE"/>
    <w:rsid w:val="00503401"/>
    <w:rsid w:val="00503DDF"/>
    <w:rsid w:val="00505524"/>
    <w:rsid w:val="005058D5"/>
    <w:rsid w:val="00506688"/>
    <w:rsid w:val="00510588"/>
    <w:rsid w:val="00510F9C"/>
    <w:rsid w:val="0051146C"/>
    <w:rsid w:val="00511F8F"/>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9E9"/>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1E2"/>
    <w:rsid w:val="005716B0"/>
    <w:rsid w:val="00571B11"/>
    <w:rsid w:val="00571D1B"/>
    <w:rsid w:val="00571DA3"/>
    <w:rsid w:val="005738F5"/>
    <w:rsid w:val="00573D34"/>
    <w:rsid w:val="00574A1B"/>
    <w:rsid w:val="00575963"/>
    <w:rsid w:val="00575EBE"/>
    <w:rsid w:val="0057712C"/>
    <w:rsid w:val="0058039C"/>
    <w:rsid w:val="00580A63"/>
    <w:rsid w:val="00582605"/>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6D"/>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1626"/>
    <w:rsid w:val="00634C4A"/>
    <w:rsid w:val="0063532E"/>
    <w:rsid w:val="0063579F"/>
    <w:rsid w:val="006364ED"/>
    <w:rsid w:val="00636B0E"/>
    <w:rsid w:val="00637063"/>
    <w:rsid w:val="0063737C"/>
    <w:rsid w:val="00637BDC"/>
    <w:rsid w:val="00640363"/>
    <w:rsid w:val="00640622"/>
    <w:rsid w:val="006418C9"/>
    <w:rsid w:val="00642BD6"/>
    <w:rsid w:val="00643C8F"/>
    <w:rsid w:val="00643DD9"/>
    <w:rsid w:val="00645046"/>
    <w:rsid w:val="0064527A"/>
    <w:rsid w:val="006458FD"/>
    <w:rsid w:val="00645DE8"/>
    <w:rsid w:val="00645EA2"/>
    <w:rsid w:val="00651E6D"/>
    <w:rsid w:val="006521F8"/>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2CC6"/>
    <w:rsid w:val="00673CDC"/>
    <w:rsid w:val="0067443B"/>
    <w:rsid w:val="006770AA"/>
    <w:rsid w:val="0068098E"/>
    <w:rsid w:val="006810BD"/>
    <w:rsid w:val="00682486"/>
    <w:rsid w:val="006833A7"/>
    <w:rsid w:val="006845F2"/>
    <w:rsid w:val="00684CE6"/>
    <w:rsid w:val="00684E2B"/>
    <w:rsid w:val="006857A0"/>
    <w:rsid w:val="00687C7E"/>
    <w:rsid w:val="00687D3D"/>
    <w:rsid w:val="006904E9"/>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31C"/>
    <w:rsid w:val="006B07D5"/>
    <w:rsid w:val="006B1309"/>
    <w:rsid w:val="006B1382"/>
    <w:rsid w:val="006B31E6"/>
    <w:rsid w:val="006B3923"/>
    <w:rsid w:val="006B3F3E"/>
    <w:rsid w:val="006B4AA2"/>
    <w:rsid w:val="006B4C4D"/>
    <w:rsid w:val="006B53C4"/>
    <w:rsid w:val="006B586B"/>
    <w:rsid w:val="006B5923"/>
    <w:rsid w:val="006B67D9"/>
    <w:rsid w:val="006B6C14"/>
    <w:rsid w:val="006B7159"/>
    <w:rsid w:val="006B715E"/>
    <w:rsid w:val="006C05F5"/>
    <w:rsid w:val="006C1D6E"/>
    <w:rsid w:val="006C2EF6"/>
    <w:rsid w:val="006C3A68"/>
    <w:rsid w:val="006C3B08"/>
    <w:rsid w:val="006C6AB1"/>
    <w:rsid w:val="006C6E6B"/>
    <w:rsid w:val="006C73D4"/>
    <w:rsid w:val="006D145F"/>
    <w:rsid w:val="006D2000"/>
    <w:rsid w:val="006D2D39"/>
    <w:rsid w:val="006D2F31"/>
    <w:rsid w:val="006D3209"/>
    <w:rsid w:val="006D4250"/>
    <w:rsid w:val="006D4E0E"/>
    <w:rsid w:val="006D5861"/>
    <w:rsid w:val="006D5CE2"/>
    <w:rsid w:val="006D7854"/>
    <w:rsid w:val="006E06D1"/>
    <w:rsid w:val="006E122E"/>
    <w:rsid w:val="006E1313"/>
    <w:rsid w:val="006E2213"/>
    <w:rsid w:val="006E2DC8"/>
    <w:rsid w:val="006E398C"/>
    <w:rsid w:val="006E58CB"/>
    <w:rsid w:val="006E6B68"/>
    <w:rsid w:val="006E7226"/>
    <w:rsid w:val="006E7356"/>
    <w:rsid w:val="006E77C8"/>
    <w:rsid w:val="006F0F9C"/>
    <w:rsid w:val="006F149D"/>
    <w:rsid w:val="006F1790"/>
    <w:rsid w:val="006F1A46"/>
    <w:rsid w:val="006F45A0"/>
    <w:rsid w:val="006F4F06"/>
    <w:rsid w:val="006F5A4E"/>
    <w:rsid w:val="006F5D37"/>
    <w:rsid w:val="006F6005"/>
    <w:rsid w:val="007005EA"/>
    <w:rsid w:val="00700780"/>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492A"/>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0E52"/>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26A5"/>
    <w:rsid w:val="0075619D"/>
    <w:rsid w:val="0076100C"/>
    <w:rsid w:val="007612A5"/>
    <w:rsid w:val="00763CAE"/>
    <w:rsid w:val="00763F95"/>
    <w:rsid w:val="007651ED"/>
    <w:rsid w:val="00766C87"/>
    <w:rsid w:val="00771043"/>
    <w:rsid w:val="0077272B"/>
    <w:rsid w:val="00773AF7"/>
    <w:rsid w:val="00774FFD"/>
    <w:rsid w:val="00777871"/>
    <w:rsid w:val="00780378"/>
    <w:rsid w:val="0078085E"/>
    <w:rsid w:val="00781BD4"/>
    <w:rsid w:val="00782562"/>
    <w:rsid w:val="007828B4"/>
    <w:rsid w:val="00784832"/>
    <w:rsid w:val="00784EA0"/>
    <w:rsid w:val="00785D77"/>
    <w:rsid w:val="00786111"/>
    <w:rsid w:val="00790963"/>
    <w:rsid w:val="0079150B"/>
    <w:rsid w:val="0079154B"/>
    <w:rsid w:val="00791992"/>
    <w:rsid w:val="00791EED"/>
    <w:rsid w:val="00791F1E"/>
    <w:rsid w:val="007927BE"/>
    <w:rsid w:val="007935B8"/>
    <w:rsid w:val="00794ADE"/>
    <w:rsid w:val="00794F3D"/>
    <w:rsid w:val="00795CE9"/>
    <w:rsid w:val="00796045"/>
    <w:rsid w:val="007968AC"/>
    <w:rsid w:val="007969AB"/>
    <w:rsid w:val="007973D8"/>
    <w:rsid w:val="00797801"/>
    <w:rsid w:val="007A03D4"/>
    <w:rsid w:val="007A0861"/>
    <w:rsid w:val="007A0B39"/>
    <w:rsid w:val="007A0DFF"/>
    <w:rsid w:val="007A14A4"/>
    <w:rsid w:val="007A168F"/>
    <w:rsid w:val="007A2346"/>
    <w:rsid w:val="007A28E4"/>
    <w:rsid w:val="007A3BB3"/>
    <w:rsid w:val="007A3F91"/>
    <w:rsid w:val="007A3F9C"/>
    <w:rsid w:val="007A4F18"/>
    <w:rsid w:val="007A5AD1"/>
    <w:rsid w:val="007A5B7B"/>
    <w:rsid w:val="007A65A9"/>
    <w:rsid w:val="007A7FD8"/>
    <w:rsid w:val="007B0128"/>
    <w:rsid w:val="007B0635"/>
    <w:rsid w:val="007B0A06"/>
    <w:rsid w:val="007B0B24"/>
    <w:rsid w:val="007B0F0C"/>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C2"/>
    <w:rsid w:val="007D4CFC"/>
    <w:rsid w:val="007D568A"/>
    <w:rsid w:val="007D574E"/>
    <w:rsid w:val="007D57C0"/>
    <w:rsid w:val="007D67CB"/>
    <w:rsid w:val="007D6BFE"/>
    <w:rsid w:val="007E039F"/>
    <w:rsid w:val="007E176C"/>
    <w:rsid w:val="007E2046"/>
    <w:rsid w:val="007E3883"/>
    <w:rsid w:val="007E4876"/>
    <w:rsid w:val="007E48CD"/>
    <w:rsid w:val="007E4ACB"/>
    <w:rsid w:val="007E4FBB"/>
    <w:rsid w:val="007E55BF"/>
    <w:rsid w:val="007E59E3"/>
    <w:rsid w:val="007E5E39"/>
    <w:rsid w:val="007E71B1"/>
    <w:rsid w:val="007E7B4E"/>
    <w:rsid w:val="007E7E3B"/>
    <w:rsid w:val="007E7F02"/>
    <w:rsid w:val="007F01CE"/>
    <w:rsid w:val="007F0292"/>
    <w:rsid w:val="007F0722"/>
    <w:rsid w:val="007F0AB7"/>
    <w:rsid w:val="007F0CE2"/>
    <w:rsid w:val="007F0EFF"/>
    <w:rsid w:val="007F1375"/>
    <w:rsid w:val="007F1AFD"/>
    <w:rsid w:val="007F30E4"/>
    <w:rsid w:val="007F74E7"/>
    <w:rsid w:val="0080064F"/>
    <w:rsid w:val="00801B85"/>
    <w:rsid w:val="00803850"/>
    <w:rsid w:val="008039E8"/>
    <w:rsid w:val="00804385"/>
    <w:rsid w:val="00804E0E"/>
    <w:rsid w:val="008051EB"/>
    <w:rsid w:val="0080588E"/>
    <w:rsid w:val="00805AFD"/>
    <w:rsid w:val="00806397"/>
    <w:rsid w:val="00807058"/>
    <w:rsid w:val="008078D8"/>
    <w:rsid w:val="0080798E"/>
    <w:rsid w:val="00811BD9"/>
    <w:rsid w:val="00811D5B"/>
    <w:rsid w:val="00813C51"/>
    <w:rsid w:val="00816CCB"/>
    <w:rsid w:val="00817572"/>
    <w:rsid w:val="00817713"/>
    <w:rsid w:val="008208C3"/>
    <w:rsid w:val="008220F1"/>
    <w:rsid w:val="0082340B"/>
    <w:rsid w:val="00823D6A"/>
    <w:rsid w:val="00825F60"/>
    <w:rsid w:val="00827B29"/>
    <w:rsid w:val="00827DB6"/>
    <w:rsid w:val="008304B2"/>
    <w:rsid w:val="00830999"/>
    <w:rsid w:val="00830D5E"/>
    <w:rsid w:val="00830F69"/>
    <w:rsid w:val="0083160D"/>
    <w:rsid w:val="00831940"/>
    <w:rsid w:val="008324D9"/>
    <w:rsid w:val="00833418"/>
    <w:rsid w:val="0083387F"/>
    <w:rsid w:val="00834458"/>
    <w:rsid w:val="00834AEA"/>
    <w:rsid w:val="00834D59"/>
    <w:rsid w:val="00835841"/>
    <w:rsid w:val="00835BF8"/>
    <w:rsid w:val="00835FB7"/>
    <w:rsid w:val="00837465"/>
    <w:rsid w:val="0084002E"/>
    <w:rsid w:val="00840159"/>
    <w:rsid w:val="00840621"/>
    <w:rsid w:val="00841243"/>
    <w:rsid w:val="00841457"/>
    <w:rsid w:val="00842BAA"/>
    <w:rsid w:val="00842D8F"/>
    <w:rsid w:val="0084374E"/>
    <w:rsid w:val="00843947"/>
    <w:rsid w:val="00844842"/>
    <w:rsid w:val="0084493E"/>
    <w:rsid w:val="00844A53"/>
    <w:rsid w:val="00844B99"/>
    <w:rsid w:val="00844DD0"/>
    <w:rsid w:val="00845559"/>
    <w:rsid w:val="008455C8"/>
    <w:rsid w:val="008459D3"/>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57D6B"/>
    <w:rsid w:val="00860869"/>
    <w:rsid w:val="00860E60"/>
    <w:rsid w:val="0086102A"/>
    <w:rsid w:val="0086162B"/>
    <w:rsid w:val="00861710"/>
    <w:rsid w:val="00861D5C"/>
    <w:rsid w:val="00861E7C"/>
    <w:rsid w:val="0086429C"/>
    <w:rsid w:val="00865207"/>
    <w:rsid w:val="008656A7"/>
    <w:rsid w:val="00865FA3"/>
    <w:rsid w:val="00866231"/>
    <w:rsid w:val="00870BFB"/>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40D5"/>
    <w:rsid w:val="008A55DE"/>
    <w:rsid w:val="008A5705"/>
    <w:rsid w:val="008A5C34"/>
    <w:rsid w:val="008A63A9"/>
    <w:rsid w:val="008A7073"/>
    <w:rsid w:val="008A79F0"/>
    <w:rsid w:val="008A7F7E"/>
    <w:rsid w:val="008B04DB"/>
    <w:rsid w:val="008B09B4"/>
    <w:rsid w:val="008B1283"/>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6D32"/>
    <w:rsid w:val="008C710E"/>
    <w:rsid w:val="008D0489"/>
    <w:rsid w:val="008D1484"/>
    <w:rsid w:val="008D29E7"/>
    <w:rsid w:val="008D5104"/>
    <w:rsid w:val="008D705B"/>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43CA"/>
    <w:rsid w:val="008F58E1"/>
    <w:rsid w:val="008F5CED"/>
    <w:rsid w:val="008F6E05"/>
    <w:rsid w:val="008F6FC8"/>
    <w:rsid w:val="009002DE"/>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2FA1"/>
    <w:rsid w:val="00914ADB"/>
    <w:rsid w:val="00917182"/>
    <w:rsid w:val="00920251"/>
    <w:rsid w:val="00921CFD"/>
    <w:rsid w:val="00923B25"/>
    <w:rsid w:val="0092402E"/>
    <w:rsid w:val="009259BA"/>
    <w:rsid w:val="00926FCB"/>
    <w:rsid w:val="00927648"/>
    <w:rsid w:val="009303BB"/>
    <w:rsid w:val="0093108A"/>
    <w:rsid w:val="00931B6D"/>
    <w:rsid w:val="00931F25"/>
    <w:rsid w:val="0093311A"/>
    <w:rsid w:val="009346D0"/>
    <w:rsid w:val="009369A6"/>
    <w:rsid w:val="00937F57"/>
    <w:rsid w:val="0094031E"/>
    <w:rsid w:val="009419B4"/>
    <w:rsid w:val="00941A4C"/>
    <w:rsid w:val="00942645"/>
    <w:rsid w:val="0094514C"/>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076"/>
    <w:rsid w:val="009672CD"/>
    <w:rsid w:val="00971206"/>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CC2"/>
    <w:rsid w:val="00990FD6"/>
    <w:rsid w:val="009935C3"/>
    <w:rsid w:val="0099421F"/>
    <w:rsid w:val="00994FC8"/>
    <w:rsid w:val="009A0DE3"/>
    <w:rsid w:val="009A1643"/>
    <w:rsid w:val="009A215A"/>
    <w:rsid w:val="009A2278"/>
    <w:rsid w:val="009A26B9"/>
    <w:rsid w:val="009A49D3"/>
    <w:rsid w:val="009A4F1B"/>
    <w:rsid w:val="009A66C5"/>
    <w:rsid w:val="009A66E7"/>
    <w:rsid w:val="009A79BA"/>
    <w:rsid w:val="009B03C4"/>
    <w:rsid w:val="009B10F9"/>
    <w:rsid w:val="009B14D1"/>
    <w:rsid w:val="009B1534"/>
    <w:rsid w:val="009B1A10"/>
    <w:rsid w:val="009B4963"/>
    <w:rsid w:val="009B4A3B"/>
    <w:rsid w:val="009B6023"/>
    <w:rsid w:val="009B69D3"/>
    <w:rsid w:val="009B721E"/>
    <w:rsid w:val="009B7BA7"/>
    <w:rsid w:val="009B7C01"/>
    <w:rsid w:val="009C0833"/>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1B0"/>
    <w:rsid w:val="009E4C9B"/>
    <w:rsid w:val="009E4DFC"/>
    <w:rsid w:val="009E5789"/>
    <w:rsid w:val="009E57B1"/>
    <w:rsid w:val="009E6379"/>
    <w:rsid w:val="009E6F53"/>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0786"/>
    <w:rsid w:val="00A10A26"/>
    <w:rsid w:val="00A1105B"/>
    <w:rsid w:val="00A1213C"/>
    <w:rsid w:val="00A130E8"/>
    <w:rsid w:val="00A13355"/>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6FD3"/>
    <w:rsid w:val="00A47CF1"/>
    <w:rsid w:val="00A50418"/>
    <w:rsid w:val="00A50B17"/>
    <w:rsid w:val="00A526CB"/>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8AD"/>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7D43"/>
    <w:rsid w:val="00A90D55"/>
    <w:rsid w:val="00A9225E"/>
    <w:rsid w:val="00A944D8"/>
    <w:rsid w:val="00A959E7"/>
    <w:rsid w:val="00A95BBA"/>
    <w:rsid w:val="00A961EE"/>
    <w:rsid w:val="00A96559"/>
    <w:rsid w:val="00A96619"/>
    <w:rsid w:val="00A97B11"/>
    <w:rsid w:val="00A97CD9"/>
    <w:rsid w:val="00AA020A"/>
    <w:rsid w:val="00AA04B3"/>
    <w:rsid w:val="00AA1253"/>
    <w:rsid w:val="00AA1ED0"/>
    <w:rsid w:val="00AA1F5B"/>
    <w:rsid w:val="00AA28EF"/>
    <w:rsid w:val="00AA3593"/>
    <w:rsid w:val="00AA38CA"/>
    <w:rsid w:val="00AA3EE9"/>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3E85"/>
    <w:rsid w:val="00AD426A"/>
    <w:rsid w:val="00AD49A1"/>
    <w:rsid w:val="00AD5771"/>
    <w:rsid w:val="00AD6870"/>
    <w:rsid w:val="00AD68C5"/>
    <w:rsid w:val="00AD7F8F"/>
    <w:rsid w:val="00AE0BF9"/>
    <w:rsid w:val="00AE1273"/>
    <w:rsid w:val="00AE17F2"/>
    <w:rsid w:val="00AE18C5"/>
    <w:rsid w:val="00AE2540"/>
    <w:rsid w:val="00AE2CF4"/>
    <w:rsid w:val="00AE2D29"/>
    <w:rsid w:val="00AE2F15"/>
    <w:rsid w:val="00AE4624"/>
    <w:rsid w:val="00AE4B3E"/>
    <w:rsid w:val="00AE4B90"/>
    <w:rsid w:val="00AE5E14"/>
    <w:rsid w:val="00AE6115"/>
    <w:rsid w:val="00AE625B"/>
    <w:rsid w:val="00AE690C"/>
    <w:rsid w:val="00AF01B2"/>
    <w:rsid w:val="00AF1103"/>
    <w:rsid w:val="00AF1668"/>
    <w:rsid w:val="00AF25B2"/>
    <w:rsid w:val="00AF28DE"/>
    <w:rsid w:val="00AF41EE"/>
    <w:rsid w:val="00AF4FA5"/>
    <w:rsid w:val="00AF5BB4"/>
    <w:rsid w:val="00AF6ECC"/>
    <w:rsid w:val="00B02145"/>
    <w:rsid w:val="00B022DC"/>
    <w:rsid w:val="00B04562"/>
    <w:rsid w:val="00B0472F"/>
    <w:rsid w:val="00B0575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6A"/>
    <w:rsid w:val="00B33498"/>
    <w:rsid w:val="00B33598"/>
    <w:rsid w:val="00B33DF7"/>
    <w:rsid w:val="00B3575C"/>
    <w:rsid w:val="00B36569"/>
    <w:rsid w:val="00B37345"/>
    <w:rsid w:val="00B37F53"/>
    <w:rsid w:val="00B40A05"/>
    <w:rsid w:val="00B40A3E"/>
    <w:rsid w:val="00B427BB"/>
    <w:rsid w:val="00B43BA2"/>
    <w:rsid w:val="00B449EE"/>
    <w:rsid w:val="00B454AE"/>
    <w:rsid w:val="00B50227"/>
    <w:rsid w:val="00B50510"/>
    <w:rsid w:val="00B522CD"/>
    <w:rsid w:val="00B534E1"/>
    <w:rsid w:val="00B54A8E"/>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4EA9"/>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5C2"/>
    <w:rsid w:val="00BC7F82"/>
    <w:rsid w:val="00BD1844"/>
    <w:rsid w:val="00BD2A49"/>
    <w:rsid w:val="00BD3683"/>
    <w:rsid w:val="00BD40AB"/>
    <w:rsid w:val="00BD40DE"/>
    <w:rsid w:val="00BD48BC"/>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1495"/>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6A2A"/>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359"/>
    <w:rsid w:val="00C276CD"/>
    <w:rsid w:val="00C27827"/>
    <w:rsid w:val="00C30A97"/>
    <w:rsid w:val="00C31DDC"/>
    <w:rsid w:val="00C3223A"/>
    <w:rsid w:val="00C34168"/>
    <w:rsid w:val="00C34247"/>
    <w:rsid w:val="00C34326"/>
    <w:rsid w:val="00C34CEB"/>
    <w:rsid w:val="00C36201"/>
    <w:rsid w:val="00C368E8"/>
    <w:rsid w:val="00C36C3D"/>
    <w:rsid w:val="00C372C7"/>
    <w:rsid w:val="00C375BE"/>
    <w:rsid w:val="00C376A7"/>
    <w:rsid w:val="00C42443"/>
    <w:rsid w:val="00C42CBA"/>
    <w:rsid w:val="00C4338C"/>
    <w:rsid w:val="00C43C2B"/>
    <w:rsid w:val="00C45B27"/>
    <w:rsid w:val="00C4652E"/>
    <w:rsid w:val="00C472C7"/>
    <w:rsid w:val="00C5019E"/>
    <w:rsid w:val="00C50C8C"/>
    <w:rsid w:val="00C513F3"/>
    <w:rsid w:val="00C51962"/>
    <w:rsid w:val="00C5377C"/>
    <w:rsid w:val="00C53CE8"/>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2B71"/>
    <w:rsid w:val="00C83740"/>
    <w:rsid w:val="00C838B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6625"/>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B08"/>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544"/>
    <w:rsid w:val="00CF5C12"/>
    <w:rsid w:val="00CF63A7"/>
    <w:rsid w:val="00CF7B72"/>
    <w:rsid w:val="00D000A9"/>
    <w:rsid w:val="00D00384"/>
    <w:rsid w:val="00D005DB"/>
    <w:rsid w:val="00D0064E"/>
    <w:rsid w:val="00D00981"/>
    <w:rsid w:val="00D01044"/>
    <w:rsid w:val="00D02596"/>
    <w:rsid w:val="00D0280D"/>
    <w:rsid w:val="00D02AEF"/>
    <w:rsid w:val="00D03EC9"/>
    <w:rsid w:val="00D05669"/>
    <w:rsid w:val="00D061EB"/>
    <w:rsid w:val="00D06952"/>
    <w:rsid w:val="00D07A72"/>
    <w:rsid w:val="00D10577"/>
    <w:rsid w:val="00D12405"/>
    <w:rsid w:val="00D12A4E"/>
    <w:rsid w:val="00D1323B"/>
    <w:rsid w:val="00D144FA"/>
    <w:rsid w:val="00D14BAE"/>
    <w:rsid w:val="00D15059"/>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2EFC"/>
    <w:rsid w:val="00D63577"/>
    <w:rsid w:val="00D65BB2"/>
    <w:rsid w:val="00D66BC5"/>
    <w:rsid w:val="00D67FD7"/>
    <w:rsid w:val="00D704E4"/>
    <w:rsid w:val="00D72410"/>
    <w:rsid w:val="00D7242F"/>
    <w:rsid w:val="00D73D53"/>
    <w:rsid w:val="00D7402C"/>
    <w:rsid w:val="00D7408A"/>
    <w:rsid w:val="00D74261"/>
    <w:rsid w:val="00D7441B"/>
    <w:rsid w:val="00D75589"/>
    <w:rsid w:val="00D75DF6"/>
    <w:rsid w:val="00D76AB2"/>
    <w:rsid w:val="00D80490"/>
    <w:rsid w:val="00D828F9"/>
    <w:rsid w:val="00D829AD"/>
    <w:rsid w:val="00D82EE2"/>
    <w:rsid w:val="00D83D1B"/>
    <w:rsid w:val="00D84133"/>
    <w:rsid w:val="00D84B8D"/>
    <w:rsid w:val="00D8545C"/>
    <w:rsid w:val="00D86AB5"/>
    <w:rsid w:val="00D86D53"/>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3231"/>
    <w:rsid w:val="00DB44E2"/>
    <w:rsid w:val="00DB4A6D"/>
    <w:rsid w:val="00DB5941"/>
    <w:rsid w:val="00DB626D"/>
    <w:rsid w:val="00DB6365"/>
    <w:rsid w:val="00DB756C"/>
    <w:rsid w:val="00DC07B7"/>
    <w:rsid w:val="00DC0BF1"/>
    <w:rsid w:val="00DC17F2"/>
    <w:rsid w:val="00DC29EC"/>
    <w:rsid w:val="00DC4001"/>
    <w:rsid w:val="00DC41C3"/>
    <w:rsid w:val="00DC4A3C"/>
    <w:rsid w:val="00DC4FA4"/>
    <w:rsid w:val="00DC5B37"/>
    <w:rsid w:val="00DD105E"/>
    <w:rsid w:val="00DD18F1"/>
    <w:rsid w:val="00DD286D"/>
    <w:rsid w:val="00DD2CAF"/>
    <w:rsid w:val="00DD3593"/>
    <w:rsid w:val="00DD64E0"/>
    <w:rsid w:val="00DD724E"/>
    <w:rsid w:val="00DD775C"/>
    <w:rsid w:val="00DD7BE0"/>
    <w:rsid w:val="00DE0C67"/>
    <w:rsid w:val="00DE3AAD"/>
    <w:rsid w:val="00DE598A"/>
    <w:rsid w:val="00DE6952"/>
    <w:rsid w:val="00DE6FBE"/>
    <w:rsid w:val="00DE7A7D"/>
    <w:rsid w:val="00DE7E74"/>
    <w:rsid w:val="00DF071B"/>
    <w:rsid w:val="00DF5C84"/>
    <w:rsid w:val="00DF5EC0"/>
    <w:rsid w:val="00DF60A1"/>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DF6"/>
    <w:rsid w:val="00E670F8"/>
    <w:rsid w:val="00E6741B"/>
    <w:rsid w:val="00E67FAC"/>
    <w:rsid w:val="00E70164"/>
    <w:rsid w:val="00E71485"/>
    <w:rsid w:val="00E7200B"/>
    <w:rsid w:val="00E738CB"/>
    <w:rsid w:val="00E73C88"/>
    <w:rsid w:val="00E74437"/>
    <w:rsid w:val="00E7443D"/>
    <w:rsid w:val="00E75975"/>
    <w:rsid w:val="00E75ACE"/>
    <w:rsid w:val="00E771AF"/>
    <w:rsid w:val="00E80386"/>
    <w:rsid w:val="00E809C3"/>
    <w:rsid w:val="00E81357"/>
    <w:rsid w:val="00E814D4"/>
    <w:rsid w:val="00E81A1A"/>
    <w:rsid w:val="00E81C3E"/>
    <w:rsid w:val="00E82359"/>
    <w:rsid w:val="00E82B6D"/>
    <w:rsid w:val="00E83187"/>
    <w:rsid w:val="00E831E9"/>
    <w:rsid w:val="00E84DDA"/>
    <w:rsid w:val="00E8608F"/>
    <w:rsid w:val="00E86C1D"/>
    <w:rsid w:val="00E9002E"/>
    <w:rsid w:val="00E90703"/>
    <w:rsid w:val="00E90A62"/>
    <w:rsid w:val="00E91519"/>
    <w:rsid w:val="00E9265E"/>
    <w:rsid w:val="00E92DEA"/>
    <w:rsid w:val="00E956DB"/>
    <w:rsid w:val="00E963EC"/>
    <w:rsid w:val="00E9763D"/>
    <w:rsid w:val="00EA1177"/>
    <w:rsid w:val="00EA118B"/>
    <w:rsid w:val="00EA11B6"/>
    <w:rsid w:val="00EA2181"/>
    <w:rsid w:val="00EA2DD8"/>
    <w:rsid w:val="00EA30FC"/>
    <w:rsid w:val="00EA4475"/>
    <w:rsid w:val="00EA52FE"/>
    <w:rsid w:val="00EA62A8"/>
    <w:rsid w:val="00EA681F"/>
    <w:rsid w:val="00EA6BBD"/>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1F27"/>
    <w:rsid w:val="00EE23DE"/>
    <w:rsid w:val="00EE48BB"/>
    <w:rsid w:val="00EE6FE0"/>
    <w:rsid w:val="00EE704A"/>
    <w:rsid w:val="00EE7840"/>
    <w:rsid w:val="00EF110F"/>
    <w:rsid w:val="00EF2E75"/>
    <w:rsid w:val="00EF4C74"/>
    <w:rsid w:val="00EF5268"/>
    <w:rsid w:val="00EF608E"/>
    <w:rsid w:val="00EF6C4A"/>
    <w:rsid w:val="00F0044B"/>
    <w:rsid w:val="00F00BA3"/>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17BFA"/>
    <w:rsid w:val="00F22A26"/>
    <w:rsid w:val="00F24072"/>
    <w:rsid w:val="00F26432"/>
    <w:rsid w:val="00F3197A"/>
    <w:rsid w:val="00F32139"/>
    <w:rsid w:val="00F33CF0"/>
    <w:rsid w:val="00F33D56"/>
    <w:rsid w:val="00F34E08"/>
    <w:rsid w:val="00F37F1C"/>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58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13C"/>
    <w:rsid w:val="00F75C12"/>
    <w:rsid w:val="00F76D01"/>
    <w:rsid w:val="00F80B43"/>
    <w:rsid w:val="00F80C97"/>
    <w:rsid w:val="00F81C35"/>
    <w:rsid w:val="00F828C9"/>
    <w:rsid w:val="00F82981"/>
    <w:rsid w:val="00F8311F"/>
    <w:rsid w:val="00F83248"/>
    <w:rsid w:val="00F83376"/>
    <w:rsid w:val="00F853AE"/>
    <w:rsid w:val="00F908D5"/>
    <w:rsid w:val="00F913B9"/>
    <w:rsid w:val="00F93384"/>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5D8C"/>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DD1"/>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4AD"/>
    <w:rsid w:val="00FE5D0A"/>
    <w:rsid w:val="00FE63B0"/>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s="Times New Roman"/>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9F782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455922"/>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66585412">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1185-8FFC-41B7-AE52-7F6ACA6E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1849</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2011-04-08T10:41:00Z</cp:lastPrinted>
  <dcterms:created xsi:type="dcterms:W3CDTF">2012-05-22T15:16:00Z</dcterms:created>
  <dcterms:modified xsi:type="dcterms:W3CDTF">2012-06-05T15:53:00Z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