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9B2039" w:rsidRDefault="0095270D" w:rsidP="00DD5558">
      <w:pPr>
        <w:tabs>
          <w:tab w:val="right" w:pos="9360"/>
        </w:tabs>
        <w:jc w:val="both"/>
        <w:rPr>
          <w:caps/>
          <w:color w:val="auto"/>
        </w:rPr>
      </w:pPr>
      <w:r w:rsidRPr="009B2039">
        <w:rPr>
          <w:caps/>
          <w:color w:val="auto"/>
        </w:rPr>
        <w:t xml:space="preserve">NAME:  </w:t>
      </w:r>
      <w:r w:rsidR="00E370EC">
        <w:rPr>
          <w:caps/>
          <w:color w:val="auto"/>
        </w:rPr>
        <w:t>xxxxxxxxxxxxxxxx</w:t>
      </w:r>
      <w:r w:rsidR="00E370EC">
        <w:rPr>
          <w:caps/>
          <w:color w:val="auto"/>
        </w:rPr>
        <w:tab/>
      </w:r>
      <w:r w:rsidRPr="009B2039">
        <w:rPr>
          <w:caps/>
          <w:color w:val="auto"/>
        </w:rPr>
        <w:t xml:space="preserve">BRANCH OF SERVICE:  </w:t>
      </w:r>
      <w:r w:rsidR="00DF70F4" w:rsidRPr="009B2039">
        <w:rPr>
          <w:caps/>
          <w:color w:val="auto"/>
        </w:rPr>
        <w:t>NAVY</w:t>
      </w:r>
    </w:p>
    <w:p w:rsidR="0095270D" w:rsidRPr="009B2039" w:rsidRDefault="0095270D" w:rsidP="00DD5558">
      <w:pPr>
        <w:tabs>
          <w:tab w:val="right" w:pos="9360"/>
        </w:tabs>
        <w:jc w:val="both"/>
        <w:rPr>
          <w:color w:val="auto"/>
        </w:rPr>
      </w:pPr>
      <w:r w:rsidRPr="009B2039">
        <w:rPr>
          <w:caps/>
          <w:color w:val="auto"/>
        </w:rPr>
        <w:t>CASE NUMBER:  PD1100</w:t>
      </w:r>
      <w:r w:rsidR="00582934" w:rsidRPr="009B2039">
        <w:rPr>
          <w:caps/>
          <w:color w:val="auto"/>
        </w:rPr>
        <w:t>772</w:t>
      </w:r>
      <w:r w:rsidR="004D021F">
        <w:rPr>
          <w:color w:val="auto"/>
        </w:rPr>
        <w:t xml:space="preserve">                                                             </w:t>
      </w:r>
      <w:r w:rsidR="00E370EC">
        <w:rPr>
          <w:color w:val="auto"/>
        </w:rPr>
        <w:tab/>
      </w:r>
      <w:r w:rsidR="0018208F" w:rsidRPr="009B2039">
        <w:rPr>
          <w:color w:val="auto"/>
        </w:rPr>
        <w:t>SE</w:t>
      </w:r>
      <w:r w:rsidRPr="009B2039">
        <w:rPr>
          <w:color w:val="auto"/>
        </w:rPr>
        <w:t>PARATION DATE:  200</w:t>
      </w:r>
      <w:r w:rsidR="00582934" w:rsidRPr="009B2039">
        <w:rPr>
          <w:color w:val="auto"/>
        </w:rPr>
        <w:t>60701</w:t>
      </w:r>
    </w:p>
    <w:p w:rsidR="00AD2379" w:rsidRPr="009B2039" w:rsidRDefault="0095270D" w:rsidP="0095270D">
      <w:pPr>
        <w:pBdr>
          <w:bottom w:val="single" w:sz="12" w:space="1" w:color="auto"/>
        </w:pBdr>
        <w:tabs>
          <w:tab w:val="left" w:pos="288"/>
          <w:tab w:val="left" w:pos="4752"/>
        </w:tabs>
        <w:jc w:val="both"/>
        <w:rPr>
          <w:rFonts w:cs="Times New Roman"/>
          <w:caps/>
          <w:color w:val="auto"/>
        </w:rPr>
      </w:pPr>
      <w:r w:rsidRPr="009B2039">
        <w:rPr>
          <w:caps/>
          <w:color w:val="auto"/>
        </w:rPr>
        <w:t>BOARD DATE:  2012</w:t>
      </w:r>
      <w:r w:rsidR="0058367A" w:rsidRPr="009B2039">
        <w:rPr>
          <w:caps/>
          <w:color w:val="auto"/>
        </w:rPr>
        <w:t>0627</w:t>
      </w:r>
    </w:p>
    <w:p w:rsidR="0095270D" w:rsidRPr="009B2039" w:rsidRDefault="0095270D" w:rsidP="0095270D">
      <w:pPr>
        <w:pBdr>
          <w:bottom w:val="single" w:sz="12" w:space="1" w:color="auto"/>
        </w:pBdr>
        <w:tabs>
          <w:tab w:val="left" w:pos="288"/>
          <w:tab w:val="left" w:pos="4752"/>
        </w:tabs>
        <w:jc w:val="both"/>
        <w:rPr>
          <w:color w:val="auto"/>
        </w:rPr>
      </w:pPr>
    </w:p>
    <w:p w:rsidR="00AD2379" w:rsidRPr="009B2039" w:rsidRDefault="00AD2379" w:rsidP="00BF0E94">
      <w:pPr>
        <w:tabs>
          <w:tab w:val="left" w:pos="288"/>
          <w:tab w:val="left" w:pos="4752"/>
        </w:tabs>
        <w:jc w:val="both"/>
        <w:rPr>
          <w:color w:val="auto"/>
        </w:rPr>
      </w:pPr>
    </w:p>
    <w:p w:rsidR="000B1C9E" w:rsidRPr="009B2039" w:rsidRDefault="00AD2379" w:rsidP="00BF0E94">
      <w:pPr>
        <w:tabs>
          <w:tab w:val="left" w:pos="288"/>
          <w:tab w:val="left" w:pos="4752"/>
        </w:tabs>
        <w:jc w:val="both"/>
        <w:rPr>
          <w:color w:val="auto"/>
        </w:rPr>
      </w:pPr>
      <w:r w:rsidRPr="009B2039">
        <w:rPr>
          <w:color w:val="auto"/>
          <w:u w:val="single"/>
        </w:rPr>
        <w:t>SUMMARY OF CASE</w:t>
      </w:r>
      <w:r w:rsidRPr="009B2039">
        <w:rPr>
          <w:color w:val="auto"/>
        </w:rPr>
        <w:t>:</w:t>
      </w:r>
      <w:r w:rsidR="00532B33" w:rsidRPr="009B2039">
        <w:rPr>
          <w:color w:val="auto"/>
        </w:rPr>
        <w:t xml:space="preserve"> </w:t>
      </w:r>
      <w:r w:rsidRPr="009B2039">
        <w:rPr>
          <w:color w:val="auto"/>
        </w:rPr>
        <w:t xml:space="preserve"> Data extracted from the available evidence of record reflects that this covered individual (CI) was </w:t>
      </w:r>
      <w:r w:rsidR="00A70270" w:rsidRPr="009B2039">
        <w:rPr>
          <w:color w:val="auto"/>
        </w:rPr>
        <w:t>an active duty</w:t>
      </w:r>
      <w:r w:rsidR="00582934" w:rsidRPr="009B2039">
        <w:rPr>
          <w:color w:val="auto"/>
        </w:rPr>
        <w:t xml:space="preserve">, E5/HM2, 8407 Radiation Health Tech, </w:t>
      </w:r>
      <w:r w:rsidRPr="009B2039">
        <w:rPr>
          <w:color w:val="auto"/>
        </w:rPr>
        <w:t xml:space="preserve">medically separated for </w:t>
      </w:r>
      <w:r w:rsidR="00582934" w:rsidRPr="009B2039">
        <w:rPr>
          <w:color w:val="auto"/>
        </w:rPr>
        <w:t>Lumbar Degenerative Disc Disease</w:t>
      </w:r>
      <w:r w:rsidR="00A03194" w:rsidRPr="009B2039">
        <w:rPr>
          <w:color w:val="auto"/>
        </w:rPr>
        <w:t xml:space="preserve"> (DDD)</w:t>
      </w:r>
      <w:r w:rsidR="00582934" w:rsidRPr="009B2039">
        <w:rPr>
          <w:color w:val="auto"/>
        </w:rPr>
        <w:t xml:space="preserve">. </w:t>
      </w:r>
      <w:r w:rsidR="00D567F4" w:rsidRPr="009B2039">
        <w:rPr>
          <w:color w:val="auto"/>
          <w:szCs w:val="24"/>
        </w:rPr>
        <w:t xml:space="preserve"> The CI had non-traumatic gradual onset of lower back pain (LBP) with associated right leg weakness, numbing and tingling.</w:t>
      </w:r>
      <w:r w:rsidR="0081363F" w:rsidRPr="009B2039">
        <w:rPr>
          <w:color w:val="auto"/>
          <w:szCs w:val="24"/>
        </w:rPr>
        <w:t xml:space="preserve">  The CI underwent t</w:t>
      </w:r>
      <w:r w:rsidR="00275769" w:rsidRPr="009B2039">
        <w:rPr>
          <w:color w:val="auto"/>
          <w:szCs w:val="24"/>
        </w:rPr>
        <w:t>wo back surgeries including</w:t>
      </w:r>
      <w:r w:rsidR="0019644A" w:rsidRPr="009B2039">
        <w:rPr>
          <w:color w:val="auto"/>
          <w:szCs w:val="24"/>
        </w:rPr>
        <w:t xml:space="preserve"> lumbar </w:t>
      </w:r>
      <w:r w:rsidR="0081363F" w:rsidRPr="009B2039">
        <w:rPr>
          <w:color w:val="auto"/>
          <w:szCs w:val="24"/>
        </w:rPr>
        <w:t>d</w:t>
      </w:r>
      <w:r w:rsidR="0019644A" w:rsidRPr="009B2039">
        <w:rPr>
          <w:color w:val="auto"/>
          <w:szCs w:val="24"/>
        </w:rPr>
        <w:t>iscectomy</w:t>
      </w:r>
      <w:r w:rsidR="00D35501" w:rsidRPr="009B2039">
        <w:rPr>
          <w:color w:val="auto"/>
          <w:szCs w:val="24"/>
        </w:rPr>
        <w:t xml:space="preserve"> with artificial disc replacement </w:t>
      </w:r>
      <w:r w:rsidR="00275769" w:rsidRPr="009B2039">
        <w:rPr>
          <w:color w:val="auto"/>
          <w:szCs w:val="24"/>
        </w:rPr>
        <w:t xml:space="preserve">at two levels </w:t>
      </w:r>
      <w:r w:rsidR="00D35501" w:rsidRPr="009B2039">
        <w:rPr>
          <w:color w:val="auto"/>
          <w:szCs w:val="24"/>
        </w:rPr>
        <w:t xml:space="preserve">in </w:t>
      </w:r>
      <w:r w:rsidR="00275769" w:rsidRPr="009B2039">
        <w:rPr>
          <w:color w:val="auto"/>
          <w:szCs w:val="24"/>
        </w:rPr>
        <w:t>August</w:t>
      </w:r>
      <w:r w:rsidR="00D35501" w:rsidRPr="009B2039">
        <w:rPr>
          <w:color w:val="auto"/>
          <w:szCs w:val="24"/>
        </w:rPr>
        <w:t xml:space="preserve"> 200</w:t>
      </w:r>
      <w:r w:rsidR="00275769" w:rsidRPr="009B2039">
        <w:rPr>
          <w:color w:val="auto"/>
          <w:szCs w:val="24"/>
        </w:rPr>
        <w:t>5</w:t>
      </w:r>
      <w:r w:rsidR="00D35501" w:rsidRPr="009B2039">
        <w:rPr>
          <w:color w:val="auto"/>
          <w:szCs w:val="24"/>
        </w:rPr>
        <w:t xml:space="preserve">.  Subsequent </w:t>
      </w:r>
      <w:r w:rsidR="0019644A" w:rsidRPr="009B2039">
        <w:rPr>
          <w:color w:val="auto"/>
          <w:szCs w:val="24"/>
        </w:rPr>
        <w:t xml:space="preserve">physical therapy and medication </w:t>
      </w:r>
      <w:r w:rsidR="00582934" w:rsidRPr="009B2039">
        <w:rPr>
          <w:color w:val="auto"/>
        </w:rPr>
        <w:t xml:space="preserve">did not </w:t>
      </w:r>
      <w:r w:rsidR="0019644A" w:rsidRPr="009B2039">
        <w:rPr>
          <w:color w:val="auto"/>
        </w:rPr>
        <w:t xml:space="preserve">lead to sufficient </w:t>
      </w:r>
      <w:r w:rsidR="00FD7150" w:rsidRPr="009B2039">
        <w:rPr>
          <w:color w:val="auto"/>
        </w:rPr>
        <w:t>i</w:t>
      </w:r>
      <w:r w:rsidR="00F15483" w:rsidRPr="009B2039">
        <w:rPr>
          <w:color w:val="auto"/>
        </w:rPr>
        <w:t>mprove</w:t>
      </w:r>
      <w:r w:rsidR="00D35501" w:rsidRPr="009B2039">
        <w:rPr>
          <w:color w:val="auto"/>
        </w:rPr>
        <w:t>ment</w:t>
      </w:r>
      <w:r w:rsidR="00F15483" w:rsidRPr="009B2039">
        <w:rPr>
          <w:color w:val="auto"/>
        </w:rPr>
        <w:t xml:space="preserve"> </w:t>
      </w:r>
      <w:r w:rsidR="00F566B7" w:rsidRPr="009B2039">
        <w:rPr>
          <w:color w:val="auto"/>
        </w:rPr>
        <w:t>to meet the physical requirements of</w:t>
      </w:r>
      <w:r w:rsidR="00582934" w:rsidRPr="009B2039">
        <w:rPr>
          <w:color w:val="auto"/>
        </w:rPr>
        <w:t xml:space="preserve"> </w:t>
      </w:r>
      <w:r w:rsidR="0021565F" w:rsidRPr="009B2039">
        <w:rPr>
          <w:color w:val="auto"/>
        </w:rPr>
        <w:t>her</w:t>
      </w:r>
      <w:r w:rsidR="00582934" w:rsidRPr="009B2039">
        <w:rPr>
          <w:color w:val="auto"/>
        </w:rPr>
        <w:t xml:space="preserve"> </w:t>
      </w:r>
      <w:r w:rsidR="002143E5" w:rsidRPr="009B2039">
        <w:rPr>
          <w:color w:val="auto"/>
        </w:rPr>
        <w:t>Rating</w:t>
      </w:r>
      <w:r w:rsidR="006A0909" w:rsidRPr="009B2039">
        <w:rPr>
          <w:color w:val="auto"/>
        </w:rPr>
        <w:t xml:space="preserve"> </w:t>
      </w:r>
      <w:r w:rsidR="00F566B7" w:rsidRPr="009B2039">
        <w:rPr>
          <w:color w:val="auto"/>
        </w:rPr>
        <w:t>or satis</w:t>
      </w:r>
      <w:r w:rsidR="009C12A1" w:rsidRPr="009B2039">
        <w:rPr>
          <w:color w:val="auto"/>
        </w:rPr>
        <w:t>fy physical fitness standards.</w:t>
      </w:r>
      <w:r w:rsidR="00F566B7" w:rsidRPr="009B2039">
        <w:rPr>
          <w:color w:val="auto"/>
        </w:rPr>
        <w:t xml:space="preserve"> </w:t>
      </w:r>
      <w:r w:rsidR="009C12A1" w:rsidRPr="009B2039">
        <w:rPr>
          <w:color w:val="auto"/>
        </w:rPr>
        <w:t xml:space="preserve"> </w:t>
      </w:r>
      <w:r w:rsidR="006A0909" w:rsidRPr="009B2039">
        <w:rPr>
          <w:color w:val="auto"/>
        </w:rPr>
        <w:t>She</w:t>
      </w:r>
      <w:r w:rsidR="009C12A1" w:rsidRPr="009B2039">
        <w:rPr>
          <w:color w:val="auto"/>
        </w:rPr>
        <w:t xml:space="preserve"> </w:t>
      </w:r>
      <w:r w:rsidR="00F566B7" w:rsidRPr="009B2039">
        <w:rPr>
          <w:color w:val="auto"/>
        </w:rPr>
        <w:t>was</w:t>
      </w:r>
      <w:r w:rsidR="00252A84" w:rsidRPr="009B2039">
        <w:rPr>
          <w:color w:val="auto"/>
        </w:rPr>
        <w:t xml:space="preserve"> </w:t>
      </w:r>
      <w:r w:rsidR="0021565F" w:rsidRPr="009B2039">
        <w:rPr>
          <w:color w:val="auto"/>
        </w:rPr>
        <w:t xml:space="preserve">placed on </w:t>
      </w:r>
      <w:r w:rsidR="0019644A" w:rsidRPr="009B2039">
        <w:rPr>
          <w:color w:val="auto"/>
        </w:rPr>
        <w:t xml:space="preserve">multiple periods of </w:t>
      </w:r>
      <w:r w:rsidR="0021565F" w:rsidRPr="009B2039">
        <w:rPr>
          <w:color w:val="auto"/>
        </w:rPr>
        <w:t xml:space="preserve">limited duty </w:t>
      </w:r>
      <w:r w:rsidR="004D021F">
        <w:rPr>
          <w:color w:val="auto"/>
        </w:rPr>
        <w:t>(</w:t>
      </w:r>
      <w:r w:rsidR="00252A84" w:rsidRPr="009B2039">
        <w:rPr>
          <w:color w:val="auto"/>
        </w:rPr>
        <w:t>LIMDU</w:t>
      </w:r>
      <w:r w:rsidR="004D021F">
        <w:rPr>
          <w:color w:val="auto"/>
        </w:rPr>
        <w:t>)</w:t>
      </w:r>
      <w:r w:rsidR="00252A84" w:rsidRPr="009B2039">
        <w:rPr>
          <w:color w:val="auto"/>
        </w:rPr>
        <w:t xml:space="preserve"> </w:t>
      </w:r>
      <w:r w:rsidR="00F566B7" w:rsidRPr="009B2039">
        <w:rPr>
          <w:color w:val="auto"/>
        </w:rPr>
        <w:t>and</w:t>
      </w:r>
      <w:r w:rsidR="009C12A1" w:rsidRPr="009B2039">
        <w:rPr>
          <w:color w:val="auto"/>
        </w:rPr>
        <w:t xml:space="preserve"> </w:t>
      </w:r>
      <w:r w:rsidR="00F566B7" w:rsidRPr="009B2039">
        <w:rPr>
          <w:color w:val="auto"/>
        </w:rPr>
        <w:t xml:space="preserve">referred for </w:t>
      </w:r>
      <w:r w:rsidR="0081363F" w:rsidRPr="009B2039">
        <w:rPr>
          <w:color w:val="auto"/>
        </w:rPr>
        <w:t>multiple</w:t>
      </w:r>
      <w:r w:rsidR="00F566B7" w:rsidRPr="009B2039">
        <w:rPr>
          <w:color w:val="auto"/>
        </w:rPr>
        <w:t xml:space="preserve"> M</w:t>
      </w:r>
      <w:r w:rsidR="00582934" w:rsidRPr="009B2039">
        <w:rPr>
          <w:color w:val="auto"/>
        </w:rPr>
        <w:t>e</w:t>
      </w:r>
      <w:r w:rsidR="00F566B7" w:rsidRPr="009B2039">
        <w:rPr>
          <w:color w:val="auto"/>
        </w:rPr>
        <w:t>dical Evaluation Board</w:t>
      </w:r>
      <w:r w:rsidR="0081363F" w:rsidRPr="009B2039">
        <w:rPr>
          <w:color w:val="auto"/>
        </w:rPr>
        <w:t>s</w:t>
      </w:r>
      <w:r w:rsidR="00F566B7" w:rsidRPr="009B2039">
        <w:rPr>
          <w:color w:val="auto"/>
        </w:rPr>
        <w:t xml:space="preserve"> (MEB)</w:t>
      </w:r>
      <w:r w:rsidR="0081363F" w:rsidRPr="009B2039">
        <w:rPr>
          <w:color w:val="auto"/>
        </w:rPr>
        <w:t xml:space="preserve"> including right hip and right thigh muscle vascular conditions</w:t>
      </w:r>
      <w:r w:rsidR="007331BB" w:rsidRPr="009B2039">
        <w:rPr>
          <w:color w:val="auto"/>
        </w:rPr>
        <w:t>, and persistent neurologic deficit</w:t>
      </w:r>
      <w:r w:rsidR="00F566B7" w:rsidRPr="009B2039">
        <w:rPr>
          <w:color w:val="auto"/>
        </w:rPr>
        <w:t>.</w:t>
      </w:r>
      <w:r w:rsidR="006D5E1E" w:rsidRPr="009B2039">
        <w:rPr>
          <w:color w:val="auto"/>
        </w:rPr>
        <w:t xml:space="preserve">  </w:t>
      </w:r>
      <w:r w:rsidR="0081363F" w:rsidRPr="009B2039">
        <w:rPr>
          <w:color w:val="auto"/>
        </w:rPr>
        <w:t xml:space="preserve">The April 2006 MEB forwarded only the lumbar spine condition for Physical Evaluation Board (PEB) adjudication.  </w:t>
      </w:r>
      <w:r w:rsidR="00517723">
        <w:rPr>
          <w:color w:val="auto"/>
        </w:rPr>
        <w:t>On</w:t>
      </w:r>
      <w:r w:rsidR="007331BB" w:rsidRPr="009B2039">
        <w:rPr>
          <w:color w:val="auto"/>
        </w:rPr>
        <w:t xml:space="preserve"> 1 May 2006</w:t>
      </w:r>
      <w:r w:rsidR="00517723">
        <w:rPr>
          <w:color w:val="auto"/>
        </w:rPr>
        <w:t>, the</w:t>
      </w:r>
      <w:r w:rsidR="007331BB" w:rsidRPr="009B2039">
        <w:rPr>
          <w:color w:val="auto"/>
        </w:rPr>
        <w:t xml:space="preserve"> PEB </w:t>
      </w:r>
      <w:r w:rsidR="0081363F" w:rsidRPr="009B2039">
        <w:rPr>
          <w:color w:val="auto"/>
        </w:rPr>
        <w:t xml:space="preserve">found the CI fit for continuation on duty.  </w:t>
      </w:r>
      <w:r w:rsidR="00517723">
        <w:rPr>
          <w:color w:val="auto"/>
        </w:rPr>
        <w:t>On</w:t>
      </w:r>
      <w:r w:rsidR="0081363F" w:rsidRPr="009B2039">
        <w:rPr>
          <w:color w:val="auto"/>
        </w:rPr>
        <w:t xml:space="preserve"> </w:t>
      </w:r>
      <w:r w:rsidR="007331BB" w:rsidRPr="009B2039">
        <w:rPr>
          <w:color w:val="auto"/>
        </w:rPr>
        <w:t xml:space="preserve">8 </w:t>
      </w:r>
      <w:r w:rsidR="0081363F" w:rsidRPr="009B2039">
        <w:rPr>
          <w:color w:val="auto"/>
        </w:rPr>
        <w:t>May 2006</w:t>
      </w:r>
      <w:r w:rsidR="00517723">
        <w:rPr>
          <w:color w:val="auto"/>
        </w:rPr>
        <w:t>,</w:t>
      </w:r>
      <w:r w:rsidR="0081363F" w:rsidRPr="009B2039">
        <w:rPr>
          <w:color w:val="auto"/>
        </w:rPr>
        <w:t xml:space="preserve"> </w:t>
      </w:r>
      <w:r w:rsidRPr="009B2039">
        <w:rPr>
          <w:color w:val="auto"/>
        </w:rPr>
        <w:t>PEB adjudicated the</w:t>
      </w:r>
      <w:r w:rsidR="00FD7150" w:rsidRPr="009B2039">
        <w:rPr>
          <w:color w:val="auto"/>
        </w:rPr>
        <w:t xml:space="preserve"> lumbar </w:t>
      </w:r>
      <w:r w:rsidR="008530E3" w:rsidRPr="009B2039">
        <w:rPr>
          <w:color w:val="auto"/>
        </w:rPr>
        <w:t xml:space="preserve">condition as unfitting, rated </w:t>
      </w:r>
      <w:r w:rsidR="00FD7150" w:rsidRPr="009B2039">
        <w:rPr>
          <w:color w:val="auto"/>
        </w:rPr>
        <w:t>20</w:t>
      </w:r>
      <w:r w:rsidRPr="009B2039">
        <w:rPr>
          <w:color w:val="auto"/>
        </w:rPr>
        <w:t xml:space="preserve">%, </w:t>
      </w:r>
      <w:r w:rsidR="00E46D90" w:rsidRPr="009B2039">
        <w:rPr>
          <w:color w:val="auto"/>
        </w:rPr>
        <w:t xml:space="preserve">with </w:t>
      </w:r>
      <w:r w:rsidR="007331BB" w:rsidRPr="009B2039">
        <w:rPr>
          <w:color w:val="auto"/>
        </w:rPr>
        <w:t xml:space="preserve">probable </w:t>
      </w:r>
      <w:r w:rsidR="00E46D90" w:rsidRPr="009B2039">
        <w:rPr>
          <w:color w:val="auto"/>
        </w:rPr>
        <w:t xml:space="preserve">application of the </w:t>
      </w:r>
      <w:r w:rsidRPr="009B2039">
        <w:rPr>
          <w:color w:val="auto"/>
        </w:rPr>
        <w:t>Veteran</w:t>
      </w:r>
      <w:r w:rsidR="00BF72CA" w:rsidRPr="009B2039">
        <w:rPr>
          <w:color w:val="auto"/>
        </w:rPr>
        <w:t>’</w:t>
      </w:r>
      <w:r w:rsidRPr="009B2039">
        <w:rPr>
          <w:color w:val="auto"/>
        </w:rPr>
        <w:t>s A</w:t>
      </w:r>
      <w:r w:rsidR="00BF72CA" w:rsidRPr="009B2039">
        <w:rPr>
          <w:color w:val="auto"/>
        </w:rPr>
        <w:t>ffairs</w:t>
      </w:r>
      <w:r w:rsidRPr="009B2039">
        <w:rPr>
          <w:color w:val="auto"/>
        </w:rPr>
        <w:t xml:space="preserve"> Schedule for Rating Disabilities (VASRD)</w:t>
      </w:r>
      <w:r w:rsidR="00BF72CA" w:rsidRPr="009B2039">
        <w:rPr>
          <w:color w:val="auto"/>
        </w:rPr>
        <w:t>.</w:t>
      </w:r>
      <w:r w:rsidR="00165C7B" w:rsidRPr="009B2039">
        <w:rPr>
          <w:color w:val="auto"/>
        </w:rPr>
        <w:t xml:space="preserve">  </w:t>
      </w:r>
      <w:r w:rsidRPr="009B2039">
        <w:rPr>
          <w:color w:val="auto"/>
        </w:rPr>
        <w:t xml:space="preserve">The CI made no appeals, and was medically separated with </w:t>
      </w:r>
      <w:r w:rsidR="0066684A" w:rsidRPr="009B2039">
        <w:rPr>
          <w:color w:val="auto"/>
        </w:rPr>
        <w:t xml:space="preserve">a </w:t>
      </w:r>
      <w:r w:rsidR="00FD7150" w:rsidRPr="009B2039">
        <w:rPr>
          <w:color w:val="auto"/>
        </w:rPr>
        <w:t>20</w:t>
      </w:r>
      <w:r w:rsidR="0066684A" w:rsidRPr="009B2039">
        <w:rPr>
          <w:color w:val="auto"/>
        </w:rPr>
        <w:t xml:space="preserve">% </w:t>
      </w:r>
      <w:r w:rsidRPr="009B2039">
        <w:rPr>
          <w:color w:val="auto"/>
        </w:rPr>
        <w:t>disability rating.</w:t>
      </w:r>
      <w:r w:rsidR="00165C7B" w:rsidRPr="009B2039">
        <w:rPr>
          <w:color w:val="auto"/>
        </w:rPr>
        <w:t xml:space="preserve">  </w:t>
      </w:r>
    </w:p>
    <w:p w:rsidR="00042978" w:rsidRPr="009B2039" w:rsidRDefault="00042978" w:rsidP="00042978">
      <w:pPr>
        <w:pBdr>
          <w:bottom w:val="single" w:sz="12" w:space="1" w:color="auto"/>
        </w:pBdr>
        <w:tabs>
          <w:tab w:val="left" w:pos="288"/>
          <w:tab w:val="left" w:pos="4752"/>
        </w:tabs>
        <w:jc w:val="both"/>
        <w:rPr>
          <w:color w:val="auto"/>
        </w:rPr>
      </w:pPr>
    </w:p>
    <w:p w:rsidR="00042978" w:rsidRPr="009B2039" w:rsidRDefault="00042978" w:rsidP="00042978">
      <w:pPr>
        <w:jc w:val="left"/>
        <w:rPr>
          <w:color w:val="auto"/>
          <w:u w:val="single"/>
        </w:rPr>
      </w:pPr>
    </w:p>
    <w:p w:rsidR="00855E73" w:rsidRPr="009B2039" w:rsidRDefault="00AD2379" w:rsidP="00855E73">
      <w:pPr>
        <w:tabs>
          <w:tab w:val="left" w:pos="288"/>
          <w:tab w:val="left" w:pos="4752"/>
        </w:tabs>
        <w:jc w:val="both"/>
        <w:rPr>
          <w:color w:val="auto"/>
        </w:rPr>
      </w:pPr>
      <w:r w:rsidRPr="009B2039">
        <w:rPr>
          <w:color w:val="auto"/>
          <w:u w:val="single"/>
        </w:rPr>
        <w:t>CI CONTENTION</w:t>
      </w:r>
      <w:r w:rsidRPr="009B2039">
        <w:rPr>
          <w:color w:val="auto"/>
        </w:rPr>
        <w:t>:</w:t>
      </w:r>
      <w:r w:rsidR="0066684A" w:rsidRPr="009B2039">
        <w:rPr>
          <w:color w:val="auto"/>
        </w:rPr>
        <w:t xml:space="preserve"> </w:t>
      </w:r>
      <w:r w:rsidR="0019644A" w:rsidRPr="009B2039">
        <w:rPr>
          <w:color w:val="auto"/>
        </w:rPr>
        <w:t xml:space="preserve"> </w:t>
      </w:r>
      <w:r w:rsidR="00582934" w:rsidRPr="009B2039">
        <w:rPr>
          <w:color w:val="000000" w:themeColor="text1"/>
        </w:rPr>
        <w:t xml:space="preserve">“I was not awarded retirement at separation even though I was found unfit per PEB findings DTD 8 May 2006. </w:t>
      </w:r>
      <w:r w:rsidR="00A03194" w:rsidRPr="009B2039">
        <w:rPr>
          <w:color w:val="000000" w:themeColor="text1"/>
        </w:rPr>
        <w:t xml:space="preserve"> </w:t>
      </w:r>
      <w:r w:rsidR="00582934" w:rsidRPr="009B2039">
        <w:rPr>
          <w:color w:val="000000" w:themeColor="text1"/>
        </w:rPr>
        <w:t>I have since had my disability rating increased due to increase in severity of conditions.”</w:t>
      </w:r>
      <w:r w:rsidR="00A03194" w:rsidRPr="009B2039">
        <w:rPr>
          <w:color w:val="auto"/>
        </w:rPr>
        <w:t xml:space="preserve">  </w:t>
      </w:r>
    </w:p>
    <w:p w:rsidR="004306E0" w:rsidRPr="009B2039" w:rsidRDefault="004306E0" w:rsidP="00BF0E94">
      <w:pPr>
        <w:pBdr>
          <w:bottom w:val="single" w:sz="12" w:space="1" w:color="auto"/>
        </w:pBdr>
        <w:tabs>
          <w:tab w:val="left" w:pos="288"/>
          <w:tab w:val="left" w:pos="4752"/>
        </w:tabs>
        <w:jc w:val="both"/>
        <w:rPr>
          <w:color w:val="auto"/>
        </w:rPr>
      </w:pPr>
    </w:p>
    <w:p w:rsidR="007635A8" w:rsidRPr="009B2039" w:rsidRDefault="007635A8" w:rsidP="007635A8">
      <w:pPr>
        <w:jc w:val="both"/>
        <w:rPr>
          <w:color w:val="auto"/>
          <w:u w:val="single"/>
        </w:rPr>
      </w:pPr>
    </w:p>
    <w:p w:rsidR="009239C0" w:rsidRPr="00C566C9" w:rsidRDefault="009239C0" w:rsidP="009239C0">
      <w:pPr>
        <w:jc w:val="both"/>
        <w:rPr>
          <w:color w:val="auto"/>
        </w:rPr>
      </w:pPr>
      <w:r w:rsidRPr="009B2039">
        <w:rPr>
          <w:color w:val="auto"/>
          <w:u w:val="single"/>
        </w:rPr>
        <w:t>SCOPE OF REVIEW</w:t>
      </w:r>
      <w:r w:rsidRPr="009B2039">
        <w:rPr>
          <w:color w:val="auto"/>
        </w:rPr>
        <w:t>:  The Board wishes to clarify that the scope of its re</w:t>
      </w:r>
      <w:r w:rsidR="00AE2B85" w:rsidRPr="009B2039">
        <w:rPr>
          <w:color w:val="auto"/>
        </w:rPr>
        <w:t>view as defined in DoDI 6040.44, Enclosure 3, paragraph 5.e</w:t>
      </w:r>
      <w:proofErr w:type="gramStart"/>
      <w:r w:rsidR="00AE2B85" w:rsidRPr="009B2039">
        <w:rPr>
          <w:color w:val="auto"/>
        </w:rPr>
        <w:t>.(</w:t>
      </w:r>
      <w:proofErr w:type="gramEnd"/>
      <w:r w:rsidR="00AE2B85" w:rsidRPr="009B2039">
        <w:rPr>
          <w:color w:val="auto"/>
        </w:rPr>
        <w:t>2)</w:t>
      </w:r>
      <w:r w:rsidRPr="009B2039">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4D021F">
        <w:rPr>
          <w:color w:val="auto"/>
        </w:rPr>
        <w:t>.</w:t>
      </w:r>
      <w:r w:rsidRPr="009B2039">
        <w:rPr>
          <w:color w:val="auto"/>
        </w:rPr>
        <w:t xml:space="preserve">”  The ratings for unfitting conditions will be reviewed in all cases.  </w:t>
      </w:r>
      <w:r w:rsidR="00A03194" w:rsidRPr="009B2039">
        <w:rPr>
          <w:color w:val="auto"/>
        </w:rPr>
        <w:t>T</w:t>
      </w:r>
      <w:r w:rsidRPr="009B2039">
        <w:rPr>
          <w:color w:val="auto"/>
        </w:rPr>
        <w:t xml:space="preserve">he unfitting </w:t>
      </w:r>
      <w:r w:rsidR="00A03194" w:rsidRPr="009B2039">
        <w:rPr>
          <w:color w:val="auto"/>
        </w:rPr>
        <w:t>Lumbar DDD</w:t>
      </w:r>
      <w:r w:rsidRPr="009B2039">
        <w:rPr>
          <w:color w:val="auto"/>
        </w:rPr>
        <w:t xml:space="preserve"> condition meet</w:t>
      </w:r>
      <w:r w:rsidR="00A03194" w:rsidRPr="009B2039">
        <w:rPr>
          <w:color w:val="auto"/>
        </w:rPr>
        <w:t>s</w:t>
      </w:r>
      <w:r w:rsidRPr="009B2039">
        <w:rPr>
          <w:color w:val="auto"/>
        </w:rPr>
        <w:t xml:space="preserve"> the criteria prescribed in DoDI 6040.44 for Board purview, and </w:t>
      </w:r>
      <w:r w:rsidR="00A03194" w:rsidRPr="009B2039">
        <w:rPr>
          <w:color w:val="auto"/>
        </w:rPr>
        <w:t>is</w:t>
      </w:r>
      <w:r w:rsidRPr="009B2039">
        <w:rPr>
          <w:color w:val="auto"/>
        </w:rPr>
        <w:t xml:space="preserve"> accordingly addressed below.  The remaining conditions rated by the </w:t>
      </w:r>
      <w:r w:rsidR="004D021F">
        <w:rPr>
          <w:color w:val="auto"/>
        </w:rPr>
        <w:t>Department of Veterans’ Affairs (D</w:t>
      </w:r>
      <w:r w:rsidRPr="009B2039">
        <w:rPr>
          <w:color w:val="auto"/>
        </w:rPr>
        <w:t>VA</w:t>
      </w:r>
      <w:r w:rsidR="004D021F">
        <w:rPr>
          <w:color w:val="auto"/>
        </w:rPr>
        <w:t>)</w:t>
      </w:r>
      <w:r w:rsidRPr="009B2039">
        <w:rPr>
          <w:color w:val="auto"/>
        </w:rPr>
        <w:t xml:space="preserve"> at separation and </w:t>
      </w:r>
      <w:r w:rsidR="00A03194" w:rsidRPr="009B2039">
        <w:rPr>
          <w:color w:val="auto"/>
        </w:rPr>
        <w:t>noted</w:t>
      </w:r>
      <w:r w:rsidR="00C50605" w:rsidRPr="009B2039">
        <w:rPr>
          <w:color w:val="auto"/>
        </w:rPr>
        <w:t xml:space="preserve"> on the DA</w:t>
      </w:r>
      <w:r w:rsidR="00C50605">
        <w:rPr>
          <w:color w:val="auto"/>
        </w:rPr>
        <w:t xml:space="preserve"> Form </w:t>
      </w:r>
      <w:r w:rsidRPr="00A03194">
        <w:rPr>
          <w:color w:val="auto"/>
        </w:rPr>
        <w:t>294 are not within the Board’s purview.  Any</w:t>
      </w:r>
      <w:r w:rsidRPr="00C566C9">
        <w:rPr>
          <w:color w:val="auto"/>
        </w:rPr>
        <w:t xml:space="preserve">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FD7150">
        <w:rPr>
          <w:color w:val="auto"/>
        </w:rPr>
        <w:t>the Board for Correction of Naval Records (BCNR).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9B2039" w:rsidRDefault="009B2039">
      <w:pPr>
        <w:spacing w:line="240" w:lineRule="auto"/>
        <w:jc w:val="left"/>
        <w:rPr>
          <w:color w:val="auto"/>
          <w:u w:val="single"/>
        </w:rPr>
      </w:pPr>
      <w:r>
        <w:rPr>
          <w:color w:val="auto"/>
          <w:u w:val="single"/>
        </w:rPr>
        <w:br w:type="page"/>
      </w:r>
    </w:p>
    <w:p w:rsidR="00F90376" w:rsidRPr="004527AE" w:rsidRDefault="00AD2379" w:rsidP="00FD7150">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D7150" w:rsidRPr="004527AE" w:rsidRDefault="00FD7150" w:rsidP="00FD7150">
      <w:pPr>
        <w:jc w:val="left"/>
        <w:rPr>
          <w:color w:val="auto"/>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2178"/>
        <w:gridCol w:w="1080"/>
        <w:gridCol w:w="900"/>
        <w:gridCol w:w="2250"/>
        <w:gridCol w:w="1080"/>
        <w:gridCol w:w="810"/>
        <w:gridCol w:w="1080"/>
      </w:tblGrid>
      <w:tr w:rsidR="00FD7150" w:rsidRPr="009B2039" w:rsidTr="009905E7">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FD7150" w:rsidRPr="009B2039" w:rsidRDefault="004D021F" w:rsidP="009905E7">
            <w:pPr>
              <w:contextualSpacing/>
              <w:rPr>
                <w:rFonts w:cs="Calibri"/>
                <w:b/>
                <w:color w:val="auto"/>
                <w:sz w:val="18"/>
                <w:szCs w:val="18"/>
              </w:rPr>
            </w:pPr>
            <w:r>
              <w:rPr>
                <w:rFonts w:cs="Calibri"/>
                <w:b/>
                <w:color w:val="auto"/>
                <w:sz w:val="18"/>
                <w:szCs w:val="18"/>
              </w:rPr>
              <w:t xml:space="preserve">Service </w:t>
            </w:r>
            <w:r w:rsidR="00FD7150" w:rsidRPr="009B2039">
              <w:rPr>
                <w:rFonts w:cs="Calibri"/>
                <w:b/>
                <w:color w:val="auto"/>
                <w:sz w:val="18"/>
                <w:szCs w:val="18"/>
              </w:rPr>
              <w:t>PEB – Dated 20060508</w:t>
            </w:r>
          </w:p>
        </w:tc>
        <w:tc>
          <w:tcPr>
            <w:tcW w:w="5220" w:type="dxa"/>
            <w:gridSpan w:val="4"/>
            <w:tcBorders>
              <w:left w:val="thinThickThinSmallGap" w:sz="24" w:space="0" w:color="auto"/>
            </w:tcBorders>
            <w:shd w:val="clear" w:color="auto" w:fill="D9D9D9" w:themeFill="background1" w:themeFillShade="D9"/>
            <w:vAlign w:val="center"/>
          </w:tcPr>
          <w:p w:rsidR="00FD7150" w:rsidRPr="009B2039" w:rsidRDefault="00FD7150" w:rsidP="009905E7">
            <w:pPr>
              <w:contextualSpacing/>
              <w:rPr>
                <w:rFonts w:cs="Calibri"/>
                <w:b/>
                <w:color w:val="auto"/>
                <w:sz w:val="18"/>
                <w:szCs w:val="18"/>
              </w:rPr>
            </w:pPr>
            <w:r w:rsidRPr="009B2039">
              <w:rPr>
                <w:rFonts w:cs="Calibri"/>
                <w:b/>
                <w:color w:val="auto"/>
                <w:sz w:val="18"/>
                <w:szCs w:val="18"/>
              </w:rPr>
              <w:t>VA (11 Mo. After Separation) – All Effective Date 20060702</w:t>
            </w:r>
          </w:p>
        </w:tc>
      </w:tr>
      <w:tr w:rsidR="00FD7150" w:rsidRPr="009B2039" w:rsidTr="00F50758">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FD7150" w:rsidRPr="009B2039" w:rsidRDefault="00FD7150" w:rsidP="009905E7">
            <w:pPr>
              <w:contextualSpacing/>
              <w:rPr>
                <w:rFonts w:cs="Calibri"/>
                <w:b/>
                <w:color w:val="auto"/>
                <w:sz w:val="18"/>
                <w:szCs w:val="18"/>
              </w:rPr>
            </w:pPr>
            <w:r w:rsidRPr="009B2039">
              <w:rPr>
                <w:rFonts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FD7150" w:rsidRPr="009B2039" w:rsidRDefault="00FD7150" w:rsidP="009905E7">
            <w:pPr>
              <w:contextualSpacing/>
              <w:rPr>
                <w:rFonts w:cs="Calibri"/>
                <w:b/>
                <w:color w:val="auto"/>
                <w:sz w:val="18"/>
                <w:szCs w:val="18"/>
              </w:rPr>
            </w:pPr>
            <w:r w:rsidRPr="009B2039">
              <w:rPr>
                <w:rFonts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D7150" w:rsidRPr="009B2039" w:rsidRDefault="00FD7150" w:rsidP="009905E7">
            <w:pPr>
              <w:contextualSpacing/>
              <w:rPr>
                <w:rFonts w:cs="Calibri"/>
                <w:b/>
                <w:color w:val="auto"/>
                <w:sz w:val="18"/>
                <w:szCs w:val="18"/>
              </w:rPr>
            </w:pPr>
            <w:r w:rsidRPr="009B2039">
              <w:rPr>
                <w:rFonts w:cs="Calibri"/>
                <w:b/>
                <w:color w:val="auto"/>
                <w:sz w:val="18"/>
                <w:szCs w:val="18"/>
              </w:rPr>
              <w:t>Rating</w:t>
            </w:r>
          </w:p>
        </w:tc>
        <w:tc>
          <w:tcPr>
            <w:tcW w:w="2250" w:type="dxa"/>
            <w:tcBorders>
              <w:left w:val="thinThickThinSmallGap" w:sz="24" w:space="0" w:color="auto"/>
              <w:bottom w:val="single" w:sz="4" w:space="0" w:color="000000" w:themeColor="text1"/>
            </w:tcBorders>
            <w:shd w:val="clear" w:color="auto" w:fill="D9D9D9" w:themeFill="background1" w:themeFillShade="D9"/>
            <w:vAlign w:val="center"/>
          </w:tcPr>
          <w:p w:rsidR="00FD7150" w:rsidRPr="009B2039" w:rsidRDefault="00FD7150" w:rsidP="009905E7">
            <w:pPr>
              <w:contextualSpacing/>
              <w:rPr>
                <w:rFonts w:cs="Calibri"/>
                <w:b/>
                <w:color w:val="auto"/>
                <w:sz w:val="18"/>
                <w:szCs w:val="18"/>
              </w:rPr>
            </w:pPr>
            <w:r w:rsidRPr="009B2039">
              <w:rPr>
                <w:rFonts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FD7150" w:rsidRPr="009B2039" w:rsidRDefault="00FD7150" w:rsidP="009905E7">
            <w:pPr>
              <w:contextualSpacing/>
              <w:rPr>
                <w:rFonts w:cs="Calibri"/>
                <w:b/>
                <w:color w:val="auto"/>
                <w:sz w:val="18"/>
                <w:szCs w:val="18"/>
              </w:rPr>
            </w:pPr>
            <w:r w:rsidRPr="009B2039">
              <w:rPr>
                <w:rFonts w:cs="Calibri"/>
                <w:b/>
                <w:color w:val="auto"/>
                <w:sz w:val="18"/>
                <w:szCs w:val="18"/>
              </w:rPr>
              <w:t>Code</w:t>
            </w:r>
          </w:p>
        </w:tc>
        <w:tc>
          <w:tcPr>
            <w:tcW w:w="810" w:type="dxa"/>
            <w:tcBorders>
              <w:bottom w:val="single" w:sz="4" w:space="0" w:color="000000" w:themeColor="text1"/>
            </w:tcBorders>
            <w:shd w:val="clear" w:color="auto" w:fill="D9D9D9" w:themeFill="background1" w:themeFillShade="D9"/>
            <w:vAlign w:val="center"/>
          </w:tcPr>
          <w:p w:rsidR="00FD7150" w:rsidRPr="009B2039" w:rsidRDefault="00FD7150" w:rsidP="009905E7">
            <w:pPr>
              <w:contextualSpacing/>
              <w:rPr>
                <w:rFonts w:cs="Calibri"/>
                <w:b/>
                <w:color w:val="auto"/>
                <w:sz w:val="18"/>
                <w:szCs w:val="18"/>
              </w:rPr>
            </w:pPr>
            <w:r w:rsidRPr="009B2039">
              <w:rPr>
                <w:rFonts w:cs="Calibri"/>
                <w:b/>
                <w:color w:val="auto"/>
                <w:sz w:val="18"/>
                <w:szCs w:val="18"/>
              </w:rPr>
              <w:t>Rating</w:t>
            </w:r>
          </w:p>
        </w:tc>
        <w:tc>
          <w:tcPr>
            <w:tcW w:w="1080" w:type="dxa"/>
            <w:tcBorders>
              <w:bottom w:val="single" w:sz="4" w:space="0" w:color="000000" w:themeColor="text1"/>
            </w:tcBorders>
            <w:shd w:val="clear" w:color="auto" w:fill="D9D9D9" w:themeFill="background1" w:themeFillShade="D9"/>
            <w:vAlign w:val="center"/>
          </w:tcPr>
          <w:p w:rsidR="00FD7150" w:rsidRPr="009B2039" w:rsidRDefault="00FD7150" w:rsidP="009905E7">
            <w:pPr>
              <w:contextualSpacing/>
              <w:rPr>
                <w:rFonts w:cs="Calibri"/>
                <w:b/>
                <w:color w:val="auto"/>
                <w:sz w:val="18"/>
                <w:szCs w:val="18"/>
              </w:rPr>
            </w:pPr>
            <w:r w:rsidRPr="009B2039">
              <w:rPr>
                <w:rFonts w:cs="Calibri"/>
                <w:b/>
                <w:color w:val="auto"/>
                <w:sz w:val="18"/>
                <w:szCs w:val="18"/>
              </w:rPr>
              <w:t>Exam</w:t>
            </w:r>
          </w:p>
        </w:tc>
      </w:tr>
      <w:tr w:rsidR="00FD7150" w:rsidRPr="009B2039" w:rsidTr="00F50758">
        <w:trPr>
          <w:trHeight w:val="287"/>
          <w:jc w:val="center"/>
        </w:trPr>
        <w:tc>
          <w:tcPr>
            <w:tcW w:w="2178" w:type="dxa"/>
            <w:tcBorders>
              <w:right w:val="single" w:sz="4" w:space="0" w:color="auto"/>
            </w:tcBorders>
            <w:shd w:val="clear" w:color="auto" w:fill="FFFFFF" w:themeFill="background1"/>
            <w:vAlign w:val="center"/>
          </w:tcPr>
          <w:p w:rsidR="00FD7150" w:rsidRPr="009B2039" w:rsidRDefault="00A03194" w:rsidP="00A03194">
            <w:pPr>
              <w:spacing w:line="180" w:lineRule="exact"/>
              <w:contextualSpacing/>
              <w:jc w:val="left"/>
              <w:rPr>
                <w:rFonts w:cs="Calibri"/>
                <w:color w:val="auto"/>
                <w:sz w:val="18"/>
                <w:szCs w:val="18"/>
              </w:rPr>
            </w:pPr>
            <w:r w:rsidRPr="009B2039">
              <w:rPr>
                <w:rFonts w:cs="Calibri"/>
                <w:color w:val="auto"/>
                <w:sz w:val="18"/>
                <w:szCs w:val="18"/>
              </w:rPr>
              <w:t xml:space="preserve">Lumbar </w:t>
            </w:r>
            <w:r w:rsidR="00FD7150" w:rsidRPr="009B2039">
              <w:rPr>
                <w:rFonts w:cs="Calibri"/>
                <w:color w:val="auto"/>
                <w:sz w:val="18"/>
                <w:szCs w:val="18"/>
              </w:rPr>
              <w:t>DDD</w:t>
            </w:r>
          </w:p>
        </w:tc>
        <w:tc>
          <w:tcPr>
            <w:tcW w:w="1080" w:type="dxa"/>
            <w:tcBorders>
              <w:left w:val="single" w:sz="4" w:space="0" w:color="auto"/>
            </w:tcBorders>
            <w:shd w:val="clear" w:color="auto" w:fill="FFFFFF" w:themeFill="background1"/>
            <w:vAlign w:val="center"/>
          </w:tcPr>
          <w:p w:rsidR="00FD7150" w:rsidRPr="009B2039" w:rsidRDefault="00FD7150" w:rsidP="009905E7">
            <w:pPr>
              <w:spacing w:line="180" w:lineRule="exact"/>
              <w:contextualSpacing/>
              <w:rPr>
                <w:rFonts w:cs="Calibri"/>
                <w:color w:val="auto"/>
                <w:sz w:val="18"/>
                <w:szCs w:val="18"/>
              </w:rPr>
            </w:pPr>
            <w:r w:rsidRPr="009B2039">
              <w:rPr>
                <w:rFonts w:cs="Calibri"/>
                <w:color w:val="auto"/>
                <w:sz w:val="18"/>
                <w:szCs w:val="18"/>
              </w:rPr>
              <w:t>5237</w:t>
            </w:r>
          </w:p>
        </w:tc>
        <w:tc>
          <w:tcPr>
            <w:tcW w:w="900" w:type="dxa"/>
            <w:tcBorders>
              <w:right w:val="thinThickThinSmallGap" w:sz="24" w:space="0" w:color="auto"/>
            </w:tcBorders>
            <w:shd w:val="clear" w:color="auto" w:fill="FFFFFF" w:themeFill="background1"/>
            <w:vAlign w:val="center"/>
          </w:tcPr>
          <w:p w:rsidR="00FD7150" w:rsidRPr="009B2039" w:rsidRDefault="00FD7150" w:rsidP="009905E7">
            <w:pPr>
              <w:spacing w:line="180" w:lineRule="exact"/>
              <w:rPr>
                <w:rFonts w:cs="Calibri"/>
                <w:color w:val="auto"/>
                <w:sz w:val="18"/>
                <w:szCs w:val="18"/>
              </w:rPr>
            </w:pPr>
            <w:r w:rsidRPr="009B2039">
              <w:rPr>
                <w:rFonts w:cs="Calibri"/>
                <w:color w:val="auto"/>
                <w:sz w:val="18"/>
                <w:szCs w:val="18"/>
              </w:rPr>
              <w:t>20%</w:t>
            </w:r>
          </w:p>
        </w:tc>
        <w:tc>
          <w:tcPr>
            <w:tcW w:w="2250" w:type="dxa"/>
            <w:tcBorders>
              <w:left w:val="thinThickThinSmallGap" w:sz="24" w:space="0" w:color="auto"/>
            </w:tcBorders>
            <w:shd w:val="clear" w:color="auto" w:fill="FFFFFF" w:themeFill="background1"/>
            <w:vAlign w:val="center"/>
          </w:tcPr>
          <w:p w:rsidR="00FD7150" w:rsidRPr="009B2039" w:rsidRDefault="00FD7150" w:rsidP="009905E7">
            <w:pPr>
              <w:spacing w:line="180" w:lineRule="exact"/>
              <w:contextualSpacing/>
              <w:jc w:val="left"/>
              <w:rPr>
                <w:rFonts w:cs="Calibri"/>
                <w:color w:val="auto"/>
                <w:sz w:val="18"/>
                <w:szCs w:val="18"/>
              </w:rPr>
            </w:pPr>
            <w:r w:rsidRPr="009B2039">
              <w:rPr>
                <w:rFonts w:cs="Calibri"/>
                <w:color w:val="auto"/>
                <w:sz w:val="18"/>
                <w:szCs w:val="18"/>
              </w:rPr>
              <w:t>S/P Microdiskectomy HNP</w:t>
            </w:r>
          </w:p>
        </w:tc>
        <w:tc>
          <w:tcPr>
            <w:tcW w:w="1080" w:type="dxa"/>
            <w:shd w:val="clear" w:color="auto" w:fill="FFFFFF" w:themeFill="background1"/>
            <w:vAlign w:val="center"/>
          </w:tcPr>
          <w:p w:rsidR="00FD7150" w:rsidRPr="009B2039" w:rsidRDefault="00FD7150" w:rsidP="009905E7">
            <w:pPr>
              <w:spacing w:line="180" w:lineRule="exact"/>
              <w:contextualSpacing/>
              <w:rPr>
                <w:rFonts w:cs="Calibri"/>
                <w:color w:val="auto"/>
                <w:sz w:val="18"/>
                <w:szCs w:val="18"/>
              </w:rPr>
            </w:pPr>
            <w:r w:rsidRPr="009B2039">
              <w:rPr>
                <w:rFonts w:cs="Calibri"/>
                <w:color w:val="auto"/>
                <w:sz w:val="18"/>
                <w:szCs w:val="18"/>
              </w:rPr>
              <w:t>5237</w:t>
            </w:r>
          </w:p>
        </w:tc>
        <w:tc>
          <w:tcPr>
            <w:tcW w:w="810" w:type="dxa"/>
            <w:shd w:val="clear" w:color="auto" w:fill="FFFFFF" w:themeFill="background1"/>
            <w:vAlign w:val="center"/>
          </w:tcPr>
          <w:p w:rsidR="00FD7150" w:rsidRPr="009B2039" w:rsidRDefault="00FD7150" w:rsidP="009905E7">
            <w:pPr>
              <w:spacing w:line="180" w:lineRule="exact"/>
              <w:contextualSpacing/>
              <w:rPr>
                <w:rFonts w:cs="Calibri"/>
                <w:color w:val="auto"/>
                <w:sz w:val="18"/>
                <w:szCs w:val="18"/>
              </w:rPr>
            </w:pPr>
            <w:r w:rsidRPr="009B2039">
              <w:rPr>
                <w:rFonts w:cs="Calibri"/>
                <w:color w:val="auto"/>
                <w:sz w:val="18"/>
                <w:szCs w:val="18"/>
              </w:rPr>
              <w:t>0%</w:t>
            </w:r>
          </w:p>
        </w:tc>
        <w:tc>
          <w:tcPr>
            <w:tcW w:w="1080" w:type="dxa"/>
            <w:shd w:val="clear" w:color="auto" w:fill="FFFFFF" w:themeFill="background1"/>
            <w:vAlign w:val="center"/>
          </w:tcPr>
          <w:p w:rsidR="00FD7150" w:rsidRPr="009B2039" w:rsidRDefault="00FD7150" w:rsidP="009905E7">
            <w:pPr>
              <w:spacing w:line="180" w:lineRule="exact"/>
              <w:contextualSpacing/>
              <w:rPr>
                <w:rFonts w:cs="Calibri"/>
                <w:color w:val="auto"/>
                <w:sz w:val="18"/>
                <w:szCs w:val="18"/>
              </w:rPr>
            </w:pPr>
            <w:r w:rsidRPr="009B2039">
              <w:rPr>
                <w:rFonts w:cs="Calibri"/>
                <w:color w:val="auto"/>
                <w:sz w:val="18"/>
                <w:szCs w:val="18"/>
              </w:rPr>
              <w:t>20070604</w:t>
            </w:r>
          </w:p>
        </w:tc>
      </w:tr>
      <w:tr w:rsidR="00FD7150" w:rsidRPr="009B2039" w:rsidTr="00F50758">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D7150" w:rsidRPr="009B2039" w:rsidRDefault="00FD7150" w:rsidP="009905E7">
            <w:pPr>
              <w:spacing w:line="180" w:lineRule="exact"/>
              <w:contextualSpacing/>
              <w:rPr>
                <w:rFonts w:cs="Calibri"/>
                <w:color w:val="auto"/>
                <w:sz w:val="18"/>
                <w:szCs w:val="18"/>
              </w:rPr>
            </w:pPr>
            <w:r w:rsidRPr="009B2039">
              <w:rPr>
                <w:rFonts w:cs="Calibri"/>
                <w:color w:val="auto"/>
                <w:sz w:val="18"/>
                <w:szCs w:val="18"/>
              </w:rPr>
              <w:t>↓No Additional MEB/PEB Entries↓</w:t>
            </w:r>
          </w:p>
        </w:tc>
        <w:tc>
          <w:tcPr>
            <w:tcW w:w="2250" w:type="dxa"/>
            <w:tcBorders>
              <w:left w:val="thinThickThinSmallGap" w:sz="24" w:space="0" w:color="auto"/>
              <w:right w:val="single" w:sz="4" w:space="0" w:color="auto"/>
            </w:tcBorders>
            <w:shd w:val="clear" w:color="auto" w:fill="FFFFFF" w:themeFill="background1"/>
            <w:vAlign w:val="center"/>
          </w:tcPr>
          <w:p w:rsidR="00FD7150" w:rsidRPr="009B2039" w:rsidRDefault="00FD7150" w:rsidP="009905E7">
            <w:pPr>
              <w:spacing w:line="180" w:lineRule="exact"/>
              <w:contextualSpacing/>
              <w:jc w:val="left"/>
              <w:rPr>
                <w:rFonts w:cs="Calibri"/>
                <w:color w:val="auto"/>
                <w:sz w:val="18"/>
                <w:szCs w:val="18"/>
              </w:rPr>
            </w:pPr>
            <w:r w:rsidRPr="009B2039">
              <w:rPr>
                <w:rFonts w:cs="Calibri"/>
                <w:color w:val="auto"/>
                <w:sz w:val="18"/>
                <w:szCs w:val="18"/>
              </w:rPr>
              <w:t>Hypothyroidism</w:t>
            </w:r>
          </w:p>
        </w:tc>
        <w:tc>
          <w:tcPr>
            <w:tcW w:w="1080" w:type="dxa"/>
            <w:tcBorders>
              <w:left w:val="single" w:sz="4" w:space="0" w:color="auto"/>
            </w:tcBorders>
            <w:shd w:val="clear" w:color="auto" w:fill="FFFFFF" w:themeFill="background1"/>
            <w:vAlign w:val="center"/>
          </w:tcPr>
          <w:p w:rsidR="00FD7150" w:rsidRPr="009B2039" w:rsidRDefault="00FD7150" w:rsidP="009905E7">
            <w:pPr>
              <w:spacing w:line="180" w:lineRule="exact"/>
              <w:contextualSpacing/>
              <w:rPr>
                <w:rFonts w:cs="Calibri"/>
                <w:color w:val="auto"/>
                <w:sz w:val="18"/>
                <w:szCs w:val="18"/>
              </w:rPr>
            </w:pPr>
            <w:r w:rsidRPr="009B2039">
              <w:rPr>
                <w:rFonts w:cs="Calibri"/>
                <w:color w:val="auto"/>
                <w:sz w:val="18"/>
                <w:szCs w:val="18"/>
              </w:rPr>
              <w:t>7903</w:t>
            </w:r>
          </w:p>
        </w:tc>
        <w:tc>
          <w:tcPr>
            <w:tcW w:w="810" w:type="dxa"/>
            <w:shd w:val="clear" w:color="auto" w:fill="FFFFFF" w:themeFill="background1"/>
            <w:vAlign w:val="center"/>
          </w:tcPr>
          <w:p w:rsidR="00FD7150" w:rsidRPr="009B2039" w:rsidRDefault="00FD7150" w:rsidP="009905E7">
            <w:pPr>
              <w:spacing w:line="180" w:lineRule="exact"/>
              <w:contextualSpacing/>
              <w:rPr>
                <w:rFonts w:cs="Calibri"/>
                <w:color w:val="auto"/>
                <w:sz w:val="18"/>
                <w:szCs w:val="18"/>
              </w:rPr>
            </w:pPr>
            <w:r w:rsidRPr="009B2039">
              <w:rPr>
                <w:rFonts w:cs="Calibri"/>
                <w:color w:val="auto"/>
                <w:sz w:val="18"/>
                <w:szCs w:val="18"/>
              </w:rPr>
              <w:t>10%</w:t>
            </w:r>
          </w:p>
        </w:tc>
        <w:tc>
          <w:tcPr>
            <w:tcW w:w="1080" w:type="dxa"/>
            <w:shd w:val="clear" w:color="auto" w:fill="FFFFFF" w:themeFill="background1"/>
            <w:vAlign w:val="center"/>
          </w:tcPr>
          <w:p w:rsidR="00FD7150" w:rsidRPr="009B2039" w:rsidRDefault="00FD7150" w:rsidP="009905E7">
            <w:pPr>
              <w:spacing w:line="180" w:lineRule="exact"/>
              <w:contextualSpacing/>
              <w:rPr>
                <w:rFonts w:cs="Calibri"/>
                <w:color w:val="auto"/>
                <w:sz w:val="18"/>
                <w:szCs w:val="18"/>
              </w:rPr>
            </w:pPr>
            <w:r w:rsidRPr="009B2039">
              <w:rPr>
                <w:rFonts w:cs="Calibri"/>
                <w:color w:val="auto"/>
                <w:sz w:val="18"/>
                <w:szCs w:val="18"/>
              </w:rPr>
              <w:t>20070604</w:t>
            </w:r>
          </w:p>
        </w:tc>
      </w:tr>
      <w:tr w:rsidR="00FD7150" w:rsidRPr="009B2039" w:rsidTr="00F50758">
        <w:trPr>
          <w:trHeight w:val="287"/>
          <w:jc w:val="center"/>
        </w:trPr>
        <w:tc>
          <w:tcPr>
            <w:tcW w:w="4158" w:type="dxa"/>
            <w:gridSpan w:val="3"/>
            <w:vMerge/>
            <w:tcBorders>
              <w:right w:val="thinThickThinSmallGap" w:sz="24" w:space="0" w:color="auto"/>
            </w:tcBorders>
            <w:shd w:val="clear" w:color="auto" w:fill="FFFFFF" w:themeFill="background1"/>
            <w:vAlign w:val="center"/>
          </w:tcPr>
          <w:p w:rsidR="00FD7150" w:rsidRPr="009B2039" w:rsidRDefault="00FD7150" w:rsidP="009905E7">
            <w:pPr>
              <w:spacing w:line="180" w:lineRule="exact"/>
              <w:contextualSpacing/>
              <w:rPr>
                <w:rFonts w:cs="Calibri"/>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FD7150" w:rsidRPr="009B2039" w:rsidRDefault="00FD7150" w:rsidP="009905E7">
            <w:pPr>
              <w:spacing w:line="180" w:lineRule="exact"/>
              <w:contextualSpacing/>
              <w:jc w:val="left"/>
              <w:rPr>
                <w:color w:val="auto"/>
                <w:sz w:val="18"/>
              </w:rPr>
            </w:pPr>
            <w:r w:rsidRPr="009B2039">
              <w:rPr>
                <w:rFonts w:cs="Calibri"/>
                <w:color w:val="auto"/>
                <w:sz w:val="18"/>
                <w:szCs w:val="18"/>
              </w:rPr>
              <w:t>PTSD</w:t>
            </w:r>
          </w:p>
        </w:tc>
        <w:tc>
          <w:tcPr>
            <w:tcW w:w="1080" w:type="dxa"/>
            <w:tcBorders>
              <w:left w:val="single" w:sz="4" w:space="0" w:color="auto"/>
            </w:tcBorders>
            <w:shd w:val="clear" w:color="auto" w:fill="FFFFFF" w:themeFill="background1"/>
            <w:vAlign w:val="center"/>
          </w:tcPr>
          <w:p w:rsidR="00FD7150" w:rsidRPr="009B2039" w:rsidRDefault="00FD7150" w:rsidP="009905E7">
            <w:pPr>
              <w:spacing w:line="180" w:lineRule="exact"/>
              <w:contextualSpacing/>
              <w:rPr>
                <w:rFonts w:cs="Calibri"/>
                <w:color w:val="auto"/>
                <w:sz w:val="18"/>
                <w:szCs w:val="18"/>
              </w:rPr>
            </w:pPr>
            <w:r w:rsidRPr="009B2039">
              <w:rPr>
                <w:rFonts w:cs="Calibri"/>
                <w:color w:val="auto"/>
                <w:sz w:val="18"/>
                <w:szCs w:val="18"/>
              </w:rPr>
              <w:t>9411</w:t>
            </w:r>
          </w:p>
        </w:tc>
        <w:tc>
          <w:tcPr>
            <w:tcW w:w="810" w:type="dxa"/>
            <w:shd w:val="clear" w:color="auto" w:fill="FFFFFF" w:themeFill="background1"/>
            <w:vAlign w:val="center"/>
          </w:tcPr>
          <w:p w:rsidR="00FD7150" w:rsidRPr="009B2039" w:rsidRDefault="00FD7150" w:rsidP="009905E7">
            <w:pPr>
              <w:spacing w:line="180" w:lineRule="exact"/>
              <w:contextualSpacing/>
              <w:rPr>
                <w:color w:val="auto"/>
                <w:sz w:val="18"/>
              </w:rPr>
            </w:pPr>
            <w:r w:rsidRPr="009B2039">
              <w:rPr>
                <w:rFonts w:cs="Calibri"/>
                <w:color w:val="auto"/>
                <w:sz w:val="18"/>
                <w:szCs w:val="18"/>
              </w:rPr>
              <w:t>30%</w:t>
            </w:r>
            <w:r w:rsidR="00C50605" w:rsidRPr="009B2039">
              <w:rPr>
                <w:rFonts w:cs="Calibri"/>
                <w:color w:val="auto"/>
                <w:sz w:val="18"/>
                <w:szCs w:val="18"/>
              </w:rPr>
              <w:t>*</w:t>
            </w:r>
          </w:p>
        </w:tc>
        <w:tc>
          <w:tcPr>
            <w:tcW w:w="1080" w:type="dxa"/>
            <w:shd w:val="clear" w:color="auto" w:fill="FFFFFF" w:themeFill="background1"/>
            <w:vAlign w:val="center"/>
          </w:tcPr>
          <w:p w:rsidR="0019644A" w:rsidRPr="009B2039" w:rsidRDefault="00FD7150" w:rsidP="00C50605">
            <w:pPr>
              <w:spacing w:line="180" w:lineRule="exact"/>
              <w:contextualSpacing/>
              <w:rPr>
                <w:rFonts w:cs="Calibri"/>
                <w:color w:val="auto"/>
                <w:sz w:val="18"/>
                <w:szCs w:val="18"/>
              </w:rPr>
            </w:pPr>
            <w:r w:rsidRPr="009B2039">
              <w:rPr>
                <w:rFonts w:cs="Calibri"/>
                <w:color w:val="auto"/>
                <w:sz w:val="18"/>
                <w:szCs w:val="18"/>
              </w:rPr>
              <w:t>200</w:t>
            </w:r>
            <w:r w:rsidR="00C50605" w:rsidRPr="009B2039">
              <w:rPr>
                <w:rFonts w:cs="Calibri"/>
                <w:color w:val="auto"/>
                <w:sz w:val="18"/>
                <w:szCs w:val="18"/>
              </w:rPr>
              <w:t>20725</w:t>
            </w:r>
          </w:p>
          <w:p w:rsidR="00FD7150" w:rsidRPr="009B2039" w:rsidRDefault="0019644A" w:rsidP="00C50605">
            <w:pPr>
              <w:spacing w:line="180" w:lineRule="exact"/>
              <w:contextualSpacing/>
              <w:rPr>
                <w:rFonts w:cs="Calibri"/>
                <w:color w:val="auto"/>
                <w:sz w:val="18"/>
                <w:szCs w:val="18"/>
              </w:rPr>
            </w:pPr>
            <w:r w:rsidRPr="009B2039">
              <w:rPr>
                <w:rFonts w:cs="Calibri"/>
                <w:color w:val="auto"/>
                <w:sz w:val="18"/>
                <w:szCs w:val="18"/>
              </w:rPr>
              <w:t>20070604</w:t>
            </w:r>
            <w:r w:rsidR="00C50605" w:rsidRPr="009B2039">
              <w:rPr>
                <w:rFonts w:cs="Calibri"/>
                <w:color w:val="auto"/>
                <w:sz w:val="18"/>
                <w:szCs w:val="18"/>
              </w:rPr>
              <w:t>*</w:t>
            </w:r>
          </w:p>
        </w:tc>
      </w:tr>
      <w:tr w:rsidR="00F50758" w:rsidRPr="009B2039" w:rsidTr="00F50758">
        <w:trPr>
          <w:trHeight w:val="287"/>
          <w:jc w:val="center"/>
        </w:trPr>
        <w:tc>
          <w:tcPr>
            <w:tcW w:w="4158" w:type="dxa"/>
            <w:gridSpan w:val="3"/>
            <w:vMerge/>
            <w:tcBorders>
              <w:right w:val="thinThickThinSmallGap" w:sz="24" w:space="0" w:color="auto"/>
            </w:tcBorders>
            <w:shd w:val="clear" w:color="auto" w:fill="FFFFFF" w:themeFill="background1"/>
            <w:vAlign w:val="center"/>
          </w:tcPr>
          <w:p w:rsidR="00F50758" w:rsidRPr="009B2039" w:rsidRDefault="00F50758" w:rsidP="009905E7">
            <w:pPr>
              <w:spacing w:line="180" w:lineRule="exact"/>
              <w:contextualSpacing/>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F50758" w:rsidRPr="009B2039" w:rsidRDefault="00F50758" w:rsidP="009905E7">
            <w:pPr>
              <w:spacing w:line="180" w:lineRule="exact"/>
              <w:contextualSpacing/>
              <w:jc w:val="left"/>
              <w:rPr>
                <w:color w:val="auto"/>
                <w:sz w:val="18"/>
                <w:szCs w:val="18"/>
              </w:rPr>
            </w:pPr>
            <w:r w:rsidRPr="009B2039">
              <w:rPr>
                <w:color w:val="auto"/>
                <w:sz w:val="18"/>
                <w:szCs w:val="18"/>
              </w:rPr>
              <w:t>Left PFS (knee) …</w:t>
            </w:r>
          </w:p>
        </w:tc>
        <w:tc>
          <w:tcPr>
            <w:tcW w:w="1080" w:type="dxa"/>
            <w:tcBorders>
              <w:left w:val="single" w:sz="4" w:space="0" w:color="auto"/>
            </w:tcBorders>
            <w:shd w:val="clear" w:color="auto" w:fill="FFFFFF" w:themeFill="background1"/>
            <w:vAlign w:val="center"/>
          </w:tcPr>
          <w:p w:rsidR="00F50758" w:rsidRPr="009B2039" w:rsidRDefault="00F50758" w:rsidP="009905E7">
            <w:pPr>
              <w:spacing w:line="180" w:lineRule="exact"/>
              <w:contextualSpacing/>
              <w:rPr>
                <w:color w:val="auto"/>
                <w:sz w:val="18"/>
                <w:szCs w:val="18"/>
              </w:rPr>
            </w:pPr>
            <w:r w:rsidRPr="009B2039">
              <w:rPr>
                <w:color w:val="auto"/>
                <w:sz w:val="18"/>
                <w:szCs w:val="18"/>
              </w:rPr>
              <w:t>5260-5010</w:t>
            </w:r>
          </w:p>
        </w:tc>
        <w:tc>
          <w:tcPr>
            <w:tcW w:w="810" w:type="dxa"/>
            <w:shd w:val="clear" w:color="auto" w:fill="FFFFFF" w:themeFill="background1"/>
            <w:vAlign w:val="center"/>
          </w:tcPr>
          <w:p w:rsidR="00F50758" w:rsidRPr="009B2039" w:rsidRDefault="00F50758" w:rsidP="009905E7">
            <w:pPr>
              <w:spacing w:line="180" w:lineRule="exact"/>
              <w:contextualSpacing/>
              <w:rPr>
                <w:color w:val="auto"/>
                <w:sz w:val="18"/>
                <w:szCs w:val="18"/>
              </w:rPr>
            </w:pPr>
            <w:r w:rsidRPr="009B2039">
              <w:rPr>
                <w:color w:val="auto"/>
                <w:sz w:val="18"/>
                <w:szCs w:val="18"/>
              </w:rPr>
              <w:t>0%*</w:t>
            </w:r>
          </w:p>
        </w:tc>
        <w:tc>
          <w:tcPr>
            <w:tcW w:w="1080" w:type="dxa"/>
            <w:shd w:val="clear" w:color="auto" w:fill="FFFFFF" w:themeFill="background1"/>
            <w:vAlign w:val="center"/>
          </w:tcPr>
          <w:p w:rsidR="00F50758" w:rsidRPr="009B2039" w:rsidRDefault="00F50758" w:rsidP="00C50605">
            <w:pPr>
              <w:spacing w:line="180" w:lineRule="exact"/>
              <w:contextualSpacing/>
              <w:rPr>
                <w:color w:val="auto"/>
                <w:sz w:val="18"/>
                <w:szCs w:val="18"/>
              </w:rPr>
            </w:pPr>
            <w:r w:rsidRPr="009B2039">
              <w:rPr>
                <w:rFonts w:cs="Calibri"/>
                <w:color w:val="auto"/>
                <w:sz w:val="18"/>
                <w:szCs w:val="18"/>
              </w:rPr>
              <w:t>20070604</w:t>
            </w:r>
          </w:p>
        </w:tc>
      </w:tr>
      <w:tr w:rsidR="00FD7150" w:rsidRPr="009B2039" w:rsidTr="00C50605">
        <w:trPr>
          <w:trHeight w:val="260"/>
          <w:jc w:val="center"/>
        </w:trPr>
        <w:tc>
          <w:tcPr>
            <w:tcW w:w="4158" w:type="dxa"/>
            <w:gridSpan w:val="3"/>
            <w:vMerge/>
            <w:tcBorders>
              <w:right w:val="thinThickThinSmallGap" w:sz="24" w:space="0" w:color="auto"/>
            </w:tcBorders>
            <w:shd w:val="clear" w:color="auto" w:fill="FFFFFF" w:themeFill="background1"/>
          </w:tcPr>
          <w:p w:rsidR="00FD7150" w:rsidRPr="009B2039" w:rsidRDefault="00FD7150" w:rsidP="009905E7">
            <w:pPr>
              <w:spacing w:line="180" w:lineRule="exact"/>
              <w:contextualSpacing/>
              <w:rPr>
                <w:rFonts w:cs="Calibri"/>
                <w:color w:val="auto"/>
                <w:sz w:val="18"/>
                <w:szCs w:val="18"/>
              </w:rPr>
            </w:pPr>
          </w:p>
        </w:tc>
        <w:tc>
          <w:tcPr>
            <w:tcW w:w="4140" w:type="dxa"/>
            <w:gridSpan w:val="3"/>
            <w:tcBorders>
              <w:left w:val="thinThickThinSmallGap" w:sz="24" w:space="0" w:color="auto"/>
            </w:tcBorders>
            <w:shd w:val="clear" w:color="auto" w:fill="FFFFFF" w:themeFill="background1"/>
            <w:vAlign w:val="center"/>
          </w:tcPr>
          <w:p w:rsidR="00FD7150" w:rsidRPr="009B2039" w:rsidRDefault="00FD7150" w:rsidP="00F50758">
            <w:pPr>
              <w:spacing w:line="180" w:lineRule="exact"/>
              <w:contextualSpacing/>
              <w:rPr>
                <w:rFonts w:cs="Calibri"/>
                <w:color w:val="auto"/>
                <w:sz w:val="18"/>
                <w:szCs w:val="18"/>
              </w:rPr>
            </w:pPr>
            <w:r w:rsidRPr="009B2039">
              <w:rPr>
                <w:rFonts w:cs="Calibri"/>
                <w:color w:val="auto"/>
                <w:sz w:val="18"/>
                <w:szCs w:val="18"/>
              </w:rPr>
              <w:t xml:space="preserve">0% x </w:t>
            </w:r>
            <w:r w:rsidR="00F50758" w:rsidRPr="009B2039">
              <w:rPr>
                <w:rFonts w:cs="Calibri"/>
                <w:color w:val="auto"/>
                <w:sz w:val="18"/>
                <w:szCs w:val="18"/>
              </w:rPr>
              <w:t>5</w:t>
            </w:r>
            <w:r w:rsidR="004D021F">
              <w:rPr>
                <w:rFonts w:cs="Calibri"/>
                <w:color w:val="auto"/>
                <w:sz w:val="18"/>
                <w:szCs w:val="18"/>
              </w:rPr>
              <w:t>/Not Service-</w:t>
            </w:r>
            <w:r w:rsidRPr="009B2039">
              <w:rPr>
                <w:rFonts w:cs="Calibri"/>
                <w:color w:val="auto"/>
                <w:sz w:val="18"/>
                <w:szCs w:val="18"/>
              </w:rPr>
              <w:t>Connected x 11</w:t>
            </w:r>
          </w:p>
        </w:tc>
        <w:tc>
          <w:tcPr>
            <w:tcW w:w="1080" w:type="dxa"/>
            <w:shd w:val="clear" w:color="auto" w:fill="FFFFFF" w:themeFill="background1"/>
            <w:vAlign w:val="center"/>
          </w:tcPr>
          <w:p w:rsidR="00FD7150" w:rsidRPr="009B2039" w:rsidRDefault="00FD7150" w:rsidP="009905E7">
            <w:pPr>
              <w:spacing w:line="180" w:lineRule="exact"/>
              <w:contextualSpacing/>
              <w:rPr>
                <w:rFonts w:cs="Calibri"/>
                <w:color w:val="auto"/>
                <w:sz w:val="18"/>
                <w:szCs w:val="18"/>
              </w:rPr>
            </w:pPr>
            <w:r w:rsidRPr="009B2039">
              <w:rPr>
                <w:rFonts w:cs="Calibri"/>
                <w:color w:val="auto"/>
                <w:sz w:val="18"/>
                <w:szCs w:val="18"/>
              </w:rPr>
              <w:t>20070604</w:t>
            </w:r>
          </w:p>
        </w:tc>
      </w:tr>
      <w:tr w:rsidR="00FD7150" w:rsidRPr="009B2039" w:rsidTr="009905E7">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FD7150" w:rsidRPr="009B2039" w:rsidRDefault="00FD7150" w:rsidP="009905E7">
            <w:pPr>
              <w:contextualSpacing/>
              <w:rPr>
                <w:rFonts w:cs="Calibri"/>
                <w:b/>
                <w:color w:val="auto"/>
                <w:sz w:val="18"/>
                <w:szCs w:val="18"/>
              </w:rPr>
            </w:pPr>
            <w:r w:rsidRPr="009B2039">
              <w:rPr>
                <w:rFonts w:cs="Calibri"/>
                <w:b/>
                <w:color w:val="auto"/>
                <w:sz w:val="18"/>
                <w:szCs w:val="18"/>
              </w:rPr>
              <w:t>Combined:  20%</w:t>
            </w:r>
          </w:p>
        </w:tc>
        <w:tc>
          <w:tcPr>
            <w:tcW w:w="5220" w:type="dxa"/>
            <w:gridSpan w:val="4"/>
            <w:tcBorders>
              <w:left w:val="thinThickThinSmallGap" w:sz="24" w:space="0" w:color="auto"/>
            </w:tcBorders>
            <w:shd w:val="clear" w:color="auto" w:fill="D9D9D9" w:themeFill="background1" w:themeFillShade="D9"/>
            <w:vAlign w:val="center"/>
          </w:tcPr>
          <w:p w:rsidR="00FD7150" w:rsidRPr="009B2039" w:rsidRDefault="00FD7150" w:rsidP="009905E7">
            <w:pPr>
              <w:contextualSpacing/>
              <w:rPr>
                <w:rFonts w:cs="Calibri"/>
                <w:b/>
                <w:color w:val="auto"/>
                <w:sz w:val="18"/>
                <w:szCs w:val="18"/>
              </w:rPr>
            </w:pPr>
            <w:r w:rsidRPr="009B2039">
              <w:rPr>
                <w:rFonts w:cs="Calibri"/>
                <w:b/>
                <w:color w:val="auto"/>
                <w:sz w:val="18"/>
                <w:szCs w:val="18"/>
              </w:rPr>
              <w:t>Combined:  40%</w:t>
            </w:r>
            <w:r w:rsidR="0019644A" w:rsidRPr="009B2039">
              <w:rPr>
                <w:rFonts w:cs="Calibri"/>
                <w:b/>
                <w:color w:val="auto"/>
                <w:sz w:val="18"/>
                <w:szCs w:val="18"/>
              </w:rPr>
              <w:t>*</w:t>
            </w:r>
          </w:p>
        </w:tc>
      </w:tr>
    </w:tbl>
    <w:p w:rsidR="00F50758" w:rsidRPr="004527AE" w:rsidRDefault="00F90376" w:rsidP="00C50605">
      <w:pPr>
        <w:tabs>
          <w:tab w:val="left" w:pos="288"/>
          <w:tab w:val="left" w:pos="4752"/>
        </w:tabs>
        <w:spacing w:line="180" w:lineRule="exact"/>
        <w:jc w:val="both"/>
        <w:rPr>
          <w:color w:val="auto"/>
          <w:sz w:val="18"/>
          <w:szCs w:val="18"/>
        </w:rPr>
      </w:pPr>
      <w:r w:rsidRPr="009B2039">
        <w:rPr>
          <w:color w:val="auto"/>
          <w:sz w:val="18"/>
          <w:szCs w:val="18"/>
        </w:rPr>
        <w:t>*</w:t>
      </w:r>
      <w:r w:rsidR="0019644A" w:rsidRPr="009B2039">
        <w:rPr>
          <w:color w:val="auto"/>
          <w:sz w:val="18"/>
          <w:szCs w:val="18"/>
        </w:rPr>
        <w:t xml:space="preserve"> </w:t>
      </w:r>
      <w:r w:rsidR="00FD7150" w:rsidRPr="009B2039">
        <w:rPr>
          <w:color w:val="auto"/>
          <w:sz w:val="18"/>
          <w:szCs w:val="18"/>
        </w:rPr>
        <w:t xml:space="preserve">PTSD rated 10% </w:t>
      </w:r>
      <w:r w:rsidR="0019644A" w:rsidRPr="009B2039">
        <w:rPr>
          <w:color w:val="auto"/>
          <w:sz w:val="18"/>
          <w:szCs w:val="18"/>
        </w:rPr>
        <w:t xml:space="preserve">was </w:t>
      </w:r>
      <w:r w:rsidR="00FD7150" w:rsidRPr="009B2039">
        <w:rPr>
          <w:color w:val="auto"/>
          <w:sz w:val="18"/>
          <w:szCs w:val="18"/>
        </w:rPr>
        <w:t xml:space="preserve">increased to 30% effective </w:t>
      </w:r>
      <w:r w:rsidR="0019644A" w:rsidRPr="009B2039">
        <w:rPr>
          <w:color w:val="auto"/>
          <w:sz w:val="18"/>
          <w:szCs w:val="18"/>
        </w:rPr>
        <w:t xml:space="preserve">20060702 </w:t>
      </w:r>
      <w:r w:rsidR="00FD7150" w:rsidRPr="009B2039">
        <w:rPr>
          <w:color w:val="auto"/>
          <w:sz w:val="18"/>
          <w:szCs w:val="18"/>
        </w:rPr>
        <w:t>on 20080913 Notice of Disagreement</w:t>
      </w:r>
      <w:r w:rsidR="00F50758" w:rsidRPr="009B2039">
        <w:rPr>
          <w:color w:val="auto"/>
          <w:sz w:val="18"/>
          <w:szCs w:val="18"/>
        </w:rPr>
        <w:t>;</w:t>
      </w:r>
      <w:r w:rsidR="0019644A" w:rsidRPr="009B2039">
        <w:rPr>
          <w:color w:val="auto"/>
          <w:sz w:val="18"/>
          <w:szCs w:val="18"/>
        </w:rPr>
        <w:t xml:space="preserve"> </w:t>
      </w:r>
      <w:r w:rsidR="00F50758" w:rsidRPr="009B2039">
        <w:rPr>
          <w:color w:val="auto"/>
          <w:sz w:val="18"/>
          <w:szCs w:val="18"/>
        </w:rPr>
        <w:t>left knee increased to 10% effective 20101027 in VARD of 20110509 (combined 40%)</w:t>
      </w:r>
      <w:r w:rsidR="00F50758" w:rsidRPr="004527AE">
        <w:rPr>
          <w:color w:val="auto"/>
          <w:sz w:val="18"/>
          <w:szCs w:val="18"/>
        </w:rPr>
        <w:t xml:space="preserve"> </w:t>
      </w:r>
      <w:r w:rsidR="0019644A" w:rsidRPr="004527AE">
        <w:rPr>
          <w:color w:val="auto"/>
          <w:sz w:val="18"/>
          <w:szCs w:val="18"/>
        </w:rPr>
        <w:t xml:space="preserve"> </w:t>
      </w:r>
    </w:p>
    <w:p w:rsidR="00F90376" w:rsidRPr="00F64312" w:rsidRDefault="00F90376" w:rsidP="006E4D43">
      <w:pPr>
        <w:pBdr>
          <w:bottom w:val="single" w:sz="12" w:space="0" w:color="auto"/>
        </w:pBdr>
        <w:tabs>
          <w:tab w:val="left" w:pos="288"/>
          <w:tab w:val="left" w:pos="4752"/>
        </w:tabs>
        <w:jc w:val="both"/>
        <w:rPr>
          <w:color w:val="auto"/>
        </w:rPr>
      </w:pPr>
    </w:p>
    <w:p w:rsidR="00AD2379" w:rsidRPr="00F64312" w:rsidRDefault="00AD2379" w:rsidP="00165C7B">
      <w:pPr>
        <w:jc w:val="both"/>
        <w:rPr>
          <w:color w:val="auto"/>
        </w:rPr>
      </w:pPr>
    </w:p>
    <w:p w:rsidR="006E4D43" w:rsidRPr="006E4D43" w:rsidRDefault="00AD2379" w:rsidP="006E4D43">
      <w:pPr>
        <w:tabs>
          <w:tab w:val="left" w:pos="288"/>
          <w:tab w:val="left" w:pos="4752"/>
        </w:tabs>
        <w:jc w:val="both"/>
        <w:rPr>
          <w:color w:val="auto"/>
          <w:szCs w:val="24"/>
        </w:rPr>
      </w:pPr>
      <w:r w:rsidRPr="006E4D43">
        <w:rPr>
          <w:color w:val="auto"/>
          <w:u w:val="single"/>
        </w:rPr>
        <w:t>ANALY</w:t>
      </w:r>
      <w:r w:rsidRPr="006E4D43">
        <w:rPr>
          <w:color w:val="auto"/>
          <w:szCs w:val="24"/>
          <w:u w:val="single"/>
        </w:rPr>
        <w:t>SIS SUMMARY</w:t>
      </w:r>
      <w:r w:rsidRPr="006E4D43">
        <w:rPr>
          <w:color w:val="auto"/>
          <w:szCs w:val="24"/>
        </w:rPr>
        <w:t>:</w:t>
      </w:r>
      <w:r w:rsidR="00896C01" w:rsidRPr="006E4D43">
        <w:rPr>
          <w:color w:val="auto"/>
          <w:szCs w:val="24"/>
        </w:rPr>
        <w:t xml:space="preserve"> </w:t>
      </w:r>
      <w:r w:rsidRPr="006E4D43">
        <w:rPr>
          <w:color w:val="auto"/>
          <w:szCs w:val="24"/>
        </w:rPr>
        <w:t xml:space="preserve"> </w:t>
      </w:r>
      <w:r w:rsidR="006E4D43" w:rsidRPr="006E4D43">
        <w:rPr>
          <w:color w:val="auto"/>
          <w:szCs w:val="24"/>
        </w:rPr>
        <w:t>The Board acknowledges the sentiment expressed in the CI’s application regarding the significant impairment with which her service-incurred condition continues to burden her.  The Board wishes to clarify that it is subject to the same laws for disability entitlements as those under which the Disability Evaluation Syst</w:t>
      </w:r>
      <w:r w:rsidR="004D021F">
        <w:rPr>
          <w:color w:val="auto"/>
          <w:szCs w:val="24"/>
        </w:rPr>
        <w:t xml:space="preserve">em (DES) operates.  The </w:t>
      </w:r>
      <w:r w:rsidR="006E4D43" w:rsidRPr="006E4D43">
        <w:rPr>
          <w:color w:val="auto"/>
          <w:szCs w:val="24"/>
        </w:rPr>
        <w:t xml:space="preserve">DES has neither the role nor the authority to compensate service members for anticipated future severity or potential complications of conditions resulting in medical separation.  That role and authority is granted by Congress to the </w:t>
      </w:r>
      <w:r w:rsidR="004D021F">
        <w:rPr>
          <w:color w:val="auto"/>
          <w:szCs w:val="24"/>
        </w:rPr>
        <w:t>DVA</w:t>
      </w:r>
      <w:r w:rsidR="006E4D43" w:rsidRPr="006E4D43">
        <w:rPr>
          <w:color w:val="auto"/>
          <w:szCs w:val="24"/>
        </w:rPr>
        <w:t xml:space="preserve">, operating under a different set of laws (Title 38, United States Code).  The Board evaluates </w:t>
      </w:r>
      <w:r w:rsidR="004D021F">
        <w:rPr>
          <w:color w:val="auto"/>
          <w:szCs w:val="24"/>
        </w:rPr>
        <w:t>D</w:t>
      </w:r>
      <w:r w:rsidR="006E4D43" w:rsidRPr="006E4D43">
        <w:rPr>
          <w:color w:val="auto"/>
          <w:szCs w:val="24"/>
        </w:rPr>
        <w:t>VA evidence proximal to separation in arriving at its recommendations, but its authority resides in evaluating the fairnes</w:t>
      </w:r>
      <w:r w:rsidR="004D021F">
        <w:rPr>
          <w:color w:val="auto"/>
          <w:szCs w:val="24"/>
        </w:rPr>
        <w:t xml:space="preserve">s of </w:t>
      </w:r>
      <w:r w:rsidR="006E4D43" w:rsidRPr="006E4D43">
        <w:rPr>
          <w:color w:val="auto"/>
          <w:szCs w:val="24"/>
        </w:rPr>
        <w:t>DES fitness decisions and rating determinations for disability at the time of separation.  The Board further acknowledges the CI’s contention for ratings for other conditions documented at the time of separation, and notes that its recommendations in that regard must comply with t</w:t>
      </w:r>
      <w:r w:rsidR="004D021F">
        <w:rPr>
          <w:color w:val="auto"/>
          <w:szCs w:val="24"/>
        </w:rPr>
        <w:t xml:space="preserve">he same governance.  While the </w:t>
      </w:r>
      <w:r w:rsidR="006E4D43" w:rsidRPr="006E4D43">
        <w:rPr>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disposition.  The DVA, however, is </w:t>
      </w:r>
      <w:r w:rsidR="004D021F">
        <w:rPr>
          <w:color w:val="auto"/>
          <w:szCs w:val="24"/>
        </w:rPr>
        <w:t>empowered to compensate service-</w:t>
      </w:r>
      <w:r w:rsidR="006E4D43" w:rsidRPr="006E4D43">
        <w:rPr>
          <w:color w:val="auto"/>
          <w:szCs w:val="24"/>
        </w:rPr>
        <w:t>connected conditions and to periodically re-evaluate said conditions fo</w:t>
      </w:r>
      <w:r w:rsidR="004D021F">
        <w:rPr>
          <w:color w:val="auto"/>
          <w:szCs w:val="24"/>
        </w:rPr>
        <w:t>r the purpose of adjusting the V</w:t>
      </w:r>
      <w:r w:rsidR="006E4D43" w:rsidRPr="006E4D43">
        <w:rPr>
          <w:color w:val="auto"/>
          <w:szCs w:val="24"/>
        </w:rPr>
        <w:t xml:space="preserve">eteran’s disability rating should </w:t>
      </w:r>
      <w:r w:rsidR="004D021F">
        <w:rPr>
          <w:color w:val="auto"/>
          <w:szCs w:val="24"/>
        </w:rPr>
        <w:t>the</w:t>
      </w:r>
      <w:r w:rsidR="006E4D43" w:rsidRPr="006E4D43">
        <w:rPr>
          <w:color w:val="auto"/>
          <w:szCs w:val="24"/>
        </w:rPr>
        <w:t xml:space="preserve"> degree of impairment vary over time.</w:t>
      </w:r>
      <w:r w:rsidR="006E4D43">
        <w:rPr>
          <w:color w:val="auto"/>
          <w:szCs w:val="24"/>
        </w:rPr>
        <w:t xml:space="preserve">  </w:t>
      </w:r>
    </w:p>
    <w:p w:rsidR="00AD2379" w:rsidRPr="00F64312" w:rsidRDefault="00AD2379" w:rsidP="00726F84">
      <w:pPr>
        <w:jc w:val="both"/>
        <w:rPr>
          <w:color w:val="auto"/>
        </w:rPr>
      </w:pPr>
    </w:p>
    <w:p w:rsidR="0069687C" w:rsidRDefault="00A03194" w:rsidP="0069687C">
      <w:pPr>
        <w:jc w:val="both"/>
        <w:rPr>
          <w:color w:val="auto"/>
          <w:szCs w:val="24"/>
        </w:rPr>
      </w:pPr>
      <w:r w:rsidRPr="00A03194">
        <w:rPr>
          <w:color w:val="auto"/>
          <w:u w:val="single"/>
        </w:rPr>
        <w:t>Lumbar DDD</w:t>
      </w:r>
      <w:r w:rsidR="00AD2379" w:rsidRPr="00A03194">
        <w:rPr>
          <w:color w:val="auto"/>
          <w:u w:val="single"/>
        </w:rPr>
        <w:t xml:space="preserve"> Condition</w:t>
      </w:r>
      <w:r w:rsidR="00AD2379" w:rsidRPr="00A03194">
        <w:rPr>
          <w:color w:val="auto"/>
        </w:rPr>
        <w:t>.</w:t>
      </w:r>
      <w:r w:rsidR="00AD2379" w:rsidRPr="00F64312">
        <w:rPr>
          <w:color w:val="auto"/>
        </w:rPr>
        <w:t xml:space="preserve"> </w:t>
      </w:r>
      <w:r w:rsidR="00385708" w:rsidRPr="00F64312">
        <w:rPr>
          <w:color w:val="auto"/>
        </w:rPr>
        <w:t xml:space="preserve"> </w:t>
      </w:r>
      <w:r w:rsidR="0069687C" w:rsidRPr="00F64312">
        <w:rPr>
          <w:color w:val="auto"/>
          <w:szCs w:val="24"/>
        </w:rPr>
        <w:t>There w</w:t>
      </w:r>
      <w:r w:rsidR="000D3083">
        <w:rPr>
          <w:color w:val="auto"/>
          <w:szCs w:val="24"/>
        </w:rPr>
        <w:t>as one</w:t>
      </w:r>
      <w:r w:rsidR="004D021F">
        <w:rPr>
          <w:color w:val="auto"/>
          <w:szCs w:val="24"/>
        </w:rPr>
        <w:t xml:space="preserve"> goniometric range-of-</w:t>
      </w:r>
      <w:r w:rsidR="0069687C" w:rsidRPr="00F64312">
        <w:rPr>
          <w:color w:val="auto"/>
          <w:szCs w:val="24"/>
        </w:rPr>
        <w:t xml:space="preserve">motion (ROM) evaluations in evidence, with </w:t>
      </w:r>
      <w:r w:rsidR="000D3083">
        <w:rPr>
          <w:color w:val="auto"/>
          <w:szCs w:val="24"/>
        </w:rPr>
        <w:t xml:space="preserve">two additional lower back exams including </w:t>
      </w:r>
      <w:r w:rsidR="0069687C" w:rsidRPr="00F64312">
        <w:rPr>
          <w:color w:val="auto"/>
          <w:szCs w:val="24"/>
        </w:rPr>
        <w:t>documentation of additional ratable criteria, which the Board weighed in arriving at its rating recommendation; as summarized in the chart below.</w:t>
      </w:r>
      <w:r w:rsidR="00165C7B" w:rsidRPr="00F64312">
        <w:rPr>
          <w:color w:val="auto"/>
          <w:szCs w:val="24"/>
        </w:rPr>
        <w:t xml:space="preserve">  </w:t>
      </w:r>
    </w:p>
    <w:p w:rsidR="00F50758" w:rsidRDefault="00F50758" w:rsidP="0069687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2108"/>
        <w:gridCol w:w="2281"/>
        <w:gridCol w:w="2430"/>
      </w:tblGrid>
      <w:tr w:rsidR="00FC2444" w:rsidRPr="004527AE" w:rsidTr="000D3083">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C2444" w:rsidRPr="004527AE" w:rsidRDefault="00FC2444" w:rsidP="00275769">
            <w:pPr>
              <w:pStyle w:val="ListParagraph"/>
              <w:spacing w:after="0" w:line="200" w:lineRule="exact"/>
              <w:ind w:left="0"/>
              <w:rPr>
                <w:rFonts w:asciiTheme="majorHAnsi" w:eastAsia="Calibri" w:hAnsiTheme="majorHAnsi" w:cstheme="majorHAnsi"/>
                <w:b/>
                <w:sz w:val="20"/>
                <w:szCs w:val="18"/>
              </w:rPr>
            </w:pPr>
            <w:r w:rsidRPr="004527AE">
              <w:rPr>
                <w:rFonts w:asciiTheme="majorHAnsi" w:eastAsia="Calibri" w:hAnsiTheme="majorHAnsi" w:cstheme="majorHAnsi"/>
                <w:sz w:val="20"/>
                <w:szCs w:val="18"/>
              </w:rPr>
              <w:t>Thoracolumbar ROM</w:t>
            </w:r>
          </w:p>
        </w:tc>
        <w:tc>
          <w:tcPr>
            <w:tcW w:w="2108" w:type="dxa"/>
            <w:tcBorders>
              <w:top w:val="single" w:sz="4" w:space="0" w:color="000000"/>
              <w:left w:val="single" w:sz="4" w:space="0" w:color="000000"/>
              <w:bottom w:val="single" w:sz="4" w:space="0" w:color="000000"/>
              <w:right w:val="single" w:sz="4" w:space="0" w:color="000000"/>
            </w:tcBorders>
            <w:shd w:val="pct15" w:color="auto" w:fill="auto"/>
          </w:tcPr>
          <w:p w:rsidR="00FC2444" w:rsidRPr="004527AE" w:rsidRDefault="00FC2444" w:rsidP="00FC2444">
            <w:pPr>
              <w:spacing w:line="200" w:lineRule="exact"/>
              <w:contextualSpacing/>
              <w:rPr>
                <w:rFonts w:asciiTheme="majorHAnsi" w:eastAsia="Calibri" w:hAnsiTheme="majorHAnsi" w:cstheme="majorHAnsi"/>
                <w:color w:val="auto"/>
                <w:sz w:val="20"/>
                <w:szCs w:val="18"/>
              </w:rPr>
            </w:pPr>
            <w:r w:rsidRPr="004527AE">
              <w:rPr>
                <w:rFonts w:asciiTheme="majorHAnsi" w:eastAsia="Calibri" w:hAnsiTheme="majorHAnsi" w:cstheme="majorHAnsi"/>
                <w:color w:val="auto"/>
                <w:sz w:val="20"/>
                <w:szCs w:val="18"/>
              </w:rPr>
              <w:t>MEB ~14 Mo. Pre-Sep</w:t>
            </w:r>
          </w:p>
          <w:p w:rsidR="00FC2444" w:rsidRPr="004527AE" w:rsidRDefault="00FC2444" w:rsidP="00FC2444">
            <w:pPr>
              <w:spacing w:line="200" w:lineRule="exact"/>
              <w:contextualSpacing/>
              <w:rPr>
                <w:rFonts w:asciiTheme="majorHAnsi" w:eastAsia="Calibri" w:hAnsiTheme="majorHAnsi" w:cstheme="majorHAnsi"/>
                <w:color w:val="auto"/>
                <w:sz w:val="20"/>
                <w:szCs w:val="18"/>
              </w:rPr>
            </w:pPr>
            <w:r w:rsidRPr="004527AE">
              <w:rPr>
                <w:rFonts w:asciiTheme="majorHAnsi" w:eastAsia="Calibri" w:hAnsiTheme="majorHAnsi" w:cstheme="majorHAnsi"/>
                <w:color w:val="auto"/>
                <w:sz w:val="20"/>
                <w:szCs w:val="18"/>
              </w:rPr>
              <w:t>(20051205)</w:t>
            </w:r>
          </w:p>
        </w:tc>
        <w:tc>
          <w:tcPr>
            <w:tcW w:w="22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C2444" w:rsidRPr="004527AE" w:rsidRDefault="000D3083" w:rsidP="00275769">
            <w:pPr>
              <w:spacing w:line="200" w:lineRule="exact"/>
              <w:contextualSpacing/>
              <w:rPr>
                <w:rFonts w:asciiTheme="majorHAnsi" w:eastAsia="Calibri" w:hAnsiTheme="majorHAnsi" w:cstheme="majorHAnsi"/>
                <w:color w:val="auto"/>
                <w:sz w:val="20"/>
                <w:szCs w:val="18"/>
              </w:rPr>
            </w:pPr>
            <w:r w:rsidRPr="004527AE">
              <w:rPr>
                <w:rFonts w:asciiTheme="majorHAnsi" w:eastAsia="Calibri" w:hAnsiTheme="majorHAnsi" w:cstheme="majorHAnsi"/>
                <w:color w:val="auto"/>
                <w:sz w:val="20"/>
                <w:szCs w:val="18"/>
              </w:rPr>
              <w:t>NARSUM</w:t>
            </w:r>
            <w:r w:rsidR="00FC2444" w:rsidRPr="004527AE">
              <w:rPr>
                <w:rFonts w:asciiTheme="majorHAnsi" w:eastAsia="Calibri" w:hAnsiTheme="majorHAnsi" w:cstheme="majorHAnsi"/>
                <w:color w:val="auto"/>
                <w:sz w:val="20"/>
                <w:szCs w:val="18"/>
              </w:rPr>
              <w:t xml:space="preserve"> ~4 Mo. Pre-Sep</w:t>
            </w:r>
          </w:p>
          <w:p w:rsidR="00FC2444" w:rsidRPr="004527AE" w:rsidRDefault="00FC2444" w:rsidP="00275769">
            <w:pPr>
              <w:spacing w:line="200" w:lineRule="exact"/>
              <w:contextualSpacing/>
              <w:rPr>
                <w:rFonts w:asciiTheme="majorHAnsi" w:eastAsia="Calibri" w:hAnsiTheme="majorHAnsi" w:cstheme="majorHAnsi"/>
                <w:color w:val="auto"/>
                <w:sz w:val="20"/>
                <w:szCs w:val="18"/>
              </w:rPr>
            </w:pPr>
            <w:r w:rsidRPr="004527AE">
              <w:rPr>
                <w:rFonts w:asciiTheme="majorHAnsi" w:eastAsia="Calibri" w:hAnsiTheme="majorHAnsi" w:cstheme="majorHAnsi"/>
                <w:color w:val="auto"/>
                <w:sz w:val="20"/>
                <w:szCs w:val="18"/>
              </w:rPr>
              <w:t>(20060323)</w:t>
            </w:r>
          </w:p>
        </w:tc>
        <w:tc>
          <w:tcPr>
            <w:tcW w:w="24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C2444" w:rsidRPr="004527AE" w:rsidRDefault="00FC2444" w:rsidP="00275769">
            <w:pPr>
              <w:spacing w:line="200" w:lineRule="exact"/>
              <w:contextualSpacing/>
              <w:rPr>
                <w:rFonts w:asciiTheme="majorHAnsi" w:eastAsia="Calibri" w:hAnsiTheme="majorHAnsi" w:cstheme="majorHAnsi"/>
                <w:color w:val="auto"/>
                <w:sz w:val="20"/>
                <w:szCs w:val="18"/>
              </w:rPr>
            </w:pPr>
            <w:r w:rsidRPr="004527AE">
              <w:rPr>
                <w:rFonts w:asciiTheme="majorHAnsi" w:eastAsia="Calibri" w:hAnsiTheme="majorHAnsi" w:cstheme="majorHAnsi"/>
                <w:color w:val="auto"/>
                <w:sz w:val="20"/>
                <w:szCs w:val="18"/>
              </w:rPr>
              <w:t>VA</w:t>
            </w:r>
            <w:r w:rsidRPr="004527AE">
              <w:rPr>
                <w:rFonts w:asciiTheme="majorHAnsi" w:eastAsiaTheme="minorHAnsi" w:hAnsiTheme="majorHAnsi" w:cstheme="majorHAnsi"/>
                <w:color w:val="auto"/>
                <w:sz w:val="20"/>
                <w:szCs w:val="18"/>
              </w:rPr>
              <w:t xml:space="preserve"> C&amp;P </w:t>
            </w:r>
            <w:r w:rsidRPr="004527AE">
              <w:rPr>
                <w:rFonts w:asciiTheme="majorHAnsi" w:eastAsia="Calibri" w:hAnsiTheme="majorHAnsi" w:cstheme="majorHAnsi"/>
                <w:color w:val="auto"/>
                <w:sz w:val="20"/>
                <w:szCs w:val="18"/>
              </w:rPr>
              <w:t>~11 Mo. Post-Sep</w:t>
            </w:r>
          </w:p>
          <w:p w:rsidR="00FC2444" w:rsidRPr="004527AE" w:rsidRDefault="00FC2444" w:rsidP="009B2039">
            <w:pPr>
              <w:spacing w:line="200" w:lineRule="exact"/>
              <w:contextualSpacing/>
              <w:rPr>
                <w:rFonts w:asciiTheme="majorHAnsi" w:eastAsiaTheme="minorHAnsi" w:hAnsiTheme="majorHAnsi" w:cstheme="majorHAnsi"/>
                <w:color w:val="auto"/>
                <w:sz w:val="20"/>
                <w:szCs w:val="18"/>
              </w:rPr>
            </w:pPr>
            <w:r w:rsidRPr="004527AE">
              <w:rPr>
                <w:rFonts w:asciiTheme="majorHAnsi" w:eastAsia="Calibri" w:hAnsiTheme="majorHAnsi" w:cstheme="majorHAnsi"/>
                <w:color w:val="auto"/>
                <w:sz w:val="20"/>
                <w:szCs w:val="18"/>
              </w:rPr>
              <w:t>(20070604)</w:t>
            </w:r>
          </w:p>
        </w:tc>
      </w:tr>
      <w:tr w:rsidR="00FC2444" w:rsidRPr="009B2039" w:rsidTr="000D308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hAnsiTheme="majorHAnsi" w:cstheme="majorHAnsi"/>
                <w:sz w:val="20"/>
                <w:szCs w:val="18"/>
              </w:rPr>
              <w:t>Flexion (90⁰ Normal)</w:t>
            </w:r>
          </w:p>
        </w:tc>
        <w:tc>
          <w:tcPr>
            <w:tcW w:w="2108" w:type="dxa"/>
            <w:vMerge w:val="restart"/>
            <w:tcBorders>
              <w:top w:val="single" w:sz="4" w:space="0" w:color="000000"/>
              <w:left w:val="single" w:sz="4" w:space="0" w:color="000000"/>
              <w:right w:val="single" w:sz="4" w:space="0" w:color="000000"/>
            </w:tcBorders>
            <w:vAlign w:val="center"/>
          </w:tcPr>
          <w:p w:rsidR="00FC2444" w:rsidRPr="009B2039" w:rsidRDefault="00FC2444" w:rsidP="00215050">
            <w:pPr>
              <w:spacing w:line="200" w:lineRule="exact"/>
              <w:contextualSpacing/>
              <w:rPr>
                <w:rFonts w:asciiTheme="majorHAnsi" w:eastAsia="Calibri" w:hAnsiTheme="majorHAnsi" w:cstheme="majorHAnsi"/>
                <w:color w:val="auto"/>
                <w:sz w:val="20"/>
                <w:szCs w:val="18"/>
              </w:rPr>
            </w:pPr>
            <w:r w:rsidRPr="009B2039">
              <w:rPr>
                <w:rFonts w:asciiTheme="majorHAnsi" w:eastAsia="Calibri" w:hAnsiTheme="majorHAnsi" w:cstheme="majorHAnsi"/>
                <w:color w:val="auto"/>
                <w:sz w:val="20"/>
                <w:szCs w:val="18"/>
              </w:rPr>
              <w:t>“Not available”</w:t>
            </w:r>
          </w:p>
        </w:tc>
        <w:tc>
          <w:tcPr>
            <w:tcW w:w="2281" w:type="dxa"/>
            <w:vMerge w:val="restart"/>
            <w:tcBorders>
              <w:top w:val="single" w:sz="4" w:space="0" w:color="000000"/>
              <w:left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r w:rsidRPr="009B2039">
              <w:rPr>
                <w:rFonts w:asciiTheme="majorHAnsi" w:eastAsia="Calibri" w:hAnsiTheme="majorHAnsi" w:cstheme="majorHAnsi"/>
                <w:color w:val="auto"/>
                <w:sz w:val="20"/>
                <w:szCs w:val="18"/>
              </w:rPr>
              <w:t>Not measured</w:t>
            </w:r>
          </w:p>
        </w:tc>
        <w:tc>
          <w:tcPr>
            <w:tcW w:w="2430" w:type="dxa"/>
            <w:tcBorders>
              <w:top w:val="single" w:sz="4" w:space="0" w:color="000000"/>
              <w:left w:val="single" w:sz="4" w:space="0" w:color="000000"/>
              <w:bottom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r w:rsidRPr="009B2039">
              <w:rPr>
                <w:rFonts w:asciiTheme="majorHAnsi" w:eastAsia="Calibri" w:hAnsiTheme="majorHAnsi" w:cstheme="majorHAnsi"/>
                <w:color w:val="auto"/>
                <w:sz w:val="20"/>
                <w:szCs w:val="18"/>
              </w:rPr>
              <w:t>90⁰</w:t>
            </w:r>
          </w:p>
        </w:tc>
      </w:tr>
      <w:tr w:rsidR="00FC2444" w:rsidRPr="009B2039" w:rsidTr="000D308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Ext (0-30)</w:t>
            </w:r>
          </w:p>
        </w:tc>
        <w:tc>
          <w:tcPr>
            <w:tcW w:w="2108" w:type="dxa"/>
            <w:vMerge/>
            <w:tcBorders>
              <w:left w:val="single" w:sz="4" w:space="0" w:color="000000"/>
              <w:right w:val="single" w:sz="4" w:space="0" w:color="000000"/>
            </w:tcBorders>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p>
        </w:tc>
        <w:tc>
          <w:tcPr>
            <w:tcW w:w="2281" w:type="dxa"/>
            <w:vMerge/>
            <w:tcBorders>
              <w:left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r w:rsidRPr="009B2039">
              <w:rPr>
                <w:rFonts w:asciiTheme="majorHAnsi" w:eastAsia="Calibri" w:hAnsiTheme="majorHAnsi" w:cstheme="majorHAnsi"/>
                <w:color w:val="auto"/>
                <w:sz w:val="20"/>
                <w:szCs w:val="18"/>
              </w:rPr>
              <w:t>30⁰</w:t>
            </w:r>
          </w:p>
        </w:tc>
      </w:tr>
      <w:tr w:rsidR="00FC2444" w:rsidRPr="009B2039" w:rsidTr="000D3083">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R Lat Flex (0-30)</w:t>
            </w:r>
          </w:p>
        </w:tc>
        <w:tc>
          <w:tcPr>
            <w:tcW w:w="2108" w:type="dxa"/>
            <w:vMerge/>
            <w:tcBorders>
              <w:left w:val="single" w:sz="4" w:space="0" w:color="000000"/>
              <w:right w:val="single" w:sz="4" w:space="0" w:color="000000"/>
            </w:tcBorders>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p>
        </w:tc>
        <w:tc>
          <w:tcPr>
            <w:tcW w:w="2281" w:type="dxa"/>
            <w:vMerge/>
            <w:tcBorders>
              <w:left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r w:rsidRPr="009B2039">
              <w:rPr>
                <w:rFonts w:asciiTheme="majorHAnsi" w:eastAsia="Calibri" w:hAnsiTheme="majorHAnsi" w:cstheme="majorHAnsi"/>
                <w:color w:val="auto"/>
                <w:sz w:val="20"/>
                <w:szCs w:val="18"/>
              </w:rPr>
              <w:t>30⁰</w:t>
            </w:r>
          </w:p>
        </w:tc>
      </w:tr>
      <w:tr w:rsidR="00FC2444" w:rsidRPr="009B2039" w:rsidTr="000D308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L Lat Flex 0-30)</w:t>
            </w:r>
          </w:p>
        </w:tc>
        <w:tc>
          <w:tcPr>
            <w:tcW w:w="2108" w:type="dxa"/>
            <w:vMerge/>
            <w:tcBorders>
              <w:left w:val="single" w:sz="4" w:space="0" w:color="000000"/>
              <w:right w:val="single" w:sz="4" w:space="0" w:color="000000"/>
            </w:tcBorders>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p>
        </w:tc>
        <w:tc>
          <w:tcPr>
            <w:tcW w:w="2281" w:type="dxa"/>
            <w:vMerge/>
            <w:tcBorders>
              <w:left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r w:rsidRPr="009B2039">
              <w:rPr>
                <w:rFonts w:asciiTheme="majorHAnsi" w:eastAsia="Calibri" w:hAnsiTheme="majorHAnsi" w:cstheme="majorHAnsi"/>
                <w:color w:val="auto"/>
                <w:sz w:val="20"/>
                <w:szCs w:val="18"/>
              </w:rPr>
              <w:t>30⁰</w:t>
            </w:r>
          </w:p>
        </w:tc>
      </w:tr>
      <w:tr w:rsidR="00FC2444" w:rsidRPr="009B2039" w:rsidTr="000D308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R Rotation (0-30)</w:t>
            </w:r>
          </w:p>
        </w:tc>
        <w:tc>
          <w:tcPr>
            <w:tcW w:w="2108" w:type="dxa"/>
            <w:vMerge/>
            <w:tcBorders>
              <w:left w:val="single" w:sz="4" w:space="0" w:color="000000"/>
              <w:right w:val="single" w:sz="4" w:space="0" w:color="000000"/>
            </w:tcBorders>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p>
        </w:tc>
        <w:tc>
          <w:tcPr>
            <w:tcW w:w="2281" w:type="dxa"/>
            <w:vMerge/>
            <w:tcBorders>
              <w:left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r w:rsidRPr="009B2039">
              <w:rPr>
                <w:rFonts w:asciiTheme="majorHAnsi" w:eastAsia="Calibri" w:hAnsiTheme="majorHAnsi" w:cstheme="majorHAnsi"/>
                <w:color w:val="auto"/>
                <w:sz w:val="20"/>
                <w:szCs w:val="18"/>
              </w:rPr>
              <w:t>30⁰</w:t>
            </w:r>
          </w:p>
        </w:tc>
      </w:tr>
      <w:tr w:rsidR="00FC2444" w:rsidRPr="009B2039" w:rsidTr="000D308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L Rotation (0-30)</w:t>
            </w:r>
          </w:p>
        </w:tc>
        <w:tc>
          <w:tcPr>
            <w:tcW w:w="2108" w:type="dxa"/>
            <w:vMerge/>
            <w:tcBorders>
              <w:left w:val="single" w:sz="4" w:space="0" w:color="000000"/>
              <w:right w:val="single" w:sz="4" w:space="0" w:color="000000"/>
            </w:tcBorders>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p>
        </w:tc>
        <w:tc>
          <w:tcPr>
            <w:tcW w:w="2281" w:type="dxa"/>
            <w:vMerge/>
            <w:tcBorders>
              <w:left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C2444" w:rsidRPr="009B2039" w:rsidRDefault="00FC2444" w:rsidP="00275769">
            <w:pPr>
              <w:spacing w:line="200" w:lineRule="exact"/>
              <w:contextualSpacing/>
              <w:rPr>
                <w:rFonts w:asciiTheme="majorHAnsi" w:eastAsia="Calibri" w:hAnsiTheme="majorHAnsi" w:cstheme="majorHAnsi"/>
                <w:color w:val="auto"/>
                <w:sz w:val="20"/>
                <w:szCs w:val="18"/>
              </w:rPr>
            </w:pPr>
            <w:r w:rsidRPr="009B2039">
              <w:rPr>
                <w:rFonts w:asciiTheme="majorHAnsi" w:eastAsia="Calibri" w:hAnsiTheme="majorHAnsi" w:cstheme="majorHAnsi"/>
                <w:color w:val="auto"/>
                <w:sz w:val="20"/>
                <w:szCs w:val="18"/>
              </w:rPr>
              <w:t>30⁰</w:t>
            </w:r>
          </w:p>
        </w:tc>
      </w:tr>
      <w:tr w:rsidR="00FC2444" w:rsidRPr="009B2039" w:rsidTr="000D3083">
        <w:trPr>
          <w:trHeight w:val="125"/>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Combined (240⁰)</w:t>
            </w:r>
          </w:p>
        </w:tc>
        <w:tc>
          <w:tcPr>
            <w:tcW w:w="2108" w:type="dxa"/>
            <w:vMerge/>
            <w:tcBorders>
              <w:left w:val="single" w:sz="4" w:space="0" w:color="000000"/>
              <w:bottom w:val="single" w:sz="4" w:space="0" w:color="000000"/>
              <w:right w:val="single" w:sz="4" w:space="0" w:color="000000"/>
            </w:tcBorders>
          </w:tcPr>
          <w:p w:rsidR="00FC2444" w:rsidRPr="009B2039" w:rsidRDefault="00FC2444" w:rsidP="00275769">
            <w:pPr>
              <w:spacing w:line="200" w:lineRule="exact"/>
              <w:rPr>
                <w:rFonts w:asciiTheme="majorHAnsi" w:hAnsiTheme="majorHAnsi" w:cstheme="majorHAnsi"/>
                <w:color w:val="auto"/>
                <w:sz w:val="20"/>
                <w:szCs w:val="18"/>
              </w:rPr>
            </w:pPr>
          </w:p>
        </w:tc>
        <w:tc>
          <w:tcPr>
            <w:tcW w:w="2281" w:type="dxa"/>
            <w:vMerge/>
            <w:tcBorders>
              <w:left w:val="single" w:sz="4" w:space="0" w:color="000000"/>
              <w:bottom w:val="single" w:sz="4" w:space="0" w:color="000000"/>
              <w:right w:val="single" w:sz="4" w:space="0" w:color="000000"/>
            </w:tcBorders>
            <w:vAlign w:val="center"/>
          </w:tcPr>
          <w:p w:rsidR="00FC2444" w:rsidRPr="009B2039" w:rsidRDefault="00FC2444" w:rsidP="00275769">
            <w:pPr>
              <w:spacing w:line="200" w:lineRule="exact"/>
              <w:rPr>
                <w:rFonts w:asciiTheme="majorHAnsi" w:hAnsiTheme="majorHAnsi" w:cstheme="majorHAnsi"/>
                <w:color w:val="auto"/>
                <w:sz w:val="20"/>
                <w:szCs w:val="18"/>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C2444" w:rsidRPr="009B2039" w:rsidRDefault="00FC2444" w:rsidP="00275769">
            <w:pPr>
              <w:spacing w:line="200" w:lineRule="exact"/>
              <w:rPr>
                <w:rFonts w:asciiTheme="majorHAnsi" w:hAnsiTheme="majorHAnsi" w:cstheme="majorHAnsi"/>
                <w:color w:val="auto"/>
                <w:sz w:val="20"/>
                <w:szCs w:val="18"/>
              </w:rPr>
            </w:pPr>
            <w:r w:rsidRPr="009B2039">
              <w:rPr>
                <w:rFonts w:asciiTheme="majorHAnsi" w:eastAsia="Calibri" w:hAnsiTheme="majorHAnsi" w:cstheme="majorHAnsi"/>
                <w:color w:val="auto"/>
                <w:sz w:val="20"/>
                <w:szCs w:val="18"/>
              </w:rPr>
              <w:t>240⁰</w:t>
            </w:r>
          </w:p>
        </w:tc>
      </w:tr>
      <w:tr w:rsidR="00FC2444" w:rsidRPr="009B2039" w:rsidTr="000D308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 xml:space="preserve">Comment:  </w:t>
            </w:r>
          </w:p>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Artificial disc L4/5 &amp; L5/S1 ~10 Mo. Pre-sep (20050829)</w:t>
            </w:r>
          </w:p>
        </w:tc>
        <w:tc>
          <w:tcPr>
            <w:tcW w:w="2108" w:type="dxa"/>
            <w:tcBorders>
              <w:top w:val="single" w:sz="4" w:space="0" w:color="000000"/>
              <w:left w:val="single" w:sz="4" w:space="0" w:color="000000"/>
              <w:bottom w:val="single" w:sz="4" w:space="0" w:color="000000"/>
              <w:right w:val="single" w:sz="4" w:space="0" w:color="000000"/>
            </w:tcBorders>
          </w:tcPr>
          <w:p w:rsidR="00FC2444" w:rsidRPr="009B2039" w:rsidRDefault="00FC2444" w:rsidP="00FC2444">
            <w:pPr>
              <w:pStyle w:val="ListParagraph"/>
              <w:spacing w:after="0" w:line="200" w:lineRule="exact"/>
              <w:ind w:left="0"/>
              <w:jc w:val="left"/>
              <w:rPr>
                <w:rFonts w:asciiTheme="majorHAnsi" w:eastAsia="Calibri" w:hAnsiTheme="majorHAnsi" w:cstheme="majorHAnsi"/>
                <w:sz w:val="20"/>
                <w:szCs w:val="18"/>
              </w:rPr>
            </w:pPr>
            <w:r w:rsidRPr="009B2039">
              <w:rPr>
                <w:rFonts w:asciiTheme="majorHAnsi" w:eastAsia="Calibri" w:hAnsiTheme="majorHAnsi" w:cstheme="majorHAnsi"/>
                <w:sz w:val="20"/>
                <w:szCs w:val="18"/>
              </w:rPr>
              <w:t>Gait with limp; weakness of R proximal muscles; +pain, tender, SLR; (3 Mo. post-operative)</w:t>
            </w:r>
          </w:p>
        </w:tc>
        <w:tc>
          <w:tcPr>
            <w:tcW w:w="2281" w:type="dxa"/>
            <w:tcBorders>
              <w:top w:val="single" w:sz="4" w:space="0" w:color="000000"/>
              <w:left w:val="single" w:sz="4" w:space="0" w:color="000000"/>
              <w:bottom w:val="single" w:sz="4" w:space="0" w:color="000000"/>
              <w:right w:val="single" w:sz="4" w:space="0" w:color="000000"/>
            </w:tcBorders>
            <w:vAlign w:val="center"/>
          </w:tcPr>
          <w:p w:rsidR="00FC2444" w:rsidRPr="009B2039" w:rsidRDefault="00FC2444" w:rsidP="00FC2444">
            <w:pPr>
              <w:pStyle w:val="ListParagraph"/>
              <w:spacing w:after="0" w:line="200" w:lineRule="exact"/>
              <w:ind w:left="0"/>
              <w:jc w:val="left"/>
              <w:rPr>
                <w:rFonts w:asciiTheme="majorHAnsi" w:eastAsia="Calibri" w:hAnsiTheme="majorHAnsi" w:cstheme="majorHAnsi"/>
                <w:sz w:val="20"/>
                <w:szCs w:val="18"/>
              </w:rPr>
            </w:pPr>
            <w:r w:rsidRPr="009B2039">
              <w:rPr>
                <w:rFonts w:asciiTheme="majorHAnsi" w:eastAsia="Calibri" w:hAnsiTheme="majorHAnsi" w:cstheme="majorHAnsi"/>
                <w:sz w:val="20"/>
                <w:szCs w:val="18"/>
              </w:rPr>
              <w:t xml:space="preserve">No weakness or sensory deficit noted; reflexes normal; (7 Mo. post-operative) </w:t>
            </w:r>
          </w:p>
        </w:tc>
        <w:tc>
          <w:tcPr>
            <w:tcW w:w="2430" w:type="dxa"/>
            <w:tcBorders>
              <w:top w:val="single" w:sz="4" w:space="0" w:color="000000"/>
              <w:left w:val="single" w:sz="4" w:space="0" w:color="000000"/>
              <w:bottom w:val="single" w:sz="4" w:space="0" w:color="000000"/>
              <w:right w:val="single" w:sz="4" w:space="0" w:color="000000"/>
            </w:tcBorders>
            <w:vAlign w:val="center"/>
          </w:tcPr>
          <w:p w:rsidR="00FC2444" w:rsidRPr="009B2039" w:rsidRDefault="00FC2444" w:rsidP="00872470">
            <w:pPr>
              <w:pStyle w:val="ListParagraph"/>
              <w:spacing w:after="0" w:line="200" w:lineRule="exact"/>
              <w:ind w:left="0"/>
              <w:jc w:val="left"/>
              <w:rPr>
                <w:rFonts w:asciiTheme="majorHAnsi" w:eastAsia="Calibri" w:hAnsiTheme="majorHAnsi" w:cstheme="majorHAnsi"/>
                <w:sz w:val="20"/>
                <w:szCs w:val="18"/>
              </w:rPr>
            </w:pPr>
            <w:r w:rsidRPr="009B2039">
              <w:rPr>
                <w:rFonts w:asciiTheme="majorHAnsi" w:eastAsia="Calibri" w:hAnsiTheme="majorHAnsi" w:cstheme="majorHAnsi"/>
                <w:sz w:val="20"/>
                <w:szCs w:val="18"/>
              </w:rPr>
              <w:t>Gait normal; no tenderness, spasm or abnormal contour; no radiation of pain; negative DeLuca</w:t>
            </w:r>
          </w:p>
        </w:tc>
      </w:tr>
      <w:tr w:rsidR="00FC2444" w:rsidRPr="009B2039" w:rsidTr="000D308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§4.71a Rating</w:t>
            </w:r>
          </w:p>
        </w:tc>
        <w:tc>
          <w:tcPr>
            <w:tcW w:w="2108" w:type="dxa"/>
            <w:tcBorders>
              <w:top w:val="single" w:sz="4" w:space="0" w:color="000000"/>
              <w:left w:val="single" w:sz="4" w:space="0" w:color="000000"/>
              <w:bottom w:val="single" w:sz="4" w:space="0" w:color="000000"/>
              <w:right w:val="single" w:sz="4" w:space="0" w:color="000000"/>
            </w:tcBorders>
          </w:tcPr>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20%</w:t>
            </w:r>
          </w:p>
        </w:tc>
        <w:tc>
          <w:tcPr>
            <w:tcW w:w="2281" w:type="dxa"/>
            <w:tcBorders>
              <w:top w:val="single" w:sz="4" w:space="0" w:color="000000"/>
              <w:left w:val="single" w:sz="4" w:space="0" w:color="000000"/>
              <w:bottom w:val="single" w:sz="4" w:space="0" w:color="000000"/>
              <w:right w:val="single" w:sz="4" w:space="0" w:color="000000"/>
            </w:tcBorders>
            <w:vAlign w:val="center"/>
          </w:tcPr>
          <w:p w:rsidR="00FC2444" w:rsidRPr="009B2039" w:rsidRDefault="000D3083"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 xml:space="preserve">Unk </w:t>
            </w:r>
            <w:r w:rsidR="00FC2444" w:rsidRPr="009B2039">
              <w:rPr>
                <w:rFonts w:asciiTheme="majorHAnsi" w:eastAsia="Calibri" w:hAnsiTheme="majorHAnsi" w:cstheme="majorHAnsi"/>
                <w:sz w:val="20"/>
                <w:szCs w:val="18"/>
              </w:rPr>
              <w:t>(PEB 20%)</w:t>
            </w:r>
          </w:p>
        </w:tc>
        <w:tc>
          <w:tcPr>
            <w:tcW w:w="2430" w:type="dxa"/>
            <w:tcBorders>
              <w:top w:val="single" w:sz="4" w:space="0" w:color="000000"/>
              <w:left w:val="single" w:sz="4" w:space="0" w:color="000000"/>
              <w:bottom w:val="single" w:sz="4" w:space="0" w:color="000000"/>
              <w:right w:val="single" w:sz="4" w:space="0" w:color="000000"/>
            </w:tcBorders>
            <w:vAlign w:val="center"/>
          </w:tcPr>
          <w:p w:rsidR="00FC2444" w:rsidRPr="009B2039" w:rsidRDefault="00FC2444" w:rsidP="00275769">
            <w:pPr>
              <w:pStyle w:val="ListParagraph"/>
              <w:spacing w:after="0" w:line="200" w:lineRule="exact"/>
              <w:ind w:left="0"/>
              <w:rPr>
                <w:rFonts w:asciiTheme="majorHAnsi" w:eastAsia="Calibri" w:hAnsiTheme="majorHAnsi" w:cstheme="majorHAnsi"/>
                <w:sz w:val="20"/>
                <w:szCs w:val="18"/>
              </w:rPr>
            </w:pPr>
            <w:r w:rsidRPr="009B2039">
              <w:rPr>
                <w:rFonts w:asciiTheme="majorHAnsi" w:eastAsia="Calibri" w:hAnsiTheme="majorHAnsi" w:cstheme="majorHAnsi"/>
                <w:sz w:val="20"/>
                <w:szCs w:val="18"/>
              </w:rPr>
              <w:t>0% (VA 0%)</w:t>
            </w:r>
          </w:p>
        </w:tc>
      </w:tr>
    </w:tbl>
    <w:p w:rsidR="00FD7150" w:rsidRPr="009B2039" w:rsidRDefault="00FD7150" w:rsidP="0069687C">
      <w:pPr>
        <w:jc w:val="both"/>
        <w:rPr>
          <w:color w:val="auto"/>
          <w:szCs w:val="24"/>
        </w:rPr>
      </w:pPr>
    </w:p>
    <w:p w:rsidR="00B60168" w:rsidRPr="009B2039" w:rsidRDefault="00215050" w:rsidP="00091721">
      <w:pPr>
        <w:jc w:val="both"/>
        <w:rPr>
          <w:color w:val="auto"/>
          <w:szCs w:val="24"/>
        </w:rPr>
      </w:pPr>
      <w:r w:rsidRPr="009B2039">
        <w:rPr>
          <w:color w:val="auto"/>
          <w:szCs w:val="24"/>
        </w:rPr>
        <w:lastRenderedPageBreak/>
        <w:t xml:space="preserve">The MEB exam from 14 months prior to separation is charted above, but was during the CI’s post-operative healing and </w:t>
      </w:r>
      <w:r w:rsidR="000D3083" w:rsidRPr="009B2039">
        <w:rPr>
          <w:color w:val="auto"/>
          <w:szCs w:val="24"/>
        </w:rPr>
        <w:t xml:space="preserve">was </w:t>
      </w:r>
      <w:r w:rsidRPr="009B2039">
        <w:rPr>
          <w:color w:val="auto"/>
          <w:szCs w:val="24"/>
        </w:rPr>
        <w:t xml:space="preserve">not considered indicative of the CI’s condition proximate to separation.  The MEB DD Form 2807 and </w:t>
      </w:r>
      <w:r w:rsidR="004D021F">
        <w:rPr>
          <w:color w:val="auto"/>
          <w:szCs w:val="24"/>
        </w:rPr>
        <w:t xml:space="preserve">DD Form </w:t>
      </w:r>
      <w:r w:rsidRPr="009B2039">
        <w:rPr>
          <w:color w:val="auto"/>
          <w:szCs w:val="24"/>
        </w:rPr>
        <w:t>2808</w:t>
      </w:r>
      <w:r w:rsidR="00517723">
        <w:rPr>
          <w:color w:val="auto"/>
          <w:szCs w:val="24"/>
        </w:rPr>
        <w:t>, completed</w:t>
      </w:r>
      <w:r w:rsidRPr="009B2039">
        <w:rPr>
          <w:color w:val="auto"/>
          <w:szCs w:val="24"/>
        </w:rPr>
        <w:t xml:space="preserve"> </w:t>
      </w:r>
      <w:r w:rsidR="004D021F">
        <w:rPr>
          <w:color w:val="auto"/>
          <w:szCs w:val="24"/>
        </w:rPr>
        <w:t>2</w:t>
      </w:r>
      <w:r w:rsidRPr="009B2039">
        <w:rPr>
          <w:color w:val="auto"/>
          <w:szCs w:val="24"/>
        </w:rPr>
        <w:t xml:space="preserve"> months prior to the </w:t>
      </w:r>
      <w:r w:rsidR="000D3083" w:rsidRPr="009B2039">
        <w:rPr>
          <w:color w:val="auto"/>
          <w:szCs w:val="24"/>
        </w:rPr>
        <w:t xml:space="preserve">final </w:t>
      </w:r>
      <w:r w:rsidRPr="009B2039">
        <w:rPr>
          <w:color w:val="auto"/>
          <w:szCs w:val="24"/>
        </w:rPr>
        <w:t>NARSUM</w:t>
      </w:r>
      <w:r w:rsidR="000D3083" w:rsidRPr="009B2039">
        <w:rPr>
          <w:color w:val="auto"/>
          <w:szCs w:val="24"/>
        </w:rPr>
        <w:t>,</w:t>
      </w:r>
      <w:r w:rsidRPr="009B2039">
        <w:rPr>
          <w:color w:val="auto"/>
          <w:szCs w:val="24"/>
        </w:rPr>
        <w:t xml:space="preserve"> indicated subjective numbness of both feet and use of a cane for neuropraxia (nerve pain).  </w:t>
      </w:r>
      <w:r w:rsidR="00CF0280" w:rsidRPr="009B2039">
        <w:rPr>
          <w:color w:val="auto"/>
          <w:szCs w:val="24"/>
        </w:rPr>
        <w:t xml:space="preserve">At the </w:t>
      </w:r>
      <w:r w:rsidRPr="009B2039">
        <w:rPr>
          <w:color w:val="auto"/>
          <w:szCs w:val="24"/>
        </w:rPr>
        <w:t xml:space="preserve">final </w:t>
      </w:r>
      <w:r w:rsidR="00B60168" w:rsidRPr="009B2039">
        <w:rPr>
          <w:color w:val="auto"/>
          <w:szCs w:val="24"/>
        </w:rPr>
        <w:t xml:space="preserve">NARSUM </w:t>
      </w:r>
      <w:r w:rsidR="00CF0280" w:rsidRPr="009B2039">
        <w:rPr>
          <w:color w:val="auto"/>
          <w:szCs w:val="24"/>
        </w:rPr>
        <w:t>exam, the CI reported</w:t>
      </w:r>
      <w:r w:rsidR="00091721" w:rsidRPr="009B2039">
        <w:rPr>
          <w:color w:val="auto"/>
          <w:szCs w:val="24"/>
        </w:rPr>
        <w:t xml:space="preserve"> lower mid back stiffness with right leg weakness, numbness and tingling.  Symptoms were aggravated by prolonged standing or carrying heavy objects and the CI was not on any medicatio</w:t>
      </w:r>
      <w:r w:rsidR="004D021F">
        <w:rPr>
          <w:color w:val="auto"/>
          <w:szCs w:val="24"/>
        </w:rPr>
        <w:t xml:space="preserve">ns for the condition, and was 7 </w:t>
      </w:r>
      <w:r w:rsidR="00091721" w:rsidRPr="009B2039">
        <w:rPr>
          <w:color w:val="auto"/>
          <w:szCs w:val="24"/>
        </w:rPr>
        <w:t xml:space="preserve">months post-operative.  </w:t>
      </w:r>
      <w:r w:rsidR="00CF0280" w:rsidRPr="009B2039">
        <w:rPr>
          <w:color w:val="auto"/>
          <w:szCs w:val="24"/>
        </w:rPr>
        <w:t>The MEB physical exam noted</w:t>
      </w:r>
      <w:r w:rsidR="00091721" w:rsidRPr="009B2039">
        <w:rPr>
          <w:color w:val="auto"/>
          <w:szCs w:val="24"/>
        </w:rPr>
        <w:t xml:space="preserve"> well healed surgical scars (from lumbar discectomy with artificial disc replacement) increasing ROMs (not specified), subjective pain complaints decreasing, </w:t>
      </w:r>
      <w:r w:rsidR="00872470" w:rsidRPr="009B2039">
        <w:rPr>
          <w:color w:val="auto"/>
          <w:szCs w:val="24"/>
        </w:rPr>
        <w:t>and good progression to union with “expected post-operative course, progressing well</w:t>
      </w:r>
      <w:r w:rsidR="004527AE" w:rsidRPr="009B2039">
        <w:rPr>
          <w:color w:val="auto"/>
          <w:szCs w:val="24"/>
        </w:rPr>
        <w:t>”</w:t>
      </w:r>
      <w:r w:rsidR="00B60168" w:rsidRPr="009B2039">
        <w:rPr>
          <w:color w:val="auto"/>
          <w:szCs w:val="24"/>
        </w:rPr>
        <w:t xml:space="preserve">  </w:t>
      </w:r>
    </w:p>
    <w:p w:rsidR="00B60168" w:rsidRPr="009B2039" w:rsidRDefault="00B60168" w:rsidP="00091721">
      <w:pPr>
        <w:jc w:val="both"/>
        <w:rPr>
          <w:color w:val="auto"/>
          <w:szCs w:val="24"/>
        </w:rPr>
      </w:pPr>
    </w:p>
    <w:p w:rsidR="00CF0280" w:rsidRPr="009B2039" w:rsidRDefault="00CF0280" w:rsidP="00091721">
      <w:pPr>
        <w:jc w:val="both"/>
        <w:rPr>
          <w:color w:val="auto"/>
          <w:szCs w:val="24"/>
        </w:rPr>
      </w:pPr>
      <w:r w:rsidRPr="009B2039">
        <w:rPr>
          <w:color w:val="auto"/>
          <w:szCs w:val="24"/>
        </w:rPr>
        <w:t>At the VA Compensation and Pension (C&amp;P) exam</w:t>
      </w:r>
      <w:r w:rsidR="00ED7820" w:rsidRPr="009B2039">
        <w:rPr>
          <w:color w:val="auto"/>
          <w:szCs w:val="24"/>
        </w:rPr>
        <w:t xml:space="preserve"> </w:t>
      </w:r>
      <w:r w:rsidR="00517723">
        <w:rPr>
          <w:color w:val="auto"/>
          <w:szCs w:val="24"/>
        </w:rPr>
        <w:t xml:space="preserve">performed </w:t>
      </w:r>
      <w:r w:rsidR="00872470" w:rsidRPr="009B2039">
        <w:rPr>
          <w:color w:val="auto"/>
          <w:szCs w:val="24"/>
        </w:rPr>
        <w:t xml:space="preserve">11 months </w:t>
      </w:r>
      <w:r w:rsidR="00ED7820" w:rsidRPr="009B2039">
        <w:rPr>
          <w:color w:val="auto"/>
          <w:szCs w:val="24"/>
        </w:rPr>
        <w:t>after separation</w:t>
      </w:r>
      <w:r w:rsidRPr="009B2039">
        <w:rPr>
          <w:color w:val="auto"/>
          <w:szCs w:val="24"/>
        </w:rPr>
        <w:t>, the CI reported</w:t>
      </w:r>
      <w:r w:rsidR="00872470" w:rsidRPr="009B2039">
        <w:rPr>
          <w:color w:val="auto"/>
          <w:szCs w:val="24"/>
        </w:rPr>
        <w:t xml:space="preserve"> no complaints with </w:t>
      </w:r>
      <w:proofErr w:type="gramStart"/>
      <w:r w:rsidR="00872470" w:rsidRPr="009B2039">
        <w:rPr>
          <w:color w:val="auto"/>
          <w:szCs w:val="24"/>
        </w:rPr>
        <w:t>no</w:t>
      </w:r>
      <w:proofErr w:type="gramEnd"/>
      <w:r w:rsidR="00872470" w:rsidRPr="009B2039">
        <w:rPr>
          <w:color w:val="auto"/>
          <w:szCs w:val="24"/>
        </w:rPr>
        <w:t xml:space="preserve"> current treatments or functional impairments related to the lower back.  Back exam and ROMs as charted above were normal aside from scars.  </w:t>
      </w:r>
    </w:p>
    <w:p w:rsidR="00CF0280" w:rsidRPr="009B2039" w:rsidRDefault="00CF0280" w:rsidP="00091721">
      <w:pPr>
        <w:jc w:val="both"/>
        <w:rPr>
          <w:color w:val="auto"/>
          <w:szCs w:val="24"/>
        </w:rPr>
      </w:pPr>
    </w:p>
    <w:p w:rsidR="00626902" w:rsidRPr="009B2039" w:rsidRDefault="00AD2379" w:rsidP="00B60168">
      <w:pPr>
        <w:tabs>
          <w:tab w:val="left" w:pos="288"/>
          <w:tab w:val="left" w:pos="4752"/>
        </w:tabs>
        <w:jc w:val="both"/>
        <w:rPr>
          <w:rFonts w:eastAsia="Calibri" w:cs="Times New Roman"/>
          <w:color w:val="auto"/>
          <w:szCs w:val="24"/>
        </w:rPr>
      </w:pPr>
      <w:r w:rsidRPr="009B2039">
        <w:rPr>
          <w:rFonts w:cs="Times New Roman"/>
          <w:color w:val="auto"/>
        </w:rPr>
        <w:t>The Board directs attenti</w:t>
      </w:r>
      <w:r w:rsidR="00782CC1" w:rsidRPr="009B2039">
        <w:rPr>
          <w:rFonts w:cs="Times New Roman"/>
          <w:color w:val="auto"/>
        </w:rPr>
        <w:t>on to its rating recomm</w:t>
      </w:r>
      <w:r w:rsidR="00FD7150" w:rsidRPr="009B2039">
        <w:rPr>
          <w:rFonts w:cs="Times New Roman"/>
          <w:color w:val="auto"/>
        </w:rPr>
        <w:t>e</w:t>
      </w:r>
      <w:r w:rsidR="00782CC1" w:rsidRPr="009B2039">
        <w:rPr>
          <w:rFonts w:cs="Times New Roman"/>
          <w:color w:val="auto"/>
        </w:rPr>
        <w:t>ndation</w:t>
      </w:r>
      <w:r w:rsidRPr="009B2039">
        <w:rPr>
          <w:rFonts w:cs="Times New Roman"/>
          <w:color w:val="auto"/>
        </w:rPr>
        <w:t xml:space="preserve"> </w:t>
      </w:r>
      <w:r w:rsidR="00B13A51" w:rsidRPr="009B2039">
        <w:rPr>
          <w:rFonts w:cs="Times New Roman"/>
          <w:color w:val="auto"/>
        </w:rPr>
        <w:t>based on the above evidence</w:t>
      </w:r>
      <w:r w:rsidRPr="009B2039">
        <w:rPr>
          <w:rFonts w:cs="Times New Roman"/>
          <w:color w:val="auto"/>
        </w:rPr>
        <w:t>.</w:t>
      </w:r>
      <w:r w:rsidR="00165C7B" w:rsidRPr="009B2039">
        <w:rPr>
          <w:rFonts w:cs="Times New Roman"/>
          <w:color w:val="auto"/>
        </w:rPr>
        <w:t xml:space="preserve">  </w:t>
      </w:r>
      <w:r w:rsidR="000D3083" w:rsidRPr="009B2039">
        <w:rPr>
          <w:rFonts w:cs="Times New Roman"/>
          <w:color w:val="auto"/>
        </w:rPr>
        <w:t>Both the PEB and VA applied the same disability code of 5237</w:t>
      </w:r>
      <w:r w:rsidR="00E1750B" w:rsidRPr="009B2039">
        <w:rPr>
          <w:rFonts w:cs="Times New Roman"/>
          <w:color w:val="auto"/>
        </w:rPr>
        <w:t xml:space="preserve"> which uses the general spine formula criteria</w:t>
      </w:r>
      <w:r w:rsidR="000D3083" w:rsidRPr="009B2039">
        <w:rPr>
          <w:rFonts w:cs="Times New Roman"/>
          <w:color w:val="auto"/>
        </w:rPr>
        <w:t xml:space="preserve">.  </w:t>
      </w:r>
      <w:r w:rsidR="00FC2444" w:rsidRPr="009B2039">
        <w:rPr>
          <w:rFonts w:cs="Times New Roman"/>
          <w:color w:val="auto"/>
        </w:rPr>
        <w:t xml:space="preserve">The Service exams were all during the CI’s post-operative recovery period and did not supply formal ROM measurements.  </w:t>
      </w:r>
      <w:r w:rsidR="000D3083" w:rsidRPr="009B2039">
        <w:rPr>
          <w:rFonts w:cs="Times New Roman"/>
          <w:color w:val="auto"/>
        </w:rPr>
        <w:t>Exams</w:t>
      </w:r>
      <w:r w:rsidR="00FC2444" w:rsidRPr="009B2039">
        <w:rPr>
          <w:rFonts w:cs="Times New Roman"/>
          <w:color w:val="auto"/>
        </w:rPr>
        <w:t xml:space="preserve"> indicated</w:t>
      </w:r>
      <w:r w:rsidR="00FC2444">
        <w:rPr>
          <w:rFonts w:cs="Times New Roman"/>
          <w:color w:val="auto"/>
        </w:rPr>
        <w:t xml:space="preserve"> that the CI was healing well</w:t>
      </w:r>
      <w:r w:rsidR="000D3083">
        <w:rPr>
          <w:rFonts w:cs="Times New Roman"/>
          <w:color w:val="auto"/>
        </w:rPr>
        <w:t>,</w:t>
      </w:r>
      <w:r w:rsidR="00FC2444">
        <w:rPr>
          <w:rFonts w:cs="Times New Roman"/>
          <w:color w:val="auto"/>
        </w:rPr>
        <w:t xml:space="preserve"> and the post-separation VA exam indicated resolution of the CI’s lower back complaints/disability.  </w:t>
      </w:r>
      <w:r w:rsidR="00E1750B">
        <w:rPr>
          <w:rFonts w:cs="Times New Roman"/>
          <w:color w:val="auto"/>
        </w:rPr>
        <w:t xml:space="preserve">No PEB worksheet (JDETS) was in evidence to substantiate the rationale for the PEB 20% adjudication.  </w:t>
      </w:r>
      <w:r w:rsidR="00FC2444">
        <w:rPr>
          <w:rFonts w:cs="Times New Roman"/>
          <w:color w:val="auto"/>
        </w:rPr>
        <w:t>Aside from the surgical admissions, there were no incapacitating episodes</w:t>
      </w:r>
      <w:r w:rsidR="000D3083">
        <w:rPr>
          <w:rFonts w:cs="Times New Roman"/>
          <w:color w:val="auto"/>
        </w:rPr>
        <w:t xml:space="preserve">.  There was no persistent motor or neurologic deficit.  </w:t>
      </w:r>
      <w:r w:rsidR="00FC2444">
        <w:rPr>
          <w:rFonts w:cs="Times New Roman"/>
          <w:color w:val="auto"/>
        </w:rPr>
        <w:t>Records and exams clearly indicated that proximate to separation, the CI’s lower back condition would rate no higher than 20%</w:t>
      </w:r>
      <w:r w:rsidR="00E1750B">
        <w:rPr>
          <w:rFonts w:cs="Times New Roman"/>
          <w:color w:val="auto"/>
        </w:rPr>
        <w:t>, and the Board may not lower a disability rating</w:t>
      </w:r>
      <w:r w:rsidR="00FC2444">
        <w:rPr>
          <w:rFonts w:cs="Times New Roman"/>
          <w:color w:val="auto"/>
        </w:rPr>
        <w:t xml:space="preserve">.  </w:t>
      </w:r>
      <w:r w:rsidR="00626902" w:rsidRPr="00F64312">
        <w:rPr>
          <w:rFonts w:eastAsia="Calibri" w:cs="Times New Roman"/>
          <w:color w:val="auto"/>
          <w:szCs w:val="24"/>
        </w:rPr>
        <w:t xml:space="preserve">After due deliberation, considering all of the evidence and </w:t>
      </w:r>
      <w:r w:rsidR="00626902" w:rsidRPr="009B2039">
        <w:rPr>
          <w:rFonts w:eastAsia="Calibri" w:cs="Times New Roman"/>
          <w:color w:val="auto"/>
          <w:szCs w:val="24"/>
        </w:rPr>
        <w:t xml:space="preserve">mindful of VASRD §4.3 (reasonable doubt), the Board concluded that there was insufficient cause to recommend a change in the PEB adjudication for the </w:t>
      </w:r>
      <w:r w:rsidR="00091721" w:rsidRPr="009B2039">
        <w:rPr>
          <w:rFonts w:eastAsia="Calibri" w:cs="Times New Roman"/>
          <w:color w:val="auto"/>
          <w:szCs w:val="24"/>
        </w:rPr>
        <w:t>lumbar DDD</w:t>
      </w:r>
      <w:r w:rsidR="00626902" w:rsidRPr="009B2039">
        <w:rPr>
          <w:rFonts w:eastAsia="Calibri" w:cs="Times New Roman"/>
          <w:color w:val="auto"/>
          <w:szCs w:val="24"/>
        </w:rPr>
        <w:t xml:space="preserve"> condition.</w:t>
      </w:r>
      <w:r w:rsidR="00165C7B" w:rsidRPr="009B2039">
        <w:rPr>
          <w:rFonts w:eastAsia="Calibri" w:cs="Times New Roman"/>
          <w:color w:val="auto"/>
          <w:szCs w:val="24"/>
        </w:rPr>
        <w:t xml:space="preserve">  </w:t>
      </w:r>
    </w:p>
    <w:p w:rsidR="003863E9" w:rsidRPr="009B2039" w:rsidRDefault="003863E9" w:rsidP="003863E9">
      <w:pPr>
        <w:pBdr>
          <w:bottom w:val="single" w:sz="12" w:space="1" w:color="auto"/>
        </w:pBdr>
        <w:tabs>
          <w:tab w:val="left" w:pos="288"/>
          <w:tab w:val="left" w:pos="4752"/>
        </w:tabs>
        <w:jc w:val="both"/>
        <w:rPr>
          <w:color w:val="auto"/>
        </w:rPr>
      </w:pPr>
    </w:p>
    <w:p w:rsidR="00AD2379" w:rsidRPr="009B2039" w:rsidRDefault="00AD2379" w:rsidP="006364ED">
      <w:pPr>
        <w:jc w:val="left"/>
        <w:rPr>
          <w:color w:val="auto"/>
        </w:rPr>
      </w:pPr>
    </w:p>
    <w:p w:rsidR="00417BED" w:rsidRPr="009B2039" w:rsidRDefault="00AD2379" w:rsidP="00417BED">
      <w:pPr>
        <w:jc w:val="both"/>
        <w:rPr>
          <w:rFonts w:eastAsia="Calibri" w:cs="Times New Roman"/>
          <w:color w:val="auto"/>
          <w:szCs w:val="24"/>
        </w:rPr>
      </w:pPr>
      <w:r w:rsidRPr="009B2039">
        <w:rPr>
          <w:color w:val="auto"/>
          <w:u w:val="single"/>
        </w:rPr>
        <w:t>BOARD FINDINGS</w:t>
      </w:r>
      <w:r w:rsidRPr="009B2039">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9B2039">
        <w:rPr>
          <w:rFonts w:cs="Times New Roman"/>
          <w:color w:val="auto"/>
        </w:rPr>
        <w:t>.</w:t>
      </w:r>
      <w:r w:rsidR="006B690F" w:rsidRPr="009B2039">
        <w:rPr>
          <w:rFonts w:cs="Times New Roman"/>
          <w:color w:val="auto"/>
        </w:rPr>
        <w:t xml:space="preserve">  </w:t>
      </w:r>
      <w:r w:rsidRPr="009B2039">
        <w:rPr>
          <w:rFonts w:cs="Times New Roman"/>
          <w:color w:val="auto"/>
        </w:rPr>
        <w:t>The Board did not surmise from the record or PEB ruling in this case that any prerogatives outside the VASRD were exercised.</w:t>
      </w:r>
      <w:r w:rsidR="006B690F" w:rsidRPr="009B2039">
        <w:rPr>
          <w:rFonts w:cs="Times New Roman"/>
          <w:color w:val="auto"/>
        </w:rPr>
        <w:t xml:space="preserve">  </w:t>
      </w:r>
      <w:r w:rsidR="00560F12" w:rsidRPr="009B2039">
        <w:rPr>
          <w:rFonts w:eastAsia="Calibri" w:cs="Times New Roman"/>
          <w:color w:val="auto"/>
          <w:szCs w:val="24"/>
        </w:rPr>
        <w:t xml:space="preserve">In the matter of the </w:t>
      </w:r>
      <w:r w:rsidR="000D3083" w:rsidRPr="009B2039">
        <w:rPr>
          <w:rFonts w:eastAsia="Calibri" w:cs="Times New Roman"/>
          <w:color w:val="auto"/>
          <w:szCs w:val="24"/>
        </w:rPr>
        <w:t>lower back</w:t>
      </w:r>
      <w:r w:rsidR="00560F12" w:rsidRPr="009B2039">
        <w:rPr>
          <w:rFonts w:eastAsia="Calibri" w:cs="Times New Roman"/>
          <w:color w:val="auto"/>
          <w:szCs w:val="24"/>
        </w:rPr>
        <w:t xml:space="preserve"> condition and IAW VASRD §4.71a, the Board unanimously recommends no change in the PEB adjudication.</w:t>
      </w:r>
      <w:r w:rsidR="006B690F" w:rsidRPr="009B2039">
        <w:rPr>
          <w:rFonts w:eastAsia="Calibri" w:cs="Times New Roman"/>
          <w:color w:val="auto"/>
          <w:szCs w:val="24"/>
        </w:rPr>
        <w:t xml:space="preserve">  </w:t>
      </w:r>
      <w:r w:rsidR="00417BED" w:rsidRPr="009B2039">
        <w:rPr>
          <w:rFonts w:eastAsia="Calibri" w:cs="Times New Roman"/>
          <w:color w:val="auto"/>
          <w:szCs w:val="24"/>
        </w:rPr>
        <w:t>There were no other conditions within the Board’s scope of review for consideration.</w:t>
      </w:r>
      <w:r w:rsidR="00165C7B" w:rsidRPr="009B2039">
        <w:rPr>
          <w:rFonts w:eastAsia="Calibri" w:cs="Times New Roman"/>
          <w:color w:val="auto"/>
          <w:szCs w:val="24"/>
        </w:rPr>
        <w:t xml:space="preserve">  </w:t>
      </w:r>
    </w:p>
    <w:p w:rsidR="00AD2379" w:rsidRPr="009B2039" w:rsidRDefault="00AD2379" w:rsidP="00BF0E94">
      <w:pPr>
        <w:pBdr>
          <w:bottom w:val="single" w:sz="12" w:space="1" w:color="auto"/>
        </w:pBdr>
        <w:tabs>
          <w:tab w:val="left" w:pos="288"/>
          <w:tab w:val="left" w:pos="4752"/>
        </w:tabs>
        <w:jc w:val="both"/>
        <w:rPr>
          <w:color w:val="auto"/>
        </w:rPr>
      </w:pPr>
    </w:p>
    <w:p w:rsidR="00AD2379" w:rsidRPr="009B2039" w:rsidRDefault="00AD2379" w:rsidP="006364ED">
      <w:pPr>
        <w:jc w:val="left"/>
        <w:rPr>
          <w:color w:val="auto"/>
        </w:rPr>
      </w:pPr>
    </w:p>
    <w:p w:rsidR="009B2039" w:rsidRDefault="009B2039">
      <w:pPr>
        <w:spacing w:line="240" w:lineRule="auto"/>
        <w:jc w:val="left"/>
        <w:rPr>
          <w:color w:val="auto"/>
          <w:u w:val="single"/>
        </w:rPr>
      </w:pPr>
      <w:r>
        <w:rPr>
          <w:color w:val="auto"/>
          <w:u w:val="single"/>
        </w:rPr>
        <w:br w:type="page"/>
      </w:r>
    </w:p>
    <w:p w:rsidR="00AD2379" w:rsidRPr="003D0161" w:rsidRDefault="00AD2379" w:rsidP="00B22D42">
      <w:pPr>
        <w:jc w:val="left"/>
        <w:rPr>
          <w:color w:val="auto"/>
        </w:rPr>
      </w:pPr>
      <w:r w:rsidRPr="009B2039">
        <w:rPr>
          <w:color w:val="auto"/>
          <w:u w:val="single"/>
        </w:rPr>
        <w:lastRenderedPageBreak/>
        <w:t>RECOMMENDATION</w:t>
      </w:r>
      <w:r w:rsidRPr="009B2039">
        <w:rPr>
          <w:color w:val="auto"/>
        </w:rPr>
        <w:t xml:space="preserve">: </w:t>
      </w:r>
      <w:r w:rsidR="006B690F" w:rsidRPr="009B2039">
        <w:rPr>
          <w:color w:val="auto"/>
        </w:rPr>
        <w:t xml:space="preserve"> </w:t>
      </w:r>
      <w:r w:rsidRPr="009B2039">
        <w:rPr>
          <w:color w:val="auto"/>
        </w:rPr>
        <w:t>The Board</w:t>
      </w:r>
      <w:r w:rsidRPr="00F64312">
        <w:rPr>
          <w:color w:val="auto"/>
        </w:rPr>
        <w:t xml:space="preserve">, therefore, recommends that there </w:t>
      </w:r>
      <w:r w:rsidRPr="000D3083">
        <w:rPr>
          <w:color w:val="auto"/>
        </w:rPr>
        <w:t>be no recharacterization</w:t>
      </w:r>
      <w:r w:rsidRPr="00F64312">
        <w:rPr>
          <w:color w:val="auto"/>
        </w:rPr>
        <w:t xml:space="preserve"> of </w:t>
      </w:r>
      <w:r w:rsidRPr="000D3083">
        <w:rPr>
          <w:color w:val="auto"/>
        </w:rPr>
        <w:t>the CI’s disability and separation determination, as follows:</w:t>
      </w:r>
      <w:r w:rsidR="006B690F" w:rsidRPr="000D3083">
        <w:rPr>
          <w:color w:val="auto"/>
        </w:rPr>
        <w:t xml:space="preserve">  </w:t>
      </w:r>
    </w:p>
    <w:p w:rsidR="00A03194" w:rsidRPr="003D0161" w:rsidRDefault="00A03194"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3D0161" w:rsidTr="006B690F">
        <w:trPr>
          <w:trHeight w:val="233"/>
          <w:jc w:val="center"/>
        </w:trPr>
        <w:tc>
          <w:tcPr>
            <w:tcW w:w="6768" w:type="dxa"/>
            <w:shd w:val="clear" w:color="auto" w:fill="D9D9D9"/>
            <w:vAlign w:val="center"/>
          </w:tcPr>
          <w:p w:rsidR="00AD2379" w:rsidRPr="003D0161" w:rsidRDefault="00AD2379" w:rsidP="006B690F">
            <w:pPr>
              <w:tabs>
                <w:tab w:val="left" w:pos="288"/>
                <w:tab w:val="left" w:pos="4752"/>
              </w:tabs>
              <w:rPr>
                <w:b/>
                <w:color w:val="auto"/>
              </w:rPr>
            </w:pPr>
            <w:r w:rsidRPr="003D0161">
              <w:rPr>
                <w:b/>
                <w:color w:val="auto"/>
              </w:rPr>
              <w:t>UNFITTING CONDITION</w:t>
            </w:r>
          </w:p>
        </w:tc>
        <w:tc>
          <w:tcPr>
            <w:tcW w:w="1530" w:type="dxa"/>
            <w:shd w:val="clear" w:color="auto" w:fill="D9D9D9"/>
            <w:vAlign w:val="center"/>
          </w:tcPr>
          <w:p w:rsidR="00AD2379" w:rsidRPr="003D0161" w:rsidRDefault="00AD2379" w:rsidP="006B690F">
            <w:pPr>
              <w:tabs>
                <w:tab w:val="left" w:pos="288"/>
                <w:tab w:val="left" w:pos="4752"/>
              </w:tabs>
              <w:rPr>
                <w:b/>
                <w:color w:val="auto"/>
              </w:rPr>
            </w:pPr>
            <w:r w:rsidRPr="003D0161">
              <w:rPr>
                <w:b/>
                <w:color w:val="auto"/>
              </w:rPr>
              <w:t>VASRD CODE</w:t>
            </w:r>
          </w:p>
        </w:tc>
        <w:tc>
          <w:tcPr>
            <w:tcW w:w="1026" w:type="dxa"/>
            <w:shd w:val="clear" w:color="auto" w:fill="D9D9D9"/>
            <w:vAlign w:val="center"/>
          </w:tcPr>
          <w:p w:rsidR="00AD2379" w:rsidRPr="003D0161" w:rsidRDefault="00AD2379" w:rsidP="006B690F">
            <w:pPr>
              <w:tabs>
                <w:tab w:val="left" w:pos="288"/>
                <w:tab w:val="left" w:pos="4752"/>
              </w:tabs>
              <w:rPr>
                <w:b/>
                <w:color w:val="auto"/>
              </w:rPr>
            </w:pPr>
            <w:r w:rsidRPr="003D0161">
              <w:rPr>
                <w:b/>
                <w:color w:val="auto"/>
              </w:rPr>
              <w:t>RATING</w:t>
            </w:r>
          </w:p>
        </w:tc>
      </w:tr>
      <w:tr w:rsidR="00AD2379" w:rsidRPr="003D0161" w:rsidTr="006B690F">
        <w:trPr>
          <w:jc w:val="center"/>
        </w:trPr>
        <w:tc>
          <w:tcPr>
            <w:tcW w:w="6768" w:type="dxa"/>
            <w:vAlign w:val="center"/>
          </w:tcPr>
          <w:p w:rsidR="00AD2379" w:rsidRPr="003D0161" w:rsidRDefault="00A03194" w:rsidP="006B690F">
            <w:pPr>
              <w:tabs>
                <w:tab w:val="left" w:pos="288"/>
                <w:tab w:val="left" w:pos="4752"/>
              </w:tabs>
              <w:jc w:val="left"/>
              <w:rPr>
                <w:color w:val="auto"/>
              </w:rPr>
            </w:pPr>
            <w:r w:rsidRPr="003D0161">
              <w:rPr>
                <w:color w:val="auto"/>
              </w:rPr>
              <w:t>Lumbar DDD</w:t>
            </w:r>
          </w:p>
        </w:tc>
        <w:tc>
          <w:tcPr>
            <w:tcW w:w="1530" w:type="dxa"/>
            <w:vAlign w:val="center"/>
          </w:tcPr>
          <w:p w:rsidR="00AD2379" w:rsidRPr="003D0161" w:rsidRDefault="00A03194" w:rsidP="006B690F">
            <w:pPr>
              <w:tabs>
                <w:tab w:val="left" w:pos="288"/>
                <w:tab w:val="left" w:pos="4752"/>
              </w:tabs>
              <w:rPr>
                <w:color w:val="auto"/>
              </w:rPr>
            </w:pPr>
            <w:r w:rsidRPr="003D0161">
              <w:rPr>
                <w:color w:val="auto"/>
              </w:rPr>
              <w:t>5237</w:t>
            </w:r>
          </w:p>
        </w:tc>
        <w:tc>
          <w:tcPr>
            <w:tcW w:w="1026" w:type="dxa"/>
            <w:vAlign w:val="center"/>
          </w:tcPr>
          <w:p w:rsidR="00AD2379" w:rsidRPr="003D0161" w:rsidRDefault="00A03194" w:rsidP="006B690F">
            <w:pPr>
              <w:tabs>
                <w:tab w:val="left" w:pos="288"/>
                <w:tab w:val="left" w:pos="4752"/>
              </w:tabs>
              <w:rPr>
                <w:color w:val="auto"/>
              </w:rPr>
            </w:pPr>
            <w:r w:rsidRPr="003D0161">
              <w:rPr>
                <w:color w:val="auto"/>
              </w:rPr>
              <w:t>20%</w:t>
            </w:r>
          </w:p>
        </w:tc>
      </w:tr>
      <w:tr w:rsidR="00AD2379" w:rsidRPr="003D0161"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3D0161" w:rsidRDefault="00AD2379" w:rsidP="006B690F">
            <w:pPr>
              <w:tabs>
                <w:tab w:val="left" w:pos="288"/>
                <w:tab w:val="left" w:pos="4752"/>
              </w:tabs>
              <w:rPr>
                <w:b/>
                <w:color w:val="auto"/>
              </w:rPr>
            </w:pPr>
            <w:r w:rsidRPr="003D0161">
              <w:rPr>
                <w:b/>
                <w:color w:val="auto"/>
              </w:rPr>
              <w:t>COMBINED</w:t>
            </w:r>
          </w:p>
        </w:tc>
        <w:tc>
          <w:tcPr>
            <w:tcW w:w="1026" w:type="dxa"/>
            <w:shd w:val="clear" w:color="auto" w:fill="D9D9D9"/>
            <w:vAlign w:val="center"/>
          </w:tcPr>
          <w:p w:rsidR="00AD2379" w:rsidRPr="003D0161" w:rsidRDefault="00A03194" w:rsidP="006B690F">
            <w:pPr>
              <w:tabs>
                <w:tab w:val="left" w:pos="288"/>
                <w:tab w:val="left" w:pos="4752"/>
              </w:tabs>
              <w:rPr>
                <w:b/>
                <w:color w:val="auto"/>
              </w:rPr>
            </w:pPr>
            <w:r w:rsidRPr="003D0161">
              <w:rPr>
                <w:b/>
                <w:color w:val="auto"/>
              </w:rPr>
              <w:t>2</w:t>
            </w:r>
            <w:r w:rsidR="00AD2379" w:rsidRPr="003D0161">
              <w:rPr>
                <w:b/>
                <w:color w:val="auto"/>
              </w:rPr>
              <w:t>0%</w:t>
            </w:r>
          </w:p>
        </w:tc>
      </w:tr>
    </w:tbl>
    <w:p w:rsidR="00AD2379" w:rsidRPr="003D0161" w:rsidRDefault="00AD2379" w:rsidP="006B690F">
      <w:pPr>
        <w:pBdr>
          <w:bottom w:val="single" w:sz="12" w:space="1" w:color="auto"/>
        </w:pBdr>
        <w:tabs>
          <w:tab w:val="left" w:pos="288"/>
          <w:tab w:val="left" w:pos="4752"/>
        </w:tabs>
        <w:jc w:val="both"/>
        <w:rPr>
          <w:color w:val="auto"/>
        </w:rPr>
      </w:pPr>
    </w:p>
    <w:p w:rsidR="00AD2379" w:rsidRPr="003D0161" w:rsidRDefault="00AD2379" w:rsidP="006B690F">
      <w:pPr>
        <w:jc w:val="both"/>
        <w:rPr>
          <w:color w:val="auto"/>
        </w:rPr>
      </w:pPr>
    </w:p>
    <w:p w:rsidR="00AD2379" w:rsidRPr="000D3083" w:rsidRDefault="00AD2379" w:rsidP="006B690F">
      <w:pPr>
        <w:tabs>
          <w:tab w:val="left" w:pos="288"/>
          <w:tab w:val="left" w:pos="4752"/>
        </w:tabs>
        <w:jc w:val="both"/>
        <w:rPr>
          <w:color w:val="auto"/>
        </w:rPr>
      </w:pPr>
      <w:r w:rsidRPr="000D3083">
        <w:rPr>
          <w:color w:val="auto"/>
        </w:rPr>
        <w:t>The following documentary evidence was considered:</w:t>
      </w:r>
    </w:p>
    <w:p w:rsidR="005144A7" w:rsidRPr="000D3083"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582934">
        <w:rPr>
          <w:color w:val="auto"/>
        </w:rPr>
        <w:t>dated 20</w:t>
      </w:r>
      <w:r w:rsidR="00582934" w:rsidRPr="00582934">
        <w:rPr>
          <w:color w:val="auto"/>
        </w:rPr>
        <w:t>110919</w:t>
      </w:r>
      <w:r w:rsidR="00ED7820" w:rsidRPr="00582934">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proofErr w:type="spellStart"/>
      <w:proofErr w:type="gramStart"/>
      <w:r w:rsidR="00E370EC">
        <w:rPr>
          <w:color w:val="auto"/>
        </w:rPr>
        <w:t>xxxxxxxxxxx</w:t>
      </w:r>
      <w:proofErr w:type="spellEnd"/>
      <w:proofErr w:type="gramEnd"/>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E370EC" w:rsidRDefault="00AD2379" w:rsidP="00BF0E94">
      <w:pPr>
        <w:tabs>
          <w:tab w:val="left" w:pos="0"/>
          <w:tab w:val="left" w:pos="4320"/>
        </w:tabs>
        <w:jc w:val="both"/>
        <w:rPr>
          <w:color w:val="auto"/>
        </w:rPr>
      </w:pPr>
      <w:r w:rsidRPr="00F64312">
        <w:rPr>
          <w:color w:val="auto"/>
        </w:rPr>
        <w:tab/>
        <w:t xml:space="preserve">           Physical Disability Board of Review</w:t>
      </w:r>
    </w:p>
    <w:p w:rsidR="00E370EC" w:rsidRDefault="00E370EC">
      <w:pPr>
        <w:spacing w:line="240" w:lineRule="auto"/>
        <w:jc w:val="left"/>
        <w:rPr>
          <w:color w:val="auto"/>
        </w:rPr>
      </w:pPr>
      <w:r>
        <w:rPr>
          <w:color w:val="auto"/>
        </w:rPr>
        <w:br w:type="page"/>
      </w:r>
    </w:p>
    <w:p w:rsidR="00E370EC" w:rsidRPr="00236B40" w:rsidRDefault="00E370EC" w:rsidP="00E370EC">
      <w:pPr>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lastRenderedPageBreak/>
        <w:t>MEMORANDUM FOR DIRECTOR, SECRETARY OF THE NAVY COUNCIL OF REVIEW</w:t>
      </w:r>
    </w:p>
    <w:p w:rsidR="00E370EC" w:rsidRPr="00236B40" w:rsidRDefault="00E370EC" w:rsidP="00E370EC">
      <w:pPr>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 xml:space="preserve">               BOARDS </w:t>
      </w:r>
    </w:p>
    <w:p w:rsidR="00E370EC" w:rsidRPr="00236B40" w:rsidRDefault="00E370EC" w:rsidP="00E370EC">
      <w:pPr>
        <w:spacing w:line="240" w:lineRule="auto"/>
        <w:jc w:val="both"/>
        <w:rPr>
          <w:rFonts w:ascii="Courier New" w:hAnsi="Courier New" w:cs="Courier New"/>
          <w:color w:val="auto"/>
          <w:sz w:val="22"/>
          <w:szCs w:val="22"/>
        </w:rPr>
      </w:pPr>
    </w:p>
    <w:p w:rsidR="00E370EC" w:rsidRPr="00236B40" w:rsidRDefault="00E370EC" w:rsidP="00E370EC">
      <w:pPr>
        <w:spacing w:line="240" w:lineRule="auto"/>
        <w:jc w:val="left"/>
        <w:rPr>
          <w:rFonts w:ascii="Courier New" w:hAnsi="Courier New" w:cs="Courier New"/>
          <w:color w:val="auto"/>
          <w:sz w:val="22"/>
          <w:szCs w:val="22"/>
        </w:rPr>
      </w:pPr>
      <w:proofErr w:type="spellStart"/>
      <w:r w:rsidRPr="00236B40">
        <w:rPr>
          <w:rFonts w:ascii="Courier New" w:hAnsi="Courier New" w:cs="Courier New"/>
          <w:color w:val="auto"/>
          <w:sz w:val="22"/>
          <w:szCs w:val="22"/>
        </w:rPr>
        <w:t>Subj</w:t>
      </w:r>
      <w:proofErr w:type="spellEnd"/>
      <w:r w:rsidRPr="00236B40">
        <w:rPr>
          <w:rFonts w:ascii="Courier New" w:hAnsi="Courier New" w:cs="Courier New"/>
          <w:color w:val="auto"/>
          <w:sz w:val="22"/>
          <w:szCs w:val="22"/>
        </w:rPr>
        <w:t>:  PHYSICAL DISABILITY BOARD OF REVIEW (PDBR) RECOMMENDATIONS</w:t>
      </w:r>
    </w:p>
    <w:p w:rsidR="00E370EC" w:rsidRPr="00236B40" w:rsidRDefault="00E370EC" w:rsidP="00E370EC">
      <w:pPr>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 xml:space="preserve"> </w:t>
      </w:r>
    </w:p>
    <w:p w:rsidR="00E370EC" w:rsidRPr="00236B40" w:rsidRDefault="00E370EC" w:rsidP="00E370EC">
      <w:pPr>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 xml:space="preserve">Ref:   (a) </w:t>
      </w:r>
      <w:proofErr w:type="spellStart"/>
      <w:r w:rsidRPr="00236B40">
        <w:rPr>
          <w:rFonts w:ascii="Courier New" w:hAnsi="Courier New" w:cs="Courier New"/>
          <w:color w:val="auto"/>
          <w:sz w:val="22"/>
          <w:szCs w:val="22"/>
        </w:rPr>
        <w:t>DoDI</w:t>
      </w:r>
      <w:proofErr w:type="spellEnd"/>
      <w:r w:rsidRPr="00236B40">
        <w:rPr>
          <w:rFonts w:ascii="Courier New" w:hAnsi="Courier New" w:cs="Courier New"/>
          <w:color w:val="auto"/>
          <w:sz w:val="22"/>
          <w:szCs w:val="22"/>
        </w:rPr>
        <w:t xml:space="preserve"> 6040.44</w:t>
      </w:r>
    </w:p>
    <w:p w:rsidR="00E370EC" w:rsidRPr="00236B40" w:rsidRDefault="00E370EC" w:rsidP="00E370EC">
      <w:pPr>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 xml:space="preserve">       (b) CORB </w:t>
      </w:r>
      <w:proofErr w:type="spellStart"/>
      <w:r w:rsidRPr="00236B40">
        <w:rPr>
          <w:rFonts w:ascii="Courier New" w:hAnsi="Courier New" w:cs="Courier New"/>
          <w:color w:val="auto"/>
          <w:sz w:val="22"/>
          <w:szCs w:val="22"/>
        </w:rPr>
        <w:t>ltr</w:t>
      </w:r>
      <w:proofErr w:type="spellEnd"/>
      <w:r w:rsidRPr="00236B40">
        <w:rPr>
          <w:rFonts w:ascii="Courier New" w:hAnsi="Courier New" w:cs="Courier New"/>
          <w:color w:val="auto"/>
          <w:sz w:val="22"/>
          <w:szCs w:val="22"/>
        </w:rPr>
        <w:t xml:space="preserve"> </w:t>
      </w:r>
      <w:proofErr w:type="spellStart"/>
      <w:r w:rsidRPr="00236B40">
        <w:rPr>
          <w:rFonts w:ascii="Courier New" w:hAnsi="Courier New" w:cs="Courier New"/>
          <w:color w:val="auto"/>
          <w:sz w:val="22"/>
          <w:szCs w:val="22"/>
        </w:rPr>
        <w:t>dtd</w:t>
      </w:r>
      <w:proofErr w:type="spellEnd"/>
      <w:r w:rsidRPr="00236B40">
        <w:rPr>
          <w:rFonts w:ascii="Courier New" w:hAnsi="Courier New" w:cs="Courier New"/>
          <w:color w:val="auto"/>
          <w:sz w:val="22"/>
          <w:szCs w:val="22"/>
        </w:rPr>
        <w:t xml:space="preserve"> 10 Jul 12</w:t>
      </w:r>
    </w:p>
    <w:p w:rsidR="00E370EC" w:rsidRPr="00236B40" w:rsidRDefault="00E370EC" w:rsidP="00E370EC">
      <w:pPr>
        <w:spacing w:line="240" w:lineRule="auto"/>
        <w:jc w:val="both"/>
        <w:rPr>
          <w:rFonts w:ascii="Courier New" w:hAnsi="Courier New" w:cs="Courier New"/>
          <w:color w:val="auto"/>
          <w:sz w:val="22"/>
          <w:szCs w:val="22"/>
        </w:rPr>
      </w:pPr>
    </w:p>
    <w:p w:rsidR="00E370EC" w:rsidRPr="00236B40" w:rsidRDefault="00E370EC" w:rsidP="00E370EC">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E370EC" w:rsidRPr="00236B40" w:rsidRDefault="00E370EC" w:rsidP="00E370EC">
      <w:pPr>
        <w:spacing w:line="240" w:lineRule="auto"/>
        <w:jc w:val="left"/>
        <w:rPr>
          <w:rFonts w:ascii="Courier New" w:hAnsi="Courier New" w:cs="Courier New"/>
          <w:color w:val="auto"/>
          <w:sz w:val="22"/>
          <w:szCs w:val="22"/>
        </w:rPr>
      </w:pPr>
    </w:p>
    <w:p w:rsidR="00E370EC" w:rsidRPr="00236B40" w:rsidRDefault="00E370EC" w:rsidP="00E370EC">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w:t>
      </w:r>
      <w:r w:rsidRPr="00236B40">
        <w:rPr>
          <w:rFonts w:ascii="Courier New" w:hAnsi="Courier New" w:cs="Courier New"/>
          <w:color w:val="auto"/>
          <w:sz w:val="22"/>
          <w:szCs w:val="22"/>
        </w:rPr>
        <w:t xml:space="preserve"> XXX XX</w:t>
      </w:r>
      <w:r>
        <w:rPr>
          <w:rFonts w:ascii="Courier New" w:hAnsi="Courier New" w:cs="Courier New"/>
          <w:color w:val="auto"/>
          <w:sz w:val="22"/>
          <w:szCs w:val="22"/>
        </w:rPr>
        <w:t>, f</w:t>
      </w:r>
      <w:r w:rsidRPr="00236B40">
        <w:rPr>
          <w:rFonts w:ascii="Courier New" w:hAnsi="Courier New" w:cs="Courier New"/>
          <w:color w:val="auto"/>
          <w:sz w:val="22"/>
          <w:szCs w:val="22"/>
        </w:rPr>
        <w:t>ormer USMC</w:t>
      </w:r>
    </w:p>
    <w:p w:rsidR="00E370EC" w:rsidRPr="00236B40" w:rsidRDefault="00E370EC" w:rsidP="00E370EC">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w:t>
      </w:r>
      <w:r w:rsidRPr="00236B40">
        <w:rPr>
          <w:rFonts w:ascii="Courier New" w:hAnsi="Courier New" w:cs="Courier New"/>
          <w:color w:val="auto"/>
          <w:sz w:val="22"/>
          <w:szCs w:val="22"/>
        </w:rPr>
        <w:t xml:space="preserve"> XXX XX</w:t>
      </w:r>
      <w:r>
        <w:rPr>
          <w:rFonts w:ascii="Courier New" w:hAnsi="Courier New" w:cs="Courier New"/>
          <w:color w:val="auto"/>
          <w:sz w:val="22"/>
          <w:szCs w:val="22"/>
        </w:rPr>
        <w:t>,</w:t>
      </w:r>
      <w:r w:rsidRPr="00236B40">
        <w:rPr>
          <w:rFonts w:ascii="Courier New" w:hAnsi="Courier New" w:cs="Courier New"/>
          <w:color w:val="auto"/>
          <w:sz w:val="22"/>
          <w:szCs w:val="22"/>
        </w:rPr>
        <w:t xml:space="preserve"> former USMC</w:t>
      </w:r>
    </w:p>
    <w:p w:rsidR="00E370EC" w:rsidRPr="00236B40" w:rsidRDefault="00E370EC" w:rsidP="00E370EC">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w:t>
      </w:r>
      <w:r w:rsidRPr="00236B40">
        <w:rPr>
          <w:rFonts w:ascii="Courier New" w:hAnsi="Courier New" w:cs="Courier New"/>
          <w:color w:val="auto"/>
          <w:sz w:val="22"/>
          <w:szCs w:val="22"/>
        </w:rPr>
        <w:t>XXX XX</w:t>
      </w:r>
      <w:r>
        <w:rPr>
          <w:rFonts w:ascii="Courier New" w:hAnsi="Courier New" w:cs="Courier New"/>
          <w:color w:val="auto"/>
          <w:sz w:val="22"/>
          <w:szCs w:val="22"/>
        </w:rPr>
        <w:t xml:space="preserve">, </w:t>
      </w:r>
      <w:r w:rsidRPr="00236B40">
        <w:rPr>
          <w:rFonts w:ascii="Courier New" w:hAnsi="Courier New" w:cs="Courier New"/>
          <w:color w:val="auto"/>
          <w:sz w:val="22"/>
          <w:szCs w:val="22"/>
        </w:rPr>
        <w:t>former USMC</w:t>
      </w:r>
    </w:p>
    <w:p w:rsidR="00E370EC" w:rsidRPr="00236B40" w:rsidRDefault="00E370EC" w:rsidP="00E370EC">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w:t>
      </w:r>
      <w:r w:rsidRPr="00236B40">
        <w:rPr>
          <w:rFonts w:ascii="Courier New" w:hAnsi="Courier New" w:cs="Courier New"/>
          <w:color w:val="auto"/>
          <w:sz w:val="22"/>
          <w:szCs w:val="22"/>
        </w:rPr>
        <w:t xml:space="preserve"> XXX XX</w:t>
      </w:r>
      <w:r>
        <w:rPr>
          <w:rFonts w:ascii="Courier New" w:hAnsi="Courier New" w:cs="Courier New"/>
          <w:color w:val="auto"/>
          <w:sz w:val="22"/>
          <w:szCs w:val="22"/>
        </w:rPr>
        <w:t xml:space="preserve">, </w:t>
      </w:r>
      <w:r w:rsidRPr="00236B40">
        <w:rPr>
          <w:rFonts w:ascii="Courier New" w:hAnsi="Courier New" w:cs="Courier New"/>
          <w:color w:val="auto"/>
          <w:sz w:val="22"/>
          <w:szCs w:val="22"/>
        </w:rPr>
        <w:t>former USMC</w:t>
      </w:r>
    </w:p>
    <w:p w:rsidR="00E370EC" w:rsidRPr="00236B40" w:rsidRDefault="00E370EC" w:rsidP="00E370EC">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XXX XX</w:t>
      </w:r>
      <w:r w:rsidRPr="00236B40">
        <w:rPr>
          <w:rFonts w:ascii="Courier New" w:hAnsi="Courier New" w:cs="Courier New"/>
          <w:color w:val="auto"/>
          <w:sz w:val="22"/>
          <w:szCs w:val="22"/>
        </w:rPr>
        <w:t>, former USN</w:t>
      </w:r>
    </w:p>
    <w:p w:rsidR="00E370EC" w:rsidRPr="00236B40" w:rsidRDefault="00E370EC" w:rsidP="00E370EC">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XXX XX</w:t>
      </w:r>
      <w:r w:rsidRPr="00236B40">
        <w:rPr>
          <w:rFonts w:ascii="Courier New" w:hAnsi="Courier New" w:cs="Courier New"/>
          <w:color w:val="auto"/>
          <w:sz w:val="22"/>
          <w:szCs w:val="22"/>
        </w:rPr>
        <w:t>, former USN</w:t>
      </w:r>
      <w:r>
        <w:rPr>
          <w:rFonts w:ascii="Courier New" w:hAnsi="Courier New" w:cs="Courier New"/>
          <w:color w:val="auto"/>
          <w:sz w:val="22"/>
          <w:szCs w:val="22"/>
        </w:rPr>
        <w:t xml:space="preserve"> </w:t>
      </w:r>
    </w:p>
    <w:p w:rsidR="00E370EC" w:rsidRPr="00236B40" w:rsidRDefault="00E370EC" w:rsidP="00E370EC">
      <w:pPr>
        <w:spacing w:line="240" w:lineRule="auto"/>
        <w:jc w:val="left"/>
        <w:rPr>
          <w:rFonts w:ascii="Courier New" w:hAnsi="Courier New" w:cs="Courier New"/>
          <w:color w:val="auto"/>
          <w:sz w:val="22"/>
          <w:szCs w:val="22"/>
        </w:rPr>
      </w:pPr>
    </w:p>
    <w:p w:rsidR="00E370EC" w:rsidRPr="00236B40" w:rsidRDefault="00E370EC" w:rsidP="00E370EC">
      <w:pPr>
        <w:spacing w:line="240" w:lineRule="auto"/>
        <w:jc w:val="left"/>
        <w:rPr>
          <w:rFonts w:ascii="Courier New" w:hAnsi="Courier New" w:cs="Courier New"/>
          <w:color w:val="auto"/>
          <w:sz w:val="22"/>
          <w:szCs w:val="22"/>
        </w:rPr>
      </w:pPr>
    </w:p>
    <w:p w:rsidR="00E370EC" w:rsidRPr="00236B40" w:rsidRDefault="00E370EC" w:rsidP="00E370EC">
      <w:pPr>
        <w:spacing w:line="240" w:lineRule="auto"/>
        <w:jc w:val="left"/>
        <w:rPr>
          <w:rFonts w:ascii="Courier New" w:hAnsi="Courier New" w:cs="Courier New"/>
          <w:color w:val="auto"/>
          <w:sz w:val="22"/>
          <w:szCs w:val="22"/>
        </w:rPr>
      </w:pPr>
    </w:p>
    <w:p w:rsidR="00E370EC" w:rsidRPr="00236B40" w:rsidRDefault="00E370EC" w:rsidP="00E370EC">
      <w:pPr>
        <w:spacing w:line="240" w:lineRule="auto"/>
        <w:jc w:val="left"/>
        <w:rPr>
          <w:rFonts w:ascii="Courier New" w:hAnsi="Courier New" w:cs="Courier New"/>
          <w:color w:val="auto"/>
          <w:sz w:val="22"/>
          <w:szCs w:val="22"/>
        </w:rPr>
      </w:pPr>
    </w:p>
    <w:p w:rsidR="00E370EC" w:rsidRPr="00236B40" w:rsidRDefault="00E370EC" w:rsidP="00E370EC">
      <w:pPr>
        <w:tabs>
          <w:tab w:val="left" w:pos="4680"/>
        </w:tabs>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ab/>
      </w:r>
      <w:r>
        <w:rPr>
          <w:rFonts w:ascii="Courier New" w:hAnsi="Courier New" w:cs="Courier New"/>
          <w:color w:val="auto"/>
          <w:sz w:val="22"/>
          <w:szCs w:val="22"/>
        </w:rPr>
        <w:t>XXXXXXX</w:t>
      </w:r>
    </w:p>
    <w:p w:rsidR="00E370EC" w:rsidRPr="00236B40" w:rsidRDefault="00E370EC" w:rsidP="00E370EC">
      <w:pPr>
        <w:tabs>
          <w:tab w:val="left" w:pos="4680"/>
        </w:tabs>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ab/>
        <w:t>Assistant General Counsel</w:t>
      </w:r>
    </w:p>
    <w:p w:rsidR="00E370EC" w:rsidRPr="00236B40" w:rsidRDefault="00E370EC" w:rsidP="00E370EC">
      <w:pPr>
        <w:tabs>
          <w:tab w:val="left" w:pos="4680"/>
        </w:tabs>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ab/>
        <w:t xml:space="preserve">  (Manpower &amp; Reserve Affairs)</w:t>
      </w:r>
    </w:p>
    <w:p w:rsidR="00AD2379" w:rsidRDefault="00AD2379" w:rsidP="00BF0E94">
      <w:pPr>
        <w:tabs>
          <w:tab w:val="left" w:pos="0"/>
          <w:tab w:val="left" w:pos="4320"/>
        </w:tabs>
        <w:jc w:val="both"/>
        <w:rPr>
          <w:color w:val="auto"/>
        </w:rPr>
      </w:pPr>
      <w:bookmarkStart w:id="0" w:name="_GoBack"/>
      <w:bookmarkEnd w:id="0"/>
    </w:p>
    <w:sectPr w:rsidR="00AD2379"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25" w:rsidRDefault="00832E25">
      <w:r>
        <w:separator/>
      </w:r>
    </w:p>
  </w:endnote>
  <w:endnote w:type="continuationSeparator" w:id="0">
    <w:p w:rsidR="00832E25" w:rsidRDefault="0083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58" w:rsidRPr="00374247" w:rsidRDefault="00DD5558" w:rsidP="00726F84">
    <w:pPr>
      <w:pStyle w:val="Footer"/>
      <w:ind w:firstLine="4320"/>
      <w:rPr>
        <w:color w:val="auto"/>
      </w:rPr>
    </w:pPr>
    <w:r w:rsidRPr="00374247">
      <w:rPr>
        <w:color w:val="auto"/>
      </w:rPr>
      <w:t xml:space="preserve">   </w:t>
    </w:r>
    <w:r w:rsidR="00A84A90">
      <w:fldChar w:fldCharType="begin"/>
    </w:r>
    <w:r w:rsidR="00A84A90">
      <w:instrText xml:space="preserve"> PAGE   \* MERGEFORMAT </w:instrText>
    </w:r>
    <w:r w:rsidR="00A84A90">
      <w:fldChar w:fldCharType="separate"/>
    </w:r>
    <w:r w:rsidR="00E370EC" w:rsidRPr="00E370EC">
      <w:rPr>
        <w:noProof/>
        <w:color w:val="auto"/>
      </w:rPr>
      <w:t>4</w:t>
    </w:r>
    <w:r w:rsidR="00A84A90">
      <w:rPr>
        <w:noProof/>
        <w:color w:val="auto"/>
      </w:rPr>
      <w:fldChar w:fldCharType="end"/>
    </w:r>
    <w:r w:rsidRPr="00582934">
      <w:rPr>
        <w:color w:val="auto"/>
      </w:rPr>
      <w:t xml:space="preserve">                                                           PD1100</w:t>
    </w:r>
    <w:r w:rsidR="00582934" w:rsidRPr="00582934">
      <w:rPr>
        <w:color w:val="auto"/>
      </w:rPr>
      <w:t>772</w:t>
    </w:r>
  </w:p>
  <w:p w:rsidR="00DD5558" w:rsidRPr="00684CE6" w:rsidRDefault="00DD5558">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25" w:rsidRDefault="00832E25">
      <w:r>
        <w:separator/>
      </w:r>
    </w:p>
  </w:footnote>
  <w:footnote w:type="continuationSeparator" w:id="0">
    <w:p w:rsidR="00832E25" w:rsidRDefault="00832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1721"/>
    <w:rsid w:val="00092619"/>
    <w:rsid w:val="00092C66"/>
    <w:rsid w:val="00092CC9"/>
    <w:rsid w:val="00092CCE"/>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083"/>
    <w:rsid w:val="000D35D8"/>
    <w:rsid w:val="000D43F9"/>
    <w:rsid w:val="000D4717"/>
    <w:rsid w:val="000D4AF7"/>
    <w:rsid w:val="000D5DBE"/>
    <w:rsid w:val="000D6457"/>
    <w:rsid w:val="000D6CDE"/>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09C"/>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D6C"/>
    <w:rsid w:val="00183F77"/>
    <w:rsid w:val="00183FB3"/>
    <w:rsid w:val="001844D8"/>
    <w:rsid w:val="00185DA8"/>
    <w:rsid w:val="00185ECB"/>
    <w:rsid w:val="001865E0"/>
    <w:rsid w:val="001870F0"/>
    <w:rsid w:val="00190863"/>
    <w:rsid w:val="00190E48"/>
    <w:rsid w:val="0019114B"/>
    <w:rsid w:val="00192392"/>
    <w:rsid w:val="0019273F"/>
    <w:rsid w:val="00193814"/>
    <w:rsid w:val="00193AAB"/>
    <w:rsid w:val="00193AD5"/>
    <w:rsid w:val="00193BAF"/>
    <w:rsid w:val="00194930"/>
    <w:rsid w:val="00195AAC"/>
    <w:rsid w:val="0019644A"/>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8D"/>
    <w:rsid w:val="00213BD0"/>
    <w:rsid w:val="002143E5"/>
    <w:rsid w:val="00214DBA"/>
    <w:rsid w:val="00215050"/>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769"/>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593"/>
    <w:rsid w:val="002B7710"/>
    <w:rsid w:val="002C0910"/>
    <w:rsid w:val="002C0DEA"/>
    <w:rsid w:val="002C34F6"/>
    <w:rsid w:val="002C3B6D"/>
    <w:rsid w:val="002C3F59"/>
    <w:rsid w:val="002C5D9D"/>
    <w:rsid w:val="002C5F10"/>
    <w:rsid w:val="002C6E5B"/>
    <w:rsid w:val="002D08F3"/>
    <w:rsid w:val="002D18B4"/>
    <w:rsid w:val="002D2058"/>
    <w:rsid w:val="002D231A"/>
    <w:rsid w:val="002D3EB0"/>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5D98"/>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0161"/>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27AE"/>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00B3"/>
    <w:rsid w:val="004D021F"/>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7723"/>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934"/>
    <w:rsid w:val="00583379"/>
    <w:rsid w:val="0058367A"/>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89"/>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5772D"/>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BC5"/>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4D43"/>
    <w:rsid w:val="006E58CB"/>
    <w:rsid w:val="006E5B3C"/>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31BB"/>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63F"/>
    <w:rsid w:val="00813C51"/>
    <w:rsid w:val="00815BDC"/>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2E25"/>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2470"/>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7BB"/>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6D8F"/>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1C54"/>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872"/>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2039"/>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1C78"/>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194"/>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A90"/>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DEB"/>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16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2E02"/>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605"/>
    <w:rsid w:val="00C50C8C"/>
    <w:rsid w:val="00C51962"/>
    <w:rsid w:val="00C5377C"/>
    <w:rsid w:val="00C53E8A"/>
    <w:rsid w:val="00C54DF3"/>
    <w:rsid w:val="00C560A7"/>
    <w:rsid w:val="00C566C9"/>
    <w:rsid w:val="00C56FC8"/>
    <w:rsid w:val="00C57F90"/>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74D7"/>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5501"/>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567F4"/>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50B"/>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370EC"/>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0FC2"/>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05AF"/>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758"/>
    <w:rsid w:val="00F50F30"/>
    <w:rsid w:val="00F5126A"/>
    <w:rsid w:val="00F5126E"/>
    <w:rsid w:val="00F516EF"/>
    <w:rsid w:val="00F51755"/>
    <w:rsid w:val="00F521C2"/>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444"/>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150"/>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43267">
      <w:bodyDiv w:val="1"/>
      <w:marLeft w:val="70"/>
      <w:marRight w:val="70"/>
      <w:marTop w:val="10"/>
      <w:marBottom w:val="10"/>
      <w:divBdr>
        <w:top w:val="none" w:sz="0" w:space="0" w:color="auto"/>
        <w:left w:val="none" w:sz="0" w:space="0" w:color="auto"/>
        <w:bottom w:val="none" w:sz="0" w:space="0" w:color="auto"/>
        <w:right w:val="none" w:sz="0" w:space="0" w:color="auto"/>
      </w:divBdr>
      <w:divsChild>
        <w:div w:id="685450646">
          <w:marLeft w:val="0"/>
          <w:marRight w:val="0"/>
          <w:marTop w:val="120"/>
          <w:marBottom w:val="0"/>
          <w:divBdr>
            <w:top w:val="none" w:sz="0" w:space="0" w:color="auto"/>
            <w:left w:val="none" w:sz="0" w:space="0" w:color="auto"/>
            <w:bottom w:val="none" w:sz="0" w:space="0" w:color="auto"/>
            <w:right w:val="none" w:sz="0" w:space="0" w:color="auto"/>
          </w:divBdr>
          <w:divsChild>
            <w:div w:id="427235577">
              <w:marLeft w:val="284"/>
              <w:marRight w:val="0"/>
              <w:marTop w:val="60"/>
              <w:marBottom w:val="0"/>
              <w:divBdr>
                <w:top w:val="none" w:sz="0" w:space="0" w:color="auto"/>
                <w:left w:val="none" w:sz="0" w:space="0" w:color="auto"/>
                <w:bottom w:val="none" w:sz="0" w:space="0" w:color="auto"/>
                <w:right w:val="none" w:sz="0" w:space="0" w:color="auto"/>
              </w:divBdr>
              <w:divsChild>
                <w:div w:id="306131128">
                  <w:marLeft w:val="0"/>
                  <w:marRight w:val="0"/>
                  <w:marTop w:val="120"/>
                  <w:marBottom w:val="120"/>
                  <w:divBdr>
                    <w:top w:val="none" w:sz="0" w:space="0" w:color="auto"/>
                    <w:left w:val="none" w:sz="0" w:space="0" w:color="auto"/>
                    <w:bottom w:val="none" w:sz="0" w:space="0" w:color="auto"/>
                    <w:right w:val="none" w:sz="0" w:space="0" w:color="auto"/>
                  </w:divBdr>
                </w:div>
              </w:divsChild>
            </w:div>
            <w:div w:id="1677074856">
              <w:marLeft w:val="0"/>
              <w:marRight w:val="0"/>
              <w:marTop w:val="0"/>
              <w:marBottom w:val="0"/>
              <w:divBdr>
                <w:top w:val="none" w:sz="0" w:space="0" w:color="auto"/>
                <w:left w:val="none" w:sz="0" w:space="0" w:color="auto"/>
                <w:bottom w:val="none" w:sz="0" w:space="0" w:color="auto"/>
                <w:right w:val="none" w:sz="0" w:space="0" w:color="auto"/>
              </w:divBdr>
              <w:divsChild>
                <w:div w:id="11665438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85A4-B557-4C7F-A6CC-30C6D81A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2012-07-02T15:03:00Z</cp:lastPrinted>
  <dcterms:created xsi:type="dcterms:W3CDTF">2012-06-29T17:44:00Z</dcterms:created>
  <dcterms:modified xsi:type="dcterms:W3CDTF">2012-07-31T18:45:00Z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