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7101C" w:rsidRDefault="00540BEF" w:rsidP="00BF0E94">
      <w:pPr>
        <w:tabs>
          <w:tab w:val="left" w:pos="288"/>
          <w:tab w:val="left" w:pos="4752"/>
        </w:tabs>
        <w:rPr>
          <w:color w:val="auto"/>
        </w:rPr>
      </w:pPr>
      <w:r w:rsidRPr="0057101C">
        <w:rPr>
          <w:color w:val="auto"/>
        </w:rPr>
        <w:t>RECORD OF PROCEEDINGS</w:t>
      </w:r>
    </w:p>
    <w:p w:rsidR="00540BEF" w:rsidRPr="0057101C" w:rsidRDefault="00540BEF" w:rsidP="00BF0E94">
      <w:pPr>
        <w:tabs>
          <w:tab w:val="left" w:pos="288"/>
          <w:tab w:val="left" w:pos="4752"/>
        </w:tabs>
        <w:rPr>
          <w:color w:val="auto"/>
        </w:rPr>
      </w:pPr>
      <w:r w:rsidRPr="0057101C">
        <w:rPr>
          <w:color w:val="auto"/>
        </w:rPr>
        <w:t>PHYSICAL DISABILITY BOARD OF REVIEW</w:t>
      </w:r>
    </w:p>
    <w:p w:rsidR="00540BEF" w:rsidRPr="0057101C" w:rsidRDefault="00540BEF" w:rsidP="00BF0E94">
      <w:pPr>
        <w:tabs>
          <w:tab w:val="left" w:pos="288"/>
          <w:tab w:val="left" w:pos="4752"/>
        </w:tabs>
        <w:jc w:val="both"/>
        <w:rPr>
          <w:caps/>
          <w:color w:val="auto"/>
        </w:rPr>
      </w:pPr>
    </w:p>
    <w:p w:rsidR="00E0346A" w:rsidRPr="0057101C" w:rsidRDefault="00F629C0" w:rsidP="003C53E8">
      <w:pPr>
        <w:tabs>
          <w:tab w:val="left" w:pos="288"/>
          <w:tab w:val="left" w:pos="4752"/>
          <w:tab w:val="left" w:pos="6390"/>
          <w:tab w:val="left" w:pos="9270"/>
        </w:tabs>
        <w:jc w:val="both"/>
        <w:rPr>
          <w:caps/>
          <w:color w:val="auto"/>
        </w:rPr>
      </w:pPr>
      <w:r w:rsidRPr="0057101C">
        <w:rPr>
          <w:caps/>
          <w:color w:val="auto"/>
        </w:rPr>
        <w:t xml:space="preserve">NAME:  </w:t>
      </w:r>
      <w:r w:rsidR="00543C08">
        <w:rPr>
          <w:caps/>
          <w:color w:val="auto"/>
        </w:rPr>
        <w:t xml:space="preserve"> </w:t>
      </w:r>
      <w:r w:rsidR="004216DA" w:rsidRPr="0057101C">
        <w:rPr>
          <w:caps/>
          <w:color w:val="auto"/>
        </w:rPr>
        <w:t xml:space="preserve">          </w:t>
      </w:r>
      <w:r w:rsidR="00332DE3" w:rsidRPr="0057101C">
        <w:rPr>
          <w:caps/>
          <w:color w:val="auto"/>
        </w:rPr>
        <w:t xml:space="preserve"> </w:t>
      </w:r>
      <w:r w:rsidR="004216DA" w:rsidRPr="0057101C">
        <w:rPr>
          <w:caps/>
          <w:color w:val="auto"/>
        </w:rPr>
        <w:t xml:space="preserve">  </w:t>
      </w:r>
      <w:r w:rsidR="005C758C" w:rsidRPr="0057101C">
        <w:rPr>
          <w:caps/>
          <w:color w:val="auto"/>
        </w:rPr>
        <w:tab/>
        <w:t xml:space="preserve">                             </w:t>
      </w:r>
      <w:r w:rsidRPr="0057101C">
        <w:rPr>
          <w:caps/>
          <w:color w:val="auto"/>
        </w:rPr>
        <w:t xml:space="preserve">BRANCH OF SERVICE: </w:t>
      </w:r>
      <w:r w:rsidR="004C24C5" w:rsidRPr="0057101C">
        <w:rPr>
          <w:caps/>
          <w:color w:val="auto"/>
        </w:rPr>
        <w:t xml:space="preserve"> </w:t>
      </w:r>
      <w:r w:rsidR="006E75DC" w:rsidRPr="0057101C">
        <w:rPr>
          <w:caps/>
          <w:color w:val="auto"/>
        </w:rPr>
        <w:t>Army</w:t>
      </w:r>
    </w:p>
    <w:p w:rsidR="00DE3AAD" w:rsidRPr="0057101C" w:rsidRDefault="00012733" w:rsidP="0068098E">
      <w:pPr>
        <w:tabs>
          <w:tab w:val="left" w:pos="288"/>
          <w:tab w:val="left" w:pos="4166"/>
          <w:tab w:val="left" w:pos="4752"/>
          <w:tab w:val="left" w:pos="5130"/>
          <w:tab w:val="left" w:pos="9270"/>
        </w:tabs>
        <w:jc w:val="both"/>
        <w:rPr>
          <w:caps/>
          <w:color w:val="auto"/>
        </w:rPr>
      </w:pPr>
      <w:r w:rsidRPr="0057101C">
        <w:rPr>
          <w:caps/>
          <w:color w:val="auto"/>
        </w:rPr>
        <w:t>C</w:t>
      </w:r>
      <w:r w:rsidR="00DE3AAD" w:rsidRPr="0057101C">
        <w:rPr>
          <w:caps/>
          <w:color w:val="auto"/>
        </w:rPr>
        <w:t>ASE NUMBER:  PD</w:t>
      </w:r>
      <w:r w:rsidR="008F58E1" w:rsidRPr="0057101C">
        <w:rPr>
          <w:caps/>
          <w:color w:val="auto"/>
        </w:rPr>
        <w:t>11</w:t>
      </w:r>
      <w:r w:rsidR="00023D69" w:rsidRPr="0057101C">
        <w:rPr>
          <w:caps/>
          <w:color w:val="auto"/>
        </w:rPr>
        <w:t>00745</w:t>
      </w:r>
      <w:r w:rsidR="00DE3AAD" w:rsidRPr="0057101C">
        <w:rPr>
          <w:color w:val="auto"/>
        </w:rPr>
        <w:t xml:space="preserve"> </w:t>
      </w:r>
      <w:r w:rsidR="00DE3AAD" w:rsidRPr="0057101C">
        <w:rPr>
          <w:color w:val="auto"/>
        </w:rPr>
        <w:tab/>
      </w:r>
      <w:r w:rsidR="0068098E" w:rsidRPr="0057101C">
        <w:rPr>
          <w:color w:val="auto"/>
        </w:rPr>
        <w:tab/>
      </w:r>
      <w:r w:rsidR="00DE3AAD" w:rsidRPr="0057101C">
        <w:rPr>
          <w:color w:val="auto"/>
        </w:rPr>
        <w:t xml:space="preserve">         </w:t>
      </w:r>
      <w:r w:rsidR="00E0346A" w:rsidRPr="0057101C">
        <w:rPr>
          <w:color w:val="auto"/>
        </w:rPr>
        <w:t xml:space="preserve">                    </w:t>
      </w:r>
      <w:r w:rsidR="00DE3AAD" w:rsidRPr="0057101C">
        <w:rPr>
          <w:color w:val="auto"/>
        </w:rPr>
        <w:t>SEPARATION DATE:  200</w:t>
      </w:r>
      <w:r w:rsidR="00023D69" w:rsidRPr="0057101C">
        <w:rPr>
          <w:color w:val="auto"/>
        </w:rPr>
        <w:t>20515</w:t>
      </w:r>
    </w:p>
    <w:p w:rsidR="003B2143" w:rsidRPr="0057101C" w:rsidRDefault="004F3639" w:rsidP="00BF0E94">
      <w:pPr>
        <w:tabs>
          <w:tab w:val="left" w:pos="288"/>
          <w:tab w:val="left" w:pos="5130"/>
        </w:tabs>
        <w:jc w:val="both"/>
        <w:rPr>
          <w:color w:val="auto"/>
        </w:rPr>
      </w:pPr>
      <w:r w:rsidRPr="0057101C">
        <w:rPr>
          <w:caps/>
          <w:color w:val="auto"/>
        </w:rPr>
        <w:t>BOARD DATE:  201</w:t>
      </w:r>
      <w:r w:rsidR="006E75DC" w:rsidRPr="0057101C">
        <w:rPr>
          <w:caps/>
          <w:color w:val="auto"/>
        </w:rPr>
        <w:t>2</w:t>
      </w:r>
      <w:r w:rsidR="005C758C" w:rsidRPr="0057101C">
        <w:rPr>
          <w:caps/>
          <w:color w:val="auto"/>
        </w:rPr>
        <w:t>0405</w:t>
      </w:r>
    </w:p>
    <w:p w:rsidR="006E75DC" w:rsidRPr="0057101C" w:rsidRDefault="006E75DC" w:rsidP="006E75DC">
      <w:pPr>
        <w:pBdr>
          <w:bottom w:val="single" w:sz="12" w:space="1" w:color="auto"/>
        </w:pBdr>
        <w:tabs>
          <w:tab w:val="left" w:pos="288"/>
          <w:tab w:val="left" w:pos="4752"/>
        </w:tabs>
        <w:jc w:val="both"/>
        <w:rPr>
          <w:color w:val="auto"/>
        </w:rPr>
      </w:pPr>
    </w:p>
    <w:p w:rsidR="006E75DC" w:rsidRPr="0057101C" w:rsidRDefault="006E75DC" w:rsidP="006E75DC">
      <w:pPr>
        <w:tabs>
          <w:tab w:val="left" w:pos="288"/>
          <w:tab w:val="left" w:pos="4752"/>
        </w:tabs>
        <w:jc w:val="both"/>
        <w:rPr>
          <w:color w:val="auto"/>
        </w:rPr>
      </w:pPr>
    </w:p>
    <w:p w:rsidR="00B92ECD" w:rsidRPr="0057101C" w:rsidRDefault="00FB0E80" w:rsidP="00B92ECD">
      <w:pPr>
        <w:tabs>
          <w:tab w:val="left" w:pos="288"/>
          <w:tab w:val="left" w:pos="4752"/>
        </w:tabs>
        <w:jc w:val="both"/>
        <w:rPr>
          <w:color w:val="auto"/>
        </w:rPr>
      </w:pPr>
      <w:r w:rsidRPr="0057101C">
        <w:rPr>
          <w:color w:val="auto"/>
          <w:u w:val="single"/>
        </w:rPr>
        <w:t>SUMMARY OF CASE</w:t>
      </w:r>
      <w:r w:rsidRPr="0057101C">
        <w:rPr>
          <w:color w:val="auto"/>
        </w:rPr>
        <w:t xml:space="preserve">:  </w:t>
      </w:r>
      <w:r w:rsidR="009759C2" w:rsidRPr="0057101C">
        <w:rPr>
          <w:color w:val="auto"/>
        </w:rPr>
        <w:t>Data extracted from the available evidence of record reflects that this covered individual (CI)</w:t>
      </w:r>
      <w:r w:rsidR="00570754" w:rsidRPr="0057101C">
        <w:rPr>
          <w:color w:val="auto"/>
        </w:rPr>
        <w:t xml:space="preserve"> </w:t>
      </w:r>
      <w:r w:rsidR="002C6E5B" w:rsidRPr="0057101C">
        <w:rPr>
          <w:color w:val="auto"/>
          <w:szCs w:val="24"/>
        </w:rPr>
        <w:t xml:space="preserve">was </w:t>
      </w:r>
      <w:r w:rsidR="00E322F7" w:rsidRPr="0057101C">
        <w:rPr>
          <w:color w:val="auto"/>
          <w:szCs w:val="24"/>
        </w:rPr>
        <w:t xml:space="preserve">an active </w:t>
      </w:r>
      <w:r w:rsidR="00661BA2" w:rsidRPr="0057101C">
        <w:rPr>
          <w:color w:val="auto"/>
          <w:szCs w:val="24"/>
        </w:rPr>
        <w:t>SGT/E-5</w:t>
      </w:r>
      <w:r w:rsidR="00705C40" w:rsidRPr="0057101C">
        <w:rPr>
          <w:color w:val="auto"/>
          <w:szCs w:val="24"/>
        </w:rPr>
        <w:t xml:space="preserve"> (</w:t>
      </w:r>
      <w:r w:rsidR="006D2F51" w:rsidRPr="0057101C">
        <w:rPr>
          <w:color w:val="auto"/>
          <w:szCs w:val="24"/>
        </w:rPr>
        <w:t>11B2</w:t>
      </w:r>
      <w:r w:rsidR="00D730BC" w:rsidRPr="0057101C">
        <w:rPr>
          <w:color w:val="auto"/>
          <w:szCs w:val="24"/>
        </w:rPr>
        <w:t>0</w:t>
      </w:r>
      <w:r w:rsidR="00C75F3D" w:rsidRPr="0057101C">
        <w:rPr>
          <w:color w:val="auto"/>
          <w:szCs w:val="24"/>
        </w:rPr>
        <w:t xml:space="preserve"> / </w:t>
      </w:r>
      <w:r w:rsidR="00D730BC" w:rsidRPr="0057101C">
        <w:rPr>
          <w:color w:val="auto"/>
          <w:szCs w:val="24"/>
        </w:rPr>
        <w:t>Infantryman</w:t>
      </w:r>
      <w:r w:rsidR="00E322F7" w:rsidRPr="0057101C">
        <w:rPr>
          <w:color w:val="auto"/>
          <w:szCs w:val="24"/>
        </w:rPr>
        <w:t>)</w:t>
      </w:r>
      <w:r w:rsidR="00C75F3D" w:rsidRPr="0057101C">
        <w:rPr>
          <w:color w:val="auto"/>
          <w:szCs w:val="24"/>
        </w:rPr>
        <w:t xml:space="preserve">, </w:t>
      </w:r>
      <w:r w:rsidR="002C6E5B" w:rsidRPr="0057101C">
        <w:rPr>
          <w:color w:val="auto"/>
          <w:szCs w:val="24"/>
        </w:rPr>
        <w:t xml:space="preserve">medically separated for </w:t>
      </w:r>
      <w:r w:rsidR="006D2F51" w:rsidRPr="0057101C">
        <w:rPr>
          <w:color w:val="auto"/>
          <w:szCs w:val="24"/>
        </w:rPr>
        <w:t xml:space="preserve">left foot </w:t>
      </w:r>
      <w:r w:rsidR="006E75DC" w:rsidRPr="0057101C">
        <w:rPr>
          <w:color w:val="auto"/>
          <w:szCs w:val="24"/>
        </w:rPr>
        <w:t xml:space="preserve">pain </w:t>
      </w:r>
      <w:r w:rsidR="006D2F51" w:rsidRPr="0057101C">
        <w:rPr>
          <w:color w:val="auto"/>
          <w:szCs w:val="24"/>
        </w:rPr>
        <w:t xml:space="preserve">with history of a first cuneiform bone fracture and first metatarsal cuneiform </w:t>
      </w:r>
      <w:proofErr w:type="spellStart"/>
      <w:r w:rsidR="006D2F51" w:rsidRPr="0057101C">
        <w:rPr>
          <w:color w:val="auto"/>
          <w:szCs w:val="24"/>
        </w:rPr>
        <w:t>arthrodesis</w:t>
      </w:r>
      <w:proofErr w:type="spellEnd"/>
      <w:r w:rsidR="006D2F51" w:rsidRPr="0057101C">
        <w:rPr>
          <w:color w:val="auto"/>
          <w:szCs w:val="24"/>
        </w:rPr>
        <w:t xml:space="preserve">.  </w:t>
      </w:r>
      <w:r w:rsidR="009417EA" w:rsidRPr="0057101C">
        <w:rPr>
          <w:color w:val="auto"/>
          <w:szCs w:val="24"/>
        </w:rPr>
        <w:t>The CI injured his left foot in May 1996</w:t>
      </w:r>
      <w:r w:rsidR="006E75DC" w:rsidRPr="0057101C">
        <w:rPr>
          <w:color w:val="auto"/>
          <w:szCs w:val="24"/>
        </w:rPr>
        <w:t xml:space="preserve">.  </w:t>
      </w:r>
      <w:r w:rsidR="009417EA" w:rsidRPr="0057101C">
        <w:rPr>
          <w:color w:val="auto"/>
          <w:szCs w:val="24"/>
        </w:rPr>
        <w:t xml:space="preserve">He underwent three </w:t>
      </w:r>
      <w:r w:rsidR="000B6F74" w:rsidRPr="0057101C">
        <w:rPr>
          <w:color w:val="auto"/>
          <w:szCs w:val="24"/>
        </w:rPr>
        <w:t xml:space="preserve">left foot </w:t>
      </w:r>
      <w:r w:rsidR="009417EA" w:rsidRPr="0057101C">
        <w:rPr>
          <w:color w:val="auto"/>
          <w:szCs w:val="24"/>
        </w:rPr>
        <w:t>surgeries and pain management therapies</w:t>
      </w:r>
      <w:r w:rsidR="000B6F74" w:rsidRPr="0057101C">
        <w:rPr>
          <w:color w:val="auto"/>
          <w:szCs w:val="24"/>
        </w:rPr>
        <w:t>, with chronic pain in his left foot</w:t>
      </w:r>
      <w:r w:rsidR="009417EA" w:rsidRPr="0057101C">
        <w:rPr>
          <w:color w:val="auto"/>
          <w:szCs w:val="24"/>
        </w:rPr>
        <w:t xml:space="preserve">.  He did not </w:t>
      </w:r>
      <w:r w:rsidR="009417EA" w:rsidRPr="0057101C">
        <w:rPr>
          <w:rFonts w:asciiTheme="minorHAnsi" w:hAnsiTheme="minorHAnsi"/>
          <w:color w:val="auto"/>
        </w:rPr>
        <w:t xml:space="preserve">improve adequately for performance within his Military Occupational Specialty (MOS) and could not meet physical fitness standards.  </w:t>
      </w:r>
      <w:r w:rsidR="00B92ECD" w:rsidRPr="0057101C">
        <w:rPr>
          <w:rFonts w:asciiTheme="minorHAnsi" w:hAnsiTheme="minorHAnsi"/>
          <w:color w:val="auto"/>
        </w:rPr>
        <w:t xml:space="preserve">He was consequently issued a permanent L3 profile and referred for a Medical Evaluation Board (MEB).  </w:t>
      </w:r>
      <w:r w:rsidR="00B92ECD" w:rsidRPr="0057101C">
        <w:rPr>
          <w:color w:val="auto"/>
          <w:szCs w:val="24"/>
        </w:rPr>
        <w:t xml:space="preserve">“Chronic left foot and left lower leg pain, secondary to dorsal </w:t>
      </w:r>
      <w:proofErr w:type="spellStart"/>
      <w:r w:rsidR="00B92ECD" w:rsidRPr="0057101C">
        <w:rPr>
          <w:color w:val="auto"/>
          <w:szCs w:val="24"/>
        </w:rPr>
        <w:t>cutaneous</w:t>
      </w:r>
      <w:proofErr w:type="spellEnd"/>
      <w:r w:rsidR="00B92ECD" w:rsidRPr="0057101C">
        <w:rPr>
          <w:color w:val="auto"/>
          <w:szCs w:val="24"/>
        </w:rPr>
        <w:t xml:space="preserve"> nerve entrapment of the left foot” were forwarded to the Physical Evaluation Board (PEB) as medically unacceptable IAW AR 40-501. </w:t>
      </w:r>
      <w:r w:rsidR="006E75DC" w:rsidRPr="0057101C">
        <w:rPr>
          <w:color w:val="auto"/>
          <w:szCs w:val="24"/>
        </w:rPr>
        <w:t xml:space="preserve"> </w:t>
      </w:r>
      <w:r w:rsidR="00B92ECD" w:rsidRPr="0057101C">
        <w:rPr>
          <w:color w:val="auto"/>
          <w:szCs w:val="24"/>
        </w:rPr>
        <w:t>No other conditions appeared on the MEB’s submission.  Other conditions included in the Disability Evaluation System (DES) packet will be discussed below.  The PEB adjudicated the left foot pain condition as unfitting, rated 10% with application of the Veterans Administration Schedule for Rating Disabilities (VASRD).</w:t>
      </w:r>
      <w:r w:rsidR="00DA5905" w:rsidRPr="0057101C">
        <w:rPr>
          <w:color w:val="auto"/>
          <w:szCs w:val="24"/>
        </w:rPr>
        <w:t xml:space="preserve">  </w:t>
      </w:r>
      <w:r w:rsidR="00B92ECD" w:rsidRPr="0057101C">
        <w:rPr>
          <w:color w:val="auto"/>
        </w:rPr>
        <w:t>The CI appealed</w:t>
      </w:r>
      <w:r w:rsidR="006B7E7E">
        <w:rPr>
          <w:color w:val="auto"/>
        </w:rPr>
        <w:t xml:space="preserve"> an</w:t>
      </w:r>
      <w:r w:rsidR="0050447B" w:rsidRPr="0057101C">
        <w:rPr>
          <w:color w:val="auto"/>
        </w:rPr>
        <w:t>d</w:t>
      </w:r>
      <w:r w:rsidR="00DA5905" w:rsidRPr="0057101C">
        <w:rPr>
          <w:color w:val="auto"/>
        </w:rPr>
        <w:t xml:space="preserve"> waived a formal hearing.  The U.S. Army Physical Disability Agency (USAPDA) reviewed the appeal and </w:t>
      </w:r>
      <w:r w:rsidR="00EA7B2F" w:rsidRPr="0057101C">
        <w:rPr>
          <w:color w:val="auto"/>
        </w:rPr>
        <w:t xml:space="preserve">found </w:t>
      </w:r>
      <w:r w:rsidR="00DA5905" w:rsidRPr="0057101C">
        <w:rPr>
          <w:color w:val="auto"/>
        </w:rPr>
        <w:t xml:space="preserve">no </w:t>
      </w:r>
      <w:r w:rsidR="00EA7B2F" w:rsidRPr="0057101C">
        <w:rPr>
          <w:color w:val="auto"/>
        </w:rPr>
        <w:t xml:space="preserve">evidence to warrant </w:t>
      </w:r>
      <w:r w:rsidR="00DA5905" w:rsidRPr="0057101C">
        <w:rPr>
          <w:color w:val="auto"/>
        </w:rPr>
        <w:t xml:space="preserve">changes to </w:t>
      </w:r>
      <w:proofErr w:type="gramStart"/>
      <w:r w:rsidR="00DA5905" w:rsidRPr="0057101C">
        <w:rPr>
          <w:color w:val="auto"/>
        </w:rPr>
        <w:t>the</w:t>
      </w:r>
      <w:proofErr w:type="gramEnd"/>
      <w:r w:rsidR="00DA5905" w:rsidRPr="0057101C">
        <w:rPr>
          <w:color w:val="auto"/>
        </w:rPr>
        <w:t xml:space="preserve"> IPEB’s findings</w:t>
      </w:r>
      <w:r w:rsidR="000B6F74" w:rsidRPr="0057101C">
        <w:rPr>
          <w:color w:val="auto"/>
        </w:rPr>
        <w:t xml:space="preserve">.  The CI </w:t>
      </w:r>
      <w:r w:rsidR="00B92ECD" w:rsidRPr="0057101C">
        <w:rPr>
          <w:color w:val="auto"/>
        </w:rPr>
        <w:t xml:space="preserve">was then medically separated with a </w:t>
      </w:r>
      <w:r w:rsidR="00DA5905" w:rsidRPr="0057101C">
        <w:rPr>
          <w:color w:val="auto"/>
        </w:rPr>
        <w:t>10</w:t>
      </w:r>
      <w:r w:rsidR="00B92ECD" w:rsidRPr="0057101C">
        <w:rPr>
          <w:color w:val="auto"/>
        </w:rPr>
        <w:t>% disability rating.</w:t>
      </w:r>
      <w:r w:rsidR="000B6F74" w:rsidRPr="0057101C">
        <w:rPr>
          <w:color w:val="auto"/>
        </w:rPr>
        <w:t xml:space="preserve">  </w:t>
      </w:r>
    </w:p>
    <w:p w:rsidR="00DA5905" w:rsidRPr="0057101C" w:rsidRDefault="00DA5905" w:rsidP="00BF0E94">
      <w:pPr>
        <w:pBdr>
          <w:bottom w:val="single" w:sz="12" w:space="1" w:color="auto"/>
        </w:pBdr>
        <w:tabs>
          <w:tab w:val="left" w:pos="288"/>
          <w:tab w:val="left" w:pos="4752"/>
        </w:tabs>
        <w:jc w:val="both"/>
        <w:rPr>
          <w:color w:val="auto"/>
        </w:rPr>
      </w:pPr>
    </w:p>
    <w:p w:rsidR="004174F0" w:rsidRPr="0057101C" w:rsidRDefault="004174F0" w:rsidP="00BF0E94">
      <w:pPr>
        <w:tabs>
          <w:tab w:val="left" w:pos="288"/>
          <w:tab w:val="left" w:pos="4752"/>
        </w:tabs>
        <w:jc w:val="both"/>
        <w:rPr>
          <w:color w:val="auto"/>
        </w:rPr>
      </w:pPr>
    </w:p>
    <w:p w:rsidR="00ED5284" w:rsidRPr="0057101C" w:rsidRDefault="002C6E5B" w:rsidP="00BF0E94">
      <w:pPr>
        <w:tabs>
          <w:tab w:val="left" w:pos="288"/>
          <w:tab w:val="left" w:pos="4752"/>
        </w:tabs>
        <w:jc w:val="both"/>
        <w:rPr>
          <w:rFonts w:eastAsiaTheme="minorHAnsi"/>
          <w:color w:val="auto"/>
          <w:szCs w:val="24"/>
        </w:rPr>
      </w:pPr>
      <w:r w:rsidRPr="0057101C">
        <w:rPr>
          <w:color w:val="auto"/>
          <w:u w:val="single"/>
        </w:rPr>
        <w:t>CI CONTENTION</w:t>
      </w:r>
      <w:r w:rsidRPr="0057101C">
        <w:rPr>
          <w:color w:val="auto"/>
        </w:rPr>
        <w:t>:</w:t>
      </w:r>
      <w:r w:rsidR="00023D69" w:rsidRPr="0057101C">
        <w:rPr>
          <w:color w:val="auto"/>
        </w:rPr>
        <w:t xml:space="preserve"> </w:t>
      </w:r>
      <w:r w:rsidR="004E4700" w:rsidRPr="0057101C">
        <w:rPr>
          <w:color w:val="auto"/>
        </w:rPr>
        <w:t xml:space="preserve"> </w:t>
      </w:r>
      <w:r w:rsidR="00023D69" w:rsidRPr="0057101C">
        <w:rPr>
          <w:color w:val="auto"/>
        </w:rPr>
        <w:t xml:space="preserve">The CI states:  “The Army doctors did surgery on my foot and cut the main nerve that runs down it. </w:t>
      </w:r>
      <w:r w:rsidR="00442DB1" w:rsidRPr="0057101C">
        <w:rPr>
          <w:color w:val="auto"/>
        </w:rPr>
        <w:t xml:space="preserve"> </w:t>
      </w:r>
      <w:r w:rsidR="00023D69" w:rsidRPr="0057101C">
        <w:rPr>
          <w:color w:val="auto"/>
        </w:rPr>
        <w:t xml:space="preserve">Since </w:t>
      </w:r>
      <w:proofErr w:type="spellStart"/>
      <w:r w:rsidR="00023D69" w:rsidRPr="0057101C">
        <w:rPr>
          <w:color w:val="auto"/>
        </w:rPr>
        <w:t>than</w:t>
      </w:r>
      <w:proofErr w:type="spellEnd"/>
      <w:r w:rsidR="00023D69" w:rsidRPr="0057101C">
        <w:rPr>
          <w:color w:val="auto"/>
        </w:rPr>
        <w:t xml:space="preserve"> [sic] I have been living in constant pain or Ghost Pain as</w:t>
      </w:r>
      <w:r w:rsidR="004E4700" w:rsidRPr="0057101C">
        <w:rPr>
          <w:color w:val="auto"/>
        </w:rPr>
        <w:t xml:space="preserve"> </w:t>
      </w:r>
      <w:r w:rsidR="00023D69" w:rsidRPr="0057101C">
        <w:rPr>
          <w:color w:val="auto"/>
        </w:rPr>
        <w:t>some call it.</w:t>
      </w:r>
      <w:r w:rsidR="00442DB1" w:rsidRPr="0057101C">
        <w:rPr>
          <w:color w:val="auto"/>
        </w:rPr>
        <w:t xml:space="preserve"> </w:t>
      </w:r>
      <w:r w:rsidR="00023D69" w:rsidRPr="0057101C">
        <w:rPr>
          <w:color w:val="auto"/>
        </w:rPr>
        <w:t xml:space="preserve"> I have been on all kinds of medication while in the army and since my discharge. I have trouble sleeping because of the pain and have been on medication for that for the last 8 years.</w:t>
      </w:r>
      <w:r w:rsidR="004E4700" w:rsidRPr="0057101C">
        <w:rPr>
          <w:color w:val="auto"/>
        </w:rPr>
        <w:t>”</w:t>
      </w:r>
      <w:r w:rsidR="00023D69" w:rsidRPr="0057101C">
        <w:rPr>
          <w:color w:val="auto"/>
        </w:rPr>
        <w:t xml:space="preserve">  </w:t>
      </w:r>
      <w:r w:rsidR="00ED5284" w:rsidRPr="0057101C">
        <w:rPr>
          <w:rFonts w:eastAsiaTheme="minorHAnsi"/>
          <w:color w:val="auto"/>
          <w:szCs w:val="24"/>
        </w:rPr>
        <w:t>He</w:t>
      </w:r>
      <w:r w:rsidR="00023D69" w:rsidRPr="0057101C">
        <w:rPr>
          <w:rFonts w:eastAsiaTheme="minorHAnsi"/>
          <w:color w:val="auto"/>
          <w:szCs w:val="24"/>
        </w:rPr>
        <w:t xml:space="preserve"> </w:t>
      </w:r>
      <w:r w:rsidR="00ED5284" w:rsidRPr="0057101C">
        <w:rPr>
          <w:rFonts w:eastAsiaTheme="minorHAnsi"/>
          <w:color w:val="auto"/>
          <w:szCs w:val="24"/>
        </w:rPr>
        <w:t>elaborates no specific contentions regarding rating or coding and mentions no additionally contended conditions.</w:t>
      </w:r>
      <w:r w:rsidR="00442DB1" w:rsidRPr="0057101C">
        <w:rPr>
          <w:rFonts w:eastAsiaTheme="minorHAnsi"/>
          <w:color w:val="auto"/>
          <w:szCs w:val="24"/>
        </w:rPr>
        <w:t xml:space="preserve">  </w:t>
      </w:r>
    </w:p>
    <w:p w:rsidR="00023D69" w:rsidRPr="0057101C" w:rsidRDefault="00023D69" w:rsidP="00BF0E94">
      <w:pPr>
        <w:pBdr>
          <w:bottom w:val="single" w:sz="12" w:space="1" w:color="auto"/>
        </w:pBdr>
        <w:tabs>
          <w:tab w:val="left" w:pos="288"/>
          <w:tab w:val="left" w:pos="4752"/>
        </w:tabs>
        <w:jc w:val="both"/>
        <w:rPr>
          <w:color w:val="auto"/>
        </w:rPr>
      </w:pPr>
    </w:p>
    <w:p w:rsidR="004174F0" w:rsidRPr="0057101C" w:rsidRDefault="004174F0" w:rsidP="00BF0E94">
      <w:pPr>
        <w:tabs>
          <w:tab w:val="left" w:pos="288"/>
          <w:tab w:val="left" w:pos="4752"/>
        </w:tabs>
        <w:jc w:val="both"/>
        <w:rPr>
          <w:color w:val="auto"/>
        </w:rPr>
      </w:pPr>
    </w:p>
    <w:p w:rsidR="001537D8" w:rsidRPr="0057101C" w:rsidRDefault="007F0AB7" w:rsidP="00BF0E94">
      <w:pPr>
        <w:jc w:val="left"/>
        <w:rPr>
          <w:color w:val="auto"/>
        </w:rPr>
      </w:pPr>
      <w:r w:rsidRPr="0057101C">
        <w:rPr>
          <w:color w:val="auto"/>
          <w:u w:val="single"/>
        </w:rPr>
        <w:t>R</w:t>
      </w:r>
      <w:r w:rsidR="002C6E5B" w:rsidRPr="0057101C">
        <w:rPr>
          <w:color w:val="auto"/>
          <w:u w:val="single"/>
        </w:rPr>
        <w:t>ATING COMPARISON</w:t>
      </w:r>
      <w:r w:rsidR="002C6E5B" w:rsidRPr="0057101C">
        <w:rPr>
          <w:color w:val="auto"/>
        </w:rPr>
        <w:t>:</w:t>
      </w:r>
    </w:p>
    <w:p w:rsidR="002151AB" w:rsidRPr="0057101C" w:rsidRDefault="002151AB" w:rsidP="00FE7C22">
      <w:pPr>
        <w:jc w:val="both"/>
        <w:rPr>
          <w:color w:val="auto"/>
        </w:rPr>
      </w:pPr>
    </w:p>
    <w:tbl>
      <w:tblPr>
        <w:tblStyle w:val="TableGrid"/>
        <w:tblW w:w="9378" w:type="dxa"/>
        <w:jc w:val="center"/>
        <w:tblLayout w:type="fixed"/>
        <w:tblLook w:val="04A0"/>
      </w:tblPr>
      <w:tblGrid>
        <w:gridCol w:w="1629"/>
        <w:gridCol w:w="1170"/>
        <w:gridCol w:w="720"/>
        <w:gridCol w:w="3060"/>
        <w:gridCol w:w="1080"/>
        <w:gridCol w:w="729"/>
        <w:gridCol w:w="990"/>
      </w:tblGrid>
      <w:tr w:rsidR="002B4E22" w:rsidRPr="0057101C" w:rsidTr="00B54193">
        <w:trPr>
          <w:trHeight w:val="170"/>
          <w:jc w:val="center"/>
        </w:trPr>
        <w:tc>
          <w:tcPr>
            <w:tcW w:w="3519" w:type="dxa"/>
            <w:gridSpan w:val="3"/>
            <w:tcBorders>
              <w:right w:val="thinThickThinSmallGap" w:sz="24" w:space="0" w:color="auto"/>
            </w:tcBorders>
            <w:shd w:val="clear" w:color="auto" w:fill="D9D9D9" w:themeFill="background1" w:themeFillShade="D9"/>
            <w:vAlign w:val="center"/>
          </w:tcPr>
          <w:p w:rsidR="002B4E22" w:rsidRPr="0057101C" w:rsidRDefault="00B731E4"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Service PEB – Dated 200</w:t>
            </w:r>
            <w:r w:rsidR="006D2F51" w:rsidRPr="0057101C">
              <w:rPr>
                <w:rFonts w:ascii="Calibri" w:hAnsi="Calibri" w:cs="Calibri"/>
                <w:b/>
                <w:color w:val="auto"/>
                <w:sz w:val="18"/>
                <w:szCs w:val="18"/>
              </w:rPr>
              <w:t>11101</w:t>
            </w:r>
          </w:p>
        </w:tc>
        <w:tc>
          <w:tcPr>
            <w:tcW w:w="5859" w:type="dxa"/>
            <w:gridSpan w:val="4"/>
            <w:tcBorders>
              <w:left w:val="thinThickThinSmallGap" w:sz="24" w:space="0" w:color="auto"/>
            </w:tcBorders>
            <w:shd w:val="clear" w:color="auto" w:fill="D9D9D9" w:themeFill="background1" w:themeFillShade="D9"/>
            <w:vAlign w:val="center"/>
          </w:tcPr>
          <w:p w:rsidR="002B4E22" w:rsidRPr="0057101C" w:rsidRDefault="002B4E22"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VA (</w:t>
            </w:r>
            <w:r w:rsidR="00D730BC" w:rsidRPr="0057101C">
              <w:rPr>
                <w:rFonts w:ascii="Calibri" w:hAnsi="Calibri" w:cs="Calibri"/>
                <w:b/>
                <w:color w:val="auto"/>
                <w:sz w:val="18"/>
                <w:szCs w:val="18"/>
              </w:rPr>
              <w:t>2</w:t>
            </w:r>
            <w:r w:rsidR="0079154B" w:rsidRPr="0057101C">
              <w:rPr>
                <w:rFonts w:ascii="Calibri" w:hAnsi="Calibri" w:cs="Calibri"/>
                <w:b/>
                <w:color w:val="auto"/>
                <w:sz w:val="18"/>
                <w:szCs w:val="18"/>
              </w:rPr>
              <w:t xml:space="preserve"> </w:t>
            </w:r>
            <w:r w:rsidRPr="0057101C">
              <w:rPr>
                <w:rFonts w:ascii="Calibri" w:hAnsi="Calibri" w:cs="Calibri"/>
                <w:b/>
                <w:color w:val="auto"/>
                <w:sz w:val="18"/>
                <w:szCs w:val="18"/>
              </w:rPr>
              <w:t>Mo</w:t>
            </w:r>
            <w:r w:rsidR="00D730BC" w:rsidRPr="0057101C">
              <w:rPr>
                <w:rFonts w:ascii="Calibri" w:hAnsi="Calibri" w:cs="Calibri"/>
                <w:b/>
                <w:color w:val="auto"/>
                <w:sz w:val="18"/>
                <w:szCs w:val="18"/>
              </w:rPr>
              <w:t>s</w:t>
            </w:r>
            <w:r w:rsidRPr="0057101C">
              <w:rPr>
                <w:rFonts w:ascii="Calibri" w:hAnsi="Calibri" w:cs="Calibri"/>
                <w:b/>
                <w:color w:val="auto"/>
                <w:sz w:val="18"/>
                <w:szCs w:val="18"/>
              </w:rPr>
              <w:t>. Pr</w:t>
            </w:r>
            <w:r w:rsidR="007272F1" w:rsidRPr="0057101C">
              <w:rPr>
                <w:rFonts w:ascii="Calibri" w:hAnsi="Calibri" w:cs="Calibri"/>
                <w:b/>
                <w:color w:val="auto"/>
                <w:sz w:val="18"/>
                <w:szCs w:val="18"/>
              </w:rPr>
              <w:t>e</w:t>
            </w:r>
            <w:r w:rsidR="00D730BC" w:rsidRPr="0057101C">
              <w:rPr>
                <w:rFonts w:ascii="Calibri" w:hAnsi="Calibri" w:cs="Calibri"/>
                <w:b/>
                <w:color w:val="auto"/>
                <w:sz w:val="18"/>
                <w:szCs w:val="18"/>
              </w:rPr>
              <w:t>-</w:t>
            </w:r>
            <w:r w:rsidRPr="0057101C">
              <w:rPr>
                <w:rFonts w:ascii="Calibri" w:hAnsi="Calibri" w:cs="Calibri"/>
                <w:b/>
                <w:color w:val="auto"/>
                <w:sz w:val="18"/>
                <w:szCs w:val="18"/>
              </w:rPr>
              <w:t xml:space="preserve">Separation) – All Effective </w:t>
            </w:r>
            <w:r w:rsidR="00023D69" w:rsidRPr="0057101C">
              <w:rPr>
                <w:rFonts w:ascii="Calibri" w:hAnsi="Calibri" w:cs="Calibri"/>
                <w:b/>
                <w:color w:val="auto"/>
                <w:sz w:val="18"/>
                <w:szCs w:val="18"/>
              </w:rPr>
              <w:t>20020516</w:t>
            </w:r>
          </w:p>
        </w:tc>
      </w:tr>
      <w:tr w:rsidR="002B4E22" w:rsidRPr="0057101C" w:rsidTr="00B54193">
        <w:trPr>
          <w:trHeight w:val="97"/>
          <w:jc w:val="center"/>
        </w:trPr>
        <w:tc>
          <w:tcPr>
            <w:tcW w:w="1629" w:type="dxa"/>
            <w:tcBorders>
              <w:bottom w:val="single" w:sz="4" w:space="0" w:color="000000" w:themeColor="text1"/>
              <w:right w:val="single" w:sz="4" w:space="0" w:color="auto"/>
            </w:tcBorders>
            <w:shd w:val="clear" w:color="auto" w:fill="D9D9D9" w:themeFill="background1" w:themeFillShade="D9"/>
            <w:vAlign w:val="center"/>
          </w:tcPr>
          <w:p w:rsidR="002B4E22" w:rsidRPr="0057101C" w:rsidRDefault="002B4E22"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Condition</w:t>
            </w:r>
          </w:p>
        </w:tc>
        <w:tc>
          <w:tcPr>
            <w:tcW w:w="1170" w:type="dxa"/>
            <w:tcBorders>
              <w:left w:val="single" w:sz="4" w:space="0" w:color="auto"/>
              <w:bottom w:val="single" w:sz="4" w:space="0" w:color="000000" w:themeColor="text1"/>
            </w:tcBorders>
            <w:shd w:val="clear" w:color="auto" w:fill="D9D9D9" w:themeFill="background1" w:themeFillShade="D9"/>
            <w:vAlign w:val="center"/>
          </w:tcPr>
          <w:p w:rsidR="002B4E22" w:rsidRPr="0057101C" w:rsidRDefault="002B4E22"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57101C" w:rsidRDefault="002B4E22"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Rating</w:t>
            </w:r>
          </w:p>
        </w:tc>
        <w:tc>
          <w:tcPr>
            <w:tcW w:w="306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57101C" w:rsidRDefault="002B4E22"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57101C" w:rsidRDefault="002B4E22"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Code</w:t>
            </w:r>
          </w:p>
        </w:tc>
        <w:tc>
          <w:tcPr>
            <w:tcW w:w="729" w:type="dxa"/>
            <w:tcBorders>
              <w:bottom w:val="single" w:sz="4" w:space="0" w:color="000000" w:themeColor="text1"/>
            </w:tcBorders>
            <w:shd w:val="clear" w:color="auto" w:fill="D9D9D9" w:themeFill="background1" w:themeFillShade="D9"/>
            <w:vAlign w:val="center"/>
          </w:tcPr>
          <w:p w:rsidR="002B4E22" w:rsidRPr="0057101C" w:rsidRDefault="002B4E22"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57101C" w:rsidRDefault="002B4E22"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Exam</w:t>
            </w:r>
          </w:p>
        </w:tc>
      </w:tr>
      <w:tr w:rsidR="00B54193" w:rsidRPr="0057101C" w:rsidTr="00B54193">
        <w:trPr>
          <w:trHeight w:val="512"/>
          <w:jc w:val="center"/>
        </w:trPr>
        <w:tc>
          <w:tcPr>
            <w:tcW w:w="1629" w:type="dxa"/>
            <w:vMerge w:val="restart"/>
            <w:tcBorders>
              <w:right w:val="single" w:sz="4" w:space="0" w:color="auto"/>
            </w:tcBorders>
            <w:shd w:val="clear" w:color="auto" w:fill="FFFFFF" w:themeFill="background1"/>
            <w:vAlign w:val="center"/>
          </w:tcPr>
          <w:p w:rsidR="00B54193" w:rsidRPr="0057101C" w:rsidRDefault="00B54193" w:rsidP="00B54193">
            <w:pPr>
              <w:spacing w:line="200" w:lineRule="exact"/>
              <w:contextualSpacing/>
              <w:jc w:val="left"/>
              <w:rPr>
                <w:rFonts w:ascii="Calibri" w:eastAsia="Times New Roman" w:hAnsi="Calibri" w:cs="Calibri"/>
                <w:color w:val="auto"/>
                <w:sz w:val="18"/>
                <w:szCs w:val="18"/>
              </w:rPr>
            </w:pPr>
            <w:r w:rsidRPr="0057101C">
              <w:rPr>
                <w:rFonts w:ascii="Calibri" w:eastAsia="Times New Roman" w:hAnsi="Calibri" w:cs="Calibri"/>
                <w:color w:val="auto"/>
                <w:sz w:val="18"/>
                <w:szCs w:val="18"/>
              </w:rPr>
              <w:t>Pain Left Foot…</w:t>
            </w:r>
          </w:p>
        </w:tc>
        <w:tc>
          <w:tcPr>
            <w:tcW w:w="1170" w:type="dxa"/>
            <w:vMerge w:val="restart"/>
            <w:tcBorders>
              <w:left w:val="single" w:sz="4" w:space="0" w:color="auto"/>
            </w:tcBorders>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5299-5279</w:t>
            </w:r>
          </w:p>
        </w:tc>
        <w:tc>
          <w:tcPr>
            <w:tcW w:w="720" w:type="dxa"/>
            <w:vMerge w:val="restart"/>
            <w:tcBorders>
              <w:right w:val="thinThickThinSmallGap" w:sz="24" w:space="0" w:color="auto"/>
            </w:tcBorders>
            <w:shd w:val="clear" w:color="auto" w:fill="FFFFFF" w:themeFill="background1"/>
            <w:vAlign w:val="center"/>
          </w:tcPr>
          <w:p w:rsidR="00B54193" w:rsidRPr="0057101C" w:rsidRDefault="00B54193" w:rsidP="00B54193">
            <w:pPr>
              <w:spacing w:line="200" w:lineRule="exact"/>
              <w:rPr>
                <w:rFonts w:ascii="Calibri" w:eastAsia="Times New Roman" w:hAnsi="Calibri" w:cs="Calibri"/>
                <w:color w:val="auto"/>
                <w:sz w:val="18"/>
                <w:szCs w:val="18"/>
              </w:rPr>
            </w:pPr>
            <w:r w:rsidRPr="0057101C">
              <w:rPr>
                <w:rFonts w:ascii="Calibri" w:eastAsia="Times New Roman" w:hAnsi="Calibri" w:cs="Calibri"/>
                <w:color w:val="auto"/>
                <w:sz w:val="18"/>
                <w:szCs w:val="18"/>
              </w:rPr>
              <w:t>10%</w:t>
            </w:r>
          </w:p>
        </w:tc>
        <w:tc>
          <w:tcPr>
            <w:tcW w:w="3060" w:type="dxa"/>
            <w:tcBorders>
              <w:left w:val="thinThickThinSmallGap" w:sz="24" w:space="0" w:color="auto"/>
              <w:bottom w:val="single" w:sz="4" w:space="0" w:color="auto"/>
            </w:tcBorders>
            <w:shd w:val="clear" w:color="auto" w:fill="FFFFFF" w:themeFill="background1"/>
            <w:vAlign w:val="center"/>
          </w:tcPr>
          <w:p w:rsidR="00B54193" w:rsidRPr="0057101C" w:rsidRDefault="00B54193" w:rsidP="00B54193">
            <w:pPr>
              <w:spacing w:line="200" w:lineRule="exact"/>
              <w:contextualSpacing/>
              <w:jc w:val="left"/>
              <w:rPr>
                <w:rFonts w:ascii="Calibri" w:eastAsia="Times New Roman" w:hAnsi="Calibri" w:cs="Calibri"/>
                <w:color w:val="auto"/>
                <w:sz w:val="18"/>
                <w:szCs w:val="18"/>
              </w:rPr>
            </w:pPr>
            <w:r w:rsidRPr="0057101C">
              <w:rPr>
                <w:rFonts w:ascii="Calibri" w:eastAsia="Times New Roman" w:hAnsi="Calibri" w:cs="Calibri"/>
                <w:color w:val="auto"/>
                <w:sz w:val="18"/>
                <w:szCs w:val="18"/>
              </w:rPr>
              <w:t>Residuals of Foot Injury and Surgery with Nerve Entrapment</w:t>
            </w:r>
          </w:p>
        </w:tc>
        <w:tc>
          <w:tcPr>
            <w:tcW w:w="1080" w:type="dxa"/>
            <w:tcBorders>
              <w:bottom w:val="single" w:sz="4" w:space="0" w:color="auto"/>
            </w:tcBorders>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5284-8622</w:t>
            </w:r>
          </w:p>
        </w:tc>
        <w:tc>
          <w:tcPr>
            <w:tcW w:w="729" w:type="dxa"/>
            <w:tcBorders>
              <w:bottom w:val="single" w:sz="4" w:space="0" w:color="auto"/>
            </w:tcBorders>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20%</w:t>
            </w:r>
          </w:p>
        </w:tc>
        <w:tc>
          <w:tcPr>
            <w:tcW w:w="990" w:type="dxa"/>
            <w:tcBorders>
              <w:bottom w:val="single" w:sz="4" w:space="0" w:color="auto"/>
            </w:tcBorders>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20020307</w:t>
            </w:r>
          </w:p>
        </w:tc>
      </w:tr>
      <w:tr w:rsidR="00B54193" w:rsidRPr="0057101C" w:rsidTr="00B54193">
        <w:trPr>
          <w:trHeight w:val="106"/>
          <w:jc w:val="center"/>
        </w:trPr>
        <w:tc>
          <w:tcPr>
            <w:tcW w:w="1629" w:type="dxa"/>
            <w:vMerge/>
            <w:tcBorders>
              <w:bottom w:val="single" w:sz="4" w:space="0" w:color="auto"/>
              <w:right w:val="single" w:sz="4" w:space="0" w:color="auto"/>
            </w:tcBorders>
            <w:shd w:val="clear" w:color="auto" w:fill="FFFFFF" w:themeFill="background1"/>
            <w:vAlign w:val="center"/>
          </w:tcPr>
          <w:p w:rsidR="00B54193" w:rsidRPr="0057101C" w:rsidRDefault="00B54193" w:rsidP="00B54193">
            <w:pPr>
              <w:spacing w:line="200" w:lineRule="exact"/>
              <w:rPr>
                <w:rFonts w:ascii="Calibri" w:eastAsia="Times New Roman" w:hAnsi="Calibri" w:cs="Calibri"/>
                <w:color w:val="auto"/>
                <w:sz w:val="18"/>
                <w:szCs w:val="18"/>
              </w:rPr>
            </w:pPr>
          </w:p>
        </w:tc>
        <w:tc>
          <w:tcPr>
            <w:tcW w:w="1170" w:type="dxa"/>
            <w:vMerge/>
            <w:tcBorders>
              <w:left w:val="single" w:sz="4" w:space="0" w:color="auto"/>
              <w:bottom w:val="single" w:sz="4" w:space="0" w:color="auto"/>
            </w:tcBorders>
            <w:shd w:val="clear" w:color="auto" w:fill="FFFFFF" w:themeFill="background1"/>
            <w:vAlign w:val="center"/>
          </w:tcPr>
          <w:p w:rsidR="00B54193" w:rsidRPr="0057101C" w:rsidRDefault="00B54193" w:rsidP="00B54193">
            <w:pPr>
              <w:spacing w:line="200" w:lineRule="exact"/>
              <w:rPr>
                <w:rFonts w:cs="Calibri"/>
                <w:color w:val="auto"/>
                <w:sz w:val="18"/>
                <w:szCs w:val="18"/>
              </w:rPr>
            </w:pPr>
          </w:p>
        </w:tc>
        <w:tc>
          <w:tcPr>
            <w:tcW w:w="720" w:type="dxa"/>
            <w:vMerge/>
            <w:tcBorders>
              <w:right w:val="thinThickThinSmallGap" w:sz="24" w:space="0" w:color="auto"/>
            </w:tcBorders>
            <w:shd w:val="clear" w:color="auto" w:fill="FFFFFF" w:themeFill="background1"/>
            <w:vAlign w:val="center"/>
          </w:tcPr>
          <w:p w:rsidR="00B54193" w:rsidRPr="0057101C" w:rsidRDefault="00B54193" w:rsidP="00B54193">
            <w:pPr>
              <w:spacing w:line="200" w:lineRule="exact"/>
              <w:rPr>
                <w:rFonts w:cs="Calibri"/>
                <w:color w:val="auto"/>
                <w:sz w:val="18"/>
                <w:szCs w:val="18"/>
              </w:rPr>
            </w:pPr>
          </w:p>
        </w:tc>
        <w:tc>
          <w:tcPr>
            <w:tcW w:w="3060" w:type="dxa"/>
            <w:tcBorders>
              <w:left w:val="thinThickThinSmallGap" w:sz="24" w:space="0" w:color="auto"/>
              <w:right w:val="single" w:sz="4" w:space="0" w:color="auto"/>
            </w:tcBorders>
            <w:shd w:val="clear" w:color="auto" w:fill="FFFFFF" w:themeFill="background1"/>
            <w:vAlign w:val="center"/>
          </w:tcPr>
          <w:p w:rsidR="00B54193" w:rsidRPr="0057101C" w:rsidRDefault="00B54193" w:rsidP="00B54193">
            <w:pPr>
              <w:spacing w:line="200" w:lineRule="exact"/>
              <w:contextualSpacing/>
              <w:jc w:val="left"/>
              <w:rPr>
                <w:rFonts w:ascii="Calibri" w:eastAsia="Times New Roman" w:hAnsi="Calibri" w:cs="Calibri"/>
                <w:color w:val="auto"/>
                <w:sz w:val="18"/>
                <w:szCs w:val="18"/>
              </w:rPr>
            </w:pPr>
            <w:r w:rsidRPr="0057101C">
              <w:rPr>
                <w:rFonts w:ascii="Calibri" w:eastAsia="Times New Roman" w:hAnsi="Calibri" w:cs="Calibri"/>
                <w:color w:val="auto"/>
                <w:sz w:val="18"/>
                <w:szCs w:val="18"/>
              </w:rPr>
              <w:t>Residuals of Left Ankle Surgery</w:t>
            </w:r>
          </w:p>
        </w:tc>
        <w:tc>
          <w:tcPr>
            <w:tcW w:w="1080" w:type="dxa"/>
            <w:tcBorders>
              <w:left w:val="single" w:sz="4" w:space="0" w:color="auto"/>
            </w:tcBorders>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5271</w:t>
            </w:r>
          </w:p>
        </w:tc>
        <w:tc>
          <w:tcPr>
            <w:tcW w:w="729" w:type="dxa"/>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20%</w:t>
            </w:r>
            <w:r w:rsidR="005C758C" w:rsidRPr="0057101C">
              <w:rPr>
                <w:rFonts w:ascii="Calibri" w:eastAsia="Times New Roman" w:hAnsi="Calibri" w:cs="Calibri"/>
                <w:color w:val="auto"/>
                <w:sz w:val="18"/>
                <w:szCs w:val="18"/>
              </w:rPr>
              <w:t>*</w:t>
            </w:r>
          </w:p>
        </w:tc>
        <w:tc>
          <w:tcPr>
            <w:tcW w:w="990" w:type="dxa"/>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20020307</w:t>
            </w:r>
          </w:p>
        </w:tc>
      </w:tr>
      <w:tr w:rsidR="00B54193" w:rsidRPr="0057101C" w:rsidTr="00B54193">
        <w:trPr>
          <w:trHeight w:val="97"/>
          <w:jc w:val="center"/>
        </w:trPr>
        <w:tc>
          <w:tcPr>
            <w:tcW w:w="3519" w:type="dxa"/>
            <w:gridSpan w:val="3"/>
            <w:vMerge w:val="restart"/>
            <w:tcBorders>
              <w:top w:val="single" w:sz="4" w:space="0" w:color="auto"/>
              <w:left w:val="single" w:sz="4" w:space="0" w:color="auto"/>
              <w:right w:val="thinThickThinSmallGap" w:sz="24" w:space="0" w:color="auto"/>
            </w:tcBorders>
            <w:shd w:val="clear" w:color="auto" w:fill="FFFFFF" w:themeFill="background1"/>
            <w:vAlign w:val="center"/>
          </w:tcPr>
          <w:p w:rsidR="00B54193" w:rsidRPr="0057101C" w:rsidRDefault="00B54193" w:rsidP="00B54193">
            <w:pPr>
              <w:spacing w:line="200" w:lineRule="exact"/>
              <w:contextualSpacing/>
              <w:rPr>
                <w:rFonts w:cs="Calibri"/>
                <w:color w:val="auto"/>
                <w:sz w:val="18"/>
                <w:szCs w:val="18"/>
              </w:rPr>
            </w:pPr>
            <w:r w:rsidRPr="0057101C">
              <w:rPr>
                <w:rFonts w:ascii="Calibri" w:hAnsi="Calibri" w:cs="Calibri"/>
                <w:color w:val="auto"/>
                <w:sz w:val="18"/>
                <w:szCs w:val="18"/>
              </w:rPr>
              <w:t>↓No Additional MEB/PEB Entries↓</w:t>
            </w:r>
          </w:p>
        </w:tc>
        <w:tc>
          <w:tcPr>
            <w:tcW w:w="3060" w:type="dxa"/>
            <w:tcBorders>
              <w:left w:val="thinThickThinSmallGap" w:sz="24" w:space="0" w:color="auto"/>
              <w:right w:val="single" w:sz="4" w:space="0" w:color="auto"/>
            </w:tcBorders>
            <w:shd w:val="clear" w:color="auto" w:fill="FFFFFF" w:themeFill="background1"/>
            <w:vAlign w:val="center"/>
          </w:tcPr>
          <w:p w:rsidR="00B54193" w:rsidRPr="0057101C" w:rsidRDefault="00B54193" w:rsidP="00B54193">
            <w:pPr>
              <w:spacing w:line="200" w:lineRule="exact"/>
              <w:contextualSpacing/>
              <w:jc w:val="left"/>
              <w:rPr>
                <w:rFonts w:ascii="Calibri" w:eastAsia="Times New Roman" w:hAnsi="Calibri" w:cs="Calibri"/>
                <w:color w:val="auto"/>
                <w:sz w:val="18"/>
                <w:szCs w:val="18"/>
              </w:rPr>
            </w:pPr>
            <w:r w:rsidRPr="0057101C">
              <w:rPr>
                <w:rFonts w:ascii="Calibri" w:eastAsia="Times New Roman"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6260</w:t>
            </w:r>
          </w:p>
        </w:tc>
        <w:tc>
          <w:tcPr>
            <w:tcW w:w="729" w:type="dxa"/>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10%</w:t>
            </w:r>
          </w:p>
        </w:tc>
        <w:tc>
          <w:tcPr>
            <w:tcW w:w="990" w:type="dxa"/>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20020307</w:t>
            </w:r>
          </w:p>
        </w:tc>
      </w:tr>
      <w:tr w:rsidR="00B54193" w:rsidRPr="0057101C" w:rsidTr="00B54193">
        <w:trPr>
          <w:trHeight w:val="142"/>
          <w:jc w:val="center"/>
        </w:trPr>
        <w:tc>
          <w:tcPr>
            <w:tcW w:w="3519" w:type="dxa"/>
            <w:gridSpan w:val="3"/>
            <w:vMerge/>
            <w:tcBorders>
              <w:left w:val="single" w:sz="4" w:space="0" w:color="auto"/>
              <w:bottom w:val="single" w:sz="4" w:space="0" w:color="auto"/>
              <w:right w:val="thinThickThinSmallGap" w:sz="24" w:space="0" w:color="auto"/>
            </w:tcBorders>
            <w:shd w:val="clear" w:color="auto" w:fill="FFFFFF" w:themeFill="background1"/>
            <w:vAlign w:val="center"/>
          </w:tcPr>
          <w:p w:rsidR="00B54193" w:rsidRPr="0057101C" w:rsidRDefault="00B54193" w:rsidP="00B54193">
            <w:pPr>
              <w:spacing w:line="200" w:lineRule="exact"/>
              <w:contextualSpacing/>
              <w:rPr>
                <w:rFonts w:cs="Calibri"/>
                <w:color w:val="auto"/>
                <w:sz w:val="18"/>
                <w:szCs w:val="18"/>
              </w:rPr>
            </w:pPr>
          </w:p>
        </w:tc>
        <w:tc>
          <w:tcPr>
            <w:tcW w:w="4869" w:type="dxa"/>
            <w:gridSpan w:val="3"/>
            <w:tcBorders>
              <w:left w:val="thinThickThinSmallGap" w:sz="24" w:space="0" w:color="auto"/>
            </w:tcBorders>
            <w:shd w:val="clear" w:color="auto" w:fill="FFFFFF" w:themeFill="background1"/>
            <w:vAlign w:val="center"/>
          </w:tcPr>
          <w:p w:rsidR="00B54193" w:rsidRPr="0057101C" w:rsidRDefault="00F67F6F" w:rsidP="00B54193">
            <w:pPr>
              <w:spacing w:line="200" w:lineRule="exact"/>
              <w:contextualSpacing/>
              <w:rPr>
                <w:rFonts w:ascii="Calibri" w:eastAsia="Times New Roman" w:hAnsi="Calibri" w:cs="Calibri"/>
                <w:color w:val="auto"/>
                <w:sz w:val="18"/>
                <w:szCs w:val="18"/>
              </w:rPr>
            </w:pPr>
            <w:r>
              <w:rPr>
                <w:rFonts w:ascii="Calibri" w:hAnsi="Calibri" w:cs="Calibri"/>
                <w:color w:val="auto"/>
                <w:sz w:val="18"/>
                <w:szCs w:val="18"/>
              </w:rPr>
              <w:t>0% x 2/Not Service-</w:t>
            </w:r>
            <w:r w:rsidR="00B54193" w:rsidRPr="0057101C">
              <w:rPr>
                <w:rFonts w:ascii="Calibri" w:hAnsi="Calibri" w:cs="Calibri"/>
                <w:color w:val="auto"/>
                <w:sz w:val="18"/>
                <w:szCs w:val="18"/>
              </w:rPr>
              <w:t>Connected x 1</w:t>
            </w:r>
          </w:p>
        </w:tc>
        <w:tc>
          <w:tcPr>
            <w:tcW w:w="990" w:type="dxa"/>
            <w:shd w:val="clear" w:color="auto" w:fill="FFFFFF" w:themeFill="background1"/>
            <w:vAlign w:val="center"/>
          </w:tcPr>
          <w:p w:rsidR="00B54193" w:rsidRPr="0057101C" w:rsidRDefault="00B54193" w:rsidP="00B54193">
            <w:pPr>
              <w:spacing w:line="200" w:lineRule="exact"/>
              <w:contextualSpacing/>
              <w:rPr>
                <w:rFonts w:ascii="Calibri" w:eastAsia="Times New Roman" w:hAnsi="Calibri" w:cs="Calibri"/>
                <w:color w:val="auto"/>
                <w:sz w:val="18"/>
                <w:szCs w:val="18"/>
              </w:rPr>
            </w:pPr>
            <w:r w:rsidRPr="0057101C">
              <w:rPr>
                <w:rFonts w:ascii="Calibri" w:eastAsia="Times New Roman" w:hAnsi="Calibri" w:cs="Calibri"/>
                <w:color w:val="auto"/>
                <w:sz w:val="18"/>
                <w:szCs w:val="18"/>
              </w:rPr>
              <w:t>20020307</w:t>
            </w:r>
          </w:p>
        </w:tc>
      </w:tr>
      <w:tr w:rsidR="00996208" w:rsidRPr="0057101C" w:rsidTr="00B54193">
        <w:trPr>
          <w:trHeight w:val="124"/>
          <w:jc w:val="center"/>
        </w:trPr>
        <w:tc>
          <w:tcPr>
            <w:tcW w:w="3519" w:type="dxa"/>
            <w:gridSpan w:val="3"/>
            <w:tcBorders>
              <w:right w:val="thinThickThinSmallGap" w:sz="24" w:space="0" w:color="auto"/>
            </w:tcBorders>
            <w:shd w:val="clear" w:color="auto" w:fill="D9D9D9" w:themeFill="background1" w:themeFillShade="D9"/>
            <w:vAlign w:val="center"/>
          </w:tcPr>
          <w:p w:rsidR="00996208" w:rsidRPr="0057101C" w:rsidRDefault="00996208"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Combined:  10%</w:t>
            </w:r>
          </w:p>
        </w:tc>
        <w:tc>
          <w:tcPr>
            <w:tcW w:w="5859" w:type="dxa"/>
            <w:gridSpan w:val="4"/>
            <w:tcBorders>
              <w:left w:val="thinThickThinSmallGap" w:sz="24" w:space="0" w:color="auto"/>
            </w:tcBorders>
            <w:shd w:val="clear" w:color="auto" w:fill="D9D9D9" w:themeFill="background1" w:themeFillShade="D9"/>
            <w:vAlign w:val="center"/>
          </w:tcPr>
          <w:p w:rsidR="00996208" w:rsidRPr="0057101C" w:rsidRDefault="00996208" w:rsidP="00B54193">
            <w:pPr>
              <w:spacing w:line="200" w:lineRule="exact"/>
              <w:contextualSpacing/>
              <w:rPr>
                <w:rFonts w:ascii="Calibri" w:hAnsi="Calibri" w:cs="Calibri"/>
                <w:b/>
                <w:color w:val="auto"/>
                <w:sz w:val="18"/>
                <w:szCs w:val="18"/>
              </w:rPr>
            </w:pPr>
            <w:r w:rsidRPr="0057101C">
              <w:rPr>
                <w:rFonts w:ascii="Calibri" w:hAnsi="Calibri" w:cs="Calibri"/>
                <w:b/>
                <w:color w:val="auto"/>
                <w:sz w:val="18"/>
                <w:szCs w:val="18"/>
              </w:rPr>
              <w:t>Combined:  40%</w:t>
            </w:r>
            <w:r w:rsidR="00CC6BBC" w:rsidRPr="0057101C">
              <w:rPr>
                <w:rFonts w:ascii="Calibri" w:hAnsi="Calibri" w:cs="Calibri"/>
                <w:b/>
                <w:color w:val="auto"/>
                <w:sz w:val="18"/>
                <w:szCs w:val="18"/>
              </w:rPr>
              <w:t>*</w:t>
            </w:r>
          </w:p>
        </w:tc>
      </w:tr>
    </w:tbl>
    <w:p w:rsidR="00A97CD9" w:rsidRPr="0057101C" w:rsidRDefault="00CC6BBC" w:rsidP="00B54193">
      <w:pPr>
        <w:tabs>
          <w:tab w:val="left" w:pos="288"/>
          <w:tab w:val="left" w:pos="4752"/>
        </w:tabs>
        <w:spacing w:line="200" w:lineRule="exact"/>
        <w:ind w:left="288"/>
        <w:jc w:val="both"/>
        <w:rPr>
          <w:color w:val="auto"/>
          <w:sz w:val="20"/>
          <w:szCs w:val="24"/>
        </w:rPr>
      </w:pPr>
      <w:r w:rsidRPr="0057101C">
        <w:rPr>
          <w:color w:val="auto"/>
          <w:sz w:val="20"/>
          <w:szCs w:val="24"/>
        </w:rPr>
        <w:t xml:space="preserve">* </w:t>
      </w:r>
      <w:r w:rsidR="00B54193" w:rsidRPr="0057101C">
        <w:rPr>
          <w:color w:val="auto"/>
          <w:sz w:val="20"/>
          <w:szCs w:val="24"/>
        </w:rPr>
        <w:t>Left ankle decreased to 10% and added left foot scar 7804 @10% effective 20050923 (combined 40%)</w:t>
      </w:r>
    </w:p>
    <w:p w:rsidR="00361A54" w:rsidRPr="0057101C" w:rsidRDefault="00361A54" w:rsidP="00A97CD9">
      <w:pPr>
        <w:pBdr>
          <w:bottom w:val="single" w:sz="12" w:space="1" w:color="auto"/>
        </w:pBdr>
        <w:tabs>
          <w:tab w:val="left" w:pos="288"/>
          <w:tab w:val="left" w:pos="4752"/>
        </w:tabs>
        <w:jc w:val="both"/>
        <w:rPr>
          <w:color w:val="auto"/>
          <w:szCs w:val="24"/>
        </w:rPr>
      </w:pPr>
    </w:p>
    <w:p w:rsidR="006E75DC" w:rsidRPr="0057101C" w:rsidRDefault="006E75DC" w:rsidP="00FE7C00">
      <w:pPr>
        <w:jc w:val="both"/>
        <w:rPr>
          <w:color w:val="auto"/>
          <w:szCs w:val="24"/>
          <w:u w:val="single"/>
        </w:rPr>
      </w:pPr>
    </w:p>
    <w:p w:rsidR="00B505E9" w:rsidRPr="0057101C" w:rsidRDefault="002C6E5B" w:rsidP="00FE7C00">
      <w:pPr>
        <w:jc w:val="both"/>
        <w:rPr>
          <w:color w:val="auto"/>
          <w:szCs w:val="24"/>
        </w:rPr>
      </w:pPr>
      <w:r w:rsidRPr="0057101C">
        <w:rPr>
          <w:color w:val="auto"/>
          <w:szCs w:val="24"/>
          <w:u w:val="single"/>
        </w:rPr>
        <w:t>ANALYSIS SUMMARY</w:t>
      </w:r>
      <w:r w:rsidRPr="0057101C">
        <w:rPr>
          <w:color w:val="auto"/>
          <w:szCs w:val="24"/>
        </w:rPr>
        <w:t>:</w:t>
      </w:r>
      <w:r w:rsidR="00B505E9" w:rsidRPr="0057101C">
        <w:rPr>
          <w:color w:val="auto"/>
          <w:szCs w:val="24"/>
        </w:rPr>
        <w:t xml:space="preserve">  </w:t>
      </w:r>
      <w:r w:rsidR="00FE7C00" w:rsidRPr="0057101C">
        <w:rPr>
          <w:color w:val="auto"/>
          <w:szCs w:val="24"/>
        </w:rPr>
        <w:t xml:space="preserve">The Board acknowledges the sentiment expressed in the CI’s application, that the gravity of his condition and predictable consequences merit consideration for a higher separation rating.  It is a fact, however, that the DES has neither the role nor the authority to compensate service members for anticipated future severity or potential complications of conditions resulting in medical separation.  This role and authority is granted by Congress to the </w:t>
      </w:r>
      <w:r w:rsidR="00F67F6F">
        <w:rPr>
          <w:color w:val="auto"/>
          <w:szCs w:val="24"/>
        </w:rPr>
        <w:t xml:space="preserve">Department of </w:t>
      </w:r>
      <w:r w:rsidR="00FE7C00" w:rsidRPr="0057101C">
        <w:rPr>
          <w:color w:val="auto"/>
          <w:szCs w:val="24"/>
        </w:rPr>
        <w:t>Veterans</w:t>
      </w:r>
      <w:r w:rsidR="00F67F6F">
        <w:rPr>
          <w:color w:val="auto"/>
          <w:szCs w:val="24"/>
        </w:rPr>
        <w:t>’ Affairs (DVA)</w:t>
      </w:r>
      <w:r w:rsidR="00FE7C00" w:rsidRPr="0057101C">
        <w:rPr>
          <w:color w:val="auto"/>
          <w:szCs w:val="24"/>
        </w:rPr>
        <w:t>.</w:t>
      </w:r>
      <w:r w:rsidR="00FE7C00" w:rsidRPr="0057101C">
        <w:rPr>
          <w:color w:val="auto"/>
        </w:rPr>
        <w:t xml:space="preserve">  </w:t>
      </w:r>
      <w:r w:rsidR="00FE7C00" w:rsidRPr="0057101C">
        <w:rPr>
          <w:color w:val="auto"/>
          <w:szCs w:val="24"/>
        </w:rPr>
        <w:t xml:space="preserve">The Board utilizes </w:t>
      </w:r>
      <w:r w:rsidR="00F67F6F">
        <w:rPr>
          <w:color w:val="auto"/>
          <w:szCs w:val="24"/>
        </w:rPr>
        <w:t>D</w:t>
      </w:r>
      <w:r w:rsidR="00FE7C00" w:rsidRPr="0057101C">
        <w:rPr>
          <w:color w:val="auto"/>
          <w:szCs w:val="24"/>
        </w:rPr>
        <w:t xml:space="preserve">VA evidence proximal to separation </w:t>
      </w:r>
      <w:r w:rsidR="00FE7C00" w:rsidRPr="0057101C">
        <w:rPr>
          <w:color w:val="auto"/>
          <w:szCs w:val="24"/>
        </w:rPr>
        <w:lastRenderedPageBreak/>
        <w:t xml:space="preserve">in arriving at its recommendations; and, </w:t>
      </w:r>
      <w:proofErr w:type="spellStart"/>
      <w:r w:rsidR="00FE7C00" w:rsidRPr="0057101C">
        <w:rPr>
          <w:color w:val="auto"/>
          <w:szCs w:val="24"/>
        </w:rPr>
        <w:t>DoDI</w:t>
      </w:r>
      <w:proofErr w:type="spellEnd"/>
      <w:r w:rsidR="00FE7C00" w:rsidRPr="0057101C">
        <w:rPr>
          <w:color w:val="auto"/>
          <w:szCs w:val="24"/>
        </w:rPr>
        <w:t xml:space="preserve"> 6040.44 defines a 12-month interval for special consideration to post-separation evidence.  The Board’s autho</w:t>
      </w:r>
      <w:r w:rsidR="00F67F6F">
        <w:rPr>
          <w:color w:val="auto"/>
          <w:szCs w:val="24"/>
        </w:rPr>
        <w:t xml:space="preserve">rity as defined in </w:t>
      </w:r>
      <w:proofErr w:type="spellStart"/>
      <w:r w:rsidR="00F67F6F">
        <w:rPr>
          <w:color w:val="auto"/>
          <w:szCs w:val="24"/>
        </w:rPr>
        <w:t>DoDI</w:t>
      </w:r>
      <w:proofErr w:type="spellEnd"/>
      <w:r w:rsidR="00F67F6F">
        <w:rPr>
          <w:color w:val="auto"/>
          <w:szCs w:val="24"/>
        </w:rPr>
        <w:t xml:space="preserve"> 6040.44;</w:t>
      </w:r>
      <w:r w:rsidR="00FE7C00" w:rsidRPr="0057101C">
        <w:rPr>
          <w:color w:val="auto"/>
          <w:szCs w:val="24"/>
        </w:rPr>
        <w:t xml:space="preserve">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2C6E5B" w:rsidRPr="0057101C" w:rsidRDefault="002C6E5B" w:rsidP="009369A6">
      <w:pPr>
        <w:jc w:val="left"/>
        <w:rPr>
          <w:color w:val="auto"/>
          <w:szCs w:val="24"/>
          <w:u w:val="single"/>
        </w:rPr>
      </w:pPr>
    </w:p>
    <w:p w:rsidR="00CC6968" w:rsidRPr="0057101C" w:rsidRDefault="002024C3" w:rsidP="001D17ED">
      <w:pPr>
        <w:jc w:val="both"/>
        <w:rPr>
          <w:color w:val="auto"/>
          <w:szCs w:val="24"/>
        </w:rPr>
      </w:pPr>
      <w:proofErr w:type="gramStart"/>
      <w:r w:rsidRPr="0057101C">
        <w:rPr>
          <w:color w:val="auto"/>
          <w:szCs w:val="24"/>
          <w:u w:val="single"/>
        </w:rPr>
        <w:t xml:space="preserve">Pain Left Foot </w:t>
      </w:r>
      <w:r w:rsidR="003F2EEE" w:rsidRPr="0057101C">
        <w:rPr>
          <w:color w:val="auto"/>
          <w:szCs w:val="24"/>
          <w:u w:val="single"/>
        </w:rPr>
        <w:t>Condition</w:t>
      </w:r>
      <w:r w:rsidR="003F2EEE" w:rsidRPr="0057101C">
        <w:rPr>
          <w:color w:val="auto"/>
          <w:szCs w:val="24"/>
        </w:rPr>
        <w:t>.</w:t>
      </w:r>
      <w:proofErr w:type="gramEnd"/>
      <w:r w:rsidR="003F2EEE" w:rsidRPr="0057101C">
        <w:rPr>
          <w:color w:val="auto"/>
          <w:szCs w:val="24"/>
        </w:rPr>
        <w:t xml:space="preserve">  </w:t>
      </w:r>
      <w:r w:rsidR="00554992" w:rsidRPr="0057101C">
        <w:rPr>
          <w:color w:val="auto"/>
          <w:szCs w:val="24"/>
        </w:rPr>
        <w:t xml:space="preserve">This analysis addresses all left lower extremity conditions as there is significant overlap in the symptoms and disability picture </w:t>
      </w:r>
      <w:r w:rsidR="00CC6968" w:rsidRPr="0057101C">
        <w:rPr>
          <w:color w:val="auto"/>
          <w:szCs w:val="24"/>
        </w:rPr>
        <w:t xml:space="preserve">(includes pain left lower leg secondary to dorsal </w:t>
      </w:r>
      <w:proofErr w:type="spellStart"/>
      <w:r w:rsidR="00CC6968" w:rsidRPr="0057101C">
        <w:rPr>
          <w:color w:val="auto"/>
          <w:szCs w:val="24"/>
        </w:rPr>
        <w:t>cutaneous</w:t>
      </w:r>
      <w:proofErr w:type="spellEnd"/>
      <w:r w:rsidR="00CC6968" w:rsidRPr="0057101C">
        <w:rPr>
          <w:color w:val="auto"/>
          <w:szCs w:val="24"/>
        </w:rPr>
        <w:t xml:space="preserve"> entrapment, arthritis left foot</w:t>
      </w:r>
      <w:r w:rsidR="00554992" w:rsidRPr="0057101C">
        <w:rPr>
          <w:color w:val="auto"/>
          <w:szCs w:val="24"/>
        </w:rPr>
        <w:t xml:space="preserve">, distal </w:t>
      </w:r>
      <w:proofErr w:type="spellStart"/>
      <w:r w:rsidR="00554992" w:rsidRPr="0057101C">
        <w:rPr>
          <w:color w:val="auto"/>
          <w:szCs w:val="24"/>
        </w:rPr>
        <w:t>tibial</w:t>
      </w:r>
      <w:proofErr w:type="spellEnd"/>
      <w:r w:rsidR="00554992" w:rsidRPr="0057101C">
        <w:rPr>
          <w:color w:val="auto"/>
          <w:szCs w:val="24"/>
        </w:rPr>
        <w:t xml:space="preserve"> scar and ankle</w:t>
      </w:r>
      <w:r w:rsidR="00B54193" w:rsidRPr="0057101C">
        <w:rPr>
          <w:color w:val="auto"/>
          <w:szCs w:val="24"/>
        </w:rPr>
        <w:t>)</w:t>
      </w:r>
      <w:r w:rsidR="00554992" w:rsidRPr="0057101C">
        <w:rPr>
          <w:color w:val="auto"/>
          <w:szCs w:val="24"/>
        </w:rPr>
        <w:t xml:space="preserve">.  The CI’s left foot symptoms began with a first cuneiform bone abnormality that led to fusion of the left foot first metatarsal </w:t>
      </w:r>
      <w:r w:rsidR="001D17ED" w:rsidRPr="0057101C">
        <w:rPr>
          <w:color w:val="auto"/>
          <w:szCs w:val="24"/>
        </w:rPr>
        <w:t>(1</w:t>
      </w:r>
      <w:r w:rsidR="006B7E7E">
        <w:rPr>
          <w:color w:val="auto"/>
          <w:szCs w:val="24"/>
        </w:rPr>
        <w:t>st</w:t>
      </w:r>
      <w:r w:rsidR="001D17ED" w:rsidRPr="0057101C">
        <w:rPr>
          <w:color w:val="auto"/>
          <w:szCs w:val="24"/>
        </w:rPr>
        <w:t xml:space="preserve"> MT) </w:t>
      </w:r>
      <w:r w:rsidR="00554992" w:rsidRPr="0057101C">
        <w:rPr>
          <w:color w:val="auto"/>
          <w:szCs w:val="24"/>
        </w:rPr>
        <w:t xml:space="preserve">and cuneiform bones (mid-foot aligned with big toe </w:t>
      </w:r>
      <w:r w:rsidR="001D17ED" w:rsidRPr="0057101C">
        <w:rPr>
          <w:color w:val="auto"/>
          <w:szCs w:val="24"/>
        </w:rPr>
        <w:t>behind the ball of the foot</w:t>
      </w:r>
      <w:r w:rsidR="00554992" w:rsidRPr="0057101C">
        <w:rPr>
          <w:color w:val="auto"/>
          <w:szCs w:val="24"/>
        </w:rPr>
        <w:t xml:space="preserve">).  </w:t>
      </w:r>
      <w:r w:rsidR="001D17ED" w:rsidRPr="0057101C">
        <w:rPr>
          <w:color w:val="auto"/>
          <w:szCs w:val="24"/>
        </w:rPr>
        <w:t>Surgery included bone graft donor site from the distal tibia.  The CI had two additional surgeries on the 1</w:t>
      </w:r>
      <w:r w:rsidR="006B7E7E">
        <w:rPr>
          <w:color w:val="auto"/>
          <w:szCs w:val="24"/>
        </w:rPr>
        <w:t>st</w:t>
      </w:r>
      <w:r w:rsidR="001D17ED" w:rsidRPr="0057101C">
        <w:rPr>
          <w:color w:val="auto"/>
          <w:szCs w:val="24"/>
        </w:rPr>
        <w:t xml:space="preserve"> MT area </w:t>
      </w:r>
      <w:r w:rsidR="009D08B5" w:rsidRPr="0057101C">
        <w:rPr>
          <w:color w:val="auto"/>
          <w:szCs w:val="24"/>
        </w:rPr>
        <w:t xml:space="preserve">including </w:t>
      </w:r>
      <w:proofErr w:type="spellStart"/>
      <w:r w:rsidR="009D08B5" w:rsidRPr="0057101C">
        <w:rPr>
          <w:color w:val="auto"/>
          <w:szCs w:val="24"/>
        </w:rPr>
        <w:t>neurectomy</w:t>
      </w:r>
      <w:proofErr w:type="spellEnd"/>
      <w:r w:rsidR="004E2B75" w:rsidRPr="0057101C">
        <w:rPr>
          <w:color w:val="auto"/>
          <w:szCs w:val="24"/>
        </w:rPr>
        <w:t xml:space="preserve">/excision of </w:t>
      </w:r>
      <w:proofErr w:type="spellStart"/>
      <w:r w:rsidR="004E2B75" w:rsidRPr="0057101C">
        <w:rPr>
          <w:color w:val="auto"/>
          <w:szCs w:val="24"/>
        </w:rPr>
        <w:t>neuroma</w:t>
      </w:r>
      <w:proofErr w:type="spellEnd"/>
      <w:r w:rsidR="004E2B75" w:rsidRPr="0057101C">
        <w:rPr>
          <w:color w:val="auto"/>
          <w:szCs w:val="24"/>
        </w:rPr>
        <w:t xml:space="preserve"> of the medial dorsal </w:t>
      </w:r>
      <w:proofErr w:type="spellStart"/>
      <w:r w:rsidR="004E2B75" w:rsidRPr="0057101C">
        <w:rPr>
          <w:color w:val="auto"/>
          <w:szCs w:val="24"/>
        </w:rPr>
        <w:t>cutaneous</w:t>
      </w:r>
      <w:proofErr w:type="spellEnd"/>
      <w:r w:rsidR="004E2B75" w:rsidRPr="0057101C">
        <w:rPr>
          <w:color w:val="auto"/>
          <w:szCs w:val="24"/>
        </w:rPr>
        <w:t xml:space="preserve"> nerve </w:t>
      </w:r>
      <w:r w:rsidR="001D17ED" w:rsidRPr="0057101C">
        <w:rPr>
          <w:color w:val="auto"/>
          <w:szCs w:val="24"/>
        </w:rPr>
        <w:t xml:space="preserve">and developed chronic lower leg and foot pain (on the top of the foot) that prevented wear of military foot gear and interfered with running, walking and sleep.  Oral medications and repeated scar-area injections provided only temporary pain relief.  </w:t>
      </w:r>
    </w:p>
    <w:p w:rsidR="001D17ED" w:rsidRPr="0057101C" w:rsidRDefault="001D17ED" w:rsidP="001D17ED">
      <w:pPr>
        <w:jc w:val="both"/>
        <w:rPr>
          <w:rFonts w:asciiTheme="minorHAnsi" w:hAnsiTheme="minorHAnsi"/>
          <w:color w:val="auto"/>
        </w:rPr>
      </w:pPr>
    </w:p>
    <w:p w:rsidR="009F4909" w:rsidRPr="0057101C" w:rsidRDefault="009F4909" w:rsidP="009F4909">
      <w:pPr>
        <w:tabs>
          <w:tab w:val="left" w:pos="288"/>
          <w:tab w:val="left" w:pos="4752"/>
        </w:tabs>
        <w:jc w:val="both"/>
        <w:rPr>
          <w:rFonts w:asciiTheme="minorHAnsi" w:hAnsiTheme="minorHAnsi" w:cs="Times New Roman"/>
          <w:color w:val="auto"/>
          <w:szCs w:val="24"/>
        </w:rPr>
      </w:pPr>
      <w:r w:rsidRPr="0057101C">
        <w:rPr>
          <w:color w:val="auto"/>
          <w:szCs w:val="24"/>
        </w:rPr>
        <w:t xml:space="preserve">The </w:t>
      </w:r>
      <w:r w:rsidR="001D17ED" w:rsidRPr="0057101C">
        <w:rPr>
          <w:color w:val="auto"/>
          <w:szCs w:val="24"/>
        </w:rPr>
        <w:t xml:space="preserve">primary </w:t>
      </w:r>
      <w:r w:rsidR="002245A6" w:rsidRPr="0057101C">
        <w:rPr>
          <w:color w:val="auto"/>
          <w:szCs w:val="24"/>
        </w:rPr>
        <w:t xml:space="preserve">evaluations </w:t>
      </w:r>
      <w:r w:rsidRPr="0057101C">
        <w:rPr>
          <w:color w:val="auto"/>
          <w:szCs w:val="24"/>
        </w:rPr>
        <w:t>which the Board weighed in arriving at its rating recommendation</w:t>
      </w:r>
      <w:r w:rsidR="002245A6" w:rsidRPr="0057101C">
        <w:rPr>
          <w:color w:val="auto"/>
          <w:szCs w:val="24"/>
        </w:rPr>
        <w:t xml:space="preserve"> were the </w:t>
      </w:r>
      <w:r w:rsidR="00F67F6F">
        <w:rPr>
          <w:color w:val="auto"/>
          <w:szCs w:val="24"/>
        </w:rPr>
        <w:t>narrative summary (</w:t>
      </w:r>
      <w:r w:rsidR="002245A6" w:rsidRPr="0057101C">
        <w:rPr>
          <w:color w:val="auto"/>
          <w:szCs w:val="24"/>
        </w:rPr>
        <w:t>NARSUM</w:t>
      </w:r>
      <w:r w:rsidR="00F67F6F">
        <w:rPr>
          <w:color w:val="auto"/>
          <w:szCs w:val="24"/>
        </w:rPr>
        <w:t>)</w:t>
      </w:r>
      <w:r w:rsidR="002245A6" w:rsidRPr="0057101C">
        <w:rPr>
          <w:color w:val="auto"/>
          <w:szCs w:val="24"/>
        </w:rPr>
        <w:t xml:space="preserve"> exam </w:t>
      </w:r>
      <w:r w:rsidR="00F67F6F">
        <w:rPr>
          <w:color w:val="auto"/>
          <w:szCs w:val="24"/>
        </w:rPr>
        <w:t>8</w:t>
      </w:r>
      <w:r w:rsidR="002245A6" w:rsidRPr="0057101C">
        <w:rPr>
          <w:color w:val="auto"/>
          <w:szCs w:val="24"/>
        </w:rPr>
        <w:t xml:space="preserve"> mo</w:t>
      </w:r>
      <w:r w:rsidR="00442DB1" w:rsidRPr="0057101C">
        <w:rPr>
          <w:color w:val="auto"/>
          <w:szCs w:val="24"/>
        </w:rPr>
        <w:t>nths prior to separation</w:t>
      </w:r>
      <w:r w:rsidR="001D17ED" w:rsidRPr="0057101C">
        <w:rPr>
          <w:color w:val="auto"/>
          <w:szCs w:val="24"/>
        </w:rPr>
        <w:t>,</w:t>
      </w:r>
      <w:r w:rsidR="002245A6" w:rsidRPr="0057101C">
        <w:rPr>
          <w:color w:val="auto"/>
          <w:szCs w:val="24"/>
        </w:rPr>
        <w:t xml:space="preserve"> the VA </w:t>
      </w:r>
      <w:r w:rsidR="00F67F6F">
        <w:rPr>
          <w:color w:val="auto"/>
          <w:szCs w:val="24"/>
        </w:rPr>
        <w:t>Compensation and Pension (</w:t>
      </w:r>
      <w:r w:rsidR="002245A6" w:rsidRPr="0057101C">
        <w:rPr>
          <w:color w:val="auto"/>
          <w:szCs w:val="24"/>
        </w:rPr>
        <w:t>C&amp;P</w:t>
      </w:r>
      <w:r w:rsidR="00F67F6F">
        <w:rPr>
          <w:color w:val="auto"/>
          <w:szCs w:val="24"/>
        </w:rPr>
        <w:t>)</w:t>
      </w:r>
      <w:r w:rsidR="002245A6" w:rsidRPr="0057101C">
        <w:rPr>
          <w:color w:val="auto"/>
          <w:szCs w:val="24"/>
        </w:rPr>
        <w:t xml:space="preserve"> exam </w:t>
      </w:r>
      <w:r w:rsidR="006B7E7E">
        <w:rPr>
          <w:color w:val="auto"/>
          <w:szCs w:val="24"/>
        </w:rPr>
        <w:t xml:space="preserve">performed </w:t>
      </w:r>
      <w:r w:rsidR="00F67F6F">
        <w:rPr>
          <w:color w:val="auto"/>
          <w:szCs w:val="24"/>
        </w:rPr>
        <w:t>2</w:t>
      </w:r>
      <w:r w:rsidR="00442DB1" w:rsidRPr="0057101C">
        <w:rPr>
          <w:color w:val="auto"/>
          <w:szCs w:val="24"/>
        </w:rPr>
        <w:t xml:space="preserve"> months prior to separation</w:t>
      </w:r>
      <w:r w:rsidR="008F4C53" w:rsidRPr="0057101C">
        <w:rPr>
          <w:color w:val="auto"/>
          <w:szCs w:val="24"/>
        </w:rPr>
        <w:t>, and the treatment records after the NARSUM and prior to separation</w:t>
      </w:r>
      <w:r w:rsidRPr="0057101C">
        <w:rPr>
          <w:rFonts w:asciiTheme="minorHAnsi" w:hAnsiTheme="minorHAnsi" w:cs="Times New Roman"/>
          <w:color w:val="auto"/>
          <w:szCs w:val="24"/>
        </w:rPr>
        <w:t>.</w:t>
      </w:r>
      <w:r w:rsidR="00442DB1" w:rsidRPr="0057101C">
        <w:rPr>
          <w:rFonts w:asciiTheme="minorHAnsi" w:hAnsiTheme="minorHAnsi" w:cs="Times New Roman"/>
          <w:color w:val="auto"/>
          <w:szCs w:val="24"/>
        </w:rPr>
        <w:t xml:space="preserve">  </w:t>
      </w:r>
    </w:p>
    <w:p w:rsidR="002024C3" w:rsidRPr="0057101C" w:rsidRDefault="002024C3" w:rsidP="00BF0E94">
      <w:pPr>
        <w:jc w:val="left"/>
        <w:rPr>
          <w:color w:val="auto"/>
          <w:szCs w:val="24"/>
        </w:rPr>
      </w:pPr>
    </w:p>
    <w:p w:rsidR="008F4C53" w:rsidRPr="0057101C" w:rsidRDefault="008F4C53" w:rsidP="008F4C53">
      <w:pPr>
        <w:tabs>
          <w:tab w:val="left" w:pos="288"/>
          <w:tab w:val="left" w:pos="4752"/>
        </w:tabs>
        <w:jc w:val="both"/>
        <w:rPr>
          <w:color w:val="auto"/>
          <w:szCs w:val="24"/>
        </w:rPr>
      </w:pPr>
      <w:r w:rsidRPr="0057101C">
        <w:rPr>
          <w:color w:val="auto"/>
          <w:szCs w:val="24"/>
        </w:rPr>
        <w:t xml:space="preserve">The NARSUM exam indicated </w:t>
      </w:r>
      <w:r w:rsidR="006F14CD" w:rsidRPr="0057101C">
        <w:rPr>
          <w:color w:val="auto"/>
          <w:szCs w:val="24"/>
        </w:rPr>
        <w:t xml:space="preserve">the CI’s pain history and trouble sleeping.  The CI had </w:t>
      </w:r>
      <w:r w:rsidRPr="0057101C">
        <w:rPr>
          <w:color w:val="auto"/>
          <w:szCs w:val="24"/>
        </w:rPr>
        <w:t xml:space="preserve">a mild </w:t>
      </w:r>
      <w:proofErr w:type="spellStart"/>
      <w:r w:rsidRPr="0057101C">
        <w:rPr>
          <w:color w:val="auto"/>
          <w:szCs w:val="24"/>
        </w:rPr>
        <w:t>antalgic</w:t>
      </w:r>
      <w:proofErr w:type="spellEnd"/>
      <w:r w:rsidRPr="0057101C">
        <w:rPr>
          <w:color w:val="auto"/>
          <w:szCs w:val="24"/>
        </w:rPr>
        <w:t xml:space="preserve"> gait.  There was decreased sensation in the first web space</w:t>
      </w:r>
      <w:r w:rsidR="00F67F6F">
        <w:rPr>
          <w:color w:val="auto"/>
          <w:szCs w:val="24"/>
        </w:rPr>
        <w:t xml:space="preserve"> and a positive </w:t>
      </w:r>
      <w:proofErr w:type="spellStart"/>
      <w:r w:rsidR="00F67F6F">
        <w:rPr>
          <w:color w:val="auto"/>
          <w:szCs w:val="24"/>
        </w:rPr>
        <w:t>Valleix</w:t>
      </w:r>
      <w:proofErr w:type="spellEnd"/>
      <w:r w:rsidR="00F67F6F">
        <w:rPr>
          <w:color w:val="auto"/>
          <w:szCs w:val="24"/>
        </w:rPr>
        <w:t xml:space="preserve"> sign (</w:t>
      </w:r>
      <w:proofErr w:type="spellStart"/>
      <w:r w:rsidRPr="0057101C">
        <w:rPr>
          <w:color w:val="auto"/>
          <w:szCs w:val="24"/>
        </w:rPr>
        <w:t>percussing</w:t>
      </w:r>
      <w:proofErr w:type="spellEnd"/>
      <w:r w:rsidRPr="0057101C">
        <w:rPr>
          <w:color w:val="auto"/>
          <w:szCs w:val="24"/>
        </w:rPr>
        <w:t xml:space="preserve"> the point of entrapment with a neurological hammer, causing migration of electrical activity </w:t>
      </w:r>
      <w:r w:rsidR="00D37630" w:rsidRPr="0057101C">
        <w:rPr>
          <w:color w:val="auto"/>
          <w:szCs w:val="24"/>
        </w:rPr>
        <w:t>[</w:t>
      </w:r>
      <w:r w:rsidRPr="0057101C">
        <w:rPr>
          <w:color w:val="auto"/>
          <w:szCs w:val="24"/>
        </w:rPr>
        <w:t>lightning bolt</w:t>
      </w:r>
      <w:r w:rsidR="00D37630" w:rsidRPr="0057101C">
        <w:rPr>
          <w:color w:val="auto"/>
          <w:szCs w:val="24"/>
        </w:rPr>
        <w:t>]</w:t>
      </w:r>
      <w:r w:rsidRPr="0057101C">
        <w:rPr>
          <w:color w:val="auto"/>
          <w:szCs w:val="24"/>
        </w:rPr>
        <w:t xml:space="preserve"> sensation up the leg and into the foot.) and negative </w:t>
      </w:r>
      <w:proofErr w:type="spellStart"/>
      <w:r w:rsidRPr="0057101C">
        <w:rPr>
          <w:color w:val="auto"/>
          <w:szCs w:val="24"/>
        </w:rPr>
        <w:t>Tinel</w:t>
      </w:r>
      <w:proofErr w:type="spellEnd"/>
      <w:r w:rsidRPr="0057101C">
        <w:rPr>
          <w:color w:val="auto"/>
          <w:szCs w:val="24"/>
        </w:rPr>
        <w:t xml:space="preserve"> sign (pressing versus striking/</w:t>
      </w:r>
      <w:r w:rsidR="00D37630" w:rsidRPr="0057101C">
        <w:rPr>
          <w:color w:val="auto"/>
          <w:szCs w:val="24"/>
        </w:rPr>
        <w:t>percussion</w:t>
      </w:r>
      <w:r w:rsidRPr="0057101C">
        <w:rPr>
          <w:color w:val="auto"/>
          <w:szCs w:val="24"/>
        </w:rPr>
        <w:t>).  There was tenderness of the foot and lower leg surg</w:t>
      </w:r>
      <w:r w:rsidR="00F67F6F">
        <w:rPr>
          <w:color w:val="auto"/>
          <w:szCs w:val="24"/>
        </w:rPr>
        <w:t>ical areas.  Strength and range-of-</w:t>
      </w:r>
      <w:r w:rsidRPr="0057101C">
        <w:rPr>
          <w:color w:val="auto"/>
          <w:szCs w:val="24"/>
        </w:rPr>
        <w:t xml:space="preserve">motion (ROM) of the ankle/foot were noted as “within normal limits and non-tender” without goniometric measurements provided.  </w:t>
      </w:r>
    </w:p>
    <w:p w:rsidR="008F4C53" w:rsidRPr="0057101C" w:rsidRDefault="008F4C53" w:rsidP="009D08B5">
      <w:pPr>
        <w:tabs>
          <w:tab w:val="left" w:pos="288"/>
          <w:tab w:val="left" w:pos="4752"/>
        </w:tabs>
        <w:jc w:val="both"/>
        <w:rPr>
          <w:color w:val="auto"/>
          <w:szCs w:val="24"/>
        </w:rPr>
      </w:pPr>
    </w:p>
    <w:p w:rsidR="008F4C53" w:rsidRPr="0057101C" w:rsidRDefault="009D08B5" w:rsidP="009D08B5">
      <w:pPr>
        <w:jc w:val="both"/>
        <w:rPr>
          <w:color w:val="auto"/>
          <w:szCs w:val="24"/>
        </w:rPr>
      </w:pPr>
      <w:r w:rsidRPr="0057101C">
        <w:rPr>
          <w:color w:val="auto"/>
          <w:szCs w:val="24"/>
        </w:rPr>
        <w:t>The VA C</w:t>
      </w:r>
      <w:r w:rsidR="008F4C53" w:rsidRPr="0057101C">
        <w:rPr>
          <w:color w:val="auto"/>
          <w:szCs w:val="24"/>
        </w:rPr>
        <w:t xml:space="preserve">&amp;P </w:t>
      </w:r>
      <w:r w:rsidR="006F14CD" w:rsidRPr="0057101C">
        <w:rPr>
          <w:color w:val="auto"/>
          <w:szCs w:val="24"/>
        </w:rPr>
        <w:t>e</w:t>
      </w:r>
      <w:r w:rsidR="008F4C53" w:rsidRPr="0057101C">
        <w:rPr>
          <w:color w:val="auto"/>
          <w:szCs w:val="24"/>
        </w:rPr>
        <w:t>xam</w:t>
      </w:r>
      <w:r w:rsidRPr="0057101C">
        <w:rPr>
          <w:color w:val="auto"/>
          <w:szCs w:val="24"/>
        </w:rPr>
        <w:t xml:space="preserve"> </w:t>
      </w:r>
      <w:r w:rsidR="00F67F6F">
        <w:rPr>
          <w:color w:val="auto"/>
          <w:szCs w:val="24"/>
        </w:rPr>
        <w:t xml:space="preserve">prior to separation </w:t>
      </w:r>
      <w:r w:rsidRPr="0057101C">
        <w:rPr>
          <w:color w:val="auto"/>
          <w:szCs w:val="24"/>
        </w:rPr>
        <w:t>indicated th</w:t>
      </w:r>
      <w:r w:rsidR="008F4C53" w:rsidRPr="0057101C">
        <w:rPr>
          <w:color w:val="auto"/>
          <w:szCs w:val="24"/>
        </w:rPr>
        <w:t xml:space="preserve">e </w:t>
      </w:r>
      <w:r w:rsidRPr="0057101C">
        <w:rPr>
          <w:color w:val="auto"/>
          <w:szCs w:val="24"/>
        </w:rPr>
        <w:t xml:space="preserve">CI </w:t>
      </w:r>
      <w:r w:rsidR="008F4C53" w:rsidRPr="0057101C">
        <w:rPr>
          <w:color w:val="auto"/>
          <w:szCs w:val="24"/>
        </w:rPr>
        <w:t>had a limp</w:t>
      </w:r>
      <w:r w:rsidRPr="0057101C">
        <w:rPr>
          <w:color w:val="auto"/>
          <w:szCs w:val="24"/>
        </w:rPr>
        <w:t xml:space="preserve"> and “</w:t>
      </w:r>
      <w:r w:rsidR="008F4C53" w:rsidRPr="0057101C">
        <w:rPr>
          <w:color w:val="auto"/>
          <w:szCs w:val="24"/>
        </w:rPr>
        <w:t>favored his right foot because of left foot pain.</w:t>
      </w:r>
      <w:r w:rsidRPr="0057101C">
        <w:rPr>
          <w:color w:val="auto"/>
          <w:szCs w:val="24"/>
        </w:rPr>
        <w:t>”</w:t>
      </w:r>
      <w:r w:rsidR="008F4C53" w:rsidRPr="0057101C">
        <w:rPr>
          <w:color w:val="auto"/>
          <w:szCs w:val="24"/>
        </w:rPr>
        <w:t xml:space="preserve">  </w:t>
      </w:r>
      <w:r w:rsidRPr="0057101C">
        <w:rPr>
          <w:color w:val="auto"/>
          <w:szCs w:val="24"/>
        </w:rPr>
        <w:t>There was “</w:t>
      </w:r>
      <w:r w:rsidR="008F4C53" w:rsidRPr="0057101C">
        <w:rPr>
          <w:color w:val="auto"/>
          <w:szCs w:val="24"/>
        </w:rPr>
        <w:t xml:space="preserve">slight thinning and atrophy of the </w:t>
      </w:r>
      <w:proofErr w:type="spellStart"/>
      <w:r w:rsidR="008F4C53" w:rsidRPr="0057101C">
        <w:rPr>
          <w:color w:val="auto"/>
          <w:szCs w:val="24"/>
        </w:rPr>
        <w:t>interosseous</w:t>
      </w:r>
      <w:proofErr w:type="spellEnd"/>
      <w:r w:rsidR="008F4C53" w:rsidRPr="0057101C">
        <w:rPr>
          <w:color w:val="auto"/>
          <w:szCs w:val="24"/>
        </w:rPr>
        <w:t xml:space="preserve"> muscles of the left foot.  He had exquisite tenderness to minimal palpation of that area.  ROM of the ankle revealed that he had </w:t>
      </w:r>
      <w:proofErr w:type="spellStart"/>
      <w:r w:rsidR="008F4C53" w:rsidRPr="0057101C">
        <w:rPr>
          <w:color w:val="auto"/>
          <w:szCs w:val="24"/>
        </w:rPr>
        <w:t>dorsiflexion</w:t>
      </w:r>
      <w:proofErr w:type="spellEnd"/>
      <w:r w:rsidR="008F4C53" w:rsidRPr="0057101C">
        <w:rPr>
          <w:color w:val="auto"/>
          <w:szCs w:val="24"/>
        </w:rPr>
        <w:t xml:space="preserve"> of 5 degrees </w:t>
      </w:r>
      <w:r w:rsidRPr="0057101C">
        <w:rPr>
          <w:color w:val="auto"/>
          <w:szCs w:val="24"/>
        </w:rPr>
        <w:t xml:space="preserve">(normal 20 degrees) </w:t>
      </w:r>
      <w:r w:rsidR="008F4C53" w:rsidRPr="0057101C">
        <w:rPr>
          <w:color w:val="auto"/>
          <w:szCs w:val="24"/>
        </w:rPr>
        <w:t>and plantar flexion of 5 degrees</w:t>
      </w:r>
      <w:r w:rsidRPr="0057101C">
        <w:rPr>
          <w:color w:val="auto"/>
          <w:szCs w:val="24"/>
        </w:rPr>
        <w:t xml:space="preserve"> (normal 45 degrees)</w:t>
      </w:r>
      <w:r w:rsidR="008F4C53" w:rsidRPr="0057101C">
        <w:rPr>
          <w:color w:val="auto"/>
          <w:szCs w:val="24"/>
        </w:rPr>
        <w:t xml:space="preserve">. </w:t>
      </w:r>
      <w:r w:rsidRPr="0057101C">
        <w:rPr>
          <w:color w:val="auto"/>
          <w:szCs w:val="24"/>
        </w:rPr>
        <w:t xml:space="preserve"> </w:t>
      </w:r>
      <w:r w:rsidR="008F4C53" w:rsidRPr="0057101C">
        <w:rPr>
          <w:color w:val="auto"/>
          <w:szCs w:val="24"/>
        </w:rPr>
        <w:t>Scars were well healed.  He had obvious exquisite pain at this area.  It did cause him a great amount of physical impairment.  This was significant physical impairment.</w:t>
      </w:r>
      <w:r w:rsidRPr="0057101C">
        <w:rPr>
          <w:color w:val="auto"/>
          <w:szCs w:val="24"/>
        </w:rPr>
        <w:t xml:space="preserve">”  </w:t>
      </w:r>
    </w:p>
    <w:p w:rsidR="008F4C53" w:rsidRPr="0057101C" w:rsidRDefault="008F4C53" w:rsidP="00BF0E94">
      <w:pPr>
        <w:jc w:val="left"/>
        <w:rPr>
          <w:color w:val="auto"/>
          <w:szCs w:val="24"/>
        </w:rPr>
      </w:pPr>
    </w:p>
    <w:p w:rsidR="009D08B5" w:rsidRPr="0057101C" w:rsidRDefault="009D08B5" w:rsidP="000C33ED">
      <w:pPr>
        <w:jc w:val="both"/>
        <w:rPr>
          <w:color w:val="auto"/>
          <w:szCs w:val="24"/>
        </w:rPr>
      </w:pPr>
      <w:r w:rsidRPr="0057101C">
        <w:rPr>
          <w:color w:val="auto"/>
          <w:szCs w:val="24"/>
        </w:rPr>
        <w:t>The treatment records indicated the CI was on an anesthetic patch, and a medication for nerve pain (</w:t>
      </w:r>
      <w:proofErr w:type="spellStart"/>
      <w:r w:rsidRPr="0057101C">
        <w:rPr>
          <w:color w:val="auto"/>
          <w:szCs w:val="24"/>
        </w:rPr>
        <w:t>Gabapentin</w:t>
      </w:r>
      <w:proofErr w:type="spellEnd"/>
      <w:r w:rsidRPr="0057101C">
        <w:rPr>
          <w:color w:val="auto"/>
          <w:szCs w:val="24"/>
        </w:rPr>
        <w:t>/</w:t>
      </w:r>
      <w:proofErr w:type="spellStart"/>
      <w:r w:rsidRPr="0057101C">
        <w:rPr>
          <w:color w:val="auto"/>
          <w:szCs w:val="24"/>
        </w:rPr>
        <w:t>Neurontin</w:t>
      </w:r>
      <w:proofErr w:type="spellEnd"/>
      <w:r w:rsidRPr="0057101C">
        <w:rPr>
          <w:color w:val="auto"/>
          <w:szCs w:val="24"/>
        </w:rPr>
        <w:t>).  There were four pain management visits following the NARSUM with t</w:t>
      </w:r>
      <w:r w:rsidR="00D37630" w:rsidRPr="0057101C">
        <w:rPr>
          <w:color w:val="auto"/>
          <w:szCs w:val="24"/>
        </w:rPr>
        <w:t>hr</w:t>
      </w:r>
      <w:r w:rsidRPr="0057101C">
        <w:rPr>
          <w:color w:val="auto"/>
          <w:szCs w:val="24"/>
        </w:rPr>
        <w:t>ee injections providing temporary pain relief</w:t>
      </w:r>
      <w:r w:rsidR="000C33ED" w:rsidRPr="0057101C">
        <w:rPr>
          <w:color w:val="auto"/>
          <w:szCs w:val="24"/>
        </w:rPr>
        <w:t>, including one following the VA C&amp;P exam</w:t>
      </w:r>
      <w:r w:rsidR="0085027D" w:rsidRPr="0057101C">
        <w:rPr>
          <w:color w:val="auto"/>
          <w:szCs w:val="24"/>
        </w:rPr>
        <w:t xml:space="preserve"> and some indication of a lessening of pain and spasm</w:t>
      </w:r>
      <w:r w:rsidRPr="0057101C">
        <w:rPr>
          <w:color w:val="auto"/>
          <w:szCs w:val="24"/>
        </w:rPr>
        <w:t xml:space="preserve">.  </w:t>
      </w:r>
      <w:r w:rsidR="004E2B75" w:rsidRPr="0057101C">
        <w:rPr>
          <w:color w:val="auto"/>
          <w:szCs w:val="24"/>
        </w:rPr>
        <w:t>Prior multiple injections for pain relief had included foot and sciatic nerve blocks for a diagnosed reflex regional dystrophy of the left foot.</w:t>
      </w:r>
      <w:r w:rsidR="005A43C6" w:rsidRPr="0057101C">
        <w:rPr>
          <w:color w:val="auto"/>
          <w:szCs w:val="24"/>
        </w:rPr>
        <w:t xml:space="preserve">  </w:t>
      </w:r>
    </w:p>
    <w:p w:rsidR="009D08B5" w:rsidRPr="0057101C" w:rsidRDefault="009D08B5" w:rsidP="000C33ED">
      <w:pPr>
        <w:jc w:val="both"/>
        <w:rPr>
          <w:color w:val="auto"/>
          <w:szCs w:val="24"/>
        </w:rPr>
      </w:pPr>
    </w:p>
    <w:p w:rsidR="005A43C6" w:rsidRPr="0057101C" w:rsidRDefault="00D81274" w:rsidP="00E5715F">
      <w:pPr>
        <w:jc w:val="both"/>
        <w:rPr>
          <w:color w:val="auto"/>
          <w:szCs w:val="24"/>
        </w:rPr>
      </w:pPr>
      <w:r w:rsidRPr="0057101C">
        <w:rPr>
          <w:color w:val="auto"/>
          <w:szCs w:val="24"/>
        </w:rPr>
        <w:t>Records indicated t</w:t>
      </w:r>
      <w:r w:rsidR="005A43C6" w:rsidRPr="0057101C">
        <w:rPr>
          <w:color w:val="auto"/>
          <w:szCs w:val="24"/>
        </w:rPr>
        <w:t xml:space="preserve">he CI had </w:t>
      </w:r>
      <w:r w:rsidRPr="0057101C">
        <w:rPr>
          <w:color w:val="auto"/>
          <w:szCs w:val="24"/>
        </w:rPr>
        <w:t xml:space="preserve">been </w:t>
      </w:r>
      <w:r w:rsidR="005A43C6" w:rsidRPr="0057101C">
        <w:rPr>
          <w:color w:val="auto"/>
          <w:szCs w:val="24"/>
        </w:rPr>
        <w:t>dispensed orthotics</w:t>
      </w:r>
      <w:r w:rsidR="006F14CD" w:rsidRPr="0057101C">
        <w:rPr>
          <w:color w:val="auto"/>
          <w:szCs w:val="24"/>
        </w:rPr>
        <w:t xml:space="preserve"> (shoe inserts)</w:t>
      </w:r>
      <w:r w:rsidR="005571CF" w:rsidRPr="0057101C">
        <w:rPr>
          <w:color w:val="auto"/>
          <w:szCs w:val="24"/>
        </w:rPr>
        <w:t>,</w:t>
      </w:r>
      <w:r w:rsidR="005A43C6" w:rsidRPr="0057101C">
        <w:rPr>
          <w:color w:val="auto"/>
          <w:szCs w:val="24"/>
        </w:rPr>
        <w:t xml:space="preserve"> radiographs of the left foot demonstrated complete fusion of the first </w:t>
      </w:r>
      <w:proofErr w:type="spellStart"/>
      <w:r w:rsidR="005A43C6" w:rsidRPr="0057101C">
        <w:rPr>
          <w:color w:val="auto"/>
          <w:szCs w:val="24"/>
        </w:rPr>
        <w:t>multiangular</w:t>
      </w:r>
      <w:proofErr w:type="spellEnd"/>
      <w:r w:rsidR="005A43C6" w:rsidRPr="0057101C">
        <w:rPr>
          <w:color w:val="auto"/>
          <w:szCs w:val="24"/>
        </w:rPr>
        <w:t xml:space="preserve"> with the first metatarsal</w:t>
      </w:r>
      <w:r w:rsidR="005571CF" w:rsidRPr="0057101C">
        <w:rPr>
          <w:color w:val="auto"/>
          <w:szCs w:val="24"/>
        </w:rPr>
        <w:t xml:space="preserve">, and the left ankle </w:t>
      </w:r>
      <w:r w:rsidR="00175CB3" w:rsidRPr="0057101C">
        <w:rPr>
          <w:color w:val="auto"/>
          <w:szCs w:val="24"/>
        </w:rPr>
        <w:t xml:space="preserve">radiograph </w:t>
      </w:r>
      <w:r w:rsidR="005571CF" w:rsidRPr="0057101C">
        <w:rPr>
          <w:color w:val="auto"/>
          <w:szCs w:val="24"/>
        </w:rPr>
        <w:t xml:space="preserve">although </w:t>
      </w:r>
      <w:r w:rsidRPr="0057101C">
        <w:rPr>
          <w:color w:val="auto"/>
          <w:szCs w:val="24"/>
        </w:rPr>
        <w:t xml:space="preserve">19 months </w:t>
      </w:r>
      <w:r w:rsidR="00F67F6F">
        <w:rPr>
          <w:color w:val="auto"/>
          <w:szCs w:val="24"/>
        </w:rPr>
        <w:t xml:space="preserve">prior to </w:t>
      </w:r>
      <w:r w:rsidRPr="0057101C">
        <w:rPr>
          <w:color w:val="auto"/>
          <w:szCs w:val="24"/>
        </w:rPr>
        <w:t xml:space="preserve">separation was normal.  </w:t>
      </w:r>
      <w:r w:rsidR="00E5715F" w:rsidRPr="0057101C">
        <w:rPr>
          <w:color w:val="auto"/>
          <w:szCs w:val="24"/>
        </w:rPr>
        <w:t xml:space="preserve">Review of the operation report of the original bone fusion and graph harvest (in November 1996) indicated the </w:t>
      </w:r>
      <w:proofErr w:type="spellStart"/>
      <w:r w:rsidR="00E5715F" w:rsidRPr="0057101C">
        <w:rPr>
          <w:color w:val="auto"/>
          <w:szCs w:val="24"/>
        </w:rPr>
        <w:t>tibial</w:t>
      </w:r>
      <w:proofErr w:type="spellEnd"/>
      <w:r w:rsidR="00E5715F" w:rsidRPr="0057101C">
        <w:rPr>
          <w:color w:val="auto"/>
          <w:szCs w:val="24"/>
        </w:rPr>
        <w:t xml:space="preserve"> bone harvest site was 3 cm proximal to the ankle joint and accomplished with a core bone trephine—there was no indication of penetration of the ankle joint or complication involving the ankle joint, muscles or tendons.  </w:t>
      </w:r>
    </w:p>
    <w:p w:rsidR="005A43C6" w:rsidRPr="0057101C" w:rsidRDefault="005A43C6" w:rsidP="00BF0E94">
      <w:pPr>
        <w:jc w:val="left"/>
        <w:rPr>
          <w:color w:val="auto"/>
          <w:szCs w:val="24"/>
        </w:rPr>
      </w:pPr>
    </w:p>
    <w:p w:rsidR="00290E4B" w:rsidRPr="0057101C" w:rsidRDefault="00D81274" w:rsidP="00E5715F">
      <w:pPr>
        <w:jc w:val="both"/>
        <w:rPr>
          <w:color w:val="auto"/>
          <w:szCs w:val="24"/>
        </w:rPr>
      </w:pPr>
      <w:r w:rsidRPr="0057101C">
        <w:rPr>
          <w:color w:val="auto"/>
          <w:szCs w:val="24"/>
        </w:rPr>
        <w:lastRenderedPageBreak/>
        <w:t xml:space="preserve">The Board carefully examined all evidentiary information available.  The Army PEB rated the CI </w:t>
      </w:r>
      <w:r w:rsidR="00290E4B" w:rsidRPr="0057101C">
        <w:rPr>
          <w:color w:val="auto"/>
          <w:szCs w:val="24"/>
        </w:rPr>
        <w:t xml:space="preserve">for 5299-5279, analogous to </w:t>
      </w:r>
      <w:proofErr w:type="spellStart"/>
      <w:r w:rsidR="00F67F6F">
        <w:rPr>
          <w:color w:val="auto"/>
          <w:szCs w:val="24"/>
        </w:rPr>
        <w:t>m</w:t>
      </w:r>
      <w:r w:rsidR="00290E4B" w:rsidRPr="0057101C">
        <w:rPr>
          <w:color w:val="auto"/>
          <w:szCs w:val="24"/>
        </w:rPr>
        <w:t>etatarsalgia</w:t>
      </w:r>
      <w:proofErr w:type="spellEnd"/>
      <w:r w:rsidR="00290E4B" w:rsidRPr="0057101C">
        <w:rPr>
          <w:color w:val="auto"/>
          <w:szCs w:val="24"/>
        </w:rPr>
        <w:t>, anterior (Morton’s disease) and disability description indicated “Pain left foot with a history of a first cuneiform bone fracture and first</w:t>
      </w:r>
      <w:r w:rsidR="006F14CD" w:rsidRPr="0057101C">
        <w:rPr>
          <w:color w:val="auto"/>
          <w:szCs w:val="24"/>
        </w:rPr>
        <w:t xml:space="preserve"> </w:t>
      </w:r>
      <w:r w:rsidR="00290E4B" w:rsidRPr="0057101C">
        <w:rPr>
          <w:color w:val="auto"/>
          <w:szCs w:val="24"/>
        </w:rPr>
        <w:t xml:space="preserve">metatarsal cuneiform </w:t>
      </w:r>
      <w:proofErr w:type="spellStart"/>
      <w:r w:rsidR="00290E4B" w:rsidRPr="0057101C">
        <w:rPr>
          <w:color w:val="auto"/>
          <w:szCs w:val="24"/>
        </w:rPr>
        <w:t>arthrodesis</w:t>
      </w:r>
      <w:proofErr w:type="spellEnd"/>
      <w:r w:rsidR="00290E4B" w:rsidRPr="0057101C">
        <w:rPr>
          <w:color w:val="auto"/>
          <w:szCs w:val="24"/>
        </w:rPr>
        <w:t xml:space="preserve">.  Soldier has had several surgical procedures on left foot (three).  Clinical assessment for pain was dorsal </w:t>
      </w:r>
      <w:proofErr w:type="spellStart"/>
      <w:r w:rsidR="00290E4B" w:rsidRPr="0057101C">
        <w:rPr>
          <w:color w:val="auto"/>
          <w:szCs w:val="24"/>
        </w:rPr>
        <w:t>cutaneous</w:t>
      </w:r>
      <w:proofErr w:type="spellEnd"/>
      <w:r w:rsidR="00290E4B" w:rsidRPr="0057101C">
        <w:rPr>
          <w:color w:val="auto"/>
          <w:szCs w:val="24"/>
        </w:rPr>
        <w:t xml:space="preserve"> nerve entrapment of the left foot.”  This description led the Board to conclude that only the foot pain was considered unfitting and the MEB/</w:t>
      </w:r>
      <w:r w:rsidR="006F14CD" w:rsidRPr="0057101C">
        <w:rPr>
          <w:color w:val="auto"/>
          <w:szCs w:val="24"/>
        </w:rPr>
        <w:t>N</w:t>
      </w:r>
      <w:r w:rsidR="00290E4B" w:rsidRPr="0057101C">
        <w:rPr>
          <w:color w:val="auto"/>
          <w:szCs w:val="24"/>
        </w:rPr>
        <w:t>ARSUM-described left lower leg pain was not considered unfitting or rated.  The VA</w:t>
      </w:r>
      <w:r w:rsidR="006F14CD" w:rsidRPr="0057101C">
        <w:rPr>
          <w:color w:val="auto"/>
          <w:szCs w:val="24"/>
        </w:rPr>
        <w:t>S</w:t>
      </w:r>
      <w:r w:rsidR="00290E4B" w:rsidRPr="0057101C">
        <w:rPr>
          <w:color w:val="auto"/>
          <w:szCs w:val="24"/>
        </w:rPr>
        <w:t xml:space="preserve">RD code chosen by the PEB has 10% as the only rating level.  The VA rated the CI’s foot pain as 5284-8622; foot injury other with </w:t>
      </w:r>
      <w:r w:rsidR="006F14CD" w:rsidRPr="0057101C">
        <w:rPr>
          <w:color w:val="auto"/>
          <w:szCs w:val="24"/>
        </w:rPr>
        <w:t xml:space="preserve">VARD narrative indicating criteria used for their 20% rating was for “moderately severe foot injury” rather than criteria for </w:t>
      </w:r>
      <w:r w:rsidR="00290E4B" w:rsidRPr="0057101C">
        <w:rPr>
          <w:color w:val="auto"/>
          <w:szCs w:val="24"/>
        </w:rPr>
        <w:t xml:space="preserve">neuritis of the superficial </w:t>
      </w:r>
      <w:proofErr w:type="spellStart"/>
      <w:r w:rsidR="00290E4B" w:rsidRPr="0057101C">
        <w:rPr>
          <w:color w:val="auto"/>
          <w:szCs w:val="24"/>
        </w:rPr>
        <w:t>peroneal</w:t>
      </w:r>
      <w:proofErr w:type="spellEnd"/>
      <w:r w:rsidR="00290E4B" w:rsidRPr="0057101C">
        <w:rPr>
          <w:color w:val="auto"/>
          <w:szCs w:val="24"/>
        </w:rPr>
        <w:t xml:space="preserve"> nerve </w:t>
      </w:r>
      <w:r w:rsidR="006F14CD" w:rsidRPr="0057101C">
        <w:rPr>
          <w:color w:val="auto"/>
          <w:szCs w:val="24"/>
        </w:rPr>
        <w:t xml:space="preserve">as “severe” </w:t>
      </w:r>
      <w:r w:rsidR="00290E4B" w:rsidRPr="0057101C">
        <w:rPr>
          <w:color w:val="auto"/>
          <w:szCs w:val="24"/>
        </w:rPr>
        <w:t xml:space="preserve">at </w:t>
      </w:r>
      <w:r w:rsidR="006F14CD" w:rsidRPr="0057101C">
        <w:rPr>
          <w:color w:val="auto"/>
          <w:szCs w:val="24"/>
        </w:rPr>
        <w:t xml:space="preserve">the </w:t>
      </w:r>
      <w:r w:rsidR="00290E4B" w:rsidRPr="0057101C">
        <w:rPr>
          <w:color w:val="auto"/>
          <w:szCs w:val="24"/>
        </w:rPr>
        <w:t>20%</w:t>
      </w:r>
      <w:r w:rsidR="006F14CD" w:rsidRPr="0057101C">
        <w:rPr>
          <w:color w:val="auto"/>
          <w:szCs w:val="24"/>
        </w:rPr>
        <w:t xml:space="preserve"> level</w:t>
      </w:r>
      <w:r w:rsidR="00290E4B" w:rsidRPr="0057101C">
        <w:rPr>
          <w:color w:val="auto"/>
          <w:szCs w:val="24"/>
        </w:rPr>
        <w:t xml:space="preserve">.  The VA additionally rated the CI’s </w:t>
      </w:r>
      <w:r w:rsidR="00674B84" w:rsidRPr="0057101C">
        <w:rPr>
          <w:color w:val="auto"/>
          <w:szCs w:val="24"/>
        </w:rPr>
        <w:t xml:space="preserve">left ankle as 5271 for marked limitation of motion as residuals of left ankle surgery.  </w:t>
      </w:r>
    </w:p>
    <w:p w:rsidR="00290E4B" w:rsidRPr="0057101C" w:rsidRDefault="00290E4B" w:rsidP="00E5715F">
      <w:pPr>
        <w:jc w:val="both"/>
        <w:rPr>
          <w:color w:val="auto"/>
          <w:szCs w:val="24"/>
        </w:rPr>
      </w:pPr>
    </w:p>
    <w:p w:rsidR="00184257" w:rsidRPr="0057101C" w:rsidRDefault="008C5F1E" w:rsidP="00184257">
      <w:pPr>
        <w:jc w:val="both"/>
        <w:rPr>
          <w:color w:val="auto"/>
          <w:szCs w:val="24"/>
        </w:rPr>
      </w:pPr>
      <w:r w:rsidRPr="0057101C">
        <w:rPr>
          <w:color w:val="auto"/>
          <w:szCs w:val="24"/>
        </w:rPr>
        <w:t xml:space="preserve">There were marked differences between the NARSUM exam indicating normal muscle exam and ankle and foot ROMs and the VA exam indicating intrinsic foot muscle atrophy and significantly limited ankle ROMs was discussed in depth.  </w:t>
      </w:r>
      <w:r w:rsidR="00184257" w:rsidRPr="0057101C">
        <w:rPr>
          <w:color w:val="auto"/>
          <w:szCs w:val="24"/>
        </w:rPr>
        <w:t xml:space="preserve">In assigning probative value to these somewhat conflicting examinations, the Board notes that:  the MEB measurements are consistent with corroborating evidence; the MEB measurements are consistent with the other collateral physical findings; the MEB measurements are consistent with the diagnostic and clinical pathology in evidence; there is not a reasonable accounting for progressively impaired ROM in the fairly short interval between the MEB and VA examinations; and VA rating evaluations based on ROM rely on subjective pain thresholds which are plainly associated with financial incentive, thus intrinsically subject to some loss of objectivity.  </w:t>
      </w:r>
      <w:r w:rsidR="005C758C" w:rsidRPr="0057101C">
        <w:rPr>
          <w:color w:val="auto"/>
          <w:szCs w:val="24"/>
        </w:rPr>
        <w:t xml:space="preserve">The pain-limited ankle ROM is attributable to the pain syndrome rather than intrinsic ankle pathology.  </w:t>
      </w:r>
      <w:r w:rsidR="00184257" w:rsidRPr="0057101C">
        <w:rPr>
          <w:color w:val="auto"/>
          <w:szCs w:val="24"/>
        </w:rPr>
        <w:t>Therefore, based on all evidence and associated conclusions just elaborated, the Board is assigning preponderant probative value to the MEB evaluation.</w:t>
      </w:r>
      <w:r w:rsidR="00BB052B" w:rsidRPr="0057101C">
        <w:rPr>
          <w:color w:val="auto"/>
          <w:szCs w:val="24"/>
        </w:rPr>
        <w:t xml:space="preserve">  There was not a preponderance of the evidence for adding the left ankle condition as a new unfitting condition for independent rating at separation.  </w:t>
      </w:r>
    </w:p>
    <w:p w:rsidR="00BB052B" w:rsidRPr="0057101C" w:rsidRDefault="00BB052B" w:rsidP="00BB052B">
      <w:pPr>
        <w:jc w:val="both"/>
        <w:rPr>
          <w:color w:val="auto"/>
          <w:szCs w:val="24"/>
        </w:rPr>
      </w:pPr>
    </w:p>
    <w:p w:rsidR="00184257" w:rsidRPr="0057101C" w:rsidRDefault="00184257" w:rsidP="00184257">
      <w:pPr>
        <w:jc w:val="both"/>
        <w:rPr>
          <w:color w:val="auto"/>
          <w:szCs w:val="24"/>
        </w:rPr>
      </w:pPr>
      <w:r w:rsidRPr="0057101C">
        <w:rPr>
          <w:color w:val="auto"/>
          <w:szCs w:val="24"/>
        </w:rPr>
        <w:t xml:space="preserve">There was no evidence to indicate the level of disability was to the level equivalent to loss of use of the foot.  </w:t>
      </w:r>
      <w:r w:rsidR="006F14CD" w:rsidRPr="0057101C">
        <w:rPr>
          <w:color w:val="auto"/>
          <w:szCs w:val="24"/>
        </w:rPr>
        <w:t xml:space="preserve">Review of all available evidence indicated the CI’s foot and lower leg </w:t>
      </w:r>
      <w:r w:rsidR="008C5F1E" w:rsidRPr="0057101C">
        <w:rPr>
          <w:color w:val="auto"/>
          <w:szCs w:val="24"/>
        </w:rPr>
        <w:t xml:space="preserve">disability was neurologic in etiology.  It would be unduly speculative and not in accordance with medical rationale to suppose the CI’s ankle ROMs were due to the bone graft harvesting and the preponderance of the evidence indicated no separate ankle pathology.  The Board considered the level of nerve involvement for coding </w:t>
      </w:r>
      <w:r w:rsidR="00BB052B" w:rsidRPr="0057101C">
        <w:rPr>
          <w:color w:val="auto"/>
          <w:szCs w:val="24"/>
        </w:rPr>
        <w:t>should</w:t>
      </w:r>
      <w:r w:rsidR="008C5F1E" w:rsidRPr="0057101C">
        <w:rPr>
          <w:color w:val="auto"/>
          <w:szCs w:val="24"/>
        </w:rPr>
        <w:t xml:space="preserve"> include the lower leg pain and allow for reasonable doubt concerning </w:t>
      </w:r>
      <w:r w:rsidR="00BB052B" w:rsidRPr="0057101C">
        <w:rPr>
          <w:color w:val="auto"/>
          <w:szCs w:val="24"/>
        </w:rPr>
        <w:t xml:space="preserve">the positive </w:t>
      </w:r>
      <w:proofErr w:type="spellStart"/>
      <w:r w:rsidR="005C758C" w:rsidRPr="0057101C">
        <w:rPr>
          <w:color w:val="auto"/>
          <w:szCs w:val="24"/>
        </w:rPr>
        <w:t>Valliex</w:t>
      </w:r>
      <w:proofErr w:type="spellEnd"/>
      <w:r w:rsidR="00BB052B" w:rsidRPr="0057101C">
        <w:rPr>
          <w:color w:val="auto"/>
          <w:szCs w:val="24"/>
        </w:rPr>
        <w:t xml:space="preserve"> sign, </w:t>
      </w:r>
      <w:r w:rsidR="008C5F1E" w:rsidRPr="0057101C">
        <w:rPr>
          <w:color w:val="auto"/>
          <w:szCs w:val="24"/>
        </w:rPr>
        <w:t>a regional pain disorder (reflex regional dystrophy) above the level of the mid-foot</w:t>
      </w:r>
      <w:r w:rsidRPr="0057101C">
        <w:rPr>
          <w:color w:val="auto"/>
          <w:szCs w:val="24"/>
        </w:rPr>
        <w:t>, the history of multiple surgeries, and the organic changes noted at the VA exam</w:t>
      </w:r>
      <w:r w:rsidR="008C5F1E" w:rsidRPr="0057101C">
        <w:rPr>
          <w:color w:val="auto"/>
          <w:szCs w:val="24"/>
        </w:rPr>
        <w:t xml:space="preserve">.  </w:t>
      </w:r>
      <w:r w:rsidRPr="0057101C">
        <w:rPr>
          <w:color w:val="auto"/>
          <w:szCs w:val="24"/>
        </w:rPr>
        <w:t xml:space="preserve">After due deliberation, considering all of the evidence and mindful of VASRD §4.3 (reasonable doubt), the Board recommends a separation rating of 20% for the left foot condition IAW VASRD </w:t>
      </w:r>
      <w:r w:rsidR="005C758C" w:rsidRPr="0057101C">
        <w:rPr>
          <w:color w:val="auto"/>
          <w:szCs w:val="24"/>
        </w:rPr>
        <w:t>§</w:t>
      </w:r>
      <w:r w:rsidRPr="0057101C">
        <w:rPr>
          <w:color w:val="auto"/>
          <w:szCs w:val="24"/>
        </w:rPr>
        <w:t xml:space="preserve">4.71a and </w:t>
      </w:r>
      <w:r w:rsidR="00BB052B" w:rsidRPr="0057101C">
        <w:rPr>
          <w:color w:val="auto"/>
          <w:szCs w:val="24"/>
        </w:rPr>
        <w:t>§4.123</w:t>
      </w:r>
      <w:r w:rsidRPr="0057101C">
        <w:rPr>
          <w:color w:val="auto"/>
          <w:szCs w:val="24"/>
        </w:rPr>
        <w:t>.</w:t>
      </w:r>
      <w:r w:rsidR="00BB052B" w:rsidRPr="0057101C">
        <w:rPr>
          <w:color w:val="auto"/>
          <w:szCs w:val="24"/>
        </w:rPr>
        <w:t xml:space="preserve">  </w:t>
      </w:r>
    </w:p>
    <w:p w:rsidR="00B54193" w:rsidRPr="0057101C" w:rsidRDefault="00B54193" w:rsidP="006364ED">
      <w:pPr>
        <w:jc w:val="left"/>
        <w:rPr>
          <w:color w:val="auto"/>
        </w:rPr>
      </w:pPr>
    </w:p>
    <w:p w:rsidR="00A02AA8" w:rsidRPr="0057101C" w:rsidRDefault="003C5B54" w:rsidP="00A02AA8">
      <w:pPr>
        <w:jc w:val="both"/>
        <w:rPr>
          <w:color w:val="auto"/>
          <w:szCs w:val="24"/>
        </w:rPr>
      </w:pPr>
      <w:proofErr w:type="gramStart"/>
      <w:r w:rsidRPr="0057101C">
        <w:rPr>
          <w:color w:val="auto"/>
          <w:szCs w:val="24"/>
          <w:u w:val="single"/>
        </w:rPr>
        <w:t>Remaining Conditions</w:t>
      </w:r>
      <w:r w:rsidRPr="0057101C">
        <w:rPr>
          <w:color w:val="auto"/>
          <w:szCs w:val="24"/>
        </w:rPr>
        <w:t>.</w:t>
      </w:r>
      <w:proofErr w:type="gramEnd"/>
      <w:r w:rsidRPr="0057101C">
        <w:rPr>
          <w:color w:val="auto"/>
          <w:szCs w:val="24"/>
        </w:rPr>
        <w:t xml:space="preserve">  </w:t>
      </w:r>
      <w:r w:rsidR="00A02AA8" w:rsidRPr="0057101C">
        <w:rPr>
          <w:color w:val="auto"/>
          <w:szCs w:val="24"/>
        </w:rPr>
        <w:t>Other conditions identified in the DES file were</w:t>
      </w:r>
      <w:r w:rsidR="00C84AA7" w:rsidRPr="0057101C">
        <w:rPr>
          <w:color w:val="auto"/>
          <w:szCs w:val="24"/>
        </w:rPr>
        <w:t xml:space="preserve">; tendonitis left wrist; hearing loss and tinnitus; and insomnia secondary to left foot pain.  </w:t>
      </w:r>
      <w:r w:rsidR="00A02AA8" w:rsidRPr="0057101C">
        <w:rPr>
          <w:color w:val="auto"/>
          <w:szCs w:val="24"/>
        </w:rPr>
        <w:t>Several additional non-acute conditions or medical complaints were also documented.  None of these conditions were significantly clinically or occupationally active during the MEB period</w:t>
      </w:r>
      <w:r w:rsidR="0080588E" w:rsidRPr="0057101C">
        <w:rPr>
          <w:color w:val="auto"/>
          <w:szCs w:val="24"/>
        </w:rPr>
        <w:t>,</w:t>
      </w:r>
      <w:r w:rsidR="00A02AA8" w:rsidRPr="0057101C">
        <w:rPr>
          <w:color w:val="auto"/>
          <w:szCs w:val="24"/>
        </w:rPr>
        <w:t xml:space="preserve"> none carried attached profiles</w:t>
      </w:r>
      <w:r w:rsidR="0080588E" w:rsidRPr="0057101C">
        <w:rPr>
          <w:color w:val="auto"/>
          <w:szCs w:val="24"/>
        </w:rPr>
        <w:t>,</w:t>
      </w:r>
      <w:r w:rsidR="00A02AA8" w:rsidRPr="0057101C">
        <w:rPr>
          <w:color w:val="auto"/>
          <w:szCs w:val="24"/>
        </w:rPr>
        <w:t xml:space="preserve"> and none was implicated in the </w:t>
      </w:r>
      <w:r w:rsidR="0080588E" w:rsidRPr="0057101C">
        <w:rPr>
          <w:color w:val="auto"/>
          <w:szCs w:val="24"/>
        </w:rPr>
        <w:t>c</w:t>
      </w:r>
      <w:r w:rsidR="00A02AA8" w:rsidRPr="0057101C">
        <w:rPr>
          <w:color w:val="auto"/>
          <w:szCs w:val="24"/>
        </w:rPr>
        <w:t xml:space="preserve">ommander’s statement.  These conditions were reviewed by the </w:t>
      </w:r>
      <w:r w:rsidR="0080588E" w:rsidRPr="0057101C">
        <w:rPr>
          <w:color w:val="auto"/>
          <w:szCs w:val="24"/>
        </w:rPr>
        <w:t xml:space="preserve">action officer </w:t>
      </w:r>
      <w:r w:rsidR="00A02AA8" w:rsidRPr="0057101C">
        <w:rPr>
          <w:color w:val="auto"/>
          <w:szCs w:val="24"/>
        </w:rPr>
        <w:t xml:space="preserve">and considered by the Board.  It was determined that none could be argued as unfitting and subject to separation rating.  The Board does not have the authority under </w:t>
      </w:r>
      <w:proofErr w:type="spellStart"/>
      <w:r w:rsidR="00A02AA8" w:rsidRPr="0057101C">
        <w:rPr>
          <w:color w:val="auto"/>
          <w:szCs w:val="24"/>
        </w:rPr>
        <w:t>DoDI</w:t>
      </w:r>
      <w:proofErr w:type="spellEnd"/>
      <w:r w:rsidR="00A02AA8" w:rsidRPr="0057101C">
        <w:rPr>
          <w:color w:val="auto"/>
          <w:szCs w:val="24"/>
        </w:rPr>
        <w:t xml:space="preserve"> 6040.44 to render fitness or rating recommendations for any conditions not considered by the DES.  The Board therefore has no reasonable basis for recommending any additional unfitting conditions for separation rating.</w:t>
      </w:r>
      <w:r w:rsidR="007D3773" w:rsidRPr="0057101C">
        <w:rPr>
          <w:color w:val="auto"/>
          <w:szCs w:val="24"/>
        </w:rPr>
        <w:t xml:space="preserve">  </w:t>
      </w:r>
    </w:p>
    <w:p w:rsidR="001031F4" w:rsidRPr="0057101C" w:rsidRDefault="001031F4" w:rsidP="00BF0E94">
      <w:pPr>
        <w:pBdr>
          <w:bottom w:val="single" w:sz="12" w:space="1" w:color="auto"/>
        </w:pBdr>
        <w:tabs>
          <w:tab w:val="left" w:pos="288"/>
          <w:tab w:val="left" w:pos="4752"/>
        </w:tabs>
        <w:jc w:val="both"/>
        <w:rPr>
          <w:color w:val="auto"/>
        </w:rPr>
      </w:pPr>
    </w:p>
    <w:p w:rsidR="00F1737C" w:rsidRPr="0057101C" w:rsidRDefault="00F1737C" w:rsidP="006364ED">
      <w:pPr>
        <w:jc w:val="left"/>
        <w:rPr>
          <w:color w:val="auto"/>
          <w:szCs w:val="24"/>
        </w:rPr>
      </w:pPr>
    </w:p>
    <w:p w:rsidR="007D3773" w:rsidRPr="0057101C" w:rsidRDefault="00C56FC8" w:rsidP="007D3773">
      <w:pPr>
        <w:jc w:val="both"/>
        <w:rPr>
          <w:rFonts w:asciiTheme="minorHAnsi" w:eastAsiaTheme="minorHAnsi" w:hAnsiTheme="minorHAnsi" w:cs="Times New Roman"/>
          <w:color w:val="auto"/>
          <w:szCs w:val="24"/>
        </w:rPr>
      </w:pPr>
      <w:r w:rsidRPr="0057101C">
        <w:rPr>
          <w:color w:val="auto"/>
          <w:szCs w:val="24"/>
          <w:u w:val="single"/>
        </w:rPr>
        <w:lastRenderedPageBreak/>
        <w:t>BOARD FINDINGS</w:t>
      </w:r>
      <w:r w:rsidRPr="0057101C">
        <w:rPr>
          <w:color w:val="auto"/>
          <w:szCs w:val="24"/>
        </w:rPr>
        <w:t>:</w:t>
      </w:r>
      <w:r w:rsidRPr="0057101C">
        <w:rPr>
          <w:rFonts w:eastAsiaTheme="minorHAnsi"/>
          <w:color w:val="auto"/>
          <w:szCs w:val="24"/>
        </w:rPr>
        <w:t xml:space="preserve">  IAW </w:t>
      </w:r>
      <w:proofErr w:type="spellStart"/>
      <w:r w:rsidRPr="0057101C">
        <w:rPr>
          <w:rFonts w:eastAsiaTheme="minorHAnsi"/>
          <w:color w:val="auto"/>
          <w:szCs w:val="24"/>
        </w:rPr>
        <w:t>DoDI</w:t>
      </w:r>
      <w:proofErr w:type="spellEnd"/>
      <w:r w:rsidRPr="0057101C">
        <w:rPr>
          <w:rFonts w:eastAsiaTheme="minorHAnsi"/>
          <w:color w:val="auto"/>
          <w:szCs w:val="24"/>
        </w:rPr>
        <w:t xml:space="preserve"> 6040.44, provisions of </w:t>
      </w:r>
      <w:proofErr w:type="spellStart"/>
      <w:r w:rsidRPr="0057101C">
        <w:rPr>
          <w:rFonts w:eastAsiaTheme="minorHAnsi"/>
          <w:color w:val="auto"/>
          <w:szCs w:val="24"/>
        </w:rPr>
        <w:t>DoD</w:t>
      </w:r>
      <w:proofErr w:type="spellEnd"/>
      <w:r w:rsidRPr="0057101C">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3C53E8" w:rsidRPr="0057101C">
        <w:rPr>
          <w:rFonts w:asciiTheme="minorHAnsi" w:eastAsiaTheme="minorHAnsi" w:hAnsiTheme="minorHAnsi" w:cs="Times New Roman"/>
          <w:color w:val="auto"/>
          <w:szCs w:val="24"/>
        </w:rPr>
        <w:t xml:space="preserve">. </w:t>
      </w:r>
      <w:r w:rsidR="00CC6968" w:rsidRPr="0057101C">
        <w:rPr>
          <w:rFonts w:asciiTheme="minorHAnsi" w:eastAsiaTheme="minorHAnsi" w:hAnsiTheme="minorHAnsi" w:cs="Times New Roman"/>
          <w:color w:val="auto"/>
          <w:szCs w:val="24"/>
        </w:rPr>
        <w:t xml:space="preserve"> </w:t>
      </w:r>
      <w:r w:rsidR="00EC5FD0" w:rsidRPr="0057101C">
        <w:rPr>
          <w:rFonts w:cs="Calibri"/>
          <w:color w:val="auto"/>
          <w:szCs w:val="24"/>
        </w:rPr>
        <w:t xml:space="preserve">In the matter of the </w:t>
      </w:r>
      <w:r w:rsidR="00BB052B" w:rsidRPr="0057101C">
        <w:rPr>
          <w:rFonts w:cs="Calibri"/>
          <w:color w:val="auto"/>
          <w:szCs w:val="24"/>
        </w:rPr>
        <w:t>left foot</w:t>
      </w:r>
      <w:r w:rsidR="00EC5FD0" w:rsidRPr="0057101C">
        <w:rPr>
          <w:rFonts w:cs="Calibri"/>
          <w:color w:val="auto"/>
          <w:szCs w:val="24"/>
        </w:rPr>
        <w:t xml:space="preserve"> condition, the Board unanimously recommends a permanent service disability rating of </w:t>
      </w:r>
      <w:r w:rsidR="00BB052B" w:rsidRPr="0057101C">
        <w:rPr>
          <w:rFonts w:cs="Calibri"/>
          <w:color w:val="auto"/>
          <w:szCs w:val="24"/>
        </w:rPr>
        <w:t>2</w:t>
      </w:r>
      <w:r w:rsidR="00EC5FD0" w:rsidRPr="0057101C">
        <w:rPr>
          <w:rFonts w:cs="Calibri"/>
          <w:color w:val="auto"/>
          <w:szCs w:val="24"/>
        </w:rPr>
        <w:t xml:space="preserve">0%, coded </w:t>
      </w:r>
      <w:r w:rsidR="00BB052B" w:rsidRPr="0057101C">
        <w:rPr>
          <w:color w:val="auto"/>
          <w:szCs w:val="24"/>
        </w:rPr>
        <w:t>8622-5284</w:t>
      </w:r>
      <w:r w:rsidR="00EC5FD0" w:rsidRPr="0057101C">
        <w:rPr>
          <w:rFonts w:cs="Calibri"/>
          <w:color w:val="auto"/>
          <w:szCs w:val="24"/>
        </w:rPr>
        <w:t xml:space="preserve"> IAW VASRD §4.71a</w:t>
      </w:r>
      <w:r w:rsidR="00BB052B" w:rsidRPr="0057101C">
        <w:rPr>
          <w:rFonts w:cs="Calibri"/>
          <w:color w:val="auto"/>
          <w:szCs w:val="24"/>
        </w:rPr>
        <w:t xml:space="preserve"> and §4.123</w:t>
      </w:r>
      <w:r w:rsidR="00EC5FD0" w:rsidRPr="0057101C">
        <w:rPr>
          <w:rFonts w:cs="Calibri"/>
          <w:color w:val="auto"/>
          <w:szCs w:val="24"/>
        </w:rPr>
        <w:t>.</w:t>
      </w:r>
      <w:r w:rsidR="0085027D" w:rsidRPr="0057101C">
        <w:rPr>
          <w:rFonts w:cs="Calibri"/>
          <w:color w:val="auto"/>
          <w:szCs w:val="24"/>
        </w:rPr>
        <w:t xml:space="preserve">  </w:t>
      </w:r>
      <w:r w:rsidR="00BB052B" w:rsidRPr="0057101C">
        <w:rPr>
          <w:rFonts w:cs="Calibri"/>
          <w:color w:val="auto"/>
          <w:szCs w:val="24"/>
        </w:rPr>
        <w:t>All evidence considered</w:t>
      </w:r>
      <w:proofErr w:type="gramStart"/>
      <w:r w:rsidR="00BB052B" w:rsidRPr="0057101C">
        <w:rPr>
          <w:rFonts w:cs="Calibri"/>
          <w:color w:val="auto"/>
          <w:szCs w:val="24"/>
        </w:rPr>
        <w:t>,</w:t>
      </w:r>
      <w:proofErr w:type="gramEnd"/>
      <w:r w:rsidR="00BB052B" w:rsidRPr="0057101C">
        <w:rPr>
          <w:rFonts w:cs="Calibri"/>
          <w:color w:val="auto"/>
          <w:szCs w:val="24"/>
        </w:rPr>
        <w:t xml:space="preserve"> there is not </w:t>
      </w:r>
      <w:r w:rsidR="00BB052B" w:rsidRPr="0057101C">
        <w:rPr>
          <w:color w:val="auto"/>
          <w:szCs w:val="24"/>
        </w:rPr>
        <w:t>a preponderance of the evidence</w:t>
      </w:r>
      <w:r w:rsidR="00BB052B" w:rsidRPr="0057101C">
        <w:rPr>
          <w:rFonts w:cs="Calibri"/>
          <w:color w:val="auto"/>
          <w:szCs w:val="24"/>
        </w:rPr>
        <w:t xml:space="preserve"> in the CI’s favor supporting addition of the left ankle condition as an unfitting condition for separation rating.  </w:t>
      </w:r>
      <w:r w:rsidR="007D3773" w:rsidRPr="0057101C">
        <w:rPr>
          <w:rFonts w:asciiTheme="minorHAnsi" w:eastAsiaTheme="minorHAnsi" w:hAnsiTheme="minorHAnsi" w:cs="Times New Roman"/>
          <w:color w:val="auto"/>
          <w:szCs w:val="24"/>
        </w:rPr>
        <w:t xml:space="preserve">In the matter of the </w:t>
      </w:r>
      <w:r w:rsidR="00EC5FD0" w:rsidRPr="0057101C">
        <w:rPr>
          <w:rFonts w:asciiTheme="minorHAnsi" w:eastAsiaTheme="minorHAnsi" w:hAnsiTheme="minorHAnsi" w:cs="Times New Roman"/>
          <w:color w:val="auto"/>
          <w:szCs w:val="24"/>
        </w:rPr>
        <w:t xml:space="preserve">tinnitus </w:t>
      </w:r>
      <w:r w:rsidR="007D3773" w:rsidRPr="0057101C">
        <w:rPr>
          <w:rFonts w:asciiTheme="minorHAnsi" w:eastAsiaTheme="minorHAnsi" w:hAnsiTheme="minorHAnsi" w:cs="Times New Roman"/>
          <w:color w:val="auto"/>
          <w:szCs w:val="24"/>
        </w:rPr>
        <w:t>condition</w:t>
      </w:r>
      <w:r w:rsidR="00EC5FD0" w:rsidRPr="0057101C">
        <w:rPr>
          <w:rFonts w:asciiTheme="minorHAnsi" w:eastAsiaTheme="minorHAnsi" w:hAnsiTheme="minorHAnsi" w:cs="Times New Roman"/>
          <w:color w:val="auto"/>
          <w:szCs w:val="24"/>
        </w:rPr>
        <w:t>,</w:t>
      </w:r>
      <w:r w:rsidR="007D3773" w:rsidRPr="0057101C">
        <w:rPr>
          <w:rFonts w:asciiTheme="minorHAnsi" w:eastAsiaTheme="minorHAnsi" w:hAnsiTheme="minorHAnsi" w:cs="Times New Roman"/>
          <w:color w:val="auto"/>
          <w:szCs w:val="24"/>
        </w:rPr>
        <w:t xml:space="preserve"> or any other medical conditions eligible for Board consideration, the Board unanimously agrees that it cannot recommend any findings of unfit for additional rating at separation.  </w:t>
      </w:r>
    </w:p>
    <w:p w:rsidR="00F1737C" w:rsidRPr="0057101C" w:rsidRDefault="00F1737C" w:rsidP="00BF0E94">
      <w:pPr>
        <w:pBdr>
          <w:bottom w:val="single" w:sz="12" w:space="1" w:color="auto"/>
        </w:pBdr>
        <w:tabs>
          <w:tab w:val="left" w:pos="288"/>
          <w:tab w:val="left" w:pos="4752"/>
        </w:tabs>
        <w:jc w:val="both"/>
        <w:rPr>
          <w:color w:val="auto"/>
        </w:rPr>
      </w:pPr>
    </w:p>
    <w:p w:rsidR="00F1737C" w:rsidRPr="0057101C" w:rsidRDefault="00F1737C" w:rsidP="006364ED">
      <w:pPr>
        <w:jc w:val="left"/>
        <w:rPr>
          <w:color w:val="auto"/>
          <w:szCs w:val="24"/>
        </w:rPr>
      </w:pPr>
    </w:p>
    <w:p w:rsidR="008C5F1E" w:rsidRPr="0057101C" w:rsidRDefault="00C56FC8" w:rsidP="008A5F0F">
      <w:pPr>
        <w:jc w:val="left"/>
        <w:rPr>
          <w:color w:val="auto"/>
          <w:szCs w:val="24"/>
        </w:rPr>
      </w:pPr>
      <w:r w:rsidRPr="0057101C">
        <w:rPr>
          <w:color w:val="auto"/>
          <w:szCs w:val="24"/>
          <w:u w:val="single"/>
        </w:rPr>
        <w:t>RECOMMENDATION</w:t>
      </w:r>
      <w:r w:rsidRPr="0057101C">
        <w:rPr>
          <w:color w:val="auto"/>
          <w:szCs w:val="24"/>
        </w:rPr>
        <w:t>:</w:t>
      </w:r>
      <w:r w:rsidR="008A5F0F" w:rsidRPr="0057101C">
        <w:rPr>
          <w:color w:val="auto"/>
          <w:szCs w:val="24"/>
        </w:rPr>
        <w:t xml:space="preserve">  </w:t>
      </w:r>
      <w:r w:rsidR="008C5F1E" w:rsidRPr="0057101C">
        <w:rPr>
          <w:color w:val="auto"/>
          <w:szCs w:val="24"/>
        </w:rPr>
        <w:t>The Board recommends that the CI’s prior determination be modified as follows, effective as of the date of his prior medical separation:</w:t>
      </w:r>
      <w:r w:rsidR="0085027D" w:rsidRPr="0057101C">
        <w:rPr>
          <w:color w:val="auto"/>
          <w:szCs w:val="24"/>
        </w:rPr>
        <w:t xml:space="preserve">  </w:t>
      </w:r>
    </w:p>
    <w:p w:rsidR="00BA6A9C" w:rsidRPr="0057101C"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57101C" w:rsidTr="004E4700">
        <w:trPr>
          <w:trHeight w:val="233"/>
          <w:jc w:val="center"/>
        </w:trPr>
        <w:tc>
          <w:tcPr>
            <w:tcW w:w="6282" w:type="dxa"/>
            <w:shd w:val="clear" w:color="auto" w:fill="D9D9D9"/>
            <w:vAlign w:val="center"/>
          </w:tcPr>
          <w:p w:rsidR="00A95BBA" w:rsidRPr="0057101C" w:rsidRDefault="00A95BBA" w:rsidP="004E4700">
            <w:pPr>
              <w:tabs>
                <w:tab w:val="left" w:pos="288"/>
                <w:tab w:val="left" w:pos="4752"/>
              </w:tabs>
              <w:rPr>
                <w:b/>
                <w:color w:val="auto"/>
                <w:szCs w:val="24"/>
              </w:rPr>
            </w:pPr>
            <w:r w:rsidRPr="0057101C">
              <w:rPr>
                <w:b/>
                <w:color w:val="auto"/>
                <w:szCs w:val="24"/>
              </w:rPr>
              <w:t>UNFITTING CONDITION</w:t>
            </w:r>
          </w:p>
        </w:tc>
        <w:tc>
          <w:tcPr>
            <w:tcW w:w="1710" w:type="dxa"/>
            <w:shd w:val="clear" w:color="auto" w:fill="D9D9D9"/>
            <w:vAlign w:val="center"/>
          </w:tcPr>
          <w:p w:rsidR="00A95BBA" w:rsidRPr="0057101C" w:rsidRDefault="00A95BBA" w:rsidP="004E4700">
            <w:pPr>
              <w:tabs>
                <w:tab w:val="left" w:pos="288"/>
                <w:tab w:val="left" w:pos="4752"/>
              </w:tabs>
              <w:rPr>
                <w:b/>
                <w:color w:val="auto"/>
                <w:szCs w:val="24"/>
              </w:rPr>
            </w:pPr>
            <w:r w:rsidRPr="0057101C">
              <w:rPr>
                <w:b/>
                <w:color w:val="auto"/>
                <w:szCs w:val="24"/>
              </w:rPr>
              <w:t>VASRD CODE</w:t>
            </w:r>
          </w:p>
        </w:tc>
        <w:tc>
          <w:tcPr>
            <w:tcW w:w="1170" w:type="dxa"/>
            <w:shd w:val="clear" w:color="auto" w:fill="D9D9D9"/>
            <w:vAlign w:val="center"/>
          </w:tcPr>
          <w:p w:rsidR="00A95BBA" w:rsidRPr="0057101C" w:rsidRDefault="00A95BBA" w:rsidP="004E4700">
            <w:pPr>
              <w:tabs>
                <w:tab w:val="left" w:pos="288"/>
                <w:tab w:val="left" w:pos="4752"/>
              </w:tabs>
              <w:rPr>
                <w:b/>
                <w:color w:val="auto"/>
                <w:szCs w:val="24"/>
              </w:rPr>
            </w:pPr>
            <w:r w:rsidRPr="0057101C">
              <w:rPr>
                <w:b/>
                <w:color w:val="auto"/>
                <w:szCs w:val="24"/>
              </w:rPr>
              <w:t>RATING</w:t>
            </w:r>
          </w:p>
        </w:tc>
      </w:tr>
      <w:tr w:rsidR="00A95BBA" w:rsidRPr="0057101C" w:rsidTr="004E4700">
        <w:trPr>
          <w:jc w:val="center"/>
        </w:trPr>
        <w:tc>
          <w:tcPr>
            <w:tcW w:w="6282" w:type="dxa"/>
            <w:vAlign w:val="center"/>
          </w:tcPr>
          <w:p w:rsidR="00A95BBA" w:rsidRPr="0057101C" w:rsidRDefault="008A5F0F" w:rsidP="008A5F0F">
            <w:pPr>
              <w:tabs>
                <w:tab w:val="left" w:pos="288"/>
                <w:tab w:val="left" w:pos="4752"/>
              </w:tabs>
              <w:jc w:val="left"/>
              <w:rPr>
                <w:color w:val="auto"/>
                <w:szCs w:val="24"/>
              </w:rPr>
            </w:pPr>
            <w:r w:rsidRPr="0057101C">
              <w:rPr>
                <w:color w:val="auto"/>
                <w:szCs w:val="24"/>
              </w:rPr>
              <w:t>Left Foot Pain and Nerve Entrapment</w:t>
            </w:r>
          </w:p>
        </w:tc>
        <w:tc>
          <w:tcPr>
            <w:tcW w:w="1710" w:type="dxa"/>
            <w:vAlign w:val="center"/>
          </w:tcPr>
          <w:p w:rsidR="00A95BBA" w:rsidRPr="0057101C" w:rsidRDefault="008C5F1E" w:rsidP="008C5F1E">
            <w:pPr>
              <w:tabs>
                <w:tab w:val="left" w:pos="288"/>
                <w:tab w:val="left" w:pos="4752"/>
              </w:tabs>
              <w:rPr>
                <w:color w:val="auto"/>
                <w:szCs w:val="24"/>
              </w:rPr>
            </w:pPr>
            <w:r w:rsidRPr="0057101C">
              <w:rPr>
                <w:color w:val="auto"/>
                <w:szCs w:val="24"/>
              </w:rPr>
              <w:t>8622-</w:t>
            </w:r>
            <w:r w:rsidR="008A5F0F" w:rsidRPr="0057101C">
              <w:rPr>
                <w:color w:val="auto"/>
                <w:szCs w:val="24"/>
              </w:rPr>
              <w:t>5284</w:t>
            </w:r>
          </w:p>
        </w:tc>
        <w:tc>
          <w:tcPr>
            <w:tcW w:w="1170" w:type="dxa"/>
            <w:vAlign w:val="center"/>
          </w:tcPr>
          <w:p w:rsidR="00A95BBA" w:rsidRPr="0057101C" w:rsidRDefault="008A5F0F" w:rsidP="004E4700">
            <w:pPr>
              <w:tabs>
                <w:tab w:val="left" w:pos="288"/>
                <w:tab w:val="left" w:pos="4752"/>
              </w:tabs>
              <w:rPr>
                <w:color w:val="auto"/>
                <w:szCs w:val="24"/>
              </w:rPr>
            </w:pPr>
            <w:r w:rsidRPr="0057101C">
              <w:rPr>
                <w:color w:val="auto"/>
                <w:szCs w:val="24"/>
              </w:rPr>
              <w:t>2</w:t>
            </w:r>
            <w:r w:rsidR="00A95BBA" w:rsidRPr="0057101C">
              <w:rPr>
                <w:color w:val="auto"/>
                <w:szCs w:val="24"/>
              </w:rPr>
              <w:t>0%</w:t>
            </w:r>
          </w:p>
        </w:tc>
      </w:tr>
      <w:tr w:rsidR="00A95BBA" w:rsidRPr="0057101C" w:rsidTr="004E4700">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57101C" w:rsidRDefault="00A95BBA" w:rsidP="004E4700">
            <w:pPr>
              <w:tabs>
                <w:tab w:val="left" w:pos="288"/>
                <w:tab w:val="left" w:pos="4752"/>
              </w:tabs>
              <w:rPr>
                <w:b/>
                <w:color w:val="auto"/>
                <w:szCs w:val="24"/>
              </w:rPr>
            </w:pPr>
            <w:r w:rsidRPr="0057101C">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57101C" w:rsidRDefault="008C5F1E" w:rsidP="004E4700">
            <w:pPr>
              <w:tabs>
                <w:tab w:val="left" w:pos="288"/>
                <w:tab w:val="left" w:pos="4752"/>
              </w:tabs>
              <w:rPr>
                <w:b/>
                <w:color w:val="auto"/>
                <w:szCs w:val="24"/>
              </w:rPr>
            </w:pPr>
            <w:r w:rsidRPr="0057101C">
              <w:rPr>
                <w:b/>
                <w:color w:val="auto"/>
                <w:szCs w:val="24"/>
              </w:rPr>
              <w:t>2</w:t>
            </w:r>
            <w:r w:rsidR="00A95BBA" w:rsidRPr="0057101C">
              <w:rPr>
                <w:b/>
                <w:color w:val="auto"/>
                <w:szCs w:val="24"/>
              </w:rPr>
              <w:t>0%</w:t>
            </w:r>
          </w:p>
        </w:tc>
      </w:tr>
    </w:tbl>
    <w:p w:rsidR="005B1D09" w:rsidRPr="0057101C" w:rsidRDefault="005B1D09" w:rsidP="006E75DC">
      <w:pPr>
        <w:pBdr>
          <w:bottom w:val="single" w:sz="12" w:space="1" w:color="auto"/>
        </w:pBdr>
        <w:tabs>
          <w:tab w:val="left" w:pos="288"/>
          <w:tab w:val="left" w:pos="4752"/>
        </w:tabs>
        <w:jc w:val="both"/>
        <w:rPr>
          <w:color w:val="auto"/>
        </w:rPr>
      </w:pPr>
    </w:p>
    <w:p w:rsidR="005B1D09" w:rsidRPr="0057101C" w:rsidRDefault="005B1D09" w:rsidP="006E75DC">
      <w:pPr>
        <w:jc w:val="both"/>
        <w:rPr>
          <w:color w:val="auto"/>
          <w:szCs w:val="24"/>
        </w:rPr>
      </w:pPr>
    </w:p>
    <w:p w:rsidR="00D91DA6" w:rsidRPr="0057101C" w:rsidRDefault="00FB1725" w:rsidP="006E75DC">
      <w:pPr>
        <w:tabs>
          <w:tab w:val="left" w:pos="288"/>
          <w:tab w:val="left" w:pos="4752"/>
        </w:tabs>
        <w:jc w:val="both"/>
        <w:rPr>
          <w:color w:val="auto"/>
        </w:rPr>
      </w:pPr>
      <w:r w:rsidRPr="0057101C">
        <w:rPr>
          <w:color w:val="auto"/>
        </w:rPr>
        <w:t>The following documentary evidence was considered:</w:t>
      </w:r>
    </w:p>
    <w:p w:rsidR="00EB5EFD" w:rsidRPr="0057101C" w:rsidRDefault="00EB5EFD" w:rsidP="006E75DC">
      <w:pPr>
        <w:tabs>
          <w:tab w:val="left" w:pos="288"/>
          <w:tab w:val="left" w:pos="4752"/>
        </w:tabs>
        <w:jc w:val="both"/>
        <w:rPr>
          <w:color w:val="auto"/>
        </w:rPr>
      </w:pPr>
    </w:p>
    <w:p w:rsidR="00114F20" w:rsidRPr="0057101C" w:rsidRDefault="00FB1725" w:rsidP="006E75DC">
      <w:pPr>
        <w:tabs>
          <w:tab w:val="left" w:pos="288"/>
          <w:tab w:val="left" w:pos="4752"/>
        </w:tabs>
        <w:jc w:val="both"/>
        <w:rPr>
          <w:color w:val="auto"/>
        </w:rPr>
      </w:pPr>
      <w:r w:rsidRPr="0057101C">
        <w:rPr>
          <w:color w:val="auto"/>
        </w:rPr>
        <w:t xml:space="preserve">Exhibit A.  DD Form 294, </w:t>
      </w:r>
      <w:r w:rsidRPr="0057101C">
        <w:rPr>
          <w:color w:val="auto"/>
          <w:szCs w:val="24"/>
        </w:rPr>
        <w:t>dated 20</w:t>
      </w:r>
      <w:r w:rsidR="001215DF" w:rsidRPr="0057101C">
        <w:rPr>
          <w:color w:val="auto"/>
          <w:szCs w:val="24"/>
        </w:rPr>
        <w:t>1</w:t>
      </w:r>
      <w:r w:rsidR="00023D69" w:rsidRPr="0057101C">
        <w:rPr>
          <w:color w:val="auto"/>
          <w:szCs w:val="24"/>
        </w:rPr>
        <w:t>10</w:t>
      </w:r>
      <w:r w:rsidR="006B7E7E">
        <w:rPr>
          <w:color w:val="auto"/>
          <w:szCs w:val="24"/>
        </w:rPr>
        <w:t>908</w:t>
      </w:r>
      <w:r w:rsidR="00F67F6F">
        <w:rPr>
          <w:color w:val="auto"/>
        </w:rPr>
        <w:t>, w/</w:t>
      </w:r>
      <w:proofErr w:type="spellStart"/>
      <w:r w:rsidR="00F67F6F">
        <w:rPr>
          <w:color w:val="auto"/>
        </w:rPr>
        <w:t>atchs</w:t>
      </w:r>
      <w:proofErr w:type="spellEnd"/>
    </w:p>
    <w:p w:rsidR="00114F20" w:rsidRPr="0057101C" w:rsidRDefault="00FB1725" w:rsidP="006E75DC">
      <w:pPr>
        <w:tabs>
          <w:tab w:val="left" w:pos="288"/>
          <w:tab w:val="left" w:pos="4752"/>
        </w:tabs>
        <w:jc w:val="both"/>
        <w:rPr>
          <w:color w:val="auto"/>
        </w:rPr>
      </w:pPr>
      <w:r w:rsidRPr="0057101C">
        <w:rPr>
          <w:color w:val="auto"/>
        </w:rPr>
        <w:t>Exhib</w:t>
      </w:r>
      <w:r w:rsidR="00F67F6F">
        <w:rPr>
          <w:color w:val="auto"/>
        </w:rPr>
        <w:t>it B.  Service Treatment Record</w:t>
      </w:r>
    </w:p>
    <w:p w:rsidR="00114F20" w:rsidRPr="0057101C" w:rsidRDefault="00FB1725" w:rsidP="006E75DC">
      <w:pPr>
        <w:tabs>
          <w:tab w:val="left" w:pos="288"/>
          <w:tab w:val="left" w:pos="4752"/>
        </w:tabs>
        <w:jc w:val="both"/>
        <w:rPr>
          <w:color w:val="auto"/>
        </w:rPr>
      </w:pPr>
      <w:r w:rsidRPr="0057101C">
        <w:rPr>
          <w:color w:val="auto"/>
        </w:rPr>
        <w:t xml:space="preserve">Exhibit C.  Department of Veterans Affairs Treatment </w:t>
      </w:r>
      <w:r w:rsidR="00F67F6F">
        <w:rPr>
          <w:color w:val="auto"/>
        </w:rPr>
        <w:t>Record</w:t>
      </w:r>
    </w:p>
    <w:p w:rsidR="00D91DA6" w:rsidRPr="0057101C" w:rsidRDefault="00D91DA6" w:rsidP="00BF0E94">
      <w:pPr>
        <w:tabs>
          <w:tab w:val="left" w:pos="288"/>
          <w:tab w:val="left" w:pos="4752"/>
        </w:tabs>
        <w:jc w:val="both"/>
        <w:rPr>
          <w:color w:val="auto"/>
        </w:rPr>
      </w:pPr>
    </w:p>
    <w:p w:rsidR="00114F20" w:rsidRPr="0057101C" w:rsidRDefault="00114F20" w:rsidP="00BF0E94">
      <w:pPr>
        <w:tabs>
          <w:tab w:val="left" w:pos="288"/>
          <w:tab w:val="left" w:pos="4752"/>
        </w:tabs>
        <w:jc w:val="both"/>
        <w:rPr>
          <w:color w:val="auto"/>
        </w:rPr>
      </w:pPr>
    </w:p>
    <w:p w:rsidR="002F195B" w:rsidRPr="0057101C" w:rsidRDefault="00220FA9" w:rsidP="00BF0E94">
      <w:pPr>
        <w:tabs>
          <w:tab w:val="left" w:pos="0"/>
          <w:tab w:val="left" w:pos="4320"/>
        </w:tabs>
        <w:jc w:val="both"/>
        <w:rPr>
          <w:color w:val="auto"/>
          <w:szCs w:val="24"/>
        </w:rPr>
      </w:pPr>
      <w:r w:rsidRPr="0057101C">
        <w:rPr>
          <w:color w:val="auto"/>
          <w:szCs w:val="24"/>
        </w:rPr>
        <w:tab/>
      </w:r>
      <w:r w:rsidR="008E3C90" w:rsidRPr="0057101C">
        <w:rPr>
          <w:color w:val="auto"/>
          <w:szCs w:val="24"/>
        </w:rPr>
        <w:t xml:space="preserve">           </w:t>
      </w:r>
      <w:r w:rsidR="005F73CA" w:rsidRPr="0057101C">
        <w:rPr>
          <w:color w:val="auto"/>
          <w:szCs w:val="24"/>
        </w:rPr>
        <w:t>President</w:t>
      </w:r>
    </w:p>
    <w:p w:rsidR="00543C08" w:rsidRDefault="002F195B" w:rsidP="00BF0E94">
      <w:pPr>
        <w:tabs>
          <w:tab w:val="left" w:pos="0"/>
          <w:tab w:val="left" w:pos="4320"/>
        </w:tabs>
        <w:jc w:val="both"/>
        <w:rPr>
          <w:color w:val="auto"/>
          <w:szCs w:val="24"/>
        </w:rPr>
      </w:pPr>
      <w:r w:rsidRPr="0057101C">
        <w:rPr>
          <w:color w:val="auto"/>
          <w:szCs w:val="24"/>
        </w:rPr>
        <w:tab/>
        <w:t xml:space="preserve">           </w:t>
      </w:r>
      <w:r w:rsidR="00220FA9" w:rsidRPr="0057101C">
        <w:rPr>
          <w:color w:val="auto"/>
          <w:szCs w:val="24"/>
        </w:rPr>
        <w:t>P</w:t>
      </w:r>
      <w:r w:rsidR="00E3077F" w:rsidRPr="0057101C">
        <w:rPr>
          <w:color w:val="auto"/>
          <w:szCs w:val="24"/>
        </w:rPr>
        <w:t>hysical Disability Board of Review</w:t>
      </w:r>
    </w:p>
    <w:p w:rsidR="00543C08" w:rsidRDefault="00543C08">
      <w:pPr>
        <w:rPr>
          <w:color w:val="auto"/>
          <w:szCs w:val="24"/>
        </w:rPr>
      </w:pPr>
      <w:r>
        <w:rPr>
          <w:color w:val="auto"/>
          <w:szCs w:val="24"/>
        </w:rPr>
        <w:br w:type="page"/>
      </w:r>
    </w:p>
    <w:p w:rsidR="00543C08" w:rsidRDefault="00543C08" w:rsidP="00543C08">
      <w:pPr>
        <w:pStyle w:val="Header"/>
        <w:tabs>
          <w:tab w:val="clear" w:pos="4320"/>
          <w:tab w:val="clear" w:pos="8640"/>
        </w:tabs>
        <w:jc w:val="left"/>
      </w:pPr>
      <w:r>
        <w:lastRenderedPageBreak/>
        <w:t>SFMR-RB</w:t>
      </w:r>
      <w:r>
        <w:tab/>
      </w:r>
      <w:r>
        <w:tab/>
      </w:r>
      <w:r>
        <w:tab/>
      </w:r>
      <w:r>
        <w:tab/>
      </w:r>
      <w:r>
        <w:tab/>
      </w:r>
      <w:r>
        <w:tab/>
      </w:r>
      <w:r>
        <w:tab/>
      </w:r>
      <w:r>
        <w:tab/>
      </w:r>
      <w:r>
        <w:tab/>
      </w:r>
    </w:p>
    <w:p w:rsidR="00543C08" w:rsidRDefault="00543C08" w:rsidP="00543C08">
      <w:pPr>
        <w:pStyle w:val="Header"/>
        <w:tabs>
          <w:tab w:val="clear" w:pos="4320"/>
          <w:tab w:val="clear" w:pos="8640"/>
        </w:tabs>
        <w:jc w:val="left"/>
      </w:pPr>
    </w:p>
    <w:p w:rsidR="00543C08" w:rsidRDefault="00543C08" w:rsidP="00543C08">
      <w:pPr>
        <w:jc w:val="left"/>
      </w:pPr>
    </w:p>
    <w:p w:rsidR="00543C08" w:rsidRDefault="00543C08" w:rsidP="00543C08">
      <w:pPr>
        <w:jc w:val="left"/>
      </w:pPr>
      <w:r>
        <w:t xml:space="preserve">MEMORANDUM FOR Commander, US Army Physical Disability Agency </w:t>
      </w:r>
    </w:p>
    <w:p w:rsidR="00543C08" w:rsidRDefault="00543C08" w:rsidP="00543C08">
      <w:pPr>
        <w:jc w:val="left"/>
      </w:pPr>
      <w:r>
        <w:t xml:space="preserve"> </w:t>
      </w:r>
    </w:p>
    <w:p w:rsidR="00543C08" w:rsidRDefault="00543C08" w:rsidP="00543C08">
      <w:pPr>
        <w:jc w:val="left"/>
      </w:pPr>
    </w:p>
    <w:p w:rsidR="00543C08" w:rsidRDefault="00543C08" w:rsidP="00543C08">
      <w:pPr>
        <w:ind w:right="-180"/>
        <w:jc w:val="left"/>
      </w:pPr>
      <w:r>
        <w:t xml:space="preserve">SUBJECT:  Department of Defense Physical Disability Board of Review Recommendation </w:t>
      </w:r>
    </w:p>
    <w:p w:rsidR="00543C08" w:rsidRDefault="00543C08" w:rsidP="00543C08">
      <w:pPr>
        <w:pStyle w:val="Header"/>
        <w:tabs>
          <w:tab w:val="left" w:pos="720"/>
        </w:tabs>
        <w:jc w:val="left"/>
      </w:pPr>
      <w:r>
        <w:t xml:space="preserve"> </w:t>
      </w:r>
    </w:p>
    <w:p w:rsidR="00543C08" w:rsidRDefault="00543C08" w:rsidP="00543C08">
      <w:pPr>
        <w:pStyle w:val="Header"/>
        <w:tabs>
          <w:tab w:val="left" w:pos="720"/>
        </w:tabs>
        <w:jc w:val="left"/>
      </w:pPr>
    </w:p>
    <w:p w:rsidR="00543C08" w:rsidRDefault="00543C08" w:rsidP="00543C08">
      <w:pPr>
        <w:jc w:val="left"/>
      </w:pPr>
    </w:p>
    <w:p w:rsidR="00543C08" w:rsidRDefault="00543C08" w:rsidP="00543C08">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543C08" w:rsidRDefault="00543C08" w:rsidP="00543C08">
      <w:pPr>
        <w:jc w:val="left"/>
      </w:pPr>
    </w:p>
    <w:p w:rsidR="00543C08" w:rsidRDefault="00543C08" w:rsidP="00543C08">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543C08" w:rsidRDefault="00543C08" w:rsidP="00543C08">
      <w:pPr>
        <w:jc w:val="left"/>
      </w:pPr>
    </w:p>
    <w:p w:rsidR="00543C08" w:rsidRDefault="00543C08" w:rsidP="00543C08">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543C08" w:rsidRDefault="00543C08" w:rsidP="00543C08">
      <w:pPr>
        <w:jc w:val="left"/>
      </w:pPr>
    </w:p>
    <w:p w:rsidR="00543C08" w:rsidRDefault="00543C08" w:rsidP="00543C08">
      <w:pPr>
        <w:jc w:val="left"/>
      </w:pPr>
      <w:r>
        <w:t xml:space="preserve"> BY ORDER OF THE SECRETARY OF THE ARMY:</w:t>
      </w:r>
    </w:p>
    <w:p w:rsidR="00543C08" w:rsidRDefault="00543C08" w:rsidP="00543C08">
      <w:pPr>
        <w:jc w:val="left"/>
      </w:pPr>
    </w:p>
    <w:p w:rsidR="00543C08" w:rsidRDefault="00543C08" w:rsidP="00543C08">
      <w:pPr>
        <w:jc w:val="left"/>
      </w:pPr>
    </w:p>
    <w:p w:rsidR="00543C08" w:rsidRDefault="00543C08" w:rsidP="00543C08">
      <w:pPr>
        <w:pStyle w:val="Header"/>
        <w:tabs>
          <w:tab w:val="clear" w:pos="4320"/>
          <w:tab w:val="clear" w:pos="8640"/>
        </w:tabs>
        <w:jc w:val="left"/>
      </w:pPr>
    </w:p>
    <w:p w:rsidR="00543C08" w:rsidRDefault="00543C08" w:rsidP="00543C08">
      <w:pPr>
        <w:jc w:val="left"/>
      </w:pPr>
    </w:p>
    <w:p w:rsidR="00543C08" w:rsidRDefault="00543C08" w:rsidP="00543C08">
      <w:pPr>
        <w:jc w:val="left"/>
      </w:pPr>
      <w:bookmarkStart w:id="0" w:name="OLE_LINK3"/>
      <w:bookmarkStart w:id="1" w:name="OLE_LINK4"/>
      <w:r>
        <w:t>Encl</w:t>
      </w:r>
      <w:r>
        <w:tab/>
      </w:r>
      <w:r>
        <w:tab/>
      </w:r>
      <w:r>
        <w:tab/>
      </w:r>
      <w:r>
        <w:tab/>
      </w:r>
      <w:r>
        <w:tab/>
      </w:r>
      <w:r>
        <w:tab/>
        <w:t xml:space="preserve">      </w:t>
      </w:r>
    </w:p>
    <w:p w:rsidR="00543C08" w:rsidRDefault="00543C08" w:rsidP="00543C08">
      <w:pPr>
        <w:jc w:val="left"/>
      </w:pPr>
      <w:r>
        <w:tab/>
      </w:r>
      <w:r>
        <w:tab/>
      </w:r>
      <w:r>
        <w:tab/>
      </w:r>
      <w:r>
        <w:tab/>
      </w:r>
      <w:r>
        <w:tab/>
      </w:r>
      <w:r>
        <w:tab/>
        <w:t xml:space="preserve">     Deputy Assistant Secretary</w:t>
      </w:r>
    </w:p>
    <w:p w:rsidR="00543C08" w:rsidRDefault="00543C08" w:rsidP="00543C08">
      <w:pPr>
        <w:jc w:val="left"/>
      </w:pPr>
      <w:r>
        <w:tab/>
      </w:r>
      <w:r>
        <w:tab/>
      </w:r>
      <w:r>
        <w:tab/>
      </w:r>
      <w:r>
        <w:tab/>
      </w:r>
      <w:r>
        <w:tab/>
      </w:r>
      <w:r>
        <w:tab/>
        <w:t xml:space="preserve">         (Army Review Boards)</w:t>
      </w:r>
      <w:bookmarkEnd w:id="0"/>
      <w:bookmarkEnd w:id="1"/>
    </w:p>
    <w:p w:rsidR="00E3077F" w:rsidRPr="0057101C" w:rsidRDefault="00E3077F" w:rsidP="00BF0E94">
      <w:pPr>
        <w:tabs>
          <w:tab w:val="left" w:pos="0"/>
          <w:tab w:val="left" w:pos="4320"/>
        </w:tabs>
        <w:jc w:val="both"/>
        <w:rPr>
          <w:color w:val="auto"/>
          <w:szCs w:val="24"/>
        </w:rPr>
      </w:pPr>
    </w:p>
    <w:sectPr w:rsidR="00E3077F" w:rsidRPr="0057101C"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4D" w:rsidRDefault="0006124D">
      <w:r>
        <w:separator/>
      </w:r>
    </w:p>
  </w:endnote>
  <w:endnote w:type="continuationSeparator" w:id="0">
    <w:p w:rsidR="0006124D" w:rsidRDefault="00061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8C5F1E" w:rsidRPr="00374247" w:rsidRDefault="008C5F1E" w:rsidP="00374247">
        <w:pPr>
          <w:pStyle w:val="Footer"/>
          <w:ind w:firstLine="4320"/>
          <w:rPr>
            <w:color w:val="auto"/>
            <w:szCs w:val="24"/>
          </w:rPr>
        </w:pPr>
        <w:r w:rsidRPr="00374247">
          <w:rPr>
            <w:color w:val="auto"/>
            <w:szCs w:val="24"/>
          </w:rPr>
          <w:t xml:space="preserve">   </w:t>
        </w:r>
        <w:r w:rsidR="00033915" w:rsidRPr="00374247">
          <w:rPr>
            <w:color w:val="auto"/>
            <w:szCs w:val="24"/>
          </w:rPr>
          <w:fldChar w:fldCharType="begin"/>
        </w:r>
        <w:r w:rsidRPr="00374247">
          <w:rPr>
            <w:color w:val="auto"/>
            <w:szCs w:val="24"/>
          </w:rPr>
          <w:instrText xml:space="preserve"> PAGE   \* MERGEFORMAT </w:instrText>
        </w:r>
        <w:r w:rsidR="00033915" w:rsidRPr="00374247">
          <w:rPr>
            <w:color w:val="auto"/>
            <w:szCs w:val="24"/>
          </w:rPr>
          <w:fldChar w:fldCharType="separate"/>
        </w:r>
        <w:r w:rsidR="00543C08" w:rsidRPr="00543C08">
          <w:rPr>
            <w:noProof/>
            <w:color w:val="auto"/>
          </w:rPr>
          <w:t>4</w:t>
        </w:r>
        <w:r w:rsidR="00033915"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100745</w:t>
        </w:r>
      </w:p>
    </w:sdtContent>
  </w:sdt>
  <w:p w:rsidR="008C5F1E" w:rsidRPr="00684CE6" w:rsidRDefault="008C5F1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4D" w:rsidRDefault="0006124D">
      <w:r>
        <w:separator/>
      </w:r>
    </w:p>
  </w:footnote>
  <w:footnote w:type="continuationSeparator" w:id="0">
    <w:p w:rsidR="0006124D" w:rsidRDefault="00061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758"/>
    <w:multiLevelType w:val="multilevel"/>
    <w:tmpl w:val="C7DE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88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309"/>
    <w:rsid w:val="000145C2"/>
    <w:rsid w:val="0001473F"/>
    <w:rsid w:val="00014A47"/>
    <w:rsid w:val="00014A9E"/>
    <w:rsid w:val="00017778"/>
    <w:rsid w:val="00021361"/>
    <w:rsid w:val="00022CF3"/>
    <w:rsid w:val="00023913"/>
    <w:rsid w:val="00023D43"/>
    <w:rsid w:val="00023D69"/>
    <w:rsid w:val="00024002"/>
    <w:rsid w:val="00024DE7"/>
    <w:rsid w:val="00026092"/>
    <w:rsid w:val="00030776"/>
    <w:rsid w:val="00032E07"/>
    <w:rsid w:val="000332CA"/>
    <w:rsid w:val="0003374E"/>
    <w:rsid w:val="00033915"/>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24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6F74"/>
    <w:rsid w:val="000C06F6"/>
    <w:rsid w:val="000C15F8"/>
    <w:rsid w:val="000C1D34"/>
    <w:rsid w:val="000C2362"/>
    <w:rsid w:val="000C2FA8"/>
    <w:rsid w:val="000C33ED"/>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D56"/>
    <w:rsid w:val="000E2E50"/>
    <w:rsid w:val="000E37E0"/>
    <w:rsid w:val="000E3F20"/>
    <w:rsid w:val="000E4C25"/>
    <w:rsid w:val="000E4CBF"/>
    <w:rsid w:val="000E5577"/>
    <w:rsid w:val="000E7034"/>
    <w:rsid w:val="000F007D"/>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4CF"/>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47A"/>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5CB3"/>
    <w:rsid w:val="00176D63"/>
    <w:rsid w:val="00177659"/>
    <w:rsid w:val="001779E5"/>
    <w:rsid w:val="00180826"/>
    <w:rsid w:val="00181240"/>
    <w:rsid w:val="00182A4C"/>
    <w:rsid w:val="00183F77"/>
    <w:rsid w:val="00183FB3"/>
    <w:rsid w:val="00184257"/>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17ED"/>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4C3"/>
    <w:rsid w:val="00202736"/>
    <w:rsid w:val="00203652"/>
    <w:rsid w:val="00203B76"/>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324"/>
    <w:rsid w:val="002245A6"/>
    <w:rsid w:val="00225080"/>
    <w:rsid w:val="00225196"/>
    <w:rsid w:val="00225CB4"/>
    <w:rsid w:val="00226B1A"/>
    <w:rsid w:val="0022725F"/>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1D12"/>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0B4"/>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0E4B"/>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38A"/>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1798"/>
    <w:rsid w:val="00313C3A"/>
    <w:rsid w:val="00313D7A"/>
    <w:rsid w:val="003155FB"/>
    <w:rsid w:val="0032136A"/>
    <w:rsid w:val="003224D8"/>
    <w:rsid w:val="0032394D"/>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FCB"/>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1A54"/>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79"/>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6A0"/>
    <w:rsid w:val="003D7DDB"/>
    <w:rsid w:val="003E024F"/>
    <w:rsid w:val="003E02C7"/>
    <w:rsid w:val="003E0543"/>
    <w:rsid w:val="003E061D"/>
    <w:rsid w:val="003E0B5A"/>
    <w:rsid w:val="003E1682"/>
    <w:rsid w:val="003E31E3"/>
    <w:rsid w:val="003E3E93"/>
    <w:rsid w:val="003E46D1"/>
    <w:rsid w:val="003E5C5A"/>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7FA"/>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2DB1"/>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941"/>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B59"/>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2B75"/>
    <w:rsid w:val="004E32EA"/>
    <w:rsid w:val="004E3517"/>
    <w:rsid w:val="004E4700"/>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447B"/>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3C08"/>
    <w:rsid w:val="005442D4"/>
    <w:rsid w:val="0054586A"/>
    <w:rsid w:val="0054631F"/>
    <w:rsid w:val="00546C24"/>
    <w:rsid w:val="005471BA"/>
    <w:rsid w:val="00547BDA"/>
    <w:rsid w:val="00547BE6"/>
    <w:rsid w:val="0055034F"/>
    <w:rsid w:val="00550476"/>
    <w:rsid w:val="0055288D"/>
    <w:rsid w:val="00554992"/>
    <w:rsid w:val="00555259"/>
    <w:rsid w:val="00555C66"/>
    <w:rsid w:val="005569EF"/>
    <w:rsid w:val="00556BDE"/>
    <w:rsid w:val="005571CF"/>
    <w:rsid w:val="00560D57"/>
    <w:rsid w:val="00562A94"/>
    <w:rsid w:val="00563FAD"/>
    <w:rsid w:val="00567D7E"/>
    <w:rsid w:val="005701C1"/>
    <w:rsid w:val="005703BF"/>
    <w:rsid w:val="00570754"/>
    <w:rsid w:val="005709F7"/>
    <w:rsid w:val="00570EAA"/>
    <w:rsid w:val="0057101C"/>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3C6"/>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AE4"/>
    <w:rsid w:val="005C62C2"/>
    <w:rsid w:val="005C758C"/>
    <w:rsid w:val="005C7FF9"/>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1421"/>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4B84"/>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0AEF"/>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E7E"/>
    <w:rsid w:val="006C1D6E"/>
    <w:rsid w:val="006C2EF6"/>
    <w:rsid w:val="006C3A68"/>
    <w:rsid w:val="006C3B08"/>
    <w:rsid w:val="006C6AB1"/>
    <w:rsid w:val="006C6E6B"/>
    <w:rsid w:val="006C73D4"/>
    <w:rsid w:val="006D145F"/>
    <w:rsid w:val="006D2000"/>
    <w:rsid w:val="006D2D39"/>
    <w:rsid w:val="006D2F31"/>
    <w:rsid w:val="006D2F51"/>
    <w:rsid w:val="006D4250"/>
    <w:rsid w:val="006D4E0E"/>
    <w:rsid w:val="006D5861"/>
    <w:rsid w:val="006D5CE2"/>
    <w:rsid w:val="006D7854"/>
    <w:rsid w:val="006E06D1"/>
    <w:rsid w:val="006E122E"/>
    <w:rsid w:val="006E1313"/>
    <w:rsid w:val="006E2DC8"/>
    <w:rsid w:val="006E58CB"/>
    <w:rsid w:val="006E6B68"/>
    <w:rsid w:val="006E7356"/>
    <w:rsid w:val="006E75DC"/>
    <w:rsid w:val="006E77C8"/>
    <w:rsid w:val="006F0F9C"/>
    <w:rsid w:val="006F149D"/>
    <w:rsid w:val="006F14C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773"/>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E6D"/>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27D"/>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31EB"/>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7120"/>
    <w:rsid w:val="00882CC2"/>
    <w:rsid w:val="00883103"/>
    <w:rsid w:val="0088325A"/>
    <w:rsid w:val="00883930"/>
    <w:rsid w:val="00883D9A"/>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5F0F"/>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5F1E"/>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C53"/>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6BF"/>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7EA"/>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20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8B5"/>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09"/>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8A8"/>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07CB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4193"/>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2ECD"/>
    <w:rsid w:val="00B9322B"/>
    <w:rsid w:val="00B93640"/>
    <w:rsid w:val="00B955D5"/>
    <w:rsid w:val="00B95833"/>
    <w:rsid w:val="00B9793D"/>
    <w:rsid w:val="00BA1824"/>
    <w:rsid w:val="00BA2D98"/>
    <w:rsid w:val="00BA2F0C"/>
    <w:rsid w:val="00BA30D1"/>
    <w:rsid w:val="00BA30E1"/>
    <w:rsid w:val="00BA4609"/>
    <w:rsid w:val="00BA5BE2"/>
    <w:rsid w:val="00BA6A9C"/>
    <w:rsid w:val="00BA7F46"/>
    <w:rsid w:val="00BB0388"/>
    <w:rsid w:val="00BB052B"/>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D98"/>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4F7"/>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A7"/>
    <w:rsid w:val="00C84AD1"/>
    <w:rsid w:val="00C85579"/>
    <w:rsid w:val="00C8590C"/>
    <w:rsid w:val="00C862F1"/>
    <w:rsid w:val="00C863E5"/>
    <w:rsid w:val="00C8796E"/>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68"/>
    <w:rsid w:val="00CC69EC"/>
    <w:rsid w:val="00CC6BB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37630"/>
    <w:rsid w:val="00D404CE"/>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0BC"/>
    <w:rsid w:val="00D73D53"/>
    <w:rsid w:val="00D7402C"/>
    <w:rsid w:val="00D7408A"/>
    <w:rsid w:val="00D74261"/>
    <w:rsid w:val="00D7441B"/>
    <w:rsid w:val="00D75589"/>
    <w:rsid w:val="00D76AB2"/>
    <w:rsid w:val="00D80490"/>
    <w:rsid w:val="00D81274"/>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905"/>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79"/>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15F"/>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8E3"/>
    <w:rsid w:val="00E75ACE"/>
    <w:rsid w:val="00E771AF"/>
    <w:rsid w:val="00E80386"/>
    <w:rsid w:val="00E809C3"/>
    <w:rsid w:val="00E814D4"/>
    <w:rsid w:val="00E81A1A"/>
    <w:rsid w:val="00E81C3E"/>
    <w:rsid w:val="00E82359"/>
    <w:rsid w:val="00E82AD8"/>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A7B2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5FD0"/>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66A"/>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67F6F"/>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3E8E"/>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7EA"/>
    <w:rsid w:val="00FD5059"/>
    <w:rsid w:val="00FD554D"/>
    <w:rsid w:val="00FD5BCC"/>
    <w:rsid w:val="00FD7B23"/>
    <w:rsid w:val="00FE2A48"/>
    <w:rsid w:val="00FE2DEF"/>
    <w:rsid w:val="00FE323C"/>
    <w:rsid w:val="00FE3A27"/>
    <w:rsid w:val="00FE5D0A"/>
    <w:rsid w:val="00FE6469"/>
    <w:rsid w:val="00FE7C00"/>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361A54"/>
    <w:pPr>
      <w:spacing w:before="100" w:beforeAutospacing="1" w:after="100" w:afterAutospacing="1" w:line="240" w:lineRule="auto"/>
      <w:jc w:val="left"/>
    </w:pPr>
    <w:rPr>
      <w:rFonts w:ascii="Times New Roman" w:hAnsi="Times New Roman" w:cs="Times New Roman"/>
      <w:color w:val="auto"/>
      <w:szCs w:val="24"/>
    </w:rPr>
  </w:style>
  <w:style w:type="character" w:styleId="Emphasis">
    <w:name w:val="Emphasis"/>
    <w:basedOn w:val="DefaultParagraphFont"/>
    <w:uiPriority w:val="20"/>
    <w:qFormat/>
    <w:rsid w:val="002245A6"/>
    <w:rPr>
      <w:i/>
      <w:iCs/>
    </w:rPr>
  </w:style>
  <w:style w:type="character" w:customStyle="1" w:styleId="HeaderChar">
    <w:name w:val="Header Char"/>
    <w:basedOn w:val="DefaultParagraphFont"/>
    <w:link w:val="Header"/>
    <w:uiPriority w:val="99"/>
    <w:locked/>
    <w:rsid w:val="00543C0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79304688">
      <w:bodyDiv w:val="1"/>
      <w:marLeft w:val="0"/>
      <w:marRight w:val="0"/>
      <w:marTop w:val="0"/>
      <w:marBottom w:val="0"/>
      <w:divBdr>
        <w:top w:val="none" w:sz="0" w:space="0" w:color="auto"/>
        <w:left w:val="none" w:sz="0" w:space="0" w:color="auto"/>
        <w:bottom w:val="none" w:sz="0" w:space="0" w:color="auto"/>
        <w:right w:val="none" w:sz="0" w:space="0" w:color="auto"/>
      </w:divBdr>
      <w:divsChild>
        <w:div w:id="992836455">
          <w:marLeft w:val="0"/>
          <w:marRight w:val="0"/>
          <w:marTop w:val="0"/>
          <w:marBottom w:val="0"/>
          <w:divBdr>
            <w:top w:val="none" w:sz="0" w:space="0" w:color="auto"/>
            <w:left w:val="none" w:sz="0" w:space="0" w:color="auto"/>
            <w:bottom w:val="none" w:sz="0" w:space="0" w:color="auto"/>
            <w:right w:val="none" w:sz="0" w:space="0" w:color="auto"/>
          </w:divBdr>
          <w:divsChild>
            <w:div w:id="1940791500">
              <w:marLeft w:val="0"/>
              <w:marRight w:val="0"/>
              <w:marTop w:val="0"/>
              <w:marBottom w:val="0"/>
              <w:divBdr>
                <w:top w:val="none" w:sz="0" w:space="0" w:color="auto"/>
                <w:left w:val="none" w:sz="0" w:space="0" w:color="auto"/>
                <w:bottom w:val="none" w:sz="0" w:space="0" w:color="auto"/>
                <w:right w:val="none" w:sz="0" w:space="0" w:color="auto"/>
              </w:divBdr>
              <w:divsChild>
                <w:div w:id="1616978903">
                  <w:marLeft w:val="0"/>
                  <w:marRight w:val="0"/>
                  <w:marTop w:val="0"/>
                  <w:marBottom w:val="0"/>
                  <w:divBdr>
                    <w:top w:val="none" w:sz="0" w:space="0" w:color="auto"/>
                    <w:left w:val="none" w:sz="0" w:space="0" w:color="auto"/>
                    <w:bottom w:val="none" w:sz="0" w:space="0" w:color="auto"/>
                    <w:right w:val="none" w:sz="0" w:space="0" w:color="auto"/>
                  </w:divBdr>
                  <w:divsChild>
                    <w:div w:id="1879001079">
                      <w:marLeft w:val="0"/>
                      <w:marRight w:val="0"/>
                      <w:marTop w:val="0"/>
                      <w:marBottom w:val="0"/>
                      <w:divBdr>
                        <w:top w:val="none" w:sz="0" w:space="0" w:color="auto"/>
                        <w:left w:val="none" w:sz="0" w:space="0" w:color="auto"/>
                        <w:bottom w:val="none" w:sz="0" w:space="0" w:color="auto"/>
                        <w:right w:val="none" w:sz="0" w:space="0" w:color="auto"/>
                      </w:divBdr>
                      <w:divsChild>
                        <w:div w:id="1646229699">
                          <w:marLeft w:val="-158"/>
                          <w:marRight w:val="0"/>
                          <w:marTop w:val="0"/>
                          <w:marBottom w:val="0"/>
                          <w:divBdr>
                            <w:top w:val="none" w:sz="0" w:space="0" w:color="auto"/>
                            <w:left w:val="none" w:sz="0" w:space="0" w:color="auto"/>
                            <w:bottom w:val="none" w:sz="0" w:space="0" w:color="auto"/>
                            <w:right w:val="none" w:sz="0" w:space="0" w:color="auto"/>
                          </w:divBdr>
                          <w:divsChild>
                            <w:div w:id="579867902">
                              <w:marLeft w:val="0"/>
                              <w:marRight w:val="0"/>
                              <w:marTop w:val="0"/>
                              <w:marBottom w:val="0"/>
                              <w:divBdr>
                                <w:top w:val="none" w:sz="0" w:space="0" w:color="auto"/>
                                <w:left w:val="none" w:sz="0" w:space="0" w:color="auto"/>
                                <w:bottom w:val="none" w:sz="0" w:space="0" w:color="auto"/>
                                <w:right w:val="none" w:sz="0" w:space="0" w:color="auto"/>
                              </w:divBdr>
                              <w:divsChild>
                                <w:div w:id="1498307975">
                                  <w:marLeft w:val="0"/>
                                  <w:marRight w:val="0"/>
                                  <w:marTop w:val="0"/>
                                  <w:marBottom w:val="0"/>
                                  <w:divBdr>
                                    <w:top w:val="none" w:sz="0" w:space="0" w:color="auto"/>
                                    <w:left w:val="none" w:sz="0" w:space="0" w:color="auto"/>
                                    <w:bottom w:val="none" w:sz="0" w:space="0" w:color="auto"/>
                                    <w:right w:val="none" w:sz="0" w:space="0" w:color="auto"/>
                                  </w:divBdr>
                                  <w:divsChild>
                                    <w:div w:id="478960272">
                                      <w:marLeft w:val="0"/>
                                      <w:marRight w:val="0"/>
                                      <w:marTop w:val="0"/>
                                      <w:marBottom w:val="0"/>
                                      <w:divBdr>
                                        <w:top w:val="none" w:sz="0" w:space="0" w:color="auto"/>
                                        <w:left w:val="none" w:sz="0" w:space="0" w:color="auto"/>
                                        <w:bottom w:val="none" w:sz="0" w:space="0" w:color="auto"/>
                                        <w:right w:val="none" w:sz="0" w:space="0" w:color="auto"/>
                                      </w:divBdr>
                                      <w:divsChild>
                                        <w:div w:id="1428384747">
                                          <w:marLeft w:val="0"/>
                                          <w:marRight w:val="0"/>
                                          <w:marTop w:val="0"/>
                                          <w:marBottom w:val="0"/>
                                          <w:divBdr>
                                            <w:top w:val="none" w:sz="0" w:space="0" w:color="auto"/>
                                            <w:left w:val="none" w:sz="0" w:space="0" w:color="auto"/>
                                            <w:bottom w:val="none" w:sz="0" w:space="0" w:color="auto"/>
                                            <w:right w:val="none" w:sz="0" w:space="0" w:color="auto"/>
                                          </w:divBdr>
                                        </w:div>
                                        <w:div w:id="1887983379">
                                          <w:marLeft w:val="0"/>
                                          <w:marRight w:val="0"/>
                                          <w:marTop w:val="0"/>
                                          <w:marBottom w:val="0"/>
                                          <w:divBdr>
                                            <w:top w:val="none" w:sz="0" w:space="0" w:color="auto"/>
                                            <w:left w:val="none" w:sz="0" w:space="0" w:color="auto"/>
                                            <w:bottom w:val="none" w:sz="0" w:space="0" w:color="auto"/>
                                            <w:right w:val="none" w:sz="0" w:space="0" w:color="auto"/>
                                          </w:divBdr>
                                          <w:divsChild>
                                            <w:div w:id="177699748">
                                              <w:marLeft w:val="0"/>
                                              <w:marRight w:val="0"/>
                                              <w:marTop w:val="0"/>
                                              <w:marBottom w:val="0"/>
                                              <w:divBdr>
                                                <w:top w:val="none" w:sz="0" w:space="0" w:color="auto"/>
                                                <w:left w:val="none" w:sz="0" w:space="0" w:color="auto"/>
                                                <w:bottom w:val="none" w:sz="0" w:space="0" w:color="auto"/>
                                                <w:right w:val="none" w:sz="0" w:space="0" w:color="auto"/>
                                              </w:divBdr>
                                              <w:divsChild>
                                                <w:div w:id="980816111">
                                                  <w:marLeft w:val="0"/>
                                                  <w:marRight w:val="0"/>
                                                  <w:marTop w:val="0"/>
                                                  <w:marBottom w:val="240"/>
                                                  <w:divBdr>
                                                    <w:top w:val="none" w:sz="0" w:space="0" w:color="auto"/>
                                                    <w:left w:val="none" w:sz="0" w:space="0" w:color="auto"/>
                                                    <w:bottom w:val="none" w:sz="0" w:space="0" w:color="auto"/>
                                                    <w:right w:val="none" w:sz="0" w:space="0" w:color="auto"/>
                                                  </w:divBdr>
                                                </w:div>
                                                <w:div w:id="519441766">
                                                  <w:marLeft w:val="0"/>
                                                  <w:marRight w:val="0"/>
                                                  <w:marTop w:val="0"/>
                                                  <w:marBottom w:val="0"/>
                                                  <w:divBdr>
                                                    <w:top w:val="none" w:sz="0" w:space="0" w:color="auto"/>
                                                    <w:left w:val="none" w:sz="0" w:space="0" w:color="auto"/>
                                                    <w:bottom w:val="none" w:sz="0" w:space="0" w:color="auto"/>
                                                    <w:right w:val="none" w:sz="0" w:space="0" w:color="auto"/>
                                                  </w:divBdr>
                                                  <w:divsChild>
                                                    <w:div w:id="1250804">
                                                      <w:marLeft w:val="0"/>
                                                      <w:marRight w:val="0"/>
                                                      <w:marTop w:val="0"/>
                                                      <w:marBottom w:val="0"/>
                                                      <w:divBdr>
                                                        <w:top w:val="none" w:sz="0" w:space="0" w:color="auto"/>
                                                        <w:left w:val="none" w:sz="0" w:space="0" w:color="auto"/>
                                                        <w:bottom w:val="none" w:sz="0" w:space="0" w:color="auto"/>
                                                        <w:right w:val="none" w:sz="0" w:space="0" w:color="auto"/>
                                                      </w:divBdr>
                                                      <w:divsChild>
                                                        <w:div w:id="859586118">
                                                          <w:marLeft w:val="0"/>
                                                          <w:marRight w:val="0"/>
                                                          <w:marTop w:val="0"/>
                                                          <w:marBottom w:val="0"/>
                                                          <w:divBdr>
                                                            <w:top w:val="none" w:sz="0" w:space="0" w:color="auto"/>
                                                            <w:left w:val="none" w:sz="0" w:space="0" w:color="auto"/>
                                                            <w:bottom w:val="none" w:sz="0" w:space="0" w:color="auto"/>
                                                            <w:right w:val="none" w:sz="0" w:space="0" w:color="auto"/>
                                                          </w:divBdr>
                                                        </w:div>
                                                        <w:div w:id="1163743311">
                                                          <w:marLeft w:val="105"/>
                                                          <w:marRight w:val="105"/>
                                                          <w:marTop w:val="105"/>
                                                          <w:marBottom w:val="105"/>
                                                          <w:divBdr>
                                                            <w:top w:val="dotted" w:sz="18" w:space="5" w:color="D7D2D2"/>
                                                            <w:left w:val="dotted" w:sz="2" w:space="0" w:color="D7D2D2"/>
                                                            <w:bottom w:val="dotted" w:sz="18" w:space="5" w:color="D7D2D2"/>
                                                            <w:right w:val="dotted" w:sz="2" w:space="0" w:color="D7D2D2"/>
                                                          </w:divBdr>
                                                          <w:divsChild>
                                                            <w:div w:id="363754727">
                                                              <w:marLeft w:val="0"/>
                                                              <w:marRight w:val="0"/>
                                                              <w:marTop w:val="0"/>
                                                              <w:marBottom w:val="53"/>
                                                              <w:divBdr>
                                                                <w:top w:val="none" w:sz="0" w:space="0" w:color="auto"/>
                                                                <w:left w:val="none" w:sz="0" w:space="0" w:color="auto"/>
                                                                <w:bottom w:val="none" w:sz="0" w:space="0" w:color="auto"/>
                                                                <w:right w:val="none" w:sz="0" w:space="0" w:color="auto"/>
                                                              </w:divBdr>
                                                            </w:div>
                                                            <w:div w:id="1846937599">
                                                              <w:marLeft w:val="0"/>
                                                              <w:marRight w:val="0"/>
                                                              <w:marTop w:val="0"/>
                                                              <w:marBottom w:val="0"/>
                                                              <w:divBdr>
                                                                <w:top w:val="none" w:sz="0" w:space="0" w:color="auto"/>
                                                                <w:left w:val="none" w:sz="0" w:space="0" w:color="auto"/>
                                                                <w:bottom w:val="none" w:sz="0" w:space="0" w:color="auto"/>
                                                                <w:right w:val="none" w:sz="0" w:space="0" w:color="auto"/>
                                                              </w:divBdr>
                                                              <w:divsChild>
                                                                <w:div w:id="1535119778">
                                                                  <w:marLeft w:val="0"/>
                                                                  <w:marRight w:val="0"/>
                                                                  <w:marTop w:val="0"/>
                                                                  <w:marBottom w:val="0"/>
                                                                  <w:divBdr>
                                                                    <w:top w:val="single" w:sz="4" w:space="4" w:color="000000"/>
                                                                    <w:left w:val="single" w:sz="4" w:space="4" w:color="000000"/>
                                                                    <w:bottom w:val="single" w:sz="4" w:space="4" w:color="000000"/>
                                                                    <w:right w:val="single" w:sz="4" w:space="4" w:color="000000"/>
                                                                  </w:divBdr>
                                                                </w:div>
                                                              </w:divsChild>
                                                            </w:div>
                                                          </w:divsChild>
                                                        </w:div>
                                                        <w:div w:id="299726920">
                                                          <w:marLeft w:val="0"/>
                                                          <w:marRight w:val="0"/>
                                                          <w:marTop w:val="0"/>
                                                          <w:marBottom w:val="0"/>
                                                          <w:divBdr>
                                                            <w:top w:val="none" w:sz="0" w:space="0" w:color="auto"/>
                                                            <w:left w:val="none" w:sz="0" w:space="0" w:color="auto"/>
                                                            <w:bottom w:val="none" w:sz="0" w:space="0" w:color="auto"/>
                                                            <w:right w:val="none" w:sz="0" w:space="0" w:color="auto"/>
                                                          </w:divBdr>
                                                        </w:div>
                                                      </w:divsChild>
                                                    </w:div>
                                                    <w:div w:id="1709451758">
                                                      <w:marLeft w:val="0"/>
                                                      <w:marRight w:val="0"/>
                                                      <w:marTop w:val="0"/>
                                                      <w:marBottom w:val="0"/>
                                                      <w:divBdr>
                                                        <w:top w:val="none" w:sz="0" w:space="0" w:color="auto"/>
                                                        <w:left w:val="none" w:sz="0" w:space="0" w:color="auto"/>
                                                        <w:bottom w:val="none" w:sz="0" w:space="0" w:color="auto"/>
                                                        <w:right w:val="none" w:sz="0" w:space="0" w:color="auto"/>
                                                      </w:divBdr>
                                                      <w:divsChild>
                                                        <w:div w:id="1256357106">
                                                          <w:marLeft w:val="0"/>
                                                          <w:marRight w:val="0"/>
                                                          <w:marTop w:val="0"/>
                                                          <w:marBottom w:val="0"/>
                                                          <w:divBdr>
                                                            <w:top w:val="none" w:sz="0" w:space="0" w:color="auto"/>
                                                            <w:left w:val="none" w:sz="0" w:space="0" w:color="auto"/>
                                                            <w:bottom w:val="none" w:sz="0" w:space="0" w:color="auto"/>
                                                            <w:right w:val="none" w:sz="0" w:space="0" w:color="auto"/>
                                                          </w:divBdr>
                                                        </w:div>
                                                        <w:div w:id="2472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35C3-5522-4869-A3A8-D726B4D3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2012-04-09T13:10:00Z</cp:lastPrinted>
  <dcterms:created xsi:type="dcterms:W3CDTF">2012-04-05T13:16:00Z</dcterms:created>
  <dcterms:modified xsi:type="dcterms:W3CDTF">2012-05-04T16:53:00Z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