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1F29F9"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606FA2">
        <w:rPr>
          <w:caps/>
          <w:color w:val="000000" w:themeColor="text1"/>
        </w:rPr>
        <w:t>XXXXXXXXXXX</w:t>
      </w:r>
      <w:r w:rsidR="002432F4" w:rsidRPr="001F29F9">
        <w:rPr>
          <w:caps/>
          <w:color w:val="000000" w:themeColor="text1"/>
        </w:rPr>
        <w:t>.</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0D7D2C">
        <w:rPr>
          <w:caps/>
          <w:color w:val="000000" w:themeColor="text1"/>
        </w:rPr>
        <w:t xml:space="preserve">                   </w:t>
      </w:r>
      <w:r w:rsidR="001C09D4">
        <w:rPr>
          <w:caps/>
          <w:color w:val="000000" w:themeColor="text1"/>
        </w:rPr>
        <w:t xml:space="preserve">                              </w:t>
      </w:r>
      <w:r w:rsidR="002D0A1C">
        <w:rPr>
          <w:caps/>
          <w:color w:val="000000" w:themeColor="text1"/>
        </w:rPr>
        <w:t xml:space="preserve">    </w:t>
      </w:r>
      <w:r w:rsidRPr="001F29F9">
        <w:rPr>
          <w:caps/>
          <w:color w:val="000000" w:themeColor="text1"/>
        </w:rPr>
        <w:t>BRANCH OF SERVICE</w:t>
      </w:r>
      <w:r w:rsidRPr="000D7D2C">
        <w:rPr>
          <w:caps/>
          <w:color w:val="000000" w:themeColor="text1"/>
        </w:rPr>
        <w:t xml:space="preserve">: </w:t>
      </w:r>
      <w:r w:rsidR="004C24C5" w:rsidRPr="000D7D2C">
        <w:rPr>
          <w:caps/>
          <w:color w:val="000000" w:themeColor="text1"/>
        </w:rPr>
        <w:t xml:space="preserve"> </w:t>
      </w:r>
      <w:r w:rsidR="001C09D4">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1F29F9">
        <w:rPr>
          <w:caps/>
          <w:color w:val="000000" w:themeColor="text1"/>
        </w:rPr>
        <w:t>C</w:t>
      </w:r>
      <w:r w:rsidR="00DE3AAD" w:rsidRPr="001F29F9">
        <w:rPr>
          <w:caps/>
          <w:color w:val="000000" w:themeColor="text1"/>
        </w:rPr>
        <w:t>ASE NUMBER:  PD</w:t>
      </w:r>
      <w:r w:rsidR="008F58E1" w:rsidRPr="001F29F9">
        <w:rPr>
          <w:caps/>
          <w:color w:val="000000" w:themeColor="text1"/>
        </w:rPr>
        <w:t>11</w:t>
      </w:r>
      <w:r w:rsidR="00DE3AAD" w:rsidRPr="000D7D2C">
        <w:rPr>
          <w:caps/>
          <w:color w:val="000000" w:themeColor="text1"/>
        </w:rPr>
        <w:t>00</w:t>
      </w:r>
      <w:r w:rsidR="000D7D2C">
        <w:rPr>
          <w:caps/>
          <w:color w:val="000000" w:themeColor="text1"/>
        </w:rPr>
        <w:t>733</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1C09D4">
        <w:rPr>
          <w:color w:val="000000" w:themeColor="text1"/>
        </w:rPr>
        <w:t xml:space="preserve"> </w:t>
      </w:r>
      <w:r w:rsidR="00DE3AAD" w:rsidRPr="001F29F9">
        <w:rPr>
          <w:color w:val="000000" w:themeColor="text1"/>
        </w:rPr>
        <w:t xml:space="preserve">SEPARATION DATE:  </w:t>
      </w:r>
      <w:r w:rsidR="00DE3AAD" w:rsidRPr="002D0A1C">
        <w:rPr>
          <w:color w:val="000000" w:themeColor="text1"/>
        </w:rPr>
        <w:t>200</w:t>
      </w:r>
      <w:r w:rsidR="000D7D2C" w:rsidRPr="002D0A1C">
        <w:rPr>
          <w:color w:val="000000" w:themeColor="text1"/>
        </w:rPr>
        <w:t>6052</w:t>
      </w:r>
      <w:r w:rsidR="00753B2F" w:rsidRPr="002D0A1C">
        <w:rPr>
          <w:color w:val="000000" w:themeColor="text1"/>
        </w:rPr>
        <w:t>1</w:t>
      </w:r>
    </w:p>
    <w:p w:rsidR="003B2143" w:rsidRPr="001F29F9" w:rsidRDefault="004F3639" w:rsidP="00BF0E94">
      <w:pPr>
        <w:tabs>
          <w:tab w:val="left" w:pos="288"/>
          <w:tab w:val="left" w:pos="5130"/>
        </w:tabs>
        <w:jc w:val="both"/>
        <w:rPr>
          <w:color w:val="000000" w:themeColor="text1"/>
        </w:rPr>
      </w:pPr>
      <w:r w:rsidRPr="001F29F9">
        <w:rPr>
          <w:caps/>
          <w:color w:val="000000" w:themeColor="text1"/>
        </w:rPr>
        <w:t>BOARD DATE:  201</w:t>
      </w:r>
      <w:r w:rsidR="00753B2F">
        <w:rPr>
          <w:caps/>
          <w:color w:val="000000" w:themeColor="text1"/>
        </w:rPr>
        <w:t>2</w:t>
      </w:r>
      <w:r w:rsidR="002D0A1C">
        <w:rPr>
          <w:caps/>
          <w:color w:val="000000" w:themeColor="text1"/>
        </w:rPr>
        <w:t>0203</w:t>
      </w:r>
    </w:p>
    <w:p w:rsidR="00753B2F" w:rsidRPr="001F29F9" w:rsidRDefault="00753B2F" w:rsidP="00753B2F">
      <w:pPr>
        <w:pBdr>
          <w:bottom w:val="single" w:sz="12" w:space="1" w:color="auto"/>
        </w:pBdr>
        <w:tabs>
          <w:tab w:val="left" w:pos="288"/>
          <w:tab w:val="left" w:pos="4752"/>
        </w:tabs>
        <w:jc w:val="both"/>
        <w:rPr>
          <w:color w:val="000000" w:themeColor="text1"/>
        </w:rPr>
      </w:pPr>
    </w:p>
    <w:p w:rsidR="00753B2F" w:rsidRPr="001F29F9" w:rsidRDefault="00753B2F" w:rsidP="00753B2F">
      <w:pPr>
        <w:tabs>
          <w:tab w:val="left" w:pos="288"/>
          <w:tab w:val="left" w:pos="4752"/>
        </w:tabs>
        <w:jc w:val="both"/>
        <w:rPr>
          <w:color w:val="000000" w:themeColor="text1"/>
        </w:rPr>
      </w:pPr>
    </w:p>
    <w:p w:rsidR="00F63FC7" w:rsidRPr="00C55023"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 xml:space="preserve">Data extracted from the available evidence of record reflects that this </w:t>
      </w:r>
      <w:r w:rsidR="009759C2" w:rsidRPr="00C55023">
        <w:rPr>
          <w:color w:val="000000" w:themeColor="text1"/>
        </w:rPr>
        <w:t>covered individual (CI)</w:t>
      </w:r>
      <w:r w:rsidR="00570754" w:rsidRPr="00C55023">
        <w:rPr>
          <w:color w:val="000000" w:themeColor="text1"/>
        </w:rPr>
        <w:t xml:space="preserve"> </w:t>
      </w:r>
      <w:r w:rsidR="002C6E5B" w:rsidRPr="00C55023">
        <w:rPr>
          <w:color w:val="000000" w:themeColor="text1"/>
          <w:szCs w:val="24"/>
        </w:rPr>
        <w:t xml:space="preserve">was </w:t>
      </w:r>
      <w:r w:rsidR="00E322F7" w:rsidRPr="00C55023">
        <w:rPr>
          <w:color w:val="000000" w:themeColor="text1"/>
          <w:szCs w:val="24"/>
        </w:rPr>
        <w:t>an active duty</w:t>
      </w:r>
      <w:r w:rsidR="006D4E0E" w:rsidRPr="00C55023">
        <w:rPr>
          <w:color w:val="000000" w:themeColor="text1"/>
          <w:szCs w:val="24"/>
        </w:rPr>
        <w:t xml:space="preserve"> </w:t>
      </w:r>
      <w:r w:rsidR="00487B2E" w:rsidRPr="00C55023">
        <w:rPr>
          <w:color w:val="000000" w:themeColor="text1"/>
          <w:szCs w:val="24"/>
        </w:rPr>
        <w:t>SPC/E-4</w:t>
      </w:r>
      <w:r w:rsidR="00705C40" w:rsidRPr="00C55023">
        <w:rPr>
          <w:color w:val="000000" w:themeColor="text1"/>
          <w:szCs w:val="24"/>
        </w:rPr>
        <w:t xml:space="preserve"> (</w:t>
      </w:r>
      <w:r w:rsidR="00487B2E" w:rsidRPr="00C55023">
        <w:rPr>
          <w:color w:val="000000" w:themeColor="text1"/>
          <w:szCs w:val="24"/>
        </w:rPr>
        <w:t>11B</w:t>
      </w:r>
      <w:r w:rsidR="00C75F3D" w:rsidRPr="00C55023">
        <w:rPr>
          <w:color w:val="000000" w:themeColor="text1"/>
          <w:szCs w:val="24"/>
        </w:rPr>
        <w:t xml:space="preserve">, </w:t>
      </w:r>
      <w:r w:rsidR="00487B2E" w:rsidRPr="00C55023">
        <w:rPr>
          <w:color w:val="000000" w:themeColor="text1"/>
          <w:szCs w:val="24"/>
        </w:rPr>
        <w:t>Infantryman</w:t>
      </w:r>
      <w:r w:rsidR="00E322F7" w:rsidRPr="00C55023">
        <w:rPr>
          <w:color w:val="000000" w:themeColor="text1"/>
          <w:szCs w:val="24"/>
        </w:rPr>
        <w:t>)</w:t>
      </w:r>
      <w:r w:rsidR="00C75F3D" w:rsidRPr="00C55023">
        <w:rPr>
          <w:color w:val="000000" w:themeColor="text1"/>
          <w:szCs w:val="24"/>
        </w:rPr>
        <w:t xml:space="preserve">, </w:t>
      </w:r>
      <w:r w:rsidR="002C6E5B" w:rsidRPr="00C55023">
        <w:rPr>
          <w:color w:val="000000" w:themeColor="text1"/>
          <w:szCs w:val="24"/>
        </w:rPr>
        <w:t xml:space="preserve">medically separated for </w:t>
      </w:r>
      <w:r w:rsidR="00487B2E" w:rsidRPr="00C55023">
        <w:rPr>
          <w:color w:val="000000" w:themeColor="text1"/>
          <w:szCs w:val="24"/>
        </w:rPr>
        <w:t xml:space="preserve">chronic right ankle pain. </w:t>
      </w:r>
      <w:r w:rsidR="00753B2F" w:rsidRPr="00C55023">
        <w:rPr>
          <w:color w:val="000000" w:themeColor="text1"/>
          <w:szCs w:val="24"/>
        </w:rPr>
        <w:t xml:space="preserve"> </w:t>
      </w:r>
      <w:r w:rsidR="00487B2E" w:rsidRPr="00C55023">
        <w:rPr>
          <w:color w:val="000000" w:themeColor="text1"/>
          <w:szCs w:val="24"/>
        </w:rPr>
        <w:t xml:space="preserve">The CI reported an eversion type injury during </w:t>
      </w:r>
      <w:r w:rsidR="00753B2F" w:rsidRPr="00C55023">
        <w:rPr>
          <w:color w:val="000000" w:themeColor="text1"/>
          <w:szCs w:val="24"/>
        </w:rPr>
        <w:t xml:space="preserve">a </w:t>
      </w:r>
      <w:r w:rsidR="00487B2E" w:rsidRPr="00C55023">
        <w:rPr>
          <w:color w:val="000000" w:themeColor="text1"/>
          <w:szCs w:val="24"/>
        </w:rPr>
        <w:t>fire fight while deployed to Afghanistan from July to December 2003</w:t>
      </w:r>
      <w:r w:rsidR="00380F65" w:rsidRPr="00C55023">
        <w:rPr>
          <w:color w:val="000000" w:themeColor="text1"/>
          <w:szCs w:val="24"/>
        </w:rPr>
        <w:t xml:space="preserve"> and was evacuated from theater</w:t>
      </w:r>
      <w:r w:rsidR="00487B2E" w:rsidRPr="00C55023">
        <w:rPr>
          <w:color w:val="000000" w:themeColor="text1"/>
          <w:szCs w:val="24"/>
        </w:rPr>
        <w:t xml:space="preserve">.  </w:t>
      </w:r>
      <w:r w:rsidR="00643C8F" w:rsidRPr="00C55023">
        <w:rPr>
          <w:color w:val="000000" w:themeColor="text1"/>
          <w:szCs w:val="24"/>
        </w:rPr>
        <w:t xml:space="preserve">He </w:t>
      </w:r>
      <w:r w:rsidR="00380F65" w:rsidRPr="00C55023">
        <w:rPr>
          <w:color w:val="000000" w:themeColor="text1"/>
          <w:szCs w:val="24"/>
        </w:rPr>
        <w:t xml:space="preserve">underwent surgical correction of his ankle in January 2004, but </w:t>
      </w:r>
      <w:r w:rsidR="00643C8F" w:rsidRPr="00C55023">
        <w:rPr>
          <w:color w:val="000000" w:themeColor="text1"/>
          <w:szCs w:val="24"/>
        </w:rPr>
        <w:t>did not respond adequately to treatment and was unable to perform within his Military Occupational Specialty (MOS) or meet physical fitness standards.  He</w:t>
      </w:r>
      <w:r w:rsidR="00487B2E" w:rsidRPr="00C55023">
        <w:rPr>
          <w:color w:val="000000" w:themeColor="text1"/>
          <w:szCs w:val="24"/>
        </w:rPr>
        <w:t xml:space="preserve"> </w:t>
      </w:r>
      <w:r w:rsidR="00643C8F" w:rsidRPr="00C55023">
        <w:rPr>
          <w:color w:val="000000" w:themeColor="text1"/>
          <w:szCs w:val="24"/>
        </w:rPr>
        <w:t xml:space="preserve">was issued a permanent </w:t>
      </w:r>
      <w:r w:rsidR="00513DD0" w:rsidRPr="00C55023">
        <w:rPr>
          <w:color w:val="000000" w:themeColor="text1"/>
          <w:szCs w:val="24"/>
        </w:rPr>
        <w:t>L3</w:t>
      </w:r>
      <w:r w:rsidR="00643C8F" w:rsidRPr="00C55023">
        <w:rPr>
          <w:color w:val="000000" w:themeColor="text1"/>
          <w:szCs w:val="24"/>
        </w:rPr>
        <w:t xml:space="preserve"> profile and underwent a Medical Evaluation Board (MEB).</w:t>
      </w:r>
      <w:r w:rsidR="004E0172" w:rsidRPr="00C55023">
        <w:rPr>
          <w:color w:val="000000" w:themeColor="text1"/>
          <w:szCs w:val="24"/>
        </w:rPr>
        <w:t xml:space="preserve">  </w:t>
      </w:r>
      <w:r w:rsidR="00487B2E" w:rsidRPr="00C55023">
        <w:rPr>
          <w:color w:val="000000" w:themeColor="text1"/>
          <w:szCs w:val="24"/>
        </w:rPr>
        <w:t xml:space="preserve">Chronic right ankle pain </w:t>
      </w:r>
      <w:r w:rsidR="000A33C8" w:rsidRPr="00C55023">
        <w:rPr>
          <w:color w:val="000000" w:themeColor="text1"/>
          <w:szCs w:val="24"/>
        </w:rPr>
        <w:t>w</w:t>
      </w:r>
      <w:r w:rsidR="00487B2E" w:rsidRPr="00C55023">
        <w:rPr>
          <w:color w:val="000000" w:themeColor="text1"/>
          <w:szCs w:val="24"/>
        </w:rPr>
        <w:t>as</w:t>
      </w:r>
      <w:r w:rsidR="000A33C8" w:rsidRPr="00C55023">
        <w:rPr>
          <w:color w:val="000000" w:themeColor="text1"/>
          <w:szCs w:val="24"/>
        </w:rPr>
        <w:t xml:space="preserve"> forwarded to the Physical Evaluation Board (PEB) as medically unacceptable IAW AR 40-501</w:t>
      </w:r>
      <w:r w:rsidR="00376E08" w:rsidRPr="00C55023">
        <w:rPr>
          <w:color w:val="000000" w:themeColor="text1"/>
          <w:szCs w:val="24"/>
        </w:rPr>
        <w:t>.</w:t>
      </w:r>
      <w:r w:rsidR="004E0172" w:rsidRPr="00C55023">
        <w:rPr>
          <w:color w:val="000000" w:themeColor="text1"/>
          <w:szCs w:val="24"/>
        </w:rPr>
        <w:t xml:space="preserve"> </w:t>
      </w:r>
      <w:r w:rsidR="00753B2F" w:rsidRPr="00C55023">
        <w:rPr>
          <w:color w:val="000000" w:themeColor="text1"/>
          <w:szCs w:val="24"/>
        </w:rPr>
        <w:t xml:space="preserve"> </w:t>
      </w:r>
      <w:r w:rsidR="001A5E62" w:rsidRPr="00C55023">
        <w:rPr>
          <w:color w:val="000000" w:themeColor="text1"/>
          <w:szCs w:val="24"/>
        </w:rPr>
        <w:t>No other conditions appeared on the MEB’s submission.  Other conditions included in the</w:t>
      </w:r>
      <w:r w:rsidR="00DC17F2" w:rsidRPr="00C55023">
        <w:rPr>
          <w:color w:val="000000" w:themeColor="text1"/>
          <w:szCs w:val="24"/>
        </w:rPr>
        <w:t xml:space="preserve"> </w:t>
      </w:r>
      <w:r w:rsidR="00555C66" w:rsidRPr="00C55023">
        <w:rPr>
          <w:color w:val="000000" w:themeColor="text1"/>
          <w:szCs w:val="24"/>
        </w:rPr>
        <w:t xml:space="preserve">Disability Evaluation System (DES) </w:t>
      </w:r>
      <w:r w:rsidR="001A5E62" w:rsidRPr="00C55023">
        <w:rPr>
          <w:color w:val="000000" w:themeColor="text1"/>
          <w:szCs w:val="24"/>
        </w:rPr>
        <w:t>packet will be discussed below.</w:t>
      </w:r>
      <w:r w:rsidR="004E0172" w:rsidRPr="00C55023">
        <w:rPr>
          <w:color w:val="000000" w:themeColor="text1"/>
          <w:szCs w:val="24"/>
        </w:rPr>
        <w:t xml:space="preserve">  </w:t>
      </w:r>
      <w:r w:rsidR="00CA0942">
        <w:rPr>
          <w:color w:val="000000" w:themeColor="text1"/>
          <w:szCs w:val="24"/>
        </w:rPr>
        <w:t xml:space="preserve">The </w:t>
      </w:r>
      <w:r w:rsidR="00842BAA" w:rsidRPr="00C55023">
        <w:rPr>
          <w:color w:val="000000" w:themeColor="text1"/>
          <w:szCs w:val="24"/>
        </w:rPr>
        <w:t xml:space="preserve">PEB adjudicated the </w:t>
      </w:r>
      <w:r w:rsidR="00487B2E" w:rsidRPr="00C55023">
        <w:rPr>
          <w:color w:val="000000" w:themeColor="text1"/>
          <w:szCs w:val="24"/>
        </w:rPr>
        <w:t xml:space="preserve">chronic right ankle pain </w:t>
      </w:r>
      <w:r w:rsidR="00842BAA" w:rsidRPr="00C55023">
        <w:rPr>
          <w:color w:val="000000" w:themeColor="text1"/>
          <w:szCs w:val="24"/>
        </w:rPr>
        <w:t xml:space="preserve">condition as unfitting, rated </w:t>
      </w:r>
      <w:r w:rsidR="00487B2E" w:rsidRPr="00C55023">
        <w:rPr>
          <w:color w:val="000000" w:themeColor="text1"/>
          <w:szCs w:val="24"/>
        </w:rPr>
        <w:t>10</w:t>
      </w:r>
      <w:r w:rsidR="00842BAA" w:rsidRPr="00C55023">
        <w:rPr>
          <w:color w:val="000000" w:themeColor="text1"/>
          <w:szCs w:val="24"/>
        </w:rPr>
        <w:t>%; with application of the US Army Physical Disability Agency (USAPDA) pain policy.</w:t>
      </w:r>
      <w:r w:rsidR="004E0172" w:rsidRPr="00C55023">
        <w:rPr>
          <w:color w:val="000000" w:themeColor="text1"/>
          <w:szCs w:val="24"/>
        </w:rPr>
        <w:t xml:space="preserve">  </w:t>
      </w:r>
      <w:r w:rsidR="00B20624" w:rsidRPr="00C55023">
        <w:rPr>
          <w:color w:val="000000" w:themeColor="text1"/>
        </w:rPr>
        <w:t xml:space="preserve">The CI </w:t>
      </w:r>
      <w:r w:rsidR="00190E48" w:rsidRPr="00C55023">
        <w:rPr>
          <w:color w:val="000000" w:themeColor="text1"/>
        </w:rPr>
        <w:t xml:space="preserve">made no appeals, </w:t>
      </w:r>
      <w:r w:rsidR="00B20624" w:rsidRPr="00C55023">
        <w:rPr>
          <w:color w:val="000000" w:themeColor="text1"/>
        </w:rPr>
        <w:t xml:space="preserve">and was medically separated with a </w:t>
      </w:r>
      <w:r w:rsidR="00487B2E" w:rsidRPr="00C55023">
        <w:rPr>
          <w:color w:val="000000" w:themeColor="text1"/>
        </w:rPr>
        <w:t>10</w:t>
      </w:r>
      <w:r w:rsidR="00B20624" w:rsidRPr="00C55023">
        <w:rPr>
          <w:color w:val="000000" w:themeColor="text1"/>
        </w:rPr>
        <w:t>% disability rating.</w:t>
      </w:r>
    </w:p>
    <w:p w:rsidR="004174F0" w:rsidRPr="00C55023" w:rsidRDefault="004174F0" w:rsidP="00BF0E94">
      <w:pPr>
        <w:pBdr>
          <w:bottom w:val="single" w:sz="12" w:space="1" w:color="auto"/>
        </w:pBdr>
        <w:tabs>
          <w:tab w:val="left" w:pos="288"/>
          <w:tab w:val="left" w:pos="4752"/>
        </w:tabs>
        <w:jc w:val="both"/>
        <w:rPr>
          <w:color w:val="000000" w:themeColor="text1"/>
        </w:rPr>
      </w:pPr>
    </w:p>
    <w:p w:rsidR="004174F0" w:rsidRPr="00C55023"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C55023">
        <w:rPr>
          <w:color w:val="000000" w:themeColor="text1"/>
          <w:u w:val="single"/>
        </w:rPr>
        <w:t>CI CONTENTION</w:t>
      </w:r>
      <w:r w:rsidRPr="00C55023">
        <w:rPr>
          <w:color w:val="000000" w:themeColor="text1"/>
        </w:rPr>
        <w:t>:</w:t>
      </w:r>
      <w:r w:rsidR="004E0172" w:rsidRPr="00C55023">
        <w:rPr>
          <w:color w:val="000000" w:themeColor="text1"/>
        </w:rPr>
        <w:t xml:space="preserve">  The CI states:  “I believe the rating to be incorrect because I was not screened upon returning from Afghanistan for mental health issues sustained in combat. </w:t>
      </w:r>
      <w:r w:rsidR="00753B2F" w:rsidRPr="00C55023">
        <w:rPr>
          <w:color w:val="000000" w:themeColor="text1"/>
        </w:rPr>
        <w:t xml:space="preserve"> </w:t>
      </w:r>
      <w:r w:rsidR="004E0172" w:rsidRPr="00C55023">
        <w:rPr>
          <w:color w:val="000000" w:themeColor="text1"/>
        </w:rPr>
        <w:t xml:space="preserve">Upon being evaluated by the VA I am suffering from PTSD, mechanical low back </w:t>
      </w:r>
      <w:r w:rsidR="005153A8" w:rsidRPr="00C55023">
        <w:rPr>
          <w:color w:val="000000" w:themeColor="text1"/>
        </w:rPr>
        <w:t>strain</w:t>
      </w:r>
      <w:r w:rsidR="004E0172" w:rsidRPr="00C55023">
        <w:rPr>
          <w:color w:val="000000" w:themeColor="text1"/>
        </w:rPr>
        <w:t xml:space="preserve">, </w:t>
      </w:r>
      <w:r w:rsidR="00A829FF" w:rsidRPr="00C55023">
        <w:rPr>
          <w:color w:val="000000" w:themeColor="text1"/>
        </w:rPr>
        <w:t xml:space="preserve">tinnitus, right ankle residuals, as well as irritable bowel syndrome. </w:t>
      </w:r>
      <w:r w:rsidR="00753B2F" w:rsidRPr="00C55023">
        <w:rPr>
          <w:color w:val="000000" w:themeColor="text1"/>
        </w:rPr>
        <w:t xml:space="preserve"> </w:t>
      </w:r>
      <w:r w:rsidR="00A829FF" w:rsidRPr="00C55023">
        <w:rPr>
          <w:color w:val="000000" w:themeColor="text1"/>
        </w:rPr>
        <w:t>My current rating with the VA is 80% and 20%</w:t>
      </w:r>
      <w:r w:rsidR="00A829FF">
        <w:rPr>
          <w:color w:val="000000" w:themeColor="text1"/>
        </w:rPr>
        <w:t xml:space="preserve"> unemployability.</w:t>
      </w:r>
      <w:r w:rsidR="00A270B7">
        <w:rPr>
          <w:color w:val="000000" w:themeColor="text1"/>
        </w:rPr>
        <w:t xml:space="preserve">”  </w:t>
      </w:r>
      <w:r w:rsidR="00ED5284" w:rsidRPr="001F29F9">
        <w:rPr>
          <w:rFonts w:eastAsiaTheme="minorHAnsi"/>
          <w:color w:val="000000" w:themeColor="text1"/>
          <w:szCs w:val="24"/>
        </w:rPr>
        <w:t>He elaborates no specific content</w:t>
      </w:r>
      <w:r w:rsidR="00A270B7">
        <w:rPr>
          <w:rFonts w:eastAsiaTheme="minorHAnsi"/>
          <w:color w:val="000000" w:themeColor="text1"/>
          <w:szCs w:val="24"/>
        </w:rPr>
        <w:t>ions regarding rating or coding.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1537D8" w:rsidRPr="002D0A1C" w:rsidRDefault="007F0AB7" w:rsidP="00BF0E94">
      <w:pPr>
        <w:jc w:val="left"/>
        <w:rPr>
          <w:color w:val="auto"/>
        </w:rPr>
      </w:pPr>
      <w:r w:rsidRPr="001F29F9">
        <w:rPr>
          <w:color w:val="000000" w:themeColor="text1"/>
          <w:u w:val="single"/>
        </w:rPr>
        <w:t>R</w:t>
      </w:r>
      <w:r w:rsidR="002C6E5B" w:rsidRPr="001F29F9">
        <w:rPr>
          <w:color w:val="000000" w:themeColor="text1"/>
          <w:u w:val="single"/>
        </w:rPr>
        <w:t>ATING COMPARISON</w:t>
      </w:r>
      <w:r w:rsidR="002C6E5B" w:rsidRPr="001F29F9">
        <w:rPr>
          <w:color w:val="000000" w:themeColor="text1"/>
        </w:rPr>
        <w:t>:</w:t>
      </w:r>
      <w:r w:rsidR="00753B2F">
        <w:rPr>
          <w:color w:val="000000" w:themeColor="text1"/>
        </w:rPr>
        <w:t xml:space="preserve">  </w:t>
      </w:r>
    </w:p>
    <w:p w:rsidR="00753B2F" w:rsidRPr="002D0A1C" w:rsidRDefault="00753B2F" w:rsidP="00BF0E94">
      <w:pPr>
        <w:jc w:val="left"/>
        <w:rPr>
          <w:color w:val="auto"/>
        </w:rPr>
      </w:pPr>
    </w:p>
    <w:tbl>
      <w:tblPr>
        <w:tblStyle w:val="TableGrid"/>
        <w:tblpPr w:leftFromText="187" w:rightFromText="187" w:vertAnchor="text" w:tblpXSpec="center" w:tblpY="1"/>
        <w:tblOverlap w:val="never"/>
        <w:tblW w:w="9972" w:type="dxa"/>
        <w:jc w:val="center"/>
        <w:tblLayout w:type="fixed"/>
        <w:tblLook w:val="04A0"/>
      </w:tblPr>
      <w:tblGrid>
        <w:gridCol w:w="2880"/>
        <w:gridCol w:w="1080"/>
        <w:gridCol w:w="792"/>
        <w:gridCol w:w="2538"/>
        <w:gridCol w:w="864"/>
        <w:gridCol w:w="828"/>
        <w:gridCol w:w="990"/>
      </w:tblGrid>
      <w:tr w:rsidR="002B4E22" w:rsidRPr="00C55023" w:rsidTr="001C09D4">
        <w:trPr>
          <w:trHeight w:val="233"/>
          <w:jc w:val="center"/>
        </w:trPr>
        <w:tc>
          <w:tcPr>
            <w:tcW w:w="4752" w:type="dxa"/>
            <w:gridSpan w:val="3"/>
            <w:tcBorders>
              <w:right w:val="thinThickThinSmallGap" w:sz="24" w:space="0" w:color="auto"/>
            </w:tcBorders>
            <w:shd w:val="clear" w:color="auto" w:fill="D9D9D9" w:themeFill="background1" w:themeFillShade="D9"/>
            <w:vAlign w:val="center"/>
          </w:tcPr>
          <w:p w:rsidR="002B4E22" w:rsidRPr="00C55023" w:rsidRDefault="00B731E4"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 xml:space="preserve">Service </w:t>
            </w:r>
            <w:r w:rsidR="00A270B7" w:rsidRPr="00C55023">
              <w:rPr>
                <w:rFonts w:ascii="Calibri" w:hAnsi="Calibri" w:cs="Calibri"/>
                <w:b/>
                <w:color w:val="auto"/>
                <w:sz w:val="18"/>
                <w:szCs w:val="18"/>
              </w:rPr>
              <w:t>I</w:t>
            </w:r>
            <w:r w:rsidRPr="00C55023">
              <w:rPr>
                <w:rFonts w:ascii="Calibri" w:hAnsi="Calibri" w:cs="Calibri"/>
                <w:b/>
                <w:color w:val="auto"/>
                <w:sz w:val="18"/>
                <w:szCs w:val="18"/>
              </w:rPr>
              <w:t>PEB – Dated 200</w:t>
            </w:r>
            <w:r w:rsidR="00753B2F" w:rsidRPr="00C55023">
              <w:rPr>
                <w:rFonts w:ascii="Calibri" w:hAnsi="Calibri" w:cs="Calibri"/>
                <w:b/>
                <w:color w:val="auto"/>
                <w:sz w:val="18"/>
                <w:szCs w:val="18"/>
              </w:rPr>
              <w:t>6</w:t>
            </w:r>
            <w:r w:rsidR="00A270B7" w:rsidRPr="00C55023">
              <w:rPr>
                <w:rFonts w:ascii="Calibri" w:hAnsi="Calibri" w:cs="Calibri"/>
                <w:b/>
                <w:color w:val="auto"/>
                <w:sz w:val="18"/>
                <w:szCs w:val="18"/>
              </w:rPr>
              <w:t>0</w:t>
            </w:r>
            <w:r w:rsidR="00753B2F" w:rsidRPr="00C55023">
              <w:rPr>
                <w:rFonts w:ascii="Calibri" w:hAnsi="Calibri" w:cs="Calibri"/>
                <w:b/>
                <w:color w:val="auto"/>
                <w:sz w:val="18"/>
                <w:szCs w:val="18"/>
              </w:rPr>
              <w:t>3</w:t>
            </w:r>
            <w:r w:rsidR="00A270B7" w:rsidRPr="00C55023">
              <w:rPr>
                <w:rFonts w:ascii="Calibri" w:hAnsi="Calibri" w:cs="Calibri"/>
                <w:b/>
                <w:color w:val="auto"/>
                <w:sz w:val="18"/>
                <w:szCs w:val="18"/>
              </w:rPr>
              <w:t>20</w:t>
            </w:r>
          </w:p>
        </w:tc>
        <w:tc>
          <w:tcPr>
            <w:tcW w:w="5220" w:type="dxa"/>
            <w:gridSpan w:val="4"/>
            <w:tcBorders>
              <w:left w:val="thinThickThinSmallGap" w:sz="24" w:space="0" w:color="auto"/>
            </w:tcBorders>
            <w:shd w:val="clear" w:color="auto" w:fill="D9D9D9" w:themeFill="background1" w:themeFillShade="D9"/>
            <w:vAlign w:val="center"/>
          </w:tcPr>
          <w:p w:rsidR="002B4E22" w:rsidRPr="00C55023" w:rsidRDefault="002B4E22" w:rsidP="00380F65">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VA (</w:t>
            </w:r>
            <w:r w:rsidR="00346BE9" w:rsidRPr="00C55023">
              <w:rPr>
                <w:rFonts w:ascii="Calibri" w:hAnsi="Calibri" w:cs="Calibri"/>
                <w:b/>
                <w:color w:val="auto"/>
                <w:sz w:val="18"/>
                <w:szCs w:val="18"/>
              </w:rPr>
              <w:t>16</w:t>
            </w:r>
            <w:r w:rsidR="0079154B" w:rsidRPr="00C55023">
              <w:rPr>
                <w:rFonts w:ascii="Calibri" w:hAnsi="Calibri" w:cs="Calibri"/>
                <w:b/>
                <w:color w:val="auto"/>
                <w:sz w:val="18"/>
                <w:szCs w:val="18"/>
              </w:rPr>
              <w:t xml:space="preserve"> </w:t>
            </w:r>
            <w:r w:rsidRPr="00C55023">
              <w:rPr>
                <w:rFonts w:ascii="Calibri" w:hAnsi="Calibri" w:cs="Calibri"/>
                <w:b/>
                <w:color w:val="auto"/>
                <w:sz w:val="18"/>
                <w:szCs w:val="18"/>
              </w:rPr>
              <w:t xml:space="preserve">Mo. After Separation) – All Effective Date </w:t>
            </w:r>
            <w:r w:rsidR="002D08F3" w:rsidRPr="00C55023">
              <w:rPr>
                <w:rFonts w:ascii="Calibri" w:hAnsi="Calibri" w:cs="Calibri"/>
                <w:b/>
                <w:color w:val="auto"/>
                <w:sz w:val="18"/>
                <w:szCs w:val="18"/>
              </w:rPr>
              <w:t>200</w:t>
            </w:r>
            <w:r w:rsidR="00380F65" w:rsidRPr="00C55023">
              <w:rPr>
                <w:rFonts w:ascii="Calibri" w:hAnsi="Calibri" w:cs="Calibri"/>
                <w:b/>
                <w:color w:val="auto"/>
                <w:sz w:val="18"/>
                <w:szCs w:val="18"/>
              </w:rPr>
              <w:t>7</w:t>
            </w:r>
            <w:r w:rsidR="00346BE9" w:rsidRPr="00C55023">
              <w:rPr>
                <w:rFonts w:ascii="Calibri" w:hAnsi="Calibri" w:cs="Calibri"/>
                <w:b/>
                <w:color w:val="auto"/>
                <w:sz w:val="18"/>
                <w:szCs w:val="18"/>
              </w:rPr>
              <w:t>0</w:t>
            </w:r>
            <w:r w:rsidR="00380F65" w:rsidRPr="00C55023">
              <w:rPr>
                <w:rFonts w:ascii="Calibri" w:hAnsi="Calibri" w:cs="Calibri"/>
                <w:b/>
                <w:color w:val="auto"/>
                <w:sz w:val="18"/>
                <w:szCs w:val="18"/>
              </w:rPr>
              <w:t>6</w:t>
            </w:r>
            <w:r w:rsidR="00346BE9" w:rsidRPr="00C55023">
              <w:rPr>
                <w:rFonts w:ascii="Calibri" w:hAnsi="Calibri" w:cs="Calibri"/>
                <w:b/>
                <w:color w:val="auto"/>
                <w:sz w:val="18"/>
                <w:szCs w:val="18"/>
              </w:rPr>
              <w:t>2</w:t>
            </w:r>
            <w:r w:rsidR="00380F65" w:rsidRPr="00C55023">
              <w:rPr>
                <w:rFonts w:ascii="Calibri" w:hAnsi="Calibri" w:cs="Calibri"/>
                <w:b/>
                <w:color w:val="auto"/>
                <w:sz w:val="18"/>
                <w:szCs w:val="18"/>
              </w:rPr>
              <w:t>0</w:t>
            </w:r>
          </w:p>
        </w:tc>
      </w:tr>
      <w:tr w:rsidR="002B4E22" w:rsidRPr="00C55023" w:rsidTr="001C09D4">
        <w:trPr>
          <w:trHeight w:val="278"/>
          <w:jc w:val="center"/>
        </w:trPr>
        <w:tc>
          <w:tcPr>
            <w:tcW w:w="2880" w:type="dxa"/>
            <w:tcBorders>
              <w:bottom w:val="single" w:sz="4" w:space="0" w:color="000000" w:themeColor="text1"/>
              <w:right w:val="single" w:sz="4" w:space="0" w:color="auto"/>
            </w:tcBorders>
            <w:shd w:val="clear" w:color="auto" w:fill="D9D9D9" w:themeFill="background1" w:themeFillShade="D9"/>
            <w:vAlign w:val="center"/>
          </w:tcPr>
          <w:p w:rsidR="002B4E22" w:rsidRPr="00C55023" w:rsidRDefault="002B4E22"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C55023" w:rsidRDefault="002B4E22"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Code</w:t>
            </w:r>
          </w:p>
        </w:tc>
        <w:tc>
          <w:tcPr>
            <w:tcW w:w="792"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C55023" w:rsidRDefault="002B4E22"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C55023" w:rsidRDefault="002B4E22"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Condition</w:t>
            </w:r>
          </w:p>
        </w:tc>
        <w:tc>
          <w:tcPr>
            <w:tcW w:w="864" w:type="dxa"/>
            <w:tcBorders>
              <w:bottom w:val="single" w:sz="4" w:space="0" w:color="000000" w:themeColor="text1"/>
            </w:tcBorders>
            <w:shd w:val="clear" w:color="auto" w:fill="D9D9D9" w:themeFill="background1" w:themeFillShade="D9"/>
            <w:vAlign w:val="center"/>
          </w:tcPr>
          <w:p w:rsidR="002B4E22" w:rsidRPr="00C55023" w:rsidRDefault="002B4E22"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C55023" w:rsidRDefault="002B4E22"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C55023" w:rsidRDefault="002B4E22" w:rsidP="00BF0E94">
            <w:pPr>
              <w:contextualSpacing/>
              <w:rPr>
                <w:rFonts w:ascii="Calibri" w:hAnsi="Calibri" w:cs="Calibri"/>
                <w:b/>
                <w:color w:val="auto"/>
                <w:sz w:val="18"/>
                <w:szCs w:val="18"/>
              </w:rPr>
            </w:pPr>
            <w:r w:rsidRPr="00C55023">
              <w:rPr>
                <w:rFonts w:ascii="Calibri" w:hAnsi="Calibri" w:cs="Calibri"/>
                <w:b/>
                <w:color w:val="auto"/>
                <w:sz w:val="18"/>
                <w:szCs w:val="18"/>
              </w:rPr>
              <w:t>Exam</w:t>
            </w:r>
          </w:p>
        </w:tc>
      </w:tr>
      <w:tr w:rsidR="00C03C21" w:rsidRPr="00C55023" w:rsidTr="001C09D4">
        <w:trPr>
          <w:trHeight w:val="287"/>
          <w:jc w:val="center"/>
        </w:trPr>
        <w:tc>
          <w:tcPr>
            <w:tcW w:w="2880" w:type="dxa"/>
            <w:tcBorders>
              <w:right w:val="single" w:sz="4" w:space="0" w:color="auto"/>
            </w:tcBorders>
            <w:shd w:val="clear" w:color="auto" w:fill="FFFFFF" w:themeFill="background1"/>
            <w:vAlign w:val="center"/>
          </w:tcPr>
          <w:p w:rsidR="00BC5860" w:rsidRPr="00C55023" w:rsidRDefault="00A270B7" w:rsidP="00753B2F">
            <w:pPr>
              <w:spacing w:line="180" w:lineRule="exact"/>
              <w:contextualSpacing/>
              <w:jc w:val="left"/>
              <w:rPr>
                <w:rFonts w:ascii="Calibri" w:eastAsia="Times New Roman" w:hAnsi="Calibri" w:cs="Calibri"/>
                <w:color w:val="auto"/>
                <w:sz w:val="18"/>
                <w:szCs w:val="18"/>
              </w:rPr>
            </w:pPr>
            <w:r w:rsidRPr="00C55023">
              <w:rPr>
                <w:rFonts w:ascii="Calibri" w:hAnsi="Calibri" w:cs="Calibri"/>
                <w:color w:val="auto"/>
                <w:sz w:val="18"/>
                <w:szCs w:val="18"/>
              </w:rPr>
              <w:t xml:space="preserve">Chronic Right Ankle Pain, Status Post Multiple Ankle Injuries And Modified </w:t>
            </w:r>
            <w:proofErr w:type="spellStart"/>
            <w:r w:rsidRPr="00C55023">
              <w:rPr>
                <w:rFonts w:ascii="Calibri" w:hAnsi="Calibri" w:cs="Calibri"/>
                <w:color w:val="auto"/>
                <w:sz w:val="18"/>
                <w:szCs w:val="18"/>
              </w:rPr>
              <w:t>Brostrom</w:t>
            </w:r>
            <w:proofErr w:type="spellEnd"/>
            <w:r w:rsidRPr="00C55023">
              <w:rPr>
                <w:rFonts w:ascii="Calibri" w:hAnsi="Calibri" w:cs="Calibri"/>
                <w:color w:val="auto"/>
                <w:sz w:val="18"/>
                <w:szCs w:val="18"/>
              </w:rPr>
              <w:t xml:space="preserve"> Procedure</w:t>
            </w:r>
          </w:p>
        </w:tc>
        <w:tc>
          <w:tcPr>
            <w:tcW w:w="1080" w:type="dxa"/>
            <w:tcBorders>
              <w:left w:val="single" w:sz="4" w:space="0" w:color="auto"/>
            </w:tcBorders>
            <w:shd w:val="clear" w:color="auto" w:fill="FFFFFF" w:themeFill="background1"/>
            <w:vAlign w:val="center"/>
          </w:tcPr>
          <w:p w:rsidR="00BC5860" w:rsidRPr="00C55023" w:rsidRDefault="00A270B7"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5099-5003</w:t>
            </w:r>
          </w:p>
        </w:tc>
        <w:tc>
          <w:tcPr>
            <w:tcW w:w="792" w:type="dxa"/>
            <w:tcBorders>
              <w:right w:val="thinThickThinSmallGap" w:sz="24" w:space="0" w:color="auto"/>
            </w:tcBorders>
            <w:shd w:val="clear" w:color="auto" w:fill="FFFFFF" w:themeFill="background1"/>
            <w:vAlign w:val="center"/>
          </w:tcPr>
          <w:p w:rsidR="00BC5860" w:rsidRPr="00C55023" w:rsidRDefault="00A270B7" w:rsidP="00753B2F">
            <w:pPr>
              <w:spacing w:line="180" w:lineRule="exact"/>
              <w:rPr>
                <w:rFonts w:ascii="Calibri" w:eastAsia="Times New Roman" w:hAnsi="Calibri" w:cs="Calibri"/>
                <w:color w:val="auto"/>
                <w:sz w:val="18"/>
                <w:szCs w:val="18"/>
              </w:rPr>
            </w:pPr>
            <w:r w:rsidRPr="00C55023">
              <w:rPr>
                <w:rFonts w:ascii="Calibri" w:hAnsi="Calibri" w:cs="Calibri"/>
                <w:color w:val="auto"/>
                <w:sz w:val="18"/>
                <w:szCs w:val="18"/>
              </w:rPr>
              <w:t>10</w:t>
            </w:r>
            <w:r w:rsidR="00C03C21" w:rsidRPr="00C55023">
              <w:rPr>
                <w:rFonts w:ascii="Calibri" w:hAnsi="Calibri" w:cs="Calibri"/>
                <w:color w:val="auto"/>
                <w:sz w:val="18"/>
                <w:szCs w:val="18"/>
              </w:rPr>
              <w:t>%</w:t>
            </w:r>
          </w:p>
        </w:tc>
        <w:tc>
          <w:tcPr>
            <w:tcW w:w="2538" w:type="dxa"/>
            <w:tcBorders>
              <w:left w:val="thinThickThinSmallGap" w:sz="24" w:space="0" w:color="auto"/>
            </w:tcBorders>
            <w:shd w:val="clear" w:color="auto" w:fill="FFFFFF" w:themeFill="background1"/>
            <w:vAlign w:val="center"/>
          </w:tcPr>
          <w:p w:rsidR="00BC5860" w:rsidRPr="00C55023" w:rsidRDefault="00346BE9" w:rsidP="00753B2F">
            <w:pPr>
              <w:spacing w:line="180" w:lineRule="exact"/>
              <w:contextualSpacing/>
              <w:jc w:val="left"/>
              <w:rPr>
                <w:rFonts w:ascii="Calibri" w:eastAsia="Times New Roman" w:hAnsi="Calibri" w:cs="Calibri"/>
                <w:color w:val="auto"/>
                <w:sz w:val="18"/>
                <w:szCs w:val="18"/>
              </w:rPr>
            </w:pPr>
            <w:r w:rsidRPr="00C55023">
              <w:rPr>
                <w:rFonts w:ascii="Calibri" w:hAnsi="Calibri" w:cs="Calibri"/>
                <w:color w:val="auto"/>
                <w:sz w:val="18"/>
                <w:szCs w:val="18"/>
              </w:rPr>
              <w:t xml:space="preserve">Right Ankle Residual, Status Post Modified </w:t>
            </w:r>
            <w:proofErr w:type="spellStart"/>
            <w:r w:rsidRPr="00C55023">
              <w:rPr>
                <w:rFonts w:ascii="Calibri" w:hAnsi="Calibri" w:cs="Calibri"/>
                <w:color w:val="auto"/>
                <w:sz w:val="18"/>
                <w:szCs w:val="18"/>
              </w:rPr>
              <w:t>Brostrum</w:t>
            </w:r>
            <w:proofErr w:type="spellEnd"/>
            <w:r w:rsidRPr="00C55023">
              <w:rPr>
                <w:rFonts w:ascii="Calibri" w:hAnsi="Calibri" w:cs="Calibri"/>
                <w:color w:val="auto"/>
                <w:sz w:val="18"/>
                <w:szCs w:val="18"/>
              </w:rPr>
              <w:t xml:space="preserve"> Surgery</w:t>
            </w:r>
          </w:p>
        </w:tc>
        <w:tc>
          <w:tcPr>
            <w:tcW w:w="864" w:type="dxa"/>
            <w:shd w:val="clear" w:color="auto" w:fill="FFFFFF" w:themeFill="background1"/>
            <w:vAlign w:val="center"/>
          </w:tcPr>
          <w:p w:rsidR="00BC5860" w:rsidRPr="00C55023" w:rsidRDefault="00346BE9"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5271</w:t>
            </w:r>
          </w:p>
        </w:tc>
        <w:tc>
          <w:tcPr>
            <w:tcW w:w="828" w:type="dxa"/>
            <w:shd w:val="clear" w:color="auto" w:fill="FFFFFF" w:themeFill="background1"/>
            <w:vAlign w:val="center"/>
          </w:tcPr>
          <w:p w:rsidR="00BC5860" w:rsidRPr="00C55023" w:rsidRDefault="00346BE9"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0</w:t>
            </w:r>
            <w:r w:rsidR="00C03C21" w:rsidRPr="00C55023">
              <w:rPr>
                <w:rFonts w:ascii="Calibri" w:hAnsi="Calibri" w:cs="Calibri"/>
                <w:color w:val="auto"/>
                <w:sz w:val="18"/>
                <w:szCs w:val="18"/>
              </w:rPr>
              <w:t>%</w:t>
            </w:r>
            <w:r w:rsidR="00A97CD9" w:rsidRPr="00C55023">
              <w:rPr>
                <w:rFonts w:ascii="Calibri" w:hAnsi="Calibri" w:cs="Calibri"/>
                <w:color w:val="auto"/>
                <w:sz w:val="18"/>
                <w:szCs w:val="18"/>
              </w:rPr>
              <w:t>*</w:t>
            </w:r>
          </w:p>
        </w:tc>
        <w:tc>
          <w:tcPr>
            <w:tcW w:w="990" w:type="dxa"/>
            <w:shd w:val="clear" w:color="auto" w:fill="FFFFFF" w:themeFill="background1"/>
            <w:vAlign w:val="center"/>
          </w:tcPr>
          <w:p w:rsidR="00BC5860" w:rsidRPr="00C55023" w:rsidRDefault="00C03C21" w:rsidP="00346BE9">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200</w:t>
            </w:r>
            <w:r w:rsidR="00346BE9" w:rsidRPr="00C55023">
              <w:rPr>
                <w:rFonts w:ascii="Calibri" w:hAnsi="Calibri" w:cs="Calibri"/>
                <w:color w:val="auto"/>
                <w:sz w:val="18"/>
                <w:szCs w:val="18"/>
              </w:rPr>
              <w:t>70929</w:t>
            </w:r>
          </w:p>
        </w:tc>
      </w:tr>
      <w:tr w:rsidR="00A270B7" w:rsidRPr="00C55023" w:rsidTr="001C09D4">
        <w:trPr>
          <w:trHeight w:val="287"/>
          <w:jc w:val="center"/>
        </w:trPr>
        <w:tc>
          <w:tcPr>
            <w:tcW w:w="4752" w:type="dxa"/>
            <w:gridSpan w:val="3"/>
            <w:vMerge w:val="restart"/>
            <w:tcBorders>
              <w:right w:val="thinThickThinSmallGap" w:sz="24" w:space="0" w:color="auto"/>
            </w:tcBorders>
            <w:shd w:val="clear" w:color="auto" w:fill="FFFFFF" w:themeFill="background1"/>
            <w:vAlign w:val="center"/>
          </w:tcPr>
          <w:p w:rsidR="00A270B7" w:rsidRPr="00C55023" w:rsidRDefault="004942CC"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A270B7" w:rsidRPr="00C55023" w:rsidRDefault="00346BE9" w:rsidP="00753B2F">
            <w:pPr>
              <w:spacing w:line="180" w:lineRule="exact"/>
              <w:contextualSpacing/>
              <w:jc w:val="left"/>
              <w:rPr>
                <w:rFonts w:ascii="Calibri" w:eastAsia="Times New Roman" w:hAnsi="Calibri" w:cs="Calibri"/>
                <w:color w:val="auto"/>
                <w:sz w:val="18"/>
                <w:szCs w:val="18"/>
              </w:rPr>
            </w:pPr>
            <w:r w:rsidRPr="00C55023">
              <w:rPr>
                <w:rFonts w:ascii="Calibri" w:hAnsi="Calibri" w:cs="Calibri"/>
                <w:color w:val="auto"/>
                <w:sz w:val="18"/>
                <w:szCs w:val="18"/>
              </w:rPr>
              <w:t>Mechanical Low Back Strain</w:t>
            </w:r>
          </w:p>
        </w:tc>
        <w:tc>
          <w:tcPr>
            <w:tcW w:w="864" w:type="dxa"/>
            <w:tcBorders>
              <w:left w:val="single" w:sz="4" w:space="0" w:color="auto"/>
            </w:tcBorders>
            <w:shd w:val="clear" w:color="auto" w:fill="FFFFFF" w:themeFill="background1"/>
            <w:vAlign w:val="center"/>
          </w:tcPr>
          <w:p w:rsidR="00A270B7" w:rsidRPr="00C55023" w:rsidRDefault="00346BE9"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5237</w:t>
            </w:r>
          </w:p>
        </w:tc>
        <w:tc>
          <w:tcPr>
            <w:tcW w:w="828" w:type="dxa"/>
            <w:shd w:val="clear" w:color="auto" w:fill="FFFFFF" w:themeFill="background1"/>
            <w:vAlign w:val="center"/>
          </w:tcPr>
          <w:p w:rsidR="00A270B7" w:rsidRPr="00C55023" w:rsidRDefault="00AA3DF3"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20</w:t>
            </w:r>
            <w:r w:rsidR="00A270B7" w:rsidRPr="00C55023">
              <w:rPr>
                <w:rFonts w:ascii="Calibri" w:hAnsi="Calibri" w:cs="Calibri"/>
                <w:color w:val="auto"/>
                <w:sz w:val="18"/>
                <w:szCs w:val="18"/>
              </w:rPr>
              <w:t>%</w:t>
            </w:r>
          </w:p>
        </w:tc>
        <w:tc>
          <w:tcPr>
            <w:tcW w:w="990" w:type="dxa"/>
            <w:shd w:val="clear" w:color="auto" w:fill="FFFFFF" w:themeFill="background1"/>
            <w:vAlign w:val="center"/>
          </w:tcPr>
          <w:p w:rsidR="00A270B7" w:rsidRPr="00C55023" w:rsidRDefault="00A270B7" w:rsidP="00AA3DF3">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200</w:t>
            </w:r>
            <w:r w:rsidR="00AA3DF3" w:rsidRPr="00C55023">
              <w:rPr>
                <w:rFonts w:ascii="Calibri" w:hAnsi="Calibri" w:cs="Calibri"/>
                <w:color w:val="auto"/>
                <w:sz w:val="18"/>
                <w:szCs w:val="18"/>
              </w:rPr>
              <w:t>70929</w:t>
            </w:r>
          </w:p>
        </w:tc>
      </w:tr>
      <w:tr w:rsidR="00A270B7" w:rsidRPr="00C55023" w:rsidTr="001C09D4">
        <w:trPr>
          <w:trHeight w:val="287"/>
          <w:jc w:val="center"/>
        </w:trPr>
        <w:tc>
          <w:tcPr>
            <w:tcW w:w="4752" w:type="dxa"/>
            <w:gridSpan w:val="3"/>
            <w:vMerge/>
            <w:tcBorders>
              <w:right w:val="thinThickThinSmallGap" w:sz="24" w:space="0" w:color="auto"/>
            </w:tcBorders>
            <w:shd w:val="clear" w:color="auto" w:fill="FFFFFF" w:themeFill="background1"/>
            <w:vAlign w:val="center"/>
          </w:tcPr>
          <w:p w:rsidR="00A270B7" w:rsidRPr="00C55023" w:rsidRDefault="00A270B7" w:rsidP="00753B2F">
            <w:pPr>
              <w:spacing w:line="180" w:lineRule="exact"/>
              <w:contextualSpacing/>
              <w:rPr>
                <w:rFonts w:ascii="Calibri" w:eastAsia="Times New Roman" w:hAnsi="Calibri" w:cs="Calibr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A270B7" w:rsidRPr="00C55023" w:rsidRDefault="00AA3DF3" w:rsidP="00753B2F">
            <w:pPr>
              <w:spacing w:line="180" w:lineRule="exact"/>
              <w:contextualSpacing/>
              <w:jc w:val="left"/>
              <w:rPr>
                <w:rFonts w:ascii="Calibri" w:eastAsia="Times New Roman" w:hAnsi="Calibri" w:cs="Calibri"/>
                <w:color w:val="auto"/>
                <w:sz w:val="18"/>
                <w:szCs w:val="18"/>
              </w:rPr>
            </w:pPr>
            <w:r w:rsidRPr="00C55023">
              <w:rPr>
                <w:rFonts w:ascii="Calibri" w:eastAsia="Times New Roman" w:hAnsi="Calibri" w:cs="Calibri"/>
                <w:color w:val="auto"/>
                <w:sz w:val="18"/>
                <w:szCs w:val="18"/>
              </w:rPr>
              <w:t>Tinnitus</w:t>
            </w:r>
          </w:p>
        </w:tc>
        <w:tc>
          <w:tcPr>
            <w:tcW w:w="864" w:type="dxa"/>
            <w:tcBorders>
              <w:left w:val="single" w:sz="4" w:space="0" w:color="auto"/>
            </w:tcBorders>
            <w:shd w:val="clear" w:color="auto" w:fill="FFFFFF" w:themeFill="background1"/>
            <w:vAlign w:val="center"/>
          </w:tcPr>
          <w:p w:rsidR="00A270B7" w:rsidRPr="00C55023" w:rsidRDefault="00AA3DF3" w:rsidP="00753B2F">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6260</w:t>
            </w:r>
          </w:p>
        </w:tc>
        <w:tc>
          <w:tcPr>
            <w:tcW w:w="828" w:type="dxa"/>
            <w:shd w:val="clear" w:color="auto" w:fill="FFFFFF" w:themeFill="background1"/>
            <w:vAlign w:val="center"/>
          </w:tcPr>
          <w:p w:rsidR="00A270B7" w:rsidRPr="00C55023" w:rsidRDefault="00AA3DF3" w:rsidP="00753B2F">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10%</w:t>
            </w:r>
          </w:p>
        </w:tc>
        <w:tc>
          <w:tcPr>
            <w:tcW w:w="990" w:type="dxa"/>
            <w:shd w:val="clear" w:color="auto" w:fill="FFFFFF" w:themeFill="background1"/>
            <w:vAlign w:val="center"/>
          </w:tcPr>
          <w:p w:rsidR="00A270B7" w:rsidRPr="00C55023" w:rsidRDefault="00C41E4C" w:rsidP="00C41E4C">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20070929</w:t>
            </w:r>
          </w:p>
        </w:tc>
      </w:tr>
      <w:tr w:rsidR="00A270B7" w:rsidRPr="00C55023" w:rsidTr="001C09D4">
        <w:trPr>
          <w:trHeight w:val="287"/>
          <w:jc w:val="center"/>
        </w:trPr>
        <w:tc>
          <w:tcPr>
            <w:tcW w:w="4752" w:type="dxa"/>
            <w:gridSpan w:val="3"/>
            <w:vMerge/>
            <w:tcBorders>
              <w:right w:val="thinThickThinSmallGap" w:sz="24" w:space="0" w:color="auto"/>
            </w:tcBorders>
            <w:shd w:val="clear" w:color="auto" w:fill="FFFFFF" w:themeFill="background1"/>
            <w:vAlign w:val="center"/>
          </w:tcPr>
          <w:p w:rsidR="00A270B7" w:rsidRPr="00C55023" w:rsidRDefault="00A270B7" w:rsidP="00753B2F">
            <w:pPr>
              <w:spacing w:line="180" w:lineRule="exact"/>
              <w:contextualSpacing/>
              <w:rPr>
                <w:rFonts w:ascii="Calibri" w:eastAsia="Times New Roman" w:hAnsi="Calibri" w:cs="Calibri"/>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A270B7" w:rsidRPr="00C55023" w:rsidRDefault="004942CC" w:rsidP="00753B2F">
            <w:pPr>
              <w:spacing w:line="180" w:lineRule="exact"/>
              <w:contextualSpacing/>
              <w:jc w:val="left"/>
              <w:rPr>
                <w:rFonts w:ascii="Calibri" w:eastAsia="Times New Roman" w:hAnsi="Calibri" w:cs="Calibri"/>
                <w:color w:val="auto"/>
                <w:sz w:val="18"/>
                <w:szCs w:val="18"/>
              </w:rPr>
            </w:pPr>
            <w:r w:rsidRPr="00C55023">
              <w:rPr>
                <w:rFonts w:ascii="Calibri" w:eastAsia="Times New Roman" w:hAnsi="Calibri" w:cs="Calibri"/>
                <w:color w:val="auto"/>
                <w:sz w:val="18"/>
                <w:szCs w:val="18"/>
              </w:rPr>
              <w:t>Post-Traumatic Stress Disorder</w:t>
            </w:r>
          </w:p>
        </w:tc>
        <w:tc>
          <w:tcPr>
            <w:tcW w:w="864" w:type="dxa"/>
            <w:tcBorders>
              <w:left w:val="single" w:sz="4" w:space="0" w:color="auto"/>
            </w:tcBorders>
            <w:shd w:val="clear" w:color="auto" w:fill="FFFFFF" w:themeFill="background1"/>
            <w:vAlign w:val="center"/>
          </w:tcPr>
          <w:p w:rsidR="00A270B7" w:rsidRPr="00C55023" w:rsidRDefault="004942CC" w:rsidP="00753B2F">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9411</w:t>
            </w:r>
          </w:p>
        </w:tc>
        <w:tc>
          <w:tcPr>
            <w:tcW w:w="828" w:type="dxa"/>
            <w:shd w:val="clear" w:color="auto" w:fill="FFFFFF" w:themeFill="background1"/>
            <w:vAlign w:val="center"/>
          </w:tcPr>
          <w:p w:rsidR="00A270B7" w:rsidRPr="00C55023" w:rsidRDefault="004942CC" w:rsidP="00753B2F">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70%</w:t>
            </w:r>
          </w:p>
        </w:tc>
        <w:tc>
          <w:tcPr>
            <w:tcW w:w="990" w:type="dxa"/>
            <w:shd w:val="clear" w:color="auto" w:fill="FFFFFF" w:themeFill="background1"/>
            <w:vAlign w:val="center"/>
          </w:tcPr>
          <w:p w:rsidR="00A270B7" w:rsidRPr="00C55023" w:rsidRDefault="004942CC">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20070927</w:t>
            </w:r>
          </w:p>
        </w:tc>
      </w:tr>
      <w:tr w:rsidR="00A270B7" w:rsidRPr="00C55023" w:rsidTr="001C09D4">
        <w:trPr>
          <w:trHeight w:val="260"/>
          <w:jc w:val="center"/>
        </w:trPr>
        <w:tc>
          <w:tcPr>
            <w:tcW w:w="4752" w:type="dxa"/>
            <w:gridSpan w:val="3"/>
            <w:vMerge/>
            <w:tcBorders>
              <w:right w:val="thinThickThinSmallGap" w:sz="24" w:space="0" w:color="auto"/>
            </w:tcBorders>
            <w:shd w:val="clear" w:color="auto" w:fill="FFFFFF" w:themeFill="background1"/>
          </w:tcPr>
          <w:p w:rsidR="00A270B7" w:rsidRPr="00C55023" w:rsidRDefault="00A270B7" w:rsidP="00753B2F">
            <w:pPr>
              <w:spacing w:line="180" w:lineRule="exact"/>
              <w:contextualSpacing/>
              <w:rPr>
                <w:rFonts w:ascii="Calibri" w:eastAsia="Times New Roman" w:hAnsi="Calibri" w:cs="Calibri"/>
                <w:color w:val="auto"/>
                <w:sz w:val="18"/>
                <w:szCs w:val="18"/>
              </w:rPr>
            </w:pPr>
          </w:p>
        </w:tc>
        <w:tc>
          <w:tcPr>
            <w:tcW w:w="4230" w:type="dxa"/>
            <w:gridSpan w:val="3"/>
            <w:tcBorders>
              <w:left w:val="thinThickThinSmallGap" w:sz="24" w:space="0" w:color="auto"/>
            </w:tcBorders>
            <w:shd w:val="clear" w:color="auto" w:fill="FFFFFF" w:themeFill="background1"/>
            <w:vAlign w:val="center"/>
          </w:tcPr>
          <w:p w:rsidR="00A270B7" w:rsidRPr="00C55023" w:rsidRDefault="00A270B7" w:rsidP="00753B2F">
            <w:pPr>
              <w:spacing w:line="180" w:lineRule="exact"/>
              <w:contextualSpacing/>
              <w:rPr>
                <w:rFonts w:ascii="Calibri" w:eastAsia="Times New Roman" w:hAnsi="Calibri" w:cs="Calibri"/>
                <w:color w:val="auto"/>
                <w:sz w:val="18"/>
                <w:szCs w:val="18"/>
              </w:rPr>
            </w:pPr>
            <w:r w:rsidRPr="00C55023">
              <w:rPr>
                <w:rFonts w:ascii="Calibri" w:hAnsi="Calibri" w:cs="Calibri"/>
                <w:color w:val="auto"/>
                <w:sz w:val="18"/>
                <w:szCs w:val="18"/>
              </w:rPr>
              <w:t xml:space="preserve">0% x </w:t>
            </w:r>
            <w:r w:rsidR="004942CC" w:rsidRPr="00C55023">
              <w:rPr>
                <w:rFonts w:ascii="Calibri" w:hAnsi="Calibri" w:cs="Calibri"/>
                <w:color w:val="auto"/>
                <w:sz w:val="18"/>
                <w:szCs w:val="18"/>
              </w:rPr>
              <w:t>1</w:t>
            </w:r>
            <w:r w:rsidRPr="00C55023">
              <w:rPr>
                <w:rFonts w:ascii="Calibri" w:hAnsi="Calibri" w:cs="Calibri"/>
                <w:color w:val="auto"/>
                <w:sz w:val="18"/>
                <w:szCs w:val="18"/>
              </w:rPr>
              <w:t xml:space="preserve">/Not Service Connected x </w:t>
            </w:r>
            <w:r w:rsidR="004942CC" w:rsidRPr="00C55023">
              <w:rPr>
                <w:rFonts w:ascii="Calibri" w:hAnsi="Calibri" w:cs="Calibri"/>
                <w:color w:val="auto"/>
                <w:sz w:val="18"/>
                <w:szCs w:val="18"/>
              </w:rPr>
              <w:t>4</w:t>
            </w:r>
          </w:p>
        </w:tc>
        <w:tc>
          <w:tcPr>
            <w:tcW w:w="990" w:type="dxa"/>
            <w:shd w:val="clear" w:color="auto" w:fill="FFFFFF" w:themeFill="background1"/>
            <w:vAlign w:val="center"/>
          </w:tcPr>
          <w:p w:rsidR="00A270B7" w:rsidRPr="00C55023" w:rsidRDefault="004942CC">
            <w:pPr>
              <w:spacing w:line="180" w:lineRule="exact"/>
              <w:contextualSpacing/>
              <w:rPr>
                <w:rFonts w:ascii="Calibri" w:eastAsia="Times New Roman" w:hAnsi="Calibri" w:cs="Calibri"/>
                <w:color w:val="auto"/>
                <w:sz w:val="18"/>
                <w:szCs w:val="18"/>
              </w:rPr>
            </w:pPr>
            <w:r w:rsidRPr="00C55023">
              <w:rPr>
                <w:rFonts w:ascii="Calibri" w:eastAsia="Times New Roman" w:hAnsi="Calibri" w:cs="Calibri"/>
                <w:color w:val="auto"/>
                <w:sz w:val="18"/>
                <w:szCs w:val="18"/>
              </w:rPr>
              <w:t>20070929</w:t>
            </w:r>
          </w:p>
        </w:tc>
      </w:tr>
      <w:tr w:rsidR="007A65A9" w:rsidRPr="00C55023" w:rsidTr="001C09D4">
        <w:trPr>
          <w:trHeight w:val="242"/>
          <w:jc w:val="center"/>
        </w:trPr>
        <w:tc>
          <w:tcPr>
            <w:tcW w:w="4752" w:type="dxa"/>
            <w:gridSpan w:val="3"/>
            <w:tcBorders>
              <w:right w:val="thinThickThinSmallGap" w:sz="24" w:space="0" w:color="auto"/>
            </w:tcBorders>
            <w:shd w:val="clear" w:color="auto" w:fill="D9D9D9" w:themeFill="background1" w:themeFillShade="D9"/>
            <w:vAlign w:val="center"/>
          </w:tcPr>
          <w:p w:rsidR="007A65A9" w:rsidRPr="00C55023" w:rsidRDefault="007A65A9"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 xml:space="preserve">Combined: </w:t>
            </w:r>
            <w:r w:rsidR="006458FD" w:rsidRPr="00C55023">
              <w:rPr>
                <w:rFonts w:ascii="Calibri" w:hAnsi="Calibri" w:cs="Calibri"/>
                <w:b/>
                <w:color w:val="auto"/>
                <w:sz w:val="18"/>
                <w:szCs w:val="18"/>
              </w:rPr>
              <w:t xml:space="preserve"> </w:t>
            </w:r>
            <w:r w:rsidR="00A270B7" w:rsidRPr="00C55023">
              <w:rPr>
                <w:rFonts w:ascii="Calibri" w:hAnsi="Calibri" w:cs="Calibri"/>
                <w:b/>
                <w:color w:val="auto"/>
                <w:sz w:val="18"/>
                <w:szCs w:val="18"/>
              </w:rPr>
              <w:t>10</w:t>
            </w:r>
            <w:r w:rsidRPr="00C55023">
              <w:rPr>
                <w:rFonts w:ascii="Calibri" w:hAnsi="Calibri" w:cs="Calibri"/>
                <w:b/>
                <w:color w:val="auto"/>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C55023" w:rsidRDefault="007A65A9" w:rsidP="00753B2F">
            <w:pPr>
              <w:spacing w:line="180" w:lineRule="exact"/>
              <w:contextualSpacing/>
              <w:rPr>
                <w:rFonts w:ascii="Calibri" w:hAnsi="Calibri" w:cs="Calibri"/>
                <w:b/>
                <w:color w:val="auto"/>
                <w:sz w:val="18"/>
                <w:szCs w:val="18"/>
              </w:rPr>
            </w:pPr>
            <w:r w:rsidRPr="00C55023">
              <w:rPr>
                <w:rFonts w:ascii="Calibri" w:hAnsi="Calibri" w:cs="Calibri"/>
                <w:b/>
                <w:color w:val="auto"/>
                <w:sz w:val="18"/>
                <w:szCs w:val="18"/>
              </w:rPr>
              <w:t xml:space="preserve">Combined:  </w:t>
            </w:r>
            <w:r w:rsidR="004942CC" w:rsidRPr="00C55023">
              <w:rPr>
                <w:rFonts w:ascii="Calibri" w:hAnsi="Calibri" w:cs="Calibri"/>
                <w:b/>
                <w:color w:val="auto"/>
                <w:sz w:val="18"/>
                <w:szCs w:val="18"/>
              </w:rPr>
              <w:t>80</w:t>
            </w:r>
            <w:r w:rsidRPr="00C55023">
              <w:rPr>
                <w:rFonts w:ascii="Calibri" w:hAnsi="Calibri" w:cs="Calibri"/>
                <w:b/>
                <w:color w:val="auto"/>
                <w:sz w:val="18"/>
                <w:szCs w:val="18"/>
              </w:rPr>
              <w:t>%</w:t>
            </w:r>
          </w:p>
        </w:tc>
      </w:tr>
    </w:tbl>
    <w:p w:rsidR="004E0172" w:rsidRPr="002D0A1C" w:rsidRDefault="004E0172" w:rsidP="00753B2F">
      <w:pPr>
        <w:pBdr>
          <w:bottom w:val="single" w:sz="12" w:space="1" w:color="auto"/>
        </w:pBdr>
        <w:tabs>
          <w:tab w:val="left" w:pos="288"/>
          <w:tab w:val="left" w:pos="4752"/>
        </w:tabs>
        <w:spacing w:line="200" w:lineRule="exact"/>
        <w:jc w:val="both"/>
        <w:rPr>
          <w:color w:val="auto"/>
          <w:sz w:val="20"/>
        </w:rPr>
      </w:pPr>
      <w:r w:rsidRPr="00C55023">
        <w:rPr>
          <w:color w:val="auto"/>
          <w:sz w:val="20"/>
        </w:rPr>
        <w:t>* VA rating based on exam most proximate to date of permanent separation</w:t>
      </w:r>
    </w:p>
    <w:p w:rsidR="00A270B7" w:rsidRPr="002D0A1C" w:rsidRDefault="00A270B7" w:rsidP="004E0172">
      <w:pPr>
        <w:pBdr>
          <w:bottom w:val="single" w:sz="12" w:space="1" w:color="auto"/>
        </w:pBdr>
        <w:tabs>
          <w:tab w:val="left" w:pos="288"/>
          <w:tab w:val="left" w:pos="4752"/>
        </w:tabs>
        <w:jc w:val="both"/>
        <w:rPr>
          <w:color w:val="auto"/>
          <w:szCs w:val="18"/>
        </w:rPr>
      </w:pPr>
    </w:p>
    <w:p w:rsidR="00A270B7" w:rsidRDefault="00A270B7" w:rsidP="009369A6">
      <w:pPr>
        <w:jc w:val="left"/>
        <w:rPr>
          <w:color w:val="000000" w:themeColor="text1"/>
          <w:szCs w:val="24"/>
          <w:u w:val="single"/>
        </w:rPr>
      </w:pPr>
    </w:p>
    <w:p w:rsidR="002D1140" w:rsidRDefault="002C6E5B" w:rsidP="009C517C">
      <w:pPr>
        <w:jc w:val="both"/>
        <w:rPr>
          <w:color w:val="000000" w:themeColor="text1"/>
          <w:szCs w:val="24"/>
        </w:rPr>
      </w:pPr>
      <w:r w:rsidRPr="009C517C">
        <w:rPr>
          <w:color w:val="auto"/>
          <w:szCs w:val="24"/>
          <w:u w:val="single"/>
        </w:rPr>
        <w:t>ANALYSIS SUMMARY</w:t>
      </w:r>
      <w:r w:rsidRPr="009C517C">
        <w:rPr>
          <w:color w:val="auto"/>
          <w:szCs w:val="24"/>
        </w:rPr>
        <w:t>:</w:t>
      </w:r>
      <w:r w:rsidR="009C517C" w:rsidRPr="009C517C">
        <w:rPr>
          <w:color w:val="auto"/>
          <w:szCs w:val="24"/>
        </w:rPr>
        <w:t xml:space="preserve">  </w:t>
      </w:r>
      <w:r w:rsidR="009C517C" w:rsidRPr="009C517C">
        <w:rPr>
          <w:color w:val="auto"/>
          <w:sz w:val="23"/>
          <w:szCs w:val="23"/>
        </w:rPr>
        <w:t>T</w:t>
      </w:r>
      <w:r w:rsidR="009C517C" w:rsidRPr="00753B2F">
        <w:rPr>
          <w:color w:val="000000" w:themeColor="text1"/>
          <w:szCs w:val="24"/>
        </w:rPr>
        <w:t>he Board acknowledges the CI’s assertions that the rating to be incorrect due to him not being screened upon returning from Afghanistan for mental health issues sustained in combat.</w:t>
      </w:r>
      <w:r w:rsidR="00753B2F">
        <w:rPr>
          <w:color w:val="000000" w:themeColor="text1"/>
          <w:szCs w:val="24"/>
        </w:rPr>
        <w:t xml:space="preserve"> </w:t>
      </w:r>
      <w:r w:rsidR="009C517C" w:rsidRPr="00753B2F">
        <w:rPr>
          <w:color w:val="000000" w:themeColor="text1"/>
          <w:szCs w:val="24"/>
        </w:rPr>
        <w:t xml:space="preserve"> It is noted for the record that the Board has neither the jurisdiction nor authority to scrutinize or render opinions in reference to the CI’s statements in the application regarding suspected Service improprieties in the processing of his case. </w:t>
      </w:r>
      <w:r w:rsidR="00753B2F">
        <w:rPr>
          <w:color w:val="000000" w:themeColor="text1"/>
          <w:szCs w:val="24"/>
        </w:rPr>
        <w:t xml:space="preserve"> </w:t>
      </w:r>
    </w:p>
    <w:p w:rsidR="004E333A" w:rsidRDefault="004E333A" w:rsidP="009C517C">
      <w:pPr>
        <w:jc w:val="both"/>
        <w:rPr>
          <w:color w:val="000000" w:themeColor="text1"/>
          <w:szCs w:val="24"/>
        </w:rPr>
      </w:pPr>
    </w:p>
    <w:p w:rsidR="002D1140" w:rsidRDefault="009C517C" w:rsidP="002D1140">
      <w:pPr>
        <w:jc w:val="both"/>
        <w:rPr>
          <w:color w:val="000000" w:themeColor="text1"/>
          <w:szCs w:val="24"/>
        </w:rPr>
      </w:pPr>
      <w:r w:rsidRPr="00753B2F">
        <w:rPr>
          <w:color w:val="000000" w:themeColor="text1"/>
          <w:szCs w:val="24"/>
        </w:rPr>
        <w:lastRenderedPageBreak/>
        <w:t>The Board’s role is confined to the review of medical records and all evidence at hand to assess the fairness of PEB rating determinations, compared to VASRD standards, based on severity at the time of separation.</w:t>
      </w:r>
      <w:r w:rsidR="00753B2F">
        <w:rPr>
          <w:color w:val="000000" w:themeColor="text1"/>
          <w:szCs w:val="24"/>
        </w:rPr>
        <w:t xml:space="preserve"> </w:t>
      </w:r>
      <w:r w:rsidRPr="00753B2F">
        <w:rPr>
          <w:color w:val="000000" w:themeColor="text1"/>
          <w:szCs w:val="24"/>
        </w:rPr>
        <w:t xml:space="preserve"> It must also judge the fairness of PEB fitness adjudications based on the fitness consequences of conditions as they existed at the time of separation.</w:t>
      </w:r>
      <w:r w:rsidR="004E333A">
        <w:rPr>
          <w:color w:val="000000" w:themeColor="text1"/>
          <w:szCs w:val="24"/>
        </w:rPr>
        <w:t xml:space="preserve">  </w:t>
      </w:r>
      <w:r w:rsidR="002D1140" w:rsidRPr="002D1140">
        <w:rPr>
          <w:color w:val="000000" w:themeColor="text1"/>
          <w:szCs w:val="24"/>
        </w:rPr>
        <w:t xml:space="preserve">It is a fact, however, that the DES has neither the role nor the authority to compensate </w:t>
      </w:r>
      <w:r w:rsidR="006D583E">
        <w:rPr>
          <w:color w:val="000000" w:themeColor="text1"/>
          <w:szCs w:val="24"/>
        </w:rPr>
        <w:t>S</w:t>
      </w:r>
      <w:r w:rsidR="002D1140" w:rsidRPr="002D1140">
        <w:rPr>
          <w:color w:val="000000" w:themeColor="text1"/>
          <w:szCs w:val="24"/>
        </w:rPr>
        <w:t xml:space="preserve">ervice members for anticipated future severity or potential complications of conditions </w:t>
      </w:r>
      <w:r w:rsidR="004E333A">
        <w:rPr>
          <w:color w:val="000000" w:themeColor="text1"/>
          <w:szCs w:val="24"/>
        </w:rPr>
        <w:t xml:space="preserve">not </w:t>
      </w:r>
      <w:r w:rsidR="002D1140" w:rsidRPr="002D1140">
        <w:rPr>
          <w:color w:val="000000" w:themeColor="text1"/>
          <w:szCs w:val="24"/>
        </w:rPr>
        <w:t xml:space="preserve">resulting in medical separation. </w:t>
      </w:r>
      <w:r w:rsidR="004E333A">
        <w:rPr>
          <w:color w:val="000000" w:themeColor="text1"/>
          <w:szCs w:val="24"/>
        </w:rPr>
        <w:t xml:space="preserve"> </w:t>
      </w:r>
      <w:r w:rsidR="002D1140" w:rsidRPr="002D1140">
        <w:rPr>
          <w:color w:val="000000" w:themeColor="text1"/>
          <w:szCs w:val="24"/>
        </w:rPr>
        <w:t>This role and authority is granted by Congress to the Department of Veteran</w:t>
      </w:r>
      <w:r w:rsidR="006D583E">
        <w:rPr>
          <w:color w:val="000000" w:themeColor="text1"/>
          <w:szCs w:val="24"/>
        </w:rPr>
        <w:t>s’</w:t>
      </w:r>
      <w:r w:rsidR="002D1140" w:rsidRPr="002D1140">
        <w:rPr>
          <w:color w:val="000000" w:themeColor="text1"/>
          <w:szCs w:val="24"/>
        </w:rPr>
        <w:t xml:space="preserve"> Affairs (DVA). </w:t>
      </w:r>
      <w:r w:rsidR="004E333A">
        <w:rPr>
          <w:color w:val="000000" w:themeColor="text1"/>
          <w:szCs w:val="24"/>
        </w:rPr>
        <w:t xml:space="preserve"> </w:t>
      </w:r>
      <w:r w:rsidR="002D1140" w:rsidRPr="002D1140">
        <w:rPr>
          <w:color w:val="000000" w:themeColor="text1"/>
          <w:szCs w:val="24"/>
        </w:rPr>
        <w:t xml:space="preserve">The DVA, operating under a different set of laws (Title 38, United States Code), is empowered to compensate service connected conditions and to periodically re-evaluate said conditions for the purpose of adjusting the </w:t>
      </w:r>
      <w:r w:rsidR="006D583E">
        <w:rPr>
          <w:color w:val="000000" w:themeColor="text1"/>
          <w:szCs w:val="24"/>
        </w:rPr>
        <w:t>V</w:t>
      </w:r>
      <w:r w:rsidR="002D1140" w:rsidRPr="002D1140">
        <w:rPr>
          <w:color w:val="000000" w:themeColor="text1"/>
          <w:szCs w:val="24"/>
        </w:rPr>
        <w:t xml:space="preserve">eteran’s disability rating should </w:t>
      </w:r>
      <w:r w:rsidR="00CA0942">
        <w:rPr>
          <w:color w:val="000000" w:themeColor="text1"/>
          <w:szCs w:val="24"/>
        </w:rPr>
        <w:t>the</w:t>
      </w:r>
      <w:r w:rsidR="002D1140" w:rsidRPr="002D1140">
        <w:rPr>
          <w:color w:val="000000" w:themeColor="text1"/>
          <w:szCs w:val="24"/>
        </w:rPr>
        <w:t xml:space="preserve"> degree of impairment vary over time.</w:t>
      </w:r>
      <w:r w:rsidR="004E333A">
        <w:rPr>
          <w:color w:val="000000" w:themeColor="text1"/>
          <w:szCs w:val="24"/>
        </w:rPr>
        <w:t xml:space="preserve"> </w:t>
      </w:r>
      <w:r w:rsidR="002D1140" w:rsidRPr="002D1140">
        <w:rPr>
          <w:color w:val="000000" w:themeColor="text1"/>
          <w:szCs w:val="24"/>
        </w:rPr>
        <w:t xml:space="preserve"> The Board utilizes VA evidence proximal to separation in arriving at its recommendations; and, DoDI 6040.44 defines a 12 month interval for special consideration to post-separation evidence. The Board’s autho</w:t>
      </w:r>
      <w:r w:rsidR="006D583E">
        <w:rPr>
          <w:color w:val="000000" w:themeColor="text1"/>
          <w:szCs w:val="24"/>
        </w:rPr>
        <w:t xml:space="preserve">rity as defined in </w:t>
      </w:r>
      <w:proofErr w:type="spellStart"/>
      <w:r w:rsidR="006D583E">
        <w:rPr>
          <w:color w:val="000000" w:themeColor="text1"/>
          <w:szCs w:val="24"/>
        </w:rPr>
        <w:t>DoDI</w:t>
      </w:r>
      <w:proofErr w:type="spellEnd"/>
      <w:r w:rsidR="006D583E">
        <w:rPr>
          <w:color w:val="000000" w:themeColor="text1"/>
          <w:szCs w:val="24"/>
        </w:rPr>
        <w:t xml:space="preserve"> 6044.40;</w:t>
      </w:r>
      <w:r w:rsidR="002D1140" w:rsidRPr="002D1140">
        <w:rPr>
          <w:color w:val="000000" w:themeColor="text1"/>
          <w:szCs w:val="24"/>
        </w:rPr>
        <w:t xml:space="preserve"> however, resides in evaluating the fairness of DES fitness determinations and rating decisions for disability at the time of separation. </w:t>
      </w:r>
      <w:r w:rsidR="004E333A">
        <w:rPr>
          <w:color w:val="000000" w:themeColor="text1"/>
          <w:szCs w:val="24"/>
        </w:rPr>
        <w:t xml:space="preserve"> </w:t>
      </w:r>
      <w:r w:rsidR="002D1140" w:rsidRPr="002D1140">
        <w:rPr>
          <w:color w:val="000000" w:themeColor="text1"/>
          <w:szCs w:val="24"/>
        </w:rPr>
        <w:t>Post-separation evidence therefore is probative only to the extent that it reasonably reflects the disability and fitness implications at the time of separation.</w:t>
      </w:r>
    </w:p>
    <w:p w:rsidR="004C60A3" w:rsidRPr="001F29F9" w:rsidRDefault="004C60A3" w:rsidP="00BF0E94">
      <w:pPr>
        <w:jc w:val="left"/>
        <w:rPr>
          <w:color w:val="000000" w:themeColor="text1"/>
          <w:szCs w:val="24"/>
        </w:rPr>
      </w:pPr>
    </w:p>
    <w:p w:rsidR="00615A66" w:rsidRDefault="003F2EEE" w:rsidP="00647EEB">
      <w:pPr>
        <w:jc w:val="both"/>
        <w:rPr>
          <w:color w:val="000000" w:themeColor="text1"/>
          <w:szCs w:val="24"/>
        </w:rPr>
      </w:pPr>
      <w:proofErr w:type="gramStart"/>
      <w:r w:rsidRPr="00647EEB">
        <w:rPr>
          <w:color w:val="000000" w:themeColor="text1"/>
          <w:szCs w:val="24"/>
          <w:u w:val="single"/>
        </w:rPr>
        <w:t xml:space="preserve">Right </w:t>
      </w:r>
      <w:r w:rsidR="004E0172" w:rsidRPr="00647EEB">
        <w:rPr>
          <w:color w:val="000000" w:themeColor="text1"/>
          <w:szCs w:val="24"/>
          <w:u w:val="single"/>
        </w:rPr>
        <w:t>Ankle</w:t>
      </w:r>
      <w:r w:rsidR="0080588E" w:rsidRPr="00647EEB">
        <w:rPr>
          <w:color w:val="000000" w:themeColor="text1"/>
          <w:szCs w:val="24"/>
          <w:u w:val="single"/>
        </w:rPr>
        <w:t xml:space="preserve"> </w:t>
      </w:r>
      <w:r w:rsidRPr="00647EEB">
        <w:rPr>
          <w:color w:val="000000" w:themeColor="text1"/>
          <w:szCs w:val="24"/>
          <w:u w:val="single"/>
        </w:rPr>
        <w:t>Condition</w:t>
      </w:r>
      <w:r w:rsidRPr="00647EEB">
        <w:rPr>
          <w:color w:val="000000" w:themeColor="text1"/>
          <w:szCs w:val="24"/>
        </w:rPr>
        <w:t>.</w:t>
      </w:r>
      <w:proofErr w:type="gramEnd"/>
      <w:r w:rsidRPr="00647EEB">
        <w:rPr>
          <w:color w:val="000000" w:themeColor="text1"/>
          <w:szCs w:val="24"/>
        </w:rPr>
        <w:t xml:space="preserve">  </w:t>
      </w:r>
      <w:r w:rsidR="00A57C35" w:rsidRPr="00647EEB">
        <w:rPr>
          <w:color w:val="000000" w:themeColor="text1"/>
          <w:szCs w:val="24"/>
        </w:rPr>
        <w:t xml:space="preserve">There were </w:t>
      </w:r>
      <w:r w:rsidR="001C09D4">
        <w:rPr>
          <w:color w:val="000000" w:themeColor="text1"/>
          <w:szCs w:val="24"/>
        </w:rPr>
        <w:t>two</w:t>
      </w:r>
      <w:r w:rsidR="00A57C35" w:rsidRPr="00647EEB">
        <w:rPr>
          <w:color w:val="000000" w:themeColor="text1"/>
          <w:szCs w:val="24"/>
        </w:rPr>
        <w:t xml:space="preserve"> goniometric range</w:t>
      </w:r>
      <w:r w:rsidR="006D583E">
        <w:rPr>
          <w:color w:val="000000" w:themeColor="text1"/>
          <w:szCs w:val="24"/>
        </w:rPr>
        <w:t>-</w:t>
      </w:r>
      <w:r w:rsidR="00A57C35" w:rsidRPr="00647EEB">
        <w:rPr>
          <w:color w:val="000000" w:themeColor="text1"/>
          <w:szCs w:val="24"/>
        </w:rPr>
        <w:t>of</w:t>
      </w:r>
      <w:r w:rsidR="006D583E">
        <w:rPr>
          <w:color w:val="000000" w:themeColor="text1"/>
          <w:szCs w:val="24"/>
        </w:rPr>
        <w:t>-</w:t>
      </w:r>
      <w:r w:rsidR="00A57C35" w:rsidRPr="00647EEB">
        <w:rPr>
          <w:color w:val="000000" w:themeColor="text1"/>
          <w:szCs w:val="24"/>
        </w:rPr>
        <w:t>motion (ROM) evaluations in evidence, with documentation of additional ratable criteria, which the Board weighed in arriving at its rating recommendation.</w:t>
      </w:r>
    </w:p>
    <w:p w:rsidR="00647EEB" w:rsidRPr="001C09D4" w:rsidRDefault="00647EEB" w:rsidP="006364ED">
      <w:pPr>
        <w:jc w:val="left"/>
        <w:rPr>
          <w:rFonts w:eastAsia="HiddenHorzOCR"/>
          <w:color w:val="auto"/>
          <w:szCs w:val="24"/>
        </w:rPr>
      </w:pPr>
    </w:p>
    <w:tbl>
      <w:tblPr>
        <w:tblW w:w="7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4"/>
        <w:gridCol w:w="2104"/>
        <w:gridCol w:w="2610"/>
      </w:tblGrid>
      <w:tr w:rsidR="001269BC" w:rsidRPr="001C09D4" w:rsidTr="00753B2F">
        <w:trPr>
          <w:trHeight w:val="467"/>
          <w:jc w:val="center"/>
        </w:trPr>
        <w:tc>
          <w:tcPr>
            <w:tcW w:w="2664" w:type="dxa"/>
            <w:shd w:val="clear" w:color="auto" w:fill="D9D9D9" w:themeFill="background1" w:themeFillShade="D9"/>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Goniometric ROM –</w:t>
            </w:r>
          </w:p>
          <w:p w:rsidR="001269BC" w:rsidRPr="001C09D4" w:rsidRDefault="00513DD0" w:rsidP="00753B2F">
            <w:pPr>
              <w:spacing w:line="180" w:lineRule="exact"/>
              <w:contextualSpacing/>
              <w:rPr>
                <w:rFonts w:eastAsia="Calibri"/>
                <w:color w:val="auto"/>
                <w:sz w:val="18"/>
                <w:szCs w:val="18"/>
              </w:rPr>
            </w:pPr>
            <w:r w:rsidRPr="001C09D4">
              <w:rPr>
                <w:rFonts w:eastAsia="Calibri"/>
                <w:color w:val="auto"/>
                <w:sz w:val="18"/>
                <w:szCs w:val="18"/>
              </w:rPr>
              <w:t>R</w:t>
            </w:r>
            <w:r w:rsidR="001269BC" w:rsidRPr="001C09D4">
              <w:rPr>
                <w:rFonts w:eastAsia="Calibri"/>
                <w:color w:val="auto"/>
                <w:sz w:val="18"/>
                <w:szCs w:val="18"/>
              </w:rPr>
              <w:t xml:space="preserve"> Ankle</w:t>
            </w:r>
          </w:p>
        </w:tc>
        <w:tc>
          <w:tcPr>
            <w:tcW w:w="2104" w:type="dxa"/>
            <w:shd w:val="clear" w:color="auto" w:fill="D9D9D9" w:themeFill="background1" w:themeFillShade="D9"/>
            <w:vAlign w:val="center"/>
          </w:tcPr>
          <w:p w:rsidR="001269BC" w:rsidRPr="00C55023" w:rsidRDefault="001269BC" w:rsidP="00753B2F">
            <w:pPr>
              <w:spacing w:line="180" w:lineRule="exact"/>
              <w:contextualSpacing/>
              <w:rPr>
                <w:rFonts w:asciiTheme="minorHAnsi" w:eastAsia="Calibri" w:hAnsiTheme="minorHAnsi"/>
                <w:color w:val="auto"/>
                <w:sz w:val="18"/>
                <w:szCs w:val="18"/>
              </w:rPr>
            </w:pPr>
            <w:r w:rsidRPr="00C55023">
              <w:rPr>
                <w:rFonts w:eastAsia="Calibri"/>
                <w:color w:val="auto"/>
                <w:sz w:val="18"/>
                <w:szCs w:val="18"/>
              </w:rPr>
              <w:t>MEB ~ 2 Mo. Pre-Sep</w:t>
            </w:r>
          </w:p>
          <w:p w:rsidR="001269BC" w:rsidRPr="00C55023" w:rsidRDefault="001269BC" w:rsidP="00753B2F">
            <w:pPr>
              <w:spacing w:line="180" w:lineRule="exact"/>
              <w:contextualSpacing/>
              <w:rPr>
                <w:rFonts w:eastAsia="Calibri"/>
                <w:color w:val="auto"/>
                <w:sz w:val="18"/>
                <w:szCs w:val="18"/>
              </w:rPr>
            </w:pPr>
            <w:r w:rsidRPr="00C55023">
              <w:rPr>
                <w:rFonts w:asciiTheme="minorHAnsi" w:eastAsia="Calibri" w:hAnsiTheme="minorHAnsi"/>
                <w:color w:val="auto"/>
                <w:sz w:val="18"/>
                <w:szCs w:val="18"/>
              </w:rPr>
              <w:t>(20060307)</w:t>
            </w:r>
          </w:p>
        </w:tc>
        <w:tc>
          <w:tcPr>
            <w:tcW w:w="2610" w:type="dxa"/>
            <w:shd w:val="clear" w:color="auto" w:fill="D9D9D9" w:themeFill="background1" w:themeFillShade="D9"/>
            <w:vAlign w:val="center"/>
          </w:tcPr>
          <w:p w:rsidR="001269BC" w:rsidRPr="00C55023" w:rsidRDefault="001269BC" w:rsidP="00753B2F">
            <w:pPr>
              <w:spacing w:line="180" w:lineRule="exact"/>
              <w:contextualSpacing/>
              <w:rPr>
                <w:rFonts w:asciiTheme="minorHAnsi" w:eastAsia="Calibri" w:hAnsiTheme="minorHAnsi"/>
                <w:color w:val="auto"/>
                <w:sz w:val="18"/>
                <w:szCs w:val="18"/>
              </w:rPr>
            </w:pPr>
            <w:r w:rsidRPr="00C55023">
              <w:rPr>
                <w:rFonts w:eastAsia="Calibri"/>
                <w:color w:val="auto"/>
                <w:sz w:val="18"/>
                <w:szCs w:val="18"/>
              </w:rPr>
              <w:t>VA</w:t>
            </w:r>
            <w:r w:rsidRPr="00C55023">
              <w:rPr>
                <w:rFonts w:eastAsiaTheme="minorHAnsi"/>
                <w:color w:val="auto"/>
                <w:sz w:val="18"/>
                <w:szCs w:val="18"/>
              </w:rPr>
              <w:t xml:space="preserve"> C&amp;P </w:t>
            </w:r>
            <w:r w:rsidRPr="00C55023">
              <w:rPr>
                <w:rFonts w:eastAsia="Calibri"/>
                <w:color w:val="auto"/>
                <w:sz w:val="18"/>
                <w:szCs w:val="18"/>
              </w:rPr>
              <w:t>~ 16</w:t>
            </w:r>
            <w:r w:rsidR="00A236BB" w:rsidRPr="00C55023">
              <w:rPr>
                <w:rFonts w:eastAsia="Calibri"/>
                <w:color w:val="auto"/>
                <w:sz w:val="18"/>
                <w:szCs w:val="18"/>
              </w:rPr>
              <w:t xml:space="preserve"> </w:t>
            </w:r>
            <w:r w:rsidRPr="00C55023">
              <w:rPr>
                <w:rFonts w:eastAsia="Calibri"/>
                <w:color w:val="auto"/>
                <w:sz w:val="18"/>
                <w:szCs w:val="18"/>
              </w:rPr>
              <w:t>Mo. After-Sep</w:t>
            </w:r>
          </w:p>
          <w:p w:rsidR="001269BC" w:rsidRPr="00C55023" w:rsidRDefault="001269BC" w:rsidP="00753B2F">
            <w:pPr>
              <w:spacing w:line="180" w:lineRule="exact"/>
              <w:contextualSpacing/>
              <w:rPr>
                <w:rFonts w:eastAsiaTheme="minorHAnsi"/>
                <w:color w:val="auto"/>
                <w:sz w:val="18"/>
                <w:szCs w:val="18"/>
              </w:rPr>
            </w:pPr>
            <w:r w:rsidRPr="00C55023">
              <w:rPr>
                <w:rFonts w:asciiTheme="minorHAnsi" w:eastAsia="Calibri" w:hAnsiTheme="minorHAnsi"/>
                <w:color w:val="auto"/>
                <w:sz w:val="18"/>
                <w:szCs w:val="18"/>
              </w:rPr>
              <w:t>(20070929)</w:t>
            </w:r>
          </w:p>
        </w:tc>
      </w:tr>
      <w:tr w:rsidR="001269BC" w:rsidRPr="001C09D4" w:rsidTr="00753B2F">
        <w:trPr>
          <w:jc w:val="center"/>
        </w:trPr>
        <w:tc>
          <w:tcPr>
            <w:tcW w:w="266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Right Dorsiflexion  (0-20)</w:t>
            </w:r>
          </w:p>
        </w:tc>
        <w:tc>
          <w:tcPr>
            <w:tcW w:w="210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30⁰</w:t>
            </w:r>
          </w:p>
        </w:tc>
        <w:tc>
          <w:tcPr>
            <w:tcW w:w="2610"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20⁰</w:t>
            </w:r>
          </w:p>
        </w:tc>
      </w:tr>
      <w:tr w:rsidR="001269BC" w:rsidRPr="001C09D4" w:rsidTr="00753B2F">
        <w:trPr>
          <w:jc w:val="center"/>
        </w:trPr>
        <w:tc>
          <w:tcPr>
            <w:tcW w:w="266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Right Plantar Flexion (0-45)</w:t>
            </w:r>
          </w:p>
        </w:tc>
        <w:tc>
          <w:tcPr>
            <w:tcW w:w="210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40⁰</w:t>
            </w:r>
          </w:p>
        </w:tc>
        <w:tc>
          <w:tcPr>
            <w:tcW w:w="2610"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40⁰</w:t>
            </w:r>
          </w:p>
        </w:tc>
      </w:tr>
      <w:tr w:rsidR="001269BC" w:rsidRPr="001C09D4" w:rsidTr="00753B2F">
        <w:trPr>
          <w:jc w:val="center"/>
        </w:trPr>
        <w:tc>
          <w:tcPr>
            <w:tcW w:w="266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Left Dorsiflexion (0-20)</w:t>
            </w:r>
          </w:p>
        </w:tc>
        <w:tc>
          <w:tcPr>
            <w:tcW w:w="210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Not measured</w:t>
            </w:r>
          </w:p>
        </w:tc>
        <w:tc>
          <w:tcPr>
            <w:tcW w:w="2610" w:type="dxa"/>
            <w:vAlign w:val="center"/>
          </w:tcPr>
          <w:p w:rsidR="001269BC" w:rsidRPr="001C09D4" w:rsidRDefault="00A236BB" w:rsidP="00753B2F">
            <w:pPr>
              <w:spacing w:line="180" w:lineRule="exact"/>
              <w:contextualSpacing/>
              <w:rPr>
                <w:rFonts w:eastAsia="Calibri"/>
                <w:color w:val="auto"/>
                <w:sz w:val="18"/>
                <w:szCs w:val="18"/>
              </w:rPr>
            </w:pPr>
            <w:r w:rsidRPr="001C09D4">
              <w:rPr>
                <w:rFonts w:eastAsia="Calibri"/>
                <w:color w:val="auto"/>
                <w:sz w:val="18"/>
                <w:szCs w:val="18"/>
              </w:rPr>
              <w:t>Not measured</w:t>
            </w:r>
          </w:p>
        </w:tc>
      </w:tr>
      <w:tr w:rsidR="001269BC" w:rsidRPr="001C09D4" w:rsidTr="00753B2F">
        <w:trPr>
          <w:jc w:val="center"/>
        </w:trPr>
        <w:tc>
          <w:tcPr>
            <w:tcW w:w="266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Left Plantar Flexion (0-45)</w:t>
            </w:r>
          </w:p>
        </w:tc>
        <w:tc>
          <w:tcPr>
            <w:tcW w:w="2104" w:type="dxa"/>
            <w:vAlign w:val="center"/>
          </w:tcPr>
          <w:p w:rsidR="001269BC" w:rsidRPr="001C09D4" w:rsidRDefault="001269BC" w:rsidP="00753B2F">
            <w:pPr>
              <w:spacing w:line="180" w:lineRule="exact"/>
              <w:contextualSpacing/>
              <w:rPr>
                <w:rFonts w:eastAsia="Calibri"/>
                <w:color w:val="auto"/>
                <w:sz w:val="18"/>
                <w:szCs w:val="18"/>
              </w:rPr>
            </w:pPr>
            <w:r w:rsidRPr="001C09D4">
              <w:rPr>
                <w:rFonts w:eastAsia="Calibri"/>
                <w:color w:val="auto"/>
                <w:sz w:val="18"/>
                <w:szCs w:val="18"/>
              </w:rPr>
              <w:t>Not measured</w:t>
            </w:r>
          </w:p>
        </w:tc>
        <w:tc>
          <w:tcPr>
            <w:tcW w:w="2610" w:type="dxa"/>
            <w:vAlign w:val="center"/>
          </w:tcPr>
          <w:p w:rsidR="001269BC" w:rsidRPr="001C09D4" w:rsidRDefault="00A236BB" w:rsidP="00753B2F">
            <w:pPr>
              <w:spacing w:line="180" w:lineRule="exact"/>
              <w:contextualSpacing/>
              <w:rPr>
                <w:rFonts w:eastAsia="Calibri"/>
                <w:color w:val="auto"/>
                <w:sz w:val="18"/>
                <w:szCs w:val="18"/>
              </w:rPr>
            </w:pPr>
            <w:r w:rsidRPr="001C09D4">
              <w:rPr>
                <w:rFonts w:eastAsia="Calibri"/>
                <w:color w:val="auto"/>
                <w:sz w:val="18"/>
                <w:szCs w:val="18"/>
              </w:rPr>
              <w:t>Not measured</w:t>
            </w:r>
          </w:p>
        </w:tc>
      </w:tr>
      <w:tr w:rsidR="001269BC" w:rsidRPr="001C09D4" w:rsidTr="00753B2F">
        <w:trPr>
          <w:jc w:val="center"/>
        </w:trPr>
        <w:tc>
          <w:tcPr>
            <w:tcW w:w="2664" w:type="dxa"/>
            <w:vAlign w:val="center"/>
          </w:tcPr>
          <w:p w:rsidR="001269BC" w:rsidRPr="001C09D4" w:rsidRDefault="001269BC" w:rsidP="00753B2F">
            <w:pPr>
              <w:tabs>
                <w:tab w:val="left" w:pos="288"/>
                <w:tab w:val="left" w:pos="4752"/>
              </w:tabs>
              <w:spacing w:line="180" w:lineRule="exact"/>
              <w:rPr>
                <w:rFonts w:eastAsiaTheme="minorHAnsi"/>
                <w:color w:val="auto"/>
                <w:sz w:val="18"/>
                <w:szCs w:val="18"/>
              </w:rPr>
            </w:pPr>
            <w:r w:rsidRPr="001C09D4">
              <w:rPr>
                <w:rFonts w:eastAsiaTheme="minorHAnsi"/>
                <w:color w:val="auto"/>
                <w:sz w:val="18"/>
                <w:szCs w:val="18"/>
              </w:rPr>
              <w:t>Comment</w:t>
            </w:r>
          </w:p>
        </w:tc>
        <w:tc>
          <w:tcPr>
            <w:tcW w:w="2104" w:type="dxa"/>
            <w:vAlign w:val="center"/>
          </w:tcPr>
          <w:p w:rsidR="001269BC" w:rsidRPr="001C09D4" w:rsidRDefault="004E333A" w:rsidP="004E333A">
            <w:pPr>
              <w:autoSpaceDE w:val="0"/>
              <w:autoSpaceDN w:val="0"/>
              <w:adjustRightInd w:val="0"/>
              <w:spacing w:line="180" w:lineRule="exact"/>
              <w:jc w:val="left"/>
              <w:rPr>
                <w:rFonts w:eastAsia="Calibri"/>
                <w:color w:val="auto"/>
                <w:sz w:val="18"/>
                <w:szCs w:val="18"/>
              </w:rPr>
            </w:pPr>
            <w:r>
              <w:rPr>
                <w:rFonts w:cs="Times New Roman"/>
                <w:color w:val="auto"/>
                <w:sz w:val="18"/>
                <w:szCs w:val="18"/>
              </w:rPr>
              <w:t>M</w:t>
            </w:r>
            <w:r w:rsidRPr="001C09D4">
              <w:rPr>
                <w:rFonts w:cs="Times New Roman"/>
                <w:color w:val="auto"/>
                <w:sz w:val="18"/>
                <w:szCs w:val="18"/>
              </w:rPr>
              <w:t>inimal tenderness to palpation</w:t>
            </w:r>
            <w:r>
              <w:rPr>
                <w:rFonts w:cs="Times New Roman"/>
                <w:color w:val="auto"/>
                <w:sz w:val="18"/>
                <w:szCs w:val="18"/>
              </w:rPr>
              <w:t>;</w:t>
            </w:r>
            <w:r w:rsidRPr="001C09D4">
              <w:rPr>
                <w:rFonts w:cs="Times New Roman"/>
                <w:color w:val="auto"/>
                <w:sz w:val="18"/>
                <w:szCs w:val="18"/>
              </w:rPr>
              <w:t xml:space="preserve"> </w:t>
            </w:r>
            <w:r>
              <w:rPr>
                <w:rFonts w:cs="Times New Roman"/>
                <w:color w:val="auto"/>
                <w:sz w:val="18"/>
                <w:szCs w:val="18"/>
              </w:rPr>
              <w:t>s</w:t>
            </w:r>
            <w:r w:rsidR="001269BC" w:rsidRPr="001C09D4">
              <w:rPr>
                <w:rFonts w:cs="Times New Roman"/>
                <w:color w:val="auto"/>
                <w:sz w:val="18"/>
                <w:szCs w:val="18"/>
              </w:rPr>
              <w:t>tr</w:t>
            </w:r>
            <w:r w:rsidR="00362911">
              <w:rPr>
                <w:rFonts w:cs="Times New Roman"/>
                <w:color w:val="auto"/>
                <w:sz w:val="18"/>
                <w:szCs w:val="18"/>
              </w:rPr>
              <w:t>ength</w:t>
            </w:r>
            <w:r w:rsidR="00513DD0" w:rsidRPr="001C09D4">
              <w:rPr>
                <w:rFonts w:cs="Times New Roman"/>
                <w:color w:val="auto"/>
                <w:sz w:val="18"/>
                <w:szCs w:val="18"/>
              </w:rPr>
              <w:t xml:space="preserve"> 5/5; </w:t>
            </w:r>
            <w:proofErr w:type="spellStart"/>
            <w:r w:rsidR="001269BC" w:rsidRPr="001C09D4">
              <w:rPr>
                <w:rFonts w:cs="Times New Roman"/>
                <w:color w:val="auto"/>
                <w:sz w:val="18"/>
                <w:szCs w:val="18"/>
              </w:rPr>
              <w:t>Talar</w:t>
            </w:r>
            <w:proofErr w:type="spellEnd"/>
            <w:r w:rsidR="001269BC" w:rsidRPr="001C09D4">
              <w:rPr>
                <w:rFonts w:cs="Times New Roman"/>
                <w:color w:val="auto"/>
                <w:sz w:val="18"/>
                <w:szCs w:val="18"/>
              </w:rPr>
              <w:t xml:space="preserve"> tilt symmetric with </w:t>
            </w:r>
            <w:r w:rsidR="00513DD0" w:rsidRPr="001C09D4">
              <w:rPr>
                <w:rFonts w:cs="Times New Roman"/>
                <w:iCs/>
                <w:color w:val="auto"/>
                <w:sz w:val="18"/>
                <w:szCs w:val="18"/>
              </w:rPr>
              <w:t xml:space="preserve">L </w:t>
            </w:r>
            <w:r w:rsidR="001269BC" w:rsidRPr="001C09D4">
              <w:rPr>
                <w:rFonts w:cs="Times New Roman"/>
                <w:color w:val="auto"/>
                <w:sz w:val="18"/>
                <w:szCs w:val="18"/>
              </w:rPr>
              <w:t>ankle</w:t>
            </w:r>
            <w:r w:rsidR="00513DD0" w:rsidRPr="001C09D4">
              <w:rPr>
                <w:rFonts w:cs="Times New Roman"/>
                <w:color w:val="auto"/>
                <w:sz w:val="18"/>
                <w:szCs w:val="18"/>
              </w:rPr>
              <w:t>;</w:t>
            </w:r>
            <w:r w:rsidR="001C09D4" w:rsidRPr="001C09D4">
              <w:rPr>
                <w:rFonts w:cs="Times New Roman"/>
                <w:color w:val="auto"/>
                <w:sz w:val="18"/>
                <w:szCs w:val="18"/>
              </w:rPr>
              <w:t xml:space="preserve"> </w:t>
            </w:r>
            <w:r w:rsidR="001269BC" w:rsidRPr="001C09D4">
              <w:rPr>
                <w:rFonts w:cs="Times New Roman"/>
                <w:color w:val="auto"/>
                <w:sz w:val="18"/>
                <w:szCs w:val="18"/>
              </w:rPr>
              <w:t xml:space="preserve">negative </w:t>
            </w:r>
            <w:r w:rsidR="001269BC" w:rsidRPr="001C09D4">
              <w:rPr>
                <w:rFonts w:cs="Times New Roman"/>
                <w:iCs/>
                <w:color w:val="auto"/>
                <w:sz w:val="18"/>
                <w:szCs w:val="18"/>
              </w:rPr>
              <w:t xml:space="preserve">anterior </w:t>
            </w:r>
            <w:r w:rsidR="001269BC" w:rsidRPr="001C09D4">
              <w:rPr>
                <w:rFonts w:cs="Times New Roman"/>
                <w:color w:val="auto"/>
                <w:sz w:val="18"/>
                <w:szCs w:val="18"/>
              </w:rPr>
              <w:t>drawer</w:t>
            </w:r>
            <w:r>
              <w:rPr>
                <w:rFonts w:cs="Times New Roman"/>
                <w:color w:val="auto"/>
                <w:sz w:val="18"/>
                <w:szCs w:val="18"/>
              </w:rPr>
              <w:t xml:space="preserve"> (stable)</w:t>
            </w:r>
          </w:p>
        </w:tc>
        <w:tc>
          <w:tcPr>
            <w:tcW w:w="2610" w:type="dxa"/>
          </w:tcPr>
          <w:p w:rsidR="00A236BB" w:rsidRPr="001C09D4" w:rsidRDefault="00513DD0" w:rsidP="00513DD0">
            <w:pPr>
              <w:autoSpaceDE w:val="0"/>
              <w:autoSpaceDN w:val="0"/>
              <w:adjustRightInd w:val="0"/>
              <w:spacing w:line="180" w:lineRule="exact"/>
              <w:jc w:val="left"/>
              <w:rPr>
                <w:rFonts w:eastAsia="Calibri"/>
                <w:color w:val="auto"/>
                <w:sz w:val="18"/>
                <w:szCs w:val="18"/>
              </w:rPr>
            </w:pPr>
            <w:r w:rsidRPr="001C09D4">
              <w:rPr>
                <w:rFonts w:cs="Times New Roman"/>
                <w:color w:val="auto"/>
                <w:sz w:val="18"/>
                <w:szCs w:val="18"/>
              </w:rPr>
              <w:t xml:space="preserve">No </w:t>
            </w:r>
            <w:r w:rsidR="00A236BB" w:rsidRPr="001C09D4">
              <w:rPr>
                <w:rFonts w:cs="Times New Roman"/>
                <w:color w:val="auto"/>
                <w:sz w:val="18"/>
                <w:szCs w:val="18"/>
              </w:rPr>
              <w:t>loss of bone</w:t>
            </w:r>
            <w:r w:rsidR="00362911">
              <w:rPr>
                <w:rFonts w:cs="Times New Roman"/>
                <w:color w:val="auto"/>
                <w:sz w:val="18"/>
                <w:szCs w:val="18"/>
              </w:rPr>
              <w:t>,</w:t>
            </w:r>
            <w:r w:rsidR="00753B2F" w:rsidRPr="001C09D4">
              <w:rPr>
                <w:rFonts w:cs="Times New Roman"/>
                <w:color w:val="auto"/>
                <w:sz w:val="18"/>
                <w:szCs w:val="18"/>
              </w:rPr>
              <w:t xml:space="preserve"> </w:t>
            </w:r>
            <w:r w:rsidRPr="001C09D4">
              <w:rPr>
                <w:rFonts w:cs="Times New Roman"/>
                <w:color w:val="auto"/>
                <w:sz w:val="18"/>
                <w:szCs w:val="18"/>
              </w:rPr>
              <w:t>i</w:t>
            </w:r>
            <w:r w:rsidR="00A236BB" w:rsidRPr="001C09D4">
              <w:rPr>
                <w:rFonts w:cs="Times New Roman"/>
                <w:bCs/>
                <w:color w:val="auto"/>
                <w:sz w:val="18"/>
                <w:szCs w:val="18"/>
              </w:rPr>
              <w:t>nflammatory arthritis</w:t>
            </w:r>
            <w:r w:rsidRPr="001C09D4">
              <w:rPr>
                <w:rFonts w:cs="Times New Roman"/>
                <w:bCs/>
                <w:color w:val="auto"/>
                <w:sz w:val="18"/>
                <w:szCs w:val="18"/>
              </w:rPr>
              <w:t xml:space="preserve">, </w:t>
            </w:r>
            <w:proofErr w:type="spellStart"/>
            <w:r w:rsidR="00A236BB" w:rsidRPr="001C09D4">
              <w:rPr>
                <w:rFonts w:cs="Times New Roman"/>
                <w:color w:val="auto"/>
                <w:sz w:val="18"/>
                <w:szCs w:val="18"/>
              </w:rPr>
              <w:t>ankylosis</w:t>
            </w:r>
            <w:proofErr w:type="spellEnd"/>
            <w:r w:rsidRPr="001C09D4">
              <w:rPr>
                <w:rFonts w:cs="Times New Roman"/>
                <w:color w:val="auto"/>
                <w:sz w:val="18"/>
                <w:szCs w:val="18"/>
              </w:rPr>
              <w:t>,</w:t>
            </w:r>
            <w:r w:rsidR="00A236BB" w:rsidRPr="001C09D4">
              <w:rPr>
                <w:rFonts w:cs="Times New Roman"/>
                <w:bCs/>
                <w:color w:val="auto"/>
                <w:sz w:val="18"/>
                <w:szCs w:val="18"/>
              </w:rPr>
              <w:t xml:space="preserve"> tenderness, painful </w:t>
            </w:r>
            <w:proofErr w:type="spellStart"/>
            <w:r w:rsidR="00A236BB" w:rsidRPr="001C09D4">
              <w:rPr>
                <w:rFonts w:cs="Times New Roman"/>
                <w:bCs/>
                <w:color w:val="auto"/>
                <w:sz w:val="18"/>
                <w:szCs w:val="18"/>
              </w:rPr>
              <w:t>movement</w:t>
            </w:r>
            <w:r w:rsidRPr="001C09D4">
              <w:rPr>
                <w:rFonts w:cs="Times New Roman"/>
                <w:bCs/>
                <w:color w:val="auto"/>
                <w:sz w:val="18"/>
                <w:szCs w:val="18"/>
              </w:rPr>
              <w:t>,</w:t>
            </w:r>
            <w:r w:rsidR="00362911">
              <w:rPr>
                <w:rFonts w:cs="Times New Roman"/>
                <w:bCs/>
                <w:color w:val="auto"/>
                <w:sz w:val="18"/>
                <w:szCs w:val="18"/>
              </w:rPr>
              <w:t>or</w:t>
            </w:r>
            <w:proofErr w:type="spellEnd"/>
            <w:r w:rsidRPr="001C09D4">
              <w:rPr>
                <w:rFonts w:cs="Times New Roman"/>
                <w:bCs/>
                <w:color w:val="auto"/>
                <w:sz w:val="18"/>
                <w:szCs w:val="18"/>
              </w:rPr>
              <w:t xml:space="preserve"> </w:t>
            </w:r>
            <w:r w:rsidR="00A236BB" w:rsidRPr="001C09D4">
              <w:rPr>
                <w:rFonts w:cs="Times New Roman"/>
                <w:color w:val="auto"/>
                <w:sz w:val="18"/>
                <w:szCs w:val="18"/>
              </w:rPr>
              <w:t>instability</w:t>
            </w:r>
            <w:r w:rsidR="00362911">
              <w:rPr>
                <w:rFonts w:cs="Times New Roman"/>
                <w:color w:val="auto"/>
                <w:sz w:val="18"/>
                <w:szCs w:val="18"/>
              </w:rPr>
              <w:t>; no add loss on repeat</w:t>
            </w:r>
          </w:p>
        </w:tc>
      </w:tr>
      <w:tr w:rsidR="001269BC" w:rsidRPr="001C09D4" w:rsidTr="00753B2F">
        <w:trPr>
          <w:jc w:val="center"/>
        </w:trPr>
        <w:tc>
          <w:tcPr>
            <w:tcW w:w="2664" w:type="dxa"/>
            <w:vAlign w:val="center"/>
          </w:tcPr>
          <w:p w:rsidR="001269BC" w:rsidRPr="001C09D4" w:rsidRDefault="001269BC" w:rsidP="00753B2F">
            <w:pPr>
              <w:tabs>
                <w:tab w:val="left" w:pos="288"/>
                <w:tab w:val="left" w:pos="4752"/>
              </w:tabs>
              <w:spacing w:line="180" w:lineRule="exact"/>
              <w:rPr>
                <w:rFonts w:eastAsiaTheme="minorHAnsi"/>
                <w:color w:val="auto"/>
                <w:sz w:val="18"/>
                <w:szCs w:val="18"/>
              </w:rPr>
            </w:pPr>
            <w:r w:rsidRPr="001C09D4">
              <w:rPr>
                <w:rFonts w:eastAsiaTheme="minorHAnsi"/>
                <w:color w:val="auto"/>
                <w:sz w:val="18"/>
                <w:szCs w:val="18"/>
              </w:rPr>
              <w:t>§4.71a Rating</w:t>
            </w:r>
          </w:p>
        </w:tc>
        <w:tc>
          <w:tcPr>
            <w:tcW w:w="2104" w:type="dxa"/>
            <w:vAlign w:val="center"/>
          </w:tcPr>
          <w:p w:rsidR="001269BC" w:rsidRPr="001C09D4" w:rsidRDefault="00A236BB" w:rsidP="00753B2F">
            <w:pPr>
              <w:pStyle w:val="ListParagraph"/>
              <w:spacing w:after="0" w:line="180" w:lineRule="exact"/>
              <w:ind w:left="0"/>
              <w:rPr>
                <w:rFonts w:ascii="Calibri" w:eastAsia="Calibri" w:hAnsi="Calibri" w:cstheme="minorHAnsi"/>
                <w:sz w:val="18"/>
                <w:szCs w:val="18"/>
              </w:rPr>
            </w:pPr>
            <w:r w:rsidRPr="001C09D4">
              <w:rPr>
                <w:rFonts w:ascii="Calibri" w:eastAsia="Calibri" w:hAnsi="Calibri" w:cstheme="minorHAnsi"/>
                <w:sz w:val="18"/>
                <w:szCs w:val="18"/>
              </w:rPr>
              <w:t>10</w:t>
            </w:r>
            <w:r w:rsidR="001269BC" w:rsidRPr="001C09D4">
              <w:rPr>
                <w:rFonts w:ascii="Calibri" w:eastAsia="Calibri" w:hAnsi="Calibri" w:cstheme="minorHAnsi"/>
                <w:sz w:val="18"/>
                <w:szCs w:val="18"/>
              </w:rPr>
              <w:t>%</w:t>
            </w:r>
            <w:r w:rsidR="00362911">
              <w:rPr>
                <w:rFonts w:ascii="Calibri" w:eastAsia="Calibri" w:hAnsi="Calibri" w:cstheme="minorHAnsi"/>
                <w:sz w:val="18"/>
                <w:szCs w:val="18"/>
              </w:rPr>
              <w:t xml:space="preserve"> (PEB 10%)</w:t>
            </w:r>
          </w:p>
        </w:tc>
        <w:tc>
          <w:tcPr>
            <w:tcW w:w="2610" w:type="dxa"/>
            <w:vAlign w:val="center"/>
          </w:tcPr>
          <w:p w:rsidR="001269BC" w:rsidRPr="001C09D4" w:rsidRDefault="00A236BB" w:rsidP="00753B2F">
            <w:pPr>
              <w:pStyle w:val="ListParagraph"/>
              <w:spacing w:after="0" w:line="180" w:lineRule="exact"/>
              <w:ind w:left="0"/>
              <w:rPr>
                <w:rFonts w:ascii="Calibri" w:eastAsia="Calibri" w:hAnsi="Calibri" w:cstheme="minorHAnsi"/>
                <w:sz w:val="18"/>
                <w:szCs w:val="18"/>
              </w:rPr>
            </w:pPr>
            <w:r w:rsidRPr="001C09D4">
              <w:rPr>
                <w:rFonts w:ascii="Calibri" w:eastAsia="Calibri" w:hAnsi="Calibri" w:cstheme="minorHAnsi"/>
                <w:sz w:val="18"/>
                <w:szCs w:val="18"/>
              </w:rPr>
              <w:t>0</w:t>
            </w:r>
            <w:r w:rsidR="001269BC" w:rsidRPr="001C09D4">
              <w:rPr>
                <w:rFonts w:ascii="Calibri" w:eastAsia="Calibri" w:hAnsi="Calibri" w:cstheme="minorHAnsi"/>
                <w:sz w:val="18"/>
                <w:szCs w:val="18"/>
              </w:rPr>
              <w:t>%</w:t>
            </w:r>
          </w:p>
        </w:tc>
      </w:tr>
    </w:tbl>
    <w:p w:rsidR="001269BC" w:rsidRDefault="001269BC" w:rsidP="006364ED">
      <w:pPr>
        <w:jc w:val="left"/>
        <w:rPr>
          <w:rFonts w:eastAsia="HiddenHorzOCR"/>
          <w:color w:val="auto"/>
          <w:szCs w:val="24"/>
          <w:u w:val="single"/>
        </w:rPr>
      </w:pPr>
    </w:p>
    <w:p w:rsidR="00362911" w:rsidRPr="00362911" w:rsidRDefault="00362911" w:rsidP="00C41E4C">
      <w:pPr>
        <w:jc w:val="both"/>
        <w:rPr>
          <w:rFonts w:eastAsia="HiddenHorzOCR"/>
          <w:color w:val="auto"/>
          <w:szCs w:val="24"/>
        </w:rPr>
      </w:pPr>
      <w:r w:rsidRPr="00362911">
        <w:rPr>
          <w:rFonts w:eastAsia="HiddenHorzOCR"/>
          <w:color w:val="auto"/>
          <w:szCs w:val="24"/>
        </w:rPr>
        <w:t xml:space="preserve">All exams proximate to </w:t>
      </w:r>
      <w:proofErr w:type="gramStart"/>
      <w:r w:rsidRPr="00362911">
        <w:rPr>
          <w:rFonts w:eastAsia="HiddenHorzOCR"/>
          <w:color w:val="auto"/>
          <w:szCs w:val="24"/>
        </w:rPr>
        <w:t>separation,</w:t>
      </w:r>
      <w:proofErr w:type="gramEnd"/>
      <w:r w:rsidRPr="00362911">
        <w:rPr>
          <w:rFonts w:eastAsia="HiddenHorzOCR"/>
          <w:color w:val="auto"/>
          <w:szCs w:val="24"/>
        </w:rPr>
        <w:t xml:space="preserve"> and the VA exam 16 months after separation documented </w:t>
      </w:r>
      <w:r>
        <w:rPr>
          <w:rFonts w:eastAsia="HiddenHorzOCR"/>
          <w:color w:val="auto"/>
          <w:szCs w:val="24"/>
        </w:rPr>
        <w:t xml:space="preserve">normal, or near normal ROM.  The service exam documented tenderness and the VA exam indicated pain on inversion only.  </w:t>
      </w:r>
      <w:r w:rsidR="004E333A">
        <w:rPr>
          <w:rFonts w:eastAsia="HiddenHorzOCR"/>
          <w:color w:val="auto"/>
          <w:szCs w:val="24"/>
        </w:rPr>
        <w:t xml:space="preserve">The examiner indicated the CI was having recurring inversion injuries.  </w:t>
      </w:r>
      <w:proofErr w:type="gramStart"/>
      <w:r w:rsidRPr="00BA0346">
        <w:rPr>
          <w:rFonts w:eastAsia="HiddenHorzOCR"/>
          <w:color w:val="auto"/>
          <w:szCs w:val="24"/>
        </w:rPr>
        <w:t>Radiographs proximate to separation demonstrated widening of the lateral mortise, while VA radiographs were normal.</w:t>
      </w:r>
      <w:proofErr w:type="gramEnd"/>
      <w:r w:rsidRPr="00BA0346">
        <w:rPr>
          <w:rFonts w:eastAsia="HiddenHorzOCR"/>
          <w:color w:val="auto"/>
          <w:szCs w:val="24"/>
        </w:rPr>
        <w:t xml:space="preserve">  </w:t>
      </w:r>
      <w:r w:rsidR="00BA0346">
        <w:rPr>
          <w:rFonts w:eastAsia="HiddenHorzOCR"/>
          <w:color w:val="auto"/>
          <w:szCs w:val="24"/>
        </w:rPr>
        <w:t xml:space="preserve">There was no evidence of marked limitation of ankle motion required for a higher 20% rating, and little evidence of moderate limitation of motion for a 10% under code </w:t>
      </w:r>
      <w:r w:rsidR="00BA0346" w:rsidRPr="00BA0346">
        <w:rPr>
          <w:rFonts w:eastAsia="HiddenHorzOCR"/>
          <w:color w:val="auto"/>
          <w:szCs w:val="24"/>
        </w:rPr>
        <w:t>5271</w:t>
      </w:r>
      <w:r w:rsidR="00BA0346">
        <w:rPr>
          <w:rFonts w:eastAsia="HiddenHorzOCR"/>
          <w:color w:val="auto"/>
          <w:szCs w:val="24"/>
        </w:rPr>
        <w:t xml:space="preserve"> (</w:t>
      </w:r>
      <w:r w:rsidR="00BA0346" w:rsidRPr="00BA0346">
        <w:rPr>
          <w:rFonts w:eastAsia="HiddenHorzOCR"/>
          <w:color w:val="auto"/>
          <w:szCs w:val="24"/>
        </w:rPr>
        <w:t>Ankle, limited motion)</w:t>
      </w:r>
      <w:r w:rsidR="00BA0346">
        <w:rPr>
          <w:rFonts w:eastAsia="HiddenHorzOCR"/>
          <w:color w:val="auto"/>
          <w:szCs w:val="24"/>
        </w:rPr>
        <w:t xml:space="preserve">.  </w:t>
      </w:r>
      <w:r w:rsidRPr="00BA0346">
        <w:rPr>
          <w:rFonts w:eastAsia="HiddenHorzOCR"/>
          <w:color w:val="auto"/>
          <w:szCs w:val="24"/>
        </w:rPr>
        <w:t xml:space="preserve">Coding of the ankle under </w:t>
      </w:r>
      <w:r w:rsidR="00BA0346">
        <w:rPr>
          <w:rFonts w:eastAsia="HiddenHorzOCR"/>
          <w:color w:val="auto"/>
          <w:szCs w:val="24"/>
        </w:rPr>
        <w:t>analogous codes</w:t>
      </w:r>
      <w:r w:rsidRPr="00BA0346">
        <w:rPr>
          <w:rFonts w:eastAsia="HiddenHorzOCR"/>
          <w:color w:val="auto"/>
          <w:szCs w:val="24"/>
        </w:rPr>
        <w:t xml:space="preserve"> 5003, 5019 through 5024 or 5271 would</w:t>
      </w:r>
      <w:r>
        <w:rPr>
          <w:rFonts w:eastAsia="HiddenHorzOCR"/>
          <w:color w:val="auto"/>
          <w:szCs w:val="24"/>
        </w:rPr>
        <w:t xml:space="preserve"> not reach greater than the 10% </w:t>
      </w:r>
      <w:r w:rsidRPr="00BA0346">
        <w:rPr>
          <w:rFonts w:eastAsia="HiddenHorzOCR"/>
          <w:color w:val="auto"/>
          <w:szCs w:val="24"/>
        </w:rPr>
        <w:t xml:space="preserve">rating assigned by the PEB with consideration of §4.40 (Functional loss ) </w:t>
      </w:r>
      <w:r w:rsidR="00BA0346" w:rsidRPr="00BA0346">
        <w:rPr>
          <w:rFonts w:eastAsia="HiddenHorzOCR"/>
          <w:color w:val="auto"/>
          <w:szCs w:val="24"/>
        </w:rPr>
        <w:t xml:space="preserve">and </w:t>
      </w:r>
      <w:r w:rsidRPr="00BA0346">
        <w:rPr>
          <w:rFonts w:eastAsia="HiddenHorzOCR"/>
          <w:color w:val="auto"/>
          <w:szCs w:val="24"/>
        </w:rPr>
        <w:t>§4.59 (painful motion)</w:t>
      </w:r>
      <w:r w:rsidR="00BA0346" w:rsidRPr="00BA0346">
        <w:rPr>
          <w:rFonts w:eastAsia="HiddenHorzOCR"/>
          <w:color w:val="auto"/>
          <w:szCs w:val="24"/>
        </w:rPr>
        <w:t>.  All evidence considered</w:t>
      </w:r>
      <w:proofErr w:type="gramStart"/>
      <w:r w:rsidR="00BA0346" w:rsidRPr="00BA0346">
        <w:rPr>
          <w:rFonts w:eastAsia="HiddenHorzOCR"/>
          <w:color w:val="auto"/>
          <w:szCs w:val="24"/>
        </w:rPr>
        <w:t>,</w:t>
      </w:r>
      <w:proofErr w:type="gramEnd"/>
      <w:r w:rsidR="00BA0346" w:rsidRPr="00BA0346">
        <w:rPr>
          <w:rFonts w:eastAsia="HiddenHorzOCR"/>
          <w:color w:val="auto"/>
          <w:szCs w:val="24"/>
        </w:rPr>
        <w:t xml:space="preserve"> there is not reasonable doubt in the CI’s favor supporting a</w:t>
      </w:r>
      <w:r w:rsidR="00BA0346">
        <w:rPr>
          <w:rFonts w:eastAsia="HiddenHorzOCR"/>
          <w:color w:val="auto"/>
          <w:szCs w:val="24"/>
        </w:rPr>
        <w:t xml:space="preserve"> </w:t>
      </w:r>
      <w:r w:rsidR="00BA0346" w:rsidRPr="00BA0346">
        <w:rPr>
          <w:rFonts w:eastAsia="HiddenHorzOCR"/>
          <w:color w:val="auto"/>
          <w:szCs w:val="24"/>
        </w:rPr>
        <w:t xml:space="preserve">change from the PEB’s rating decision for the </w:t>
      </w:r>
      <w:r w:rsidR="00BA0346">
        <w:rPr>
          <w:rFonts w:eastAsia="HiddenHorzOCR"/>
          <w:color w:val="auto"/>
          <w:szCs w:val="24"/>
        </w:rPr>
        <w:t>right ankle</w:t>
      </w:r>
      <w:r w:rsidR="00BA0346" w:rsidRPr="00BA0346">
        <w:rPr>
          <w:rFonts w:eastAsia="HiddenHorzOCR"/>
          <w:color w:val="auto"/>
          <w:szCs w:val="24"/>
        </w:rPr>
        <w:t xml:space="preserve"> condition.</w:t>
      </w:r>
    </w:p>
    <w:p w:rsidR="00362911" w:rsidRPr="00362911" w:rsidRDefault="00362911" w:rsidP="00C41E4C">
      <w:pPr>
        <w:jc w:val="both"/>
        <w:rPr>
          <w:rFonts w:eastAsia="HiddenHorzOCR"/>
          <w:color w:val="auto"/>
          <w:szCs w:val="24"/>
        </w:rPr>
      </w:pPr>
    </w:p>
    <w:p w:rsidR="00EC337D" w:rsidRPr="001F29F9" w:rsidRDefault="00EC337D" w:rsidP="002D1140">
      <w:pPr>
        <w:jc w:val="both"/>
        <w:rPr>
          <w:color w:val="000000" w:themeColor="text1"/>
          <w:szCs w:val="24"/>
        </w:rPr>
      </w:pPr>
      <w:proofErr w:type="gramStart"/>
      <w:r w:rsidRPr="001C09D4">
        <w:rPr>
          <w:rFonts w:eastAsia="HiddenHorzOCR"/>
          <w:color w:val="auto"/>
          <w:szCs w:val="24"/>
          <w:u w:val="single"/>
        </w:rPr>
        <w:t>Other Contended Conditions</w:t>
      </w:r>
      <w:r w:rsidRPr="001C09D4">
        <w:rPr>
          <w:rFonts w:eastAsia="HiddenHorzOCR"/>
          <w:color w:val="auto"/>
          <w:szCs w:val="24"/>
        </w:rPr>
        <w:t>.</w:t>
      </w:r>
      <w:proofErr w:type="gramEnd"/>
      <w:r w:rsidRPr="001C09D4">
        <w:rPr>
          <w:rFonts w:eastAsia="HiddenHorzOCR"/>
          <w:color w:val="auto"/>
          <w:szCs w:val="24"/>
        </w:rPr>
        <w:t xml:space="preserve">  The CI’s </w:t>
      </w:r>
      <w:r w:rsidRPr="00C55023">
        <w:rPr>
          <w:rFonts w:eastAsia="HiddenHorzOCR"/>
          <w:color w:val="auto"/>
          <w:szCs w:val="24"/>
        </w:rPr>
        <w:t>application asserts that compensable ratings</w:t>
      </w:r>
      <w:r w:rsidRPr="00C55023">
        <w:rPr>
          <w:rFonts w:eastAsia="HiddenHorzOCR"/>
          <w:color w:val="000000" w:themeColor="text1"/>
          <w:szCs w:val="24"/>
        </w:rPr>
        <w:t xml:space="preserve"> should be considered for </w:t>
      </w:r>
      <w:r w:rsidR="006D583E">
        <w:rPr>
          <w:rFonts w:eastAsia="HiddenHorzOCR"/>
          <w:color w:val="000000" w:themeColor="text1"/>
          <w:szCs w:val="24"/>
        </w:rPr>
        <w:t>postt</w:t>
      </w:r>
      <w:r w:rsidR="00C41E4C" w:rsidRPr="00C55023">
        <w:rPr>
          <w:rFonts w:eastAsia="HiddenHorzOCR"/>
          <w:color w:val="000000" w:themeColor="text1"/>
          <w:szCs w:val="24"/>
        </w:rPr>
        <w:t xml:space="preserve">raumatic </w:t>
      </w:r>
      <w:r w:rsidR="006D583E">
        <w:rPr>
          <w:rFonts w:eastAsia="HiddenHorzOCR"/>
          <w:color w:val="000000" w:themeColor="text1"/>
          <w:szCs w:val="24"/>
        </w:rPr>
        <w:t>s</w:t>
      </w:r>
      <w:r w:rsidR="00C41E4C" w:rsidRPr="00C55023">
        <w:rPr>
          <w:rFonts w:eastAsia="HiddenHorzOCR"/>
          <w:color w:val="000000" w:themeColor="text1"/>
          <w:szCs w:val="24"/>
        </w:rPr>
        <w:t xml:space="preserve">tress </w:t>
      </w:r>
      <w:r w:rsidR="006D583E">
        <w:rPr>
          <w:rFonts w:eastAsia="HiddenHorzOCR"/>
          <w:color w:val="000000" w:themeColor="text1"/>
          <w:szCs w:val="24"/>
        </w:rPr>
        <w:t>d</w:t>
      </w:r>
      <w:r w:rsidR="00C41E4C" w:rsidRPr="00C55023">
        <w:rPr>
          <w:rFonts w:eastAsia="HiddenHorzOCR"/>
          <w:color w:val="000000" w:themeColor="text1"/>
          <w:szCs w:val="24"/>
        </w:rPr>
        <w:t>isorder (</w:t>
      </w:r>
      <w:r w:rsidR="00647EEB" w:rsidRPr="00C55023">
        <w:rPr>
          <w:color w:val="000000" w:themeColor="text1"/>
        </w:rPr>
        <w:t>PTSD</w:t>
      </w:r>
      <w:r w:rsidR="00C41E4C" w:rsidRPr="00C55023">
        <w:rPr>
          <w:color w:val="000000" w:themeColor="text1"/>
        </w:rPr>
        <w:t>)</w:t>
      </w:r>
      <w:r w:rsidR="00647EEB" w:rsidRPr="00C55023">
        <w:rPr>
          <w:color w:val="000000" w:themeColor="text1"/>
        </w:rPr>
        <w:t>, mechanical low back strain, tinnitus, as well as irritable bowel syndrome</w:t>
      </w:r>
      <w:r w:rsidR="00BA0346" w:rsidRPr="00C55023">
        <w:rPr>
          <w:color w:val="000000" w:themeColor="text1"/>
        </w:rPr>
        <w:t xml:space="preserve"> (IBS)</w:t>
      </w:r>
      <w:r w:rsidRPr="00C55023">
        <w:rPr>
          <w:rFonts w:eastAsia="HiddenHorzOCR"/>
          <w:color w:val="000000" w:themeColor="text1"/>
          <w:szCs w:val="24"/>
        </w:rPr>
        <w:t xml:space="preserve">.  </w:t>
      </w:r>
      <w:r w:rsidR="002D1140" w:rsidRPr="00C55023">
        <w:rPr>
          <w:rFonts w:eastAsia="HiddenHorzOCR"/>
          <w:color w:val="000000" w:themeColor="text1"/>
          <w:szCs w:val="24"/>
        </w:rPr>
        <w:t>All</w:t>
      </w:r>
      <w:r w:rsidR="002D1140" w:rsidRPr="00C55023">
        <w:rPr>
          <w:color w:val="000000" w:themeColor="text1"/>
        </w:rPr>
        <w:t xml:space="preserve"> </w:t>
      </w:r>
      <w:r w:rsidR="002D1140" w:rsidRPr="00C55023">
        <w:rPr>
          <w:color w:val="000000" w:themeColor="text1"/>
          <w:szCs w:val="24"/>
        </w:rPr>
        <w:t xml:space="preserve">of these conditions were reviewed by the action officer and considered by the Board.  </w:t>
      </w:r>
      <w:r w:rsidR="00BA0346" w:rsidRPr="00C55023">
        <w:rPr>
          <w:color w:val="000000" w:themeColor="text1"/>
          <w:szCs w:val="24"/>
        </w:rPr>
        <w:t>Low back pain and irritable bowel syndrome symptoms were mentioned in the DES file.  However, there was no profile restriction or mention of duty limitations due to the back or abdominal conditions</w:t>
      </w:r>
      <w:r w:rsidR="00BA0346">
        <w:rPr>
          <w:color w:val="000000" w:themeColor="text1"/>
          <w:szCs w:val="24"/>
        </w:rPr>
        <w:t xml:space="preserve">.  Neither condition was </w:t>
      </w:r>
      <w:r w:rsidR="00BA0346" w:rsidRPr="00BA0346">
        <w:rPr>
          <w:rFonts w:eastAsia="HiddenHorzOCR"/>
          <w:color w:val="000000" w:themeColor="text1"/>
          <w:szCs w:val="24"/>
        </w:rPr>
        <w:t>implicated</w:t>
      </w:r>
      <w:r w:rsidR="00BA0346">
        <w:rPr>
          <w:rFonts w:eastAsia="HiddenHorzOCR"/>
          <w:color w:val="000000" w:themeColor="text1"/>
          <w:szCs w:val="24"/>
        </w:rPr>
        <w:t xml:space="preserve"> </w:t>
      </w:r>
      <w:r w:rsidR="00BA0346" w:rsidRPr="00BA0346">
        <w:rPr>
          <w:rFonts w:eastAsia="HiddenHorzOCR"/>
          <w:color w:val="000000" w:themeColor="text1"/>
          <w:szCs w:val="24"/>
        </w:rPr>
        <w:t xml:space="preserve">in the </w:t>
      </w:r>
      <w:r w:rsidR="006D583E">
        <w:rPr>
          <w:rFonts w:eastAsia="HiddenHorzOCR"/>
          <w:color w:val="000000" w:themeColor="text1"/>
          <w:szCs w:val="24"/>
        </w:rPr>
        <w:t>c</w:t>
      </w:r>
      <w:r w:rsidR="00BA0346" w:rsidRPr="00BA0346">
        <w:rPr>
          <w:rFonts w:eastAsia="HiddenHorzOCR"/>
          <w:color w:val="000000" w:themeColor="text1"/>
          <w:szCs w:val="24"/>
        </w:rPr>
        <w:t>ommander’s statement</w:t>
      </w:r>
      <w:r w:rsidR="00BA0346">
        <w:rPr>
          <w:rFonts w:eastAsia="HiddenHorzOCR"/>
          <w:color w:val="000000" w:themeColor="text1"/>
          <w:szCs w:val="24"/>
        </w:rPr>
        <w:t xml:space="preserve">.  </w:t>
      </w:r>
      <w:r w:rsidR="00BA0346" w:rsidRPr="001F29F9">
        <w:rPr>
          <w:color w:val="000000" w:themeColor="text1"/>
          <w:szCs w:val="24"/>
        </w:rPr>
        <w:t xml:space="preserve">There was no evidence for concluding that </w:t>
      </w:r>
      <w:r w:rsidR="00BA0346">
        <w:rPr>
          <w:color w:val="000000" w:themeColor="text1"/>
          <w:szCs w:val="24"/>
        </w:rPr>
        <w:t>either the back or IBS conditions</w:t>
      </w:r>
      <w:r w:rsidR="00BA0346" w:rsidRPr="001F29F9">
        <w:rPr>
          <w:color w:val="000000" w:themeColor="text1"/>
          <w:szCs w:val="24"/>
        </w:rPr>
        <w:t xml:space="preserve"> interfered with duty performance to a degree that could be argued as unfitting.</w:t>
      </w:r>
      <w:r w:rsidR="00BA0346">
        <w:rPr>
          <w:color w:val="000000" w:themeColor="text1"/>
          <w:szCs w:val="24"/>
        </w:rPr>
        <w:t xml:space="preserve">  </w:t>
      </w:r>
      <w:r w:rsidR="00C41E4C">
        <w:rPr>
          <w:color w:val="000000" w:themeColor="text1"/>
          <w:szCs w:val="24"/>
        </w:rPr>
        <w:t xml:space="preserve">There was no diagnosis of PTSD (or any other AXIS I mental health disorder) or tinnitus </w:t>
      </w:r>
      <w:r w:rsidR="00C41E4C">
        <w:rPr>
          <w:color w:val="000000" w:themeColor="text1"/>
          <w:szCs w:val="24"/>
        </w:rPr>
        <w:lastRenderedPageBreak/>
        <w:t xml:space="preserve">documented in </w:t>
      </w:r>
      <w:r w:rsidR="00C41E4C" w:rsidRPr="00C55023">
        <w:rPr>
          <w:color w:val="000000" w:themeColor="text1"/>
          <w:szCs w:val="24"/>
        </w:rPr>
        <w:t>the DES file</w:t>
      </w:r>
      <w:r w:rsidR="00C41E4C" w:rsidRPr="00C55023">
        <w:rPr>
          <w:i/>
          <w:color w:val="000000" w:themeColor="text1"/>
          <w:sz w:val="20"/>
          <w:szCs w:val="24"/>
        </w:rPr>
        <w:t xml:space="preserve">.  </w:t>
      </w:r>
      <w:r w:rsidR="00C41E4C" w:rsidRPr="00C55023">
        <w:rPr>
          <w:color w:val="000000" w:themeColor="text1"/>
          <w:szCs w:val="24"/>
        </w:rPr>
        <w:t>The</w:t>
      </w:r>
      <w:r w:rsidR="00C41E4C" w:rsidRPr="00C41E4C">
        <w:rPr>
          <w:color w:val="000000" w:themeColor="text1"/>
          <w:szCs w:val="24"/>
        </w:rPr>
        <w:t xml:space="preserve"> Board does not have the</w:t>
      </w:r>
      <w:r w:rsidR="00C41E4C">
        <w:rPr>
          <w:color w:val="000000" w:themeColor="text1"/>
          <w:szCs w:val="24"/>
        </w:rPr>
        <w:t xml:space="preserve"> </w:t>
      </w:r>
      <w:r w:rsidR="00C41E4C" w:rsidRPr="00C41E4C">
        <w:rPr>
          <w:color w:val="000000" w:themeColor="text1"/>
          <w:szCs w:val="24"/>
        </w:rPr>
        <w:t>authority under DoDI 6040.44 to render fitness or rating recommendations for any conditions not</w:t>
      </w:r>
      <w:r w:rsidR="00C41E4C">
        <w:rPr>
          <w:color w:val="000000" w:themeColor="text1"/>
          <w:szCs w:val="24"/>
        </w:rPr>
        <w:t xml:space="preserve"> </w:t>
      </w:r>
      <w:r w:rsidR="00C41E4C" w:rsidRPr="00C41E4C">
        <w:rPr>
          <w:color w:val="000000" w:themeColor="text1"/>
          <w:szCs w:val="24"/>
        </w:rPr>
        <w:t>considered by the DES.</w:t>
      </w:r>
      <w:r w:rsidR="002D1140">
        <w:rPr>
          <w:color w:val="000000" w:themeColor="text1"/>
          <w:szCs w:val="24"/>
        </w:rPr>
        <w:t xml:space="preserve">  </w:t>
      </w:r>
      <w:r w:rsidRPr="001F29F9">
        <w:rPr>
          <w:color w:val="000000" w:themeColor="text1"/>
          <w:szCs w:val="24"/>
        </w:rPr>
        <w:t>The Board determined therefore that none of the sta</w:t>
      </w:r>
      <w:r w:rsidR="0028261C" w:rsidRPr="001F29F9">
        <w:rPr>
          <w:color w:val="000000" w:themeColor="text1"/>
          <w:szCs w:val="24"/>
        </w:rPr>
        <w:t>ted conditions were subject to s</w:t>
      </w:r>
      <w:r w:rsidRPr="001F29F9">
        <w:rPr>
          <w:color w:val="000000" w:themeColor="text1"/>
          <w:szCs w:val="24"/>
        </w:rPr>
        <w:t>ervice disability rating.</w:t>
      </w:r>
    </w:p>
    <w:p w:rsidR="00F6196E" w:rsidRPr="001F29F9" w:rsidRDefault="00F6196E" w:rsidP="006364ED">
      <w:pPr>
        <w:jc w:val="left"/>
        <w:rPr>
          <w:rFonts w:eastAsia="HiddenHorzOCR"/>
          <w:color w:val="000000" w:themeColor="text1"/>
          <w:szCs w:val="24"/>
        </w:rPr>
      </w:pPr>
    </w:p>
    <w:p w:rsidR="007C3E5A" w:rsidRPr="001F29F9" w:rsidRDefault="003C247E" w:rsidP="003C247E">
      <w:pPr>
        <w:jc w:val="both"/>
        <w:rPr>
          <w:color w:val="000000" w:themeColor="text1"/>
          <w:szCs w:val="24"/>
        </w:rPr>
      </w:pPr>
      <w:proofErr w:type="gramStart"/>
      <w:r w:rsidRPr="00647EEB">
        <w:rPr>
          <w:color w:val="000000" w:themeColor="text1"/>
          <w:szCs w:val="24"/>
          <w:u w:val="single"/>
        </w:rPr>
        <w:t>Remaining Conditions</w:t>
      </w:r>
      <w:r w:rsidRPr="00647EEB">
        <w:rPr>
          <w:color w:val="000000" w:themeColor="text1"/>
          <w:szCs w:val="24"/>
        </w:rPr>
        <w:t>.</w:t>
      </w:r>
      <w:proofErr w:type="gramEnd"/>
      <w:r w:rsidRPr="00647EEB">
        <w:rPr>
          <w:color w:val="000000" w:themeColor="text1"/>
          <w:szCs w:val="24"/>
        </w:rPr>
        <w:t xml:space="preserve">  Other conditions identified in the DES file were </w:t>
      </w:r>
      <w:r w:rsidR="00647EEB" w:rsidRPr="00647EEB">
        <w:rPr>
          <w:color w:val="000000" w:themeColor="text1"/>
          <w:szCs w:val="24"/>
        </w:rPr>
        <w:t>mild hearing loss, abdominal pain, wrist pain</w:t>
      </w:r>
      <w:r w:rsidR="002D1140">
        <w:rPr>
          <w:color w:val="000000" w:themeColor="text1"/>
          <w:szCs w:val="24"/>
        </w:rPr>
        <w:t>,</w:t>
      </w:r>
      <w:r w:rsidR="00647EEB" w:rsidRPr="00647EEB">
        <w:rPr>
          <w:color w:val="000000" w:themeColor="text1"/>
          <w:szCs w:val="24"/>
        </w:rPr>
        <w:t xml:space="preserve"> a</w:t>
      </w:r>
      <w:r w:rsidR="002D1140">
        <w:rPr>
          <w:color w:val="000000" w:themeColor="text1"/>
          <w:szCs w:val="24"/>
        </w:rPr>
        <w:t>nd</w:t>
      </w:r>
      <w:r w:rsidR="00647EEB" w:rsidRPr="00647EEB">
        <w:rPr>
          <w:color w:val="000000" w:themeColor="text1"/>
          <w:szCs w:val="24"/>
        </w:rPr>
        <w:t xml:space="preserve"> cyst removal</w:t>
      </w:r>
      <w:r w:rsidRPr="00647EEB">
        <w:rPr>
          <w:color w:val="000000" w:themeColor="text1"/>
          <w:szCs w:val="24"/>
        </w:rPr>
        <w:t xml:space="preserve">.  Several additional non-acute conditions or medical complaints were also documented.  None of these conditions were </w:t>
      </w:r>
      <w:r w:rsidR="000E63B8" w:rsidRPr="00647EEB">
        <w:rPr>
          <w:color w:val="auto"/>
          <w:szCs w:val="24"/>
        </w:rPr>
        <w:t>significantly clinically or occupationally</w:t>
      </w:r>
      <w:r w:rsidR="000E63B8" w:rsidRPr="00647EEB">
        <w:rPr>
          <w:rFonts w:asciiTheme="minorHAnsi" w:hAnsiTheme="minorHAnsi"/>
          <w:color w:val="auto"/>
          <w:szCs w:val="24"/>
        </w:rPr>
        <w:t xml:space="preserve"> active </w:t>
      </w:r>
      <w:r w:rsidRPr="00647EEB">
        <w:rPr>
          <w:color w:val="000000" w:themeColor="text1"/>
          <w:szCs w:val="24"/>
        </w:rPr>
        <w:t>during the MEB period</w:t>
      </w:r>
      <w:r w:rsidR="0080588E" w:rsidRPr="00647EEB">
        <w:rPr>
          <w:color w:val="000000" w:themeColor="text1"/>
          <w:szCs w:val="24"/>
        </w:rPr>
        <w:t>,</w:t>
      </w:r>
      <w:r w:rsidRPr="00647EEB">
        <w:rPr>
          <w:color w:val="000000" w:themeColor="text1"/>
          <w:szCs w:val="24"/>
        </w:rPr>
        <w:t xml:space="preserve"> none carried attached profiles</w:t>
      </w:r>
      <w:r w:rsidR="0080588E" w:rsidRPr="00647EEB">
        <w:rPr>
          <w:color w:val="000000" w:themeColor="text1"/>
          <w:szCs w:val="24"/>
        </w:rPr>
        <w:t>,</w:t>
      </w:r>
      <w:r w:rsidRPr="00647EEB">
        <w:rPr>
          <w:color w:val="000000" w:themeColor="text1"/>
          <w:szCs w:val="24"/>
        </w:rPr>
        <w:t xml:space="preserve"> and none were implicated in the </w:t>
      </w:r>
      <w:r w:rsidR="0080588E" w:rsidRPr="00647EEB">
        <w:rPr>
          <w:color w:val="000000" w:themeColor="text1"/>
          <w:szCs w:val="24"/>
        </w:rPr>
        <w:t>c</w:t>
      </w:r>
      <w:r w:rsidRPr="00647EEB">
        <w:rPr>
          <w:color w:val="000000" w:themeColor="text1"/>
          <w:szCs w:val="24"/>
        </w:rPr>
        <w:t xml:space="preserve">ommander’s statement.  These conditions were reviewed by the </w:t>
      </w:r>
      <w:r w:rsidR="0080588E" w:rsidRPr="00647EEB">
        <w:rPr>
          <w:color w:val="000000" w:themeColor="text1"/>
          <w:szCs w:val="24"/>
        </w:rPr>
        <w:t xml:space="preserve">action officer </w:t>
      </w:r>
      <w:r w:rsidRPr="00647EEB">
        <w:rPr>
          <w:color w:val="000000" w:themeColor="text1"/>
          <w:szCs w:val="24"/>
        </w:rPr>
        <w:t xml:space="preserve">and considered by the Board.  It was determined that none could be argued as unfitting and subject to separation rating.  No other conditions were service connected with a compensable rating by the VA within </w:t>
      </w:r>
      <w:r w:rsidR="0080588E" w:rsidRPr="00647EEB">
        <w:rPr>
          <w:color w:val="000000" w:themeColor="text1"/>
          <w:szCs w:val="24"/>
        </w:rPr>
        <w:t>12</w:t>
      </w:r>
      <w:r w:rsidRPr="00647EEB">
        <w:rPr>
          <w:color w:val="000000" w:themeColor="text1"/>
          <w:szCs w:val="24"/>
        </w:rPr>
        <w:t xml:space="preserve"> months of separation or contended by the CI.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1C09D4" w:rsidRPr="001C09D4" w:rsidRDefault="00C56FC8" w:rsidP="001C09D4">
      <w:pPr>
        <w:jc w:val="both"/>
        <w:rPr>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w:t>
      </w:r>
      <w:r w:rsidRPr="001C09D4">
        <w:rPr>
          <w:color w:val="000000" w:themeColor="text1"/>
          <w:szCs w:val="24"/>
        </w:rPr>
        <w:t xml:space="preserve">IAW DoDI 6040.44, provisions of DoD or Military Department regulations or guidelines relied upon by </w:t>
      </w:r>
      <w:r w:rsidRPr="00C55023">
        <w:rPr>
          <w:color w:val="000000" w:themeColor="text1"/>
          <w:szCs w:val="24"/>
        </w:rPr>
        <w:t>the PEB will not be considered by the Board to the extent they were inconsistent with the VASRD in effect at the time of the adjudication.</w:t>
      </w:r>
      <w:r w:rsidR="001C09D4" w:rsidRPr="00C55023">
        <w:rPr>
          <w:color w:val="000000" w:themeColor="text1"/>
          <w:szCs w:val="24"/>
        </w:rPr>
        <w:t xml:space="preserve">  As discussed above, PEB reliance on the USAPDA pain policy for rating the right ankle condition was operant in this case and the condition was adjudicated independently of that policy by the Board.</w:t>
      </w:r>
      <w:r w:rsidR="002D1140" w:rsidRPr="00C55023">
        <w:rPr>
          <w:color w:val="000000" w:themeColor="text1"/>
          <w:szCs w:val="24"/>
        </w:rPr>
        <w:t xml:space="preserve">  </w:t>
      </w:r>
      <w:r w:rsidR="001C09D4" w:rsidRPr="00C55023">
        <w:rPr>
          <w:color w:val="000000" w:themeColor="text1"/>
          <w:szCs w:val="24"/>
        </w:rPr>
        <w:t>In the matter of the right ankle condition</w:t>
      </w:r>
      <w:r w:rsidR="002D1140" w:rsidRPr="00C55023">
        <w:rPr>
          <w:color w:val="000000" w:themeColor="text1"/>
          <w:szCs w:val="24"/>
        </w:rPr>
        <w:t>,</w:t>
      </w:r>
      <w:r w:rsidR="001C09D4" w:rsidRPr="00C55023">
        <w:rPr>
          <w:color w:val="000000" w:themeColor="text1"/>
          <w:szCs w:val="24"/>
        </w:rPr>
        <w:t xml:space="preserve"> and IAW VASRD §4.71a, the Board unanimously recommends no change in the PEB adjudication at separation.</w:t>
      </w:r>
      <w:r w:rsidR="002D1140" w:rsidRPr="00C55023">
        <w:rPr>
          <w:color w:val="000000" w:themeColor="text1"/>
          <w:szCs w:val="24"/>
        </w:rPr>
        <w:t xml:space="preserve">  </w:t>
      </w:r>
      <w:r w:rsidR="001C09D4" w:rsidRPr="00C55023">
        <w:rPr>
          <w:rFonts w:cs="Calibri"/>
          <w:color w:val="000000" w:themeColor="text1"/>
          <w:szCs w:val="24"/>
        </w:rPr>
        <w:t xml:space="preserve">In the matter of the </w:t>
      </w:r>
      <w:r w:rsidR="002D1140" w:rsidRPr="00C55023">
        <w:rPr>
          <w:rFonts w:cs="Calibri"/>
          <w:color w:val="000000" w:themeColor="text1"/>
          <w:szCs w:val="24"/>
        </w:rPr>
        <w:t>low back pain</w:t>
      </w:r>
      <w:r w:rsidR="001C09D4" w:rsidRPr="00C55023">
        <w:rPr>
          <w:rFonts w:cs="Calibri"/>
          <w:color w:val="000000" w:themeColor="text1"/>
          <w:szCs w:val="24"/>
        </w:rPr>
        <w:t xml:space="preserve"> and </w:t>
      </w:r>
      <w:r w:rsidR="002D1140" w:rsidRPr="00C55023">
        <w:rPr>
          <w:rFonts w:cs="Calibri"/>
          <w:color w:val="000000" w:themeColor="text1"/>
          <w:szCs w:val="24"/>
        </w:rPr>
        <w:t>irritable bowel syndrome</w:t>
      </w:r>
      <w:r w:rsidR="001C09D4" w:rsidRPr="00C55023">
        <w:rPr>
          <w:rFonts w:cs="Calibri"/>
          <w:color w:val="000000" w:themeColor="text1"/>
          <w:szCs w:val="24"/>
        </w:rPr>
        <w:t xml:space="preserve"> conditions or any other medical conditions eligible for Board consideration, the Board unanimously agrees that it cannot recommend any findings of unfit for additional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6B4AA2" w:rsidRPr="002D0A1C" w:rsidRDefault="00C56FC8" w:rsidP="001C09D4">
      <w:pPr>
        <w:jc w:val="left"/>
        <w:rPr>
          <w:color w:val="auto"/>
        </w:rPr>
      </w:pPr>
      <w:r w:rsidRPr="001F29F9">
        <w:rPr>
          <w:color w:val="000000" w:themeColor="text1"/>
          <w:szCs w:val="24"/>
          <w:u w:val="single"/>
        </w:rPr>
        <w:t>RECOMMENDATION</w:t>
      </w:r>
      <w:r w:rsidRPr="001F29F9">
        <w:rPr>
          <w:color w:val="000000" w:themeColor="text1"/>
          <w:szCs w:val="24"/>
        </w:rPr>
        <w:t>:</w:t>
      </w:r>
      <w:r w:rsidR="001C09D4">
        <w:rPr>
          <w:color w:val="000000" w:themeColor="text1"/>
        </w:rPr>
        <w:t xml:space="preserve">  </w:t>
      </w:r>
      <w:r w:rsidRPr="001F29F9">
        <w:rPr>
          <w:color w:val="000000" w:themeColor="text1"/>
          <w:szCs w:val="24"/>
        </w:rPr>
        <w:t>The Board</w:t>
      </w:r>
      <w:r w:rsidR="006A543A" w:rsidRPr="001F29F9">
        <w:rPr>
          <w:color w:val="000000" w:themeColor="text1"/>
          <w:szCs w:val="24"/>
        </w:rPr>
        <w:t>,</w:t>
      </w:r>
      <w:r w:rsidRPr="001F29F9">
        <w:rPr>
          <w:color w:val="000000" w:themeColor="text1"/>
          <w:szCs w:val="24"/>
        </w:rPr>
        <w:t xml:space="preserve"> therefore</w:t>
      </w:r>
      <w:r w:rsidR="006A543A" w:rsidRPr="001F29F9">
        <w:rPr>
          <w:color w:val="000000" w:themeColor="text1"/>
          <w:szCs w:val="24"/>
        </w:rPr>
        <w:t>,</w:t>
      </w:r>
      <w:r w:rsidRPr="001F29F9">
        <w:rPr>
          <w:color w:val="000000" w:themeColor="text1"/>
          <w:szCs w:val="24"/>
        </w:rPr>
        <w:t xml:space="preserve"> recommends that there be no recharacterization of the CI’s disability and separation determination</w:t>
      </w:r>
      <w:r w:rsidR="008C3FD0" w:rsidRPr="001F29F9">
        <w:rPr>
          <w:color w:val="000000" w:themeColor="text1"/>
          <w:szCs w:val="24"/>
        </w:rPr>
        <w:t>,</w:t>
      </w:r>
      <w:r w:rsidR="00BD2A49" w:rsidRPr="001F29F9">
        <w:rPr>
          <w:color w:val="000000" w:themeColor="text1"/>
          <w:szCs w:val="24"/>
        </w:rPr>
        <w:t xml:space="preserve"> as follows:</w:t>
      </w:r>
      <w:r w:rsidR="003604A5" w:rsidRPr="001F29F9">
        <w:rPr>
          <w:color w:val="000000" w:themeColor="text1"/>
          <w:szCs w:val="24"/>
        </w:rPr>
        <w:t xml:space="preserve"> </w:t>
      </w:r>
    </w:p>
    <w:p w:rsidR="00BA6A9C" w:rsidRPr="002D0A1C" w:rsidRDefault="00BA6A9C" w:rsidP="00BF0E94">
      <w:pPr>
        <w:tabs>
          <w:tab w:val="left" w:pos="288"/>
          <w:tab w:val="left" w:pos="4752"/>
        </w:tabs>
        <w:jc w:val="both"/>
        <w:rPr>
          <w:color w:val="auto"/>
        </w:rPr>
      </w:pPr>
    </w:p>
    <w:tbl>
      <w:tblPr>
        <w:tblW w:w="9387" w:type="dxa"/>
        <w:jc w:val="center"/>
        <w:tblInd w:w="1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07"/>
        <w:gridCol w:w="1710"/>
        <w:gridCol w:w="1170"/>
      </w:tblGrid>
      <w:tr w:rsidR="00A95BBA" w:rsidRPr="002D0A1C" w:rsidTr="00753B2F">
        <w:trPr>
          <w:trHeight w:val="233"/>
          <w:jc w:val="center"/>
        </w:trPr>
        <w:tc>
          <w:tcPr>
            <w:tcW w:w="6507" w:type="dxa"/>
            <w:shd w:val="clear" w:color="auto" w:fill="D9D9D9"/>
            <w:vAlign w:val="center"/>
          </w:tcPr>
          <w:p w:rsidR="00A95BBA" w:rsidRPr="002D0A1C" w:rsidRDefault="00A95BBA" w:rsidP="00753B2F">
            <w:pPr>
              <w:tabs>
                <w:tab w:val="left" w:pos="288"/>
                <w:tab w:val="left" w:pos="4752"/>
              </w:tabs>
              <w:rPr>
                <w:b/>
                <w:color w:val="auto"/>
                <w:szCs w:val="24"/>
              </w:rPr>
            </w:pPr>
            <w:r w:rsidRPr="002D0A1C">
              <w:rPr>
                <w:b/>
                <w:color w:val="auto"/>
                <w:szCs w:val="24"/>
              </w:rPr>
              <w:t>UNFITTING CONDITION</w:t>
            </w:r>
          </w:p>
        </w:tc>
        <w:tc>
          <w:tcPr>
            <w:tcW w:w="1710" w:type="dxa"/>
            <w:shd w:val="clear" w:color="auto" w:fill="D9D9D9"/>
            <w:vAlign w:val="center"/>
          </w:tcPr>
          <w:p w:rsidR="00A95BBA" w:rsidRPr="002D0A1C" w:rsidRDefault="00A95BBA" w:rsidP="00753B2F">
            <w:pPr>
              <w:tabs>
                <w:tab w:val="left" w:pos="288"/>
                <w:tab w:val="left" w:pos="4752"/>
              </w:tabs>
              <w:rPr>
                <w:b/>
                <w:color w:val="auto"/>
                <w:szCs w:val="24"/>
              </w:rPr>
            </w:pPr>
            <w:r w:rsidRPr="002D0A1C">
              <w:rPr>
                <w:b/>
                <w:color w:val="auto"/>
                <w:szCs w:val="24"/>
              </w:rPr>
              <w:t>VASRD CODE</w:t>
            </w:r>
          </w:p>
        </w:tc>
        <w:tc>
          <w:tcPr>
            <w:tcW w:w="1170" w:type="dxa"/>
            <w:shd w:val="clear" w:color="auto" w:fill="D9D9D9"/>
            <w:vAlign w:val="center"/>
          </w:tcPr>
          <w:p w:rsidR="00A95BBA" w:rsidRPr="002D0A1C" w:rsidRDefault="00A95BBA" w:rsidP="00753B2F">
            <w:pPr>
              <w:tabs>
                <w:tab w:val="left" w:pos="288"/>
                <w:tab w:val="left" w:pos="4752"/>
              </w:tabs>
              <w:rPr>
                <w:b/>
                <w:color w:val="auto"/>
                <w:szCs w:val="24"/>
              </w:rPr>
            </w:pPr>
            <w:r w:rsidRPr="002D0A1C">
              <w:rPr>
                <w:b/>
                <w:color w:val="auto"/>
                <w:szCs w:val="24"/>
              </w:rPr>
              <w:t>RATING</w:t>
            </w:r>
          </w:p>
        </w:tc>
      </w:tr>
      <w:tr w:rsidR="00A95BBA" w:rsidRPr="002D0A1C" w:rsidTr="00753B2F">
        <w:trPr>
          <w:jc w:val="center"/>
        </w:trPr>
        <w:tc>
          <w:tcPr>
            <w:tcW w:w="6507" w:type="dxa"/>
            <w:vAlign w:val="center"/>
          </w:tcPr>
          <w:p w:rsidR="00A95BBA" w:rsidRPr="002D0A1C" w:rsidRDefault="00A236BB" w:rsidP="00753B2F">
            <w:pPr>
              <w:tabs>
                <w:tab w:val="left" w:pos="288"/>
                <w:tab w:val="left" w:pos="4752"/>
              </w:tabs>
              <w:jc w:val="left"/>
              <w:rPr>
                <w:color w:val="auto"/>
                <w:szCs w:val="24"/>
              </w:rPr>
            </w:pPr>
            <w:r w:rsidRPr="002D0A1C">
              <w:rPr>
                <w:rFonts w:cs="Calibri"/>
                <w:color w:val="auto"/>
                <w:szCs w:val="24"/>
              </w:rPr>
              <w:t xml:space="preserve">Chronic Right Ankle Pain, Status Post Multiple Ankle Injuries And Modified </w:t>
            </w:r>
            <w:proofErr w:type="spellStart"/>
            <w:r w:rsidRPr="002D0A1C">
              <w:rPr>
                <w:rFonts w:cs="Calibri"/>
                <w:color w:val="auto"/>
                <w:szCs w:val="24"/>
              </w:rPr>
              <w:t>Brostrom</w:t>
            </w:r>
            <w:proofErr w:type="spellEnd"/>
            <w:r w:rsidRPr="002D0A1C">
              <w:rPr>
                <w:rFonts w:cs="Calibri"/>
                <w:color w:val="auto"/>
                <w:szCs w:val="24"/>
              </w:rPr>
              <w:t xml:space="preserve"> Procedure</w:t>
            </w:r>
          </w:p>
        </w:tc>
        <w:tc>
          <w:tcPr>
            <w:tcW w:w="1710" w:type="dxa"/>
            <w:vAlign w:val="center"/>
          </w:tcPr>
          <w:p w:rsidR="00A95BBA" w:rsidRPr="002D0A1C" w:rsidRDefault="001C09D4" w:rsidP="00753B2F">
            <w:pPr>
              <w:tabs>
                <w:tab w:val="left" w:pos="288"/>
                <w:tab w:val="left" w:pos="4752"/>
              </w:tabs>
              <w:rPr>
                <w:color w:val="auto"/>
                <w:szCs w:val="24"/>
              </w:rPr>
            </w:pPr>
            <w:r w:rsidRPr="002D0A1C">
              <w:rPr>
                <w:color w:val="auto"/>
                <w:szCs w:val="24"/>
              </w:rPr>
              <w:t>5099-5003</w:t>
            </w:r>
          </w:p>
        </w:tc>
        <w:tc>
          <w:tcPr>
            <w:tcW w:w="1170" w:type="dxa"/>
            <w:vAlign w:val="center"/>
          </w:tcPr>
          <w:p w:rsidR="00A95BBA" w:rsidRPr="002D0A1C" w:rsidRDefault="00A236BB" w:rsidP="00753B2F">
            <w:pPr>
              <w:tabs>
                <w:tab w:val="left" w:pos="288"/>
                <w:tab w:val="left" w:pos="4752"/>
              </w:tabs>
              <w:rPr>
                <w:color w:val="auto"/>
                <w:szCs w:val="24"/>
              </w:rPr>
            </w:pPr>
            <w:r w:rsidRPr="002D0A1C">
              <w:rPr>
                <w:color w:val="auto"/>
                <w:szCs w:val="24"/>
              </w:rPr>
              <w:t>10</w:t>
            </w:r>
            <w:r w:rsidR="00A95BBA" w:rsidRPr="002D0A1C">
              <w:rPr>
                <w:color w:val="auto"/>
                <w:szCs w:val="24"/>
              </w:rPr>
              <w:t>%</w:t>
            </w:r>
          </w:p>
        </w:tc>
      </w:tr>
      <w:tr w:rsidR="00A95BBA" w:rsidRPr="002D0A1C" w:rsidTr="00753B2F">
        <w:tblPrEx>
          <w:tblLook w:val="0000"/>
        </w:tblPrEx>
        <w:trPr>
          <w:gridBefore w:val="1"/>
          <w:wBefore w:w="6507"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D0A1C" w:rsidRDefault="00A95BBA" w:rsidP="00753B2F">
            <w:pPr>
              <w:tabs>
                <w:tab w:val="left" w:pos="288"/>
                <w:tab w:val="left" w:pos="4752"/>
              </w:tabs>
              <w:rPr>
                <w:b/>
                <w:color w:val="auto"/>
                <w:szCs w:val="24"/>
              </w:rPr>
            </w:pPr>
            <w:r w:rsidRPr="002D0A1C">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D0A1C" w:rsidRDefault="00A236BB" w:rsidP="00753B2F">
            <w:pPr>
              <w:tabs>
                <w:tab w:val="left" w:pos="288"/>
                <w:tab w:val="left" w:pos="4752"/>
              </w:tabs>
              <w:rPr>
                <w:b/>
                <w:color w:val="auto"/>
                <w:szCs w:val="24"/>
              </w:rPr>
            </w:pPr>
            <w:r w:rsidRPr="002D0A1C">
              <w:rPr>
                <w:b/>
                <w:color w:val="auto"/>
                <w:szCs w:val="24"/>
              </w:rPr>
              <w:t>10</w:t>
            </w:r>
            <w:r w:rsidR="00A95BBA" w:rsidRPr="002D0A1C">
              <w:rPr>
                <w:b/>
                <w:color w:val="auto"/>
                <w:szCs w:val="24"/>
              </w:rPr>
              <w:t>%</w:t>
            </w:r>
          </w:p>
        </w:tc>
      </w:tr>
    </w:tbl>
    <w:p w:rsidR="005B1D09" w:rsidRPr="002D0A1C" w:rsidRDefault="005B1D09" w:rsidP="00BF0E94">
      <w:pPr>
        <w:pBdr>
          <w:bottom w:val="single" w:sz="12" w:space="1" w:color="auto"/>
        </w:pBdr>
        <w:tabs>
          <w:tab w:val="left" w:pos="288"/>
          <w:tab w:val="left" w:pos="4752"/>
        </w:tabs>
        <w:jc w:val="both"/>
        <w:rPr>
          <w:color w:val="auto"/>
        </w:rPr>
      </w:pPr>
    </w:p>
    <w:p w:rsidR="005B1D09" w:rsidRPr="001F29F9" w:rsidRDefault="005B1D09" w:rsidP="004E333A">
      <w:pPr>
        <w:jc w:val="left"/>
        <w:rPr>
          <w:color w:val="000000" w:themeColor="text1"/>
          <w:szCs w:val="24"/>
        </w:rPr>
      </w:pPr>
    </w:p>
    <w:p w:rsidR="00D91DA6" w:rsidRPr="001F29F9" w:rsidRDefault="00FB1725" w:rsidP="004E333A">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4E333A">
      <w:pPr>
        <w:tabs>
          <w:tab w:val="left" w:pos="288"/>
          <w:tab w:val="left" w:pos="4752"/>
        </w:tabs>
        <w:jc w:val="both"/>
        <w:rPr>
          <w:color w:val="000000" w:themeColor="text1"/>
        </w:rPr>
      </w:pPr>
    </w:p>
    <w:p w:rsidR="00114F20" w:rsidRPr="001F29F9" w:rsidRDefault="00FB1725" w:rsidP="004E333A">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4E0172">
        <w:rPr>
          <w:color w:val="000000" w:themeColor="text1"/>
          <w:szCs w:val="24"/>
        </w:rPr>
        <w:t>10901</w:t>
      </w:r>
      <w:r w:rsidR="006D583E">
        <w:rPr>
          <w:color w:val="000000" w:themeColor="text1"/>
        </w:rPr>
        <w:t>, w/</w:t>
      </w:r>
      <w:proofErr w:type="spellStart"/>
      <w:r w:rsidR="006D583E">
        <w:rPr>
          <w:color w:val="000000" w:themeColor="text1"/>
        </w:rPr>
        <w:t>atchs</w:t>
      </w:r>
      <w:proofErr w:type="spellEnd"/>
    </w:p>
    <w:p w:rsidR="00114F20" w:rsidRPr="001F29F9" w:rsidRDefault="00FB1725" w:rsidP="004E333A">
      <w:pPr>
        <w:tabs>
          <w:tab w:val="left" w:pos="288"/>
          <w:tab w:val="left" w:pos="4752"/>
        </w:tabs>
        <w:jc w:val="both"/>
        <w:rPr>
          <w:color w:val="000000" w:themeColor="text1"/>
        </w:rPr>
      </w:pPr>
      <w:r w:rsidRPr="001F29F9">
        <w:rPr>
          <w:color w:val="000000" w:themeColor="text1"/>
        </w:rPr>
        <w:t>Exhib</w:t>
      </w:r>
      <w:r w:rsidR="006D583E">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6D583E">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606FA2" w:rsidRDefault="00606FA2">
      <w:pPr>
        <w:rPr>
          <w:color w:val="000000" w:themeColor="text1"/>
          <w:szCs w:val="24"/>
        </w:rPr>
      </w:pPr>
      <w:r>
        <w:rPr>
          <w:color w:val="000000" w:themeColor="text1"/>
          <w:szCs w:val="24"/>
        </w:rPr>
        <w:br w:type="page"/>
      </w:r>
    </w:p>
    <w:p w:rsidR="00606FA2" w:rsidRPr="00606FA2" w:rsidRDefault="00606FA2" w:rsidP="00606FA2">
      <w:pPr>
        <w:pStyle w:val="Header"/>
        <w:tabs>
          <w:tab w:val="left" w:pos="720"/>
        </w:tabs>
        <w:jc w:val="left"/>
        <w:rPr>
          <w:color w:val="auto"/>
        </w:rPr>
      </w:pPr>
      <w:r w:rsidRPr="00606FA2">
        <w:rPr>
          <w:color w:val="auto"/>
        </w:rPr>
        <w:lastRenderedPageBreak/>
        <w:t>SFMR-RB</w:t>
      </w:r>
      <w:r w:rsidRPr="00606FA2">
        <w:rPr>
          <w:color w:val="auto"/>
        </w:rPr>
        <w:tab/>
      </w:r>
      <w:r w:rsidRPr="00606FA2">
        <w:rPr>
          <w:color w:val="auto"/>
        </w:rPr>
        <w:tab/>
      </w:r>
      <w:r w:rsidRPr="00606FA2">
        <w:rPr>
          <w:color w:val="auto"/>
        </w:rPr>
        <w:tab/>
      </w:r>
      <w:r w:rsidRPr="00606FA2">
        <w:rPr>
          <w:color w:val="auto"/>
        </w:rPr>
        <w:tab/>
      </w:r>
      <w:r w:rsidRPr="00606FA2">
        <w:rPr>
          <w:color w:val="auto"/>
        </w:rPr>
        <w:tab/>
      </w:r>
      <w:r w:rsidRPr="00606FA2">
        <w:rPr>
          <w:color w:val="auto"/>
        </w:rPr>
        <w:tab/>
      </w:r>
      <w:r w:rsidRPr="00606FA2">
        <w:rPr>
          <w:color w:val="auto"/>
        </w:rPr>
        <w:tab/>
      </w:r>
      <w:r w:rsidRPr="00606FA2">
        <w:rPr>
          <w:color w:val="auto"/>
        </w:rPr>
        <w:tab/>
      </w:r>
      <w:r w:rsidRPr="00606FA2">
        <w:rPr>
          <w:color w:val="auto"/>
        </w:rPr>
        <w:tab/>
      </w:r>
    </w:p>
    <w:p w:rsidR="00606FA2" w:rsidRPr="00606FA2" w:rsidRDefault="00606FA2" w:rsidP="00606FA2">
      <w:pPr>
        <w:pStyle w:val="Header"/>
        <w:tabs>
          <w:tab w:val="left" w:pos="720"/>
        </w:tabs>
        <w:jc w:val="left"/>
        <w:rPr>
          <w:color w:val="auto"/>
        </w:rPr>
      </w:pPr>
    </w:p>
    <w:p w:rsidR="00606FA2" w:rsidRPr="00606FA2" w:rsidRDefault="00606FA2" w:rsidP="00606FA2">
      <w:pPr>
        <w:jc w:val="left"/>
        <w:rPr>
          <w:color w:val="auto"/>
        </w:rPr>
      </w:pPr>
    </w:p>
    <w:p w:rsidR="00606FA2" w:rsidRPr="00606FA2" w:rsidRDefault="00606FA2" w:rsidP="00606FA2">
      <w:pPr>
        <w:jc w:val="left"/>
        <w:rPr>
          <w:color w:val="auto"/>
        </w:rPr>
      </w:pPr>
      <w:r w:rsidRPr="00606FA2">
        <w:rPr>
          <w:color w:val="auto"/>
        </w:rPr>
        <w:t xml:space="preserve">MEMORANDUM FOR Commander, US Army Physical Disability Agency </w:t>
      </w:r>
    </w:p>
    <w:p w:rsidR="00606FA2" w:rsidRPr="00606FA2" w:rsidRDefault="00606FA2" w:rsidP="00606FA2">
      <w:pPr>
        <w:jc w:val="left"/>
        <w:rPr>
          <w:color w:val="auto"/>
        </w:rPr>
      </w:pPr>
      <w:r w:rsidRPr="00606FA2">
        <w:rPr>
          <w:color w:val="auto"/>
        </w:rPr>
        <w:t>(TAPD-ZB), 2900 Crystal Drive, Suite 300, Arlington, VA  22202</w:t>
      </w:r>
    </w:p>
    <w:p w:rsidR="00606FA2" w:rsidRPr="00606FA2" w:rsidRDefault="00606FA2" w:rsidP="00606FA2">
      <w:pPr>
        <w:jc w:val="left"/>
        <w:rPr>
          <w:color w:val="auto"/>
        </w:rPr>
      </w:pPr>
    </w:p>
    <w:p w:rsidR="00606FA2" w:rsidRPr="00606FA2" w:rsidRDefault="00606FA2" w:rsidP="00606FA2">
      <w:pPr>
        <w:ind w:right="-180"/>
        <w:jc w:val="left"/>
        <w:rPr>
          <w:color w:val="auto"/>
        </w:rPr>
      </w:pPr>
      <w:r w:rsidRPr="00606FA2">
        <w:rPr>
          <w:color w:val="auto"/>
        </w:rPr>
        <w:t xml:space="preserve">SUBJECT:  Department of Defense Physical Disability Board of Review Recommendation for </w:t>
      </w:r>
      <w:r>
        <w:rPr>
          <w:color w:val="auto"/>
        </w:rPr>
        <w:t>XXXXXXXXXXXXXXXXXXXXXXXX</w:t>
      </w:r>
      <w:r w:rsidRPr="00606FA2">
        <w:rPr>
          <w:color w:val="auto"/>
        </w:rPr>
        <w:t xml:space="preserve"> (PD201100733)</w:t>
      </w:r>
    </w:p>
    <w:p w:rsidR="00606FA2" w:rsidRPr="00606FA2" w:rsidRDefault="00606FA2" w:rsidP="00606FA2">
      <w:pPr>
        <w:pStyle w:val="Header"/>
        <w:tabs>
          <w:tab w:val="left" w:pos="720"/>
        </w:tabs>
        <w:jc w:val="left"/>
        <w:rPr>
          <w:color w:val="auto"/>
        </w:rPr>
      </w:pPr>
    </w:p>
    <w:p w:rsidR="00606FA2" w:rsidRPr="00606FA2" w:rsidRDefault="00606FA2" w:rsidP="00606FA2">
      <w:pPr>
        <w:jc w:val="left"/>
        <w:rPr>
          <w:color w:val="auto"/>
        </w:rPr>
      </w:pPr>
    </w:p>
    <w:p w:rsidR="00606FA2" w:rsidRPr="00606FA2" w:rsidRDefault="00606FA2" w:rsidP="00606FA2">
      <w:pPr>
        <w:jc w:val="left"/>
        <w:rPr>
          <w:color w:val="auto"/>
        </w:rPr>
      </w:pPr>
      <w:r w:rsidRPr="00606FA2">
        <w:rPr>
          <w:color w:val="auto"/>
        </w:rPr>
        <w:t xml:space="preserve">I have reviewed the enclosed Department of Defense Physical Disability Board of Review (DoD PDBR) recommendation and record of proceedings pertaining to the subject individual.  Under the authority of Title 10, United States Code, section 1554a,   I accept the Board’s recommendation and hereby deny the individual’s application.  </w:t>
      </w:r>
    </w:p>
    <w:p w:rsidR="00606FA2" w:rsidRPr="00606FA2" w:rsidRDefault="00606FA2" w:rsidP="00606FA2">
      <w:pPr>
        <w:jc w:val="left"/>
        <w:rPr>
          <w:color w:val="auto"/>
        </w:rPr>
      </w:pPr>
      <w:r w:rsidRPr="00606FA2">
        <w:rPr>
          <w:color w:val="auto"/>
        </w:rPr>
        <w:t>This decision is final.  The individual concerned, counsel (if any), and any Members of Congress who have shown interest in this application have been notified of this decision by mail.</w:t>
      </w:r>
    </w:p>
    <w:p w:rsidR="00606FA2" w:rsidRPr="00606FA2" w:rsidRDefault="00606FA2" w:rsidP="00606FA2">
      <w:pPr>
        <w:jc w:val="left"/>
        <w:rPr>
          <w:color w:val="auto"/>
        </w:rPr>
      </w:pPr>
    </w:p>
    <w:p w:rsidR="00606FA2" w:rsidRPr="00606FA2" w:rsidRDefault="00606FA2" w:rsidP="00606FA2">
      <w:pPr>
        <w:jc w:val="left"/>
        <w:rPr>
          <w:color w:val="auto"/>
        </w:rPr>
      </w:pPr>
      <w:r w:rsidRPr="00606FA2">
        <w:rPr>
          <w:color w:val="auto"/>
        </w:rPr>
        <w:t xml:space="preserve"> BY ORDER OF THE SECRETARY OF THE ARMY:</w:t>
      </w:r>
    </w:p>
    <w:p w:rsidR="00606FA2" w:rsidRPr="00606FA2" w:rsidRDefault="00606FA2" w:rsidP="00606FA2">
      <w:pPr>
        <w:jc w:val="left"/>
        <w:rPr>
          <w:color w:val="auto"/>
        </w:rPr>
      </w:pPr>
    </w:p>
    <w:p w:rsidR="00606FA2" w:rsidRPr="00606FA2" w:rsidRDefault="00606FA2" w:rsidP="00606FA2">
      <w:pPr>
        <w:jc w:val="left"/>
        <w:rPr>
          <w:color w:val="auto"/>
        </w:rPr>
      </w:pPr>
    </w:p>
    <w:p w:rsidR="00606FA2" w:rsidRPr="00606FA2" w:rsidRDefault="00606FA2" w:rsidP="00606FA2">
      <w:pPr>
        <w:pStyle w:val="Header"/>
        <w:tabs>
          <w:tab w:val="left" w:pos="720"/>
        </w:tabs>
        <w:jc w:val="left"/>
        <w:rPr>
          <w:color w:val="auto"/>
        </w:rPr>
      </w:pPr>
    </w:p>
    <w:p w:rsidR="00606FA2" w:rsidRPr="00606FA2" w:rsidRDefault="00606FA2" w:rsidP="00606FA2">
      <w:pPr>
        <w:jc w:val="left"/>
        <w:rPr>
          <w:color w:val="auto"/>
        </w:rPr>
      </w:pPr>
    </w:p>
    <w:p w:rsidR="00606FA2" w:rsidRPr="00606FA2" w:rsidRDefault="00606FA2" w:rsidP="00606FA2">
      <w:pPr>
        <w:jc w:val="left"/>
        <w:rPr>
          <w:color w:val="auto"/>
        </w:rPr>
      </w:pPr>
      <w:bookmarkStart w:id="0" w:name="OLE_LINK4"/>
      <w:bookmarkStart w:id="1" w:name="OLE_LINK3"/>
      <w:r w:rsidRPr="00606FA2">
        <w:rPr>
          <w:color w:val="auto"/>
        </w:rPr>
        <w:tab/>
      </w:r>
      <w:r w:rsidRPr="00606FA2">
        <w:rPr>
          <w:color w:val="auto"/>
        </w:rPr>
        <w:tab/>
      </w:r>
      <w:r w:rsidRPr="00606FA2">
        <w:rPr>
          <w:color w:val="auto"/>
        </w:rPr>
        <w:tab/>
      </w:r>
      <w:r w:rsidRPr="00606FA2">
        <w:rPr>
          <w:color w:val="auto"/>
        </w:rPr>
        <w:tab/>
      </w:r>
      <w:r w:rsidRPr="00606FA2">
        <w:rPr>
          <w:color w:val="auto"/>
        </w:rPr>
        <w:tab/>
      </w:r>
      <w:r w:rsidRPr="00606FA2">
        <w:rPr>
          <w:color w:val="auto"/>
        </w:rPr>
        <w:tab/>
        <w:t xml:space="preserve">     Deputy Assistant Secretary</w:t>
      </w:r>
    </w:p>
    <w:p w:rsidR="00606FA2" w:rsidRPr="00606FA2" w:rsidRDefault="00606FA2" w:rsidP="00606FA2">
      <w:pPr>
        <w:jc w:val="left"/>
        <w:rPr>
          <w:color w:val="auto"/>
        </w:rPr>
      </w:pPr>
      <w:r w:rsidRPr="00606FA2">
        <w:rPr>
          <w:color w:val="auto"/>
        </w:rPr>
        <w:tab/>
      </w:r>
      <w:r w:rsidRPr="00606FA2">
        <w:rPr>
          <w:color w:val="auto"/>
        </w:rPr>
        <w:tab/>
      </w:r>
      <w:r w:rsidRPr="00606FA2">
        <w:rPr>
          <w:color w:val="auto"/>
        </w:rPr>
        <w:tab/>
      </w:r>
      <w:r w:rsidRPr="00606FA2">
        <w:rPr>
          <w:color w:val="auto"/>
        </w:rPr>
        <w:tab/>
      </w:r>
      <w:r w:rsidRPr="00606FA2">
        <w:rPr>
          <w:color w:val="auto"/>
        </w:rPr>
        <w:tab/>
      </w:r>
      <w:r w:rsidRPr="00606FA2">
        <w:rPr>
          <w:color w:val="auto"/>
        </w:rPr>
        <w:tab/>
        <w:t xml:space="preserve">         (Army Review Boards)</w:t>
      </w:r>
      <w:bookmarkEnd w:id="0"/>
      <w:bookmarkEnd w:id="1"/>
    </w:p>
    <w:p w:rsidR="00606FA2" w:rsidRPr="00606FA2" w:rsidRDefault="00606FA2" w:rsidP="00606FA2">
      <w:pPr>
        <w:jc w:val="left"/>
        <w:rPr>
          <w:color w:val="auto"/>
        </w:rPr>
      </w:pPr>
    </w:p>
    <w:p w:rsidR="00606FA2" w:rsidRPr="00606FA2" w:rsidRDefault="00606FA2" w:rsidP="00606FA2">
      <w:pPr>
        <w:jc w:val="left"/>
        <w:rPr>
          <w:color w:val="auto"/>
        </w:rPr>
      </w:pPr>
      <w:r w:rsidRPr="00606FA2">
        <w:rPr>
          <w:color w:val="auto"/>
        </w:rPr>
        <w:t xml:space="preserve">CF: </w:t>
      </w:r>
    </w:p>
    <w:p w:rsidR="00606FA2" w:rsidRPr="00606FA2" w:rsidRDefault="00606FA2" w:rsidP="00606FA2">
      <w:pPr>
        <w:jc w:val="left"/>
        <w:rPr>
          <w:color w:val="auto"/>
        </w:rPr>
      </w:pPr>
      <w:r w:rsidRPr="00606FA2">
        <w:rPr>
          <w:color w:val="auto"/>
        </w:rPr>
        <w:t xml:space="preserve">(  ) </w:t>
      </w:r>
      <w:proofErr w:type="gramStart"/>
      <w:r w:rsidRPr="00606FA2">
        <w:rPr>
          <w:color w:val="auto"/>
        </w:rPr>
        <w:t>DoD</w:t>
      </w:r>
      <w:proofErr w:type="gramEnd"/>
      <w:r w:rsidRPr="00606FA2">
        <w:rPr>
          <w:color w:val="auto"/>
        </w:rPr>
        <w:t xml:space="preserve"> PDBR</w:t>
      </w:r>
    </w:p>
    <w:p w:rsidR="00606FA2" w:rsidRPr="00606FA2" w:rsidRDefault="00606FA2" w:rsidP="00606FA2">
      <w:pPr>
        <w:jc w:val="left"/>
        <w:rPr>
          <w:color w:val="auto"/>
        </w:rPr>
      </w:pPr>
      <w:r w:rsidRPr="00606FA2">
        <w:rPr>
          <w:color w:val="auto"/>
        </w:rPr>
        <w:t>(  ) DVA</w:t>
      </w:r>
    </w:p>
    <w:p w:rsidR="00606FA2" w:rsidRDefault="00606FA2" w:rsidP="00606FA2"/>
    <w:p w:rsidR="00606FA2" w:rsidRDefault="00606FA2" w:rsidP="00BF0E94">
      <w:pPr>
        <w:tabs>
          <w:tab w:val="left" w:pos="0"/>
          <w:tab w:val="left" w:pos="4320"/>
        </w:tabs>
        <w:jc w:val="both"/>
        <w:rPr>
          <w:color w:val="000000" w:themeColor="text1"/>
          <w:szCs w:val="24"/>
        </w:rPr>
      </w:pPr>
    </w:p>
    <w:sectPr w:rsidR="00606FA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4A9" w:rsidRDefault="006114A9">
      <w:r>
        <w:separator/>
      </w:r>
    </w:p>
  </w:endnote>
  <w:endnote w:type="continuationSeparator" w:id="0">
    <w:p w:rsidR="006114A9" w:rsidRDefault="006114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BA0346" w:rsidRPr="00374247" w:rsidRDefault="00BA0346" w:rsidP="00374247">
        <w:pPr>
          <w:pStyle w:val="Footer"/>
          <w:ind w:firstLine="4320"/>
          <w:rPr>
            <w:color w:val="auto"/>
            <w:szCs w:val="24"/>
          </w:rPr>
        </w:pPr>
        <w:r w:rsidRPr="00374247">
          <w:rPr>
            <w:color w:val="auto"/>
            <w:szCs w:val="24"/>
          </w:rPr>
          <w:t xml:space="preserve">   </w:t>
        </w:r>
        <w:r w:rsidR="00DD6EBD" w:rsidRPr="00374247">
          <w:rPr>
            <w:color w:val="auto"/>
            <w:szCs w:val="24"/>
          </w:rPr>
          <w:fldChar w:fldCharType="begin"/>
        </w:r>
        <w:r w:rsidRPr="00374247">
          <w:rPr>
            <w:color w:val="auto"/>
            <w:szCs w:val="24"/>
          </w:rPr>
          <w:instrText xml:space="preserve"> PAGE   \* MERGEFORMAT </w:instrText>
        </w:r>
        <w:r w:rsidR="00DD6EBD" w:rsidRPr="00374247">
          <w:rPr>
            <w:color w:val="auto"/>
            <w:szCs w:val="24"/>
          </w:rPr>
          <w:fldChar w:fldCharType="separate"/>
        </w:r>
        <w:r w:rsidR="00606FA2" w:rsidRPr="00606FA2">
          <w:rPr>
            <w:noProof/>
            <w:color w:val="auto"/>
          </w:rPr>
          <w:t>2</w:t>
        </w:r>
        <w:r w:rsidR="00DD6EBD" w:rsidRPr="00374247">
          <w:rPr>
            <w:color w:val="auto"/>
            <w:szCs w:val="24"/>
          </w:rPr>
          <w:fldChar w:fldCharType="end"/>
        </w:r>
        <w:r w:rsidRPr="00374247">
          <w:rPr>
            <w:color w:val="auto"/>
            <w:szCs w:val="24"/>
          </w:rPr>
          <w:t xml:space="preserve">                                                           </w:t>
        </w:r>
        <w:r w:rsidRPr="004E0172">
          <w:rPr>
            <w:color w:val="auto"/>
            <w:szCs w:val="24"/>
          </w:rPr>
          <w:t>PD1100</w:t>
        </w:r>
        <w:r>
          <w:rPr>
            <w:color w:val="auto"/>
            <w:szCs w:val="24"/>
          </w:rPr>
          <w:t>733</w:t>
        </w:r>
      </w:p>
    </w:sdtContent>
  </w:sdt>
  <w:p w:rsidR="00BA0346" w:rsidRPr="00684CE6" w:rsidRDefault="00BA034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4A9" w:rsidRDefault="006114A9">
      <w:r>
        <w:separator/>
      </w:r>
    </w:p>
  </w:footnote>
  <w:footnote w:type="continuationSeparator" w:id="0">
    <w:p w:rsidR="006114A9" w:rsidRDefault="00611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529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2D29"/>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2C"/>
    <w:rsid w:val="000D7D55"/>
    <w:rsid w:val="000E0993"/>
    <w:rsid w:val="000E2E50"/>
    <w:rsid w:val="000E37E0"/>
    <w:rsid w:val="000E3F20"/>
    <w:rsid w:val="000E4C25"/>
    <w:rsid w:val="000E4CBF"/>
    <w:rsid w:val="000E5577"/>
    <w:rsid w:val="000E63B8"/>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69BC"/>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09D4"/>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57F22"/>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782"/>
    <w:rsid w:val="002C5D9D"/>
    <w:rsid w:val="002C5F10"/>
    <w:rsid w:val="002C6E5B"/>
    <w:rsid w:val="002D08F3"/>
    <w:rsid w:val="002D0A1C"/>
    <w:rsid w:val="002D1140"/>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6BE9"/>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2911"/>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65"/>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0D62"/>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6CED"/>
    <w:rsid w:val="00466EB5"/>
    <w:rsid w:val="00467592"/>
    <w:rsid w:val="00467690"/>
    <w:rsid w:val="00467A14"/>
    <w:rsid w:val="004718E7"/>
    <w:rsid w:val="00472289"/>
    <w:rsid w:val="00472535"/>
    <w:rsid w:val="00474707"/>
    <w:rsid w:val="004761CC"/>
    <w:rsid w:val="004766C9"/>
    <w:rsid w:val="00480D4A"/>
    <w:rsid w:val="00481DA1"/>
    <w:rsid w:val="00483A2B"/>
    <w:rsid w:val="00484212"/>
    <w:rsid w:val="004848C3"/>
    <w:rsid w:val="00484BA9"/>
    <w:rsid w:val="0048599A"/>
    <w:rsid w:val="00486818"/>
    <w:rsid w:val="00487B2E"/>
    <w:rsid w:val="0049255F"/>
    <w:rsid w:val="004942CC"/>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172"/>
    <w:rsid w:val="004E0248"/>
    <w:rsid w:val="004E12B8"/>
    <w:rsid w:val="004E1AB0"/>
    <w:rsid w:val="004E21A3"/>
    <w:rsid w:val="004E32EA"/>
    <w:rsid w:val="004E333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3DD0"/>
    <w:rsid w:val="00514449"/>
    <w:rsid w:val="005153A8"/>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5AA"/>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06FA2"/>
    <w:rsid w:val="0061014A"/>
    <w:rsid w:val="0061054B"/>
    <w:rsid w:val="006110FB"/>
    <w:rsid w:val="006114A9"/>
    <w:rsid w:val="00612FB0"/>
    <w:rsid w:val="0061356D"/>
    <w:rsid w:val="00613E26"/>
    <w:rsid w:val="00615641"/>
    <w:rsid w:val="00615A66"/>
    <w:rsid w:val="00616959"/>
    <w:rsid w:val="0062036E"/>
    <w:rsid w:val="006211D0"/>
    <w:rsid w:val="00621595"/>
    <w:rsid w:val="0062359D"/>
    <w:rsid w:val="00623634"/>
    <w:rsid w:val="00624AD8"/>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47EEB"/>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3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3B2F"/>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4181"/>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17C"/>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91A"/>
    <w:rsid w:val="00A211DD"/>
    <w:rsid w:val="00A2186F"/>
    <w:rsid w:val="00A2270B"/>
    <w:rsid w:val="00A236BB"/>
    <w:rsid w:val="00A23B89"/>
    <w:rsid w:val="00A23C4F"/>
    <w:rsid w:val="00A23FE3"/>
    <w:rsid w:val="00A248C3"/>
    <w:rsid w:val="00A2496E"/>
    <w:rsid w:val="00A2515A"/>
    <w:rsid w:val="00A253E8"/>
    <w:rsid w:val="00A258B7"/>
    <w:rsid w:val="00A25A0C"/>
    <w:rsid w:val="00A25A83"/>
    <w:rsid w:val="00A262B6"/>
    <w:rsid w:val="00A270B7"/>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A2E"/>
    <w:rsid w:val="00A73B84"/>
    <w:rsid w:val="00A7411D"/>
    <w:rsid w:val="00A756C4"/>
    <w:rsid w:val="00A7592B"/>
    <w:rsid w:val="00A75ED7"/>
    <w:rsid w:val="00A76094"/>
    <w:rsid w:val="00A768E2"/>
    <w:rsid w:val="00A829FF"/>
    <w:rsid w:val="00A82C52"/>
    <w:rsid w:val="00A838E8"/>
    <w:rsid w:val="00A83B41"/>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3DF3"/>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1733"/>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0346"/>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1B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1E4C"/>
    <w:rsid w:val="00C42443"/>
    <w:rsid w:val="00C42CBA"/>
    <w:rsid w:val="00C4338C"/>
    <w:rsid w:val="00C43C2B"/>
    <w:rsid w:val="00C45B27"/>
    <w:rsid w:val="00C4652E"/>
    <w:rsid w:val="00C472C7"/>
    <w:rsid w:val="00C5019E"/>
    <w:rsid w:val="00C50C8C"/>
    <w:rsid w:val="00C51962"/>
    <w:rsid w:val="00C5377C"/>
    <w:rsid w:val="00C53E8A"/>
    <w:rsid w:val="00C54DF3"/>
    <w:rsid w:val="00C5502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0942"/>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33E"/>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43F"/>
    <w:rsid w:val="00DC4001"/>
    <w:rsid w:val="00DC41C3"/>
    <w:rsid w:val="00DC4A3C"/>
    <w:rsid w:val="00DC4FA4"/>
    <w:rsid w:val="00DC5B37"/>
    <w:rsid w:val="00DD286D"/>
    <w:rsid w:val="00DD2CAF"/>
    <w:rsid w:val="00DD3593"/>
    <w:rsid w:val="00DD64E0"/>
    <w:rsid w:val="00DD6EBD"/>
    <w:rsid w:val="00DD775C"/>
    <w:rsid w:val="00DD7BE0"/>
    <w:rsid w:val="00DE0C67"/>
    <w:rsid w:val="00DE3AAD"/>
    <w:rsid w:val="00DE598A"/>
    <w:rsid w:val="00DE6952"/>
    <w:rsid w:val="00DE6FBE"/>
    <w:rsid w:val="00DE7A7D"/>
    <w:rsid w:val="00DE7E74"/>
    <w:rsid w:val="00DE7E79"/>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50C"/>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3EC"/>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606FA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42940858">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F03D-1030-453E-ADD2-FBB75EA1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2011-04-08T11:41:00Z</cp:lastPrinted>
  <dcterms:created xsi:type="dcterms:W3CDTF">2012-02-27T13:59:00Z</dcterms:created>
  <dcterms:modified xsi:type="dcterms:W3CDTF">2012-02-27T13:59:00Z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