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D61C3F">
        <w:rPr>
          <w:caps/>
          <w:color w:val="000000" w:themeColor="text1"/>
        </w:rPr>
        <w:t xml:space="preserve"> </w:t>
      </w:r>
      <w:r w:rsidR="004478BA">
        <w:rPr>
          <w:caps/>
          <w:color w:val="000000" w:themeColor="text1"/>
        </w:rPr>
        <w:tab/>
      </w:r>
      <w:r w:rsidR="00F018B8">
        <w:rPr>
          <w:caps/>
          <w:color w:val="000000" w:themeColor="text1"/>
        </w:rPr>
        <w:t xml:space="preserve">                             </w:t>
      </w:r>
      <w:r w:rsidRPr="001F29F9">
        <w:rPr>
          <w:caps/>
          <w:color w:val="000000" w:themeColor="text1"/>
        </w:rPr>
        <w:t>BRANCH OF SERVICE</w:t>
      </w:r>
      <w:r w:rsidRPr="00C1748F">
        <w:rPr>
          <w:caps/>
          <w:color w:val="000000" w:themeColor="text1"/>
        </w:rPr>
        <w:t xml:space="preserve">: </w:t>
      </w:r>
      <w:r w:rsidR="004C24C5" w:rsidRPr="00C1748F">
        <w:rPr>
          <w:caps/>
          <w:color w:val="000000" w:themeColor="text1"/>
        </w:rPr>
        <w:t xml:space="preserve"> </w:t>
      </w:r>
      <w:r w:rsidR="00332DE3" w:rsidRPr="00C1748F">
        <w:rPr>
          <w:caps/>
          <w:color w:val="000000" w:themeColor="text1"/>
        </w:rPr>
        <w:t>Army</w:t>
      </w:r>
    </w:p>
    <w:p w:rsidR="00DE3AAD" w:rsidRPr="00F018B8"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w:t>
      </w:r>
      <w:r w:rsidR="00DE3AAD" w:rsidRPr="00F018B8">
        <w:rPr>
          <w:caps/>
          <w:color w:val="000000" w:themeColor="text1"/>
        </w:rPr>
        <w:t>NUMBER:  PD</w:t>
      </w:r>
      <w:r w:rsidR="008F58E1" w:rsidRPr="00F018B8">
        <w:rPr>
          <w:caps/>
          <w:color w:val="000000" w:themeColor="text1"/>
        </w:rPr>
        <w:t>11</w:t>
      </w:r>
      <w:r w:rsidR="00C1748F" w:rsidRPr="00F018B8">
        <w:rPr>
          <w:caps/>
          <w:color w:val="000000" w:themeColor="text1"/>
        </w:rPr>
        <w:t>00729</w:t>
      </w:r>
      <w:r w:rsidR="00DE3AAD" w:rsidRPr="00F018B8">
        <w:rPr>
          <w:color w:val="000000" w:themeColor="text1"/>
        </w:rPr>
        <w:tab/>
      </w:r>
      <w:r w:rsidR="0068098E" w:rsidRPr="00F018B8">
        <w:rPr>
          <w:color w:val="000000" w:themeColor="text1"/>
        </w:rPr>
        <w:tab/>
      </w:r>
      <w:r w:rsidR="00DE3AAD" w:rsidRPr="00F018B8">
        <w:rPr>
          <w:color w:val="000000" w:themeColor="text1"/>
        </w:rPr>
        <w:t xml:space="preserve">         </w:t>
      </w:r>
      <w:r w:rsidR="00E0346A" w:rsidRPr="00F018B8">
        <w:rPr>
          <w:color w:val="000000" w:themeColor="text1"/>
        </w:rPr>
        <w:t xml:space="preserve">                    </w:t>
      </w:r>
      <w:r w:rsidR="00DE3AAD" w:rsidRPr="00F018B8">
        <w:rPr>
          <w:color w:val="000000" w:themeColor="text1"/>
        </w:rPr>
        <w:t>SEPARATION DATE:  200</w:t>
      </w:r>
      <w:r w:rsidR="005A784B" w:rsidRPr="00F018B8">
        <w:rPr>
          <w:color w:val="000000" w:themeColor="text1"/>
        </w:rPr>
        <w:t>80206</w:t>
      </w:r>
    </w:p>
    <w:p w:rsidR="003B2143" w:rsidRPr="00F018B8" w:rsidRDefault="004F3639" w:rsidP="00BF0E94">
      <w:pPr>
        <w:tabs>
          <w:tab w:val="left" w:pos="288"/>
          <w:tab w:val="left" w:pos="5130"/>
        </w:tabs>
        <w:jc w:val="both"/>
        <w:rPr>
          <w:caps/>
          <w:color w:val="000000" w:themeColor="text1"/>
        </w:rPr>
      </w:pPr>
      <w:r w:rsidRPr="00F018B8">
        <w:rPr>
          <w:caps/>
          <w:color w:val="000000" w:themeColor="text1"/>
        </w:rPr>
        <w:t>BOARD DATE:  201</w:t>
      </w:r>
      <w:r w:rsidR="004478BA" w:rsidRPr="00F018B8">
        <w:rPr>
          <w:caps/>
          <w:color w:val="000000" w:themeColor="text1"/>
        </w:rPr>
        <w:t>2</w:t>
      </w:r>
      <w:r w:rsidR="00F018B8" w:rsidRPr="00F018B8">
        <w:rPr>
          <w:caps/>
          <w:color w:val="000000" w:themeColor="text1"/>
        </w:rPr>
        <w:t>0315</w:t>
      </w:r>
    </w:p>
    <w:p w:rsidR="004478BA" w:rsidRPr="00F018B8" w:rsidRDefault="004478BA" w:rsidP="003C53E8">
      <w:pPr>
        <w:pBdr>
          <w:bottom w:val="single" w:sz="12" w:space="1" w:color="auto"/>
        </w:pBdr>
        <w:tabs>
          <w:tab w:val="left" w:pos="288"/>
          <w:tab w:val="left" w:pos="4752"/>
        </w:tabs>
        <w:jc w:val="both"/>
        <w:rPr>
          <w:color w:val="000000" w:themeColor="text1"/>
        </w:rPr>
      </w:pPr>
    </w:p>
    <w:p w:rsidR="00B02778" w:rsidRPr="00F018B8" w:rsidRDefault="00B02778" w:rsidP="00BF0E94">
      <w:pPr>
        <w:tabs>
          <w:tab w:val="left" w:pos="288"/>
          <w:tab w:val="left" w:pos="4752"/>
        </w:tabs>
        <w:jc w:val="both"/>
        <w:rPr>
          <w:color w:val="000000" w:themeColor="text1"/>
        </w:rPr>
      </w:pPr>
    </w:p>
    <w:p w:rsidR="000C0A15" w:rsidRPr="001F29F9" w:rsidRDefault="00FB0E80" w:rsidP="000C0A15">
      <w:pPr>
        <w:tabs>
          <w:tab w:val="left" w:pos="288"/>
          <w:tab w:val="left" w:pos="4752"/>
        </w:tabs>
        <w:jc w:val="both"/>
        <w:rPr>
          <w:color w:val="000000" w:themeColor="text1"/>
        </w:rPr>
      </w:pPr>
      <w:r w:rsidRPr="00F018B8">
        <w:rPr>
          <w:color w:val="000000" w:themeColor="text1"/>
          <w:u w:val="single"/>
        </w:rPr>
        <w:t>SUMMARY OF CASE</w:t>
      </w:r>
      <w:r w:rsidRPr="00F018B8">
        <w:rPr>
          <w:color w:val="000000" w:themeColor="text1"/>
        </w:rPr>
        <w:t xml:space="preserve">:  </w:t>
      </w:r>
      <w:r w:rsidR="009759C2" w:rsidRPr="00F018B8">
        <w:rPr>
          <w:color w:val="000000" w:themeColor="text1"/>
        </w:rPr>
        <w:t>Data extracted from the available evidence of record reflects that this covered individual (CI)</w:t>
      </w:r>
      <w:r w:rsidR="00570754" w:rsidRPr="00F018B8">
        <w:rPr>
          <w:color w:val="000000" w:themeColor="text1"/>
        </w:rPr>
        <w:t xml:space="preserve"> </w:t>
      </w:r>
      <w:r w:rsidR="002C6E5B" w:rsidRPr="00F018B8">
        <w:rPr>
          <w:color w:val="000000" w:themeColor="text1"/>
          <w:szCs w:val="24"/>
        </w:rPr>
        <w:t xml:space="preserve">was </w:t>
      </w:r>
      <w:r w:rsidR="00E322F7" w:rsidRPr="00F018B8">
        <w:rPr>
          <w:color w:val="000000" w:themeColor="text1"/>
          <w:szCs w:val="24"/>
        </w:rPr>
        <w:t>an active duty</w:t>
      </w:r>
      <w:r w:rsidR="006D4E0E" w:rsidRPr="00F018B8">
        <w:rPr>
          <w:color w:val="000000" w:themeColor="text1"/>
          <w:szCs w:val="24"/>
        </w:rPr>
        <w:t xml:space="preserve"> </w:t>
      </w:r>
      <w:r w:rsidR="00661BA2" w:rsidRPr="00F018B8">
        <w:rPr>
          <w:color w:val="000000" w:themeColor="text1"/>
          <w:szCs w:val="24"/>
        </w:rPr>
        <w:t>S</w:t>
      </w:r>
      <w:r w:rsidR="00D23B5F" w:rsidRPr="00F018B8">
        <w:rPr>
          <w:color w:val="000000" w:themeColor="text1"/>
          <w:szCs w:val="24"/>
        </w:rPr>
        <w:t>PC</w:t>
      </w:r>
      <w:r w:rsidR="00661BA2" w:rsidRPr="00F018B8">
        <w:rPr>
          <w:color w:val="000000" w:themeColor="text1"/>
          <w:szCs w:val="24"/>
        </w:rPr>
        <w:t>/E-</w:t>
      </w:r>
      <w:r w:rsidR="00D23B5F" w:rsidRPr="00F018B8">
        <w:rPr>
          <w:color w:val="000000" w:themeColor="text1"/>
          <w:szCs w:val="24"/>
        </w:rPr>
        <w:t>4</w:t>
      </w:r>
      <w:r w:rsidR="00705C40" w:rsidRPr="00F018B8">
        <w:rPr>
          <w:color w:val="000000" w:themeColor="text1"/>
          <w:szCs w:val="24"/>
        </w:rPr>
        <w:t xml:space="preserve"> (</w:t>
      </w:r>
      <w:r w:rsidR="00D23B5F" w:rsidRPr="00F018B8">
        <w:rPr>
          <w:color w:val="000000" w:themeColor="text1"/>
          <w:szCs w:val="24"/>
        </w:rPr>
        <w:t>68K10 / Medical Laboratory Specialist</w:t>
      </w:r>
      <w:r w:rsidR="00E322F7" w:rsidRPr="00F018B8">
        <w:rPr>
          <w:color w:val="000000" w:themeColor="text1"/>
          <w:szCs w:val="24"/>
        </w:rPr>
        <w:t>)</w:t>
      </w:r>
      <w:r w:rsidR="00C75F3D" w:rsidRPr="00F018B8">
        <w:rPr>
          <w:color w:val="000000" w:themeColor="text1"/>
          <w:szCs w:val="24"/>
        </w:rPr>
        <w:t xml:space="preserve">, </w:t>
      </w:r>
      <w:r w:rsidR="002C6E5B" w:rsidRPr="00F018B8">
        <w:rPr>
          <w:color w:val="000000" w:themeColor="text1"/>
          <w:szCs w:val="24"/>
        </w:rPr>
        <w:t>medically separated for</w:t>
      </w:r>
      <w:r w:rsidR="00D23B5F" w:rsidRPr="00F018B8">
        <w:rPr>
          <w:color w:val="000000" w:themeColor="text1"/>
          <w:szCs w:val="24"/>
        </w:rPr>
        <w:t xml:space="preserve"> </w:t>
      </w:r>
      <w:proofErr w:type="spellStart"/>
      <w:r w:rsidR="008B09F1" w:rsidRPr="00F018B8">
        <w:rPr>
          <w:color w:val="000000" w:themeColor="text1"/>
          <w:szCs w:val="24"/>
        </w:rPr>
        <w:t>l</w:t>
      </w:r>
      <w:r w:rsidR="00D23B5F" w:rsidRPr="00F018B8">
        <w:rPr>
          <w:color w:val="000000" w:themeColor="text1"/>
          <w:szCs w:val="24"/>
        </w:rPr>
        <w:t>umbosacral</w:t>
      </w:r>
      <w:proofErr w:type="spellEnd"/>
      <w:r w:rsidR="00D23B5F" w:rsidRPr="00F018B8">
        <w:rPr>
          <w:color w:val="000000" w:themeColor="text1"/>
          <w:szCs w:val="24"/>
        </w:rPr>
        <w:t xml:space="preserve"> strain.</w:t>
      </w:r>
      <w:r w:rsidR="000C0A15" w:rsidRPr="00F018B8">
        <w:rPr>
          <w:color w:val="000000" w:themeColor="text1"/>
          <w:szCs w:val="24"/>
        </w:rPr>
        <w:t xml:space="preserve">  Her symptoms of low back pain </w:t>
      </w:r>
      <w:r w:rsidR="00F204B4" w:rsidRPr="00F018B8">
        <w:rPr>
          <w:color w:val="000000" w:themeColor="text1"/>
          <w:szCs w:val="24"/>
        </w:rPr>
        <w:t>with radiation</w:t>
      </w:r>
      <w:r w:rsidR="000C0A15" w:rsidRPr="00F018B8">
        <w:rPr>
          <w:color w:val="000000" w:themeColor="text1"/>
          <w:szCs w:val="24"/>
        </w:rPr>
        <w:t xml:space="preserve"> down her left leg began in 2004 </w:t>
      </w:r>
      <w:r w:rsidR="001338A4" w:rsidRPr="00F018B8">
        <w:rPr>
          <w:color w:val="000000" w:themeColor="text1"/>
          <w:szCs w:val="24"/>
        </w:rPr>
        <w:t xml:space="preserve">after </w:t>
      </w:r>
      <w:r w:rsidR="00CE3411" w:rsidRPr="00F018B8">
        <w:rPr>
          <w:color w:val="000000" w:themeColor="text1"/>
          <w:szCs w:val="24"/>
        </w:rPr>
        <w:t xml:space="preserve">heavy </w:t>
      </w:r>
      <w:r w:rsidR="001338A4" w:rsidRPr="00F018B8">
        <w:rPr>
          <w:color w:val="000000" w:themeColor="text1"/>
          <w:szCs w:val="24"/>
        </w:rPr>
        <w:t xml:space="preserve">lifting at work.  </w:t>
      </w:r>
      <w:r w:rsidR="00DA0AC3" w:rsidRPr="00F018B8">
        <w:rPr>
          <w:color w:val="000000" w:themeColor="text1"/>
          <w:szCs w:val="24"/>
        </w:rPr>
        <w:t>MRI revealed two</w:t>
      </w:r>
      <w:r w:rsidR="006C5F29" w:rsidRPr="00F018B8">
        <w:rPr>
          <w:color w:val="000000" w:themeColor="text1"/>
          <w:szCs w:val="24"/>
        </w:rPr>
        <w:t>-</w:t>
      </w:r>
      <w:r w:rsidR="00DA0AC3" w:rsidRPr="00F018B8">
        <w:rPr>
          <w:color w:val="000000" w:themeColor="text1"/>
          <w:szCs w:val="24"/>
        </w:rPr>
        <w:t xml:space="preserve">level disc </w:t>
      </w:r>
      <w:proofErr w:type="spellStart"/>
      <w:r w:rsidR="00DA0AC3" w:rsidRPr="00F018B8">
        <w:rPr>
          <w:color w:val="000000" w:themeColor="text1"/>
          <w:szCs w:val="24"/>
        </w:rPr>
        <w:t>herniation</w:t>
      </w:r>
      <w:proofErr w:type="spellEnd"/>
      <w:r w:rsidR="006C5F29" w:rsidRPr="00F018B8">
        <w:rPr>
          <w:color w:val="000000" w:themeColor="text1"/>
          <w:szCs w:val="24"/>
        </w:rPr>
        <w:t xml:space="preserve"> with mild neural </w:t>
      </w:r>
      <w:proofErr w:type="spellStart"/>
      <w:r w:rsidR="006C5F29" w:rsidRPr="00F018B8">
        <w:rPr>
          <w:color w:val="000000" w:themeColor="text1"/>
          <w:szCs w:val="24"/>
        </w:rPr>
        <w:t>foraminal</w:t>
      </w:r>
      <w:proofErr w:type="spellEnd"/>
      <w:r w:rsidR="006C5F29" w:rsidRPr="00F018B8">
        <w:rPr>
          <w:color w:val="000000" w:themeColor="text1"/>
          <w:szCs w:val="24"/>
        </w:rPr>
        <w:t xml:space="preserve"> </w:t>
      </w:r>
      <w:r w:rsidR="004C31A3" w:rsidRPr="00F018B8">
        <w:rPr>
          <w:color w:val="000000" w:themeColor="text1"/>
          <w:szCs w:val="24"/>
        </w:rPr>
        <w:t>narrowing</w:t>
      </w:r>
      <w:r w:rsidR="006C5F29" w:rsidRPr="00F018B8">
        <w:rPr>
          <w:color w:val="000000" w:themeColor="text1"/>
          <w:szCs w:val="24"/>
        </w:rPr>
        <w:t xml:space="preserve"> and degenerative joint changes</w:t>
      </w:r>
      <w:r w:rsidR="00DA0AC3" w:rsidRPr="00F018B8">
        <w:rPr>
          <w:color w:val="000000" w:themeColor="text1"/>
          <w:szCs w:val="24"/>
        </w:rPr>
        <w:t xml:space="preserve">.  </w:t>
      </w:r>
      <w:r w:rsidR="00F204B4" w:rsidRPr="00F018B8">
        <w:rPr>
          <w:color w:val="000000" w:themeColor="text1"/>
          <w:szCs w:val="24"/>
        </w:rPr>
        <w:t>Her treatment included medications</w:t>
      </w:r>
      <w:r w:rsidR="00DA0AC3" w:rsidRPr="00F018B8">
        <w:rPr>
          <w:color w:val="000000" w:themeColor="text1"/>
          <w:szCs w:val="24"/>
        </w:rPr>
        <w:t>,</w:t>
      </w:r>
      <w:r w:rsidR="00F204B4" w:rsidRPr="00F018B8">
        <w:rPr>
          <w:color w:val="000000" w:themeColor="text1"/>
          <w:szCs w:val="24"/>
        </w:rPr>
        <w:t xml:space="preserve"> physical therapy</w:t>
      </w:r>
      <w:r w:rsidR="00DA0AC3" w:rsidRPr="00F018B8">
        <w:rPr>
          <w:color w:val="000000" w:themeColor="text1"/>
          <w:szCs w:val="24"/>
        </w:rPr>
        <w:t>, chiropractic manipulation, and epidural steroid injections (x2)</w:t>
      </w:r>
      <w:r w:rsidR="00F204B4" w:rsidRPr="00F018B8">
        <w:rPr>
          <w:color w:val="000000" w:themeColor="text1"/>
          <w:szCs w:val="24"/>
        </w:rPr>
        <w:t xml:space="preserve">.  </w:t>
      </w:r>
      <w:r w:rsidR="000C0A15" w:rsidRPr="00F018B8">
        <w:rPr>
          <w:color w:val="000000" w:themeColor="text1"/>
          <w:szCs w:val="24"/>
        </w:rPr>
        <w:t>She did not respond adequately to perform within h</w:t>
      </w:r>
      <w:r w:rsidR="00065E57" w:rsidRPr="00F018B8">
        <w:rPr>
          <w:color w:val="000000" w:themeColor="text1"/>
          <w:szCs w:val="24"/>
        </w:rPr>
        <w:t>er</w:t>
      </w:r>
      <w:r w:rsidR="000C0A15" w:rsidRPr="00F018B8">
        <w:rPr>
          <w:color w:val="000000" w:themeColor="text1"/>
          <w:szCs w:val="24"/>
        </w:rPr>
        <w:t xml:space="preserve"> </w:t>
      </w:r>
      <w:r w:rsidR="00D759E3">
        <w:rPr>
          <w:color w:val="000000" w:themeColor="text1"/>
          <w:szCs w:val="24"/>
        </w:rPr>
        <w:t>M</w:t>
      </w:r>
      <w:r w:rsidR="000C0A15" w:rsidRPr="00F018B8">
        <w:rPr>
          <w:color w:val="000000" w:themeColor="text1"/>
          <w:szCs w:val="24"/>
        </w:rPr>
        <w:t xml:space="preserve">ilitary </w:t>
      </w:r>
      <w:r w:rsidR="00D759E3">
        <w:rPr>
          <w:color w:val="000000" w:themeColor="text1"/>
          <w:szCs w:val="24"/>
        </w:rPr>
        <w:t>O</w:t>
      </w:r>
      <w:r w:rsidR="000C0A15" w:rsidRPr="00F018B8">
        <w:rPr>
          <w:color w:val="000000" w:themeColor="text1"/>
          <w:szCs w:val="24"/>
        </w:rPr>
        <w:t xml:space="preserve">ccupational </w:t>
      </w:r>
      <w:r w:rsidR="00D759E3">
        <w:rPr>
          <w:color w:val="000000" w:themeColor="text1"/>
          <w:szCs w:val="24"/>
        </w:rPr>
        <w:t>S</w:t>
      </w:r>
      <w:r w:rsidR="000C0A15" w:rsidRPr="00F018B8">
        <w:rPr>
          <w:color w:val="000000" w:themeColor="text1"/>
          <w:szCs w:val="24"/>
        </w:rPr>
        <w:t xml:space="preserve">pecialty (MOS) or meet physical fitness standards.  She was issued a permanent L3 profile and underwent a Medical Evaluation Board (MEB).  Chronic low back pain was forwarded to the Physical Evaluation Board (PEB) as medically unacceptable IAW AR 40-501.  Six other conditions, as identified in the rating chart below, were forwarded on the MEB submission as medically acceptable conditions.  The PEB adjudicated the lumbar strain condition as unfitting, rated 0% with </w:t>
      </w:r>
      <w:r w:rsidR="004C31A3" w:rsidRPr="00F018B8">
        <w:rPr>
          <w:color w:val="000000" w:themeColor="text1"/>
          <w:szCs w:val="24"/>
        </w:rPr>
        <w:t xml:space="preserve">likely application </w:t>
      </w:r>
      <w:proofErr w:type="spellStart"/>
      <w:r w:rsidR="000C0A15" w:rsidRPr="00F018B8">
        <w:rPr>
          <w:color w:val="000000" w:themeColor="text1"/>
          <w:szCs w:val="24"/>
        </w:rPr>
        <w:t>application</w:t>
      </w:r>
      <w:proofErr w:type="spellEnd"/>
      <w:r w:rsidR="000C0A15" w:rsidRPr="00F018B8">
        <w:rPr>
          <w:color w:val="000000" w:themeColor="text1"/>
          <w:szCs w:val="24"/>
        </w:rPr>
        <w:t xml:space="preserve"> of the</w:t>
      </w:r>
      <w:r w:rsidR="004C31A3" w:rsidRPr="00F018B8">
        <w:rPr>
          <w:color w:val="000000" w:themeColor="text1"/>
          <w:szCs w:val="24"/>
        </w:rPr>
        <w:t xml:space="preserve"> </w:t>
      </w:r>
      <w:r w:rsidR="004C31A3" w:rsidRPr="00F018B8">
        <w:rPr>
          <w:rFonts w:asciiTheme="minorHAnsi" w:hAnsiTheme="minorHAnsi"/>
          <w:color w:val="auto"/>
          <w:szCs w:val="24"/>
        </w:rPr>
        <w:t xml:space="preserve">U.S. Army Physical Disability Agency (USPDA) pain policy. </w:t>
      </w:r>
      <w:r w:rsidR="000C0A15" w:rsidRPr="00F018B8">
        <w:rPr>
          <w:color w:val="000000" w:themeColor="text1"/>
          <w:szCs w:val="24"/>
        </w:rPr>
        <w:t xml:space="preserve"> </w:t>
      </w:r>
      <w:r w:rsidR="00507838" w:rsidRPr="00F018B8">
        <w:rPr>
          <w:rFonts w:asciiTheme="minorHAnsi" w:hAnsiTheme="minorHAnsi"/>
          <w:color w:val="auto"/>
          <w:szCs w:val="24"/>
        </w:rPr>
        <w:t>The USPDA issued an administrative correction to the PEB (DA Form 18) dated 17 March 2009, assigning a 20% rating, noting forward flexion between 31 and 60 degrees and including consideration of additional functional loss due to repeated use or flare-ups</w:t>
      </w:r>
      <w:r w:rsidR="004C31A3" w:rsidRPr="00F018B8">
        <w:rPr>
          <w:rFonts w:asciiTheme="minorHAnsi" w:hAnsiTheme="minorHAnsi"/>
          <w:color w:val="auto"/>
          <w:szCs w:val="24"/>
        </w:rPr>
        <w:t xml:space="preserve"> which was IAW application of the </w:t>
      </w:r>
      <w:r w:rsidR="004C31A3" w:rsidRPr="00F018B8">
        <w:rPr>
          <w:color w:val="000000" w:themeColor="text1"/>
          <w:szCs w:val="24"/>
        </w:rPr>
        <w:t xml:space="preserve">Veterans Administration Schedule for Rating Disabilities.  </w:t>
      </w:r>
      <w:r w:rsidR="004C31A3" w:rsidRPr="00F018B8">
        <w:rPr>
          <w:color w:val="000000" w:themeColor="text1"/>
        </w:rPr>
        <w:t>The CI did not appeal, and was medically separated with a 20% disability rating.</w:t>
      </w:r>
      <w:r w:rsidR="004C31A3" w:rsidRPr="000C0A15">
        <w:rPr>
          <w:color w:val="000000" w:themeColor="text1"/>
        </w:rPr>
        <w:t xml:space="preserve"> </w:t>
      </w:r>
      <w:r w:rsidR="004C31A3">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1748F" w:rsidRPr="001F29F9" w:rsidRDefault="002C6E5B" w:rsidP="00C1748F">
      <w:pPr>
        <w:tabs>
          <w:tab w:val="left" w:pos="288"/>
          <w:tab w:val="left" w:pos="4752"/>
        </w:tabs>
        <w:jc w:val="both"/>
        <w:rPr>
          <w:rFonts w:eastAsiaTheme="minorHAnsi"/>
          <w:color w:val="000000" w:themeColor="text1"/>
          <w:szCs w:val="24"/>
        </w:rPr>
      </w:pPr>
      <w:r w:rsidRPr="001F29F9">
        <w:rPr>
          <w:color w:val="000000" w:themeColor="text1"/>
          <w:u w:val="single"/>
        </w:rPr>
        <w:t xml:space="preserve">CI </w:t>
      </w:r>
      <w:r w:rsidRPr="00716C3C">
        <w:rPr>
          <w:color w:val="auto"/>
          <w:u w:val="single"/>
        </w:rPr>
        <w:t>CONTENTION</w:t>
      </w:r>
      <w:r w:rsidRPr="00716C3C">
        <w:rPr>
          <w:color w:val="auto"/>
        </w:rPr>
        <w:t>:</w:t>
      </w:r>
      <w:r w:rsidR="00C1748F" w:rsidRPr="00716C3C">
        <w:rPr>
          <w:color w:val="auto"/>
        </w:rPr>
        <w:t xml:space="preserve">  “I feel</w:t>
      </w:r>
      <w:r w:rsidR="00C1748F" w:rsidRPr="00C1748F">
        <w:rPr>
          <w:color w:val="000000" w:themeColor="text1"/>
        </w:rPr>
        <w:t xml:space="preserve"> </w:t>
      </w:r>
      <w:r w:rsidR="00C1748F" w:rsidRPr="00F018B8">
        <w:rPr>
          <w:color w:val="auto"/>
        </w:rPr>
        <w:t>the rating was unfair.  I have several elements (12 elements) was only given 10% on 2.  I have major back injury.  I have a major back injury and was only given 10%, which I feel was very unfair as a rating.  I have other elements that were not given a percentage at all that are things that effect me on a daily bases [sic] that desired</w:t>
      </w:r>
      <w:r w:rsidR="00C1748F" w:rsidRPr="00C1748F">
        <w:rPr>
          <w:color w:val="000000" w:themeColor="text1"/>
        </w:rPr>
        <w:t xml:space="preserve"> a percentage greater than 0.”</w:t>
      </w:r>
      <w:r w:rsidR="004C31A3">
        <w:rPr>
          <w:rFonts w:eastAsiaTheme="minorHAnsi"/>
          <w:color w:val="000000" w:themeColor="text1"/>
          <w:szCs w:val="24"/>
        </w:rPr>
        <w:t xml:space="preserve">  </w:t>
      </w:r>
    </w:p>
    <w:p w:rsidR="00180CB3" w:rsidRDefault="00180CB3" w:rsidP="00BF0E94">
      <w:pPr>
        <w:pBdr>
          <w:bottom w:val="single" w:sz="12" w:space="1" w:color="auto"/>
        </w:pBdr>
        <w:tabs>
          <w:tab w:val="left" w:pos="288"/>
          <w:tab w:val="left" w:pos="4752"/>
        </w:tabs>
        <w:jc w:val="both"/>
        <w:rPr>
          <w:color w:val="000000" w:themeColor="text1"/>
        </w:rPr>
      </w:pPr>
    </w:p>
    <w:p w:rsidR="00180CB3" w:rsidRDefault="00180CB3" w:rsidP="00180CB3">
      <w:pPr>
        <w:tabs>
          <w:tab w:val="left" w:pos="288"/>
          <w:tab w:val="left" w:pos="4752"/>
        </w:tabs>
        <w:jc w:val="both"/>
        <w:rPr>
          <w:b/>
          <w:color w:val="000000" w:themeColor="text1"/>
        </w:rPr>
      </w:pPr>
    </w:p>
    <w:p w:rsidR="001537D8" w:rsidRPr="00F018B8"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F018B8" w:rsidRDefault="002151AB" w:rsidP="00FE7C22">
      <w:pPr>
        <w:jc w:val="both"/>
        <w:rPr>
          <w:color w:val="auto"/>
        </w:rPr>
      </w:pPr>
    </w:p>
    <w:tbl>
      <w:tblPr>
        <w:tblStyle w:val="TableGrid"/>
        <w:tblW w:w="9378" w:type="dxa"/>
        <w:jc w:val="center"/>
        <w:tblLayout w:type="fixed"/>
        <w:tblLook w:val="04A0"/>
      </w:tblPr>
      <w:tblGrid>
        <w:gridCol w:w="2529"/>
        <w:gridCol w:w="729"/>
        <w:gridCol w:w="900"/>
        <w:gridCol w:w="2322"/>
        <w:gridCol w:w="1080"/>
        <w:gridCol w:w="828"/>
        <w:gridCol w:w="990"/>
      </w:tblGrid>
      <w:tr w:rsidR="002B4E22" w:rsidRPr="00F018B8" w:rsidTr="004C31A3">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F018B8" w:rsidRDefault="00B731E4"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 xml:space="preserve">Service PEB </w:t>
            </w:r>
            <w:r w:rsidR="00D23B5F" w:rsidRPr="00F018B8">
              <w:rPr>
                <w:rFonts w:ascii="Calibri" w:hAnsi="Calibri" w:cs="Calibri"/>
                <w:b/>
                <w:color w:val="auto"/>
                <w:sz w:val="18"/>
                <w:szCs w:val="18"/>
              </w:rPr>
              <w:t xml:space="preserve">(Admin Correction </w:t>
            </w:r>
            <w:r w:rsidRPr="00F018B8">
              <w:rPr>
                <w:rFonts w:ascii="Calibri" w:hAnsi="Calibri" w:cs="Calibri"/>
                <w:b/>
                <w:color w:val="auto"/>
                <w:sz w:val="18"/>
                <w:szCs w:val="18"/>
              </w:rPr>
              <w:t>– Dated 200</w:t>
            </w:r>
            <w:r w:rsidR="00D23B5F" w:rsidRPr="00F018B8">
              <w:rPr>
                <w:rFonts w:ascii="Calibri" w:hAnsi="Calibri" w:cs="Calibri"/>
                <w:b/>
                <w:color w:val="auto"/>
                <w:sz w:val="18"/>
                <w:szCs w:val="18"/>
              </w:rPr>
              <w:t>90317</w:t>
            </w:r>
          </w:p>
        </w:tc>
        <w:tc>
          <w:tcPr>
            <w:tcW w:w="5220" w:type="dxa"/>
            <w:gridSpan w:val="4"/>
            <w:tcBorders>
              <w:left w:val="thinThickThinSmallGap" w:sz="24" w:space="0" w:color="auto"/>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VA (</w:t>
            </w:r>
            <w:r w:rsidR="00A962CD" w:rsidRPr="00F018B8">
              <w:rPr>
                <w:rFonts w:ascii="Calibri" w:hAnsi="Calibri" w:cs="Calibri"/>
                <w:b/>
                <w:color w:val="auto"/>
                <w:sz w:val="18"/>
                <w:szCs w:val="18"/>
              </w:rPr>
              <w:t xml:space="preserve">2 </w:t>
            </w:r>
            <w:r w:rsidRPr="00F018B8">
              <w:rPr>
                <w:rFonts w:ascii="Calibri" w:hAnsi="Calibri" w:cs="Calibri"/>
                <w:b/>
                <w:color w:val="auto"/>
                <w:sz w:val="18"/>
                <w:szCs w:val="18"/>
              </w:rPr>
              <w:t>Mo</w:t>
            </w:r>
            <w:r w:rsidR="00A962CD" w:rsidRPr="00F018B8">
              <w:rPr>
                <w:rFonts w:ascii="Calibri" w:hAnsi="Calibri" w:cs="Calibri"/>
                <w:b/>
                <w:color w:val="auto"/>
                <w:sz w:val="18"/>
                <w:szCs w:val="18"/>
              </w:rPr>
              <w:t>s</w:t>
            </w:r>
            <w:r w:rsidRPr="00F018B8">
              <w:rPr>
                <w:rFonts w:ascii="Calibri" w:hAnsi="Calibri" w:cs="Calibri"/>
                <w:b/>
                <w:color w:val="auto"/>
                <w:sz w:val="18"/>
                <w:szCs w:val="18"/>
              </w:rPr>
              <w:t>. Pr</w:t>
            </w:r>
            <w:r w:rsidR="007272F1" w:rsidRPr="00F018B8">
              <w:rPr>
                <w:rFonts w:ascii="Calibri" w:hAnsi="Calibri" w:cs="Calibri"/>
                <w:b/>
                <w:color w:val="auto"/>
                <w:sz w:val="18"/>
                <w:szCs w:val="18"/>
              </w:rPr>
              <w:t>e</w:t>
            </w:r>
            <w:r w:rsidR="00A962CD" w:rsidRPr="00F018B8">
              <w:rPr>
                <w:rFonts w:ascii="Calibri" w:hAnsi="Calibri" w:cs="Calibri"/>
                <w:b/>
                <w:color w:val="auto"/>
                <w:sz w:val="18"/>
                <w:szCs w:val="18"/>
              </w:rPr>
              <w:t>-</w:t>
            </w:r>
            <w:r w:rsidRPr="00F018B8">
              <w:rPr>
                <w:rFonts w:ascii="Calibri" w:hAnsi="Calibri" w:cs="Calibri"/>
                <w:b/>
                <w:color w:val="auto"/>
                <w:sz w:val="18"/>
                <w:szCs w:val="18"/>
              </w:rPr>
              <w:t xml:space="preserve">Separation) – All Effective </w:t>
            </w:r>
            <w:r w:rsidR="00D23B5F" w:rsidRPr="00F018B8">
              <w:rPr>
                <w:rFonts w:ascii="Calibri" w:hAnsi="Calibri" w:cs="Calibri"/>
                <w:b/>
                <w:color w:val="auto"/>
                <w:sz w:val="18"/>
                <w:szCs w:val="18"/>
              </w:rPr>
              <w:t>20080207</w:t>
            </w:r>
          </w:p>
        </w:tc>
      </w:tr>
      <w:tr w:rsidR="002B4E22" w:rsidRPr="00F018B8" w:rsidTr="004F6D6D">
        <w:trPr>
          <w:trHeight w:val="97"/>
          <w:jc w:val="center"/>
        </w:trPr>
        <w:tc>
          <w:tcPr>
            <w:tcW w:w="2529" w:type="dxa"/>
            <w:tcBorders>
              <w:bottom w:val="single" w:sz="4" w:space="0" w:color="000000" w:themeColor="text1"/>
              <w:right w:val="single" w:sz="4" w:space="0" w:color="auto"/>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Condition</w:t>
            </w:r>
          </w:p>
        </w:tc>
        <w:tc>
          <w:tcPr>
            <w:tcW w:w="729" w:type="dxa"/>
            <w:tcBorders>
              <w:left w:val="single" w:sz="4" w:space="0" w:color="auto"/>
              <w:bottom w:val="single" w:sz="4" w:space="0" w:color="000000" w:themeColor="text1"/>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F018B8" w:rsidRDefault="002B4E22"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Exam</w:t>
            </w:r>
          </w:p>
        </w:tc>
      </w:tr>
      <w:tr w:rsidR="00A962CD" w:rsidRPr="00F018B8" w:rsidTr="004F6D6D">
        <w:trPr>
          <w:trHeight w:val="115"/>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ascii="Calibri" w:eastAsia="Times New Roman" w:hAnsi="Calibri" w:cs="Calibri"/>
                <w:color w:val="auto"/>
                <w:sz w:val="18"/>
                <w:szCs w:val="18"/>
              </w:rPr>
            </w:pPr>
            <w:proofErr w:type="spellStart"/>
            <w:r w:rsidRPr="00F018B8">
              <w:rPr>
                <w:rFonts w:ascii="Calibri" w:eastAsia="Times New Roman" w:hAnsi="Calibri" w:cs="Calibri"/>
                <w:color w:val="auto"/>
                <w:sz w:val="18"/>
                <w:szCs w:val="18"/>
              </w:rPr>
              <w:t>Lumbosacral</w:t>
            </w:r>
            <w:proofErr w:type="spellEnd"/>
            <w:r w:rsidRPr="00F018B8">
              <w:rPr>
                <w:rFonts w:ascii="Calibri" w:eastAsia="Times New Roman" w:hAnsi="Calibri" w:cs="Calibri"/>
                <w:color w:val="auto"/>
                <w:sz w:val="18"/>
                <w:szCs w:val="18"/>
              </w:rPr>
              <w:t xml:space="preserve"> Strain</w:t>
            </w:r>
          </w:p>
        </w:tc>
        <w:tc>
          <w:tcPr>
            <w:tcW w:w="729" w:type="dxa"/>
            <w:tcBorders>
              <w:left w:val="single" w:sz="4" w:space="0" w:color="auto"/>
            </w:tcBorders>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eastAsia="Times New Roman"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A962CD" w:rsidRPr="00F018B8" w:rsidRDefault="00A962CD" w:rsidP="004C31A3">
            <w:pPr>
              <w:spacing w:line="180" w:lineRule="exact"/>
              <w:rPr>
                <w:rFonts w:ascii="Calibri" w:eastAsia="Times New Roman" w:hAnsi="Calibri" w:cs="Calibri"/>
                <w:color w:val="auto"/>
                <w:sz w:val="18"/>
                <w:szCs w:val="18"/>
              </w:rPr>
            </w:pPr>
            <w:r w:rsidRPr="00F018B8">
              <w:rPr>
                <w:rFonts w:ascii="Calibri" w:eastAsia="Times New Roman" w:hAnsi="Calibri" w:cs="Calibri"/>
                <w:color w:val="auto"/>
                <w:sz w:val="18"/>
                <w:szCs w:val="18"/>
              </w:rPr>
              <w:t>20%</w:t>
            </w:r>
          </w:p>
        </w:tc>
        <w:tc>
          <w:tcPr>
            <w:tcW w:w="2322" w:type="dxa"/>
            <w:vMerge w:val="restart"/>
            <w:tcBorders>
              <w:left w:val="thinThickThinSmallGap" w:sz="24" w:space="0" w:color="auto"/>
            </w:tcBorders>
            <w:shd w:val="clear" w:color="auto" w:fill="FFFFFF" w:themeFill="background1"/>
            <w:vAlign w:val="center"/>
          </w:tcPr>
          <w:p w:rsidR="00A962CD" w:rsidRPr="00F018B8" w:rsidRDefault="00A962CD" w:rsidP="004C31A3">
            <w:pPr>
              <w:spacing w:line="180" w:lineRule="exact"/>
              <w:contextualSpacing/>
              <w:jc w:val="left"/>
              <w:rPr>
                <w:rFonts w:ascii="Calibri" w:eastAsia="Times New Roman" w:hAnsi="Calibri" w:cs="Calibri"/>
                <w:color w:val="auto"/>
                <w:sz w:val="18"/>
                <w:szCs w:val="18"/>
              </w:rPr>
            </w:pPr>
            <w:proofErr w:type="spellStart"/>
            <w:r w:rsidRPr="00F018B8">
              <w:rPr>
                <w:rFonts w:ascii="Calibri" w:eastAsia="Times New Roman" w:hAnsi="Calibri" w:cs="Calibri"/>
                <w:color w:val="auto"/>
                <w:sz w:val="18"/>
                <w:szCs w:val="18"/>
              </w:rPr>
              <w:t>Lumbosacral</w:t>
            </w:r>
            <w:proofErr w:type="spellEnd"/>
            <w:r w:rsidRPr="00F018B8">
              <w:rPr>
                <w:rFonts w:ascii="Calibri" w:eastAsia="Times New Roman" w:hAnsi="Calibri" w:cs="Calibri"/>
                <w:color w:val="auto"/>
                <w:sz w:val="18"/>
                <w:szCs w:val="18"/>
              </w:rPr>
              <w:t xml:space="preserve"> Strain with DDD and DJD</w:t>
            </w:r>
          </w:p>
        </w:tc>
        <w:tc>
          <w:tcPr>
            <w:tcW w:w="1080" w:type="dxa"/>
            <w:vMerge w:val="restart"/>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eastAsia="Times New Roman" w:hAnsi="Calibri" w:cs="Calibri"/>
                <w:color w:val="auto"/>
                <w:sz w:val="18"/>
                <w:szCs w:val="18"/>
              </w:rPr>
              <w:t>5242</w:t>
            </w:r>
          </w:p>
        </w:tc>
        <w:tc>
          <w:tcPr>
            <w:tcW w:w="828" w:type="dxa"/>
            <w:vMerge w:val="restart"/>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eastAsia="Times New Roman" w:hAnsi="Calibri" w:cs="Calibri"/>
                <w:color w:val="auto"/>
                <w:sz w:val="18"/>
                <w:szCs w:val="18"/>
              </w:rPr>
              <w:t>10%</w:t>
            </w:r>
          </w:p>
        </w:tc>
        <w:tc>
          <w:tcPr>
            <w:tcW w:w="990" w:type="dxa"/>
            <w:vMerge w:val="restart"/>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F6D6D">
        <w:trPr>
          <w:trHeight w:val="106"/>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ascii="Calibri" w:eastAsia="Times New Roman" w:hAnsi="Calibri" w:cs="Calibri"/>
                <w:color w:val="auto"/>
                <w:sz w:val="18"/>
                <w:szCs w:val="18"/>
              </w:rPr>
            </w:pPr>
            <w:r w:rsidRPr="00F018B8">
              <w:rPr>
                <w:rFonts w:ascii="Calibri" w:eastAsia="Times New Roman" w:hAnsi="Calibri" w:cs="Calibri"/>
                <w:color w:val="auto"/>
                <w:sz w:val="18"/>
                <w:szCs w:val="18"/>
              </w:rPr>
              <w:t>Left Sided Sciatica</w:t>
            </w:r>
          </w:p>
        </w:tc>
        <w:tc>
          <w:tcPr>
            <w:tcW w:w="1629" w:type="dxa"/>
            <w:gridSpan w:val="2"/>
            <w:tcBorders>
              <w:left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rPr>
                <w:rFonts w:ascii="Calibri" w:eastAsia="Times New Roman" w:hAnsi="Calibri" w:cs="Calibri"/>
                <w:color w:val="auto"/>
                <w:sz w:val="18"/>
                <w:szCs w:val="18"/>
              </w:rPr>
            </w:pPr>
            <w:r w:rsidRPr="00F018B8">
              <w:rPr>
                <w:rFonts w:ascii="Calibri" w:eastAsia="Times New Roman" w:hAnsi="Calibri" w:cs="Calibri"/>
                <w:color w:val="auto"/>
                <w:sz w:val="18"/>
                <w:szCs w:val="18"/>
              </w:rPr>
              <w:t>Not Unfitting</w:t>
            </w:r>
          </w:p>
        </w:tc>
        <w:tc>
          <w:tcPr>
            <w:tcW w:w="2322" w:type="dxa"/>
            <w:vMerge/>
            <w:tcBorders>
              <w:left w:val="thinThickThinSmallGap" w:sz="24" w:space="0" w:color="auto"/>
            </w:tcBorders>
            <w:shd w:val="clear" w:color="auto" w:fill="FFFFFF" w:themeFill="background1"/>
            <w:vAlign w:val="center"/>
          </w:tcPr>
          <w:p w:rsidR="00A962CD" w:rsidRPr="00F018B8" w:rsidRDefault="00A962CD" w:rsidP="004C31A3">
            <w:pPr>
              <w:spacing w:line="180" w:lineRule="exact"/>
              <w:contextualSpacing/>
              <w:jc w:val="left"/>
              <w:rPr>
                <w:rFonts w:ascii="Calibri" w:eastAsia="Times New Roman" w:hAnsi="Calibri" w:cs="Calibri"/>
                <w:color w:val="auto"/>
                <w:sz w:val="18"/>
                <w:szCs w:val="18"/>
              </w:rPr>
            </w:pPr>
          </w:p>
        </w:tc>
        <w:tc>
          <w:tcPr>
            <w:tcW w:w="1080" w:type="dxa"/>
            <w:vMerge/>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p>
        </w:tc>
        <w:tc>
          <w:tcPr>
            <w:tcW w:w="828" w:type="dxa"/>
            <w:vMerge/>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p>
        </w:tc>
        <w:tc>
          <w:tcPr>
            <w:tcW w:w="990" w:type="dxa"/>
            <w:vMerge/>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p>
        </w:tc>
      </w:tr>
      <w:tr w:rsidR="00A962CD" w:rsidRPr="00F018B8" w:rsidTr="004F6D6D">
        <w:trPr>
          <w:trHeight w:val="106"/>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r w:rsidRPr="00F018B8">
              <w:rPr>
                <w:rFonts w:cs="Calibri"/>
                <w:color w:val="auto"/>
                <w:sz w:val="18"/>
                <w:szCs w:val="18"/>
              </w:rPr>
              <w:t xml:space="preserve">Left Hip Greater </w:t>
            </w:r>
            <w:proofErr w:type="spellStart"/>
            <w:r w:rsidRPr="00F018B8">
              <w:rPr>
                <w:rFonts w:cs="Calibri"/>
                <w:color w:val="auto"/>
                <w:sz w:val="18"/>
                <w:szCs w:val="18"/>
              </w:rPr>
              <w:t>Trochanteric</w:t>
            </w:r>
            <w:proofErr w:type="spellEnd"/>
            <w:r w:rsidRPr="00F018B8">
              <w:rPr>
                <w:rFonts w:cs="Calibri"/>
                <w:color w:val="auto"/>
                <w:sz w:val="18"/>
                <w:szCs w:val="18"/>
              </w:rPr>
              <w:t xml:space="preserve"> Bursitis</w:t>
            </w:r>
          </w:p>
        </w:tc>
        <w:tc>
          <w:tcPr>
            <w:tcW w:w="1629" w:type="dxa"/>
            <w:gridSpan w:val="2"/>
            <w:tcBorders>
              <w:left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rPr>
                <w:rFonts w:cs="Calibri"/>
                <w:color w:val="auto"/>
                <w:sz w:val="18"/>
                <w:szCs w:val="18"/>
              </w:rPr>
            </w:pPr>
            <w:r w:rsidRPr="00F018B8">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r w:rsidRPr="00F018B8">
              <w:rPr>
                <w:rFonts w:cs="Calibri"/>
                <w:color w:val="auto"/>
                <w:sz w:val="18"/>
                <w:szCs w:val="18"/>
              </w:rPr>
              <w:t>Left Hip Bursitis</w:t>
            </w:r>
          </w:p>
        </w:tc>
        <w:tc>
          <w:tcPr>
            <w:tcW w:w="1080" w:type="dxa"/>
            <w:tcBorders>
              <w:left w:val="single" w:sz="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5099-5019</w:t>
            </w:r>
          </w:p>
        </w:tc>
        <w:tc>
          <w:tcPr>
            <w:tcW w:w="828"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0%</w:t>
            </w:r>
          </w:p>
        </w:tc>
        <w:tc>
          <w:tcPr>
            <w:tcW w:w="990"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F6D6D">
        <w:trPr>
          <w:trHeight w:val="97"/>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ascii="Calibri" w:eastAsia="Times New Roman" w:hAnsi="Calibri" w:cs="Calibri"/>
                <w:color w:val="auto"/>
                <w:sz w:val="18"/>
                <w:szCs w:val="18"/>
              </w:rPr>
            </w:pPr>
            <w:r w:rsidRPr="00F018B8">
              <w:rPr>
                <w:rFonts w:ascii="Calibri" w:eastAsia="Times New Roman" w:hAnsi="Calibri" w:cs="Calibri"/>
                <w:color w:val="auto"/>
                <w:sz w:val="18"/>
                <w:szCs w:val="18"/>
              </w:rPr>
              <w:t xml:space="preserve">Left </w:t>
            </w:r>
            <w:proofErr w:type="spellStart"/>
            <w:r w:rsidRPr="00F018B8">
              <w:rPr>
                <w:rFonts w:ascii="Calibri" w:eastAsia="Times New Roman" w:hAnsi="Calibri" w:cs="Calibri"/>
                <w:color w:val="auto"/>
                <w:sz w:val="18"/>
                <w:szCs w:val="18"/>
              </w:rPr>
              <w:t>Cuboid</w:t>
            </w:r>
            <w:proofErr w:type="spellEnd"/>
            <w:r w:rsidRPr="00F018B8">
              <w:rPr>
                <w:rFonts w:ascii="Calibri" w:eastAsia="Times New Roman" w:hAnsi="Calibri" w:cs="Calibri"/>
                <w:color w:val="auto"/>
                <w:sz w:val="18"/>
                <w:szCs w:val="18"/>
              </w:rPr>
              <w:t xml:space="preserve"> Bone Fracture</w:t>
            </w:r>
          </w:p>
        </w:tc>
        <w:tc>
          <w:tcPr>
            <w:tcW w:w="1629" w:type="dxa"/>
            <w:gridSpan w:val="2"/>
            <w:tcBorders>
              <w:left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highlight w:val="yellow"/>
              </w:rPr>
            </w:pPr>
            <w:r w:rsidRPr="00F018B8">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ascii="Calibri" w:eastAsia="Times New Roman" w:hAnsi="Calibri" w:cs="Calibri"/>
                <w:color w:val="auto"/>
                <w:sz w:val="18"/>
                <w:szCs w:val="18"/>
              </w:rPr>
            </w:pPr>
            <w:r w:rsidRPr="00F018B8">
              <w:rPr>
                <w:rFonts w:ascii="Calibri" w:eastAsia="Times New Roman" w:hAnsi="Calibri" w:cs="Calibri"/>
                <w:color w:val="auto"/>
                <w:sz w:val="18"/>
                <w:szCs w:val="18"/>
              </w:rPr>
              <w:t xml:space="preserve">Avulsion Fracture Left </w:t>
            </w:r>
            <w:proofErr w:type="spellStart"/>
            <w:r w:rsidRPr="00F018B8">
              <w:rPr>
                <w:rFonts w:ascii="Calibri" w:eastAsia="Times New Roman" w:hAnsi="Calibri" w:cs="Calibri"/>
                <w:color w:val="auto"/>
                <w:sz w:val="18"/>
                <w:szCs w:val="18"/>
              </w:rPr>
              <w:t>Cuboid</w:t>
            </w:r>
            <w:proofErr w:type="spellEnd"/>
            <w:r w:rsidR="004F6D6D" w:rsidRPr="00F018B8">
              <w:rPr>
                <w:rFonts w:ascii="Calibri" w:eastAsia="Times New Roman" w:hAnsi="Calibri" w:cs="Calibri"/>
                <w:color w:val="auto"/>
                <w:sz w:val="18"/>
                <w:szCs w:val="18"/>
              </w:rPr>
              <w:t xml:space="preserve"> (foot)</w:t>
            </w:r>
          </w:p>
        </w:tc>
        <w:tc>
          <w:tcPr>
            <w:tcW w:w="1080" w:type="dxa"/>
            <w:tcBorders>
              <w:left w:val="single" w:sz="4" w:space="0" w:color="auto"/>
            </w:tcBorders>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eastAsia="Times New Roman" w:hAnsi="Calibri" w:cs="Calibri"/>
                <w:color w:val="auto"/>
                <w:sz w:val="18"/>
                <w:szCs w:val="18"/>
              </w:rPr>
              <w:t>5284</w:t>
            </w:r>
          </w:p>
        </w:tc>
        <w:tc>
          <w:tcPr>
            <w:tcW w:w="828" w:type="dxa"/>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eastAsia="Times New Roman" w:hAnsi="Calibri" w:cs="Calibri"/>
                <w:color w:val="auto"/>
                <w:sz w:val="18"/>
                <w:szCs w:val="18"/>
              </w:rPr>
              <w:t>10%</w:t>
            </w:r>
          </w:p>
        </w:tc>
        <w:tc>
          <w:tcPr>
            <w:tcW w:w="990"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F6D6D">
        <w:trPr>
          <w:trHeight w:val="97"/>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proofErr w:type="spellStart"/>
            <w:r w:rsidRPr="00F018B8">
              <w:rPr>
                <w:rFonts w:cs="Calibri"/>
                <w:color w:val="auto"/>
                <w:sz w:val="18"/>
                <w:szCs w:val="18"/>
              </w:rPr>
              <w:t>Alport’s</w:t>
            </w:r>
            <w:proofErr w:type="spellEnd"/>
            <w:r w:rsidRPr="00F018B8">
              <w:rPr>
                <w:rFonts w:cs="Calibri"/>
                <w:color w:val="auto"/>
                <w:sz w:val="18"/>
                <w:szCs w:val="18"/>
              </w:rPr>
              <w:t xml:space="preserve"> Syndrome</w:t>
            </w:r>
            <w:r w:rsidR="004F6D6D" w:rsidRPr="00F018B8">
              <w:rPr>
                <w:rFonts w:cs="Calibri"/>
                <w:color w:val="auto"/>
                <w:sz w:val="18"/>
                <w:szCs w:val="18"/>
              </w:rPr>
              <w:t xml:space="preserve"> (kidney)</w:t>
            </w:r>
          </w:p>
        </w:tc>
        <w:tc>
          <w:tcPr>
            <w:tcW w:w="1629" w:type="dxa"/>
            <w:gridSpan w:val="2"/>
            <w:tcBorders>
              <w:left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highlight w:val="yellow"/>
              </w:rPr>
            </w:pPr>
            <w:r w:rsidRPr="00F018B8">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proofErr w:type="spellStart"/>
            <w:r w:rsidRPr="00F018B8">
              <w:rPr>
                <w:rFonts w:cs="Calibri"/>
                <w:color w:val="auto"/>
                <w:sz w:val="18"/>
                <w:szCs w:val="18"/>
              </w:rPr>
              <w:t>Alport’s</w:t>
            </w:r>
            <w:proofErr w:type="spellEnd"/>
            <w:r w:rsidRPr="00F018B8">
              <w:rPr>
                <w:rFonts w:cs="Calibri"/>
                <w:color w:val="auto"/>
                <w:sz w:val="18"/>
                <w:szCs w:val="18"/>
              </w:rPr>
              <w:t xml:space="preserve"> Syndrome</w:t>
            </w:r>
          </w:p>
        </w:tc>
        <w:tc>
          <w:tcPr>
            <w:tcW w:w="1080" w:type="dxa"/>
            <w:tcBorders>
              <w:left w:val="single" w:sz="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7599-7536</w:t>
            </w:r>
          </w:p>
        </w:tc>
        <w:tc>
          <w:tcPr>
            <w:tcW w:w="828"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0%</w:t>
            </w:r>
          </w:p>
        </w:tc>
        <w:tc>
          <w:tcPr>
            <w:tcW w:w="990"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F6D6D">
        <w:trPr>
          <w:trHeight w:val="97"/>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proofErr w:type="spellStart"/>
            <w:r w:rsidRPr="00F018B8">
              <w:rPr>
                <w:rFonts w:cs="Calibri"/>
                <w:color w:val="auto"/>
                <w:sz w:val="18"/>
                <w:szCs w:val="18"/>
              </w:rPr>
              <w:t>Hyperlipidemia</w:t>
            </w:r>
            <w:proofErr w:type="spellEnd"/>
          </w:p>
        </w:tc>
        <w:tc>
          <w:tcPr>
            <w:tcW w:w="1629" w:type="dxa"/>
            <w:gridSpan w:val="2"/>
            <w:tcBorders>
              <w:left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highlight w:val="yellow"/>
              </w:rPr>
            </w:pPr>
            <w:r w:rsidRPr="00F018B8">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proofErr w:type="spellStart"/>
            <w:r w:rsidRPr="00F018B8">
              <w:rPr>
                <w:rFonts w:cs="Calibri"/>
                <w:color w:val="auto"/>
                <w:sz w:val="18"/>
                <w:szCs w:val="18"/>
              </w:rPr>
              <w:t>Hyperlipidemia</w:t>
            </w:r>
            <w:proofErr w:type="spellEnd"/>
          </w:p>
        </w:tc>
        <w:tc>
          <w:tcPr>
            <w:tcW w:w="1080" w:type="dxa"/>
            <w:tcBorders>
              <w:left w:val="single" w:sz="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7999-7913</w:t>
            </w:r>
          </w:p>
        </w:tc>
        <w:tc>
          <w:tcPr>
            <w:tcW w:w="828"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NSC</w:t>
            </w:r>
          </w:p>
        </w:tc>
        <w:tc>
          <w:tcPr>
            <w:tcW w:w="990"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F6D6D">
        <w:trPr>
          <w:trHeight w:val="97"/>
          <w:jc w:val="center"/>
        </w:trPr>
        <w:tc>
          <w:tcPr>
            <w:tcW w:w="2529" w:type="dxa"/>
            <w:tcBorders>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r w:rsidRPr="00F018B8">
              <w:rPr>
                <w:rFonts w:cs="Calibri"/>
                <w:color w:val="auto"/>
                <w:sz w:val="18"/>
                <w:szCs w:val="18"/>
              </w:rPr>
              <w:t>Hypertension</w:t>
            </w:r>
          </w:p>
        </w:tc>
        <w:tc>
          <w:tcPr>
            <w:tcW w:w="1629" w:type="dxa"/>
            <w:gridSpan w:val="2"/>
            <w:tcBorders>
              <w:left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highlight w:val="yellow"/>
              </w:rPr>
            </w:pPr>
            <w:r w:rsidRPr="00F018B8">
              <w:rPr>
                <w:rFonts w:ascii="Calibri" w:eastAsia="Times New Roman" w:hAnsi="Calibri" w:cs="Calibri"/>
                <w:color w:val="auto"/>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962CD" w:rsidRPr="00F018B8" w:rsidRDefault="00A962CD" w:rsidP="004C31A3">
            <w:pPr>
              <w:spacing w:line="180" w:lineRule="exact"/>
              <w:contextualSpacing/>
              <w:jc w:val="left"/>
              <w:rPr>
                <w:rFonts w:cs="Calibri"/>
                <w:color w:val="auto"/>
                <w:sz w:val="18"/>
                <w:szCs w:val="18"/>
              </w:rPr>
            </w:pPr>
            <w:r w:rsidRPr="00F018B8">
              <w:rPr>
                <w:rFonts w:cs="Calibri"/>
                <w:color w:val="auto"/>
                <w:sz w:val="18"/>
                <w:szCs w:val="18"/>
              </w:rPr>
              <w:t>Hypertension</w:t>
            </w:r>
          </w:p>
        </w:tc>
        <w:tc>
          <w:tcPr>
            <w:tcW w:w="1080" w:type="dxa"/>
            <w:tcBorders>
              <w:left w:val="single" w:sz="4" w:space="0" w:color="auto"/>
            </w:tcBorders>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7101</w:t>
            </w:r>
          </w:p>
        </w:tc>
        <w:tc>
          <w:tcPr>
            <w:tcW w:w="828"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0%</w:t>
            </w:r>
          </w:p>
        </w:tc>
        <w:tc>
          <w:tcPr>
            <w:tcW w:w="990"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C31A3">
        <w:trPr>
          <w:trHeight w:val="142"/>
          <w:jc w:val="center"/>
        </w:trPr>
        <w:tc>
          <w:tcPr>
            <w:tcW w:w="4158" w:type="dxa"/>
            <w:gridSpan w:val="3"/>
            <w:tcBorders>
              <w:bottom w:val="single" w:sz="4" w:space="0" w:color="auto"/>
              <w:right w:val="thinThickThinSmallGap" w:sz="24" w:space="0" w:color="auto"/>
            </w:tcBorders>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A962CD" w:rsidRPr="00F018B8" w:rsidRDefault="00A962CD" w:rsidP="004C31A3">
            <w:pPr>
              <w:spacing w:line="180" w:lineRule="exact"/>
              <w:contextualSpacing/>
              <w:rPr>
                <w:rFonts w:ascii="Calibri" w:eastAsia="Times New Roman" w:hAnsi="Calibri" w:cs="Calibri"/>
                <w:color w:val="auto"/>
                <w:sz w:val="18"/>
                <w:szCs w:val="18"/>
              </w:rPr>
            </w:pPr>
            <w:r w:rsidRPr="00F018B8">
              <w:rPr>
                <w:rFonts w:ascii="Calibri" w:hAnsi="Calibri" w:cs="Calibri"/>
                <w:color w:val="auto"/>
                <w:sz w:val="18"/>
                <w:szCs w:val="18"/>
              </w:rPr>
              <w:t xml:space="preserve">0% x 8/Not Service Connected x </w:t>
            </w:r>
            <w:r w:rsidR="003C5B65" w:rsidRPr="00F018B8">
              <w:rPr>
                <w:rFonts w:ascii="Calibri" w:hAnsi="Calibri" w:cs="Calibri"/>
                <w:color w:val="auto"/>
                <w:sz w:val="18"/>
                <w:szCs w:val="18"/>
              </w:rPr>
              <w:t>2</w:t>
            </w:r>
          </w:p>
        </w:tc>
        <w:tc>
          <w:tcPr>
            <w:tcW w:w="990" w:type="dxa"/>
            <w:shd w:val="clear" w:color="auto" w:fill="FFFFFF" w:themeFill="background1"/>
            <w:vAlign w:val="center"/>
          </w:tcPr>
          <w:p w:rsidR="00A962CD" w:rsidRPr="00F018B8" w:rsidRDefault="00A962CD" w:rsidP="004C31A3">
            <w:pPr>
              <w:spacing w:line="180" w:lineRule="exact"/>
              <w:contextualSpacing/>
              <w:rPr>
                <w:rFonts w:cs="Calibri"/>
                <w:color w:val="auto"/>
                <w:sz w:val="18"/>
                <w:szCs w:val="18"/>
              </w:rPr>
            </w:pPr>
            <w:r w:rsidRPr="00F018B8">
              <w:rPr>
                <w:rFonts w:cs="Calibri"/>
                <w:color w:val="auto"/>
                <w:sz w:val="18"/>
                <w:szCs w:val="18"/>
              </w:rPr>
              <w:t>20071205</w:t>
            </w:r>
          </w:p>
        </w:tc>
      </w:tr>
      <w:tr w:rsidR="00A962CD" w:rsidRPr="00F018B8" w:rsidTr="004C31A3">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A962CD" w:rsidRPr="00F018B8" w:rsidRDefault="00A962CD"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A962CD" w:rsidRPr="00F018B8" w:rsidRDefault="00A962CD" w:rsidP="004C31A3">
            <w:pPr>
              <w:spacing w:line="180" w:lineRule="exact"/>
              <w:contextualSpacing/>
              <w:rPr>
                <w:rFonts w:ascii="Calibri" w:hAnsi="Calibri" w:cs="Calibri"/>
                <w:b/>
                <w:color w:val="auto"/>
                <w:sz w:val="18"/>
                <w:szCs w:val="18"/>
              </w:rPr>
            </w:pPr>
            <w:r w:rsidRPr="00F018B8">
              <w:rPr>
                <w:rFonts w:ascii="Calibri" w:hAnsi="Calibri" w:cs="Calibri"/>
                <w:b/>
                <w:color w:val="auto"/>
                <w:sz w:val="18"/>
                <w:szCs w:val="18"/>
              </w:rPr>
              <w:t>Combined:  20%</w:t>
            </w:r>
          </w:p>
        </w:tc>
      </w:tr>
    </w:tbl>
    <w:p w:rsidR="005E3A5F" w:rsidRPr="00F018B8" w:rsidRDefault="005E3A5F" w:rsidP="00A97CD9">
      <w:pPr>
        <w:pBdr>
          <w:bottom w:val="single" w:sz="12" w:space="1" w:color="auto"/>
        </w:pBdr>
        <w:tabs>
          <w:tab w:val="left" w:pos="288"/>
          <w:tab w:val="left" w:pos="4752"/>
        </w:tabs>
        <w:jc w:val="both"/>
        <w:rPr>
          <w:color w:val="auto"/>
          <w:szCs w:val="24"/>
        </w:rPr>
      </w:pPr>
    </w:p>
    <w:p w:rsidR="00065E57" w:rsidRDefault="00065E57" w:rsidP="00B505E9">
      <w:pPr>
        <w:jc w:val="left"/>
        <w:rPr>
          <w:color w:val="000000" w:themeColor="text1"/>
          <w:szCs w:val="24"/>
          <w:u w:val="single"/>
        </w:rPr>
      </w:pPr>
    </w:p>
    <w:p w:rsidR="00B505E9" w:rsidRPr="00B505E9" w:rsidRDefault="00065E57" w:rsidP="00716C3C">
      <w:pPr>
        <w:jc w:val="both"/>
        <w:rPr>
          <w:color w:val="000000" w:themeColor="text1"/>
          <w:szCs w:val="24"/>
        </w:rPr>
      </w:pPr>
      <w:r>
        <w:rPr>
          <w:color w:val="000000" w:themeColor="text1"/>
          <w:szCs w:val="24"/>
          <w:u w:val="single"/>
        </w:rPr>
        <w:t>A</w:t>
      </w:r>
      <w:r w:rsidR="002C6E5B" w:rsidRPr="001F29F9">
        <w:rPr>
          <w:color w:val="000000" w:themeColor="text1"/>
          <w:szCs w:val="24"/>
          <w:u w:val="single"/>
        </w:rPr>
        <w:t>NALYSIS SUMMARY</w:t>
      </w:r>
      <w:r w:rsidR="002C6E5B" w:rsidRPr="001F29F9">
        <w:rPr>
          <w:color w:val="000000" w:themeColor="text1"/>
          <w:szCs w:val="24"/>
        </w:rPr>
        <w:t>:</w:t>
      </w:r>
      <w:r w:rsidR="00B505E9">
        <w:rPr>
          <w:color w:val="000000" w:themeColor="text1"/>
          <w:szCs w:val="24"/>
        </w:rPr>
        <w:t xml:space="preserve">  </w:t>
      </w:r>
      <w:r w:rsidR="001A09B7" w:rsidRPr="001A09B7">
        <w:rPr>
          <w:color w:val="000000" w:themeColor="text1"/>
          <w:szCs w:val="24"/>
        </w:rPr>
        <w:t xml:space="preserve">The </w:t>
      </w:r>
      <w:r w:rsidR="001A09B7" w:rsidRPr="00F018B8">
        <w:rPr>
          <w:color w:val="000000" w:themeColor="text1"/>
          <w:szCs w:val="24"/>
        </w:rPr>
        <w:t>Board acknowledges the CI’s contention that suggests service ratings should have been conferred for other conditions documented</w:t>
      </w:r>
      <w:r w:rsidR="001A09B7" w:rsidRPr="001A09B7">
        <w:rPr>
          <w:color w:val="000000" w:themeColor="text1"/>
          <w:szCs w:val="24"/>
        </w:rPr>
        <w:t xml:space="preserve"> at the time of separation. </w:t>
      </w:r>
      <w:r w:rsidR="001A09B7">
        <w:rPr>
          <w:color w:val="000000" w:themeColor="text1"/>
          <w:szCs w:val="24"/>
        </w:rPr>
        <w:t xml:space="preserve"> </w:t>
      </w:r>
      <w:r w:rsidR="001A09B7" w:rsidRPr="001A09B7">
        <w:rPr>
          <w:color w:val="000000" w:themeColor="text1"/>
          <w:szCs w:val="24"/>
        </w:rPr>
        <w:t xml:space="preserve">The Board wishes to clarify that it is subject to the same laws for service disability entitlements as </w:t>
      </w:r>
      <w:r w:rsidR="001A09B7" w:rsidRPr="001A09B7">
        <w:rPr>
          <w:color w:val="000000" w:themeColor="text1"/>
          <w:szCs w:val="24"/>
        </w:rPr>
        <w:lastRenderedPageBreak/>
        <w:t xml:space="preserve">those under which the Disability Evaluation System (DES) operates. </w:t>
      </w:r>
      <w:r w:rsidR="001A09B7">
        <w:rPr>
          <w:color w:val="000000" w:themeColor="text1"/>
          <w:szCs w:val="24"/>
        </w:rPr>
        <w:t xml:space="preserve"> </w:t>
      </w:r>
      <w:r w:rsidR="001A09B7" w:rsidRPr="001A09B7">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1A09B7">
        <w:rPr>
          <w:color w:val="000000" w:themeColor="text1"/>
          <w:szCs w:val="24"/>
        </w:rPr>
        <w:t xml:space="preserve"> </w:t>
      </w:r>
      <w:r w:rsidR="001A09B7" w:rsidRPr="001A09B7">
        <w:rPr>
          <w:color w:val="000000" w:themeColor="text1"/>
          <w:szCs w:val="24"/>
        </w:rPr>
        <w:t>However the Department of Veteran</w:t>
      </w:r>
      <w:r w:rsidR="00D759E3">
        <w:rPr>
          <w:color w:val="000000" w:themeColor="text1"/>
          <w:szCs w:val="24"/>
        </w:rPr>
        <w:t>s’</w:t>
      </w:r>
      <w:r w:rsidR="001A09B7" w:rsidRPr="001A09B7">
        <w:rPr>
          <w:color w:val="000000" w:themeColor="text1"/>
          <w:szCs w:val="24"/>
        </w:rPr>
        <w:t xml:space="preserve"> Affairs (DVA), operating under a different set of laws (Title 38, United States Code), is empo</w:t>
      </w:r>
      <w:r w:rsidR="00D759E3">
        <w:rPr>
          <w:color w:val="000000" w:themeColor="text1"/>
          <w:szCs w:val="24"/>
        </w:rPr>
        <w:t>wered to compensate all service-</w:t>
      </w:r>
      <w:r w:rsidR="001A09B7" w:rsidRPr="001A09B7">
        <w:rPr>
          <w:color w:val="000000" w:themeColor="text1"/>
          <w:szCs w:val="24"/>
        </w:rPr>
        <w:t xml:space="preserve">connected conditions and to periodically reevaluate said conditions for the purpose of adjusting the </w:t>
      </w:r>
      <w:r w:rsidR="00D759E3">
        <w:rPr>
          <w:color w:val="000000" w:themeColor="text1"/>
          <w:szCs w:val="24"/>
        </w:rPr>
        <w:t>V</w:t>
      </w:r>
      <w:r w:rsidR="001A09B7" w:rsidRPr="001A09B7">
        <w:rPr>
          <w:color w:val="000000" w:themeColor="text1"/>
          <w:szCs w:val="24"/>
        </w:rPr>
        <w:t xml:space="preserve">eteran’s disability rating should </w:t>
      </w:r>
      <w:r w:rsidR="00D759E3">
        <w:rPr>
          <w:color w:val="000000" w:themeColor="text1"/>
          <w:szCs w:val="24"/>
        </w:rPr>
        <w:t>the</w:t>
      </w:r>
      <w:r w:rsidR="001A09B7" w:rsidRPr="001A09B7">
        <w:rPr>
          <w:color w:val="000000" w:themeColor="text1"/>
          <w:szCs w:val="24"/>
        </w:rPr>
        <w:t xml:space="preserve"> degree of impairment vary over time</w:t>
      </w:r>
      <w:r w:rsidR="002F1F42">
        <w:rPr>
          <w:color w:val="000000" w:themeColor="text1"/>
          <w:szCs w:val="24"/>
        </w:rPr>
        <w:t>.</w:t>
      </w:r>
    </w:p>
    <w:p w:rsidR="002C6E5B" w:rsidRPr="001F29F9" w:rsidRDefault="002C6E5B" w:rsidP="00716C3C">
      <w:pPr>
        <w:jc w:val="both"/>
        <w:rPr>
          <w:color w:val="000000" w:themeColor="text1"/>
          <w:szCs w:val="24"/>
          <w:u w:val="single"/>
        </w:rPr>
      </w:pPr>
    </w:p>
    <w:p w:rsidR="00876FFF" w:rsidRDefault="00065E57" w:rsidP="00876FFF">
      <w:pPr>
        <w:jc w:val="both"/>
        <w:rPr>
          <w:rFonts w:asciiTheme="minorHAnsi" w:hAnsiTheme="minorHAnsi"/>
          <w:color w:val="auto"/>
          <w:szCs w:val="24"/>
        </w:rPr>
      </w:pPr>
      <w:proofErr w:type="spellStart"/>
      <w:proofErr w:type="gramStart"/>
      <w:r w:rsidRPr="00065E57">
        <w:rPr>
          <w:color w:val="000000" w:themeColor="text1"/>
          <w:szCs w:val="24"/>
          <w:u w:val="single"/>
        </w:rPr>
        <w:t>Lumbosacral</w:t>
      </w:r>
      <w:proofErr w:type="spellEnd"/>
      <w:r w:rsidRPr="00065E57">
        <w:rPr>
          <w:color w:val="000000" w:themeColor="text1"/>
          <w:szCs w:val="24"/>
          <w:u w:val="single"/>
        </w:rPr>
        <w:t xml:space="preserve"> </w:t>
      </w:r>
      <w:r w:rsidRPr="006677E6">
        <w:rPr>
          <w:color w:val="000000" w:themeColor="text1"/>
          <w:szCs w:val="24"/>
          <w:u w:val="single"/>
        </w:rPr>
        <w:t xml:space="preserve">Strain </w:t>
      </w:r>
      <w:r w:rsidR="003F2EEE" w:rsidRPr="006677E6">
        <w:rPr>
          <w:color w:val="000000" w:themeColor="text1"/>
          <w:szCs w:val="24"/>
          <w:u w:val="single"/>
        </w:rPr>
        <w:t>Condition</w:t>
      </w:r>
      <w:r w:rsidR="003F2EEE" w:rsidRPr="006677E6">
        <w:rPr>
          <w:color w:val="000000" w:themeColor="text1"/>
          <w:szCs w:val="24"/>
        </w:rPr>
        <w:t>.</w:t>
      </w:r>
      <w:proofErr w:type="gramEnd"/>
      <w:r w:rsidR="003F2EEE" w:rsidRPr="006677E6">
        <w:rPr>
          <w:color w:val="000000" w:themeColor="text1"/>
          <w:szCs w:val="24"/>
        </w:rPr>
        <w:t xml:space="preserve">  </w:t>
      </w:r>
      <w:r w:rsidR="00876FFF" w:rsidRPr="00396779">
        <w:rPr>
          <w:rFonts w:asciiTheme="minorHAnsi" w:hAnsiTheme="minorHAnsi"/>
          <w:color w:val="auto"/>
          <w:szCs w:val="24"/>
        </w:rPr>
        <w:t xml:space="preserve">There </w:t>
      </w:r>
      <w:r w:rsidR="00876FFF" w:rsidRPr="00F018B8">
        <w:rPr>
          <w:rFonts w:asciiTheme="minorHAnsi" w:hAnsiTheme="minorHAnsi"/>
          <w:color w:val="auto"/>
          <w:szCs w:val="24"/>
        </w:rPr>
        <w:t xml:space="preserve">were two </w:t>
      </w:r>
      <w:proofErr w:type="spellStart"/>
      <w:r w:rsidR="00876FFF" w:rsidRPr="00F018B8">
        <w:rPr>
          <w:rFonts w:asciiTheme="minorHAnsi" w:hAnsiTheme="minorHAnsi"/>
          <w:color w:val="auto"/>
          <w:szCs w:val="24"/>
        </w:rPr>
        <w:t>thoracolumbar</w:t>
      </w:r>
      <w:proofErr w:type="spellEnd"/>
      <w:r w:rsidR="00876FFF">
        <w:rPr>
          <w:rFonts w:asciiTheme="minorHAnsi" w:hAnsiTheme="minorHAnsi"/>
          <w:color w:val="auto"/>
          <w:szCs w:val="24"/>
        </w:rPr>
        <w:t xml:space="preserve"> spine examinations proximate to separation, including two </w:t>
      </w:r>
      <w:r w:rsidR="00876FFF" w:rsidRPr="002C534E">
        <w:rPr>
          <w:rFonts w:asciiTheme="minorHAnsi" w:hAnsiTheme="minorHAnsi"/>
          <w:color w:val="auto"/>
          <w:szCs w:val="24"/>
        </w:rPr>
        <w:t>goniometric</w:t>
      </w:r>
      <w:r w:rsidR="00876FFF" w:rsidRPr="00396779">
        <w:rPr>
          <w:rFonts w:asciiTheme="minorHAnsi" w:hAnsiTheme="minorHAnsi"/>
          <w:color w:val="auto"/>
          <w:szCs w:val="24"/>
        </w:rPr>
        <w:t xml:space="preserve"> range-of-motion (ROM) evaluation</w:t>
      </w:r>
      <w:r w:rsidR="00876FFF">
        <w:rPr>
          <w:rFonts w:asciiTheme="minorHAnsi" w:hAnsiTheme="minorHAnsi"/>
          <w:color w:val="auto"/>
          <w:szCs w:val="24"/>
        </w:rPr>
        <w:t>s</w:t>
      </w:r>
      <w:r w:rsidR="00876FFF" w:rsidRPr="00876FFF">
        <w:rPr>
          <w:color w:val="000000" w:themeColor="text1"/>
          <w:szCs w:val="24"/>
        </w:rPr>
        <w:t xml:space="preserve"> </w:t>
      </w:r>
      <w:r w:rsidR="00876FFF" w:rsidRPr="006677E6">
        <w:rPr>
          <w:color w:val="000000" w:themeColor="text1"/>
          <w:szCs w:val="24"/>
        </w:rPr>
        <w:t>with documentation of additional ratable criteria</w:t>
      </w:r>
      <w:r w:rsidR="00876FFF">
        <w:rPr>
          <w:rFonts w:asciiTheme="minorHAnsi" w:hAnsiTheme="minorHAnsi"/>
          <w:color w:val="auto"/>
          <w:szCs w:val="24"/>
        </w:rPr>
        <w:t>,</w:t>
      </w:r>
      <w:r w:rsidR="00876FFF" w:rsidRPr="00396779">
        <w:rPr>
          <w:rFonts w:asciiTheme="minorHAnsi" w:hAnsiTheme="minorHAnsi"/>
          <w:color w:val="auto"/>
          <w:szCs w:val="24"/>
        </w:rPr>
        <w:t xml:space="preserve"> in evidence which the Board weighed in arriving at its rating recommendation. </w:t>
      </w:r>
      <w:r w:rsidR="00876FFF">
        <w:rPr>
          <w:rFonts w:asciiTheme="minorHAnsi" w:hAnsiTheme="minorHAnsi"/>
          <w:color w:val="auto"/>
          <w:szCs w:val="24"/>
        </w:rPr>
        <w:t xml:space="preserve"> T</w:t>
      </w:r>
      <w:r w:rsidR="00876FFF" w:rsidRPr="00396779">
        <w:rPr>
          <w:rFonts w:asciiTheme="minorHAnsi" w:hAnsiTheme="minorHAnsi"/>
          <w:color w:val="auto"/>
          <w:szCs w:val="24"/>
        </w:rPr>
        <w:t>hese exams are summarized in the chart below.</w:t>
      </w:r>
    </w:p>
    <w:p w:rsidR="003C53E8" w:rsidRPr="003C53E8" w:rsidRDefault="003C53E8" w:rsidP="006677E6">
      <w:pPr>
        <w:tabs>
          <w:tab w:val="left" w:pos="288"/>
          <w:tab w:val="left" w:pos="4752"/>
        </w:tabs>
        <w:jc w:val="both"/>
        <w:rPr>
          <w:rFonts w:asciiTheme="minorHAnsi" w:hAnsiTheme="minorHAns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5"/>
        <w:gridCol w:w="2970"/>
        <w:gridCol w:w="2814"/>
      </w:tblGrid>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67B6" w:rsidRPr="00F018B8" w:rsidRDefault="00BB67B6" w:rsidP="004F6D6D">
            <w:pPr>
              <w:pStyle w:val="ListParagraph"/>
              <w:spacing w:after="0" w:line="180" w:lineRule="exact"/>
              <w:ind w:left="0"/>
              <w:rPr>
                <w:rFonts w:eastAsia="Calibri" w:cstheme="minorHAnsi"/>
                <w:b/>
                <w:sz w:val="18"/>
                <w:szCs w:val="18"/>
              </w:rPr>
            </w:pPr>
            <w:r w:rsidRPr="00F018B8">
              <w:rPr>
                <w:rFonts w:eastAsia="Calibri" w:cstheme="minorHAnsi"/>
                <w:sz w:val="18"/>
                <w:szCs w:val="18"/>
              </w:rPr>
              <w:t xml:space="preserve">Goniometric ROM - </w:t>
            </w:r>
            <w:proofErr w:type="spellStart"/>
            <w:r w:rsidRPr="00F018B8">
              <w:rPr>
                <w:rFonts w:eastAsia="Calibri" w:cstheme="minorHAnsi"/>
                <w:sz w:val="18"/>
                <w:szCs w:val="18"/>
              </w:rPr>
              <w:t>Thoracolumbar</w:t>
            </w:r>
            <w:proofErr w:type="spellEnd"/>
          </w:p>
        </w:tc>
        <w:tc>
          <w:tcPr>
            <w:tcW w:w="29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67B6" w:rsidRPr="00F018B8" w:rsidRDefault="00BB67B6"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MEB</w:t>
            </w:r>
            <w:r w:rsidR="00CE3411" w:rsidRPr="00F018B8">
              <w:rPr>
                <w:rFonts w:asciiTheme="minorHAnsi" w:eastAsia="Calibri" w:hAnsiTheme="minorHAnsi"/>
                <w:color w:val="auto"/>
                <w:sz w:val="18"/>
                <w:szCs w:val="18"/>
              </w:rPr>
              <w:t xml:space="preserve"> (PT)</w:t>
            </w:r>
            <w:r w:rsidRPr="00F018B8">
              <w:rPr>
                <w:rFonts w:asciiTheme="minorHAnsi" w:eastAsia="Calibri" w:hAnsiTheme="minorHAnsi"/>
                <w:color w:val="auto"/>
                <w:sz w:val="18"/>
                <w:szCs w:val="18"/>
              </w:rPr>
              <w:t xml:space="preserve"> ~ 5 Mos. Pre-Sep</w:t>
            </w:r>
          </w:p>
          <w:p w:rsidR="00BB67B6" w:rsidRPr="00F018B8" w:rsidRDefault="00BB67B6"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w:t>
            </w:r>
            <w:r w:rsidRPr="00F018B8">
              <w:rPr>
                <w:rFonts w:asciiTheme="minorHAnsi" w:eastAsia="Calibri" w:hAnsiTheme="minorHAnsi"/>
                <w:i/>
                <w:color w:val="auto"/>
                <w:sz w:val="18"/>
                <w:szCs w:val="18"/>
              </w:rPr>
              <w:t>20070911</w:t>
            </w:r>
            <w:r w:rsidRPr="00F018B8">
              <w:rPr>
                <w:rFonts w:asciiTheme="minorHAnsi" w:eastAsia="Calibri" w:hAnsiTheme="minorHAnsi"/>
                <w:color w:val="auto"/>
                <w:sz w:val="18"/>
                <w:szCs w:val="18"/>
              </w:rPr>
              <w:t>)</w:t>
            </w:r>
          </w:p>
        </w:tc>
        <w:tc>
          <w:tcPr>
            <w:tcW w:w="281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67B6" w:rsidRPr="00F018B8" w:rsidRDefault="00BB67B6"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VA</w:t>
            </w:r>
            <w:r w:rsidRPr="00F018B8">
              <w:rPr>
                <w:rFonts w:asciiTheme="minorHAnsi" w:eastAsiaTheme="minorHAnsi" w:hAnsiTheme="minorHAnsi"/>
                <w:color w:val="auto"/>
                <w:sz w:val="18"/>
                <w:szCs w:val="18"/>
              </w:rPr>
              <w:t xml:space="preserve"> C&amp;P </w:t>
            </w:r>
            <w:r w:rsidRPr="00F018B8">
              <w:rPr>
                <w:rFonts w:asciiTheme="minorHAnsi" w:eastAsia="Calibri" w:hAnsiTheme="minorHAnsi"/>
                <w:color w:val="auto"/>
                <w:sz w:val="18"/>
                <w:szCs w:val="18"/>
              </w:rPr>
              <w:t xml:space="preserve">~ </w:t>
            </w:r>
            <w:r w:rsidR="006677E6" w:rsidRPr="00F018B8">
              <w:rPr>
                <w:rFonts w:asciiTheme="minorHAnsi" w:eastAsia="Calibri" w:hAnsiTheme="minorHAnsi"/>
                <w:color w:val="auto"/>
                <w:sz w:val="18"/>
                <w:szCs w:val="18"/>
              </w:rPr>
              <w:t>2</w:t>
            </w:r>
            <w:r w:rsidRPr="00F018B8">
              <w:rPr>
                <w:rFonts w:asciiTheme="minorHAnsi" w:eastAsia="Calibri" w:hAnsiTheme="minorHAnsi"/>
                <w:color w:val="auto"/>
                <w:sz w:val="18"/>
                <w:szCs w:val="18"/>
              </w:rPr>
              <w:t xml:space="preserve"> Mo</w:t>
            </w:r>
            <w:r w:rsidR="006677E6" w:rsidRPr="00F018B8">
              <w:rPr>
                <w:rFonts w:asciiTheme="minorHAnsi" w:eastAsia="Calibri" w:hAnsiTheme="minorHAnsi"/>
                <w:color w:val="auto"/>
                <w:sz w:val="18"/>
                <w:szCs w:val="18"/>
              </w:rPr>
              <w:t>s</w:t>
            </w:r>
            <w:r w:rsidRPr="00F018B8">
              <w:rPr>
                <w:rFonts w:asciiTheme="minorHAnsi" w:eastAsia="Calibri" w:hAnsiTheme="minorHAnsi"/>
                <w:color w:val="auto"/>
                <w:sz w:val="18"/>
                <w:szCs w:val="18"/>
              </w:rPr>
              <w:t xml:space="preserve">. </w:t>
            </w:r>
            <w:r w:rsidR="006677E6" w:rsidRPr="00F018B8">
              <w:rPr>
                <w:rFonts w:asciiTheme="minorHAnsi" w:eastAsia="Calibri" w:hAnsiTheme="minorHAnsi"/>
                <w:color w:val="auto"/>
                <w:sz w:val="18"/>
                <w:szCs w:val="18"/>
              </w:rPr>
              <w:t>Pre</w:t>
            </w:r>
            <w:r w:rsidRPr="00F018B8">
              <w:rPr>
                <w:rFonts w:asciiTheme="minorHAnsi" w:eastAsia="Calibri" w:hAnsiTheme="minorHAnsi"/>
                <w:color w:val="auto"/>
                <w:sz w:val="18"/>
                <w:szCs w:val="18"/>
              </w:rPr>
              <w:t>-Sep</w:t>
            </w:r>
          </w:p>
          <w:p w:rsidR="00BB67B6" w:rsidRPr="00F018B8" w:rsidRDefault="00BB67B6" w:rsidP="004F6D6D">
            <w:pPr>
              <w:spacing w:line="180" w:lineRule="exact"/>
              <w:contextualSpacing/>
              <w:rPr>
                <w:rFonts w:asciiTheme="minorHAnsi" w:eastAsiaTheme="minorHAnsi" w:hAnsiTheme="minorHAnsi"/>
                <w:color w:val="auto"/>
                <w:sz w:val="18"/>
                <w:szCs w:val="18"/>
              </w:rPr>
            </w:pPr>
            <w:r w:rsidRPr="00F018B8">
              <w:rPr>
                <w:rFonts w:asciiTheme="minorHAnsi" w:eastAsia="Calibri" w:hAnsiTheme="minorHAnsi"/>
                <w:color w:val="auto"/>
                <w:sz w:val="18"/>
                <w:szCs w:val="18"/>
              </w:rPr>
              <w:t>(</w:t>
            </w:r>
            <w:r w:rsidRPr="00F018B8">
              <w:rPr>
                <w:rFonts w:asciiTheme="minorHAnsi" w:eastAsia="Calibri" w:hAnsiTheme="minorHAnsi"/>
                <w:i/>
                <w:color w:val="auto"/>
                <w:sz w:val="18"/>
                <w:szCs w:val="18"/>
              </w:rPr>
              <w:t>200</w:t>
            </w:r>
            <w:r w:rsidR="00CF69A5" w:rsidRPr="00F018B8">
              <w:rPr>
                <w:rFonts w:asciiTheme="minorHAnsi" w:eastAsia="Calibri" w:hAnsiTheme="minorHAnsi"/>
                <w:i/>
                <w:color w:val="auto"/>
                <w:sz w:val="18"/>
                <w:szCs w:val="18"/>
              </w:rPr>
              <w:t>71205</w:t>
            </w:r>
            <w:r w:rsidRPr="00F018B8">
              <w:rPr>
                <w:rFonts w:asciiTheme="minorHAnsi" w:eastAsia="Calibri" w:hAnsiTheme="minorHAnsi"/>
                <w:color w:val="auto"/>
                <w:sz w:val="18"/>
                <w:szCs w:val="18"/>
              </w:rPr>
              <w:t>)</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Flex (0-90)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6C5F29"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 xml:space="preserve">(49, 50, 51) </w:t>
            </w:r>
            <w:r w:rsidR="00BB67B6" w:rsidRPr="00F018B8">
              <w:rPr>
                <w:rFonts w:asciiTheme="minorHAnsi" w:eastAsia="Calibri" w:hAnsiTheme="minorHAnsi"/>
                <w:color w:val="auto"/>
                <w:sz w:val="18"/>
                <w:szCs w:val="18"/>
              </w:rPr>
              <w:t>50⁰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80</w:t>
            </w:r>
            <w:r w:rsidR="00BB67B6" w:rsidRPr="00F018B8">
              <w:rPr>
                <w:rFonts w:asciiTheme="minorHAnsi" w:eastAsia="Calibri" w:hAnsiTheme="minorHAnsi"/>
                <w:color w:val="auto"/>
                <w:sz w:val="18"/>
                <w:szCs w:val="18"/>
              </w:rPr>
              <w:t>⁰</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Ext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6C5F29"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 xml:space="preserve">(29, 31, 30) </w:t>
            </w:r>
            <w:r w:rsidR="00BB67B6" w:rsidRPr="00F018B8">
              <w:rPr>
                <w:rFonts w:asciiTheme="minorHAnsi" w:eastAsia="Calibri" w:hAnsiTheme="minorHAnsi"/>
                <w:color w:val="auto"/>
                <w:sz w:val="18"/>
                <w:szCs w:val="18"/>
              </w:rPr>
              <w:t>30⁰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25</w:t>
            </w:r>
            <w:r w:rsidR="00BB67B6" w:rsidRPr="00F018B8">
              <w:rPr>
                <w:rFonts w:asciiTheme="minorHAnsi" w:eastAsia="Calibri" w:hAnsiTheme="minorHAnsi"/>
                <w:color w:val="auto"/>
                <w:sz w:val="18"/>
                <w:szCs w:val="18"/>
              </w:rPr>
              <w:t>⁰</w:t>
            </w:r>
          </w:p>
        </w:tc>
      </w:tr>
      <w:tr w:rsidR="00BB67B6" w:rsidRPr="004F6D6D" w:rsidTr="004F6D6D">
        <w:trPr>
          <w:trHeight w:val="188"/>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R Lat Flex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6C5F29"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 xml:space="preserve">(30, 28, 32) </w:t>
            </w:r>
            <w:r w:rsidR="00BB67B6" w:rsidRPr="00F018B8">
              <w:rPr>
                <w:rFonts w:asciiTheme="minorHAnsi" w:eastAsia="Calibri" w:hAnsiTheme="minorHAnsi"/>
                <w:color w:val="auto"/>
                <w:sz w:val="18"/>
                <w:szCs w:val="18"/>
              </w:rPr>
              <w:t>30⁰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25</w:t>
            </w:r>
            <w:r w:rsidR="00BB67B6" w:rsidRPr="00F018B8">
              <w:rPr>
                <w:rFonts w:asciiTheme="minorHAnsi" w:eastAsia="Calibri" w:hAnsiTheme="minorHAnsi"/>
                <w:color w:val="auto"/>
                <w:sz w:val="18"/>
                <w:szCs w:val="18"/>
              </w:rPr>
              <w:t>⁰</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L Lat Flex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6C5F29"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 xml:space="preserve">(30, 31, 29) </w:t>
            </w:r>
            <w:r w:rsidR="00BB67B6" w:rsidRPr="00F018B8">
              <w:rPr>
                <w:rFonts w:asciiTheme="minorHAnsi" w:eastAsia="Calibri" w:hAnsiTheme="minorHAnsi"/>
                <w:color w:val="auto"/>
                <w:sz w:val="18"/>
                <w:szCs w:val="18"/>
              </w:rPr>
              <w:t>30⁰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25</w:t>
            </w:r>
            <w:r w:rsidR="00BB67B6" w:rsidRPr="00F018B8">
              <w:rPr>
                <w:rFonts w:asciiTheme="minorHAnsi" w:eastAsia="Calibri" w:hAnsiTheme="minorHAnsi"/>
                <w:color w:val="auto"/>
                <w:sz w:val="18"/>
                <w:szCs w:val="18"/>
              </w:rPr>
              <w:t>⁰</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R Rotation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6C5F29"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 xml:space="preserve">(25, 25, 25) </w:t>
            </w:r>
            <w:r w:rsidR="00BB67B6" w:rsidRPr="00F018B8">
              <w:rPr>
                <w:rFonts w:asciiTheme="minorHAnsi" w:eastAsia="Calibri" w:hAnsiTheme="minorHAnsi"/>
                <w:color w:val="auto"/>
                <w:sz w:val="18"/>
                <w:szCs w:val="18"/>
              </w:rPr>
              <w:t>25⁰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30</w:t>
            </w:r>
            <w:r w:rsidR="00BB67B6" w:rsidRPr="00F018B8">
              <w:rPr>
                <w:rFonts w:asciiTheme="minorHAnsi" w:eastAsia="Calibri" w:hAnsiTheme="minorHAnsi"/>
                <w:color w:val="auto"/>
                <w:sz w:val="18"/>
                <w:szCs w:val="18"/>
              </w:rPr>
              <w:t>⁰</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L Rotation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6C5F29"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 xml:space="preserve">(30, 30, 30) </w:t>
            </w:r>
            <w:r w:rsidR="00BB67B6" w:rsidRPr="00F018B8">
              <w:rPr>
                <w:rFonts w:asciiTheme="minorHAnsi" w:eastAsia="Calibri" w:hAnsiTheme="minorHAnsi"/>
                <w:color w:val="auto"/>
                <w:sz w:val="18"/>
                <w:szCs w:val="18"/>
              </w:rPr>
              <w:t>30⁰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contextualSpacing/>
              <w:rPr>
                <w:rFonts w:asciiTheme="minorHAnsi" w:eastAsia="Calibri" w:hAnsiTheme="minorHAnsi"/>
                <w:color w:val="auto"/>
                <w:sz w:val="18"/>
                <w:szCs w:val="18"/>
              </w:rPr>
            </w:pPr>
            <w:r w:rsidRPr="00F018B8">
              <w:rPr>
                <w:rFonts w:asciiTheme="minorHAnsi" w:eastAsia="Calibri" w:hAnsiTheme="minorHAnsi"/>
                <w:color w:val="auto"/>
                <w:sz w:val="18"/>
                <w:szCs w:val="18"/>
              </w:rPr>
              <w:t>30</w:t>
            </w:r>
            <w:r w:rsidR="00BB67B6" w:rsidRPr="00F018B8">
              <w:rPr>
                <w:rFonts w:asciiTheme="minorHAnsi" w:eastAsia="Calibri" w:hAnsiTheme="minorHAnsi"/>
                <w:color w:val="auto"/>
                <w:sz w:val="18"/>
                <w:szCs w:val="18"/>
              </w:rPr>
              <w:t>⁰</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COMBINED (240)</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BB67B6" w:rsidP="004F6D6D">
            <w:pPr>
              <w:spacing w:line="180" w:lineRule="exact"/>
              <w:rPr>
                <w:rFonts w:asciiTheme="minorHAnsi" w:hAnsiTheme="minorHAnsi"/>
                <w:color w:val="auto"/>
                <w:sz w:val="18"/>
                <w:szCs w:val="18"/>
              </w:rPr>
            </w:pPr>
            <w:r w:rsidRPr="00F018B8">
              <w:rPr>
                <w:rFonts w:asciiTheme="minorHAnsi" w:eastAsia="Calibri" w:hAnsiTheme="minorHAnsi"/>
                <w:color w:val="auto"/>
                <w:sz w:val="18"/>
                <w:szCs w:val="18"/>
              </w:rPr>
              <w:t>195⁰</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F018B8" w:rsidRDefault="00CF69A5" w:rsidP="004F6D6D">
            <w:pPr>
              <w:spacing w:line="180" w:lineRule="exact"/>
              <w:rPr>
                <w:rFonts w:asciiTheme="minorHAnsi" w:hAnsiTheme="minorHAnsi"/>
                <w:color w:val="auto"/>
                <w:sz w:val="18"/>
                <w:szCs w:val="18"/>
              </w:rPr>
            </w:pPr>
            <w:r w:rsidRPr="00F018B8">
              <w:rPr>
                <w:rFonts w:asciiTheme="minorHAnsi" w:eastAsia="Calibri" w:hAnsiTheme="minorHAnsi"/>
                <w:color w:val="auto"/>
                <w:sz w:val="18"/>
                <w:szCs w:val="18"/>
              </w:rPr>
              <w:t>215</w:t>
            </w:r>
            <w:r w:rsidR="00BB67B6" w:rsidRPr="00F018B8">
              <w:rPr>
                <w:rFonts w:asciiTheme="minorHAnsi" w:eastAsia="Calibri" w:hAnsiTheme="minorHAnsi"/>
                <w:color w:val="auto"/>
                <w:sz w:val="18"/>
                <w:szCs w:val="18"/>
              </w:rPr>
              <w:t>⁰</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F018B8" w:rsidRDefault="00BB67B6" w:rsidP="004F6D6D">
            <w:pPr>
              <w:pStyle w:val="ListParagraph"/>
              <w:spacing w:after="0" w:line="180" w:lineRule="exact"/>
              <w:ind w:left="0"/>
              <w:rPr>
                <w:rFonts w:eastAsia="Calibri" w:cstheme="minorHAnsi"/>
                <w:sz w:val="18"/>
                <w:szCs w:val="18"/>
              </w:rPr>
            </w:pPr>
            <w:r w:rsidRPr="00F018B8">
              <w:rPr>
                <w:rFonts w:eastAsia="Calibri" w:cstheme="minorHAnsi"/>
                <w:sz w:val="18"/>
                <w:szCs w:val="18"/>
              </w:rPr>
              <w:t>Comment</w:t>
            </w:r>
          </w:p>
        </w:tc>
        <w:tc>
          <w:tcPr>
            <w:tcW w:w="2970" w:type="dxa"/>
            <w:tcBorders>
              <w:top w:val="single" w:sz="4" w:space="0" w:color="000000"/>
              <w:left w:val="single" w:sz="4" w:space="0" w:color="000000"/>
              <w:bottom w:val="single" w:sz="4" w:space="0" w:color="000000"/>
              <w:right w:val="single" w:sz="4" w:space="0" w:color="000000"/>
            </w:tcBorders>
          </w:tcPr>
          <w:p w:rsidR="00BB67B6" w:rsidRPr="00F018B8" w:rsidRDefault="00CE3411" w:rsidP="004F6D6D">
            <w:pPr>
              <w:tabs>
                <w:tab w:val="left" w:pos="288"/>
                <w:tab w:val="left" w:pos="4752"/>
              </w:tabs>
              <w:spacing w:line="180" w:lineRule="exact"/>
              <w:jc w:val="left"/>
              <w:rPr>
                <w:rFonts w:asciiTheme="minorHAnsi" w:eastAsiaTheme="minorHAnsi" w:hAnsiTheme="minorHAnsi"/>
                <w:color w:val="auto"/>
                <w:sz w:val="18"/>
                <w:szCs w:val="18"/>
              </w:rPr>
            </w:pPr>
            <w:r w:rsidRPr="00F018B8">
              <w:rPr>
                <w:rFonts w:asciiTheme="minorHAnsi" w:eastAsiaTheme="minorHAnsi" w:hAnsiTheme="minorHAnsi"/>
                <w:color w:val="auto"/>
                <w:sz w:val="18"/>
                <w:szCs w:val="18"/>
              </w:rPr>
              <w:t>Limitation due to pain, n</w:t>
            </w:r>
            <w:r w:rsidR="00BB67B6" w:rsidRPr="00F018B8">
              <w:rPr>
                <w:rFonts w:asciiTheme="minorHAnsi" w:eastAsiaTheme="minorHAnsi" w:hAnsiTheme="minorHAnsi"/>
                <w:color w:val="auto"/>
                <w:sz w:val="18"/>
                <w:szCs w:val="18"/>
              </w:rPr>
              <w:t>ormal gait</w:t>
            </w:r>
            <w:r w:rsidR="00280769" w:rsidRPr="00F018B8">
              <w:rPr>
                <w:rFonts w:asciiTheme="minorHAnsi" w:eastAsiaTheme="minorHAnsi" w:hAnsiTheme="minorHAnsi"/>
                <w:color w:val="auto"/>
                <w:sz w:val="18"/>
                <w:szCs w:val="18"/>
              </w:rPr>
              <w:t>, no TTP</w:t>
            </w:r>
            <w:r w:rsidR="00BB67B6" w:rsidRPr="00F018B8">
              <w:rPr>
                <w:rFonts w:asciiTheme="minorHAnsi" w:eastAsiaTheme="minorHAnsi" w:hAnsiTheme="minorHAnsi"/>
                <w:color w:val="auto"/>
                <w:sz w:val="18"/>
                <w:szCs w:val="18"/>
              </w:rPr>
              <w:t xml:space="preserve">, </w:t>
            </w:r>
            <w:r w:rsidR="00280769" w:rsidRPr="00F018B8">
              <w:rPr>
                <w:rFonts w:asciiTheme="minorHAnsi" w:eastAsiaTheme="minorHAnsi" w:hAnsiTheme="minorHAnsi"/>
                <w:color w:val="auto"/>
                <w:sz w:val="18"/>
                <w:szCs w:val="18"/>
              </w:rPr>
              <w:t xml:space="preserve">no </w:t>
            </w:r>
            <w:r w:rsidR="00BB67B6" w:rsidRPr="00F018B8">
              <w:rPr>
                <w:rFonts w:asciiTheme="minorHAnsi" w:eastAsiaTheme="minorHAnsi" w:hAnsiTheme="minorHAnsi"/>
                <w:color w:val="auto"/>
                <w:sz w:val="18"/>
                <w:szCs w:val="18"/>
              </w:rPr>
              <w:t>abnormal curvature</w:t>
            </w:r>
            <w:r w:rsidR="00280769" w:rsidRPr="00F018B8">
              <w:rPr>
                <w:rFonts w:asciiTheme="minorHAnsi" w:eastAsiaTheme="minorHAnsi" w:hAnsiTheme="minorHAnsi"/>
                <w:color w:val="auto"/>
                <w:sz w:val="18"/>
                <w:szCs w:val="18"/>
              </w:rPr>
              <w:t>, no</w:t>
            </w:r>
            <w:r w:rsidR="00BB67B6" w:rsidRPr="00F018B8">
              <w:rPr>
                <w:rFonts w:asciiTheme="minorHAnsi" w:eastAsiaTheme="minorHAnsi" w:hAnsiTheme="minorHAnsi"/>
                <w:color w:val="auto"/>
                <w:sz w:val="18"/>
                <w:szCs w:val="18"/>
              </w:rPr>
              <w:t xml:space="preserve"> spasm</w:t>
            </w:r>
            <w:r w:rsidR="00280769" w:rsidRPr="00F018B8">
              <w:rPr>
                <w:rFonts w:asciiTheme="minorHAnsi" w:eastAsiaTheme="minorHAnsi" w:hAnsiTheme="minorHAnsi"/>
                <w:color w:val="auto"/>
                <w:sz w:val="18"/>
                <w:szCs w:val="18"/>
              </w:rPr>
              <w:t xml:space="preserve">, SLR </w:t>
            </w:r>
            <w:proofErr w:type="spellStart"/>
            <w:r w:rsidR="00280769" w:rsidRPr="00F018B8">
              <w:rPr>
                <w:rFonts w:asciiTheme="minorHAnsi" w:eastAsiaTheme="minorHAnsi" w:hAnsiTheme="minorHAnsi"/>
                <w:color w:val="auto"/>
                <w:sz w:val="18"/>
                <w:szCs w:val="18"/>
              </w:rPr>
              <w:t>neg</w:t>
            </w:r>
            <w:proofErr w:type="spellEnd"/>
            <w:r w:rsidR="00280769" w:rsidRPr="00F018B8">
              <w:rPr>
                <w:rFonts w:asciiTheme="minorHAnsi" w:eastAsiaTheme="minorHAnsi" w:hAnsiTheme="minorHAnsi"/>
                <w:color w:val="auto"/>
                <w:sz w:val="18"/>
                <w:szCs w:val="18"/>
              </w:rPr>
              <w:t xml:space="preserve"> (limited to 80 degrees </w:t>
            </w:r>
            <w:proofErr w:type="spellStart"/>
            <w:r w:rsidR="00280769" w:rsidRPr="00F018B8">
              <w:rPr>
                <w:rFonts w:asciiTheme="minorHAnsi" w:eastAsiaTheme="minorHAnsi" w:hAnsiTheme="minorHAnsi"/>
                <w:color w:val="auto"/>
                <w:sz w:val="18"/>
                <w:szCs w:val="18"/>
              </w:rPr>
              <w:t>bilat</w:t>
            </w:r>
            <w:proofErr w:type="spellEnd"/>
            <w:r w:rsidR="00280769" w:rsidRPr="00F018B8">
              <w:rPr>
                <w:rFonts w:asciiTheme="minorHAnsi" w:eastAsiaTheme="minorHAnsi" w:hAnsiTheme="minorHAnsi"/>
                <w:color w:val="auto"/>
                <w:sz w:val="18"/>
                <w:szCs w:val="18"/>
              </w:rPr>
              <w:t xml:space="preserve"> by LBP), </w:t>
            </w:r>
            <w:proofErr w:type="spellStart"/>
            <w:r w:rsidR="00280769" w:rsidRPr="00F018B8">
              <w:rPr>
                <w:rFonts w:asciiTheme="minorHAnsi" w:eastAsiaTheme="minorHAnsi" w:hAnsiTheme="minorHAnsi"/>
                <w:color w:val="auto"/>
                <w:sz w:val="18"/>
                <w:szCs w:val="18"/>
              </w:rPr>
              <w:t>neuro</w:t>
            </w:r>
            <w:proofErr w:type="spellEnd"/>
            <w:r w:rsidR="00280769" w:rsidRPr="00F018B8">
              <w:rPr>
                <w:rFonts w:asciiTheme="minorHAnsi" w:eastAsiaTheme="minorHAnsi" w:hAnsiTheme="minorHAnsi"/>
                <w:color w:val="auto"/>
                <w:sz w:val="18"/>
                <w:szCs w:val="18"/>
              </w:rPr>
              <w:t xml:space="preserve"> normal, can walk on heels and forefeet</w:t>
            </w:r>
            <w:r w:rsidR="000826EF" w:rsidRPr="00F018B8">
              <w:rPr>
                <w:rFonts w:asciiTheme="minorHAnsi" w:eastAsiaTheme="minorHAnsi" w:hAnsiTheme="minorHAnsi"/>
                <w:color w:val="auto"/>
                <w:sz w:val="18"/>
                <w:szCs w:val="18"/>
              </w:rPr>
              <w:t xml:space="preserve">, </w:t>
            </w:r>
            <w:proofErr w:type="spellStart"/>
            <w:r w:rsidR="000826EF" w:rsidRPr="00F018B8">
              <w:rPr>
                <w:rFonts w:asciiTheme="minorHAnsi" w:eastAsiaTheme="minorHAnsi" w:hAnsiTheme="minorHAnsi"/>
                <w:color w:val="auto"/>
                <w:sz w:val="18"/>
                <w:szCs w:val="18"/>
              </w:rPr>
              <w:t>neg</w:t>
            </w:r>
            <w:proofErr w:type="spellEnd"/>
            <w:r w:rsidR="000826EF" w:rsidRPr="00F018B8">
              <w:rPr>
                <w:rFonts w:asciiTheme="minorHAnsi" w:eastAsiaTheme="minorHAnsi" w:hAnsiTheme="minorHAnsi"/>
                <w:color w:val="auto"/>
                <w:sz w:val="18"/>
                <w:szCs w:val="18"/>
              </w:rPr>
              <w:t xml:space="preserve"> Waddell</w:t>
            </w:r>
          </w:p>
        </w:tc>
        <w:tc>
          <w:tcPr>
            <w:tcW w:w="2814" w:type="dxa"/>
            <w:tcBorders>
              <w:top w:val="single" w:sz="4" w:space="0" w:color="000000"/>
              <w:left w:val="single" w:sz="4" w:space="0" w:color="000000"/>
              <w:bottom w:val="single" w:sz="4" w:space="0" w:color="000000"/>
              <w:right w:val="single" w:sz="4" w:space="0" w:color="000000"/>
            </w:tcBorders>
          </w:tcPr>
          <w:p w:rsidR="00BB67B6" w:rsidRPr="00F018B8" w:rsidRDefault="0058401A" w:rsidP="004F6D6D">
            <w:pPr>
              <w:tabs>
                <w:tab w:val="left" w:pos="288"/>
                <w:tab w:val="left" w:pos="4752"/>
              </w:tabs>
              <w:spacing w:line="180" w:lineRule="exact"/>
              <w:jc w:val="left"/>
              <w:rPr>
                <w:rFonts w:asciiTheme="minorHAnsi" w:eastAsiaTheme="minorHAnsi" w:hAnsiTheme="minorHAnsi"/>
                <w:color w:val="auto"/>
                <w:sz w:val="18"/>
                <w:szCs w:val="18"/>
              </w:rPr>
            </w:pPr>
            <w:r w:rsidRPr="00F018B8">
              <w:rPr>
                <w:rFonts w:asciiTheme="minorHAnsi" w:eastAsiaTheme="minorHAnsi" w:hAnsiTheme="minorHAnsi"/>
                <w:color w:val="auto"/>
                <w:sz w:val="18"/>
                <w:szCs w:val="18"/>
              </w:rPr>
              <w:t>TTP [to percussion], slow movement with some guarding at the end of flexion &amp; R rotation due to pain, gait normal [“</w:t>
            </w:r>
            <w:r w:rsidR="00CF69A5" w:rsidRPr="00F018B8">
              <w:rPr>
                <w:rFonts w:asciiTheme="minorHAnsi" w:eastAsiaTheme="minorHAnsi" w:hAnsiTheme="minorHAnsi"/>
                <w:color w:val="auto"/>
                <w:sz w:val="18"/>
                <w:szCs w:val="18"/>
              </w:rPr>
              <w:t>well coordinated</w:t>
            </w:r>
            <w:r w:rsidRPr="00F018B8">
              <w:rPr>
                <w:rFonts w:asciiTheme="minorHAnsi" w:eastAsiaTheme="minorHAnsi" w:hAnsiTheme="minorHAnsi"/>
                <w:color w:val="auto"/>
                <w:sz w:val="18"/>
                <w:szCs w:val="18"/>
              </w:rPr>
              <w:t>”], n</w:t>
            </w:r>
            <w:r w:rsidR="00CF69A5" w:rsidRPr="00F018B8">
              <w:rPr>
                <w:rFonts w:asciiTheme="minorHAnsi" w:eastAsiaTheme="minorHAnsi" w:hAnsiTheme="minorHAnsi"/>
                <w:color w:val="auto"/>
                <w:sz w:val="18"/>
                <w:szCs w:val="18"/>
              </w:rPr>
              <w:t>o assistive device</w:t>
            </w:r>
            <w:r w:rsidRPr="00F018B8">
              <w:rPr>
                <w:rFonts w:asciiTheme="minorHAnsi" w:eastAsiaTheme="minorHAnsi" w:hAnsiTheme="minorHAnsi"/>
                <w:color w:val="auto"/>
                <w:sz w:val="18"/>
                <w:szCs w:val="18"/>
              </w:rPr>
              <w:t>s, n</w:t>
            </w:r>
            <w:r w:rsidR="00CF69A5" w:rsidRPr="00F018B8">
              <w:rPr>
                <w:rFonts w:asciiTheme="minorHAnsi" w:eastAsiaTheme="minorHAnsi" w:hAnsiTheme="minorHAnsi"/>
                <w:color w:val="auto"/>
                <w:sz w:val="18"/>
                <w:szCs w:val="18"/>
              </w:rPr>
              <w:t>o spasm</w:t>
            </w:r>
            <w:r w:rsidRPr="00F018B8">
              <w:rPr>
                <w:rFonts w:asciiTheme="minorHAnsi" w:eastAsiaTheme="minorHAnsi" w:hAnsiTheme="minorHAnsi"/>
                <w:color w:val="auto"/>
                <w:sz w:val="18"/>
                <w:szCs w:val="18"/>
              </w:rPr>
              <w:t>,</w:t>
            </w:r>
            <w:r w:rsidR="00C2527E" w:rsidRPr="00F018B8">
              <w:rPr>
                <w:rFonts w:asciiTheme="minorHAnsi" w:eastAsiaTheme="minorHAnsi" w:hAnsiTheme="minorHAnsi"/>
                <w:color w:val="auto"/>
                <w:sz w:val="18"/>
                <w:szCs w:val="18"/>
              </w:rPr>
              <w:t xml:space="preserve"> </w:t>
            </w:r>
            <w:proofErr w:type="spellStart"/>
            <w:r w:rsidR="00C2527E" w:rsidRPr="00F018B8">
              <w:rPr>
                <w:rFonts w:asciiTheme="minorHAnsi" w:eastAsiaTheme="minorHAnsi" w:hAnsiTheme="minorHAnsi"/>
                <w:color w:val="auto"/>
                <w:sz w:val="18"/>
                <w:szCs w:val="18"/>
              </w:rPr>
              <w:t>neuro</w:t>
            </w:r>
            <w:proofErr w:type="spellEnd"/>
            <w:r w:rsidR="00C2527E" w:rsidRPr="00F018B8">
              <w:rPr>
                <w:rFonts w:asciiTheme="minorHAnsi" w:eastAsiaTheme="minorHAnsi" w:hAnsiTheme="minorHAnsi"/>
                <w:color w:val="auto"/>
                <w:sz w:val="18"/>
                <w:szCs w:val="18"/>
              </w:rPr>
              <w:t xml:space="preserve"> normal</w:t>
            </w:r>
          </w:p>
        </w:tc>
      </w:tr>
      <w:tr w:rsidR="00BB67B6" w:rsidRPr="004F6D6D" w:rsidTr="004F6D6D">
        <w:trP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BB67B6" w:rsidRPr="004F6D6D" w:rsidRDefault="00BB67B6" w:rsidP="004F6D6D">
            <w:pPr>
              <w:pStyle w:val="ListParagraph"/>
              <w:spacing w:after="0" w:line="180" w:lineRule="exact"/>
              <w:ind w:left="0"/>
              <w:rPr>
                <w:rFonts w:eastAsia="Calibri" w:cstheme="minorHAnsi"/>
                <w:sz w:val="18"/>
                <w:szCs w:val="18"/>
              </w:rPr>
            </w:pPr>
            <w:r w:rsidRPr="004F6D6D">
              <w:rPr>
                <w:rFonts w:eastAsia="Calibri" w:cstheme="minorHAnsi"/>
                <w:sz w:val="18"/>
                <w:szCs w:val="18"/>
              </w:rPr>
              <w:t>§4.71a Rating</w:t>
            </w:r>
          </w:p>
        </w:tc>
        <w:tc>
          <w:tcPr>
            <w:tcW w:w="2970" w:type="dxa"/>
            <w:tcBorders>
              <w:top w:val="single" w:sz="4" w:space="0" w:color="000000"/>
              <w:left w:val="single" w:sz="4" w:space="0" w:color="000000"/>
              <w:bottom w:val="single" w:sz="4" w:space="0" w:color="000000"/>
              <w:right w:val="single" w:sz="4" w:space="0" w:color="000000"/>
            </w:tcBorders>
            <w:vAlign w:val="center"/>
          </w:tcPr>
          <w:p w:rsidR="00BB67B6" w:rsidRPr="004F6D6D" w:rsidRDefault="006677E6" w:rsidP="004F6D6D">
            <w:pPr>
              <w:tabs>
                <w:tab w:val="left" w:pos="288"/>
                <w:tab w:val="left" w:pos="4752"/>
              </w:tabs>
              <w:spacing w:line="180" w:lineRule="exact"/>
              <w:rPr>
                <w:rFonts w:asciiTheme="minorHAnsi" w:eastAsiaTheme="minorHAnsi" w:hAnsiTheme="minorHAnsi"/>
                <w:color w:val="auto"/>
                <w:sz w:val="18"/>
                <w:szCs w:val="18"/>
              </w:rPr>
            </w:pPr>
            <w:r w:rsidRPr="004F6D6D">
              <w:rPr>
                <w:rFonts w:asciiTheme="minorHAnsi" w:eastAsiaTheme="minorHAnsi" w:hAnsiTheme="minorHAnsi"/>
                <w:color w:val="auto"/>
                <w:sz w:val="18"/>
                <w:szCs w:val="18"/>
              </w:rPr>
              <w:t>20</w:t>
            </w:r>
            <w:r w:rsidR="00BB67B6" w:rsidRPr="004F6D6D">
              <w:rPr>
                <w:rFonts w:asciiTheme="minorHAnsi" w:eastAsiaTheme="minorHAnsi" w:hAnsiTheme="minorHAnsi"/>
                <w:color w:val="auto"/>
                <w:sz w:val="18"/>
                <w:szCs w:val="18"/>
              </w:rPr>
              <w:t>%</w:t>
            </w:r>
          </w:p>
        </w:tc>
        <w:tc>
          <w:tcPr>
            <w:tcW w:w="2814" w:type="dxa"/>
            <w:tcBorders>
              <w:top w:val="single" w:sz="4" w:space="0" w:color="000000"/>
              <w:left w:val="single" w:sz="4" w:space="0" w:color="000000"/>
              <w:bottom w:val="single" w:sz="4" w:space="0" w:color="000000"/>
              <w:right w:val="single" w:sz="4" w:space="0" w:color="000000"/>
            </w:tcBorders>
            <w:vAlign w:val="center"/>
          </w:tcPr>
          <w:p w:rsidR="00BB67B6" w:rsidRPr="004F6D6D" w:rsidRDefault="006677E6" w:rsidP="004F6D6D">
            <w:pPr>
              <w:tabs>
                <w:tab w:val="left" w:pos="288"/>
                <w:tab w:val="left" w:pos="4752"/>
              </w:tabs>
              <w:spacing w:line="180" w:lineRule="exact"/>
              <w:rPr>
                <w:rFonts w:asciiTheme="minorHAnsi" w:eastAsiaTheme="minorHAnsi" w:hAnsiTheme="minorHAnsi"/>
                <w:color w:val="auto"/>
                <w:sz w:val="18"/>
                <w:szCs w:val="18"/>
              </w:rPr>
            </w:pPr>
            <w:r w:rsidRPr="004F6D6D">
              <w:rPr>
                <w:rFonts w:asciiTheme="minorHAnsi" w:eastAsiaTheme="minorHAnsi" w:hAnsiTheme="minorHAnsi"/>
                <w:color w:val="auto"/>
                <w:sz w:val="18"/>
                <w:szCs w:val="18"/>
              </w:rPr>
              <w:t>10</w:t>
            </w:r>
            <w:r w:rsidR="00BB67B6" w:rsidRPr="004F6D6D">
              <w:rPr>
                <w:rFonts w:asciiTheme="minorHAnsi" w:eastAsiaTheme="minorHAnsi" w:hAnsiTheme="minorHAnsi"/>
                <w:color w:val="auto"/>
                <w:sz w:val="18"/>
                <w:szCs w:val="18"/>
              </w:rPr>
              <w:t>%</w:t>
            </w:r>
          </w:p>
        </w:tc>
      </w:tr>
    </w:tbl>
    <w:p w:rsidR="00BB67B6" w:rsidRPr="004F6D6D" w:rsidRDefault="00BB67B6" w:rsidP="00716C3C">
      <w:pPr>
        <w:jc w:val="left"/>
        <w:rPr>
          <w:rFonts w:asciiTheme="minorHAnsi" w:eastAsiaTheme="minorHAnsi" w:hAnsiTheme="minorHAnsi"/>
          <w:color w:val="auto"/>
          <w:szCs w:val="24"/>
        </w:rPr>
      </w:pPr>
    </w:p>
    <w:p w:rsidR="00876FFF" w:rsidRPr="006677E6" w:rsidRDefault="005E3A5F" w:rsidP="005E3A5F">
      <w:pPr>
        <w:jc w:val="both"/>
        <w:rPr>
          <w:color w:val="000000" w:themeColor="text1"/>
          <w:szCs w:val="24"/>
        </w:rPr>
      </w:pPr>
      <w:r>
        <w:rPr>
          <w:color w:val="000000" w:themeColor="text1"/>
          <w:szCs w:val="24"/>
        </w:rPr>
        <w:t xml:space="preserve">The </w:t>
      </w:r>
      <w:r w:rsidR="00D759E3">
        <w:rPr>
          <w:color w:val="000000" w:themeColor="text1"/>
          <w:szCs w:val="24"/>
        </w:rPr>
        <w:t>narrative summary (</w:t>
      </w:r>
      <w:r w:rsidR="00876FFF" w:rsidRPr="006677E6">
        <w:rPr>
          <w:color w:val="000000" w:themeColor="text1"/>
          <w:szCs w:val="24"/>
        </w:rPr>
        <w:t>NARSUM</w:t>
      </w:r>
      <w:r w:rsidR="00D759E3">
        <w:rPr>
          <w:color w:val="000000" w:themeColor="text1"/>
          <w:szCs w:val="24"/>
        </w:rPr>
        <w:t xml:space="preserve">), five months prior to </w:t>
      </w:r>
      <w:r>
        <w:rPr>
          <w:color w:val="000000" w:themeColor="text1"/>
          <w:szCs w:val="24"/>
        </w:rPr>
        <w:t xml:space="preserve">separation, reported </w:t>
      </w:r>
      <w:r w:rsidR="00CB4988">
        <w:rPr>
          <w:color w:val="000000" w:themeColor="text1"/>
          <w:szCs w:val="24"/>
        </w:rPr>
        <w:t>pain-limited ROM meet</w:t>
      </w:r>
      <w:r w:rsidR="00D759E3">
        <w:rPr>
          <w:color w:val="000000" w:themeColor="text1"/>
          <w:szCs w:val="24"/>
        </w:rPr>
        <w:t>ing the 20% criteria under the g</w:t>
      </w:r>
      <w:r w:rsidR="00CB4988">
        <w:rPr>
          <w:color w:val="000000" w:themeColor="text1"/>
          <w:szCs w:val="24"/>
        </w:rPr>
        <w:t xml:space="preserve">eneral </w:t>
      </w:r>
      <w:r w:rsidR="00D759E3">
        <w:rPr>
          <w:color w:val="000000" w:themeColor="text1"/>
          <w:szCs w:val="24"/>
        </w:rPr>
        <w:t>r</w:t>
      </w:r>
      <w:r w:rsidR="00CB4988">
        <w:rPr>
          <w:color w:val="000000" w:themeColor="text1"/>
          <w:szCs w:val="24"/>
        </w:rPr>
        <w:t xml:space="preserve">ating </w:t>
      </w:r>
      <w:r w:rsidR="00D759E3">
        <w:rPr>
          <w:color w:val="000000" w:themeColor="text1"/>
          <w:szCs w:val="24"/>
        </w:rPr>
        <w:t>f</w:t>
      </w:r>
      <w:r w:rsidR="00CB4988">
        <w:rPr>
          <w:color w:val="000000" w:themeColor="text1"/>
          <w:szCs w:val="24"/>
        </w:rPr>
        <w:t xml:space="preserve">ormula for </w:t>
      </w:r>
      <w:r w:rsidR="00D759E3">
        <w:rPr>
          <w:color w:val="000000" w:themeColor="text1"/>
          <w:szCs w:val="24"/>
        </w:rPr>
        <w:t>d</w:t>
      </w:r>
      <w:r w:rsidR="00CB4988">
        <w:rPr>
          <w:color w:val="000000" w:themeColor="text1"/>
          <w:szCs w:val="24"/>
        </w:rPr>
        <w:t xml:space="preserve">iseases and </w:t>
      </w:r>
      <w:r w:rsidR="00D759E3">
        <w:rPr>
          <w:color w:val="000000" w:themeColor="text1"/>
          <w:szCs w:val="24"/>
        </w:rPr>
        <w:t>i</w:t>
      </w:r>
      <w:r w:rsidR="00CB4988">
        <w:rPr>
          <w:color w:val="000000" w:themeColor="text1"/>
          <w:szCs w:val="24"/>
        </w:rPr>
        <w:t xml:space="preserve">njuries of the </w:t>
      </w:r>
      <w:r w:rsidR="00D759E3">
        <w:rPr>
          <w:color w:val="000000" w:themeColor="text1"/>
          <w:szCs w:val="24"/>
        </w:rPr>
        <w:t>s</w:t>
      </w:r>
      <w:r w:rsidR="00CB4988">
        <w:rPr>
          <w:color w:val="000000" w:themeColor="text1"/>
          <w:szCs w:val="24"/>
        </w:rPr>
        <w:t xml:space="preserve">pine, VASRD </w:t>
      </w:r>
      <w:r w:rsidR="00CB4988">
        <w:rPr>
          <w:rFonts w:cs="Calibri"/>
          <w:color w:val="000000" w:themeColor="text1"/>
          <w:szCs w:val="24"/>
        </w:rPr>
        <w:t>§</w:t>
      </w:r>
      <w:r w:rsidR="00CB4988">
        <w:rPr>
          <w:color w:val="000000" w:themeColor="text1"/>
          <w:szCs w:val="24"/>
        </w:rPr>
        <w:t xml:space="preserve">4.71a.  Straight leg raises were negative, but limited to 80 degrees by back pain.  Negative findings included normal gait, absence of tenderness or </w:t>
      </w:r>
      <w:r w:rsidR="00876FFF" w:rsidRPr="006677E6">
        <w:rPr>
          <w:color w:val="000000" w:themeColor="text1"/>
          <w:szCs w:val="24"/>
        </w:rPr>
        <w:t>scoliosis</w:t>
      </w:r>
      <w:r w:rsidR="00CB4988">
        <w:rPr>
          <w:color w:val="000000" w:themeColor="text1"/>
          <w:szCs w:val="24"/>
        </w:rPr>
        <w:t xml:space="preserve">, </w:t>
      </w:r>
      <w:r w:rsidR="000826EF">
        <w:rPr>
          <w:color w:val="000000" w:themeColor="text1"/>
          <w:szCs w:val="24"/>
        </w:rPr>
        <w:t xml:space="preserve">normal neurological evaluation with ability to walk </w:t>
      </w:r>
      <w:r w:rsidR="00876FFF" w:rsidRPr="006677E6">
        <w:rPr>
          <w:color w:val="000000" w:themeColor="text1"/>
          <w:szCs w:val="24"/>
        </w:rPr>
        <w:t>on her heels and forefeet</w:t>
      </w:r>
      <w:r w:rsidR="000826EF">
        <w:rPr>
          <w:color w:val="000000" w:themeColor="text1"/>
          <w:szCs w:val="24"/>
        </w:rPr>
        <w:t>, and n</w:t>
      </w:r>
      <w:r w:rsidR="00876FFF" w:rsidRPr="006677E6">
        <w:rPr>
          <w:color w:val="000000" w:themeColor="text1"/>
          <w:szCs w:val="24"/>
        </w:rPr>
        <w:t>egative Waddell signs</w:t>
      </w:r>
      <w:r w:rsidR="000826EF">
        <w:rPr>
          <w:color w:val="000000" w:themeColor="text1"/>
          <w:szCs w:val="24"/>
        </w:rPr>
        <w:t xml:space="preserve">. </w:t>
      </w:r>
      <w:r w:rsidR="00876FFF" w:rsidRPr="006677E6">
        <w:rPr>
          <w:color w:val="000000" w:themeColor="text1"/>
          <w:szCs w:val="24"/>
        </w:rPr>
        <w:t xml:space="preserve"> </w:t>
      </w:r>
      <w:r w:rsidR="000826EF">
        <w:rPr>
          <w:color w:val="000000" w:themeColor="text1"/>
          <w:szCs w:val="24"/>
        </w:rPr>
        <w:t xml:space="preserve">MRI </w:t>
      </w:r>
      <w:r w:rsidR="00D759E3">
        <w:rPr>
          <w:color w:val="000000" w:themeColor="text1"/>
          <w:szCs w:val="24"/>
        </w:rPr>
        <w:t xml:space="preserve">        </w:t>
      </w:r>
      <w:r w:rsidR="000826EF">
        <w:rPr>
          <w:color w:val="000000" w:themeColor="text1"/>
          <w:szCs w:val="24"/>
        </w:rPr>
        <w:t>(</w:t>
      </w:r>
      <w:r w:rsidR="00D759E3">
        <w:rPr>
          <w:color w:val="000000" w:themeColor="text1"/>
          <w:szCs w:val="24"/>
        </w:rPr>
        <w:t>17 December 2006</w:t>
      </w:r>
      <w:r w:rsidR="000826EF">
        <w:rPr>
          <w:color w:val="000000" w:themeColor="text1"/>
          <w:szCs w:val="24"/>
        </w:rPr>
        <w:t xml:space="preserve">) showed two-level disc desiccation and </w:t>
      </w:r>
      <w:proofErr w:type="spellStart"/>
      <w:r w:rsidR="000826EF">
        <w:rPr>
          <w:color w:val="000000" w:themeColor="text1"/>
          <w:szCs w:val="24"/>
        </w:rPr>
        <w:t>herniation</w:t>
      </w:r>
      <w:proofErr w:type="spellEnd"/>
      <w:r w:rsidR="000826EF">
        <w:rPr>
          <w:color w:val="000000" w:themeColor="text1"/>
          <w:szCs w:val="24"/>
        </w:rPr>
        <w:t xml:space="preserve"> (L4-5 and L5-S1) with mild neural </w:t>
      </w:r>
      <w:proofErr w:type="spellStart"/>
      <w:r w:rsidR="000826EF">
        <w:rPr>
          <w:color w:val="000000" w:themeColor="text1"/>
          <w:szCs w:val="24"/>
        </w:rPr>
        <w:t>foraminal</w:t>
      </w:r>
      <w:proofErr w:type="spellEnd"/>
      <w:r w:rsidR="000826EF">
        <w:rPr>
          <w:color w:val="000000" w:themeColor="text1"/>
          <w:szCs w:val="24"/>
        </w:rPr>
        <w:t xml:space="preserve"> </w:t>
      </w:r>
      <w:r w:rsidR="00F018B8">
        <w:rPr>
          <w:color w:val="000000" w:themeColor="text1"/>
          <w:szCs w:val="24"/>
        </w:rPr>
        <w:t>narrowing</w:t>
      </w:r>
      <w:r w:rsidR="000826EF">
        <w:rPr>
          <w:color w:val="000000" w:themeColor="text1"/>
          <w:szCs w:val="24"/>
        </w:rPr>
        <w:t xml:space="preserve"> and two-level (same two levels) moderate facet joint degenerative changes with mild central canal </w:t>
      </w:r>
      <w:proofErr w:type="spellStart"/>
      <w:r w:rsidR="000826EF">
        <w:rPr>
          <w:color w:val="000000" w:themeColor="text1"/>
          <w:szCs w:val="24"/>
        </w:rPr>
        <w:t>stenosis</w:t>
      </w:r>
      <w:proofErr w:type="spellEnd"/>
      <w:r w:rsidR="000826EF">
        <w:rPr>
          <w:color w:val="000000" w:themeColor="text1"/>
          <w:szCs w:val="24"/>
        </w:rPr>
        <w:t xml:space="preserve">.  </w:t>
      </w:r>
    </w:p>
    <w:p w:rsidR="00876FFF" w:rsidRDefault="00876FFF" w:rsidP="005E3A5F">
      <w:pPr>
        <w:jc w:val="both"/>
        <w:rPr>
          <w:color w:val="000000" w:themeColor="text1"/>
          <w:szCs w:val="24"/>
        </w:rPr>
      </w:pPr>
    </w:p>
    <w:p w:rsidR="00876FFF" w:rsidRDefault="000826EF" w:rsidP="005E3A5F">
      <w:pPr>
        <w:jc w:val="both"/>
        <w:rPr>
          <w:color w:val="000000" w:themeColor="text1"/>
          <w:szCs w:val="24"/>
        </w:rPr>
      </w:pPr>
      <w:r>
        <w:rPr>
          <w:color w:val="000000" w:themeColor="text1"/>
          <w:szCs w:val="24"/>
        </w:rPr>
        <w:t>The VA Compensation and Pension (</w:t>
      </w:r>
      <w:r w:rsidR="00876FFF">
        <w:rPr>
          <w:color w:val="000000" w:themeColor="text1"/>
          <w:szCs w:val="24"/>
        </w:rPr>
        <w:t>C&amp;P</w:t>
      </w:r>
      <w:r w:rsidR="00D759E3">
        <w:rPr>
          <w:color w:val="000000" w:themeColor="text1"/>
          <w:szCs w:val="24"/>
        </w:rPr>
        <w:t xml:space="preserve">) exam, two months prior to </w:t>
      </w:r>
      <w:r>
        <w:rPr>
          <w:color w:val="000000" w:themeColor="text1"/>
          <w:szCs w:val="24"/>
        </w:rPr>
        <w:t>separation,</w:t>
      </w:r>
      <w:r w:rsidR="00876FFF">
        <w:rPr>
          <w:color w:val="000000" w:themeColor="text1"/>
          <w:szCs w:val="24"/>
        </w:rPr>
        <w:t xml:space="preserve"> </w:t>
      </w:r>
      <w:r>
        <w:rPr>
          <w:color w:val="000000" w:themeColor="text1"/>
          <w:szCs w:val="24"/>
        </w:rPr>
        <w:t xml:space="preserve">reported less severe ROM deficits (meeting the 10% criteria), </w:t>
      </w:r>
      <w:r w:rsidR="0058401A">
        <w:rPr>
          <w:color w:val="000000" w:themeColor="text1"/>
          <w:szCs w:val="24"/>
        </w:rPr>
        <w:t xml:space="preserve">with tenderness and slow movement “with some guarding at the end of forward flexion and left and right rotation due to pain.”  Pertinent negative findings included normal gait, normal posture, absence of spasm, </w:t>
      </w:r>
      <w:r w:rsidR="00C2527E">
        <w:rPr>
          <w:color w:val="000000" w:themeColor="text1"/>
          <w:szCs w:val="24"/>
        </w:rPr>
        <w:t>and normal neurological evaluation</w:t>
      </w:r>
      <w:r w:rsidR="00876FFF">
        <w:rPr>
          <w:color w:val="000000" w:themeColor="text1"/>
          <w:szCs w:val="24"/>
        </w:rPr>
        <w:t>.  There was no evidence of weakened movement against resistance</w:t>
      </w:r>
      <w:r w:rsidR="00C2527E">
        <w:rPr>
          <w:color w:val="000000" w:themeColor="text1"/>
          <w:szCs w:val="24"/>
        </w:rPr>
        <w:t xml:space="preserve">, and </w:t>
      </w:r>
      <w:proofErr w:type="spellStart"/>
      <w:r w:rsidR="00C2527E">
        <w:rPr>
          <w:color w:val="000000" w:themeColor="text1"/>
          <w:szCs w:val="24"/>
        </w:rPr>
        <w:t>DeLuca</w:t>
      </w:r>
      <w:proofErr w:type="spellEnd"/>
      <w:r w:rsidR="00C2527E">
        <w:rPr>
          <w:color w:val="000000" w:themeColor="text1"/>
          <w:szCs w:val="24"/>
        </w:rPr>
        <w:t xml:space="preserve"> criteria could not be addressed “</w:t>
      </w:r>
      <w:r w:rsidR="00876FFF">
        <w:rPr>
          <w:color w:val="000000" w:themeColor="text1"/>
          <w:szCs w:val="24"/>
        </w:rPr>
        <w:t>without mere speculation.</w:t>
      </w:r>
      <w:r w:rsidR="00C2527E">
        <w:rPr>
          <w:color w:val="000000" w:themeColor="text1"/>
          <w:szCs w:val="24"/>
        </w:rPr>
        <w:t>”</w:t>
      </w:r>
      <w:r w:rsidR="00876FFF">
        <w:rPr>
          <w:color w:val="000000" w:themeColor="text1"/>
          <w:szCs w:val="24"/>
        </w:rPr>
        <w:t xml:space="preserve">  </w:t>
      </w:r>
      <w:r w:rsidR="00C2527E">
        <w:rPr>
          <w:color w:val="000000" w:themeColor="text1"/>
          <w:szCs w:val="24"/>
        </w:rPr>
        <w:t>L</w:t>
      </w:r>
      <w:r w:rsidR="00876FFF" w:rsidRPr="006677E6">
        <w:rPr>
          <w:color w:val="000000" w:themeColor="text1"/>
          <w:szCs w:val="24"/>
        </w:rPr>
        <w:t xml:space="preserve">umbar spine </w:t>
      </w:r>
      <w:r w:rsidR="00C2527E">
        <w:rPr>
          <w:color w:val="000000" w:themeColor="text1"/>
          <w:szCs w:val="24"/>
        </w:rPr>
        <w:t xml:space="preserve">radiographs </w:t>
      </w:r>
      <w:r w:rsidR="00876FFF">
        <w:rPr>
          <w:color w:val="000000" w:themeColor="text1"/>
          <w:szCs w:val="24"/>
        </w:rPr>
        <w:t xml:space="preserve">were </w:t>
      </w:r>
      <w:r w:rsidR="00876FFF" w:rsidRPr="006677E6">
        <w:rPr>
          <w:color w:val="000000" w:themeColor="text1"/>
          <w:szCs w:val="24"/>
        </w:rPr>
        <w:t xml:space="preserve">normal. </w:t>
      </w:r>
      <w:r w:rsidR="00C2527E">
        <w:rPr>
          <w:color w:val="000000" w:themeColor="text1"/>
          <w:szCs w:val="24"/>
        </w:rPr>
        <w:t xml:space="preserve"> The examiner diagnosed </w:t>
      </w:r>
      <w:proofErr w:type="spellStart"/>
      <w:r w:rsidR="00C2527E">
        <w:rPr>
          <w:color w:val="000000" w:themeColor="text1"/>
          <w:szCs w:val="24"/>
        </w:rPr>
        <w:t>lumbosacral</w:t>
      </w:r>
      <w:proofErr w:type="spellEnd"/>
      <w:r w:rsidR="00C2527E">
        <w:rPr>
          <w:color w:val="000000" w:themeColor="text1"/>
          <w:szCs w:val="24"/>
        </w:rPr>
        <w:t xml:space="preserve"> strain, and the VA assigned a 10% evaluation.  </w:t>
      </w:r>
    </w:p>
    <w:p w:rsidR="00876FFF" w:rsidRDefault="00876FFF" w:rsidP="005E3A5F">
      <w:pPr>
        <w:jc w:val="both"/>
        <w:rPr>
          <w:color w:val="000000" w:themeColor="text1"/>
          <w:szCs w:val="24"/>
        </w:rPr>
      </w:pPr>
    </w:p>
    <w:p w:rsidR="00225F31" w:rsidRPr="00F018B8" w:rsidRDefault="00225F31" w:rsidP="00225F31">
      <w:pPr>
        <w:jc w:val="both"/>
        <w:rPr>
          <w:color w:val="auto"/>
          <w:szCs w:val="24"/>
        </w:rPr>
      </w:pPr>
      <w:r>
        <w:rPr>
          <w:color w:val="auto"/>
          <w:szCs w:val="24"/>
        </w:rPr>
        <w:t>There w</w:t>
      </w:r>
      <w:r w:rsidR="00C2527E">
        <w:rPr>
          <w:color w:val="auto"/>
          <w:szCs w:val="24"/>
        </w:rPr>
        <w:t xml:space="preserve">as one report, in the C&amp;P exam, of an </w:t>
      </w:r>
      <w:r>
        <w:rPr>
          <w:color w:val="auto"/>
          <w:szCs w:val="24"/>
        </w:rPr>
        <w:t>incapacitating episode</w:t>
      </w:r>
      <w:r w:rsidR="00C2527E">
        <w:rPr>
          <w:color w:val="auto"/>
          <w:szCs w:val="24"/>
        </w:rPr>
        <w:t xml:space="preserve">, </w:t>
      </w:r>
      <w:r w:rsidR="0014130D">
        <w:rPr>
          <w:color w:val="auto"/>
          <w:szCs w:val="24"/>
        </w:rPr>
        <w:t xml:space="preserve">causing the CI to be “bedridden” for a total of two days in the past 12 months. </w:t>
      </w:r>
      <w:r>
        <w:rPr>
          <w:color w:val="auto"/>
          <w:szCs w:val="24"/>
        </w:rPr>
        <w:t xml:space="preserve"> </w:t>
      </w:r>
      <w:r w:rsidR="0014130D">
        <w:rPr>
          <w:color w:val="auto"/>
          <w:szCs w:val="24"/>
        </w:rPr>
        <w:t xml:space="preserve">Although the record did not provide evidence that this met the strict </w:t>
      </w:r>
      <w:r w:rsidR="0014130D">
        <w:rPr>
          <w:rFonts w:cs="Calibri"/>
          <w:color w:val="auto"/>
          <w:szCs w:val="24"/>
        </w:rPr>
        <w:t>§</w:t>
      </w:r>
      <w:r w:rsidR="0014130D">
        <w:rPr>
          <w:color w:val="auto"/>
          <w:szCs w:val="24"/>
        </w:rPr>
        <w:t xml:space="preserve">4.71a definition of an incapacitating episode, </w:t>
      </w:r>
      <w:r>
        <w:rPr>
          <w:color w:val="auto"/>
          <w:szCs w:val="24"/>
        </w:rPr>
        <w:t xml:space="preserve">requiring bed rest prescribed by a physician and treatment by a physician, as required for rating under </w:t>
      </w:r>
      <w:proofErr w:type="spellStart"/>
      <w:r>
        <w:rPr>
          <w:color w:val="auto"/>
          <w:szCs w:val="24"/>
        </w:rPr>
        <w:t>intervertebral</w:t>
      </w:r>
      <w:proofErr w:type="spellEnd"/>
      <w:r>
        <w:rPr>
          <w:color w:val="auto"/>
          <w:szCs w:val="24"/>
        </w:rPr>
        <w:t xml:space="preserve"> disc syndrome, </w:t>
      </w:r>
      <w:r w:rsidR="0014130D">
        <w:rPr>
          <w:color w:val="auto"/>
          <w:szCs w:val="24"/>
        </w:rPr>
        <w:t>the issue is moot, since the frequency would only rate 10% under that formula, if one concedes the incapacitating episode.  Thus,</w:t>
      </w:r>
      <w:r>
        <w:rPr>
          <w:color w:val="auto"/>
          <w:szCs w:val="24"/>
        </w:rPr>
        <w:t xml:space="preserve"> the </w:t>
      </w:r>
      <w:r w:rsidR="0014130D">
        <w:rPr>
          <w:color w:val="auto"/>
          <w:szCs w:val="24"/>
        </w:rPr>
        <w:t xml:space="preserve">CI’s </w:t>
      </w:r>
      <w:r>
        <w:rPr>
          <w:color w:val="auto"/>
          <w:szCs w:val="24"/>
        </w:rPr>
        <w:t xml:space="preserve">condition is most appropriately rated using the </w:t>
      </w:r>
      <w:r w:rsidR="00D759E3">
        <w:rPr>
          <w:color w:val="auto"/>
          <w:szCs w:val="24"/>
        </w:rPr>
        <w:t>g</w:t>
      </w:r>
      <w:r>
        <w:rPr>
          <w:color w:val="auto"/>
          <w:szCs w:val="24"/>
        </w:rPr>
        <w:t xml:space="preserve">eneral </w:t>
      </w:r>
      <w:r w:rsidR="00D759E3">
        <w:rPr>
          <w:color w:val="auto"/>
          <w:szCs w:val="24"/>
        </w:rPr>
        <w:t>r</w:t>
      </w:r>
      <w:r>
        <w:rPr>
          <w:color w:val="auto"/>
          <w:szCs w:val="24"/>
        </w:rPr>
        <w:t xml:space="preserve">ating </w:t>
      </w:r>
      <w:r w:rsidR="00D759E3">
        <w:rPr>
          <w:color w:val="auto"/>
          <w:szCs w:val="24"/>
        </w:rPr>
        <w:t>f</w:t>
      </w:r>
      <w:r>
        <w:rPr>
          <w:color w:val="auto"/>
          <w:szCs w:val="24"/>
        </w:rPr>
        <w:t xml:space="preserve">ormula for </w:t>
      </w:r>
      <w:r w:rsidR="00D759E3">
        <w:rPr>
          <w:color w:val="auto"/>
          <w:szCs w:val="24"/>
        </w:rPr>
        <w:t>d</w:t>
      </w:r>
      <w:r>
        <w:rPr>
          <w:color w:val="auto"/>
          <w:szCs w:val="24"/>
        </w:rPr>
        <w:t xml:space="preserve">iseases and </w:t>
      </w:r>
      <w:r w:rsidR="00D759E3">
        <w:rPr>
          <w:color w:val="auto"/>
          <w:szCs w:val="24"/>
        </w:rPr>
        <w:t>i</w:t>
      </w:r>
      <w:r>
        <w:rPr>
          <w:color w:val="auto"/>
          <w:szCs w:val="24"/>
        </w:rPr>
        <w:t xml:space="preserve">njuries of the </w:t>
      </w:r>
      <w:r w:rsidR="00D759E3">
        <w:rPr>
          <w:color w:val="auto"/>
          <w:szCs w:val="24"/>
        </w:rPr>
        <w:t>s</w:t>
      </w:r>
      <w:r>
        <w:rPr>
          <w:color w:val="auto"/>
          <w:szCs w:val="24"/>
        </w:rPr>
        <w:t xml:space="preserve">pine.  </w:t>
      </w:r>
      <w:r w:rsidR="00127D45">
        <w:rPr>
          <w:color w:val="auto"/>
          <w:szCs w:val="24"/>
        </w:rPr>
        <w:t xml:space="preserve">Given the </w:t>
      </w:r>
      <w:proofErr w:type="spellStart"/>
      <w:r w:rsidR="00127D45">
        <w:rPr>
          <w:color w:val="auto"/>
          <w:szCs w:val="24"/>
        </w:rPr>
        <w:t>radicular</w:t>
      </w:r>
      <w:proofErr w:type="spellEnd"/>
      <w:r w:rsidR="00127D45">
        <w:rPr>
          <w:color w:val="auto"/>
          <w:szCs w:val="24"/>
        </w:rPr>
        <w:t xml:space="preserve"> symptoms and MRI-proven disc and joint pathology, c</w:t>
      </w:r>
      <w:r w:rsidRPr="0014130D">
        <w:rPr>
          <w:color w:val="auto"/>
          <w:szCs w:val="24"/>
        </w:rPr>
        <w:t xml:space="preserve">oding in this case </w:t>
      </w:r>
      <w:r w:rsidRPr="0014130D">
        <w:rPr>
          <w:color w:val="auto"/>
          <w:szCs w:val="24"/>
        </w:rPr>
        <w:lastRenderedPageBreak/>
        <w:t xml:space="preserve">would optimally be </w:t>
      </w:r>
      <w:r w:rsidR="0014130D">
        <w:rPr>
          <w:color w:val="auto"/>
          <w:szCs w:val="24"/>
        </w:rPr>
        <w:t xml:space="preserve">5242 (degenerative arthritis of the spine), </w:t>
      </w:r>
      <w:r w:rsidR="00127D45">
        <w:rPr>
          <w:color w:val="auto"/>
          <w:szCs w:val="24"/>
        </w:rPr>
        <w:t>or 5243 (</w:t>
      </w:r>
      <w:proofErr w:type="spellStart"/>
      <w:r w:rsidR="00127D45">
        <w:rPr>
          <w:color w:val="auto"/>
          <w:szCs w:val="24"/>
        </w:rPr>
        <w:t>intervertebral</w:t>
      </w:r>
      <w:proofErr w:type="spellEnd"/>
      <w:r w:rsidR="00127D45">
        <w:rPr>
          <w:color w:val="auto"/>
          <w:szCs w:val="24"/>
        </w:rPr>
        <w:t xml:space="preserve"> disc syndrome), </w:t>
      </w:r>
      <w:r w:rsidR="0014130D">
        <w:rPr>
          <w:color w:val="auto"/>
          <w:szCs w:val="24"/>
        </w:rPr>
        <w:t xml:space="preserve">however </w:t>
      </w:r>
      <w:r w:rsidRPr="0014130D">
        <w:rPr>
          <w:color w:val="auto"/>
          <w:szCs w:val="24"/>
        </w:rPr>
        <w:t>5237 (</w:t>
      </w:r>
      <w:proofErr w:type="spellStart"/>
      <w:r w:rsidRPr="0014130D">
        <w:rPr>
          <w:color w:val="auto"/>
          <w:szCs w:val="24"/>
        </w:rPr>
        <w:t>lumbosacral</w:t>
      </w:r>
      <w:proofErr w:type="spellEnd"/>
      <w:r w:rsidRPr="0014130D">
        <w:rPr>
          <w:color w:val="auto"/>
          <w:szCs w:val="24"/>
        </w:rPr>
        <w:t xml:space="preserve"> strain) as used by the PEB</w:t>
      </w:r>
      <w:r w:rsidR="00127D45">
        <w:rPr>
          <w:color w:val="auto"/>
          <w:szCs w:val="24"/>
        </w:rPr>
        <w:t>,</w:t>
      </w:r>
      <w:r w:rsidRPr="0014130D">
        <w:rPr>
          <w:color w:val="auto"/>
          <w:szCs w:val="24"/>
        </w:rPr>
        <w:t xml:space="preserve"> </w:t>
      </w:r>
      <w:r w:rsidR="00127D45">
        <w:rPr>
          <w:color w:val="auto"/>
          <w:szCs w:val="24"/>
        </w:rPr>
        <w:t>is acceptable</w:t>
      </w:r>
      <w:r w:rsidRPr="0014130D">
        <w:rPr>
          <w:color w:val="auto"/>
          <w:szCs w:val="24"/>
        </w:rPr>
        <w:t xml:space="preserve">.  </w:t>
      </w:r>
      <w:r w:rsidR="00127D45">
        <w:rPr>
          <w:color w:val="auto"/>
          <w:szCs w:val="24"/>
        </w:rPr>
        <w:t xml:space="preserve">The exam most proximate to separation (VA exam) would rate 10% IAW the General Rating Formula.  </w:t>
      </w:r>
      <w:r>
        <w:rPr>
          <w:color w:val="auto"/>
          <w:szCs w:val="24"/>
        </w:rPr>
        <w:t xml:space="preserve">The record did not provide evidence </w:t>
      </w:r>
      <w:r w:rsidR="00BC1C9C">
        <w:rPr>
          <w:color w:val="auto"/>
          <w:szCs w:val="24"/>
        </w:rPr>
        <w:t xml:space="preserve">that </w:t>
      </w:r>
      <w:r>
        <w:rPr>
          <w:color w:val="auto"/>
          <w:szCs w:val="24"/>
        </w:rPr>
        <w:t xml:space="preserve">the CI’s </w:t>
      </w:r>
      <w:r w:rsidRPr="00F018B8">
        <w:rPr>
          <w:color w:val="auto"/>
          <w:szCs w:val="24"/>
        </w:rPr>
        <w:t xml:space="preserve">condition ever met the 40% criteria of that formula, requiring forward flexion of 30 degrees or less, or favorable </w:t>
      </w:r>
      <w:proofErr w:type="spellStart"/>
      <w:r w:rsidRPr="00F018B8">
        <w:rPr>
          <w:color w:val="auto"/>
          <w:szCs w:val="24"/>
        </w:rPr>
        <w:t>ankylosis</w:t>
      </w:r>
      <w:proofErr w:type="spellEnd"/>
      <w:r w:rsidRPr="00F018B8">
        <w:rPr>
          <w:color w:val="auto"/>
          <w:szCs w:val="24"/>
        </w:rPr>
        <w:t xml:space="preserve"> of the entire </w:t>
      </w:r>
      <w:proofErr w:type="spellStart"/>
      <w:r w:rsidRPr="00F018B8">
        <w:rPr>
          <w:color w:val="auto"/>
          <w:szCs w:val="24"/>
        </w:rPr>
        <w:t>thoracolumbar</w:t>
      </w:r>
      <w:proofErr w:type="spellEnd"/>
      <w:r w:rsidRPr="00F018B8">
        <w:rPr>
          <w:color w:val="auto"/>
          <w:szCs w:val="24"/>
        </w:rPr>
        <w:t xml:space="preserve"> spine.  All evidence considered</w:t>
      </w:r>
      <w:proofErr w:type="gramStart"/>
      <w:r w:rsidRPr="00F018B8">
        <w:rPr>
          <w:color w:val="auto"/>
          <w:szCs w:val="24"/>
        </w:rPr>
        <w:t>,</w:t>
      </w:r>
      <w:proofErr w:type="gramEnd"/>
      <w:r w:rsidRPr="00F018B8">
        <w:rPr>
          <w:color w:val="auto"/>
          <w:szCs w:val="24"/>
        </w:rPr>
        <w:t xml:space="preserve"> there is not reasonable doubt in the CI’s favor supporting a change from the PEB’s rating decision for the low back pain condition.  </w:t>
      </w:r>
    </w:p>
    <w:p w:rsidR="00225F31" w:rsidRPr="00F018B8" w:rsidRDefault="00225F31" w:rsidP="00225F31">
      <w:pPr>
        <w:jc w:val="left"/>
        <w:rPr>
          <w:color w:val="000000"/>
          <w:szCs w:val="24"/>
          <w:u w:val="single"/>
        </w:rPr>
      </w:pPr>
    </w:p>
    <w:p w:rsidR="00225F31" w:rsidRDefault="00225F31" w:rsidP="002F1F42">
      <w:pPr>
        <w:jc w:val="both"/>
        <w:rPr>
          <w:color w:val="auto"/>
          <w:szCs w:val="24"/>
        </w:rPr>
      </w:pPr>
      <w:r w:rsidRPr="00F018B8">
        <w:rPr>
          <w:color w:val="auto"/>
          <w:szCs w:val="24"/>
          <w:u w:val="single"/>
        </w:rPr>
        <w:t>LBP Condition (</w:t>
      </w:r>
      <w:proofErr w:type="spellStart"/>
      <w:r w:rsidR="002F1F42">
        <w:rPr>
          <w:color w:val="auto"/>
          <w:szCs w:val="24"/>
          <w:u w:val="single"/>
        </w:rPr>
        <w:t>Radiculopathy</w:t>
      </w:r>
      <w:proofErr w:type="spellEnd"/>
      <w:r w:rsidR="002F1F42">
        <w:rPr>
          <w:color w:val="auto"/>
          <w:szCs w:val="24"/>
          <w:u w:val="single"/>
        </w:rPr>
        <w:t>/Left-</w:t>
      </w:r>
      <w:r w:rsidR="00BC1C9C" w:rsidRPr="00F018B8">
        <w:rPr>
          <w:color w:val="auto"/>
          <w:szCs w:val="24"/>
          <w:u w:val="single"/>
        </w:rPr>
        <w:t>Sided Sciatica</w:t>
      </w:r>
      <w:r w:rsidRPr="00F018B8">
        <w:rPr>
          <w:color w:val="auto"/>
          <w:szCs w:val="24"/>
          <w:u w:val="single"/>
        </w:rPr>
        <w:t>)</w:t>
      </w:r>
      <w:r w:rsidRPr="00F018B8">
        <w:rPr>
          <w:color w:val="auto"/>
          <w:szCs w:val="24"/>
        </w:rPr>
        <w:t xml:space="preserve">.  </w:t>
      </w:r>
      <w:r w:rsidR="00BC1C9C" w:rsidRPr="00F018B8">
        <w:rPr>
          <w:color w:val="auto"/>
          <w:szCs w:val="24"/>
        </w:rPr>
        <w:t xml:space="preserve">Left sided sciatica was </w:t>
      </w:r>
      <w:r w:rsidR="00BC1C9C" w:rsidRPr="00F018B8">
        <w:rPr>
          <w:color w:val="000000" w:themeColor="text1"/>
          <w:szCs w:val="24"/>
        </w:rPr>
        <w:t xml:space="preserve">forwarded by the MEB and adjudicated as not unfitting by the PEB.  </w:t>
      </w:r>
      <w:r w:rsidRPr="00F018B8">
        <w:rPr>
          <w:color w:val="auto"/>
          <w:szCs w:val="24"/>
        </w:rPr>
        <w:t>The CI endorsed episodic radiation of her pain into her left le</w:t>
      </w:r>
      <w:r w:rsidR="00357D33" w:rsidRPr="00F018B8">
        <w:rPr>
          <w:color w:val="auto"/>
          <w:szCs w:val="24"/>
        </w:rPr>
        <w:t xml:space="preserve">g and occasional </w:t>
      </w:r>
      <w:r w:rsidR="00AD7C85" w:rsidRPr="00F018B8">
        <w:rPr>
          <w:color w:val="auto"/>
          <w:szCs w:val="24"/>
        </w:rPr>
        <w:t>numbness</w:t>
      </w:r>
      <w:r w:rsidR="00357D33" w:rsidRPr="00F018B8">
        <w:rPr>
          <w:color w:val="auto"/>
          <w:szCs w:val="24"/>
        </w:rPr>
        <w:t xml:space="preserve"> of the </w:t>
      </w:r>
      <w:r w:rsidR="00AD7C85" w:rsidRPr="00F018B8">
        <w:rPr>
          <w:color w:val="auto"/>
          <w:szCs w:val="24"/>
        </w:rPr>
        <w:t>left le</w:t>
      </w:r>
      <w:r w:rsidRPr="00F018B8">
        <w:rPr>
          <w:color w:val="auto"/>
          <w:szCs w:val="24"/>
        </w:rPr>
        <w:t>g</w:t>
      </w:r>
      <w:r w:rsidR="00357D33">
        <w:rPr>
          <w:color w:val="auto"/>
          <w:szCs w:val="24"/>
        </w:rPr>
        <w:t xml:space="preserve"> </w:t>
      </w:r>
      <w:r w:rsidR="00BC1C9C" w:rsidRPr="00BC1C9C">
        <w:rPr>
          <w:color w:val="auto"/>
          <w:szCs w:val="24"/>
        </w:rPr>
        <w:t xml:space="preserve">and “severe lumbar </w:t>
      </w:r>
      <w:proofErr w:type="spellStart"/>
      <w:r w:rsidR="00BC1C9C" w:rsidRPr="00BC1C9C">
        <w:rPr>
          <w:color w:val="auto"/>
          <w:szCs w:val="24"/>
        </w:rPr>
        <w:t>radiculopathy</w:t>
      </w:r>
      <w:proofErr w:type="spellEnd"/>
      <w:r w:rsidR="00BC1C9C">
        <w:rPr>
          <w:color w:val="auto"/>
          <w:szCs w:val="24"/>
        </w:rPr>
        <w:t>”</w:t>
      </w:r>
      <w:r w:rsidR="00BC1C9C" w:rsidRPr="00BC1C9C">
        <w:rPr>
          <w:color w:val="auto"/>
          <w:szCs w:val="24"/>
        </w:rPr>
        <w:t xml:space="preserve"> was indicated in the commander’s statement.</w:t>
      </w:r>
      <w:r>
        <w:rPr>
          <w:color w:val="auto"/>
          <w:szCs w:val="24"/>
        </w:rPr>
        <w:t xml:space="preserve">  Any pain-</w:t>
      </w:r>
      <w:proofErr w:type="spellStart"/>
      <w:r>
        <w:rPr>
          <w:color w:val="auto"/>
          <w:szCs w:val="24"/>
        </w:rPr>
        <w:t>radiculopathy</w:t>
      </w:r>
      <w:proofErr w:type="spellEnd"/>
      <w:r>
        <w:rPr>
          <w:color w:val="auto"/>
          <w:szCs w:val="24"/>
        </w:rPr>
        <w:t xml:space="preserve"> is considered above under the CI’s primary unfitting </w:t>
      </w:r>
      <w:proofErr w:type="spellStart"/>
      <w:r>
        <w:rPr>
          <w:color w:val="auto"/>
          <w:szCs w:val="24"/>
        </w:rPr>
        <w:t>lumbosacral</w:t>
      </w:r>
      <w:proofErr w:type="spellEnd"/>
      <w:r>
        <w:rPr>
          <w:color w:val="auto"/>
          <w:szCs w:val="24"/>
        </w:rPr>
        <w:t xml:space="preserve"> condition IAW the </w:t>
      </w:r>
      <w:r w:rsidR="00D759E3">
        <w:rPr>
          <w:color w:val="auto"/>
          <w:szCs w:val="24"/>
        </w:rPr>
        <w:t>g</w:t>
      </w:r>
      <w:r w:rsidRPr="003C198B">
        <w:rPr>
          <w:color w:val="auto"/>
          <w:szCs w:val="24"/>
        </w:rPr>
        <w:t xml:space="preserve">eneral </w:t>
      </w:r>
      <w:r w:rsidR="00D759E3">
        <w:rPr>
          <w:color w:val="auto"/>
          <w:szCs w:val="24"/>
        </w:rPr>
        <w:t>r</w:t>
      </w:r>
      <w:r w:rsidRPr="003C198B">
        <w:rPr>
          <w:color w:val="auto"/>
          <w:szCs w:val="24"/>
        </w:rPr>
        <w:t xml:space="preserve">ating </w:t>
      </w:r>
      <w:r w:rsidR="00D759E3">
        <w:rPr>
          <w:color w:val="auto"/>
          <w:szCs w:val="24"/>
        </w:rPr>
        <w:t>f</w:t>
      </w:r>
      <w:r w:rsidRPr="003C198B">
        <w:rPr>
          <w:color w:val="auto"/>
          <w:szCs w:val="24"/>
        </w:rPr>
        <w:t xml:space="preserve">ormula for </w:t>
      </w:r>
      <w:r w:rsidR="00D759E3">
        <w:rPr>
          <w:color w:val="auto"/>
          <w:szCs w:val="24"/>
        </w:rPr>
        <w:t>d</w:t>
      </w:r>
      <w:r w:rsidRPr="003C198B">
        <w:rPr>
          <w:color w:val="auto"/>
          <w:szCs w:val="24"/>
        </w:rPr>
        <w:t xml:space="preserve">iseases and </w:t>
      </w:r>
      <w:r w:rsidR="00D759E3">
        <w:rPr>
          <w:color w:val="auto"/>
          <w:szCs w:val="24"/>
        </w:rPr>
        <w:t>i</w:t>
      </w:r>
      <w:r w:rsidRPr="003C198B">
        <w:rPr>
          <w:color w:val="auto"/>
          <w:szCs w:val="24"/>
        </w:rPr>
        <w:t xml:space="preserve">njuries of the </w:t>
      </w:r>
      <w:r w:rsidR="00D759E3">
        <w:rPr>
          <w:color w:val="auto"/>
          <w:szCs w:val="24"/>
        </w:rPr>
        <w:t>s</w:t>
      </w:r>
      <w:r w:rsidRPr="003C198B">
        <w:rPr>
          <w:color w:val="auto"/>
          <w:szCs w:val="24"/>
        </w:rPr>
        <w:t>pine</w:t>
      </w:r>
      <w:r>
        <w:rPr>
          <w:color w:val="auto"/>
          <w:szCs w:val="24"/>
        </w:rPr>
        <w:t xml:space="preserve">, </w:t>
      </w:r>
      <w:r w:rsidRPr="00136D4A">
        <w:rPr>
          <w:color w:val="auto"/>
          <w:szCs w:val="24"/>
        </w:rPr>
        <w:t>“</w:t>
      </w:r>
      <w:r w:rsidR="00D759E3">
        <w:rPr>
          <w:color w:val="auto"/>
          <w:szCs w:val="24"/>
        </w:rPr>
        <w:t>w</w:t>
      </w:r>
      <w:r w:rsidRPr="00136D4A">
        <w:rPr>
          <w:color w:val="auto"/>
          <w:szCs w:val="24"/>
        </w:rPr>
        <w:t>ith or without symptoms such as pain (whether or not it radiates), stiffness</w:t>
      </w:r>
      <w:r w:rsidRPr="00F018B8">
        <w:rPr>
          <w:color w:val="auto"/>
          <w:szCs w:val="24"/>
        </w:rPr>
        <w:t>, or aching in the area of the spine affected by residuals of injury or disease.”  Neurological evaluation proximate to separation was normal, including motor, sensory, and reflexes.  Lower extremity motor function was normal throughout the record, without atrophy or foot drop</w:t>
      </w:r>
      <w:r w:rsidR="00127D45" w:rsidRPr="00F018B8">
        <w:rPr>
          <w:color w:val="auto"/>
          <w:szCs w:val="24"/>
        </w:rPr>
        <w:t xml:space="preserve">, except for one outpatient note </w:t>
      </w:r>
      <w:r w:rsidR="00AA5497" w:rsidRPr="00F018B8">
        <w:rPr>
          <w:color w:val="auto"/>
          <w:szCs w:val="24"/>
        </w:rPr>
        <w:t>remote from separation (</w:t>
      </w:r>
      <w:r w:rsidR="00127D45" w:rsidRPr="00F018B8">
        <w:rPr>
          <w:color w:val="auto"/>
          <w:szCs w:val="24"/>
        </w:rPr>
        <w:t xml:space="preserve">14 months </w:t>
      </w:r>
      <w:r w:rsidR="00D759E3">
        <w:rPr>
          <w:color w:val="auto"/>
          <w:szCs w:val="24"/>
        </w:rPr>
        <w:t xml:space="preserve">prior to </w:t>
      </w:r>
      <w:r w:rsidR="00127D45" w:rsidRPr="00F018B8">
        <w:rPr>
          <w:color w:val="auto"/>
          <w:szCs w:val="24"/>
        </w:rPr>
        <w:t>separation</w:t>
      </w:r>
      <w:r w:rsidR="00AA5497" w:rsidRPr="00F018B8">
        <w:rPr>
          <w:color w:val="auto"/>
          <w:szCs w:val="24"/>
        </w:rPr>
        <w:t>)</w:t>
      </w:r>
      <w:r w:rsidR="00127D45" w:rsidRPr="00F018B8">
        <w:rPr>
          <w:color w:val="auto"/>
          <w:szCs w:val="24"/>
        </w:rPr>
        <w:t xml:space="preserve"> that noted weakness of the left great toe extensor</w:t>
      </w:r>
      <w:r w:rsidR="00AA5497" w:rsidRPr="00F018B8">
        <w:rPr>
          <w:color w:val="auto"/>
          <w:szCs w:val="24"/>
        </w:rPr>
        <w:t xml:space="preserve"> (and left hip)</w:t>
      </w:r>
      <w:r w:rsidR="00127D45" w:rsidRPr="00F018B8">
        <w:rPr>
          <w:color w:val="auto"/>
          <w:szCs w:val="24"/>
        </w:rPr>
        <w:t>, with no other neurological</w:t>
      </w:r>
      <w:r w:rsidR="00AA5497" w:rsidRPr="00F018B8">
        <w:rPr>
          <w:color w:val="auto"/>
          <w:szCs w:val="24"/>
        </w:rPr>
        <w:t xml:space="preserve"> exam documented.</w:t>
      </w:r>
      <w:r w:rsidRPr="00F018B8">
        <w:rPr>
          <w:color w:val="auto"/>
          <w:szCs w:val="24"/>
        </w:rPr>
        <w:t xml:space="preserve">  This leaves no grounds for Board recommendation of an additionally unfitting </w:t>
      </w:r>
      <w:r w:rsidR="00BC1C9C" w:rsidRPr="00F018B8">
        <w:rPr>
          <w:color w:val="auto"/>
          <w:szCs w:val="24"/>
        </w:rPr>
        <w:t xml:space="preserve">peripheral </w:t>
      </w:r>
      <w:r w:rsidRPr="00F018B8">
        <w:rPr>
          <w:color w:val="auto"/>
          <w:szCs w:val="24"/>
        </w:rPr>
        <w:t>neuropathy.  All evidence considered</w:t>
      </w:r>
      <w:proofErr w:type="gramStart"/>
      <w:r w:rsidRPr="00F018B8">
        <w:rPr>
          <w:color w:val="auto"/>
          <w:szCs w:val="24"/>
        </w:rPr>
        <w:t>,</w:t>
      </w:r>
      <w:proofErr w:type="gramEnd"/>
      <w:r w:rsidRPr="00F018B8">
        <w:rPr>
          <w:color w:val="auto"/>
          <w:szCs w:val="24"/>
        </w:rPr>
        <w:t xml:space="preserve"> there is not reasonable doubt in t</w:t>
      </w:r>
      <w:r w:rsidRPr="00593E56">
        <w:rPr>
          <w:color w:val="auto"/>
          <w:szCs w:val="24"/>
        </w:rPr>
        <w:t xml:space="preserve">he CI’s favor supporting addition of </w:t>
      </w:r>
      <w:r>
        <w:rPr>
          <w:color w:val="auto"/>
          <w:szCs w:val="24"/>
        </w:rPr>
        <w:t xml:space="preserve">any lower extremity </w:t>
      </w:r>
      <w:proofErr w:type="spellStart"/>
      <w:r>
        <w:rPr>
          <w:color w:val="auto"/>
          <w:szCs w:val="24"/>
        </w:rPr>
        <w:t>radiculopathy</w:t>
      </w:r>
      <w:proofErr w:type="spellEnd"/>
      <w:r w:rsidRPr="00593E56">
        <w:rPr>
          <w:color w:val="auto"/>
          <w:szCs w:val="24"/>
        </w:rPr>
        <w:t xml:space="preserve"> as an unfitting co</w:t>
      </w:r>
      <w:r>
        <w:rPr>
          <w:color w:val="auto"/>
          <w:szCs w:val="24"/>
        </w:rPr>
        <w:t>ndition for separation rating.</w:t>
      </w:r>
      <w:r w:rsidR="00F018B8">
        <w:rPr>
          <w:color w:val="auto"/>
          <w:szCs w:val="24"/>
        </w:rPr>
        <w:t xml:space="preserve">  </w:t>
      </w:r>
    </w:p>
    <w:p w:rsidR="00E33305" w:rsidRPr="001F29F9" w:rsidRDefault="00E33305" w:rsidP="005E3A5F">
      <w:pPr>
        <w:jc w:val="both"/>
        <w:rPr>
          <w:color w:val="000000" w:themeColor="text1"/>
          <w:szCs w:val="24"/>
          <w:u w:val="single"/>
        </w:rPr>
      </w:pPr>
    </w:p>
    <w:p w:rsidR="008C3223" w:rsidRPr="001F29F9" w:rsidRDefault="004C60A3" w:rsidP="005E3A5F">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1E4BE4">
        <w:rPr>
          <w:rFonts w:eastAsia="HiddenHorzOCR"/>
          <w:color w:val="000000" w:themeColor="text1"/>
          <w:szCs w:val="24"/>
        </w:rPr>
        <w:t xml:space="preserve"> </w:t>
      </w:r>
      <w:r w:rsidR="008C3223" w:rsidRPr="001F29F9">
        <w:rPr>
          <w:color w:val="000000" w:themeColor="text1"/>
          <w:szCs w:val="24"/>
        </w:rPr>
        <w:t xml:space="preserve">The other </w:t>
      </w:r>
      <w:r w:rsidR="008C3223" w:rsidRPr="00F018B8">
        <w:rPr>
          <w:color w:val="000000" w:themeColor="text1"/>
          <w:szCs w:val="24"/>
        </w:rPr>
        <w:t>conditions forwarded by the MEB and adjudicated as not unfitting by the PEB were</w:t>
      </w:r>
      <w:r w:rsidR="00275083" w:rsidRPr="00F018B8">
        <w:rPr>
          <w:color w:val="000000" w:themeColor="text1"/>
          <w:szCs w:val="24"/>
        </w:rPr>
        <w:t xml:space="preserve">: </w:t>
      </w:r>
      <w:r w:rsidR="008C3223" w:rsidRPr="00F018B8">
        <w:rPr>
          <w:color w:val="000000" w:themeColor="text1"/>
          <w:szCs w:val="24"/>
        </w:rPr>
        <w:t xml:space="preserve"> </w:t>
      </w:r>
      <w:r w:rsidR="00BC1C9C" w:rsidRPr="00F018B8">
        <w:rPr>
          <w:color w:val="auto"/>
          <w:szCs w:val="24"/>
        </w:rPr>
        <w:t>left sided sciatica</w:t>
      </w:r>
      <w:r w:rsidR="00BC1C9C" w:rsidRPr="00F018B8">
        <w:rPr>
          <w:color w:val="000000" w:themeColor="text1"/>
          <w:szCs w:val="24"/>
        </w:rPr>
        <w:t xml:space="preserve"> </w:t>
      </w:r>
      <w:r w:rsidR="001E4BE4" w:rsidRPr="00F018B8">
        <w:rPr>
          <w:color w:val="000000" w:themeColor="text1"/>
          <w:szCs w:val="24"/>
        </w:rPr>
        <w:t xml:space="preserve">left hip greater </w:t>
      </w:r>
      <w:proofErr w:type="spellStart"/>
      <w:r w:rsidR="001E4BE4" w:rsidRPr="00F018B8">
        <w:rPr>
          <w:color w:val="000000" w:themeColor="text1"/>
          <w:szCs w:val="24"/>
        </w:rPr>
        <w:t>trochanteric</w:t>
      </w:r>
      <w:proofErr w:type="spellEnd"/>
      <w:r w:rsidR="001E4BE4" w:rsidRPr="00F018B8">
        <w:rPr>
          <w:color w:val="000000" w:themeColor="text1"/>
          <w:szCs w:val="24"/>
        </w:rPr>
        <w:t xml:space="preserve"> bursitis; left </w:t>
      </w:r>
      <w:proofErr w:type="spellStart"/>
      <w:r w:rsidR="001E4BE4" w:rsidRPr="00F018B8">
        <w:rPr>
          <w:color w:val="000000" w:themeColor="text1"/>
          <w:szCs w:val="24"/>
        </w:rPr>
        <w:t>cuboid</w:t>
      </w:r>
      <w:proofErr w:type="spellEnd"/>
      <w:r w:rsidR="001E4BE4" w:rsidRPr="00F018B8">
        <w:rPr>
          <w:color w:val="000000" w:themeColor="text1"/>
          <w:szCs w:val="24"/>
        </w:rPr>
        <w:t xml:space="preserve"> bone, small avulsion fracture</w:t>
      </w:r>
      <w:r w:rsidR="00275083" w:rsidRPr="00F018B8">
        <w:rPr>
          <w:color w:val="000000" w:themeColor="text1"/>
          <w:szCs w:val="24"/>
        </w:rPr>
        <w:t>, healed</w:t>
      </w:r>
      <w:r w:rsidR="001E4BE4" w:rsidRPr="00F018B8">
        <w:rPr>
          <w:color w:val="000000" w:themeColor="text1"/>
          <w:szCs w:val="24"/>
        </w:rPr>
        <w:t xml:space="preserve">; </w:t>
      </w:r>
      <w:proofErr w:type="spellStart"/>
      <w:r w:rsidR="00275083" w:rsidRPr="00F018B8">
        <w:rPr>
          <w:color w:val="000000" w:themeColor="text1"/>
          <w:szCs w:val="24"/>
        </w:rPr>
        <w:t>A</w:t>
      </w:r>
      <w:r w:rsidR="001E4BE4" w:rsidRPr="00F018B8">
        <w:rPr>
          <w:color w:val="000000" w:themeColor="text1"/>
          <w:szCs w:val="24"/>
        </w:rPr>
        <w:t>lport’s</w:t>
      </w:r>
      <w:proofErr w:type="spellEnd"/>
      <w:r w:rsidR="001E4BE4" w:rsidRPr="00F018B8">
        <w:rPr>
          <w:color w:val="000000" w:themeColor="text1"/>
          <w:szCs w:val="24"/>
        </w:rPr>
        <w:t xml:space="preserve"> syndrome; </w:t>
      </w:r>
      <w:proofErr w:type="spellStart"/>
      <w:r w:rsidR="00275083" w:rsidRPr="00F018B8">
        <w:rPr>
          <w:color w:val="000000" w:themeColor="text1"/>
          <w:szCs w:val="24"/>
        </w:rPr>
        <w:t>h</w:t>
      </w:r>
      <w:r w:rsidR="001E4BE4" w:rsidRPr="00F018B8">
        <w:rPr>
          <w:color w:val="000000" w:themeColor="text1"/>
          <w:szCs w:val="24"/>
        </w:rPr>
        <w:t>yperlipidemia</w:t>
      </w:r>
      <w:proofErr w:type="spellEnd"/>
      <w:r w:rsidR="001E4BE4" w:rsidRPr="00F018B8">
        <w:rPr>
          <w:color w:val="000000" w:themeColor="text1"/>
          <w:szCs w:val="24"/>
        </w:rPr>
        <w:t xml:space="preserve"> and hypertension.  </w:t>
      </w:r>
      <w:r w:rsidR="009969D2" w:rsidRPr="00F018B8">
        <w:rPr>
          <w:color w:val="000000" w:themeColor="text1"/>
          <w:szCs w:val="24"/>
        </w:rPr>
        <w:t xml:space="preserve">The sciatica condition was included in the above discussion.  </w:t>
      </w:r>
      <w:r w:rsidR="008C3223" w:rsidRPr="00F018B8">
        <w:rPr>
          <w:color w:val="000000" w:themeColor="text1"/>
          <w:szCs w:val="24"/>
        </w:rPr>
        <w:t>None</w:t>
      </w:r>
      <w:r w:rsidR="008C3223" w:rsidRPr="001E4BE4">
        <w:rPr>
          <w:color w:val="000000" w:themeColor="text1"/>
          <w:szCs w:val="24"/>
        </w:rPr>
        <w:t xml:space="preserve"> of the</w:t>
      </w:r>
      <w:r w:rsidR="009969D2">
        <w:rPr>
          <w:color w:val="000000" w:themeColor="text1"/>
          <w:szCs w:val="24"/>
        </w:rPr>
        <w:t xml:space="preserve"> remaining </w:t>
      </w:r>
      <w:r w:rsidR="008C3223" w:rsidRPr="001E4BE4">
        <w:rPr>
          <w:color w:val="000000" w:themeColor="text1"/>
          <w:szCs w:val="24"/>
        </w:rPr>
        <w:t xml:space="preserve">conditions were profiled, implicated in the </w:t>
      </w:r>
      <w:r w:rsidR="0080588E" w:rsidRPr="001E4BE4">
        <w:rPr>
          <w:color w:val="000000" w:themeColor="text1"/>
          <w:szCs w:val="24"/>
        </w:rPr>
        <w:t>c</w:t>
      </w:r>
      <w:r w:rsidR="008C3223" w:rsidRPr="001E4BE4">
        <w:rPr>
          <w:color w:val="000000" w:themeColor="text1"/>
          <w:szCs w:val="24"/>
        </w:rPr>
        <w:t>ommander’s statement or noted as failing retention standards.  All were</w:t>
      </w:r>
      <w:r w:rsidR="008C3223" w:rsidRPr="001F29F9">
        <w:rPr>
          <w:color w:val="000000" w:themeColor="text1"/>
          <w:szCs w:val="24"/>
        </w:rPr>
        <w:t xml:space="preserve"> reviewed by the </w:t>
      </w:r>
      <w:r w:rsidR="0080588E" w:rsidRPr="001F29F9">
        <w:rPr>
          <w:color w:val="000000" w:themeColor="text1"/>
          <w:szCs w:val="24"/>
        </w:rPr>
        <w:t xml:space="preserve">action officer </w:t>
      </w:r>
      <w:r w:rsidR="008C3223" w:rsidRPr="001F29F9">
        <w:rPr>
          <w:color w:val="000000" w:themeColor="text1"/>
          <w:szCs w:val="24"/>
        </w:rPr>
        <w:t xml:space="preserve">and considered by the Board.  </w:t>
      </w:r>
      <w:r w:rsidR="00DC0E5D">
        <w:rPr>
          <w:color w:val="000000" w:themeColor="text1"/>
          <w:szCs w:val="24"/>
        </w:rPr>
        <w:t>The left hip ROMs were mildly reduced, without evidence of pain</w:t>
      </w:r>
      <w:r w:rsidR="00070DB1">
        <w:rPr>
          <w:color w:val="000000" w:themeColor="text1"/>
          <w:szCs w:val="24"/>
        </w:rPr>
        <w:t xml:space="preserve">, and thus non-compensable during the VA exam.  </w:t>
      </w:r>
      <w:r w:rsidR="00070DB1" w:rsidRPr="00070DB1">
        <w:rPr>
          <w:color w:val="000000" w:themeColor="text1"/>
          <w:szCs w:val="24"/>
        </w:rPr>
        <w:t xml:space="preserve">Although it is possible that impairment from </w:t>
      </w:r>
      <w:r w:rsidR="00BC1C9C">
        <w:rPr>
          <w:color w:val="000000" w:themeColor="text1"/>
          <w:szCs w:val="24"/>
        </w:rPr>
        <w:t xml:space="preserve">the </w:t>
      </w:r>
      <w:r w:rsidR="00070DB1">
        <w:rPr>
          <w:color w:val="000000" w:themeColor="text1"/>
          <w:szCs w:val="24"/>
        </w:rPr>
        <w:t>left hip and/or foot c</w:t>
      </w:r>
      <w:r w:rsidR="00070DB1" w:rsidRPr="00070DB1">
        <w:rPr>
          <w:color w:val="000000" w:themeColor="text1"/>
          <w:szCs w:val="24"/>
        </w:rPr>
        <w:t xml:space="preserve">ondition was overshadowed by </w:t>
      </w:r>
      <w:r w:rsidR="00070DB1">
        <w:rPr>
          <w:color w:val="000000" w:themeColor="text1"/>
          <w:szCs w:val="24"/>
        </w:rPr>
        <w:t>the lumbar spine c</w:t>
      </w:r>
      <w:r w:rsidR="00070DB1" w:rsidRPr="00070DB1">
        <w:rPr>
          <w:color w:val="000000" w:themeColor="text1"/>
          <w:szCs w:val="24"/>
        </w:rPr>
        <w:t>ondition, that possibility is unduly speculative as the basis for a Board fitness recommendation</w:t>
      </w:r>
      <w:r w:rsidR="00070DB1">
        <w:rPr>
          <w:color w:val="000000" w:themeColor="text1"/>
          <w:szCs w:val="24"/>
        </w:rPr>
        <w:t xml:space="preserve">. </w:t>
      </w:r>
      <w:r w:rsidR="00070DB1" w:rsidRPr="00070DB1">
        <w:rPr>
          <w:color w:val="000000" w:themeColor="text1"/>
          <w:szCs w:val="24"/>
        </w:rPr>
        <w:t xml:space="preserve"> </w:t>
      </w:r>
      <w:proofErr w:type="spellStart"/>
      <w:r w:rsidR="00DC0E5D">
        <w:rPr>
          <w:color w:val="000000" w:themeColor="text1"/>
          <w:szCs w:val="24"/>
        </w:rPr>
        <w:t>Alport</w:t>
      </w:r>
      <w:proofErr w:type="spellEnd"/>
      <w:r w:rsidR="00DC0E5D">
        <w:rPr>
          <w:color w:val="000000" w:themeColor="text1"/>
          <w:szCs w:val="24"/>
        </w:rPr>
        <w:t xml:space="preserve"> syndrome, an inherited form of kidney inflammation, was associated with blood in the urine and possibly hypertension in this case, but was not associated with any documented functional impairment.  </w:t>
      </w:r>
      <w:proofErr w:type="spellStart"/>
      <w:r w:rsidR="00070DB1">
        <w:rPr>
          <w:color w:val="000000" w:themeColor="text1"/>
          <w:szCs w:val="24"/>
        </w:rPr>
        <w:t>Hyperlipidemia</w:t>
      </w:r>
      <w:proofErr w:type="spellEnd"/>
      <w:r w:rsidR="00070DB1">
        <w:rPr>
          <w:color w:val="000000" w:themeColor="text1"/>
          <w:szCs w:val="24"/>
        </w:rPr>
        <w:t xml:space="preserve"> is a laboratory finding, not a disability</w:t>
      </w:r>
      <w:r w:rsidR="00BC1C9C">
        <w:rPr>
          <w:color w:val="000000" w:themeColor="text1"/>
          <w:szCs w:val="24"/>
        </w:rPr>
        <w:t xml:space="preserve"> IAW </w:t>
      </w:r>
      <w:proofErr w:type="spellStart"/>
      <w:r w:rsidR="00BC1C9C">
        <w:rPr>
          <w:color w:val="000000" w:themeColor="text1"/>
          <w:szCs w:val="24"/>
        </w:rPr>
        <w:t>DoDI</w:t>
      </w:r>
      <w:proofErr w:type="spellEnd"/>
      <w:r w:rsidR="00BC1C9C">
        <w:rPr>
          <w:color w:val="000000" w:themeColor="text1"/>
          <w:szCs w:val="24"/>
        </w:rPr>
        <w:t xml:space="preserve"> 1332.38</w:t>
      </w:r>
      <w:r w:rsidR="00070DB1">
        <w:rPr>
          <w:color w:val="000000" w:themeColor="text1"/>
          <w:szCs w:val="24"/>
        </w:rPr>
        <w:t xml:space="preserve">.  The CI’s hypertension was well-controlled with medications.  </w:t>
      </w:r>
      <w:r w:rsidR="008C3223" w:rsidRPr="001F29F9">
        <w:rPr>
          <w:color w:val="000000" w:themeColor="text1"/>
          <w:szCs w:val="24"/>
        </w:rPr>
        <w:t xml:space="preserve">There was no indication from the record that any of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w:t>
      </w:r>
      <w:proofErr w:type="spellStart"/>
      <w:r w:rsidR="008C3223" w:rsidRPr="001F29F9">
        <w:rPr>
          <w:color w:val="000000" w:themeColor="text1"/>
          <w:szCs w:val="24"/>
        </w:rPr>
        <w:t>recharacterization</w:t>
      </w:r>
      <w:proofErr w:type="spellEnd"/>
      <w:r w:rsidR="008C3223" w:rsidRPr="001F29F9">
        <w:rPr>
          <w:color w:val="000000" w:themeColor="text1"/>
          <w:szCs w:val="24"/>
        </w:rPr>
        <w:t xml:space="preserve"> of the PEB fitness adjudication for any of the stated conditions.</w:t>
      </w:r>
      <w:r w:rsidR="00F018B8">
        <w:rPr>
          <w:color w:val="000000" w:themeColor="text1"/>
          <w:szCs w:val="24"/>
        </w:rPr>
        <w:t xml:space="preserve">  </w:t>
      </w:r>
    </w:p>
    <w:p w:rsidR="008C3223" w:rsidRPr="001F29F9" w:rsidRDefault="008C3223" w:rsidP="005E3A5F">
      <w:pPr>
        <w:jc w:val="both"/>
        <w:rPr>
          <w:color w:val="000000" w:themeColor="text1"/>
          <w:szCs w:val="24"/>
        </w:rPr>
      </w:pPr>
    </w:p>
    <w:p w:rsidR="00070DB1" w:rsidRPr="00EC337D" w:rsidRDefault="00EC337D" w:rsidP="00070DB1">
      <w:pPr>
        <w:jc w:val="both"/>
        <w:rPr>
          <w:rFonts w:asciiTheme="minorHAnsi" w:hAnsiTheme="minorHAnsi"/>
          <w:color w:val="auto"/>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w:t>
      </w:r>
      <w:r w:rsidRPr="00F018B8">
        <w:rPr>
          <w:rFonts w:eastAsia="HiddenHorzOCR"/>
          <w:color w:val="000000" w:themeColor="text1"/>
          <w:szCs w:val="24"/>
        </w:rPr>
        <w:t xml:space="preserve">considered for </w:t>
      </w:r>
      <w:r w:rsidR="006D292F" w:rsidRPr="00F018B8">
        <w:rPr>
          <w:rFonts w:eastAsia="HiddenHorzOCR"/>
          <w:color w:val="000000" w:themeColor="text1"/>
          <w:szCs w:val="24"/>
        </w:rPr>
        <w:t>“</w:t>
      </w:r>
      <w:r w:rsidR="001E4BE4" w:rsidRPr="00F018B8">
        <w:rPr>
          <w:rFonts w:eastAsia="HiddenHorzOCR"/>
          <w:color w:val="000000" w:themeColor="text1"/>
          <w:szCs w:val="24"/>
        </w:rPr>
        <w:t>12 elements</w:t>
      </w:r>
      <w:r w:rsidR="006D292F" w:rsidRPr="00F018B8">
        <w:rPr>
          <w:rFonts w:eastAsia="HiddenHorzOCR"/>
          <w:color w:val="000000" w:themeColor="text1"/>
          <w:szCs w:val="24"/>
        </w:rPr>
        <w:t>”</w:t>
      </w:r>
      <w:r w:rsidR="001E4BE4" w:rsidRPr="00F018B8">
        <w:rPr>
          <w:rFonts w:eastAsia="HiddenHorzOCR"/>
          <w:color w:val="000000" w:themeColor="text1"/>
          <w:szCs w:val="24"/>
        </w:rPr>
        <w:t xml:space="preserve"> that were not identified.  </w:t>
      </w:r>
      <w:r w:rsidR="00275083" w:rsidRPr="00F018B8">
        <w:rPr>
          <w:rFonts w:eastAsia="HiddenHorzOCR"/>
          <w:color w:val="000000" w:themeColor="text1"/>
          <w:szCs w:val="24"/>
        </w:rPr>
        <w:t xml:space="preserve">Because the CI’s original VA rating decision </w:t>
      </w:r>
      <w:r w:rsidR="00D759E3">
        <w:rPr>
          <w:rFonts w:eastAsia="HiddenHorzOCR"/>
          <w:color w:val="000000" w:themeColor="text1"/>
          <w:szCs w:val="24"/>
        </w:rPr>
        <w:t xml:space="preserve">(VARD) </w:t>
      </w:r>
      <w:r w:rsidR="00275083" w:rsidRPr="00F018B8">
        <w:rPr>
          <w:rFonts w:eastAsia="HiddenHorzOCR"/>
          <w:color w:val="000000" w:themeColor="text1"/>
          <w:szCs w:val="24"/>
        </w:rPr>
        <w:t>contained 12 diagnoses, includ</w:t>
      </w:r>
      <w:r w:rsidR="003A4ACF">
        <w:rPr>
          <w:rFonts w:eastAsia="HiddenHorzOCR"/>
          <w:color w:val="000000" w:themeColor="text1"/>
          <w:szCs w:val="24"/>
        </w:rPr>
        <w:t>ing those that were not service-</w:t>
      </w:r>
      <w:r w:rsidR="00275083" w:rsidRPr="00F018B8">
        <w:rPr>
          <w:rFonts w:eastAsia="HiddenHorzOCR"/>
          <w:color w:val="000000" w:themeColor="text1"/>
          <w:szCs w:val="24"/>
        </w:rPr>
        <w:t xml:space="preserve">connected (NSC) or deferred, the Board assumed </w:t>
      </w:r>
      <w:r w:rsidR="00BC1C9C" w:rsidRPr="00F018B8">
        <w:rPr>
          <w:rFonts w:eastAsia="HiddenHorzOCR"/>
          <w:color w:val="000000" w:themeColor="text1"/>
          <w:szCs w:val="24"/>
        </w:rPr>
        <w:t xml:space="preserve">that </w:t>
      </w:r>
      <w:r w:rsidR="00275083" w:rsidRPr="00F018B8">
        <w:rPr>
          <w:rFonts w:eastAsia="HiddenHorzOCR"/>
          <w:color w:val="000000" w:themeColor="text1"/>
          <w:szCs w:val="24"/>
        </w:rPr>
        <w:t>those were the 12 “elements” to which the CI referred.  Those conditions were</w:t>
      </w:r>
      <w:r w:rsidR="00070DB1" w:rsidRPr="00F018B8">
        <w:rPr>
          <w:rFonts w:eastAsia="HiddenHorzOCR"/>
          <w:color w:val="000000" w:themeColor="text1"/>
          <w:szCs w:val="24"/>
        </w:rPr>
        <w:t xml:space="preserve"> addressed above, except for </w:t>
      </w:r>
      <w:r w:rsidR="006D292F" w:rsidRPr="00F018B8">
        <w:rPr>
          <w:rFonts w:eastAsia="HiddenHorzOCR"/>
          <w:color w:val="000000" w:themeColor="text1"/>
          <w:szCs w:val="24"/>
        </w:rPr>
        <w:t>degenerative joint disease of both knees</w:t>
      </w:r>
      <w:r w:rsidR="002B63B4" w:rsidRPr="00F018B8">
        <w:rPr>
          <w:rFonts w:eastAsia="HiddenHorzOCR"/>
          <w:color w:val="000000" w:themeColor="text1"/>
          <w:szCs w:val="24"/>
        </w:rPr>
        <w:t xml:space="preserve"> (VA 0% each)</w:t>
      </w:r>
      <w:r w:rsidR="00070DB1" w:rsidRPr="00F018B8">
        <w:rPr>
          <w:rFonts w:eastAsia="HiddenHorzOCR"/>
          <w:color w:val="000000" w:themeColor="text1"/>
          <w:szCs w:val="24"/>
        </w:rPr>
        <w:t xml:space="preserve">, </w:t>
      </w:r>
      <w:r w:rsidR="006D292F" w:rsidRPr="00F018B8">
        <w:rPr>
          <w:rFonts w:eastAsia="HiddenHorzOCR"/>
          <w:color w:val="000000" w:themeColor="text1"/>
          <w:szCs w:val="24"/>
        </w:rPr>
        <w:t>fracture of the tip of the distal tibia</w:t>
      </w:r>
      <w:r w:rsidR="002B63B4" w:rsidRPr="00F018B8">
        <w:rPr>
          <w:rFonts w:eastAsia="HiddenHorzOCR"/>
          <w:color w:val="000000" w:themeColor="text1"/>
          <w:szCs w:val="24"/>
        </w:rPr>
        <w:t xml:space="preserve"> (VA 0%)</w:t>
      </w:r>
      <w:r w:rsidR="00070DB1" w:rsidRPr="00F018B8">
        <w:rPr>
          <w:rFonts w:eastAsia="HiddenHorzOCR"/>
          <w:color w:val="000000" w:themeColor="text1"/>
          <w:szCs w:val="24"/>
        </w:rPr>
        <w:t xml:space="preserve">, </w:t>
      </w:r>
      <w:r w:rsidR="006D292F" w:rsidRPr="00F018B8">
        <w:rPr>
          <w:rFonts w:eastAsia="HiddenHorzOCR"/>
          <w:color w:val="000000" w:themeColor="text1"/>
          <w:szCs w:val="24"/>
        </w:rPr>
        <w:t>recurrent sinusitis</w:t>
      </w:r>
      <w:r w:rsidR="002B63B4" w:rsidRPr="00F018B8">
        <w:rPr>
          <w:rFonts w:eastAsia="HiddenHorzOCR"/>
          <w:color w:val="000000" w:themeColor="text1"/>
          <w:szCs w:val="24"/>
        </w:rPr>
        <w:t xml:space="preserve"> (VA 0%)</w:t>
      </w:r>
      <w:r w:rsidR="00070DB1" w:rsidRPr="00F018B8">
        <w:rPr>
          <w:rFonts w:eastAsia="HiddenHorzOCR"/>
          <w:color w:val="000000" w:themeColor="text1"/>
          <w:szCs w:val="24"/>
        </w:rPr>
        <w:t xml:space="preserve">, </w:t>
      </w:r>
      <w:r w:rsidR="006D292F" w:rsidRPr="00F018B8">
        <w:rPr>
          <w:rFonts w:eastAsia="HiddenHorzOCR"/>
          <w:color w:val="000000" w:themeColor="text1"/>
          <w:szCs w:val="24"/>
        </w:rPr>
        <w:t>allergic rhinitis</w:t>
      </w:r>
      <w:r w:rsidR="002B63B4" w:rsidRPr="00F018B8">
        <w:rPr>
          <w:rFonts w:eastAsia="HiddenHorzOCR"/>
          <w:color w:val="000000" w:themeColor="text1"/>
          <w:szCs w:val="24"/>
        </w:rPr>
        <w:t xml:space="preserve"> (VA 0%)</w:t>
      </w:r>
      <w:r w:rsidR="00070DB1" w:rsidRPr="00F018B8">
        <w:rPr>
          <w:rFonts w:eastAsia="HiddenHorzOCR"/>
          <w:color w:val="000000" w:themeColor="text1"/>
          <w:szCs w:val="24"/>
        </w:rPr>
        <w:t>,</w:t>
      </w:r>
      <w:r w:rsidR="006D292F" w:rsidRPr="00F018B8">
        <w:rPr>
          <w:rFonts w:eastAsia="HiddenHorzOCR"/>
          <w:color w:val="000000" w:themeColor="text1"/>
          <w:szCs w:val="24"/>
        </w:rPr>
        <w:t xml:space="preserve"> and right middle finger laceration (VA </w:t>
      </w:r>
      <w:r w:rsidR="00B66F88" w:rsidRPr="00F018B8">
        <w:rPr>
          <w:rFonts w:eastAsia="HiddenHorzOCR"/>
          <w:color w:val="000000" w:themeColor="text1"/>
          <w:szCs w:val="24"/>
        </w:rPr>
        <w:t>NSC</w:t>
      </w:r>
      <w:r w:rsidR="006D292F" w:rsidRPr="00F018B8">
        <w:rPr>
          <w:rFonts w:eastAsia="HiddenHorzOCR"/>
          <w:color w:val="000000" w:themeColor="text1"/>
          <w:szCs w:val="24"/>
        </w:rPr>
        <w:t>).</w:t>
      </w:r>
      <w:r w:rsidR="00023920" w:rsidRPr="00F018B8">
        <w:rPr>
          <w:rFonts w:eastAsia="HiddenHorzOCR"/>
          <w:color w:val="000000" w:themeColor="text1"/>
          <w:szCs w:val="24"/>
        </w:rPr>
        <w:t xml:space="preserve">  </w:t>
      </w:r>
      <w:r w:rsidR="00070DB1" w:rsidRPr="00F018B8">
        <w:rPr>
          <w:rFonts w:asciiTheme="minorHAnsi" w:eastAsia="HiddenHorzOCR" w:hAnsiTheme="minorHAnsi"/>
          <w:color w:val="auto"/>
          <w:szCs w:val="24"/>
        </w:rPr>
        <w:t>All</w:t>
      </w:r>
      <w:r w:rsidR="00070DB1" w:rsidRPr="00F018B8">
        <w:t xml:space="preserve"> </w:t>
      </w:r>
      <w:r w:rsidR="00070DB1" w:rsidRPr="00F018B8">
        <w:rPr>
          <w:rFonts w:asciiTheme="minorHAnsi" w:hAnsiTheme="minorHAnsi"/>
          <w:color w:val="auto"/>
          <w:szCs w:val="24"/>
        </w:rPr>
        <w:t>of these conditions were reviewed by the action officer and considered by the Board.  There</w:t>
      </w:r>
      <w:r w:rsidR="00070DB1" w:rsidRPr="00711350">
        <w:rPr>
          <w:rFonts w:asciiTheme="minorHAnsi" w:hAnsiTheme="minorHAnsi"/>
          <w:color w:val="auto"/>
          <w:szCs w:val="24"/>
        </w:rPr>
        <w:t xml:space="preserve"> was no evidence for concluding that any of the conditions interfered with duty performance to a degree that could be argued as unfitting.  The Board determined therefore that none of the sta</w:t>
      </w:r>
      <w:r w:rsidR="00D759E3">
        <w:rPr>
          <w:rFonts w:asciiTheme="minorHAnsi" w:hAnsiTheme="minorHAnsi"/>
          <w:color w:val="auto"/>
          <w:szCs w:val="24"/>
        </w:rPr>
        <w:t>ted conditions were subject to s</w:t>
      </w:r>
      <w:r w:rsidR="00070DB1" w:rsidRPr="00711350">
        <w:rPr>
          <w:rFonts w:asciiTheme="minorHAnsi" w:hAnsiTheme="minorHAnsi"/>
          <w:color w:val="auto"/>
          <w:szCs w:val="24"/>
        </w:rPr>
        <w:t>ervice disability rating.</w:t>
      </w:r>
      <w:r w:rsidR="00F018B8">
        <w:rPr>
          <w:rFonts w:asciiTheme="minorHAnsi" w:hAnsiTheme="minorHAnsi"/>
          <w:color w:val="auto"/>
          <w:szCs w:val="24"/>
        </w:rPr>
        <w:t xml:space="preserve">  </w:t>
      </w:r>
    </w:p>
    <w:p w:rsidR="00EC337D" w:rsidRPr="001F29F9" w:rsidRDefault="00EC337D" w:rsidP="005E3A5F">
      <w:pPr>
        <w:jc w:val="both"/>
        <w:rPr>
          <w:color w:val="000000" w:themeColor="text1"/>
          <w:szCs w:val="24"/>
        </w:rPr>
      </w:pPr>
    </w:p>
    <w:p w:rsidR="00A02AA8" w:rsidRPr="001F29F9" w:rsidRDefault="003C5B54" w:rsidP="005E3A5F">
      <w:pPr>
        <w:jc w:val="both"/>
        <w:rPr>
          <w:color w:val="000000" w:themeColor="text1"/>
          <w:szCs w:val="24"/>
        </w:rPr>
      </w:pPr>
      <w:proofErr w:type="gramStart"/>
      <w:r w:rsidRPr="0066556A">
        <w:rPr>
          <w:color w:val="000000" w:themeColor="text1"/>
          <w:szCs w:val="24"/>
          <w:u w:val="single"/>
        </w:rPr>
        <w:lastRenderedPageBreak/>
        <w:t>Remaining Conditions</w:t>
      </w:r>
      <w:r w:rsidRPr="00BC1C9C">
        <w:rPr>
          <w:color w:val="000000" w:themeColor="text1"/>
          <w:szCs w:val="24"/>
        </w:rPr>
        <w:t>.</w:t>
      </w:r>
      <w:proofErr w:type="gramEnd"/>
      <w:r w:rsidRPr="0066556A">
        <w:rPr>
          <w:color w:val="000000" w:themeColor="text1"/>
          <w:szCs w:val="24"/>
        </w:rPr>
        <w:t xml:space="preserve">  </w:t>
      </w:r>
      <w:r w:rsidR="00A02AA8" w:rsidRPr="0066556A">
        <w:rPr>
          <w:color w:val="000000" w:themeColor="text1"/>
          <w:szCs w:val="24"/>
        </w:rPr>
        <w:t xml:space="preserve">Other conditions identified in the DES file </w:t>
      </w:r>
      <w:r w:rsidR="00A02AA8" w:rsidRPr="00F018B8">
        <w:rPr>
          <w:color w:val="000000" w:themeColor="text1"/>
          <w:szCs w:val="24"/>
        </w:rPr>
        <w:t xml:space="preserve">were </w:t>
      </w:r>
      <w:r w:rsidR="00357D33" w:rsidRPr="00F018B8">
        <w:rPr>
          <w:color w:val="000000" w:themeColor="text1"/>
          <w:szCs w:val="24"/>
        </w:rPr>
        <w:t xml:space="preserve">cyst of right side of neck, frequent urination, frequent trouble sleeping (attributed to back pain), changes in menstrual pattern </w:t>
      </w:r>
      <w:r w:rsidR="003C5B65" w:rsidRPr="00F018B8">
        <w:rPr>
          <w:color w:val="000000" w:themeColor="text1"/>
          <w:szCs w:val="24"/>
        </w:rPr>
        <w:t>(</w:t>
      </w:r>
      <w:r w:rsidR="00357D33" w:rsidRPr="00F018B8">
        <w:rPr>
          <w:color w:val="000000" w:themeColor="text1"/>
          <w:szCs w:val="24"/>
        </w:rPr>
        <w:t>with heavy flow</w:t>
      </w:r>
      <w:r w:rsidR="003C5B65" w:rsidRPr="00F018B8">
        <w:rPr>
          <w:color w:val="000000" w:themeColor="text1"/>
          <w:szCs w:val="24"/>
        </w:rPr>
        <w:t>)</w:t>
      </w:r>
      <w:r w:rsidR="00357D33" w:rsidRPr="00F018B8">
        <w:rPr>
          <w:color w:val="000000" w:themeColor="text1"/>
          <w:szCs w:val="24"/>
        </w:rPr>
        <w:t>, and a history of renal biopsy</w:t>
      </w:r>
      <w:r w:rsidR="00A02AA8" w:rsidRPr="00F018B8">
        <w:rPr>
          <w:color w:val="000000" w:themeColor="text1"/>
          <w:szCs w:val="24"/>
        </w:rPr>
        <w:t xml:space="preserve">.  Several additional non-acute conditions or medical complaints were also documented.  None of these conditions were </w:t>
      </w:r>
      <w:r w:rsidR="00023920" w:rsidRPr="00F018B8">
        <w:rPr>
          <w:color w:val="000000" w:themeColor="text1"/>
          <w:szCs w:val="24"/>
        </w:rPr>
        <w:t xml:space="preserve">occupationally </w:t>
      </w:r>
      <w:r w:rsidR="00A02AA8" w:rsidRPr="00F018B8">
        <w:rPr>
          <w:color w:val="000000" w:themeColor="text1"/>
          <w:szCs w:val="24"/>
        </w:rPr>
        <w:t>significant during the MEB period</w:t>
      </w:r>
      <w:r w:rsidR="0080588E" w:rsidRPr="00F018B8">
        <w:rPr>
          <w:color w:val="000000" w:themeColor="text1"/>
          <w:szCs w:val="24"/>
        </w:rPr>
        <w:t>,</w:t>
      </w:r>
      <w:r w:rsidR="00A02AA8" w:rsidRPr="00F018B8">
        <w:rPr>
          <w:color w:val="000000" w:themeColor="text1"/>
          <w:szCs w:val="24"/>
        </w:rPr>
        <w:t xml:space="preserve"> none carried</w:t>
      </w:r>
      <w:r w:rsidR="00A02AA8" w:rsidRPr="0066556A">
        <w:rPr>
          <w:color w:val="000000" w:themeColor="text1"/>
          <w:szCs w:val="24"/>
        </w:rPr>
        <w:t xml:space="preserve"> attached profiles</w:t>
      </w:r>
      <w:r w:rsidR="0080588E" w:rsidRPr="0066556A">
        <w:rPr>
          <w:color w:val="000000" w:themeColor="text1"/>
          <w:szCs w:val="24"/>
        </w:rPr>
        <w:t>,</w:t>
      </w:r>
      <w:r w:rsidR="00A02AA8" w:rsidRPr="0066556A">
        <w:rPr>
          <w:color w:val="000000" w:themeColor="text1"/>
          <w:szCs w:val="24"/>
        </w:rPr>
        <w:t xml:space="preserve"> and none were implicated in the </w:t>
      </w:r>
      <w:r w:rsidR="0080588E" w:rsidRPr="0066556A">
        <w:rPr>
          <w:color w:val="000000" w:themeColor="text1"/>
          <w:szCs w:val="24"/>
        </w:rPr>
        <w:t>c</w:t>
      </w:r>
      <w:r w:rsidR="00A02AA8" w:rsidRPr="0066556A">
        <w:rPr>
          <w:color w:val="000000" w:themeColor="text1"/>
          <w:szCs w:val="24"/>
        </w:rPr>
        <w:t>ommander’s statement.  These</w:t>
      </w:r>
      <w:r w:rsidR="00A02AA8" w:rsidRPr="001F29F9">
        <w:rPr>
          <w:color w:val="000000" w:themeColor="text1"/>
          <w:szCs w:val="24"/>
        </w:rPr>
        <w:t xml:space="preserve"> conditions were reviewed by the </w:t>
      </w:r>
      <w:r w:rsidR="0080588E" w:rsidRPr="001F29F9">
        <w:rPr>
          <w:color w:val="000000" w:themeColor="text1"/>
          <w:szCs w:val="24"/>
        </w:rPr>
        <w:t xml:space="preserve">action officer </w:t>
      </w:r>
      <w:r w:rsidR="00A02AA8" w:rsidRPr="001F29F9">
        <w:rPr>
          <w:color w:val="000000" w:themeColor="text1"/>
          <w:szCs w:val="24"/>
        </w:rPr>
        <w:t xml:space="preserve">and considered by the Board.  It was determined that none could be argued as unfitting and subject to separation rating.  </w:t>
      </w:r>
      <w:r w:rsidR="00023920" w:rsidRPr="00F6196E">
        <w:rPr>
          <w:rFonts w:asciiTheme="minorHAnsi" w:hAnsiTheme="minorHAnsi"/>
          <w:color w:val="auto"/>
          <w:szCs w:val="24"/>
        </w:rPr>
        <w:t>N</w:t>
      </w:r>
      <w:r w:rsidR="003A4ACF">
        <w:rPr>
          <w:rFonts w:asciiTheme="minorHAnsi" w:hAnsiTheme="minorHAnsi"/>
          <w:color w:val="auto"/>
          <w:szCs w:val="24"/>
        </w:rPr>
        <w:t>o other conditions were service-</w:t>
      </w:r>
      <w:r w:rsidR="00023920"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r w:rsidR="00F018B8">
        <w:rPr>
          <w:rFonts w:asciiTheme="minorHAnsi" w:hAnsiTheme="minorHAnsi"/>
          <w:color w:val="auto"/>
          <w:szCs w:val="24"/>
        </w:rPr>
        <w:t xml:space="preserve">  </w:t>
      </w:r>
    </w:p>
    <w:p w:rsidR="001031F4" w:rsidRPr="001F29F9" w:rsidRDefault="001031F4" w:rsidP="005E3A5F">
      <w:pPr>
        <w:pBdr>
          <w:bottom w:val="single" w:sz="12" w:space="1" w:color="auto"/>
        </w:pBdr>
        <w:tabs>
          <w:tab w:val="left" w:pos="288"/>
          <w:tab w:val="left" w:pos="4752"/>
        </w:tabs>
        <w:jc w:val="both"/>
        <w:rPr>
          <w:color w:val="000000" w:themeColor="text1"/>
        </w:rPr>
      </w:pPr>
    </w:p>
    <w:p w:rsidR="00F1737C" w:rsidRPr="001F29F9" w:rsidRDefault="00F1737C" w:rsidP="005E3A5F">
      <w:pPr>
        <w:jc w:val="both"/>
        <w:rPr>
          <w:color w:val="000000" w:themeColor="text1"/>
          <w:szCs w:val="24"/>
        </w:rPr>
      </w:pPr>
    </w:p>
    <w:p w:rsidR="00C84865" w:rsidRPr="00F018B8" w:rsidRDefault="00C56FC8" w:rsidP="00C84865">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t>
      </w:r>
      <w:r w:rsidRPr="00F018B8">
        <w:rPr>
          <w:rFonts w:eastAsiaTheme="minorHAnsi"/>
          <w:color w:val="000000" w:themeColor="text1"/>
          <w:szCs w:val="24"/>
        </w:rPr>
        <w:t>will not be considered by the Board to the extent they were inconsistent with the VASRD in effect at the time of the adjudication</w:t>
      </w:r>
      <w:r w:rsidR="003C53E8" w:rsidRPr="00F018B8">
        <w:rPr>
          <w:rFonts w:asciiTheme="minorHAnsi" w:eastAsiaTheme="minorHAnsi" w:hAnsiTheme="minorHAnsi" w:cs="Times New Roman"/>
          <w:color w:val="auto"/>
          <w:szCs w:val="24"/>
        </w:rPr>
        <w:t xml:space="preserve">. </w:t>
      </w:r>
      <w:r w:rsidR="00C84865" w:rsidRPr="00F018B8">
        <w:rPr>
          <w:rFonts w:asciiTheme="minorHAnsi" w:eastAsiaTheme="minorHAnsi" w:hAnsiTheme="minorHAnsi" w:cs="Times New Roman"/>
          <w:color w:val="auto"/>
          <w:szCs w:val="24"/>
        </w:rPr>
        <w:t xml:space="preserve"> </w:t>
      </w:r>
      <w:r w:rsidR="00C84865" w:rsidRPr="00F018B8">
        <w:rPr>
          <w:rFonts w:asciiTheme="minorHAnsi" w:eastAsiaTheme="minorHAnsi" w:hAnsiTheme="minorHAnsi"/>
          <w:color w:val="auto"/>
          <w:szCs w:val="24"/>
        </w:rPr>
        <w:t xml:space="preserve">The Board did not surmise from the record or PEB ruling in this case that any prerogatives outside the VASRD were exercised.  </w:t>
      </w:r>
      <w:r w:rsidR="009969D2" w:rsidRPr="00F018B8">
        <w:rPr>
          <w:rFonts w:asciiTheme="minorHAnsi" w:eastAsiaTheme="minorHAnsi" w:hAnsiTheme="minorHAnsi"/>
          <w:color w:val="auto"/>
          <w:szCs w:val="24"/>
        </w:rPr>
        <w:t xml:space="preserve">In the matter of the </w:t>
      </w:r>
      <w:proofErr w:type="spellStart"/>
      <w:r w:rsidR="009969D2" w:rsidRPr="00F018B8">
        <w:rPr>
          <w:rFonts w:asciiTheme="minorHAnsi" w:eastAsiaTheme="minorHAnsi" w:hAnsiTheme="minorHAnsi"/>
          <w:color w:val="auto"/>
          <w:szCs w:val="24"/>
        </w:rPr>
        <w:t>lumbosacral</w:t>
      </w:r>
      <w:proofErr w:type="spellEnd"/>
      <w:r w:rsidR="009969D2" w:rsidRPr="00F018B8">
        <w:rPr>
          <w:rFonts w:asciiTheme="minorHAnsi" w:eastAsiaTheme="minorHAnsi" w:hAnsiTheme="minorHAnsi"/>
          <w:color w:val="auto"/>
          <w:szCs w:val="24"/>
        </w:rPr>
        <w:t xml:space="preserve"> strain condition and </w:t>
      </w:r>
      <w:r w:rsidR="009969D2" w:rsidRPr="00F018B8">
        <w:rPr>
          <w:rFonts w:asciiTheme="minorHAnsi" w:hAnsiTheme="minorHAnsi"/>
          <w:color w:val="auto"/>
          <w:szCs w:val="24"/>
        </w:rPr>
        <w:t>IAW VASRD §4.71a</w:t>
      </w:r>
      <w:r w:rsidR="009969D2" w:rsidRPr="00F018B8">
        <w:rPr>
          <w:rFonts w:asciiTheme="minorHAnsi" w:eastAsiaTheme="minorHAnsi" w:hAnsiTheme="minorHAnsi"/>
          <w:color w:val="auto"/>
          <w:szCs w:val="24"/>
        </w:rPr>
        <w:t xml:space="preserve">, the Board unanimously recommends no change in the PEB </w:t>
      </w:r>
      <w:r w:rsidR="00017E4A" w:rsidRPr="00F018B8">
        <w:rPr>
          <w:rFonts w:asciiTheme="minorHAnsi" w:eastAsiaTheme="minorHAnsi" w:hAnsiTheme="minorHAnsi"/>
          <w:color w:val="auto"/>
          <w:szCs w:val="24"/>
        </w:rPr>
        <w:t xml:space="preserve">20% </w:t>
      </w:r>
      <w:r w:rsidR="009969D2" w:rsidRPr="00F018B8">
        <w:rPr>
          <w:rFonts w:asciiTheme="minorHAnsi" w:eastAsiaTheme="minorHAnsi" w:hAnsiTheme="minorHAnsi"/>
          <w:color w:val="auto"/>
          <w:szCs w:val="24"/>
        </w:rPr>
        <w:t>adjudication</w:t>
      </w:r>
      <w:r w:rsidR="009969D2" w:rsidRPr="00F018B8">
        <w:rPr>
          <w:rFonts w:asciiTheme="minorHAnsi" w:hAnsiTheme="minorHAnsi"/>
          <w:color w:val="auto"/>
          <w:szCs w:val="24"/>
        </w:rPr>
        <w:t xml:space="preserve">.  </w:t>
      </w:r>
      <w:r w:rsidR="00C84865" w:rsidRPr="00F018B8">
        <w:rPr>
          <w:rFonts w:asciiTheme="minorHAnsi" w:hAnsiTheme="minorHAnsi"/>
          <w:color w:val="auto"/>
          <w:szCs w:val="24"/>
        </w:rPr>
        <w:t xml:space="preserve">In the matter of the </w:t>
      </w:r>
      <w:r w:rsidR="002F1F42">
        <w:rPr>
          <w:color w:val="000000" w:themeColor="text1"/>
          <w:szCs w:val="24"/>
        </w:rPr>
        <w:t>left-</w:t>
      </w:r>
      <w:r w:rsidR="00B66F88" w:rsidRPr="00F018B8">
        <w:rPr>
          <w:color w:val="000000" w:themeColor="text1"/>
          <w:szCs w:val="24"/>
        </w:rPr>
        <w:t xml:space="preserve">sided sciatica, left hip greater </w:t>
      </w:r>
      <w:proofErr w:type="spellStart"/>
      <w:r w:rsidR="00B66F88" w:rsidRPr="00F018B8">
        <w:rPr>
          <w:color w:val="000000" w:themeColor="text1"/>
          <w:szCs w:val="24"/>
        </w:rPr>
        <w:t>trochanteric</w:t>
      </w:r>
      <w:proofErr w:type="spellEnd"/>
      <w:r w:rsidR="00B66F88" w:rsidRPr="00F018B8">
        <w:rPr>
          <w:color w:val="000000" w:themeColor="text1"/>
          <w:szCs w:val="24"/>
        </w:rPr>
        <w:t xml:space="preserve"> bursitis, left </w:t>
      </w:r>
      <w:proofErr w:type="spellStart"/>
      <w:r w:rsidR="00B66F88" w:rsidRPr="00F018B8">
        <w:rPr>
          <w:color w:val="000000" w:themeColor="text1"/>
          <w:szCs w:val="24"/>
        </w:rPr>
        <w:t>cuboid</w:t>
      </w:r>
      <w:proofErr w:type="spellEnd"/>
      <w:r w:rsidR="00B66F88" w:rsidRPr="00F018B8">
        <w:rPr>
          <w:color w:val="000000" w:themeColor="text1"/>
          <w:szCs w:val="24"/>
        </w:rPr>
        <w:t xml:space="preserve"> bone fracture, </w:t>
      </w:r>
      <w:proofErr w:type="spellStart"/>
      <w:r w:rsidR="00B66F88" w:rsidRPr="00F018B8">
        <w:rPr>
          <w:color w:val="000000" w:themeColor="text1"/>
          <w:szCs w:val="24"/>
        </w:rPr>
        <w:t>Alport’s</w:t>
      </w:r>
      <w:proofErr w:type="spellEnd"/>
      <w:r w:rsidR="00B66F88" w:rsidRPr="00F018B8">
        <w:rPr>
          <w:color w:val="000000" w:themeColor="text1"/>
          <w:szCs w:val="24"/>
        </w:rPr>
        <w:t xml:space="preserve"> syndrome, </w:t>
      </w:r>
      <w:proofErr w:type="spellStart"/>
      <w:r w:rsidR="00B66F88" w:rsidRPr="00F018B8">
        <w:rPr>
          <w:color w:val="000000" w:themeColor="text1"/>
          <w:szCs w:val="24"/>
        </w:rPr>
        <w:t>hyperlipidemia</w:t>
      </w:r>
      <w:proofErr w:type="spellEnd"/>
      <w:r w:rsidR="00B66F88" w:rsidRPr="00F018B8">
        <w:rPr>
          <w:color w:val="000000" w:themeColor="text1"/>
          <w:szCs w:val="24"/>
        </w:rPr>
        <w:t>, and hypertension</w:t>
      </w:r>
      <w:r w:rsidR="00B66F88" w:rsidRPr="00F018B8">
        <w:rPr>
          <w:rFonts w:asciiTheme="minorHAnsi" w:hAnsiTheme="minorHAnsi"/>
          <w:color w:val="auto"/>
          <w:szCs w:val="24"/>
        </w:rPr>
        <w:t xml:space="preserve"> </w:t>
      </w:r>
      <w:r w:rsidR="00C84865" w:rsidRPr="00F018B8">
        <w:rPr>
          <w:rFonts w:asciiTheme="minorHAnsi" w:hAnsiTheme="minorHAnsi"/>
          <w:color w:val="auto"/>
          <w:szCs w:val="24"/>
        </w:rPr>
        <w:t>conditions, the Board unanimously recommends no change from the PEB adjudications as not unfitting.</w:t>
      </w:r>
      <w:r w:rsidR="00F018B8" w:rsidRPr="00F018B8">
        <w:rPr>
          <w:rFonts w:asciiTheme="minorHAnsi" w:hAnsiTheme="minorHAnsi"/>
          <w:color w:val="auto"/>
          <w:szCs w:val="24"/>
        </w:rPr>
        <w:t xml:space="preserve">  </w:t>
      </w:r>
      <w:r w:rsidR="00C84865" w:rsidRPr="00F018B8">
        <w:rPr>
          <w:rFonts w:asciiTheme="minorHAnsi" w:hAnsiTheme="minorHAnsi"/>
          <w:color w:val="auto"/>
          <w:szCs w:val="24"/>
        </w:rPr>
        <w:t>In the matter of any other medical conditions eligible for Board consideration; the Board unanimously agrees that it cannot</w:t>
      </w:r>
      <w:r w:rsidR="00C84865" w:rsidRPr="00F018B8">
        <w:rPr>
          <w:rFonts w:asciiTheme="minorHAnsi" w:hAnsiTheme="minorHAnsi"/>
          <w:color w:val="000080"/>
          <w:szCs w:val="24"/>
        </w:rPr>
        <w:t xml:space="preserve"> </w:t>
      </w:r>
      <w:r w:rsidR="00C84865" w:rsidRPr="00F018B8">
        <w:rPr>
          <w:rFonts w:asciiTheme="minorHAnsi" w:hAnsiTheme="minorHAnsi"/>
          <w:color w:val="auto"/>
          <w:szCs w:val="24"/>
        </w:rPr>
        <w:t>recommend any findings of unfit for additional rating at separation.</w:t>
      </w:r>
    </w:p>
    <w:p w:rsidR="00F1737C" w:rsidRPr="00F018B8" w:rsidRDefault="00F1737C" w:rsidP="005E3A5F">
      <w:pPr>
        <w:pBdr>
          <w:bottom w:val="single" w:sz="12" w:space="1" w:color="auto"/>
        </w:pBdr>
        <w:tabs>
          <w:tab w:val="left" w:pos="288"/>
          <w:tab w:val="left" w:pos="4752"/>
        </w:tabs>
        <w:jc w:val="both"/>
        <w:rPr>
          <w:color w:val="000000" w:themeColor="text1"/>
        </w:rPr>
      </w:pPr>
    </w:p>
    <w:p w:rsidR="00F1737C" w:rsidRPr="00F018B8" w:rsidRDefault="00F1737C" w:rsidP="006364ED">
      <w:pPr>
        <w:jc w:val="left"/>
        <w:rPr>
          <w:color w:val="000000" w:themeColor="text1"/>
          <w:szCs w:val="24"/>
        </w:rPr>
      </w:pPr>
    </w:p>
    <w:p w:rsidR="006B4AA2" w:rsidRPr="00F018B8" w:rsidRDefault="00C56FC8" w:rsidP="009969D2">
      <w:pPr>
        <w:jc w:val="both"/>
        <w:rPr>
          <w:color w:val="auto"/>
          <w:szCs w:val="24"/>
        </w:rPr>
      </w:pPr>
      <w:r w:rsidRPr="00F018B8">
        <w:rPr>
          <w:color w:val="000000" w:themeColor="text1"/>
          <w:szCs w:val="24"/>
          <w:u w:val="single"/>
        </w:rPr>
        <w:t>RECOMMENDATION</w:t>
      </w:r>
      <w:r w:rsidRPr="00F018B8">
        <w:rPr>
          <w:color w:val="000000" w:themeColor="text1"/>
          <w:szCs w:val="24"/>
        </w:rPr>
        <w:t>:</w:t>
      </w:r>
      <w:r w:rsidR="009969D2" w:rsidRPr="00F018B8">
        <w:rPr>
          <w:color w:val="000000" w:themeColor="text1"/>
          <w:szCs w:val="24"/>
        </w:rPr>
        <w:t xml:space="preserve">  </w:t>
      </w:r>
      <w:r w:rsidRPr="00F018B8">
        <w:rPr>
          <w:color w:val="000000" w:themeColor="text1"/>
          <w:szCs w:val="24"/>
        </w:rPr>
        <w:t>The Board</w:t>
      </w:r>
      <w:r w:rsidR="006A543A" w:rsidRPr="00F018B8">
        <w:rPr>
          <w:color w:val="000000" w:themeColor="text1"/>
          <w:szCs w:val="24"/>
        </w:rPr>
        <w:t>,</w:t>
      </w:r>
      <w:r w:rsidRPr="00F018B8">
        <w:rPr>
          <w:color w:val="000000" w:themeColor="text1"/>
          <w:szCs w:val="24"/>
        </w:rPr>
        <w:t xml:space="preserve"> therefore</w:t>
      </w:r>
      <w:r w:rsidR="006A543A" w:rsidRPr="00F018B8">
        <w:rPr>
          <w:color w:val="000000" w:themeColor="text1"/>
          <w:szCs w:val="24"/>
        </w:rPr>
        <w:t>,</w:t>
      </w:r>
      <w:r w:rsidRPr="00F018B8">
        <w:rPr>
          <w:color w:val="000000" w:themeColor="text1"/>
          <w:szCs w:val="24"/>
        </w:rPr>
        <w:t xml:space="preserve"> recommends that there be no </w:t>
      </w:r>
      <w:proofErr w:type="spellStart"/>
      <w:r w:rsidRPr="00F018B8">
        <w:rPr>
          <w:color w:val="auto"/>
          <w:szCs w:val="24"/>
        </w:rPr>
        <w:t>recharacterization</w:t>
      </w:r>
      <w:proofErr w:type="spellEnd"/>
      <w:r w:rsidRPr="00F018B8">
        <w:rPr>
          <w:color w:val="auto"/>
          <w:szCs w:val="24"/>
        </w:rPr>
        <w:t xml:space="preserve"> of the CI’s disability and separation determination</w:t>
      </w:r>
      <w:r w:rsidR="008C3FD0" w:rsidRPr="00F018B8">
        <w:rPr>
          <w:color w:val="auto"/>
          <w:szCs w:val="24"/>
        </w:rPr>
        <w:t>,</w:t>
      </w:r>
      <w:r w:rsidR="00BD2A49" w:rsidRPr="00F018B8">
        <w:rPr>
          <w:color w:val="auto"/>
          <w:szCs w:val="24"/>
        </w:rPr>
        <w:t xml:space="preserve"> as follows:</w:t>
      </w:r>
      <w:r w:rsidR="003604A5" w:rsidRPr="00F018B8">
        <w:rPr>
          <w:color w:val="auto"/>
          <w:szCs w:val="24"/>
        </w:rPr>
        <w:t xml:space="preserve"> </w:t>
      </w:r>
      <w:r w:rsidR="00F018B8" w:rsidRPr="00F018B8">
        <w:rPr>
          <w:color w:val="auto"/>
          <w:szCs w:val="24"/>
        </w:rPr>
        <w:t xml:space="preserve"> </w:t>
      </w:r>
    </w:p>
    <w:p w:rsidR="00E33305" w:rsidRPr="00F018B8" w:rsidRDefault="00E33305" w:rsidP="0066556A">
      <w:pPr>
        <w:jc w:val="left"/>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018B8" w:rsidTr="0080588E">
        <w:trPr>
          <w:trHeight w:val="233"/>
          <w:jc w:val="center"/>
        </w:trPr>
        <w:tc>
          <w:tcPr>
            <w:tcW w:w="6282" w:type="dxa"/>
            <w:shd w:val="clear" w:color="auto" w:fill="D9D9D9"/>
            <w:vAlign w:val="center"/>
          </w:tcPr>
          <w:p w:rsidR="00A95BBA" w:rsidRPr="00F018B8" w:rsidRDefault="00A95BBA" w:rsidP="00BF0E94">
            <w:pPr>
              <w:tabs>
                <w:tab w:val="left" w:pos="288"/>
                <w:tab w:val="left" w:pos="4752"/>
              </w:tabs>
              <w:rPr>
                <w:b/>
                <w:color w:val="auto"/>
                <w:szCs w:val="24"/>
              </w:rPr>
            </w:pPr>
            <w:r w:rsidRPr="00F018B8">
              <w:rPr>
                <w:b/>
                <w:color w:val="auto"/>
                <w:szCs w:val="24"/>
              </w:rPr>
              <w:t>UNFITTING CONDITION</w:t>
            </w:r>
          </w:p>
        </w:tc>
        <w:tc>
          <w:tcPr>
            <w:tcW w:w="1710" w:type="dxa"/>
            <w:shd w:val="clear" w:color="auto" w:fill="D9D9D9"/>
            <w:vAlign w:val="center"/>
          </w:tcPr>
          <w:p w:rsidR="00A95BBA" w:rsidRPr="00F018B8" w:rsidRDefault="00A95BBA" w:rsidP="00BF0E94">
            <w:pPr>
              <w:tabs>
                <w:tab w:val="left" w:pos="288"/>
                <w:tab w:val="left" w:pos="4752"/>
              </w:tabs>
              <w:rPr>
                <w:b/>
                <w:color w:val="auto"/>
                <w:szCs w:val="24"/>
              </w:rPr>
            </w:pPr>
            <w:r w:rsidRPr="00F018B8">
              <w:rPr>
                <w:b/>
                <w:color w:val="auto"/>
                <w:szCs w:val="24"/>
              </w:rPr>
              <w:t>VASRD CODE</w:t>
            </w:r>
          </w:p>
        </w:tc>
        <w:tc>
          <w:tcPr>
            <w:tcW w:w="1170" w:type="dxa"/>
            <w:shd w:val="clear" w:color="auto" w:fill="D9D9D9"/>
            <w:vAlign w:val="center"/>
          </w:tcPr>
          <w:p w:rsidR="00A95BBA" w:rsidRPr="00F018B8" w:rsidRDefault="00A95BBA" w:rsidP="00BF0E94">
            <w:pPr>
              <w:tabs>
                <w:tab w:val="left" w:pos="288"/>
                <w:tab w:val="left" w:pos="4752"/>
              </w:tabs>
              <w:rPr>
                <w:b/>
                <w:color w:val="auto"/>
                <w:szCs w:val="24"/>
              </w:rPr>
            </w:pPr>
            <w:r w:rsidRPr="00F018B8">
              <w:rPr>
                <w:b/>
                <w:color w:val="auto"/>
                <w:szCs w:val="24"/>
              </w:rPr>
              <w:t>RATING</w:t>
            </w:r>
          </w:p>
        </w:tc>
      </w:tr>
      <w:tr w:rsidR="00A95BBA" w:rsidRPr="00F018B8" w:rsidTr="0080588E">
        <w:trPr>
          <w:jc w:val="center"/>
        </w:trPr>
        <w:tc>
          <w:tcPr>
            <w:tcW w:w="6282" w:type="dxa"/>
            <w:vAlign w:val="center"/>
          </w:tcPr>
          <w:p w:rsidR="00A95BBA" w:rsidRPr="00F018B8" w:rsidRDefault="00716C3C" w:rsidP="00BF0E94">
            <w:pPr>
              <w:tabs>
                <w:tab w:val="left" w:pos="288"/>
                <w:tab w:val="left" w:pos="4752"/>
              </w:tabs>
              <w:jc w:val="left"/>
              <w:rPr>
                <w:color w:val="auto"/>
                <w:szCs w:val="24"/>
              </w:rPr>
            </w:pPr>
            <w:proofErr w:type="spellStart"/>
            <w:r w:rsidRPr="00F018B8">
              <w:rPr>
                <w:color w:val="auto"/>
                <w:szCs w:val="24"/>
              </w:rPr>
              <w:t>Lumbosacral</w:t>
            </w:r>
            <w:proofErr w:type="spellEnd"/>
            <w:r w:rsidRPr="00F018B8">
              <w:rPr>
                <w:color w:val="auto"/>
                <w:szCs w:val="24"/>
              </w:rPr>
              <w:t xml:space="preserve"> Strain</w:t>
            </w:r>
          </w:p>
        </w:tc>
        <w:tc>
          <w:tcPr>
            <w:tcW w:w="1710" w:type="dxa"/>
            <w:vAlign w:val="center"/>
          </w:tcPr>
          <w:p w:rsidR="00A95BBA" w:rsidRPr="00F018B8" w:rsidRDefault="00716C3C" w:rsidP="00BF0E94">
            <w:pPr>
              <w:tabs>
                <w:tab w:val="left" w:pos="288"/>
                <w:tab w:val="left" w:pos="4752"/>
              </w:tabs>
              <w:rPr>
                <w:color w:val="auto"/>
                <w:szCs w:val="24"/>
              </w:rPr>
            </w:pPr>
            <w:r w:rsidRPr="00F018B8">
              <w:rPr>
                <w:color w:val="auto"/>
                <w:szCs w:val="24"/>
              </w:rPr>
              <w:t>5237</w:t>
            </w:r>
          </w:p>
        </w:tc>
        <w:tc>
          <w:tcPr>
            <w:tcW w:w="1170" w:type="dxa"/>
            <w:vAlign w:val="center"/>
          </w:tcPr>
          <w:p w:rsidR="00A95BBA" w:rsidRPr="00F018B8" w:rsidRDefault="0043678B" w:rsidP="00BF0E94">
            <w:pPr>
              <w:tabs>
                <w:tab w:val="left" w:pos="288"/>
                <w:tab w:val="left" w:pos="4752"/>
              </w:tabs>
              <w:rPr>
                <w:color w:val="auto"/>
                <w:szCs w:val="24"/>
              </w:rPr>
            </w:pPr>
            <w:r w:rsidRPr="00F018B8">
              <w:rPr>
                <w:color w:val="auto"/>
                <w:szCs w:val="24"/>
              </w:rPr>
              <w:t>2</w:t>
            </w:r>
            <w:r w:rsidR="00A95BBA" w:rsidRPr="00F018B8">
              <w:rPr>
                <w:color w:val="auto"/>
                <w:szCs w:val="24"/>
              </w:rPr>
              <w:t>0%</w:t>
            </w:r>
          </w:p>
        </w:tc>
      </w:tr>
      <w:tr w:rsidR="00A95BBA" w:rsidRPr="00F018B8"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018B8" w:rsidRDefault="00A95BBA" w:rsidP="00BF0E94">
            <w:pPr>
              <w:tabs>
                <w:tab w:val="left" w:pos="288"/>
                <w:tab w:val="left" w:pos="4752"/>
              </w:tabs>
              <w:rPr>
                <w:b/>
                <w:color w:val="auto"/>
                <w:szCs w:val="24"/>
              </w:rPr>
            </w:pPr>
            <w:r w:rsidRPr="00F018B8">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018B8" w:rsidRDefault="0043678B" w:rsidP="00BF0E94">
            <w:pPr>
              <w:tabs>
                <w:tab w:val="left" w:pos="288"/>
                <w:tab w:val="left" w:pos="4752"/>
              </w:tabs>
              <w:rPr>
                <w:b/>
                <w:color w:val="auto"/>
                <w:szCs w:val="24"/>
              </w:rPr>
            </w:pPr>
            <w:r w:rsidRPr="00F018B8">
              <w:rPr>
                <w:b/>
                <w:color w:val="auto"/>
                <w:szCs w:val="24"/>
              </w:rPr>
              <w:t>2</w:t>
            </w:r>
            <w:r w:rsidR="00A95BBA" w:rsidRPr="00F018B8">
              <w:rPr>
                <w:b/>
                <w:color w:val="auto"/>
                <w:szCs w:val="24"/>
              </w:rPr>
              <w:t>0%</w:t>
            </w:r>
          </w:p>
        </w:tc>
      </w:tr>
    </w:tbl>
    <w:p w:rsidR="005B1D09" w:rsidRPr="00F018B8" w:rsidRDefault="005B1D09" w:rsidP="00017E4A">
      <w:pPr>
        <w:pBdr>
          <w:bottom w:val="single" w:sz="12" w:space="1" w:color="auto"/>
        </w:pBdr>
        <w:tabs>
          <w:tab w:val="left" w:pos="288"/>
          <w:tab w:val="left" w:pos="4752"/>
        </w:tabs>
        <w:jc w:val="both"/>
        <w:rPr>
          <w:color w:val="auto"/>
        </w:rPr>
      </w:pPr>
    </w:p>
    <w:p w:rsidR="005B1D09" w:rsidRPr="001F29F9" w:rsidRDefault="005B1D09" w:rsidP="00017E4A">
      <w:pPr>
        <w:jc w:val="both"/>
        <w:rPr>
          <w:color w:val="000000" w:themeColor="text1"/>
          <w:szCs w:val="24"/>
        </w:rPr>
      </w:pPr>
    </w:p>
    <w:p w:rsidR="00D91DA6" w:rsidRPr="001F29F9" w:rsidRDefault="00FB1725" w:rsidP="00017E4A">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017E4A">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A784B">
        <w:rPr>
          <w:color w:val="000000" w:themeColor="text1"/>
          <w:szCs w:val="24"/>
        </w:rPr>
        <w:t>10826</w:t>
      </w:r>
      <w:r w:rsidR="003A4ACF">
        <w:rPr>
          <w:color w:val="000000" w:themeColor="text1"/>
        </w:rPr>
        <w:t>, w/</w:t>
      </w:r>
      <w:proofErr w:type="spellStart"/>
      <w:r w:rsidR="003A4ACF">
        <w:rPr>
          <w:color w:val="000000" w:themeColor="text1"/>
        </w:rPr>
        <w:t>atchs</w:t>
      </w:r>
      <w:proofErr w:type="spellEnd"/>
    </w:p>
    <w:p w:rsidR="00114F20" w:rsidRPr="001F29F9" w:rsidRDefault="00FB1725" w:rsidP="00017E4A">
      <w:pPr>
        <w:tabs>
          <w:tab w:val="left" w:pos="288"/>
          <w:tab w:val="left" w:pos="4752"/>
        </w:tabs>
        <w:jc w:val="both"/>
        <w:rPr>
          <w:color w:val="000000" w:themeColor="text1"/>
        </w:rPr>
      </w:pPr>
      <w:r w:rsidRPr="001F29F9">
        <w:rPr>
          <w:color w:val="000000" w:themeColor="text1"/>
        </w:rPr>
        <w:t>Exhib</w:t>
      </w:r>
      <w:r w:rsidR="003A4ACF">
        <w:rPr>
          <w:color w:val="000000" w:themeColor="text1"/>
        </w:rPr>
        <w:t>it B.  Service Treatment Record</w:t>
      </w:r>
    </w:p>
    <w:p w:rsidR="00114F20" w:rsidRPr="001F29F9" w:rsidRDefault="00FB1725" w:rsidP="00017E4A">
      <w:pPr>
        <w:tabs>
          <w:tab w:val="left" w:pos="288"/>
          <w:tab w:val="left" w:pos="4752"/>
        </w:tabs>
        <w:jc w:val="both"/>
        <w:rPr>
          <w:color w:val="000000" w:themeColor="text1"/>
        </w:rPr>
      </w:pPr>
      <w:r w:rsidRPr="001F29F9">
        <w:rPr>
          <w:color w:val="000000" w:themeColor="text1"/>
        </w:rPr>
        <w:t xml:space="preserve">Exhibit C.  Department of Veterans Affairs </w:t>
      </w:r>
      <w:r w:rsidR="003A4ACF">
        <w:rPr>
          <w:color w:val="000000" w:themeColor="text1"/>
        </w:rPr>
        <w:t>Treatment Record</w:t>
      </w:r>
    </w:p>
    <w:p w:rsidR="00D91DA6" w:rsidRPr="001F29F9" w:rsidRDefault="00D91DA6" w:rsidP="00017E4A">
      <w:pPr>
        <w:tabs>
          <w:tab w:val="left" w:pos="288"/>
          <w:tab w:val="left" w:pos="4752"/>
        </w:tabs>
        <w:jc w:val="both"/>
        <w:rPr>
          <w:color w:val="000000" w:themeColor="text1"/>
        </w:rPr>
      </w:pPr>
    </w:p>
    <w:p w:rsidR="00114F20" w:rsidRPr="001F29F9" w:rsidRDefault="00114F20" w:rsidP="00017E4A">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61C3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r w:rsidR="00F018B8">
        <w:rPr>
          <w:color w:val="000000" w:themeColor="text1"/>
          <w:szCs w:val="24"/>
        </w:rPr>
        <w:t xml:space="preserve">  </w:t>
      </w:r>
    </w:p>
    <w:p w:rsidR="00D61C3F" w:rsidRDefault="00D61C3F">
      <w:pPr>
        <w:rPr>
          <w:color w:val="000000" w:themeColor="text1"/>
          <w:szCs w:val="24"/>
        </w:rPr>
      </w:pPr>
      <w:r>
        <w:rPr>
          <w:color w:val="000000" w:themeColor="text1"/>
          <w:szCs w:val="24"/>
        </w:rPr>
        <w:br w:type="page"/>
      </w:r>
    </w:p>
    <w:p w:rsidR="00D61C3F" w:rsidRDefault="00D61C3F" w:rsidP="00D61C3F">
      <w:pPr>
        <w:pStyle w:val="Header"/>
        <w:tabs>
          <w:tab w:val="clear" w:pos="4320"/>
          <w:tab w:val="clear" w:pos="8640"/>
        </w:tabs>
        <w:jc w:val="left"/>
      </w:pPr>
      <w:r>
        <w:lastRenderedPageBreak/>
        <w:t>SFMR-RB</w:t>
      </w:r>
      <w:r>
        <w:tab/>
      </w:r>
      <w:r>
        <w:tab/>
      </w:r>
      <w:r>
        <w:tab/>
      </w:r>
      <w:r>
        <w:tab/>
      </w:r>
      <w:r>
        <w:tab/>
      </w:r>
      <w:r>
        <w:tab/>
      </w:r>
      <w:r>
        <w:tab/>
      </w:r>
      <w:r>
        <w:tab/>
      </w:r>
      <w:r>
        <w:tab/>
      </w:r>
    </w:p>
    <w:p w:rsidR="00D61C3F" w:rsidRDefault="00D61C3F" w:rsidP="00D61C3F">
      <w:pPr>
        <w:pStyle w:val="Header"/>
        <w:tabs>
          <w:tab w:val="clear" w:pos="4320"/>
          <w:tab w:val="clear" w:pos="8640"/>
        </w:tabs>
        <w:jc w:val="left"/>
      </w:pPr>
    </w:p>
    <w:p w:rsidR="00D61C3F" w:rsidRDefault="00D61C3F" w:rsidP="00D61C3F">
      <w:pPr>
        <w:jc w:val="left"/>
      </w:pPr>
    </w:p>
    <w:p w:rsidR="00D61C3F" w:rsidRDefault="00D61C3F" w:rsidP="00D61C3F">
      <w:pPr>
        <w:jc w:val="left"/>
      </w:pPr>
      <w:r>
        <w:t xml:space="preserve">MEMORANDUM FOR Commander, US Army Physical Disability Agency </w:t>
      </w:r>
    </w:p>
    <w:p w:rsidR="00D61C3F" w:rsidRDefault="00D61C3F" w:rsidP="00D61C3F">
      <w:pPr>
        <w:jc w:val="left"/>
      </w:pPr>
      <w:r>
        <w:t xml:space="preserve"> </w:t>
      </w:r>
    </w:p>
    <w:p w:rsidR="00D61C3F" w:rsidRDefault="00D61C3F" w:rsidP="00D61C3F">
      <w:pPr>
        <w:jc w:val="left"/>
      </w:pPr>
    </w:p>
    <w:p w:rsidR="00D61C3F" w:rsidRDefault="00D61C3F" w:rsidP="00D61C3F">
      <w:pPr>
        <w:ind w:right="-180"/>
        <w:jc w:val="left"/>
      </w:pPr>
      <w:r>
        <w:t>SUBJECT:  Department of Defense Physical Disability Board of Review Recommendation</w:t>
      </w:r>
    </w:p>
    <w:p w:rsidR="00D61C3F" w:rsidRDefault="00D61C3F" w:rsidP="00D61C3F">
      <w:pPr>
        <w:pStyle w:val="Header"/>
        <w:tabs>
          <w:tab w:val="clear" w:pos="4320"/>
          <w:tab w:val="clear" w:pos="8640"/>
        </w:tabs>
        <w:jc w:val="left"/>
      </w:pPr>
    </w:p>
    <w:p w:rsidR="00D61C3F" w:rsidRDefault="00D61C3F" w:rsidP="00D61C3F">
      <w:pPr>
        <w:jc w:val="left"/>
      </w:pPr>
    </w:p>
    <w:p w:rsidR="00D61C3F" w:rsidRDefault="00D61C3F" w:rsidP="00D61C3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61C3F" w:rsidRDefault="00D61C3F" w:rsidP="00D61C3F">
      <w:pPr>
        <w:jc w:val="left"/>
      </w:pPr>
    </w:p>
    <w:p w:rsidR="00D61C3F" w:rsidRDefault="00D61C3F" w:rsidP="00D61C3F">
      <w:pPr>
        <w:jc w:val="left"/>
      </w:pPr>
      <w:r>
        <w:t>This decision is final.  The individual concerned, counsel (if any), and any Members of Congress who have shown interest in this application have been notified of this decision by mail.</w:t>
      </w:r>
    </w:p>
    <w:p w:rsidR="00D61C3F" w:rsidRDefault="00D61C3F" w:rsidP="00D61C3F">
      <w:pPr>
        <w:jc w:val="left"/>
      </w:pPr>
    </w:p>
    <w:p w:rsidR="00D61C3F" w:rsidRDefault="00D61C3F" w:rsidP="00D61C3F">
      <w:pPr>
        <w:jc w:val="left"/>
      </w:pPr>
      <w:r>
        <w:t xml:space="preserve"> BY ORDER OF THE SECRETARY OF THE ARMY:</w:t>
      </w:r>
    </w:p>
    <w:p w:rsidR="00D61C3F" w:rsidRDefault="00D61C3F" w:rsidP="00D61C3F">
      <w:pPr>
        <w:jc w:val="left"/>
      </w:pPr>
    </w:p>
    <w:p w:rsidR="00D61C3F" w:rsidRDefault="00D61C3F" w:rsidP="00D61C3F">
      <w:pPr>
        <w:jc w:val="left"/>
      </w:pPr>
    </w:p>
    <w:p w:rsidR="00D61C3F" w:rsidRDefault="00D61C3F" w:rsidP="00D61C3F">
      <w:pPr>
        <w:pStyle w:val="Header"/>
        <w:tabs>
          <w:tab w:val="clear" w:pos="4320"/>
          <w:tab w:val="clear" w:pos="8640"/>
        </w:tabs>
        <w:jc w:val="left"/>
      </w:pPr>
    </w:p>
    <w:p w:rsidR="00D61C3F" w:rsidRDefault="00D61C3F" w:rsidP="00D61C3F">
      <w:pPr>
        <w:jc w:val="left"/>
      </w:pPr>
    </w:p>
    <w:p w:rsidR="00D61C3F" w:rsidRDefault="00D61C3F" w:rsidP="00D61C3F">
      <w:pPr>
        <w:jc w:val="left"/>
      </w:pPr>
      <w:bookmarkStart w:id="0" w:name="OLE_LINK3"/>
      <w:bookmarkStart w:id="1" w:name="OLE_LINK4"/>
      <w:r>
        <w:t>Encl</w:t>
      </w:r>
      <w:r>
        <w:tab/>
      </w:r>
      <w:r>
        <w:tab/>
      </w:r>
      <w:r>
        <w:tab/>
      </w:r>
      <w:r>
        <w:tab/>
      </w:r>
      <w:r>
        <w:tab/>
      </w:r>
      <w:r>
        <w:tab/>
        <w:t xml:space="preserve">  </w:t>
      </w:r>
    </w:p>
    <w:p w:rsidR="00D61C3F" w:rsidRDefault="00D61C3F" w:rsidP="00D61C3F">
      <w:pPr>
        <w:jc w:val="left"/>
      </w:pPr>
      <w:r>
        <w:tab/>
      </w:r>
      <w:r>
        <w:tab/>
      </w:r>
      <w:r>
        <w:tab/>
      </w:r>
      <w:r>
        <w:tab/>
      </w:r>
      <w:r>
        <w:tab/>
      </w:r>
      <w:r>
        <w:tab/>
        <w:t xml:space="preserve">     Deputy Assistant Secretary</w:t>
      </w:r>
    </w:p>
    <w:p w:rsidR="00D61C3F" w:rsidRDefault="00D61C3F" w:rsidP="00D61C3F">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09" w:rsidRDefault="00122B09">
      <w:r>
        <w:separator/>
      </w:r>
    </w:p>
  </w:endnote>
  <w:endnote w:type="continuationSeparator" w:id="0">
    <w:p w:rsidR="00122B09" w:rsidRDefault="00122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52BD5" w:rsidRPr="00374247" w:rsidRDefault="00B52BD5" w:rsidP="00374247">
        <w:pPr>
          <w:pStyle w:val="Footer"/>
          <w:ind w:firstLine="4320"/>
          <w:rPr>
            <w:color w:val="auto"/>
            <w:szCs w:val="24"/>
          </w:rPr>
        </w:pPr>
        <w:r w:rsidRPr="00374247">
          <w:rPr>
            <w:color w:val="auto"/>
            <w:szCs w:val="24"/>
          </w:rPr>
          <w:t xml:space="preserve">   </w:t>
        </w:r>
        <w:r w:rsidR="007A62E8" w:rsidRPr="00374247">
          <w:rPr>
            <w:color w:val="auto"/>
            <w:szCs w:val="24"/>
          </w:rPr>
          <w:fldChar w:fldCharType="begin"/>
        </w:r>
        <w:r w:rsidRPr="00374247">
          <w:rPr>
            <w:color w:val="auto"/>
            <w:szCs w:val="24"/>
          </w:rPr>
          <w:instrText xml:space="preserve"> PAGE   \* MERGEFORMAT </w:instrText>
        </w:r>
        <w:r w:rsidR="007A62E8" w:rsidRPr="00374247">
          <w:rPr>
            <w:color w:val="auto"/>
            <w:szCs w:val="24"/>
          </w:rPr>
          <w:fldChar w:fldCharType="separate"/>
        </w:r>
        <w:r w:rsidR="00D61C3F" w:rsidRPr="00D61C3F">
          <w:rPr>
            <w:noProof/>
            <w:color w:val="auto"/>
          </w:rPr>
          <w:t>5</w:t>
        </w:r>
        <w:r w:rsidR="007A62E8"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100729</w:t>
        </w:r>
      </w:p>
    </w:sdtContent>
  </w:sdt>
  <w:p w:rsidR="00B52BD5" w:rsidRPr="00684CE6" w:rsidRDefault="00B52BD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09" w:rsidRDefault="00122B09">
      <w:r>
        <w:separator/>
      </w:r>
    </w:p>
  </w:footnote>
  <w:footnote w:type="continuationSeparator" w:id="0">
    <w:p w:rsidR="00122B09" w:rsidRDefault="00122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182"/>
    <w:multiLevelType w:val="multilevel"/>
    <w:tmpl w:val="CD8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72360"/>
    <w:multiLevelType w:val="multilevel"/>
    <w:tmpl w:val="AFC8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61DAF"/>
    <w:multiLevelType w:val="multilevel"/>
    <w:tmpl w:val="0FB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D5341"/>
    <w:multiLevelType w:val="multilevel"/>
    <w:tmpl w:val="745C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F65B52"/>
    <w:multiLevelType w:val="multilevel"/>
    <w:tmpl w:val="541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5"/>
  </w:num>
  <w:num w:numId="4">
    <w:abstractNumId w:val="9"/>
  </w:num>
  <w:num w:numId="5">
    <w:abstractNumId w:val="6"/>
  </w:num>
  <w:num w:numId="6">
    <w:abstractNumId w:val="11"/>
  </w:num>
  <w:num w:numId="7">
    <w:abstractNumId w:val="1"/>
  </w:num>
  <w:num w:numId="8">
    <w:abstractNumId w:val="8"/>
  </w:num>
  <w:num w:numId="9">
    <w:abstractNumId w:val="20"/>
  </w:num>
  <w:num w:numId="10">
    <w:abstractNumId w:val="14"/>
  </w:num>
  <w:num w:numId="11">
    <w:abstractNumId w:val="7"/>
  </w:num>
  <w:num w:numId="12">
    <w:abstractNumId w:val="17"/>
  </w:num>
  <w:num w:numId="13">
    <w:abstractNumId w:val="10"/>
  </w:num>
  <w:num w:numId="14">
    <w:abstractNumId w:val="19"/>
  </w:num>
  <w:num w:numId="15">
    <w:abstractNumId w:val="26"/>
  </w:num>
  <w:num w:numId="16">
    <w:abstractNumId w:val="2"/>
  </w:num>
  <w:num w:numId="17">
    <w:abstractNumId w:val="24"/>
  </w:num>
  <w:num w:numId="18">
    <w:abstractNumId w:val="12"/>
  </w:num>
  <w:num w:numId="19">
    <w:abstractNumId w:val="16"/>
  </w:num>
  <w:num w:numId="20">
    <w:abstractNumId w:val="23"/>
  </w:num>
  <w:num w:numId="21">
    <w:abstractNumId w:val="18"/>
  </w:num>
  <w:num w:numId="22">
    <w:abstractNumId w:val="4"/>
  </w:num>
  <w:num w:numId="23">
    <w:abstractNumId w:val="0"/>
  </w:num>
  <w:num w:numId="24">
    <w:abstractNumId w:val="3"/>
  </w:num>
  <w:num w:numId="25">
    <w:abstractNumId w:val="21"/>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17E4A"/>
    <w:rsid w:val="00021361"/>
    <w:rsid w:val="00022CF3"/>
    <w:rsid w:val="00023913"/>
    <w:rsid w:val="00023920"/>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5E57"/>
    <w:rsid w:val="000673ED"/>
    <w:rsid w:val="00067854"/>
    <w:rsid w:val="00070DB1"/>
    <w:rsid w:val="00070DED"/>
    <w:rsid w:val="00072433"/>
    <w:rsid w:val="00072B3E"/>
    <w:rsid w:val="0007488B"/>
    <w:rsid w:val="00075702"/>
    <w:rsid w:val="00075A0C"/>
    <w:rsid w:val="000775C2"/>
    <w:rsid w:val="00077835"/>
    <w:rsid w:val="000806AD"/>
    <w:rsid w:val="00080BDF"/>
    <w:rsid w:val="00080C57"/>
    <w:rsid w:val="00082482"/>
    <w:rsid w:val="000826EF"/>
    <w:rsid w:val="00082CA0"/>
    <w:rsid w:val="00084CF2"/>
    <w:rsid w:val="00085D7B"/>
    <w:rsid w:val="0008708B"/>
    <w:rsid w:val="00092619"/>
    <w:rsid w:val="00092C66"/>
    <w:rsid w:val="000949DD"/>
    <w:rsid w:val="00094E4F"/>
    <w:rsid w:val="00095139"/>
    <w:rsid w:val="000A06D1"/>
    <w:rsid w:val="000A2BCE"/>
    <w:rsid w:val="000A31E2"/>
    <w:rsid w:val="000A33C8"/>
    <w:rsid w:val="000A41E3"/>
    <w:rsid w:val="000A4BBA"/>
    <w:rsid w:val="000A5071"/>
    <w:rsid w:val="000B0AD2"/>
    <w:rsid w:val="000B1022"/>
    <w:rsid w:val="000B2FB8"/>
    <w:rsid w:val="000B471C"/>
    <w:rsid w:val="000B4C99"/>
    <w:rsid w:val="000C06F6"/>
    <w:rsid w:val="000C0A15"/>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1ED"/>
    <w:rsid w:val="000D6457"/>
    <w:rsid w:val="000D7D55"/>
    <w:rsid w:val="000E0993"/>
    <w:rsid w:val="000E1C63"/>
    <w:rsid w:val="000E2E50"/>
    <w:rsid w:val="000E37E0"/>
    <w:rsid w:val="000E3F20"/>
    <w:rsid w:val="000E4C25"/>
    <w:rsid w:val="000E4CBF"/>
    <w:rsid w:val="000E5577"/>
    <w:rsid w:val="000E7034"/>
    <w:rsid w:val="000F02BE"/>
    <w:rsid w:val="000F0928"/>
    <w:rsid w:val="000F0B3D"/>
    <w:rsid w:val="000F1E65"/>
    <w:rsid w:val="000F2845"/>
    <w:rsid w:val="000F33A3"/>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2B09"/>
    <w:rsid w:val="001231DC"/>
    <w:rsid w:val="0012453A"/>
    <w:rsid w:val="0012489B"/>
    <w:rsid w:val="001272AE"/>
    <w:rsid w:val="00127D45"/>
    <w:rsid w:val="00130756"/>
    <w:rsid w:val="001315DD"/>
    <w:rsid w:val="001338A4"/>
    <w:rsid w:val="0013525F"/>
    <w:rsid w:val="00135385"/>
    <w:rsid w:val="00136204"/>
    <w:rsid w:val="001364D1"/>
    <w:rsid w:val="001374C7"/>
    <w:rsid w:val="00140FA4"/>
    <w:rsid w:val="0014130D"/>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77C64"/>
    <w:rsid w:val="00180826"/>
    <w:rsid w:val="00180CB3"/>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9B7"/>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7E6"/>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BE4"/>
    <w:rsid w:val="001E635C"/>
    <w:rsid w:val="001F0297"/>
    <w:rsid w:val="001F29F9"/>
    <w:rsid w:val="001F6E0B"/>
    <w:rsid w:val="00200AA0"/>
    <w:rsid w:val="00202325"/>
    <w:rsid w:val="00202736"/>
    <w:rsid w:val="002027B7"/>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5F31"/>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034"/>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083"/>
    <w:rsid w:val="002752AE"/>
    <w:rsid w:val="00275AFD"/>
    <w:rsid w:val="002769AF"/>
    <w:rsid w:val="00276C86"/>
    <w:rsid w:val="00276FD0"/>
    <w:rsid w:val="00277217"/>
    <w:rsid w:val="00280769"/>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3B4"/>
    <w:rsid w:val="002B6FA0"/>
    <w:rsid w:val="002B7710"/>
    <w:rsid w:val="002C0DEA"/>
    <w:rsid w:val="002C34F6"/>
    <w:rsid w:val="002C3B6D"/>
    <w:rsid w:val="002C3F59"/>
    <w:rsid w:val="002C5D9D"/>
    <w:rsid w:val="002C5F10"/>
    <w:rsid w:val="002C6E5B"/>
    <w:rsid w:val="002D08F3"/>
    <w:rsid w:val="002D18B4"/>
    <w:rsid w:val="002D2058"/>
    <w:rsid w:val="002D231A"/>
    <w:rsid w:val="002D27A8"/>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1F42"/>
    <w:rsid w:val="002F287E"/>
    <w:rsid w:val="002F2981"/>
    <w:rsid w:val="002F2D63"/>
    <w:rsid w:val="002F67E6"/>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57D33"/>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A23"/>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4ACF"/>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12"/>
    <w:rsid w:val="003C5046"/>
    <w:rsid w:val="003C53E8"/>
    <w:rsid w:val="003C5B54"/>
    <w:rsid w:val="003C5B65"/>
    <w:rsid w:val="003C6068"/>
    <w:rsid w:val="003C7AEC"/>
    <w:rsid w:val="003D2BA3"/>
    <w:rsid w:val="003D316B"/>
    <w:rsid w:val="003D3C22"/>
    <w:rsid w:val="003D56A0"/>
    <w:rsid w:val="003D609F"/>
    <w:rsid w:val="003D69F5"/>
    <w:rsid w:val="003D7089"/>
    <w:rsid w:val="003D7ACB"/>
    <w:rsid w:val="003D7DDB"/>
    <w:rsid w:val="003E024F"/>
    <w:rsid w:val="003E02C7"/>
    <w:rsid w:val="003E0543"/>
    <w:rsid w:val="003E061D"/>
    <w:rsid w:val="003E0B5A"/>
    <w:rsid w:val="003E1682"/>
    <w:rsid w:val="003E31E3"/>
    <w:rsid w:val="003E3E93"/>
    <w:rsid w:val="003E46D1"/>
    <w:rsid w:val="003E6214"/>
    <w:rsid w:val="003E6761"/>
    <w:rsid w:val="003F070E"/>
    <w:rsid w:val="003F1206"/>
    <w:rsid w:val="003F1D5F"/>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37E"/>
    <w:rsid w:val="00424612"/>
    <w:rsid w:val="0042528C"/>
    <w:rsid w:val="00425672"/>
    <w:rsid w:val="00425A6A"/>
    <w:rsid w:val="00426A23"/>
    <w:rsid w:val="00427C7F"/>
    <w:rsid w:val="00427F54"/>
    <w:rsid w:val="004316FD"/>
    <w:rsid w:val="00433F36"/>
    <w:rsid w:val="00434860"/>
    <w:rsid w:val="00434BBD"/>
    <w:rsid w:val="0043503A"/>
    <w:rsid w:val="0043678B"/>
    <w:rsid w:val="00437B8A"/>
    <w:rsid w:val="00437D18"/>
    <w:rsid w:val="00437D77"/>
    <w:rsid w:val="00441D99"/>
    <w:rsid w:val="004435BE"/>
    <w:rsid w:val="0044384F"/>
    <w:rsid w:val="0044411E"/>
    <w:rsid w:val="00444472"/>
    <w:rsid w:val="00444B93"/>
    <w:rsid w:val="00444F80"/>
    <w:rsid w:val="00445599"/>
    <w:rsid w:val="00446018"/>
    <w:rsid w:val="0044769D"/>
    <w:rsid w:val="004478BA"/>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367"/>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1A3"/>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3E10"/>
    <w:rsid w:val="004F4E3C"/>
    <w:rsid w:val="004F5A1A"/>
    <w:rsid w:val="004F6D6D"/>
    <w:rsid w:val="004F77A3"/>
    <w:rsid w:val="005000AB"/>
    <w:rsid w:val="00500EAF"/>
    <w:rsid w:val="00500F3C"/>
    <w:rsid w:val="005025EE"/>
    <w:rsid w:val="00503401"/>
    <w:rsid w:val="00503DDF"/>
    <w:rsid w:val="00504CD5"/>
    <w:rsid w:val="00505524"/>
    <w:rsid w:val="005058D5"/>
    <w:rsid w:val="00506688"/>
    <w:rsid w:val="0050783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624"/>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01A"/>
    <w:rsid w:val="0058417C"/>
    <w:rsid w:val="005854F9"/>
    <w:rsid w:val="00586EC6"/>
    <w:rsid w:val="00587DDE"/>
    <w:rsid w:val="00591CDD"/>
    <w:rsid w:val="00593043"/>
    <w:rsid w:val="00594D75"/>
    <w:rsid w:val="00595B60"/>
    <w:rsid w:val="00595B63"/>
    <w:rsid w:val="00595BF0"/>
    <w:rsid w:val="00597E16"/>
    <w:rsid w:val="005A0B1D"/>
    <w:rsid w:val="005A1846"/>
    <w:rsid w:val="005A258C"/>
    <w:rsid w:val="005A3560"/>
    <w:rsid w:val="005A464E"/>
    <w:rsid w:val="005A62FC"/>
    <w:rsid w:val="005A6C99"/>
    <w:rsid w:val="005A784B"/>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3A5F"/>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7D9"/>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385"/>
    <w:rsid w:val="0065726D"/>
    <w:rsid w:val="006573F2"/>
    <w:rsid w:val="00661BA2"/>
    <w:rsid w:val="00662AD0"/>
    <w:rsid w:val="00662F08"/>
    <w:rsid w:val="00663589"/>
    <w:rsid w:val="00664427"/>
    <w:rsid w:val="00664840"/>
    <w:rsid w:val="006649CD"/>
    <w:rsid w:val="0066556A"/>
    <w:rsid w:val="00665D75"/>
    <w:rsid w:val="006677E6"/>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6EA5"/>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5F29"/>
    <w:rsid w:val="006C6AB1"/>
    <w:rsid w:val="006C6E6B"/>
    <w:rsid w:val="006C73D4"/>
    <w:rsid w:val="006D145F"/>
    <w:rsid w:val="006D2000"/>
    <w:rsid w:val="006D292F"/>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2C7"/>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C3C"/>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2E8"/>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8F"/>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C60"/>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0C1"/>
    <w:rsid w:val="0087566D"/>
    <w:rsid w:val="00875B50"/>
    <w:rsid w:val="00875B51"/>
    <w:rsid w:val="00875F2D"/>
    <w:rsid w:val="008762E7"/>
    <w:rsid w:val="008764DC"/>
    <w:rsid w:val="00876FFF"/>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9F1"/>
    <w:rsid w:val="008B1B11"/>
    <w:rsid w:val="008B1DF4"/>
    <w:rsid w:val="008B27FD"/>
    <w:rsid w:val="008B2FDB"/>
    <w:rsid w:val="008B3AF2"/>
    <w:rsid w:val="008B446D"/>
    <w:rsid w:val="008B515D"/>
    <w:rsid w:val="008B5D31"/>
    <w:rsid w:val="008B6705"/>
    <w:rsid w:val="008B6EF1"/>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1802"/>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2D8"/>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9D2"/>
    <w:rsid w:val="009A0DE3"/>
    <w:rsid w:val="009A1643"/>
    <w:rsid w:val="009A215A"/>
    <w:rsid w:val="009A26B9"/>
    <w:rsid w:val="009A49D3"/>
    <w:rsid w:val="009A4F1B"/>
    <w:rsid w:val="009A66C5"/>
    <w:rsid w:val="009A66E7"/>
    <w:rsid w:val="009A79BA"/>
    <w:rsid w:val="009B10F9"/>
    <w:rsid w:val="009B14D1"/>
    <w:rsid w:val="009B1534"/>
    <w:rsid w:val="009B1F2E"/>
    <w:rsid w:val="009B2989"/>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2BD3"/>
    <w:rsid w:val="00A944D8"/>
    <w:rsid w:val="00A959E7"/>
    <w:rsid w:val="00A95BBA"/>
    <w:rsid w:val="00A961EE"/>
    <w:rsid w:val="00A962CD"/>
    <w:rsid w:val="00A96559"/>
    <w:rsid w:val="00A97B11"/>
    <w:rsid w:val="00A97CD9"/>
    <w:rsid w:val="00AA020A"/>
    <w:rsid w:val="00AA04A1"/>
    <w:rsid w:val="00AA04B3"/>
    <w:rsid w:val="00AA1253"/>
    <w:rsid w:val="00AA1ED0"/>
    <w:rsid w:val="00AA1F5B"/>
    <w:rsid w:val="00AA28EF"/>
    <w:rsid w:val="00AA3593"/>
    <w:rsid w:val="00AA38CA"/>
    <w:rsid w:val="00AA493E"/>
    <w:rsid w:val="00AA5497"/>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C8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40A"/>
    <w:rsid w:val="00AF1103"/>
    <w:rsid w:val="00AF1668"/>
    <w:rsid w:val="00AF25B2"/>
    <w:rsid w:val="00AF28DE"/>
    <w:rsid w:val="00AF41EE"/>
    <w:rsid w:val="00AF4FA5"/>
    <w:rsid w:val="00AF5BB4"/>
    <w:rsid w:val="00AF6ECC"/>
    <w:rsid w:val="00B02145"/>
    <w:rsid w:val="00B022DC"/>
    <w:rsid w:val="00B02778"/>
    <w:rsid w:val="00B04562"/>
    <w:rsid w:val="00B0472F"/>
    <w:rsid w:val="00B06930"/>
    <w:rsid w:val="00B0773A"/>
    <w:rsid w:val="00B07955"/>
    <w:rsid w:val="00B10092"/>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81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146F"/>
    <w:rsid w:val="00B522CD"/>
    <w:rsid w:val="00B52BD5"/>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6F88"/>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2ECD"/>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67B6"/>
    <w:rsid w:val="00BB7012"/>
    <w:rsid w:val="00BC09D1"/>
    <w:rsid w:val="00BC1C9C"/>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F"/>
    <w:rsid w:val="00C17523"/>
    <w:rsid w:val="00C177F1"/>
    <w:rsid w:val="00C17EE6"/>
    <w:rsid w:val="00C217F7"/>
    <w:rsid w:val="00C2272E"/>
    <w:rsid w:val="00C22F3A"/>
    <w:rsid w:val="00C23311"/>
    <w:rsid w:val="00C2400F"/>
    <w:rsid w:val="00C24AD9"/>
    <w:rsid w:val="00C2527E"/>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1D41"/>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865"/>
    <w:rsid w:val="00C84AD1"/>
    <w:rsid w:val="00C85579"/>
    <w:rsid w:val="00C8590C"/>
    <w:rsid w:val="00C862F1"/>
    <w:rsid w:val="00C863E5"/>
    <w:rsid w:val="00C87BE6"/>
    <w:rsid w:val="00C87F76"/>
    <w:rsid w:val="00C931FC"/>
    <w:rsid w:val="00C932C5"/>
    <w:rsid w:val="00C94C6B"/>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4988"/>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411"/>
    <w:rsid w:val="00CE3722"/>
    <w:rsid w:val="00CF158D"/>
    <w:rsid w:val="00CF2166"/>
    <w:rsid w:val="00CF4340"/>
    <w:rsid w:val="00CF4394"/>
    <w:rsid w:val="00CF48B4"/>
    <w:rsid w:val="00CF5C12"/>
    <w:rsid w:val="00CF69A5"/>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B5F"/>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C3F"/>
    <w:rsid w:val="00D62D5C"/>
    <w:rsid w:val="00D63577"/>
    <w:rsid w:val="00D67FD7"/>
    <w:rsid w:val="00D704E4"/>
    <w:rsid w:val="00D72410"/>
    <w:rsid w:val="00D73D53"/>
    <w:rsid w:val="00D7402C"/>
    <w:rsid w:val="00D7408A"/>
    <w:rsid w:val="00D74261"/>
    <w:rsid w:val="00D7441B"/>
    <w:rsid w:val="00D75589"/>
    <w:rsid w:val="00D759E3"/>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AC3"/>
    <w:rsid w:val="00DA0FE3"/>
    <w:rsid w:val="00DA195B"/>
    <w:rsid w:val="00DA1D46"/>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0E5D"/>
    <w:rsid w:val="00DC1607"/>
    <w:rsid w:val="00DC17F2"/>
    <w:rsid w:val="00DC4001"/>
    <w:rsid w:val="00DC41C3"/>
    <w:rsid w:val="00DC4A3C"/>
    <w:rsid w:val="00DC4FA4"/>
    <w:rsid w:val="00DC5B37"/>
    <w:rsid w:val="00DD286D"/>
    <w:rsid w:val="00DD2928"/>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3A2"/>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305"/>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68A"/>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928"/>
    <w:rsid w:val="00EE48BB"/>
    <w:rsid w:val="00EE6FE0"/>
    <w:rsid w:val="00EE704A"/>
    <w:rsid w:val="00EE7840"/>
    <w:rsid w:val="00EF2E75"/>
    <w:rsid w:val="00EF4C74"/>
    <w:rsid w:val="00EF5268"/>
    <w:rsid w:val="00EF608E"/>
    <w:rsid w:val="00EF6C4A"/>
    <w:rsid w:val="00F0044B"/>
    <w:rsid w:val="00F00E60"/>
    <w:rsid w:val="00F018B8"/>
    <w:rsid w:val="00F02F9F"/>
    <w:rsid w:val="00F03525"/>
    <w:rsid w:val="00F039A8"/>
    <w:rsid w:val="00F0424D"/>
    <w:rsid w:val="00F04957"/>
    <w:rsid w:val="00F053F0"/>
    <w:rsid w:val="00F05807"/>
    <w:rsid w:val="00F06451"/>
    <w:rsid w:val="00F07052"/>
    <w:rsid w:val="00F0706C"/>
    <w:rsid w:val="00F101D6"/>
    <w:rsid w:val="00F11EBE"/>
    <w:rsid w:val="00F12293"/>
    <w:rsid w:val="00F12BA8"/>
    <w:rsid w:val="00F12D7A"/>
    <w:rsid w:val="00F130D0"/>
    <w:rsid w:val="00F13AC6"/>
    <w:rsid w:val="00F14933"/>
    <w:rsid w:val="00F1516A"/>
    <w:rsid w:val="00F15EE5"/>
    <w:rsid w:val="00F171F9"/>
    <w:rsid w:val="00F1737C"/>
    <w:rsid w:val="00F173AA"/>
    <w:rsid w:val="00F204B4"/>
    <w:rsid w:val="00F22A26"/>
    <w:rsid w:val="00F24072"/>
    <w:rsid w:val="00F26432"/>
    <w:rsid w:val="00F3197A"/>
    <w:rsid w:val="00F32139"/>
    <w:rsid w:val="00F33CF0"/>
    <w:rsid w:val="00F33D56"/>
    <w:rsid w:val="00F34E08"/>
    <w:rsid w:val="00F41D91"/>
    <w:rsid w:val="00F41F52"/>
    <w:rsid w:val="00F41FA1"/>
    <w:rsid w:val="00F42363"/>
    <w:rsid w:val="00F427C4"/>
    <w:rsid w:val="00F433FD"/>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A7B32"/>
    <w:rsid w:val="00FB09FE"/>
    <w:rsid w:val="00FB0E80"/>
    <w:rsid w:val="00FB101D"/>
    <w:rsid w:val="00FB1725"/>
    <w:rsid w:val="00FB2493"/>
    <w:rsid w:val="00FB42B7"/>
    <w:rsid w:val="00FB4484"/>
    <w:rsid w:val="00FB593A"/>
    <w:rsid w:val="00FB6410"/>
    <w:rsid w:val="00FB6E82"/>
    <w:rsid w:val="00FB792E"/>
    <w:rsid w:val="00FB7CF0"/>
    <w:rsid w:val="00FC0042"/>
    <w:rsid w:val="00FC06B9"/>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01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2">
    <w:name w:val="heading 2"/>
    <w:basedOn w:val="Normal"/>
    <w:link w:val="Heading2Char"/>
    <w:uiPriority w:val="9"/>
    <w:qFormat/>
    <w:rsid w:val="00860C60"/>
    <w:pPr>
      <w:spacing w:before="270" w:after="135" w:line="240" w:lineRule="auto"/>
      <w:jc w:val="left"/>
      <w:outlineLvl w:val="1"/>
    </w:pPr>
    <w:rPr>
      <w:rFonts w:ascii="Times New Roman" w:hAnsi="Times New Roman" w:cs="Times New Roman"/>
      <w:b/>
      <w:bCs/>
      <w:color w:val="98573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ing2Char">
    <w:name w:val="Heading 2 Char"/>
    <w:basedOn w:val="DefaultParagraphFont"/>
    <w:link w:val="Heading2"/>
    <w:uiPriority w:val="9"/>
    <w:rsid w:val="00860C60"/>
    <w:rPr>
      <w:rFonts w:ascii="Times New Roman" w:hAnsi="Times New Roman" w:cs="Times New Roman"/>
      <w:b/>
      <w:bCs/>
      <w:color w:val="985735"/>
      <w:sz w:val="30"/>
      <w:szCs w:val="30"/>
    </w:rPr>
  </w:style>
  <w:style w:type="paragraph" w:styleId="NormalWeb">
    <w:name w:val="Normal (Web)"/>
    <w:basedOn w:val="Normal"/>
    <w:uiPriority w:val="99"/>
    <w:unhideWhenUsed/>
    <w:rsid w:val="00860C60"/>
    <w:pPr>
      <w:spacing w:before="100" w:beforeAutospacing="1" w:after="100" w:afterAutospacing="1" w:line="240" w:lineRule="auto"/>
      <w:jc w:val="left"/>
    </w:pPr>
    <w:rPr>
      <w:rFonts w:ascii="Times New Roman" w:hAnsi="Times New Roman" w:cs="Times New Roman"/>
      <w:color w:val="auto"/>
      <w:szCs w:val="24"/>
    </w:rPr>
  </w:style>
  <w:style w:type="character" w:customStyle="1" w:styleId="title">
    <w:name w:val="title"/>
    <w:basedOn w:val="DefaultParagraphFont"/>
    <w:rsid w:val="00860C60"/>
  </w:style>
  <w:style w:type="paragraph" w:customStyle="1" w:styleId="small">
    <w:name w:val="small"/>
    <w:basedOn w:val="Normal"/>
    <w:rsid w:val="00860C60"/>
    <w:pPr>
      <w:spacing w:before="100" w:beforeAutospacing="1" w:after="100" w:afterAutospacing="1" w:line="393" w:lineRule="atLeast"/>
      <w:jc w:val="left"/>
    </w:pPr>
    <w:rPr>
      <w:rFonts w:ascii="Times New Roman" w:hAnsi="Times New Roman" w:cs="Times New Roman"/>
      <w:color w:val="auto"/>
      <w:sz w:val="20"/>
    </w:rPr>
  </w:style>
  <w:style w:type="character" w:customStyle="1" w:styleId="HeaderChar">
    <w:name w:val="Header Char"/>
    <w:basedOn w:val="DefaultParagraphFont"/>
    <w:link w:val="Header"/>
    <w:uiPriority w:val="99"/>
    <w:locked/>
    <w:rsid w:val="00D61C3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62944155">
      <w:bodyDiv w:val="1"/>
      <w:marLeft w:val="0"/>
      <w:marRight w:val="0"/>
      <w:marTop w:val="0"/>
      <w:marBottom w:val="0"/>
      <w:divBdr>
        <w:top w:val="none" w:sz="0" w:space="0" w:color="auto"/>
        <w:left w:val="none" w:sz="0" w:space="0" w:color="auto"/>
        <w:bottom w:val="none" w:sz="0" w:space="0" w:color="auto"/>
        <w:right w:val="none" w:sz="0" w:space="0" w:color="auto"/>
      </w:divBdr>
      <w:divsChild>
        <w:div w:id="153879866">
          <w:marLeft w:val="0"/>
          <w:marRight w:val="1"/>
          <w:marTop w:val="0"/>
          <w:marBottom w:val="0"/>
          <w:divBdr>
            <w:top w:val="none" w:sz="0" w:space="0" w:color="auto"/>
            <w:left w:val="none" w:sz="0" w:space="0" w:color="auto"/>
            <w:bottom w:val="none" w:sz="0" w:space="0" w:color="auto"/>
            <w:right w:val="none" w:sz="0" w:space="0" w:color="auto"/>
          </w:divBdr>
          <w:divsChild>
            <w:div w:id="641471336">
              <w:marLeft w:val="153"/>
              <w:marRight w:val="0"/>
              <w:marTop w:val="0"/>
              <w:marBottom w:val="0"/>
              <w:divBdr>
                <w:top w:val="none" w:sz="0" w:space="0" w:color="auto"/>
                <w:left w:val="none" w:sz="0" w:space="0" w:color="auto"/>
                <w:bottom w:val="none" w:sz="0" w:space="0" w:color="auto"/>
                <w:right w:val="none" w:sz="0" w:space="0" w:color="auto"/>
              </w:divBdr>
              <w:divsChild>
                <w:div w:id="1605847506">
                  <w:marLeft w:val="0"/>
                  <w:marRight w:val="1"/>
                  <w:marTop w:val="0"/>
                  <w:marBottom w:val="0"/>
                  <w:divBdr>
                    <w:top w:val="none" w:sz="0" w:space="0" w:color="auto"/>
                    <w:left w:val="none" w:sz="0" w:space="0" w:color="auto"/>
                    <w:bottom w:val="none" w:sz="0" w:space="0" w:color="auto"/>
                    <w:right w:val="none" w:sz="0" w:space="0" w:color="auto"/>
                  </w:divBdr>
                  <w:divsChild>
                    <w:div w:id="1617633795">
                      <w:marLeft w:val="0"/>
                      <w:marRight w:val="0"/>
                      <w:marTop w:val="0"/>
                      <w:marBottom w:val="0"/>
                      <w:divBdr>
                        <w:top w:val="none" w:sz="0" w:space="0" w:color="auto"/>
                        <w:left w:val="none" w:sz="0" w:space="0" w:color="auto"/>
                        <w:bottom w:val="none" w:sz="0" w:space="0" w:color="auto"/>
                        <w:right w:val="none" w:sz="0" w:space="0" w:color="auto"/>
                      </w:divBdr>
                      <w:divsChild>
                        <w:div w:id="1058435212">
                          <w:marLeft w:val="0"/>
                          <w:marRight w:val="0"/>
                          <w:marTop w:val="0"/>
                          <w:marBottom w:val="0"/>
                          <w:divBdr>
                            <w:top w:val="none" w:sz="0" w:space="0" w:color="auto"/>
                            <w:left w:val="none" w:sz="0" w:space="0" w:color="auto"/>
                            <w:bottom w:val="none" w:sz="0" w:space="0" w:color="auto"/>
                            <w:right w:val="none" w:sz="0" w:space="0" w:color="auto"/>
                          </w:divBdr>
                          <w:divsChild>
                            <w:div w:id="1874295978">
                              <w:marLeft w:val="0"/>
                              <w:marRight w:val="0"/>
                              <w:marTop w:val="0"/>
                              <w:marBottom w:val="0"/>
                              <w:divBdr>
                                <w:top w:val="none" w:sz="0" w:space="0" w:color="auto"/>
                                <w:left w:val="none" w:sz="0" w:space="0" w:color="auto"/>
                                <w:bottom w:val="none" w:sz="0" w:space="0" w:color="auto"/>
                                <w:right w:val="none" w:sz="0" w:space="0" w:color="auto"/>
                              </w:divBdr>
                              <w:divsChild>
                                <w:div w:id="183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814418597">
      <w:bodyDiv w:val="1"/>
      <w:marLeft w:val="0"/>
      <w:marRight w:val="0"/>
      <w:marTop w:val="0"/>
      <w:marBottom w:val="0"/>
      <w:divBdr>
        <w:top w:val="none" w:sz="0" w:space="0" w:color="auto"/>
        <w:left w:val="none" w:sz="0" w:space="0" w:color="auto"/>
        <w:bottom w:val="none" w:sz="0" w:space="0" w:color="auto"/>
        <w:right w:val="none" w:sz="0" w:space="0" w:color="auto"/>
      </w:divBdr>
      <w:divsChild>
        <w:div w:id="1783917006">
          <w:marLeft w:val="0"/>
          <w:marRight w:val="1"/>
          <w:marTop w:val="0"/>
          <w:marBottom w:val="0"/>
          <w:divBdr>
            <w:top w:val="none" w:sz="0" w:space="0" w:color="auto"/>
            <w:left w:val="none" w:sz="0" w:space="0" w:color="auto"/>
            <w:bottom w:val="none" w:sz="0" w:space="0" w:color="auto"/>
            <w:right w:val="none" w:sz="0" w:space="0" w:color="auto"/>
          </w:divBdr>
          <w:divsChild>
            <w:div w:id="329412865">
              <w:marLeft w:val="153"/>
              <w:marRight w:val="0"/>
              <w:marTop w:val="0"/>
              <w:marBottom w:val="0"/>
              <w:divBdr>
                <w:top w:val="none" w:sz="0" w:space="0" w:color="auto"/>
                <w:left w:val="none" w:sz="0" w:space="0" w:color="auto"/>
                <w:bottom w:val="none" w:sz="0" w:space="0" w:color="auto"/>
                <w:right w:val="none" w:sz="0" w:space="0" w:color="auto"/>
              </w:divBdr>
              <w:divsChild>
                <w:div w:id="524830038">
                  <w:marLeft w:val="0"/>
                  <w:marRight w:val="1"/>
                  <w:marTop w:val="0"/>
                  <w:marBottom w:val="0"/>
                  <w:divBdr>
                    <w:top w:val="none" w:sz="0" w:space="0" w:color="auto"/>
                    <w:left w:val="none" w:sz="0" w:space="0" w:color="auto"/>
                    <w:bottom w:val="none" w:sz="0" w:space="0" w:color="auto"/>
                    <w:right w:val="none" w:sz="0" w:space="0" w:color="auto"/>
                  </w:divBdr>
                  <w:divsChild>
                    <w:div w:id="1949042683">
                      <w:marLeft w:val="0"/>
                      <w:marRight w:val="0"/>
                      <w:marTop w:val="0"/>
                      <w:marBottom w:val="0"/>
                      <w:divBdr>
                        <w:top w:val="none" w:sz="0" w:space="0" w:color="auto"/>
                        <w:left w:val="none" w:sz="0" w:space="0" w:color="auto"/>
                        <w:bottom w:val="none" w:sz="0" w:space="0" w:color="auto"/>
                        <w:right w:val="none" w:sz="0" w:space="0" w:color="auto"/>
                      </w:divBdr>
                      <w:divsChild>
                        <w:div w:id="562911154">
                          <w:marLeft w:val="0"/>
                          <w:marRight w:val="0"/>
                          <w:marTop w:val="0"/>
                          <w:marBottom w:val="0"/>
                          <w:divBdr>
                            <w:top w:val="none" w:sz="0" w:space="0" w:color="auto"/>
                            <w:left w:val="none" w:sz="0" w:space="0" w:color="auto"/>
                            <w:bottom w:val="none" w:sz="0" w:space="0" w:color="auto"/>
                            <w:right w:val="none" w:sz="0" w:space="0" w:color="auto"/>
                          </w:divBdr>
                          <w:divsChild>
                            <w:div w:id="1468694231">
                              <w:marLeft w:val="0"/>
                              <w:marRight w:val="0"/>
                              <w:marTop w:val="0"/>
                              <w:marBottom w:val="0"/>
                              <w:divBdr>
                                <w:top w:val="none" w:sz="0" w:space="0" w:color="auto"/>
                                <w:left w:val="none" w:sz="0" w:space="0" w:color="auto"/>
                                <w:bottom w:val="none" w:sz="0" w:space="0" w:color="auto"/>
                                <w:right w:val="none" w:sz="0" w:space="0" w:color="auto"/>
                              </w:divBdr>
                              <w:divsChild>
                                <w:div w:id="787940186">
                                  <w:marLeft w:val="0"/>
                                  <w:marRight w:val="0"/>
                                  <w:marTop w:val="0"/>
                                  <w:marBottom w:val="0"/>
                                  <w:divBdr>
                                    <w:top w:val="none" w:sz="0" w:space="0" w:color="auto"/>
                                    <w:left w:val="none" w:sz="0" w:space="0" w:color="auto"/>
                                    <w:bottom w:val="none" w:sz="0" w:space="0" w:color="auto"/>
                                    <w:right w:val="none" w:sz="0" w:space="0" w:color="auto"/>
                                  </w:divBdr>
                                </w:div>
                                <w:div w:id="1578595719">
                                  <w:marLeft w:val="0"/>
                                  <w:marRight w:val="0"/>
                                  <w:marTop w:val="0"/>
                                  <w:marBottom w:val="0"/>
                                  <w:divBdr>
                                    <w:top w:val="none" w:sz="0" w:space="0" w:color="auto"/>
                                    <w:left w:val="none" w:sz="0" w:space="0" w:color="auto"/>
                                    <w:bottom w:val="none" w:sz="0" w:space="0" w:color="auto"/>
                                    <w:right w:val="none" w:sz="0" w:space="0" w:color="auto"/>
                                  </w:divBdr>
                                </w:div>
                                <w:div w:id="1613628125">
                                  <w:marLeft w:val="0"/>
                                  <w:marRight w:val="0"/>
                                  <w:marTop w:val="0"/>
                                  <w:marBottom w:val="0"/>
                                  <w:divBdr>
                                    <w:top w:val="none" w:sz="0" w:space="0" w:color="auto"/>
                                    <w:left w:val="none" w:sz="0" w:space="0" w:color="auto"/>
                                    <w:bottom w:val="none" w:sz="0" w:space="0" w:color="auto"/>
                                    <w:right w:val="none" w:sz="0" w:space="0" w:color="auto"/>
                                  </w:divBdr>
                                </w:div>
                                <w:div w:id="1529176546">
                                  <w:marLeft w:val="0"/>
                                  <w:marRight w:val="0"/>
                                  <w:marTop w:val="0"/>
                                  <w:marBottom w:val="0"/>
                                  <w:divBdr>
                                    <w:top w:val="none" w:sz="0" w:space="0" w:color="auto"/>
                                    <w:left w:val="none" w:sz="0" w:space="0" w:color="auto"/>
                                    <w:bottom w:val="none" w:sz="0" w:space="0" w:color="auto"/>
                                    <w:right w:val="none" w:sz="0" w:space="0" w:color="auto"/>
                                  </w:divBdr>
                                </w:div>
                                <w:div w:id="1281499104">
                                  <w:marLeft w:val="0"/>
                                  <w:marRight w:val="0"/>
                                  <w:marTop w:val="0"/>
                                  <w:marBottom w:val="0"/>
                                  <w:divBdr>
                                    <w:top w:val="none" w:sz="0" w:space="0" w:color="auto"/>
                                    <w:left w:val="none" w:sz="0" w:space="0" w:color="auto"/>
                                    <w:bottom w:val="none" w:sz="0" w:space="0" w:color="auto"/>
                                    <w:right w:val="none" w:sz="0" w:space="0" w:color="auto"/>
                                  </w:divBdr>
                                </w:div>
                                <w:div w:id="780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380B-867A-4CA5-A307-E38CFF2A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2012-03-15T12:32:00Z</dcterms:created>
  <dcterms:modified xsi:type="dcterms:W3CDTF">2012-04-06T15:40:00Z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