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CB6186">
        <w:rPr>
          <w:caps/>
          <w:color w:val="000000"/>
        </w:rPr>
        <w:t>XXXXXXXXX</w:t>
      </w:r>
      <w:r w:rsidR="00303BC3" w:rsidRPr="00303BC3">
        <w:rPr>
          <w:caps/>
          <w:color w:val="auto"/>
        </w:rPr>
        <w:t xml:space="preserve">        </w:t>
      </w:r>
      <w:r w:rsidR="00DD5558" w:rsidRPr="00303BC3">
        <w:rPr>
          <w:caps/>
          <w:color w:val="auto"/>
        </w:rPr>
        <w:tab/>
      </w:r>
      <w:r w:rsidRPr="00303BC3">
        <w:rPr>
          <w:caps/>
          <w:color w:val="auto"/>
        </w:rPr>
        <w:t xml:space="preserve">BRANCH OF SERVICE:  </w:t>
      </w:r>
      <w:r w:rsidR="00023677">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00310F34" w:rsidRPr="00A85BBC">
        <w:rPr>
          <w:caps/>
          <w:color w:val="000000"/>
        </w:rPr>
        <w:t>PD110072</w:t>
      </w:r>
      <w:r w:rsidR="00310F34">
        <w:rPr>
          <w:caps/>
          <w:color w:val="000000"/>
        </w:rPr>
        <w:t>2</w:t>
      </w:r>
      <w:r w:rsidR="0041690F">
        <w:rPr>
          <w:color w:val="auto"/>
        </w:rPr>
        <w:t xml:space="preserve">                                             </w:t>
      </w:r>
      <w:r w:rsidR="00B01038" w:rsidRPr="001F29F9">
        <w:rPr>
          <w:rFonts w:cs="Times New Roman"/>
          <w:color w:val="000000"/>
          <w:szCs w:val="24"/>
        </w:rPr>
        <w:t xml:space="preserve">DATE OF PLACEMENT ON TDRL:  </w:t>
      </w:r>
      <w:r w:rsidR="00310F34" w:rsidRPr="001F29F9">
        <w:rPr>
          <w:color w:val="000000"/>
        </w:rPr>
        <w:t>200</w:t>
      </w:r>
      <w:r w:rsidR="00310F34">
        <w:rPr>
          <w:color w:val="000000"/>
        </w:rPr>
        <w:t>209</w:t>
      </w:r>
      <w:r w:rsidR="007C0FBF">
        <w:rPr>
          <w:color w:val="000000"/>
        </w:rPr>
        <w:t>20</w:t>
      </w:r>
    </w:p>
    <w:p w:rsidR="00AD2379" w:rsidRDefault="0095270D" w:rsidP="0095270D">
      <w:pPr>
        <w:pBdr>
          <w:bottom w:val="single" w:sz="12" w:space="1" w:color="auto"/>
        </w:pBdr>
        <w:tabs>
          <w:tab w:val="left" w:pos="288"/>
          <w:tab w:val="left" w:pos="4752"/>
        </w:tabs>
        <w:jc w:val="both"/>
        <w:rPr>
          <w:color w:val="000000"/>
        </w:rPr>
      </w:pPr>
      <w:r w:rsidRPr="00F64312">
        <w:rPr>
          <w:caps/>
          <w:color w:val="auto"/>
        </w:rPr>
        <w:t>BOARD DATE:</w:t>
      </w:r>
      <w:r w:rsidR="00B01038">
        <w:rPr>
          <w:caps/>
          <w:color w:val="auto"/>
        </w:rPr>
        <w:t xml:space="preserve"> </w:t>
      </w:r>
      <w:r w:rsidRPr="00F64312">
        <w:rPr>
          <w:caps/>
          <w:color w:val="auto"/>
        </w:rPr>
        <w:t>2012</w:t>
      </w:r>
      <w:r w:rsidR="00F87DFB">
        <w:rPr>
          <w:caps/>
          <w:color w:val="auto"/>
        </w:rPr>
        <w:t>0606</w:t>
      </w:r>
      <w:r w:rsidR="00B01038">
        <w:rPr>
          <w:caps/>
          <w:color w:val="auto"/>
          <w:szCs w:val="24"/>
        </w:rPr>
        <w:t xml:space="preserve">                                        </w:t>
      </w:r>
      <w:r w:rsidR="0041690F">
        <w:rPr>
          <w:caps/>
          <w:color w:val="auto"/>
          <w:szCs w:val="24"/>
        </w:rPr>
        <w:t xml:space="preserve">  </w:t>
      </w:r>
      <w:r w:rsidR="00F55634">
        <w:rPr>
          <w:caps/>
          <w:color w:val="auto"/>
          <w:szCs w:val="24"/>
        </w:rPr>
        <w:t xml:space="preserve"> </w:t>
      </w:r>
      <w:r w:rsidR="00B01038" w:rsidRPr="001F29F9">
        <w:rPr>
          <w:rFonts w:cs="Times New Roman"/>
          <w:caps/>
          <w:color w:val="000000"/>
          <w:szCs w:val="24"/>
        </w:rPr>
        <w:t xml:space="preserve">Date of Permanent </w:t>
      </w:r>
      <w:r w:rsidR="00B01038" w:rsidRPr="001F29F9">
        <w:rPr>
          <w:rFonts w:cs="Times New Roman"/>
          <w:color w:val="000000"/>
          <w:szCs w:val="24"/>
        </w:rPr>
        <w:t xml:space="preserve">SEPARATION:  </w:t>
      </w:r>
      <w:r w:rsidR="00310F34" w:rsidRPr="001F29F9">
        <w:rPr>
          <w:color w:val="000000"/>
        </w:rPr>
        <w:t>200</w:t>
      </w:r>
      <w:r w:rsidR="00310F34">
        <w:rPr>
          <w:color w:val="000000"/>
        </w:rPr>
        <w:t>50720</w:t>
      </w:r>
    </w:p>
    <w:p w:rsidR="0095270D" w:rsidRPr="00F64312" w:rsidRDefault="0095270D" w:rsidP="0095270D">
      <w:pPr>
        <w:pBdr>
          <w:bottom w:val="single" w:sz="12" w:space="1" w:color="auto"/>
        </w:pBdr>
        <w:tabs>
          <w:tab w:val="left" w:pos="288"/>
          <w:tab w:val="left" w:pos="4752"/>
        </w:tabs>
        <w:jc w:val="both"/>
        <w:rPr>
          <w:color w:val="auto"/>
        </w:rPr>
      </w:pPr>
    </w:p>
    <w:p w:rsidR="00C26070" w:rsidRPr="00F64312" w:rsidRDefault="00C26070" w:rsidP="00BF0E94">
      <w:pPr>
        <w:tabs>
          <w:tab w:val="left" w:pos="288"/>
          <w:tab w:val="left" w:pos="4752"/>
        </w:tabs>
        <w:jc w:val="both"/>
        <w:rPr>
          <w:color w:val="auto"/>
        </w:rPr>
      </w:pPr>
    </w:p>
    <w:p w:rsidR="00E46D90" w:rsidRDefault="00AD2379" w:rsidP="00070D3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161DE" w:rsidRPr="00A161DE">
        <w:rPr>
          <w:color w:val="auto"/>
        </w:rPr>
        <w:t xml:space="preserve">active duty SSG/E-6 (92Y3L/Supply Specialist), medically separated for fibromyalgia with muscle pain and fatigue; greater than </w:t>
      </w:r>
      <w:r w:rsidR="00A161DE" w:rsidRPr="00A161DE">
        <w:rPr>
          <w:bCs/>
          <w:color w:val="auto"/>
        </w:rPr>
        <w:t>11 of 18 tender</w:t>
      </w:r>
      <w:r w:rsidR="00070D34">
        <w:rPr>
          <w:bCs/>
          <w:color w:val="auto"/>
        </w:rPr>
        <w:t xml:space="preserve"> </w:t>
      </w:r>
      <w:r w:rsidR="00A161DE" w:rsidRPr="00A161DE">
        <w:rPr>
          <w:color w:val="auto"/>
        </w:rPr>
        <w:t>points</w:t>
      </w:r>
      <w:r w:rsidR="00A161DE" w:rsidRPr="00A161DE">
        <w:rPr>
          <w:i/>
          <w:color w:val="auto"/>
        </w:rPr>
        <w:t xml:space="preserve">, </w:t>
      </w:r>
      <w:r w:rsidR="00A161DE" w:rsidRPr="00A161DE">
        <w:rPr>
          <w:color w:val="auto"/>
        </w:rPr>
        <w:t xml:space="preserve">degenerative joint disease </w:t>
      </w:r>
      <w:r w:rsidR="006E2A72">
        <w:rPr>
          <w:color w:val="auto"/>
        </w:rPr>
        <w:t xml:space="preserve">(DJD) </w:t>
      </w:r>
      <w:r w:rsidR="00A161DE" w:rsidRPr="00A161DE">
        <w:rPr>
          <w:color w:val="auto"/>
        </w:rPr>
        <w:t>status post rotator cuff repair, and obstructive sleep apnea</w:t>
      </w:r>
      <w:r w:rsidR="006E2A72">
        <w:rPr>
          <w:color w:val="auto"/>
        </w:rPr>
        <w:t xml:space="preserve"> (OSA)</w:t>
      </w:r>
      <w:r w:rsidR="00A161DE" w:rsidRPr="00A161DE">
        <w:rPr>
          <w:color w:val="auto"/>
        </w:rPr>
        <w:t xml:space="preserve"> rated as mild industrial </w:t>
      </w:r>
      <w:r w:rsidR="00A161DE" w:rsidRPr="00324D60">
        <w:rPr>
          <w:color w:val="auto"/>
        </w:rPr>
        <w:t>impairment.</w:t>
      </w:r>
      <w:r w:rsidR="00324D60" w:rsidRPr="00324D60">
        <w:rPr>
          <w:color w:val="auto"/>
        </w:rPr>
        <w:t xml:space="preserve"> </w:t>
      </w:r>
      <w:r w:rsidR="006E2A72">
        <w:rPr>
          <w:color w:val="auto"/>
        </w:rPr>
        <w:t xml:space="preserve"> </w:t>
      </w:r>
      <w:r w:rsidR="00324D60" w:rsidRPr="00324D60">
        <w:rPr>
          <w:color w:val="auto"/>
        </w:rPr>
        <w:t xml:space="preserve">The CI’s </w:t>
      </w:r>
      <w:r w:rsidR="006E2A72">
        <w:rPr>
          <w:color w:val="auto"/>
        </w:rPr>
        <w:t>f</w:t>
      </w:r>
      <w:r w:rsidR="00F9752F" w:rsidRPr="00324D60">
        <w:rPr>
          <w:color w:val="auto"/>
        </w:rPr>
        <w:t xml:space="preserve">ibromyalgia, </w:t>
      </w:r>
      <w:r w:rsidR="006E2A72">
        <w:rPr>
          <w:color w:val="auto"/>
        </w:rPr>
        <w:t>DJD</w:t>
      </w:r>
      <w:r w:rsidR="00F9752F" w:rsidRPr="00324D60">
        <w:rPr>
          <w:color w:val="auto"/>
        </w:rPr>
        <w:t xml:space="preserve">, </w:t>
      </w:r>
      <w:r w:rsidR="00A558A5" w:rsidRPr="00324D60">
        <w:rPr>
          <w:color w:val="auto"/>
        </w:rPr>
        <w:t xml:space="preserve">and </w:t>
      </w:r>
      <w:r w:rsidR="006E2A72">
        <w:rPr>
          <w:color w:val="auto"/>
        </w:rPr>
        <w:t xml:space="preserve">OSA </w:t>
      </w:r>
      <w:r w:rsidR="00F15483" w:rsidRPr="00324D60">
        <w:rPr>
          <w:color w:val="auto"/>
        </w:rPr>
        <w:t>did not improve adequately with treatment</w:t>
      </w:r>
      <w:r w:rsidR="00324D60">
        <w:rPr>
          <w:color w:val="auto"/>
        </w:rPr>
        <w:t xml:space="preserve"> and the CI was unable to perform the duties required of his grade</w:t>
      </w:r>
      <w:r w:rsidR="00DC3AFC">
        <w:rPr>
          <w:color w:val="auto"/>
        </w:rPr>
        <w:t>,</w:t>
      </w:r>
      <w:r w:rsidR="00324D60">
        <w:rPr>
          <w:color w:val="auto"/>
        </w:rPr>
        <w:t xml:space="preserve"> </w:t>
      </w:r>
      <w:r w:rsidR="00F566B7" w:rsidRPr="00324D60">
        <w:rPr>
          <w:color w:val="auto"/>
        </w:rPr>
        <w:t>meet</w:t>
      </w:r>
      <w:r w:rsidR="00F566B7" w:rsidRPr="00F64312">
        <w:rPr>
          <w:color w:val="auto"/>
        </w:rPr>
        <w:t xml:space="preserve"> the physical requirements of </w:t>
      </w:r>
      <w:r w:rsidR="00F566B7" w:rsidRPr="00B51EAE">
        <w:rPr>
          <w:color w:val="auto"/>
        </w:rPr>
        <w:t>his Military Occupational Specialty (MOS)</w:t>
      </w:r>
      <w:r w:rsidR="006A0909" w:rsidRPr="00B51EAE">
        <w:rPr>
          <w:color w:val="auto"/>
        </w:rPr>
        <w:t xml:space="preserve"> </w:t>
      </w:r>
      <w:r w:rsidR="00F566B7" w:rsidRPr="00B51EAE">
        <w:rPr>
          <w:color w:val="auto"/>
        </w:rPr>
        <w:t>or satis</w:t>
      </w:r>
      <w:r w:rsidR="009C12A1" w:rsidRPr="00B51EAE">
        <w:rPr>
          <w:color w:val="auto"/>
        </w:rPr>
        <w:t>fy physical fitness standards.</w:t>
      </w:r>
      <w:r w:rsidR="006E2A72">
        <w:rPr>
          <w:color w:val="auto"/>
        </w:rPr>
        <w:t xml:space="preserve"> </w:t>
      </w:r>
      <w:r w:rsidR="00F566B7" w:rsidRPr="00B51EAE">
        <w:rPr>
          <w:color w:val="auto"/>
        </w:rPr>
        <w:t xml:space="preserve"> </w:t>
      </w:r>
      <w:r w:rsidR="009C12A1" w:rsidRPr="00B51EAE">
        <w:rPr>
          <w:color w:val="auto"/>
        </w:rPr>
        <w:t xml:space="preserve">He </w:t>
      </w:r>
      <w:r w:rsidR="00F566B7" w:rsidRPr="00B51EAE">
        <w:rPr>
          <w:color w:val="auto"/>
        </w:rPr>
        <w:t xml:space="preserve">was issued a </w:t>
      </w:r>
      <w:r w:rsidR="00F9752F" w:rsidRPr="00B51EAE">
        <w:rPr>
          <w:color w:val="000000"/>
          <w:szCs w:val="24"/>
        </w:rPr>
        <w:t xml:space="preserve">permanent </w:t>
      </w:r>
      <w:r w:rsidR="00064E37" w:rsidRPr="00B51EAE">
        <w:rPr>
          <w:color w:val="000000"/>
          <w:szCs w:val="24"/>
        </w:rPr>
        <w:t>P3 and</w:t>
      </w:r>
      <w:r w:rsidR="00F9752F" w:rsidRPr="00B51EAE">
        <w:rPr>
          <w:color w:val="000000"/>
          <w:szCs w:val="24"/>
        </w:rPr>
        <w:t xml:space="preserve"> U3 </w:t>
      </w:r>
      <w:r w:rsidR="00F566B7" w:rsidRPr="00B51EAE">
        <w:rPr>
          <w:color w:val="auto"/>
        </w:rPr>
        <w:t>and</w:t>
      </w:r>
      <w:r w:rsidR="009C12A1" w:rsidRPr="00B51EAE">
        <w:rPr>
          <w:color w:val="auto"/>
        </w:rPr>
        <w:t xml:space="preserve"> </w:t>
      </w:r>
      <w:r w:rsidR="00F566B7" w:rsidRPr="00B51EAE">
        <w:rPr>
          <w:color w:val="auto"/>
        </w:rPr>
        <w:t>referred for a Medical Evaluation Board (MEB).</w:t>
      </w:r>
      <w:r w:rsidR="00F55634">
        <w:rPr>
          <w:color w:val="auto"/>
        </w:rPr>
        <w:t xml:space="preserve"> </w:t>
      </w:r>
      <w:r w:rsidR="006E2A72">
        <w:rPr>
          <w:color w:val="auto"/>
        </w:rPr>
        <w:t xml:space="preserve"> </w:t>
      </w:r>
      <w:r w:rsidR="00F9752F" w:rsidRPr="00B51EAE">
        <w:rPr>
          <w:bCs/>
          <w:color w:val="auto"/>
        </w:rPr>
        <w:t>Diabetes mellitus type</w:t>
      </w:r>
      <w:r w:rsidR="00260169" w:rsidRPr="00B51EAE">
        <w:rPr>
          <w:bCs/>
          <w:color w:val="auto"/>
        </w:rPr>
        <w:t xml:space="preserve"> 2</w:t>
      </w:r>
      <w:r w:rsidR="00F9752F" w:rsidRPr="00B51EAE">
        <w:rPr>
          <w:color w:val="auto"/>
        </w:rPr>
        <w:t xml:space="preserve"> </w:t>
      </w:r>
      <w:r w:rsidR="00071F0D" w:rsidRPr="00B51EAE">
        <w:rPr>
          <w:color w:val="auto"/>
        </w:rPr>
        <w:t>conditions identified</w:t>
      </w:r>
      <w:r w:rsidR="00F9752F" w:rsidRPr="00B51EAE">
        <w:rPr>
          <w:color w:val="auto"/>
        </w:rPr>
        <w:t xml:space="preserve"> in the rating chart below, was</w:t>
      </w:r>
      <w:r w:rsidR="00071F0D" w:rsidRPr="00B51EAE">
        <w:rPr>
          <w:color w:val="auto"/>
        </w:rPr>
        <w:t xml:space="preserve"> also identified and forwarded by the MEB</w:t>
      </w:r>
      <w:r w:rsidR="00F55634">
        <w:rPr>
          <w:color w:val="auto"/>
        </w:rPr>
        <w:t xml:space="preserve">. </w:t>
      </w:r>
      <w:r w:rsidR="006E2A72">
        <w:rPr>
          <w:color w:val="auto"/>
        </w:rPr>
        <w:t xml:space="preserve"> </w:t>
      </w:r>
      <w:r w:rsidRPr="00F64312">
        <w:rPr>
          <w:color w:val="auto"/>
        </w:rPr>
        <w:t xml:space="preserve">The </w:t>
      </w:r>
      <w:r w:rsidR="00DC3AFC">
        <w:rPr>
          <w:color w:val="auto"/>
        </w:rPr>
        <w:t>Physical Evaluation Board (</w:t>
      </w:r>
      <w:r w:rsidRPr="00F64312">
        <w:rPr>
          <w:color w:val="auto"/>
        </w:rPr>
        <w:t>PEB</w:t>
      </w:r>
      <w:r w:rsidR="00DC3AFC">
        <w:rPr>
          <w:color w:val="auto"/>
        </w:rPr>
        <w:t>)</w:t>
      </w:r>
      <w:r w:rsidRPr="00F64312">
        <w:rPr>
          <w:color w:val="auto"/>
        </w:rPr>
        <w:t xml:space="preserve"> </w:t>
      </w:r>
      <w:r w:rsidR="00324D60">
        <w:rPr>
          <w:color w:val="auto"/>
        </w:rPr>
        <w:t xml:space="preserve">initially </w:t>
      </w:r>
      <w:r w:rsidRPr="00F64312">
        <w:rPr>
          <w:color w:val="auto"/>
        </w:rPr>
        <w:t xml:space="preserve">adjudicated the </w:t>
      </w:r>
      <w:r w:rsidR="00F9752F">
        <w:rPr>
          <w:color w:val="auto"/>
        </w:rPr>
        <w:t>f</w:t>
      </w:r>
      <w:r w:rsidR="00F9752F" w:rsidRPr="00A161DE">
        <w:rPr>
          <w:color w:val="auto"/>
        </w:rPr>
        <w:t>ibromyalgia</w:t>
      </w:r>
      <w:r w:rsidR="00F9752F">
        <w:rPr>
          <w:color w:val="auto"/>
        </w:rPr>
        <w:t xml:space="preserve">, </w:t>
      </w:r>
      <w:r w:rsidR="006E2A72">
        <w:rPr>
          <w:color w:val="auto"/>
        </w:rPr>
        <w:t>DJD</w:t>
      </w:r>
      <w:r w:rsidR="00324D60" w:rsidRPr="00004B72">
        <w:rPr>
          <w:color w:val="auto"/>
        </w:rPr>
        <w:t>, and</w:t>
      </w:r>
      <w:r w:rsidR="00260169" w:rsidRPr="00004B72">
        <w:rPr>
          <w:color w:val="auto"/>
        </w:rPr>
        <w:t xml:space="preserve"> </w:t>
      </w:r>
      <w:r w:rsidR="006E2A72">
        <w:rPr>
          <w:color w:val="auto"/>
        </w:rPr>
        <w:t>OSA</w:t>
      </w:r>
      <w:r w:rsidR="00324D60" w:rsidRPr="00004B72">
        <w:rPr>
          <w:color w:val="auto"/>
        </w:rPr>
        <w:t xml:space="preserve"> conditions</w:t>
      </w:r>
      <w:r w:rsidR="008530E3" w:rsidRPr="00004B72">
        <w:rPr>
          <w:color w:val="auto"/>
        </w:rPr>
        <w:t xml:space="preserve"> as unfitting, </w:t>
      </w:r>
      <w:r w:rsidR="00324D60">
        <w:rPr>
          <w:color w:val="auto"/>
        </w:rPr>
        <w:t xml:space="preserve">but determined they were not </w:t>
      </w:r>
      <w:r w:rsidR="00324D60">
        <w:rPr>
          <w:color w:val="000000"/>
          <w:szCs w:val="24"/>
        </w:rPr>
        <w:t>sufficiently stable for final adjudication</w:t>
      </w:r>
      <w:r w:rsidR="00324D60">
        <w:rPr>
          <w:color w:val="auto"/>
        </w:rPr>
        <w:t xml:space="preserve">. The CI was placed on the Temporary Disabled Retired List (TDRL) </w:t>
      </w:r>
      <w:r w:rsidR="00DC3AFC">
        <w:rPr>
          <w:color w:val="auto"/>
        </w:rPr>
        <w:t xml:space="preserve">and </w:t>
      </w:r>
      <w:r w:rsidR="00324D60">
        <w:rPr>
          <w:color w:val="auto"/>
        </w:rPr>
        <w:t xml:space="preserve">the conditions were </w:t>
      </w:r>
      <w:r w:rsidR="008530E3" w:rsidRPr="00004B72">
        <w:rPr>
          <w:color w:val="auto"/>
        </w:rPr>
        <w:t xml:space="preserve">rated </w:t>
      </w:r>
      <w:r w:rsidR="00324D60">
        <w:rPr>
          <w:color w:val="auto"/>
        </w:rPr>
        <w:t>2</w:t>
      </w:r>
      <w:r w:rsidR="00260169" w:rsidRPr="00004B72">
        <w:rPr>
          <w:color w:val="auto"/>
        </w:rPr>
        <w:t>0</w:t>
      </w:r>
      <w:r w:rsidR="00324D60" w:rsidRPr="00004B72">
        <w:rPr>
          <w:color w:val="auto"/>
        </w:rPr>
        <w:t>%,</w:t>
      </w:r>
      <w:r w:rsidR="00260169" w:rsidRPr="00004B72">
        <w:rPr>
          <w:color w:val="auto"/>
        </w:rPr>
        <w:t xml:space="preserve"> 10% and 0</w:t>
      </w:r>
      <w:r w:rsidR="000C647D" w:rsidRPr="00004B72">
        <w:rPr>
          <w:color w:val="auto"/>
        </w:rPr>
        <w:t>%</w:t>
      </w:r>
      <w:r w:rsidRPr="00004B72">
        <w:rPr>
          <w:color w:val="auto"/>
        </w:rPr>
        <w:t xml:space="preserve">, </w:t>
      </w:r>
      <w:r w:rsidR="00324D60">
        <w:rPr>
          <w:color w:val="auto"/>
        </w:rPr>
        <w:t xml:space="preserve">respectively, </w:t>
      </w:r>
      <w:r w:rsidR="00E46D90" w:rsidRPr="00004B72">
        <w:rPr>
          <w:color w:val="auto"/>
        </w:rPr>
        <w:t xml:space="preserve">with application of the </w:t>
      </w:r>
      <w:r w:rsidRPr="00004B72">
        <w:rPr>
          <w:color w:val="auto"/>
        </w:rPr>
        <w:t>Veteran</w:t>
      </w:r>
      <w:r w:rsidR="00BF72CA" w:rsidRPr="00004B72">
        <w:rPr>
          <w:color w:val="auto"/>
        </w:rPr>
        <w:t>’</w:t>
      </w:r>
      <w:r w:rsidRPr="00004B72">
        <w:rPr>
          <w:color w:val="auto"/>
        </w:rPr>
        <w:t>s A</w:t>
      </w:r>
      <w:r w:rsidR="00BF72CA" w:rsidRPr="00004B72">
        <w:rPr>
          <w:color w:val="auto"/>
        </w:rPr>
        <w:t>ffairs</w:t>
      </w:r>
      <w:r w:rsidRPr="00004B72">
        <w:rPr>
          <w:color w:val="auto"/>
        </w:rPr>
        <w:t xml:space="preserve"> Schedule for Rating Disabilities (VASRD)</w:t>
      </w:r>
      <w:r w:rsidR="000B1C9E" w:rsidRPr="00004B72">
        <w:rPr>
          <w:color w:val="auto"/>
        </w:rPr>
        <w:t xml:space="preserve"> </w:t>
      </w:r>
      <w:r w:rsidR="00324D60">
        <w:rPr>
          <w:color w:val="auto"/>
        </w:rPr>
        <w:t xml:space="preserve">and the </w:t>
      </w:r>
      <w:r w:rsidR="00E438A4" w:rsidRPr="00004B72">
        <w:rPr>
          <w:color w:val="auto"/>
        </w:rPr>
        <w:t>Department of Defense Instruction (</w:t>
      </w:r>
      <w:proofErr w:type="spellStart"/>
      <w:r w:rsidR="00E438A4" w:rsidRPr="00004B72">
        <w:rPr>
          <w:color w:val="auto"/>
        </w:rPr>
        <w:t>DoDI</w:t>
      </w:r>
      <w:proofErr w:type="spellEnd"/>
      <w:r w:rsidR="00E438A4" w:rsidRPr="00004B72">
        <w:rPr>
          <w:color w:val="auto"/>
        </w:rPr>
        <w:t>) 1332.39</w:t>
      </w:r>
      <w:r w:rsidR="00BF72CA" w:rsidRPr="00F64312">
        <w:rPr>
          <w:color w:val="auto"/>
        </w:rPr>
        <w:t>.</w:t>
      </w:r>
      <w:r w:rsidR="00F55634">
        <w:rPr>
          <w:color w:val="auto"/>
        </w:rPr>
        <w:t xml:space="preserve"> </w:t>
      </w:r>
      <w:r w:rsidR="00324D60">
        <w:rPr>
          <w:color w:val="auto"/>
        </w:rPr>
        <w:t>Once the conditions had stabilized, the PEB again determined that each of the three conditions was unfitting and the CI was separated from the TDRL. The conditions were then rated at 1</w:t>
      </w:r>
      <w:r w:rsidR="00324D60" w:rsidRPr="00004B72">
        <w:rPr>
          <w:color w:val="auto"/>
        </w:rPr>
        <w:t>0%, 10% and 0%,</w:t>
      </w:r>
      <w:r w:rsidR="00324D60">
        <w:rPr>
          <w:color w:val="auto"/>
        </w:rPr>
        <w:t xml:space="preserve"> respectively, </w:t>
      </w:r>
      <w:r w:rsidR="00324D60" w:rsidRPr="00004B72">
        <w:rPr>
          <w:color w:val="auto"/>
        </w:rPr>
        <w:t xml:space="preserve">with application of the Veteran’s Affairs Schedule for Rating Disabilities (VASRD) </w:t>
      </w:r>
      <w:r w:rsidR="00324D60">
        <w:rPr>
          <w:color w:val="auto"/>
        </w:rPr>
        <w:t xml:space="preserve">and the </w:t>
      </w:r>
      <w:r w:rsidR="00324D60" w:rsidRPr="00004B72">
        <w:rPr>
          <w:color w:val="auto"/>
        </w:rPr>
        <w:t>Department of Defense Instruction (</w:t>
      </w:r>
      <w:proofErr w:type="spellStart"/>
      <w:r w:rsidR="00324D60" w:rsidRPr="00004B72">
        <w:rPr>
          <w:color w:val="auto"/>
        </w:rPr>
        <w:t>DoDI</w:t>
      </w:r>
      <w:proofErr w:type="spellEnd"/>
      <w:r w:rsidR="00324D60" w:rsidRPr="00004B72">
        <w:rPr>
          <w:color w:val="auto"/>
        </w:rPr>
        <w:t>) 1332.39</w:t>
      </w:r>
      <w:r w:rsidR="00F55634">
        <w:rPr>
          <w:color w:val="auto"/>
        </w:rPr>
        <w:t>.</w:t>
      </w:r>
    </w:p>
    <w:p w:rsidR="0089263D" w:rsidRDefault="0089263D" w:rsidP="00070D34">
      <w:pPr>
        <w:tabs>
          <w:tab w:val="left" w:pos="288"/>
          <w:tab w:val="left" w:pos="4752"/>
        </w:tabs>
        <w:jc w:val="both"/>
        <w:rPr>
          <w:color w:val="auto"/>
        </w:rPr>
      </w:pPr>
    </w:p>
    <w:p w:rsidR="0089263D" w:rsidRDefault="0089263D" w:rsidP="00070D34">
      <w:pPr>
        <w:tabs>
          <w:tab w:val="left" w:pos="288"/>
          <w:tab w:val="left" w:pos="4752"/>
        </w:tabs>
        <w:jc w:val="both"/>
        <w:rPr>
          <w:color w:val="FF0000"/>
        </w:rPr>
      </w:pPr>
      <w:r>
        <w:rPr>
          <w:color w:val="auto"/>
        </w:rPr>
        <w:t xml:space="preserve">The CI appealed the ratings at the time of TDRL entry and at the time of final separation but no changes </w:t>
      </w:r>
      <w:proofErr w:type="gramStart"/>
      <w:r>
        <w:rPr>
          <w:color w:val="auto"/>
        </w:rPr>
        <w:t>were</w:t>
      </w:r>
      <w:proofErr w:type="gramEnd"/>
      <w:r>
        <w:rPr>
          <w:color w:val="auto"/>
        </w:rPr>
        <w:t xml:space="preserve"> made by the PEB. </w:t>
      </w:r>
      <w:r w:rsidR="006E2A72">
        <w:rPr>
          <w:color w:val="auto"/>
        </w:rPr>
        <w:t xml:space="preserve"> </w:t>
      </w:r>
      <w:r>
        <w:rPr>
          <w:color w:val="auto"/>
        </w:rPr>
        <w:t xml:space="preserve">The CI appealed to the </w:t>
      </w:r>
      <w:r w:rsidR="00DC3AFC" w:rsidRPr="00A00471">
        <w:rPr>
          <w:color w:val="auto"/>
        </w:rPr>
        <w:t>Army Board for the Correction of Military Records</w:t>
      </w:r>
      <w:r w:rsidR="00DC3AFC" w:rsidRPr="00B51EAE">
        <w:rPr>
          <w:color w:val="auto"/>
        </w:rPr>
        <w:t xml:space="preserve"> (</w:t>
      </w:r>
      <w:r w:rsidR="00290E26">
        <w:rPr>
          <w:color w:val="auto"/>
        </w:rPr>
        <w:t>A</w:t>
      </w:r>
      <w:r w:rsidR="00DC3AFC" w:rsidRPr="00B51EAE">
        <w:rPr>
          <w:color w:val="auto"/>
        </w:rPr>
        <w:t>BCMR</w:t>
      </w:r>
      <w:r w:rsidR="00DC3AFC">
        <w:rPr>
          <w:color w:val="auto"/>
        </w:rPr>
        <w:t>)</w:t>
      </w:r>
      <w:r>
        <w:rPr>
          <w:color w:val="auto"/>
        </w:rPr>
        <w:t xml:space="preserve"> in December 2006 requesting higher ratings IAW the VASRD. </w:t>
      </w:r>
      <w:r w:rsidR="006E2A72">
        <w:rPr>
          <w:color w:val="auto"/>
        </w:rPr>
        <w:t xml:space="preserve"> </w:t>
      </w:r>
      <w:r>
        <w:rPr>
          <w:color w:val="auto"/>
        </w:rPr>
        <w:t>However</w:t>
      </w:r>
      <w:r w:rsidR="00DC3AFC">
        <w:rPr>
          <w:color w:val="auto"/>
        </w:rPr>
        <w:t>,</w:t>
      </w:r>
      <w:r>
        <w:rPr>
          <w:color w:val="auto"/>
        </w:rPr>
        <w:t xml:space="preserve"> his application was denied and he was separated with severance pay.</w:t>
      </w:r>
    </w:p>
    <w:p w:rsidR="00042978" w:rsidRPr="00F64312" w:rsidRDefault="00042978" w:rsidP="00042978">
      <w:pPr>
        <w:pBdr>
          <w:bottom w:val="single" w:sz="12" w:space="1" w:color="auto"/>
        </w:pBdr>
        <w:tabs>
          <w:tab w:val="left" w:pos="288"/>
          <w:tab w:val="left" w:pos="4752"/>
        </w:tabs>
        <w:jc w:val="both"/>
        <w:rPr>
          <w:color w:val="auto"/>
        </w:rPr>
      </w:pPr>
    </w:p>
    <w:p w:rsidR="00A00471" w:rsidRDefault="00A00471" w:rsidP="006537FE">
      <w:pPr>
        <w:tabs>
          <w:tab w:val="left" w:pos="288"/>
          <w:tab w:val="left" w:pos="4752"/>
        </w:tabs>
        <w:jc w:val="both"/>
        <w:rPr>
          <w:color w:val="auto"/>
          <w:u w:val="single"/>
        </w:rPr>
      </w:pPr>
    </w:p>
    <w:p w:rsidR="00860757" w:rsidRPr="00A00471" w:rsidRDefault="00AD2379" w:rsidP="006537FE">
      <w:pPr>
        <w:tabs>
          <w:tab w:val="left" w:pos="288"/>
          <w:tab w:val="left" w:pos="4752"/>
        </w:tabs>
        <w:jc w:val="both"/>
        <w:rPr>
          <w:color w:val="000000"/>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6537FE">
        <w:rPr>
          <w:color w:val="000000"/>
        </w:rPr>
        <w:t>“The PEB initially</w:t>
      </w:r>
      <w:r w:rsidR="006537FE" w:rsidRPr="00834F1E">
        <w:rPr>
          <w:color w:val="000000"/>
        </w:rPr>
        <w:t xml:space="preserve"> awarded a 20% rating for Fibromyalgia (Code 5025) and a </w:t>
      </w:r>
      <w:r w:rsidR="006537FE">
        <w:rPr>
          <w:color w:val="000000"/>
        </w:rPr>
        <w:t>10%</w:t>
      </w:r>
      <w:r w:rsidR="006537FE" w:rsidRPr="00834F1E">
        <w:rPr>
          <w:color w:val="000000"/>
        </w:rPr>
        <w:t xml:space="preserve"> for Degenerative Joint Disease (Code </w:t>
      </w:r>
      <w:r w:rsidR="006537FE">
        <w:rPr>
          <w:color w:val="000000"/>
        </w:rPr>
        <w:t>50</w:t>
      </w:r>
      <w:r w:rsidR="006537FE" w:rsidRPr="00834F1E">
        <w:rPr>
          <w:color w:val="000000"/>
        </w:rPr>
        <w:t xml:space="preserve">03). With </w:t>
      </w:r>
      <w:r w:rsidR="006537FE" w:rsidRPr="00A00471">
        <w:rPr>
          <w:color w:val="000000"/>
        </w:rPr>
        <w:t>a combined rating of 30% I was placed on TDRL. In 2005, during my second TDRL evaluation, the PEB lowered the Fibromyalgia rating to 10</w:t>
      </w:r>
      <w:r w:rsidR="004C0A64" w:rsidRPr="00A00471">
        <w:rPr>
          <w:color w:val="000000"/>
        </w:rPr>
        <w:t xml:space="preserve">%. </w:t>
      </w:r>
      <w:proofErr w:type="gramStart"/>
      <w:r w:rsidR="006537FE" w:rsidRPr="00A00471">
        <w:rPr>
          <w:color w:val="000000"/>
        </w:rPr>
        <w:t>Thus, lowering my combined rating to 20%.</w:t>
      </w:r>
      <w:proofErr w:type="gramEnd"/>
      <w:r w:rsidR="006537FE" w:rsidRPr="00A00471">
        <w:rPr>
          <w:color w:val="000000"/>
        </w:rPr>
        <w:t xml:space="preserve"> VA awarded a rating of 40% and 30% respectively</w:t>
      </w:r>
      <w:r w:rsidR="006C7EDD" w:rsidRPr="00A00471">
        <w:rPr>
          <w:color w:val="000000"/>
        </w:rPr>
        <w:t xml:space="preserve"> </w:t>
      </w:r>
      <w:r w:rsidR="00860757" w:rsidRPr="00A00471">
        <w:rPr>
          <w:color w:val="000000"/>
        </w:rPr>
        <w:t>(See attachment).”</w:t>
      </w:r>
      <w:r w:rsidR="00ED2263" w:rsidRPr="00A00471">
        <w:rPr>
          <w:color w:val="000000"/>
        </w:rPr>
        <w:t xml:space="preserve"> A letter addressed to the PDBR with the subject of “Request to expedite case due to hardship conditions” detailed the CI’s financial difficulties.</w:t>
      </w:r>
    </w:p>
    <w:p w:rsidR="004306E0" w:rsidRPr="00A00471" w:rsidRDefault="004306E0" w:rsidP="00BF0E94">
      <w:pPr>
        <w:pBdr>
          <w:bottom w:val="single" w:sz="12" w:space="1" w:color="auto"/>
        </w:pBdr>
        <w:tabs>
          <w:tab w:val="left" w:pos="288"/>
          <w:tab w:val="left" w:pos="4752"/>
        </w:tabs>
        <w:jc w:val="both"/>
        <w:rPr>
          <w:color w:val="auto"/>
        </w:rPr>
      </w:pPr>
    </w:p>
    <w:p w:rsidR="007635A8" w:rsidRPr="00A00471" w:rsidRDefault="007635A8" w:rsidP="007635A8">
      <w:pPr>
        <w:jc w:val="both"/>
        <w:rPr>
          <w:color w:val="auto"/>
          <w:u w:val="single"/>
        </w:rPr>
      </w:pPr>
    </w:p>
    <w:p w:rsidR="009239C0" w:rsidRPr="00C566C9" w:rsidRDefault="009239C0" w:rsidP="009239C0">
      <w:pPr>
        <w:jc w:val="both"/>
        <w:rPr>
          <w:color w:val="auto"/>
        </w:rPr>
      </w:pPr>
      <w:r w:rsidRPr="00A00471">
        <w:rPr>
          <w:color w:val="auto"/>
          <w:u w:val="single"/>
        </w:rPr>
        <w:t>SCOPE OF REVIEW</w:t>
      </w:r>
      <w:r w:rsidRPr="00A00471">
        <w:rPr>
          <w:color w:val="auto"/>
        </w:rPr>
        <w:t>:  The Board wishes to clarify that the scope of its re</w:t>
      </w:r>
      <w:r w:rsidR="00AE2B85" w:rsidRPr="00A00471">
        <w:rPr>
          <w:color w:val="auto"/>
        </w:rPr>
        <w:t xml:space="preserve">view as defined in </w:t>
      </w:r>
      <w:proofErr w:type="spellStart"/>
      <w:r w:rsidR="00AE2B85" w:rsidRPr="00A00471">
        <w:rPr>
          <w:color w:val="auto"/>
        </w:rPr>
        <w:t>DoDI</w:t>
      </w:r>
      <w:proofErr w:type="spellEnd"/>
      <w:r w:rsidR="00AE2B85" w:rsidRPr="00A00471">
        <w:rPr>
          <w:color w:val="auto"/>
        </w:rPr>
        <w:t xml:space="preserve"> 6040.44, Enclosure 3, paragraph 5.e</w:t>
      </w:r>
      <w:proofErr w:type="gramStart"/>
      <w:r w:rsidR="00AE2B85" w:rsidRPr="00A00471">
        <w:rPr>
          <w:color w:val="auto"/>
        </w:rPr>
        <w:t>.(</w:t>
      </w:r>
      <w:proofErr w:type="gramEnd"/>
      <w:r w:rsidR="00AE2B85" w:rsidRPr="00A00471">
        <w:rPr>
          <w:color w:val="auto"/>
        </w:rPr>
        <w:t>2)</w:t>
      </w:r>
      <w:r w:rsidRPr="00A00471">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62706F" w:rsidRPr="00A00471">
        <w:rPr>
          <w:color w:val="auto"/>
        </w:rPr>
        <w:t>.</w:t>
      </w:r>
      <w:r w:rsidR="00F55634">
        <w:rPr>
          <w:color w:val="auto"/>
        </w:rPr>
        <w:t xml:space="preserve">” </w:t>
      </w:r>
      <w:r w:rsidR="006E2A72">
        <w:rPr>
          <w:color w:val="auto"/>
        </w:rPr>
        <w:t xml:space="preserve"> The </w:t>
      </w:r>
      <w:r w:rsidRPr="00A00471">
        <w:rPr>
          <w:color w:val="auto"/>
        </w:rPr>
        <w:t>ratings for unfitting condition</w:t>
      </w:r>
      <w:r w:rsidR="006F36EA" w:rsidRPr="00A00471">
        <w:rPr>
          <w:color w:val="auto"/>
        </w:rPr>
        <w:t xml:space="preserve">s will be reviewed in all </w:t>
      </w:r>
      <w:r w:rsidR="00663B6A" w:rsidRPr="00A00471">
        <w:rPr>
          <w:color w:val="auto"/>
        </w:rPr>
        <w:t>cases;</w:t>
      </w:r>
      <w:r w:rsidR="006F36EA" w:rsidRPr="00A00471">
        <w:rPr>
          <w:color w:val="auto"/>
        </w:rPr>
        <w:t xml:space="preserve"> this include</w:t>
      </w:r>
      <w:r w:rsidR="0062706F" w:rsidRPr="00A00471">
        <w:rPr>
          <w:color w:val="auto"/>
        </w:rPr>
        <w:t>s</w:t>
      </w:r>
      <w:r w:rsidR="006F36EA" w:rsidRPr="00A00471">
        <w:rPr>
          <w:color w:val="auto"/>
        </w:rPr>
        <w:t xml:space="preserve"> </w:t>
      </w:r>
      <w:r w:rsidR="00BD7390" w:rsidRPr="00A00471">
        <w:rPr>
          <w:bCs/>
          <w:color w:val="auto"/>
        </w:rPr>
        <w:t>fibromyalgia</w:t>
      </w:r>
      <w:r w:rsidRPr="00A00471">
        <w:rPr>
          <w:color w:val="auto"/>
        </w:rPr>
        <w:t xml:space="preserve">, </w:t>
      </w:r>
      <w:r w:rsidR="006E2A72">
        <w:rPr>
          <w:bCs/>
          <w:color w:val="auto"/>
        </w:rPr>
        <w:t>DJD</w:t>
      </w:r>
      <w:r w:rsidRPr="00A00471">
        <w:rPr>
          <w:color w:val="auto"/>
        </w:rPr>
        <w:t xml:space="preserve">, </w:t>
      </w:r>
      <w:r w:rsidR="00BD7390" w:rsidRPr="00A00471">
        <w:rPr>
          <w:color w:val="auto"/>
        </w:rPr>
        <w:t xml:space="preserve">and </w:t>
      </w:r>
      <w:r w:rsidR="006E2A72">
        <w:rPr>
          <w:color w:val="auto"/>
        </w:rPr>
        <w:t>OSA</w:t>
      </w:r>
      <w:r w:rsidR="006F36EA" w:rsidRPr="00A00471">
        <w:rPr>
          <w:bCs/>
          <w:color w:val="auto"/>
        </w:rPr>
        <w:t xml:space="preserve">. </w:t>
      </w:r>
      <w:r w:rsidRPr="00A00471">
        <w:rPr>
          <w:color w:val="auto"/>
        </w:rPr>
        <w:t xml:space="preserve">Any conditions or contention not requested in this application, or otherwise outside the Board’s defined scope of review, remain eligible for future consideration by the </w:t>
      </w:r>
      <w:r w:rsidR="00290E26">
        <w:rPr>
          <w:color w:val="auto"/>
        </w:rPr>
        <w:t>A</w:t>
      </w:r>
      <w:r w:rsidR="00DC3AFC">
        <w:rPr>
          <w:color w:val="auto"/>
        </w:rPr>
        <w:t>BCMR</w:t>
      </w:r>
      <w:r w:rsidRPr="00B51EAE">
        <w:rPr>
          <w:color w:val="auto"/>
        </w:rPr>
        <w:t>.</w:t>
      </w:r>
      <w:r>
        <w:rPr>
          <w:color w:val="auto"/>
        </w:rPr>
        <w:t xml:space="preserve">  </w:t>
      </w:r>
    </w:p>
    <w:p w:rsidR="000B63CF" w:rsidRDefault="000B63CF" w:rsidP="00DD5558">
      <w:pPr>
        <w:jc w:val="both"/>
        <w:rPr>
          <w:color w:val="auto"/>
        </w:rPr>
      </w:pPr>
    </w:p>
    <w:p w:rsidR="006E2A72" w:rsidRDefault="006E2A72" w:rsidP="00DD5558">
      <w:pPr>
        <w:jc w:val="both"/>
        <w:rPr>
          <w:color w:val="auto"/>
        </w:rPr>
      </w:pPr>
    </w:p>
    <w:p w:rsidR="006E2A72" w:rsidRDefault="006E2A72" w:rsidP="00E3577D">
      <w:pPr>
        <w:tabs>
          <w:tab w:val="left" w:pos="288"/>
          <w:tab w:val="left" w:pos="4752"/>
        </w:tabs>
        <w:jc w:val="both"/>
        <w:rPr>
          <w:color w:val="000000"/>
          <w:szCs w:val="24"/>
          <w:u w:val="single"/>
        </w:rPr>
      </w:pPr>
    </w:p>
    <w:p w:rsidR="006E2A72" w:rsidRDefault="006E2A72" w:rsidP="00E3577D">
      <w:pPr>
        <w:tabs>
          <w:tab w:val="left" w:pos="288"/>
          <w:tab w:val="left" w:pos="4752"/>
        </w:tabs>
        <w:jc w:val="both"/>
        <w:rPr>
          <w:color w:val="000000"/>
          <w:szCs w:val="24"/>
          <w:u w:val="single"/>
        </w:rPr>
      </w:pPr>
    </w:p>
    <w:p w:rsidR="00E3577D" w:rsidRPr="001F29F9" w:rsidRDefault="00E3577D" w:rsidP="00E3577D">
      <w:pPr>
        <w:tabs>
          <w:tab w:val="left" w:pos="288"/>
          <w:tab w:val="left" w:pos="4752"/>
        </w:tabs>
        <w:jc w:val="both"/>
        <w:rPr>
          <w:color w:val="000000"/>
          <w:szCs w:val="24"/>
          <w:u w:val="single"/>
        </w:rPr>
      </w:pPr>
      <w:r w:rsidRPr="001F29F9">
        <w:rPr>
          <w:color w:val="000000"/>
          <w:szCs w:val="24"/>
          <w:u w:val="single"/>
        </w:rPr>
        <w:lastRenderedPageBreak/>
        <w:t>R</w:t>
      </w:r>
      <w:r>
        <w:rPr>
          <w:color w:val="000000"/>
          <w:szCs w:val="24"/>
          <w:u w:val="single"/>
        </w:rPr>
        <w:t>ATING COMPARISON</w:t>
      </w:r>
      <w:r w:rsidRPr="009D1046">
        <w:rPr>
          <w:color w:val="000000"/>
          <w:szCs w:val="24"/>
        </w:rPr>
        <w:t>:</w:t>
      </w:r>
    </w:p>
    <w:p w:rsidR="00E3577D" w:rsidRDefault="00E3577D" w:rsidP="00DD5558">
      <w:pPr>
        <w:jc w:val="both"/>
        <w:rPr>
          <w:color w:val="auto"/>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30"/>
        <w:gridCol w:w="630"/>
        <w:gridCol w:w="630"/>
        <w:gridCol w:w="2880"/>
        <w:gridCol w:w="630"/>
        <w:gridCol w:w="720"/>
        <w:gridCol w:w="990"/>
      </w:tblGrid>
      <w:tr w:rsidR="008A3CD0" w:rsidRPr="003B5F80" w:rsidTr="00663BBA">
        <w:trPr>
          <w:trHeight w:val="233"/>
          <w:jc w:val="center"/>
        </w:trPr>
        <w:tc>
          <w:tcPr>
            <w:tcW w:w="4158" w:type="dxa"/>
            <w:gridSpan w:val="4"/>
            <w:tcBorders>
              <w:right w:val="thinThickThinSmallGap" w:sz="24" w:space="0" w:color="auto"/>
            </w:tcBorders>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Final Service PEB – Dated 200</w:t>
            </w:r>
            <w:r>
              <w:rPr>
                <w:rFonts w:eastAsia="Calibri" w:cs="Times New Roman"/>
                <w:b/>
                <w:color w:val="000000"/>
                <w:sz w:val="18"/>
                <w:szCs w:val="18"/>
              </w:rPr>
              <w:t>50624</w:t>
            </w:r>
          </w:p>
        </w:tc>
        <w:tc>
          <w:tcPr>
            <w:tcW w:w="5220" w:type="dxa"/>
            <w:gridSpan w:val="4"/>
            <w:tcBorders>
              <w:left w:val="thinThickThinSmallGap" w:sz="24" w:space="0" w:color="auto"/>
            </w:tcBorders>
            <w:shd w:val="clear" w:color="auto" w:fill="D9D9D9"/>
            <w:vAlign w:val="center"/>
          </w:tcPr>
          <w:p w:rsidR="008A3CD0" w:rsidRPr="003B5F80" w:rsidRDefault="003701A0" w:rsidP="00663BBA">
            <w:pPr>
              <w:contextualSpacing/>
              <w:rPr>
                <w:rFonts w:eastAsia="Calibri"/>
                <w:b/>
                <w:color w:val="000000"/>
                <w:sz w:val="18"/>
                <w:szCs w:val="18"/>
              </w:rPr>
            </w:pPr>
            <w:r>
              <w:rPr>
                <w:rFonts w:eastAsia="Calibri" w:cs="Times New Roman"/>
                <w:b/>
                <w:color w:val="000000"/>
                <w:sz w:val="18"/>
                <w:szCs w:val="18"/>
              </w:rPr>
              <w:t>VA</w:t>
            </w:r>
            <w:r w:rsidR="008A3CD0" w:rsidRPr="003B5F80">
              <w:rPr>
                <w:rFonts w:eastAsia="Calibri" w:cs="Times New Roman"/>
                <w:b/>
                <w:color w:val="000000"/>
                <w:sz w:val="18"/>
                <w:szCs w:val="18"/>
              </w:rPr>
              <w:t xml:space="preserve"> – All Effective Date 200</w:t>
            </w:r>
            <w:r w:rsidR="008A3CD0">
              <w:rPr>
                <w:rFonts w:eastAsia="Calibri" w:cs="Times New Roman"/>
                <w:b/>
                <w:color w:val="000000"/>
                <w:sz w:val="18"/>
                <w:szCs w:val="18"/>
              </w:rPr>
              <w:t>20920</w:t>
            </w:r>
          </w:p>
        </w:tc>
      </w:tr>
      <w:tr w:rsidR="008A3CD0" w:rsidRPr="003B5F80" w:rsidTr="00070D34">
        <w:trPr>
          <w:trHeight w:val="233"/>
          <w:jc w:val="center"/>
        </w:trPr>
        <w:tc>
          <w:tcPr>
            <w:tcW w:w="2268" w:type="dxa"/>
            <w:tcBorders>
              <w:bottom w:val="single" w:sz="4" w:space="0" w:color="000000"/>
            </w:tcBorders>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Condition</w:t>
            </w:r>
          </w:p>
        </w:tc>
        <w:tc>
          <w:tcPr>
            <w:tcW w:w="630" w:type="dxa"/>
            <w:tcBorders>
              <w:bottom w:val="single" w:sz="4" w:space="0" w:color="000000"/>
            </w:tcBorders>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Code</w:t>
            </w:r>
          </w:p>
        </w:tc>
        <w:tc>
          <w:tcPr>
            <w:tcW w:w="1260" w:type="dxa"/>
            <w:gridSpan w:val="2"/>
            <w:tcBorders>
              <w:bottom w:val="single" w:sz="4" w:space="0" w:color="000000"/>
              <w:right w:val="thinThickThinSmallGap" w:sz="24" w:space="0" w:color="auto"/>
            </w:tcBorders>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Rating</w:t>
            </w:r>
          </w:p>
        </w:tc>
        <w:tc>
          <w:tcPr>
            <w:tcW w:w="2880" w:type="dxa"/>
            <w:vMerge w:val="restart"/>
            <w:tcBorders>
              <w:left w:val="thinThickThinSmallGap" w:sz="24" w:space="0" w:color="auto"/>
            </w:tcBorders>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Condition</w:t>
            </w:r>
          </w:p>
        </w:tc>
        <w:tc>
          <w:tcPr>
            <w:tcW w:w="630" w:type="dxa"/>
            <w:vMerge w:val="restart"/>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Code</w:t>
            </w:r>
          </w:p>
        </w:tc>
        <w:tc>
          <w:tcPr>
            <w:tcW w:w="720" w:type="dxa"/>
            <w:vMerge w:val="restart"/>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Rating</w:t>
            </w:r>
          </w:p>
        </w:tc>
        <w:tc>
          <w:tcPr>
            <w:tcW w:w="990" w:type="dxa"/>
            <w:vMerge w:val="restart"/>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Exam</w:t>
            </w:r>
          </w:p>
        </w:tc>
      </w:tr>
      <w:tr w:rsidR="008A3CD0" w:rsidRPr="003B5F80" w:rsidTr="00070D34">
        <w:trPr>
          <w:trHeight w:val="152"/>
          <w:jc w:val="center"/>
        </w:trPr>
        <w:tc>
          <w:tcPr>
            <w:tcW w:w="2268" w:type="dxa"/>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On TDRL – 200</w:t>
            </w:r>
            <w:r>
              <w:rPr>
                <w:rFonts w:eastAsia="Calibri" w:cs="Times New Roman"/>
                <w:b/>
                <w:color w:val="000000"/>
                <w:sz w:val="18"/>
                <w:szCs w:val="18"/>
              </w:rPr>
              <w:t>20919</w:t>
            </w:r>
          </w:p>
        </w:tc>
        <w:tc>
          <w:tcPr>
            <w:tcW w:w="630" w:type="dxa"/>
            <w:shd w:val="clear" w:color="auto" w:fill="D9D9D9"/>
            <w:vAlign w:val="center"/>
          </w:tcPr>
          <w:p w:rsidR="008A3CD0" w:rsidRPr="003B5F80" w:rsidRDefault="008A3CD0" w:rsidP="00663BBA">
            <w:pPr>
              <w:contextualSpacing/>
              <w:rPr>
                <w:rFonts w:eastAsia="Calibri"/>
                <w:b/>
                <w:color w:val="000000"/>
                <w:sz w:val="18"/>
                <w:szCs w:val="18"/>
              </w:rPr>
            </w:pPr>
          </w:p>
        </w:tc>
        <w:tc>
          <w:tcPr>
            <w:tcW w:w="630" w:type="dxa"/>
            <w:tcBorders>
              <w:right w:val="single" w:sz="4" w:space="0" w:color="auto"/>
            </w:tcBorders>
            <w:shd w:val="clear" w:color="auto" w:fill="D9D9D9"/>
            <w:vAlign w:val="center"/>
          </w:tcPr>
          <w:p w:rsidR="008A3CD0" w:rsidRPr="003B5F80" w:rsidRDefault="008A3CD0" w:rsidP="00663BBA">
            <w:pPr>
              <w:contextualSpacing/>
              <w:rPr>
                <w:rFonts w:eastAsia="Calibri"/>
                <w:b/>
                <w:color w:val="000000"/>
                <w:sz w:val="18"/>
                <w:szCs w:val="18"/>
              </w:rPr>
            </w:pPr>
            <w:r w:rsidRPr="003B5F80">
              <w:rPr>
                <w:rFonts w:eastAsia="Calibri" w:cs="Times New Roman"/>
                <w:b/>
                <w:color w:val="000000"/>
                <w:sz w:val="18"/>
                <w:szCs w:val="18"/>
              </w:rPr>
              <w:t>TDRL</w:t>
            </w:r>
          </w:p>
        </w:tc>
        <w:tc>
          <w:tcPr>
            <w:tcW w:w="630" w:type="dxa"/>
            <w:tcBorders>
              <w:left w:val="single" w:sz="4" w:space="0" w:color="auto"/>
              <w:right w:val="thinThickThinSmallGap" w:sz="24" w:space="0" w:color="auto"/>
            </w:tcBorders>
            <w:shd w:val="clear" w:color="auto" w:fill="D9D9D9"/>
            <w:vAlign w:val="center"/>
          </w:tcPr>
          <w:p w:rsidR="008A3CD0" w:rsidRPr="003B5F80" w:rsidRDefault="008A3CD0" w:rsidP="00663BBA">
            <w:pPr>
              <w:tabs>
                <w:tab w:val="left" w:pos="206"/>
                <w:tab w:val="center" w:pos="387"/>
              </w:tabs>
              <w:contextualSpacing/>
              <w:rPr>
                <w:rFonts w:eastAsia="Calibri"/>
                <w:b/>
                <w:color w:val="000000"/>
                <w:sz w:val="18"/>
                <w:szCs w:val="18"/>
              </w:rPr>
            </w:pPr>
            <w:r w:rsidRPr="003B5F80">
              <w:rPr>
                <w:rFonts w:eastAsia="Calibri" w:cs="Times New Roman"/>
                <w:b/>
                <w:color w:val="000000"/>
                <w:sz w:val="18"/>
                <w:szCs w:val="18"/>
              </w:rPr>
              <w:t>Sep.</w:t>
            </w:r>
          </w:p>
        </w:tc>
        <w:tc>
          <w:tcPr>
            <w:tcW w:w="2880" w:type="dxa"/>
            <w:vMerge/>
            <w:tcBorders>
              <w:left w:val="thinThickThinSmallGap" w:sz="24" w:space="0" w:color="auto"/>
            </w:tcBorders>
            <w:shd w:val="clear" w:color="auto" w:fill="D9D9D9"/>
            <w:vAlign w:val="center"/>
          </w:tcPr>
          <w:p w:rsidR="008A3CD0" w:rsidRPr="003B5F80" w:rsidRDefault="008A3CD0" w:rsidP="00663BBA">
            <w:pPr>
              <w:contextualSpacing/>
              <w:rPr>
                <w:rFonts w:eastAsia="Calibri"/>
                <w:b/>
                <w:color w:val="000000"/>
                <w:sz w:val="18"/>
                <w:szCs w:val="18"/>
              </w:rPr>
            </w:pPr>
          </w:p>
        </w:tc>
        <w:tc>
          <w:tcPr>
            <w:tcW w:w="630" w:type="dxa"/>
            <w:vMerge/>
            <w:shd w:val="clear" w:color="auto" w:fill="C6D9F1"/>
          </w:tcPr>
          <w:p w:rsidR="008A3CD0" w:rsidRPr="003B5F80" w:rsidRDefault="008A3CD0" w:rsidP="00663BBA">
            <w:pPr>
              <w:contextualSpacing/>
              <w:rPr>
                <w:rFonts w:eastAsia="Calibri"/>
                <w:b/>
                <w:color w:val="000000"/>
                <w:sz w:val="18"/>
                <w:szCs w:val="18"/>
              </w:rPr>
            </w:pPr>
          </w:p>
        </w:tc>
        <w:tc>
          <w:tcPr>
            <w:tcW w:w="720" w:type="dxa"/>
            <w:vMerge/>
            <w:shd w:val="clear" w:color="auto" w:fill="C6D9F1"/>
          </w:tcPr>
          <w:p w:rsidR="008A3CD0" w:rsidRPr="003B5F80" w:rsidRDefault="008A3CD0" w:rsidP="00663BBA">
            <w:pPr>
              <w:contextualSpacing/>
              <w:rPr>
                <w:rFonts w:eastAsia="Calibri"/>
                <w:b/>
                <w:color w:val="000000"/>
                <w:sz w:val="18"/>
                <w:szCs w:val="18"/>
              </w:rPr>
            </w:pPr>
          </w:p>
        </w:tc>
        <w:tc>
          <w:tcPr>
            <w:tcW w:w="990" w:type="dxa"/>
            <w:vMerge/>
            <w:shd w:val="clear" w:color="auto" w:fill="C6D9F1"/>
          </w:tcPr>
          <w:p w:rsidR="008A3CD0" w:rsidRPr="003B5F80" w:rsidRDefault="008A3CD0" w:rsidP="00663BBA">
            <w:pPr>
              <w:contextualSpacing/>
              <w:rPr>
                <w:rFonts w:eastAsia="Calibri"/>
                <w:b/>
                <w:color w:val="000000"/>
                <w:sz w:val="18"/>
                <w:szCs w:val="18"/>
              </w:rPr>
            </w:pPr>
          </w:p>
        </w:tc>
      </w:tr>
      <w:tr w:rsidR="008A3CD0" w:rsidRPr="003B5F80" w:rsidTr="00070D34">
        <w:trPr>
          <w:trHeight w:val="125"/>
          <w:jc w:val="center"/>
        </w:trPr>
        <w:tc>
          <w:tcPr>
            <w:tcW w:w="2268" w:type="dxa"/>
            <w:tcBorders>
              <w:right w:val="single" w:sz="4" w:space="0" w:color="auto"/>
            </w:tcBorders>
            <w:shd w:val="clear" w:color="auto" w:fill="FFFFFF"/>
            <w:vAlign w:val="center"/>
          </w:tcPr>
          <w:p w:rsidR="008A3CD0" w:rsidRPr="003B5F80" w:rsidRDefault="008A3CD0" w:rsidP="00070D34">
            <w:pPr>
              <w:spacing w:line="180" w:lineRule="exact"/>
              <w:contextualSpacing/>
              <w:jc w:val="left"/>
              <w:rPr>
                <w:color w:val="000000"/>
                <w:sz w:val="18"/>
                <w:szCs w:val="18"/>
              </w:rPr>
            </w:pPr>
            <w:r w:rsidRPr="007C1B16">
              <w:rPr>
                <w:rFonts w:eastAsia="Calibri"/>
                <w:color w:val="000000"/>
                <w:sz w:val="18"/>
                <w:szCs w:val="18"/>
              </w:rPr>
              <w:t xml:space="preserve">Fibromyalgia </w:t>
            </w:r>
            <w:r w:rsidR="00AE6429" w:rsidRPr="00AE6429">
              <w:rPr>
                <w:rFonts w:eastAsia="Calibri"/>
                <w:bCs/>
                <w:color w:val="000000"/>
                <w:sz w:val="18"/>
                <w:szCs w:val="18"/>
              </w:rPr>
              <w:t>Requiring Continuous Medication For Control</w:t>
            </w:r>
          </w:p>
        </w:tc>
        <w:tc>
          <w:tcPr>
            <w:tcW w:w="630" w:type="dxa"/>
            <w:tcBorders>
              <w:left w:val="single" w:sz="4" w:space="0" w:color="auto"/>
            </w:tcBorders>
            <w:shd w:val="clear" w:color="auto" w:fill="FFFFFF"/>
            <w:vAlign w:val="center"/>
          </w:tcPr>
          <w:p w:rsidR="008A3CD0" w:rsidRPr="003B5F80" w:rsidRDefault="008A3CD0" w:rsidP="00663BBA">
            <w:pPr>
              <w:spacing w:line="180" w:lineRule="exact"/>
              <w:contextualSpacing/>
              <w:rPr>
                <w:color w:val="000000"/>
                <w:sz w:val="18"/>
                <w:szCs w:val="18"/>
              </w:rPr>
            </w:pPr>
            <w:r w:rsidRPr="007C1B16">
              <w:rPr>
                <w:rFonts w:eastAsia="Calibri"/>
                <w:color w:val="000000"/>
                <w:sz w:val="18"/>
                <w:szCs w:val="18"/>
              </w:rPr>
              <w:t>5025</w:t>
            </w:r>
          </w:p>
        </w:tc>
        <w:tc>
          <w:tcPr>
            <w:tcW w:w="630" w:type="dxa"/>
            <w:tcBorders>
              <w:right w:val="single" w:sz="4" w:space="0" w:color="auto"/>
            </w:tcBorders>
            <w:shd w:val="clear" w:color="auto" w:fill="FFFFFF"/>
            <w:vAlign w:val="center"/>
          </w:tcPr>
          <w:p w:rsidR="008A3CD0" w:rsidRPr="003B5F80" w:rsidRDefault="008A3CD0" w:rsidP="00663BBA">
            <w:pPr>
              <w:spacing w:line="180" w:lineRule="exact"/>
              <w:rPr>
                <w:color w:val="000000"/>
                <w:sz w:val="18"/>
                <w:szCs w:val="18"/>
              </w:rPr>
            </w:pPr>
            <w:r>
              <w:rPr>
                <w:rFonts w:eastAsia="Calibri"/>
                <w:color w:val="000000"/>
                <w:sz w:val="18"/>
                <w:szCs w:val="18"/>
              </w:rPr>
              <w:t>20</w:t>
            </w:r>
            <w:r w:rsidRPr="003B5F80">
              <w:rPr>
                <w:rFonts w:eastAsia="Calibri"/>
                <w:color w:val="000000"/>
                <w:sz w:val="18"/>
                <w:szCs w:val="18"/>
              </w:rPr>
              <w:t>%</w:t>
            </w:r>
          </w:p>
        </w:tc>
        <w:tc>
          <w:tcPr>
            <w:tcW w:w="630" w:type="dxa"/>
            <w:tcBorders>
              <w:left w:val="single" w:sz="4" w:space="0" w:color="auto"/>
              <w:right w:val="thinThickThinSmallGap" w:sz="24" w:space="0" w:color="auto"/>
            </w:tcBorders>
            <w:shd w:val="clear" w:color="auto" w:fill="FFFFFF"/>
            <w:vAlign w:val="center"/>
          </w:tcPr>
          <w:p w:rsidR="008A3CD0" w:rsidRPr="003B5F80" w:rsidRDefault="008A3CD0" w:rsidP="00663BBA">
            <w:pPr>
              <w:spacing w:line="180" w:lineRule="exact"/>
              <w:rPr>
                <w:color w:val="000000"/>
                <w:sz w:val="18"/>
                <w:szCs w:val="18"/>
              </w:rPr>
            </w:pPr>
            <w:r>
              <w:rPr>
                <w:rFonts w:eastAsia="Calibri"/>
                <w:color w:val="000000"/>
                <w:sz w:val="18"/>
                <w:szCs w:val="18"/>
              </w:rPr>
              <w:t>10</w:t>
            </w:r>
            <w:r w:rsidRPr="003B5F80">
              <w:rPr>
                <w:rFonts w:eastAsia="Calibri"/>
                <w:color w:val="000000"/>
                <w:sz w:val="18"/>
                <w:szCs w:val="18"/>
              </w:rPr>
              <w:t>%</w:t>
            </w:r>
          </w:p>
        </w:tc>
        <w:tc>
          <w:tcPr>
            <w:tcW w:w="2880" w:type="dxa"/>
            <w:tcBorders>
              <w:left w:val="thinThickThinSmallGap" w:sz="24" w:space="0" w:color="auto"/>
            </w:tcBorders>
            <w:shd w:val="clear" w:color="auto" w:fill="FFFFFF"/>
            <w:vAlign w:val="center"/>
          </w:tcPr>
          <w:p w:rsidR="008A3CD0" w:rsidRPr="003B5F80" w:rsidRDefault="008A3CD0" w:rsidP="00070D34">
            <w:pPr>
              <w:spacing w:line="180" w:lineRule="exact"/>
              <w:contextualSpacing/>
              <w:jc w:val="left"/>
              <w:rPr>
                <w:color w:val="000000"/>
                <w:sz w:val="18"/>
                <w:szCs w:val="18"/>
              </w:rPr>
            </w:pPr>
            <w:r w:rsidRPr="006D4653">
              <w:rPr>
                <w:rFonts w:eastAsia="Calibri"/>
                <w:color w:val="000000"/>
                <w:sz w:val="18"/>
                <w:szCs w:val="18"/>
              </w:rPr>
              <w:t>Fibromyalgia</w:t>
            </w:r>
          </w:p>
        </w:tc>
        <w:tc>
          <w:tcPr>
            <w:tcW w:w="630" w:type="dxa"/>
            <w:shd w:val="clear" w:color="auto" w:fill="FFFFFF"/>
            <w:vAlign w:val="center"/>
          </w:tcPr>
          <w:p w:rsidR="008A3CD0" w:rsidRPr="003B5F80" w:rsidRDefault="008A3CD0" w:rsidP="00663BBA">
            <w:pPr>
              <w:spacing w:line="180" w:lineRule="exact"/>
              <w:contextualSpacing/>
              <w:rPr>
                <w:color w:val="000000"/>
                <w:sz w:val="18"/>
                <w:szCs w:val="18"/>
              </w:rPr>
            </w:pPr>
            <w:r w:rsidRPr="007C1B16">
              <w:rPr>
                <w:rFonts w:eastAsia="Calibri"/>
                <w:color w:val="000000"/>
                <w:sz w:val="18"/>
                <w:szCs w:val="18"/>
              </w:rPr>
              <w:t>5025</w:t>
            </w:r>
          </w:p>
        </w:tc>
        <w:tc>
          <w:tcPr>
            <w:tcW w:w="720" w:type="dxa"/>
            <w:shd w:val="clear" w:color="auto" w:fill="FFFFFF"/>
            <w:vAlign w:val="center"/>
          </w:tcPr>
          <w:p w:rsidR="008A3CD0" w:rsidRPr="003B5F80" w:rsidRDefault="008A3CD0" w:rsidP="00663BBA">
            <w:pPr>
              <w:spacing w:line="180" w:lineRule="exact"/>
              <w:contextualSpacing/>
              <w:rPr>
                <w:color w:val="000000"/>
                <w:sz w:val="18"/>
                <w:szCs w:val="18"/>
              </w:rPr>
            </w:pPr>
            <w:r>
              <w:rPr>
                <w:rFonts w:eastAsia="Calibri"/>
                <w:color w:val="000000"/>
                <w:sz w:val="18"/>
                <w:szCs w:val="18"/>
              </w:rPr>
              <w:t>10</w:t>
            </w:r>
            <w:r w:rsidRPr="003B5F80">
              <w:rPr>
                <w:rFonts w:eastAsia="Calibri"/>
                <w:color w:val="000000"/>
                <w:sz w:val="18"/>
                <w:szCs w:val="18"/>
              </w:rPr>
              <w:t>%</w:t>
            </w:r>
            <w:r w:rsidR="00F40BE0">
              <w:rPr>
                <w:rFonts w:eastAsia="Calibri"/>
                <w:color w:val="000000"/>
                <w:sz w:val="18"/>
                <w:szCs w:val="18"/>
              </w:rPr>
              <w:t>*</w:t>
            </w:r>
          </w:p>
        </w:tc>
        <w:tc>
          <w:tcPr>
            <w:tcW w:w="990" w:type="dxa"/>
            <w:shd w:val="clear" w:color="auto" w:fill="FFFFFF"/>
            <w:vAlign w:val="center"/>
          </w:tcPr>
          <w:p w:rsidR="008A3CD0" w:rsidRPr="003B5F80" w:rsidRDefault="008A3CD0" w:rsidP="00663BBA">
            <w:pPr>
              <w:spacing w:line="180" w:lineRule="exact"/>
              <w:contextualSpacing/>
              <w:rPr>
                <w:color w:val="000000"/>
                <w:sz w:val="18"/>
                <w:szCs w:val="18"/>
              </w:rPr>
            </w:pPr>
            <w:r w:rsidRPr="003B5F80">
              <w:rPr>
                <w:rFonts w:eastAsia="Calibri"/>
                <w:color w:val="000000"/>
                <w:sz w:val="18"/>
                <w:szCs w:val="18"/>
              </w:rPr>
              <w:t>200</w:t>
            </w:r>
            <w:r>
              <w:rPr>
                <w:rFonts w:eastAsia="Calibri"/>
                <w:color w:val="000000"/>
                <w:sz w:val="18"/>
                <w:szCs w:val="18"/>
              </w:rPr>
              <w:t>21206</w:t>
            </w:r>
          </w:p>
        </w:tc>
      </w:tr>
      <w:tr w:rsidR="008A3CD0" w:rsidRPr="003B5F80" w:rsidTr="00070D34">
        <w:trPr>
          <w:trHeight w:val="125"/>
          <w:jc w:val="center"/>
        </w:trPr>
        <w:tc>
          <w:tcPr>
            <w:tcW w:w="2268" w:type="dxa"/>
            <w:tcBorders>
              <w:right w:val="single" w:sz="4" w:space="0" w:color="auto"/>
            </w:tcBorders>
            <w:shd w:val="clear" w:color="auto" w:fill="FFFFFF"/>
            <w:vAlign w:val="center"/>
          </w:tcPr>
          <w:p w:rsidR="008A3CD0" w:rsidRPr="003B5F80" w:rsidRDefault="008A3CD0" w:rsidP="00070D34">
            <w:pPr>
              <w:spacing w:line="180" w:lineRule="exact"/>
              <w:contextualSpacing/>
              <w:jc w:val="left"/>
              <w:rPr>
                <w:color w:val="000000"/>
                <w:sz w:val="18"/>
                <w:szCs w:val="18"/>
              </w:rPr>
            </w:pPr>
            <w:r w:rsidRPr="007C1B16">
              <w:rPr>
                <w:rFonts w:eastAsia="Calibri"/>
                <w:color w:val="000000"/>
                <w:sz w:val="18"/>
                <w:szCs w:val="18"/>
              </w:rPr>
              <w:t>Degenerative Joint Disease Status Post Rotator Cuff Repair</w:t>
            </w:r>
          </w:p>
        </w:tc>
        <w:tc>
          <w:tcPr>
            <w:tcW w:w="630" w:type="dxa"/>
            <w:tcBorders>
              <w:left w:val="single" w:sz="4" w:space="0" w:color="auto"/>
            </w:tcBorders>
            <w:shd w:val="clear" w:color="auto" w:fill="FFFFFF"/>
            <w:vAlign w:val="center"/>
          </w:tcPr>
          <w:p w:rsidR="008A3CD0" w:rsidRPr="003B5F80" w:rsidRDefault="008A3CD0" w:rsidP="00663BBA">
            <w:pPr>
              <w:spacing w:line="180" w:lineRule="exact"/>
              <w:contextualSpacing/>
              <w:rPr>
                <w:color w:val="000000"/>
                <w:sz w:val="18"/>
                <w:szCs w:val="18"/>
              </w:rPr>
            </w:pPr>
            <w:r w:rsidRPr="007C1B16">
              <w:rPr>
                <w:rFonts w:eastAsia="Calibri"/>
                <w:color w:val="000000"/>
                <w:sz w:val="18"/>
                <w:szCs w:val="18"/>
              </w:rPr>
              <w:t>5003</w:t>
            </w:r>
          </w:p>
        </w:tc>
        <w:tc>
          <w:tcPr>
            <w:tcW w:w="630" w:type="dxa"/>
            <w:tcBorders>
              <w:right w:val="single" w:sz="4" w:space="0" w:color="auto"/>
            </w:tcBorders>
            <w:shd w:val="clear" w:color="auto" w:fill="FFFFFF"/>
            <w:vAlign w:val="center"/>
          </w:tcPr>
          <w:p w:rsidR="008A3CD0" w:rsidRPr="003B5F80" w:rsidRDefault="008A3CD0" w:rsidP="00663BBA">
            <w:pPr>
              <w:spacing w:line="180" w:lineRule="exact"/>
              <w:rPr>
                <w:color w:val="000000"/>
                <w:sz w:val="18"/>
                <w:szCs w:val="18"/>
              </w:rPr>
            </w:pPr>
            <w:r>
              <w:rPr>
                <w:rFonts w:eastAsia="Calibri"/>
                <w:color w:val="000000"/>
                <w:sz w:val="18"/>
                <w:szCs w:val="18"/>
              </w:rPr>
              <w:t>10</w:t>
            </w:r>
            <w:r w:rsidRPr="003B5F80">
              <w:rPr>
                <w:rFonts w:eastAsia="Calibri"/>
                <w:color w:val="000000"/>
                <w:sz w:val="18"/>
                <w:szCs w:val="18"/>
              </w:rPr>
              <w:t>%</w:t>
            </w:r>
          </w:p>
        </w:tc>
        <w:tc>
          <w:tcPr>
            <w:tcW w:w="630" w:type="dxa"/>
            <w:tcBorders>
              <w:left w:val="single" w:sz="4" w:space="0" w:color="auto"/>
              <w:right w:val="thinThickThinSmallGap" w:sz="24" w:space="0" w:color="auto"/>
            </w:tcBorders>
            <w:shd w:val="clear" w:color="auto" w:fill="FFFFFF"/>
            <w:vAlign w:val="center"/>
          </w:tcPr>
          <w:p w:rsidR="008A3CD0" w:rsidRPr="003B5F80" w:rsidRDefault="008A3CD0" w:rsidP="00663BBA">
            <w:pPr>
              <w:spacing w:line="180" w:lineRule="exact"/>
              <w:rPr>
                <w:color w:val="000000"/>
                <w:sz w:val="18"/>
                <w:szCs w:val="18"/>
              </w:rPr>
            </w:pPr>
            <w:r>
              <w:rPr>
                <w:rFonts w:eastAsia="Calibri"/>
                <w:color w:val="000000"/>
                <w:sz w:val="18"/>
                <w:szCs w:val="18"/>
              </w:rPr>
              <w:t>10</w:t>
            </w:r>
            <w:r w:rsidRPr="003B5F80">
              <w:rPr>
                <w:rFonts w:eastAsia="Calibri"/>
                <w:color w:val="000000"/>
                <w:sz w:val="18"/>
                <w:szCs w:val="18"/>
              </w:rPr>
              <w:t>%</w:t>
            </w:r>
          </w:p>
        </w:tc>
        <w:tc>
          <w:tcPr>
            <w:tcW w:w="2880" w:type="dxa"/>
            <w:tcBorders>
              <w:left w:val="thinThickThinSmallGap" w:sz="24" w:space="0" w:color="auto"/>
            </w:tcBorders>
            <w:shd w:val="clear" w:color="auto" w:fill="FFFFFF"/>
            <w:vAlign w:val="center"/>
          </w:tcPr>
          <w:p w:rsidR="008A3CD0" w:rsidRPr="003B5F80" w:rsidRDefault="008A3CD0" w:rsidP="00070D34">
            <w:pPr>
              <w:spacing w:line="180" w:lineRule="exact"/>
              <w:contextualSpacing/>
              <w:jc w:val="left"/>
              <w:rPr>
                <w:color w:val="000000"/>
                <w:sz w:val="18"/>
                <w:szCs w:val="18"/>
              </w:rPr>
            </w:pPr>
            <w:proofErr w:type="spellStart"/>
            <w:r>
              <w:rPr>
                <w:rFonts w:eastAsia="Calibri"/>
                <w:color w:val="000000"/>
                <w:sz w:val="18"/>
                <w:szCs w:val="18"/>
              </w:rPr>
              <w:t>Acromioclavicular</w:t>
            </w:r>
            <w:proofErr w:type="spellEnd"/>
            <w:r>
              <w:rPr>
                <w:rFonts w:eastAsia="Calibri"/>
                <w:color w:val="000000"/>
                <w:sz w:val="18"/>
                <w:szCs w:val="18"/>
              </w:rPr>
              <w:t xml:space="preserve"> Osteoarthritis with Impingement Syndrome; Status Post Rotator Cuff Repair, Right Shoulder</w:t>
            </w:r>
          </w:p>
        </w:tc>
        <w:tc>
          <w:tcPr>
            <w:tcW w:w="630" w:type="dxa"/>
            <w:shd w:val="clear" w:color="auto" w:fill="FFFFFF"/>
            <w:vAlign w:val="center"/>
          </w:tcPr>
          <w:p w:rsidR="008A3CD0" w:rsidRPr="003B5F80" w:rsidRDefault="008A3CD0" w:rsidP="00663BBA">
            <w:pPr>
              <w:spacing w:line="180" w:lineRule="exact"/>
              <w:contextualSpacing/>
              <w:rPr>
                <w:color w:val="000000"/>
                <w:sz w:val="18"/>
                <w:szCs w:val="18"/>
              </w:rPr>
            </w:pPr>
            <w:r>
              <w:rPr>
                <w:rFonts w:eastAsia="Calibri"/>
                <w:color w:val="000000"/>
                <w:sz w:val="18"/>
                <w:szCs w:val="18"/>
              </w:rPr>
              <w:t>5203</w:t>
            </w:r>
          </w:p>
        </w:tc>
        <w:tc>
          <w:tcPr>
            <w:tcW w:w="720" w:type="dxa"/>
            <w:shd w:val="clear" w:color="auto" w:fill="FFFFFF"/>
            <w:vAlign w:val="center"/>
          </w:tcPr>
          <w:p w:rsidR="008A3CD0" w:rsidRPr="003B5F80" w:rsidRDefault="008A3CD0" w:rsidP="00663BBA">
            <w:pPr>
              <w:spacing w:line="180" w:lineRule="exact"/>
              <w:contextualSpacing/>
              <w:rPr>
                <w:color w:val="000000"/>
                <w:sz w:val="18"/>
                <w:szCs w:val="18"/>
              </w:rPr>
            </w:pPr>
            <w:r>
              <w:rPr>
                <w:rFonts w:eastAsia="Calibri"/>
                <w:color w:val="000000"/>
                <w:sz w:val="18"/>
                <w:szCs w:val="18"/>
              </w:rPr>
              <w:t>10%</w:t>
            </w:r>
            <w:r w:rsidR="00F40BE0">
              <w:rPr>
                <w:rFonts w:eastAsia="Calibri"/>
                <w:color w:val="000000"/>
                <w:sz w:val="18"/>
                <w:szCs w:val="18"/>
              </w:rPr>
              <w:t>**</w:t>
            </w:r>
          </w:p>
        </w:tc>
        <w:tc>
          <w:tcPr>
            <w:tcW w:w="990" w:type="dxa"/>
            <w:shd w:val="clear" w:color="auto" w:fill="FFFFFF"/>
            <w:vAlign w:val="center"/>
          </w:tcPr>
          <w:p w:rsidR="008A3CD0" w:rsidRPr="003B5F80" w:rsidRDefault="008A3CD0" w:rsidP="00663BBA">
            <w:pPr>
              <w:spacing w:line="180" w:lineRule="exact"/>
              <w:contextualSpacing/>
              <w:rPr>
                <w:color w:val="000000"/>
                <w:sz w:val="18"/>
                <w:szCs w:val="18"/>
              </w:rPr>
            </w:pPr>
            <w:r w:rsidRPr="003B5F80">
              <w:rPr>
                <w:rFonts w:eastAsia="Calibri"/>
                <w:color w:val="000000"/>
                <w:sz w:val="18"/>
                <w:szCs w:val="18"/>
              </w:rPr>
              <w:t>200</w:t>
            </w:r>
            <w:r>
              <w:rPr>
                <w:rFonts w:eastAsia="Calibri"/>
                <w:color w:val="000000"/>
                <w:sz w:val="18"/>
                <w:szCs w:val="18"/>
              </w:rPr>
              <w:t>21206</w:t>
            </w:r>
          </w:p>
        </w:tc>
      </w:tr>
      <w:tr w:rsidR="008A3CD0" w:rsidRPr="003B5F80" w:rsidTr="00070D34">
        <w:trPr>
          <w:trHeight w:val="125"/>
          <w:jc w:val="center"/>
        </w:trPr>
        <w:tc>
          <w:tcPr>
            <w:tcW w:w="2268" w:type="dxa"/>
            <w:tcBorders>
              <w:right w:val="single" w:sz="4" w:space="0" w:color="auto"/>
            </w:tcBorders>
            <w:shd w:val="clear" w:color="auto" w:fill="FFFFFF"/>
            <w:vAlign w:val="center"/>
          </w:tcPr>
          <w:p w:rsidR="008A3CD0" w:rsidRPr="007C1B16" w:rsidRDefault="008A3CD0" w:rsidP="00070D34">
            <w:pPr>
              <w:spacing w:line="180" w:lineRule="exact"/>
              <w:contextualSpacing/>
              <w:jc w:val="left"/>
              <w:rPr>
                <w:rFonts w:eastAsia="Calibri"/>
                <w:color w:val="000000"/>
                <w:sz w:val="18"/>
                <w:szCs w:val="18"/>
              </w:rPr>
            </w:pPr>
            <w:r w:rsidRPr="007C1B16">
              <w:rPr>
                <w:rFonts w:eastAsia="Calibri"/>
                <w:color w:val="000000"/>
                <w:sz w:val="18"/>
                <w:szCs w:val="18"/>
              </w:rPr>
              <w:t>Obstructive Sleep Apnea Rated As Mild Industrial Impairment</w:t>
            </w:r>
          </w:p>
        </w:tc>
        <w:tc>
          <w:tcPr>
            <w:tcW w:w="630" w:type="dxa"/>
            <w:tcBorders>
              <w:left w:val="single" w:sz="4" w:space="0" w:color="auto"/>
            </w:tcBorders>
            <w:shd w:val="clear" w:color="auto" w:fill="FFFFFF"/>
            <w:vAlign w:val="center"/>
          </w:tcPr>
          <w:p w:rsidR="008A3CD0" w:rsidRPr="007C1B16" w:rsidRDefault="008A3CD0" w:rsidP="00663BBA">
            <w:pPr>
              <w:spacing w:line="180" w:lineRule="exact"/>
              <w:contextualSpacing/>
              <w:rPr>
                <w:rFonts w:eastAsia="Calibri"/>
                <w:color w:val="000000"/>
                <w:sz w:val="18"/>
                <w:szCs w:val="18"/>
              </w:rPr>
            </w:pPr>
            <w:r w:rsidRPr="007C1B16">
              <w:rPr>
                <w:rFonts w:eastAsia="Calibri"/>
                <w:color w:val="000000"/>
                <w:sz w:val="18"/>
                <w:szCs w:val="18"/>
              </w:rPr>
              <w:t>6847</w:t>
            </w:r>
          </w:p>
        </w:tc>
        <w:tc>
          <w:tcPr>
            <w:tcW w:w="630" w:type="dxa"/>
            <w:tcBorders>
              <w:right w:val="single" w:sz="4" w:space="0" w:color="auto"/>
            </w:tcBorders>
            <w:shd w:val="clear" w:color="auto" w:fill="FFFFFF"/>
            <w:vAlign w:val="center"/>
          </w:tcPr>
          <w:p w:rsidR="008A3CD0" w:rsidRPr="003B5F80" w:rsidRDefault="008A3CD0" w:rsidP="00663BBA">
            <w:pPr>
              <w:spacing w:line="180" w:lineRule="exact"/>
              <w:rPr>
                <w:color w:val="000000"/>
                <w:sz w:val="18"/>
                <w:szCs w:val="18"/>
              </w:rPr>
            </w:pPr>
            <w:r>
              <w:rPr>
                <w:rFonts w:eastAsia="Calibri"/>
                <w:color w:val="000000"/>
                <w:sz w:val="18"/>
                <w:szCs w:val="18"/>
              </w:rPr>
              <w:t>0</w:t>
            </w:r>
            <w:r w:rsidRPr="003B5F80">
              <w:rPr>
                <w:rFonts w:eastAsia="Calibri"/>
                <w:color w:val="000000"/>
                <w:sz w:val="18"/>
                <w:szCs w:val="18"/>
              </w:rPr>
              <w:t>%</w:t>
            </w:r>
          </w:p>
        </w:tc>
        <w:tc>
          <w:tcPr>
            <w:tcW w:w="630" w:type="dxa"/>
            <w:tcBorders>
              <w:left w:val="single" w:sz="4" w:space="0" w:color="auto"/>
              <w:right w:val="thinThickThinSmallGap" w:sz="24" w:space="0" w:color="auto"/>
            </w:tcBorders>
            <w:shd w:val="clear" w:color="auto" w:fill="FFFFFF"/>
            <w:vAlign w:val="center"/>
          </w:tcPr>
          <w:p w:rsidR="008A3CD0" w:rsidRPr="003B5F80" w:rsidRDefault="008A3CD0" w:rsidP="00663BBA">
            <w:pPr>
              <w:spacing w:line="180" w:lineRule="exact"/>
              <w:rPr>
                <w:color w:val="000000"/>
                <w:sz w:val="18"/>
                <w:szCs w:val="18"/>
              </w:rPr>
            </w:pPr>
            <w:r>
              <w:rPr>
                <w:rFonts w:eastAsia="Calibri"/>
                <w:color w:val="000000"/>
                <w:sz w:val="18"/>
                <w:szCs w:val="18"/>
              </w:rPr>
              <w:t>0</w:t>
            </w:r>
            <w:r w:rsidRPr="003B5F80">
              <w:rPr>
                <w:rFonts w:eastAsia="Calibri"/>
                <w:color w:val="000000"/>
                <w:sz w:val="18"/>
                <w:szCs w:val="18"/>
              </w:rPr>
              <w:t>%</w:t>
            </w:r>
          </w:p>
        </w:tc>
        <w:tc>
          <w:tcPr>
            <w:tcW w:w="2880" w:type="dxa"/>
            <w:tcBorders>
              <w:left w:val="thinThickThinSmallGap" w:sz="24" w:space="0" w:color="auto"/>
            </w:tcBorders>
            <w:shd w:val="clear" w:color="auto" w:fill="FFFFFF"/>
            <w:vAlign w:val="center"/>
          </w:tcPr>
          <w:p w:rsidR="008A3CD0" w:rsidRPr="003B5F80" w:rsidRDefault="008A3CD0" w:rsidP="00070D34">
            <w:pPr>
              <w:spacing w:line="180" w:lineRule="exact"/>
              <w:contextualSpacing/>
              <w:jc w:val="left"/>
              <w:rPr>
                <w:rFonts w:eastAsia="Calibri"/>
                <w:color w:val="000000"/>
                <w:sz w:val="18"/>
                <w:szCs w:val="18"/>
              </w:rPr>
            </w:pPr>
            <w:r w:rsidRPr="007C1B16">
              <w:rPr>
                <w:rFonts w:eastAsia="Calibri"/>
                <w:color w:val="000000"/>
                <w:sz w:val="18"/>
                <w:szCs w:val="18"/>
              </w:rPr>
              <w:t>Obstructive Sleep Apnea</w:t>
            </w:r>
          </w:p>
        </w:tc>
        <w:tc>
          <w:tcPr>
            <w:tcW w:w="63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sidRPr="007C1B16">
              <w:rPr>
                <w:rFonts w:eastAsia="Calibri"/>
                <w:color w:val="000000"/>
                <w:sz w:val="18"/>
                <w:szCs w:val="18"/>
              </w:rPr>
              <w:t>6847</w:t>
            </w:r>
          </w:p>
        </w:tc>
        <w:tc>
          <w:tcPr>
            <w:tcW w:w="72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50%</w:t>
            </w:r>
          </w:p>
        </w:tc>
        <w:tc>
          <w:tcPr>
            <w:tcW w:w="99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sidRPr="003B5F80">
              <w:rPr>
                <w:rFonts w:eastAsia="Calibri"/>
                <w:color w:val="000000"/>
                <w:sz w:val="18"/>
                <w:szCs w:val="18"/>
              </w:rPr>
              <w:t>200</w:t>
            </w:r>
            <w:r>
              <w:rPr>
                <w:rFonts w:eastAsia="Calibri"/>
                <w:color w:val="000000"/>
                <w:sz w:val="18"/>
                <w:szCs w:val="18"/>
              </w:rPr>
              <w:t>21206</w:t>
            </w:r>
          </w:p>
        </w:tc>
      </w:tr>
      <w:tr w:rsidR="008A3CD0" w:rsidRPr="003B5F80" w:rsidTr="00070D34">
        <w:trPr>
          <w:trHeight w:val="189"/>
          <w:jc w:val="center"/>
        </w:trPr>
        <w:tc>
          <w:tcPr>
            <w:tcW w:w="2268" w:type="dxa"/>
            <w:tcBorders>
              <w:right w:val="single" w:sz="4" w:space="0" w:color="auto"/>
            </w:tcBorders>
            <w:shd w:val="clear" w:color="auto" w:fill="FFFFFF"/>
            <w:vAlign w:val="center"/>
          </w:tcPr>
          <w:p w:rsidR="008A3CD0" w:rsidRPr="00EB6634" w:rsidRDefault="008A3CD0" w:rsidP="00070D34">
            <w:pPr>
              <w:spacing w:line="180" w:lineRule="exact"/>
              <w:contextualSpacing/>
              <w:jc w:val="left"/>
              <w:rPr>
                <w:rFonts w:eastAsia="Calibri"/>
                <w:color w:val="000000"/>
                <w:sz w:val="18"/>
                <w:szCs w:val="18"/>
              </w:rPr>
            </w:pPr>
            <w:r w:rsidRPr="00EB6634">
              <w:rPr>
                <w:bCs/>
                <w:color w:val="auto"/>
                <w:sz w:val="18"/>
                <w:szCs w:val="18"/>
              </w:rPr>
              <w:t>Diabetes Mellitus Type 2</w:t>
            </w:r>
          </w:p>
        </w:tc>
        <w:tc>
          <w:tcPr>
            <w:tcW w:w="1890" w:type="dxa"/>
            <w:gridSpan w:val="3"/>
            <w:tcBorders>
              <w:left w:val="single" w:sz="4" w:space="0" w:color="auto"/>
              <w:right w:val="thinThickThinSmallGap" w:sz="24" w:space="0" w:color="auto"/>
            </w:tcBorders>
            <w:shd w:val="clear" w:color="auto" w:fill="FFFFFF"/>
            <w:vAlign w:val="center"/>
          </w:tcPr>
          <w:p w:rsidR="008A3CD0" w:rsidRDefault="008A3CD0" w:rsidP="00663BBA">
            <w:pPr>
              <w:spacing w:line="180" w:lineRule="exact"/>
              <w:rPr>
                <w:rFonts w:eastAsia="Calibri"/>
                <w:color w:val="000000"/>
                <w:sz w:val="18"/>
                <w:szCs w:val="18"/>
              </w:rPr>
            </w:pPr>
            <w:r w:rsidRPr="003B5F80">
              <w:rPr>
                <w:rFonts w:eastAsia="Calibri"/>
                <w:color w:val="000000"/>
                <w:sz w:val="18"/>
                <w:szCs w:val="18"/>
              </w:rPr>
              <w:t>Not Unfitting</w:t>
            </w:r>
          </w:p>
        </w:tc>
        <w:tc>
          <w:tcPr>
            <w:tcW w:w="2880" w:type="dxa"/>
            <w:tcBorders>
              <w:left w:val="thinThickThinSmallGap" w:sz="24" w:space="0" w:color="auto"/>
            </w:tcBorders>
            <w:shd w:val="clear" w:color="auto" w:fill="FFFFFF"/>
            <w:vAlign w:val="center"/>
          </w:tcPr>
          <w:p w:rsidR="008A3CD0" w:rsidRPr="003B5F80" w:rsidRDefault="008A3CD0" w:rsidP="00070D34">
            <w:pPr>
              <w:spacing w:line="180" w:lineRule="exact"/>
              <w:contextualSpacing/>
              <w:jc w:val="left"/>
              <w:rPr>
                <w:rFonts w:eastAsia="Calibri"/>
                <w:color w:val="000000"/>
                <w:sz w:val="18"/>
                <w:szCs w:val="18"/>
              </w:rPr>
            </w:pPr>
            <w:r>
              <w:rPr>
                <w:rFonts w:eastAsia="Calibri"/>
                <w:color w:val="000000"/>
                <w:sz w:val="18"/>
                <w:szCs w:val="18"/>
              </w:rPr>
              <w:t>Type II Diabetes Mellitus</w:t>
            </w:r>
          </w:p>
        </w:tc>
        <w:tc>
          <w:tcPr>
            <w:tcW w:w="63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7913</w:t>
            </w:r>
          </w:p>
        </w:tc>
        <w:tc>
          <w:tcPr>
            <w:tcW w:w="72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20%</w:t>
            </w:r>
          </w:p>
        </w:tc>
        <w:tc>
          <w:tcPr>
            <w:tcW w:w="99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sidRPr="003B5F80">
              <w:rPr>
                <w:rFonts w:eastAsia="Calibri"/>
                <w:color w:val="000000"/>
                <w:sz w:val="18"/>
                <w:szCs w:val="18"/>
              </w:rPr>
              <w:t>200</w:t>
            </w:r>
            <w:r>
              <w:rPr>
                <w:rFonts w:eastAsia="Calibri"/>
                <w:color w:val="000000"/>
                <w:sz w:val="18"/>
                <w:szCs w:val="18"/>
              </w:rPr>
              <w:t>21206</w:t>
            </w:r>
          </w:p>
        </w:tc>
      </w:tr>
      <w:tr w:rsidR="008A3CD0" w:rsidRPr="003B5F80" w:rsidTr="00070D34">
        <w:trPr>
          <w:trHeight w:val="125"/>
          <w:jc w:val="center"/>
        </w:trPr>
        <w:tc>
          <w:tcPr>
            <w:tcW w:w="4158" w:type="dxa"/>
            <w:gridSpan w:val="4"/>
            <w:vMerge w:val="restart"/>
            <w:tcBorders>
              <w:right w:val="thinThickThinSmallGap" w:sz="24" w:space="0" w:color="auto"/>
            </w:tcBorders>
            <w:shd w:val="clear" w:color="auto" w:fill="FFFFFF"/>
          </w:tcPr>
          <w:p w:rsidR="008A3CD0" w:rsidRDefault="008A3CD0" w:rsidP="00663BBA">
            <w:pPr>
              <w:spacing w:line="180" w:lineRule="exact"/>
              <w:contextualSpacing/>
              <w:jc w:val="left"/>
              <w:rPr>
                <w:rFonts w:eastAsia="Calibri"/>
                <w:color w:val="000000"/>
                <w:sz w:val="18"/>
                <w:szCs w:val="18"/>
              </w:rPr>
            </w:pPr>
          </w:p>
          <w:p w:rsidR="008A3CD0" w:rsidRDefault="008A3CD0" w:rsidP="00663BBA">
            <w:pPr>
              <w:spacing w:line="180" w:lineRule="exact"/>
              <w:contextualSpacing/>
              <w:jc w:val="left"/>
              <w:rPr>
                <w:rFonts w:eastAsia="Calibri"/>
                <w:color w:val="000000"/>
                <w:sz w:val="18"/>
                <w:szCs w:val="18"/>
              </w:rPr>
            </w:pPr>
          </w:p>
          <w:p w:rsidR="008A3CD0" w:rsidRDefault="008A3CD0" w:rsidP="00663BBA">
            <w:pPr>
              <w:spacing w:line="180" w:lineRule="exact"/>
              <w:contextualSpacing/>
              <w:jc w:val="left"/>
              <w:rPr>
                <w:rFonts w:eastAsia="Calibri"/>
                <w:color w:val="000000"/>
                <w:sz w:val="18"/>
                <w:szCs w:val="18"/>
              </w:rPr>
            </w:pPr>
          </w:p>
          <w:p w:rsidR="008A3CD0" w:rsidRDefault="008A3CD0" w:rsidP="00663BBA">
            <w:pPr>
              <w:spacing w:line="180" w:lineRule="exact"/>
              <w:contextualSpacing/>
              <w:jc w:val="left"/>
              <w:rPr>
                <w:rFonts w:eastAsia="Calibri"/>
                <w:color w:val="000000"/>
                <w:sz w:val="18"/>
                <w:szCs w:val="18"/>
              </w:rPr>
            </w:pPr>
          </w:p>
          <w:p w:rsidR="008A3CD0" w:rsidRDefault="008A3CD0" w:rsidP="006C7EDD">
            <w:pPr>
              <w:spacing w:line="180" w:lineRule="exact"/>
              <w:contextualSpacing/>
              <w:rPr>
                <w:rFonts w:eastAsia="Calibri"/>
                <w:color w:val="000000"/>
                <w:sz w:val="18"/>
                <w:szCs w:val="18"/>
              </w:rPr>
            </w:pPr>
            <w:r w:rsidRPr="003B5F80">
              <w:rPr>
                <w:rFonts w:eastAsia="Calibri"/>
                <w:color w:val="000000"/>
                <w:sz w:val="18"/>
                <w:szCs w:val="18"/>
              </w:rPr>
              <w:t>↓No Additional MEB/PEB Entries↓</w:t>
            </w:r>
          </w:p>
        </w:tc>
        <w:tc>
          <w:tcPr>
            <w:tcW w:w="2880" w:type="dxa"/>
            <w:tcBorders>
              <w:left w:val="thinThickThinSmallGap" w:sz="24" w:space="0" w:color="auto"/>
            </w:tcBorders>
            <w:shd w:val="clear" w:color="auto" w:fill="FFFFFF"/>
            <w:vAlign w:val="center"/>
          </w:tcPr>
          <w:p w:rsidR="008A3CD0" w:rsidRPr="003B5F80" w:rsidRDefault="008A3CD0" w:rsidP="00070D34">
            <w:pPr>
              <w:spacing w:line="180" w:lineRule="exact"/>
              <w:contextualSpacing/>
              <w:jc w:val="left"/>
              <w:rPr>
                <w:rFonts w:eastAsia="Calibri"/>
                <w:color w:val="000000"/>
                <w:sz w:val="18"/>
                <w:szCs w:val="18"/>
              </w:rPr>
            </w:pPr>
            <w:r>
              <w:rPr>
                <w:rFonts w:eastAsia="Calibri"/>
                <w:color w:val="000000"/>
                <w:sz w:val="18"/>
                <w:szCs w:val="18"/>
              </w:rPr>
              <w:t>Migraine Headaches</w:t>
            </w:r>
          </w:p>
        </w:tc>
        <w:tc>
          <w:tcPr>
            <w:tcW w:w="63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8100</w:t>
            </w:r>
          </w:p>
        </w:tc>
        <w:tc>
          <w:tcPr>
            <w:tcW w:w="72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10%</w:t>
            </w:r>
          </w:p>
        </w:tc>
        <w:tc>
          <w:tcPr>
            <w:tcW w:w="99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20021219</w:t>
            </w:r>
          </w:p>
        </w:tc>
      </w:tr>
      <w:tr w:rsidR="008A3CD0" w:rsidRPr="003B5F80" w:rsidTr="00070D34">
        <w:trPr>
          <w:trHeight w:val="125"/>
          <w:jc w:val="center"/>
        </w:trPr>
        <w:tc>
          <w:tcPr>
            <w:tcW w:w="4158" w:type="dxa"/>
            <w:gridSpan w:val="4"/>
            <w:vMerge/>
            <w:tcBorders>
              <w:right w:val="thinThickThinSmallGap" w:sz="24" w:space="0" w:color="auto"/>
            </w:tcBorders>
            <w:shd w:val="clear" w:color="auto" w:fill="FFFFFF"/>
          </w:tcPr>
          <w:p w:rsidR="008A3CD0" w:rsidRDefault="008A3CD0" w:rsidP="00663BBA">
            <w:pPr>
              <w:spacing w:line="180" w:lineRule="exact"/>
              <w:contextualSpacing/>
              <w:jc w:val="left"/>
              <w:rPr>
                <w:rFonts w:eastAsia="Calibri"/>
                <w:color w:val="000000"/>
                <w:sz w:val="18"/>
                <w:szCs w:val="18"/>
              </w:rPr>
            </w:pPr>
          </w:p>
        </w:tc>
        <w:tc>
          <w:tcPr>
            <w:tcW w:w="2880" w:type="dxa"/>
            <w:tcBorders>
              <w:left w:val="thinThickThinSmallGap" w:sz="24" w:space="0" w:color="auto"/>
            </w:tcBorders>
            <w:shd w:val="clear" w:color="auto" w:fill="FFFFFF"/>
            <w:vAlign w:val="center"/>
          </w:tcPr>
          <w:p w:rsidR="008A3CD0" w:rsidRPr="003B5F80" w:rsidRDefault="008A3CD0" w:rsidP="00070D34">
            <w:pPr>
              <w:spacing w:line="180" w:lineRule="exact"/>
              <w:contextualSpacing/>
              <w:jc w:val="left"/>
              <w:rPr>
                <w:rFonts w:eastAsia="Calibri"/>
                <w:color w:val="000000"/>
                <w:sz w:val="18"/>
                <w:szCs w:val="18"/>
              </w:rPr>
            </w:pPr>
            <w:r>
              <w:rPr>
                <w:rFonts w:eastAsia="Calibri"/>
                <w:color w:val="000000"/>
                <w:sz w:val="18"/>
                <w:szCs w:val="18"/>
              </w:rPr>
              <w:t>Tinnitus, Right Ear</w:t>
            </w:r>
          </w:p>
        </w:tc>
        <w:tc>
          <w:tcPr>
            <w:tcW w:w="63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6260</w:t>
            </w:r>
          </w:p>
        </w:tc>
        <w:tc>
          <w:tcPr>
            <w:tcW w:w="72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10%</w:t>
            </w:r>
          </w:p>
        </w:tc>
        <w:tc>
          <w:tcPr>
            <w:tcW w:w="99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20021223</w:t>
            </w:r>
          </w:p>
        </w:tc>
      </w:tr>
      <w:tr w:rsidR="008A3CD0" w:rsidRPr="003B5F80" w:rsidTr="00070D34">
        <w:trPr>
          <w:trHeight w:val="125"/>
          <w:jc w:val="center"/>
        </w:trPr>
        <w:tc>
          <w:tcPr>
            <w:tcW w:w="4158" w:type="dxa"/>
            <w:gridSpan w:val="4"/>
            <w:vMerge/>
            <w:tcBorders>
              <w:right w:val="thinThickThinSmallGap" w:sz="24" w:space="0" w:color="auto"/>
            </w:tcBorders>
            <w:shd w:val="clear" w:color="auto" w:fill="FFFFFF"/>
          </w:tcPr>
          <w:p w:rsidR="008A3CD0" w:rsidRDefault="008A3CD0" w:rsidP="00663BBA">
            <w:pPr>
              <w:spacing w:line="180" w:lineRule="exact"/>
              <w:contextualSpacing/>
              <w:jc w:val="left"/>
              <w:rPr>
                <w:rFonts w:eastAsia="Calibri"/>
                <w:color w:val="000000"/>
                <w:sz w:val="18"/>
                <w:szCs w:val="18"/>
              </w:rPr>
            </w:pPr>
          </w:p>
        </w:tc>
        <w:tc>
          <w:tcPr>
            <w:tcW w:w="2880" w:type="dxa"/>
            <w:tcBorders>
              <w:left w:val="thinThickThinSmallGap" w:sz="24" w:space="0" w:color="auto"/>
            </w:tcBorders>
            <w:shd w:val="clear" w:color="auto" w:fill="FFFFFF"/>
            <w:vAlign w:val="center"/>
          </w:tcPr>
          <w:p w:rsidR="008A3CD0" w:rsidRDefault="008A3CD0" w:rsidP="00070D34">
            <w:pPr>
              <w:spacing w:line="180" w:lineRule="exact"/>
              <w:contextualSpacing/>
              <w:jc w:val="left"/>
              <w:rPr>
                <w:rFonts w:eastAsia="Calibri"/>
                <w:color w:val="000000"/>
                <w:sz w:val="18"/>
                <w:szCs w:val="18"/>
              </w:rPr>
            </w:pPr>
            <w:proofErr w:type="spellStart"/>
            <w:r>
              <w:rPr>
                <w:rFonts w:eastAsia="Calibri"/>
                <w:color w:val="000000"/>
                <w:sz w:val="18"/>
                <w:szCs w:val="18"/>
              </w:rPr>
              <w:t>Temporomandibular</w:t>
            </w:r>
            <w:proofErr w:type="spellEnd"/>
            <w:r>
              <w:rPr>
                <w:rFonts w:eastAsia="Calibri"/>
                <w:color w:val="000000"/>
                <w:sz w:val="18"/>
                <w:szCs w:val="18"/>
              </w:rPr>
              <w:t xml:space="preserve"> Joint Syndrome </w:t>
            </w:r>
          </w:p>
        </w:tc>
        <w:tc>
          <w:tcPr>
            <w:tcW w:w="630" w:type="dxa"/>
            <w:shd w:val="clear" w:color="auto" w:fill="FFFFFF"/>
            <w:vAlign w:val="center"/>
          </w:tcPr>
          <w:p w:rsidR="008A3CD0" w:rsidRDefault="008A3CD0" w:rsidP="00663BBA">
            <w:pPr>
              <w:spacing w:line="180" w:lineRule="exact"/>
              <w:contextualSpacing/>
              <w:rPr>
                <w:rFonts w:eastAsia="Calibri"/>
                <w:color w:val="000000"/>
                <w:sz w:val="18"/>
                <w:szCs w:val="18"/>
              </w:rPr>
            </w:pPr>
            <w:r>
              <w:rPr>
                <w:rFonts w:eastAsia="Calibri"/>
                <w:color w:val="000000"/>
                <w:sz w:val="18"/>
                <w:szCs w:val="18"/>
              </w:rPr>
              <w:t>9905</w:t>
            </w:r>
          </w:p>
        </w:tc>
        <w:tc>
          <w:tcPr>
            <w:tcW w:w="720" w:type="dxa"/>
            <w:shd w:val="clear" w:color="auto" w:fill="FFFFFF"/>
            <w:vAlign w:val="center"/>
          </w:tcPr>
          <w:p w:rsidR="008A3CD0" w:rsidRDefault="008A3CD0" w:rsidP="00663BBA">
            <w:pPr>
              <w:spacing w:line="180" w:lineRule="exact"/>
              <w:contextualSpacing/>
              <w:rPr>
                <w:rFonts w:eastAsia="Calibri"/>
                <w:color w:val="000000"/>
                <w:sz w:val="18"/>
                <w:szCs w:val="18"/>
              </w:rPr>
            </w:pPr>
            <w:r>
              <w:rPr>
                <w:rFonts w:eastAsia="Calibri"/>
                <w:color w:val="000000"/>
                <w:sz w:val="18"/>
                <w:szCs w:val="18"/>
              </w:rPr>
              <w:t>10%</w:t>
            </w:r>
          </w:p>
        </w:tc>
        <w:tc>
          <w:tcPr>
            <w:tcW w:w="990" w:type="dxa"/>
            <w:shd w:val="clear" w:color="auto" w:fill="FFFFFF"/>
            <w:vAlign w:val="center"/>
          </w:tcPr>
          <w:p w:rsidR="008A3CD0" w:rsidRPr="003B5F80" w:rsidRDefault="008A3CD0" w:rsidP="00663BBA">
            <w:pPr>
              <w:spacing w:line="180" w:lineRule="exact"/>
              <w:contextualSpacing/>
              <w:rPr>
                <w:rFonts w:eastAsia="Calibri"/>
                <w:color w:val="000000"/>
                <w:sz w:val="18"/>
                <w:szCs w:val="18"/>
              </w:rPr>
            </w:pPr>
            <w:r>
              <w:rPr>
                <w:rFonts w:eastAsia="Calibri"/>
                <w:color w:val="000000"/>
                <w:sz w:val="18"/>
                <w:szCs w:val="18"/>
              </w:rPr>
              <w:t>20021227</w:t>
            </w:r>
          </w:p>
        </w:tc>
      </w:tr>
      <w:tr w:rsidR="008A3CD0" w:rsidRPr="003B5F80" w:rsidTr="00070D34">
        <w:trPr>
          <w:trHeight w:val="125"/>
          <w:jc w:val="center"/>
        </w:trPr>
        <w:tc>
          <w:tcPr>
            <w:tcW w:w="4158" w:type="dxa"/>
            <w:gridSpan w:val="4"/>
            <w:vMerge/>
            <w:tcBorders>
              <w:right w:val="thinThickThinSmallGap" w:sz="24" w:space="0" w:color="auto"/>
            </w:tcBorders>
            <w:shd w:val="clear" w:color="auto" w:fill="FFFFFF"/>
          </w:tcPr>
          <w:p w:rsidR="008A3CD0" w:rsidRDefault="008A3CD0" w:rsidP="00663BBA">
            <w:pPr>
              <w:spacing w:line="180" w:lineRule="exact"/>
              <w:contextualSpacing/>
              <w:rPr>
                <w:rFonts w:eastAsia="Calibri"/>
                <w:color w:val="000000"/>
                <w:sz w:val="18"/>
                <w:szCs w:val="18"/>
              </w:rPr>
            </w:pPr>
          </w:p>
        </w:tc>
        <w:tc>
          <w:tcPr>
            <w:tcW w:w="2880" w:type="dxa"/>
            <w:tcBorders>
              <w:left w:val="thinThickThinSmallGap" w:sz="24" w:space="0" w:color="auto"/>
            </w:tcBorders>
            <w:shd w:val="clear" w:color="auto" w:fill="FFFFFF"/>
            <w:vAlign w:val="center"/>
          </w:tcPr>
          <w:p w:rsidR="008A3CD0" w:rsidRDefault="0062706F" w:rsidP="00070D34">
            <w:pPr>
              <w:spacing w:line="180" w:lineRule="exact"/>
              <w:contextualSpacing/>
              <w:jc w:val="left"/>
              <w:rPr>
                <w:rFonts w:eastAsia="Calibri"/>
                <w:color w:val="000000"/>
                <w:sz w:val="18"/>
                <w:szCs w:val="18"/>
              </w:rPr>
            </w:pPr>
            <w:r>
              <w:rPr>
                <w:rFonts w:eastAsia="Calibri"/>
                <w:color w:val="000000"/>
                <w:sz w:val="18"/>
                <w:szCs w:val="18"/>
              </w:rPr>
              <w:t>Hypothyroidism</w:t>
            </w:r>
          </w:p>
        </w:tc>
        <w:tc>
          <w:tcPr>
            <w:tcW w:w="630" w:type="dxa"/>
            <w:shd w:val="clear" w:color="auto" w:fill="FFFFFF"/>
            <w:vAlign w:val="center"/>
          </w:tcPr>
          <w:p w:rsidR="008A3CD0" w:rsidRDefault="008A3CD0" w:rsidP="00663BBA">
            <w:pPr>
              <w:spacing w:line="180" w:lineRule="exact"/>
              <w:contextualSpacing/>
              <w:rPr>
                <w:rFonts w:eastAsia="Calibri"/>
                <w:color w:val="000000"/>
                <w:sz w:val="18"/>
                <w:szCs w:val="18"/>
              </w:rPr>
            </w:pPr>
            <w:r>
              <w:rPr>
                <w:rFonts w:eastAsia="Calibri"/>
                <w:color w:val="000000"/>
                <w:sz w:val="18"/>
                <w:szCs w:val="18"/>
              </w:rPr>
              <w:t>7904</w:t>
            </w:r>
          </w:p>
        </w:tc>
        <w:tc>
          <w:tcPr>
            <w:tcW w:w="720" w:type="dxa"/>
            <w:shd w:val="clear" w:color="auto" w:fill="FFFFFF"/>
            <w:vAlign w:val="center"/>
          </w:tcPr>
          <w:p w:rsidR="008A3CD0" w:rsidRDefault="008A3CD0" w:rsidP="00663BBA">
            <w:pPr>
              <w:spacing w:line="180" w:lineRule="exact"/>
              <w:contextualSpacing/>
              <w:rPr>
                <w:rFonts w:eastAsia="Calibri"/>
                <w:color w:val="000000"/>
                <w:sz w:val="18"/>
                <w:szCs w:val="18"/>
              </w:rPr>
            </w:pPr>
            <w:r>
              <w:rPr>
                <w:rFonts w:eastAsia="Calibri"/>
                <w:color w:val="000000"/>
                <w:sz w:val="18"/>
                <w:szCs w:val="18"/>
              </w:rPr>
              <w:t>10%</w:t>
            </w:r>
          </w:p>
        </w:tc>
        <w:tc>
          <w:tcPr>
            <w:tcW w:w="990" w:type="dxa"/>
            <w:shd w:val="clear" w:color="auto" w:fill="FFFFFF"/>
            <w:vAlign w:val="center"/>
          </w:tcPr>
          <w:p w:rsidR="008A3CD0" w:rsidRDefault="008A3CD0" w:rsidP="00663BBA">
            <w:pPr>
              <w:spacing w:line="180" w:lineRule="exact"/>
              <w:contextualSpacing/>
              <w:rPr>
                <w:rFonts w:eastAsia="Calibri"/>
                <w:color w:val="000000"/>
                <w:sz w:val="18"/>
                <w:szCs w:val="18"/>
              </w:rPr>
            </w:pPr>
            <w:r>
              <w:rPr>
                <w:rFonts w:eastAsia="Calibri"/>
                <w:color w:val="000000"/>
                <w:sz w:val="18"/>
                <w:szCs w:val="18"/>
              </w:rPr>
              <w:t>20021206</w:t>
            </w:r>
          </w:p>
        </w:tc>
      </w:tr>
      <w:tr w:rsidR="008E6B9C" w:rsidRPr="003B5F80" w:rsidTr="003701A0">
        <w:trPr>
          <w:trHeight w:val="324"/>
          <w:jc w:val="center"/>
        </w:trPr>
        <w:tc>
          <w:tcPr>
            <w:tcW w:w="4158" w:type="dxa"/>
            <w:gridSpan w:val="4"/>
            <w:vMerge/>
            <w:tcBorders>
              <w:bottom w:val="single" w:sz="4" w:space="0" w:color="000000"/>
              <w:right w:val="thinThickThinSmallGap" w:sz="24" w:space="0" w:color="auto"/>
            </w:tcBorders>
            <w:shd w:val="clear" w:color="auto" w:fill="FFFFFF"/>
          </w:tcPr>
          <w:p w:rsidR="008E6B9C" w:rsidRPr="003B5F80" w:rsidRDefault="008E6B9C" w:rsidP="00663BBA">
            <w:pPr>
              <w:spacing w:line="180" w:lineRule="exact"/>
              <w:contextualSpacing/>
              <w:jc w:val="both"/>
              <w:rPr>
                <w:color w:val="000000"/>
                <w:sz w:val="18"/>
                <w:szCs w:val="18"/>
              </w:rPr>
            </w:pPr>
          </w:p>
        </w:tc>
        <w:tc>
          <w:tcPr>
            <w:tcW w:w="5220" w:type="dxa"/>
            <w:gridSpan w:val="4"/>
            <w:tcBorders>
              <w:left w:val="thinThickThinSmallGap" w:sz="24" w:space="0" w:color="auto"/>
              <w:bottom w:val="single" w:sz="4" w:space="0" w:color="000000"/>
            </w:tcBorders>
            <w:shd w:val="clear" w:color="auto" w:fill="FFFFFF"/>
            <w:vAlign w:val="center"/>
          </w:tcPr>
          <w:p w:rsidR="008E6B9C" w:rsidRPr="003B5F80" w:rsidRDefault="006E2A72" w:rsidP="008E6B9C">
            <w:pPr>
              <w:spacing w:line="180" w:lineRule="exact"/>
              <w:contextualSpacing/>
              <w:rPr>
                <w:color w:val="000000"/>
                <w:sz w:val="18"/>
                <w:szCs w:val="18"/>
              </w:rPr>
            </w:pPr>
            <w:r>
              <w:rPr>
                <w:rFonts w:eastAsia="Calibri"/>
                <w:color w:val="000000"/>
                <w:sz w:val="18"/>
                <w:szCs w:val="18"/>
              </w:rPr>
              <w:t>Not Service-</w:t>
            </w:r>
            <w:r w:rsidR="008E6B9C" w:rsidRPr="003B5F80">
              <w:rPr>
                <w:rFonts w:eastAsia="Calibri"/>
                <w:color w:val="000000"/>
                <w:sz w:val="18"/>
                <w:szCs w:val="18"/>
              </w:rPr>
              <w:t xml:space="preserve">Connected x </w:t>
            </w:r>
            <w:r w:rsidR="008E6B9C">
              <w:rPr>
                <w:rFonts w:eastAsia="Calibri"/>
                <w:color w:val="000000"/>
                <w:sz w:val="18"/>
                <w:szCs w:val="18"/>
              </w:rPr>
              <w:t>7</w:t>
            </w:r>
          </w:p>
        </w:tc>
      </w:tr>
      <w:tr w:rsidR="008A3CD0" w:rsidRPr="003B5F80" w:rsidTr="00663BBA">
        <w:trPr>
          <w:trHeight w:val="242"/>
          <w:jc w:val="center"/>
        </w:trPr>
        <w:tc>
          <w:tcPr>
            <w:tcW w:w="4158" w:type="dxa"/>
            <w:gridSpan w:val="4"/>
            <w:tcBorders>
              <w:right w:val="thinThickThinSmallGap" w:sz="24" w:space="0" w:color="auto"/>
            </w:tcBorders>
            <w:shd w:val="clear" w:color="auto" w:fill="D9D9D9"/>
            <w:vAlign w:val="center"/>
          </w:tcPr>
          <w:p w:rsidR="008A3CD0" w:rsidRPr="003B5F80" w:rsidRDefault="008A3CD0" w:rsidP="00663BBA">
            <w:pPr>
              <w:contextualSpacing/>
              <w:rPr>
                <w:rFonts w:eastAsia="Calibri"/>
                <w:color w:val="000000"/>
                <w:sz w:val="18"/>
                <w:szCs w:val="18"/>
              </w:rPr>
            </w:pPr>
            <w:r w:rsidRPr="003B5F80">
              <w:rPr>
                <w:rFonts w:eastAsia="Calibri"/>
                <w:color w:val="000000"/>
                <w:sz w:val="18"/>
                <w:szCs w:val="18"/>
              </w:rPr>
              <w:t xml:space="preserve">Combined:  </w:t>
            </w:r>
            <w:r>
              <w:rPr>
                <w:rFonts w:eastAsia="Calibri"/>
                <w:color w:val="000000"/>
                <w:sz w:val="18"/>
                <w:szCs w:val="18"/>
              </w:rPr>
              <w:t>20</w:t>
            </w:r>
            <w:r w:rsidRPr="003B5F80">
              <w:rPr>
                <w:rFonts w:eastAsia="Calibri"/>
                <w:color w:val="000000"/>
                <w:sz w:val="18"/>
                <w:szCs w:val="18"/>
              </w:rPr>
              <w:t>%</w:t>
            </w:r>
          </w:p>
        </w:tc>
        <w:tc>
          <w:tcPr>
            <w:tcW w:w="5220" w:type="dxa"/>
            <w:gridSpan w:val="4"/>
            <w:tcBorders>
              <w:left w:val="thinThickThinSmallGap" w:sz="24" w:space="0" w:color="auto"/>
            </w:tcBorders>
            <w:shd w:val="clear" w:color="auto" w:fill="D9D9D9"/>
            <w:vAlign w:val="center"/>
          </w:tcPr>
          <w:p w:rsidR="008A3CD0" w:rsidRPr="003B5F80" w:rsidRDefault="008A3CD0" w:rsidP="00663BBA">
            <w:pPr>
              <w:contextualSpacing/>
              <w:rPr>
                <w:rFonts w:eastAsia="Calibri"/>
                <w:color w:val="000000"/>
                <w:sz w:val="18"/>
                <w:szCs w:val="18"/>
              </w:rPr>
            </w:pPr>
            <w:r w:rsidRPr="003B5F80">
              <w:rPr>
                <w:rFonts w:eastAsia="Calibri"/>
                <w:color w:val="000000"/>
                <w:sz w:val="18"/>
                <w:szCs w:val="18"/>
              </w:rPr>
              <w:t xml:space="preserve">Combined:  </w:t>
            </w:r>
            <w:r>
              <w:rPr>
                <w:rFonts w:eastAsia="Calibri"/>
                <w:color w:val="000000"/>
                <w:sz w:val="18"/>
                <w:szCs w:val="18"/>
              </w:rPr>
              <w:t>8</w:t>
            </w:r>
            <w:r w:rsidRPr="003B5F80">
              <w:rPr>
                <w:rFonts w:eastAsia="Calibri"/>
                <w:color w:val="000000"/>
                <w:sz w:val="18"/>
                <w:szCs w:val="18"/>
              </w:rPr>
              <w:t>0%</w:t>
            </w:r>
            <w:r w:rsidR="00374414">
              <w:rPr>
                <w:rFonts w:eastAsia="Calibri"/>
                <w:color w:val="000000"/>
                <w:sz w:val="18"/>
                <w:szCs w:val="18"/>
              </w:rPr>
              <w:t>***</w:t>
            </w:r>
          </w:p>
        </w:tc>
      </w:tr>
    </w:tbl>
    <w:p w:rsidR="008E6B9C" w:rsidRPr="0062706F" w:rsidRDefault="00ED236D" w:rsidP="003701A0">
      <w:pPr>
        <w:tabs>
          <w:tab w:val="left" w:pos="288"/>
          <w:tab w:val="left" w:pos="4752"/>
        </w:tabs>
        <w:spacing w:line="200" w:lineRule="exact"/>
        <w:jc w:val="both"/>
        <w:rPr>
          <w:color w:val="auto"/>
          <w:sz w:val="20"/>
        </w:rPr>
      </w:pPr>
      <w:r w:rsidRPr="0062706F">
        <w:rPr>
          <w:color w:val="auto"/>
          <w:sz w:val="20"/>
        </w:rPr>
        <w:t>*</w:t>
      </w:r>
      <w:r w:rsidR="008E6B9C" w:rsidRPr="0062706F">
        <w:rPr>
          <w:color w:val="auto"/>
          <w:sz w:val="20"/>
        </w:rPr>
        <w:t xml:space="preserve">Increased to 40% effective 20070910. </w:t>
      </w:r>
    </w:p>
    <w:p w:rsidR="008E6B9C" w:rsidRPr="0062706F" w:rsidRDefault="00ED236D" w:rsidP="003701A0">
      <w:pPr>
        <w:tabs>
          <w:tab w:val="left" w:pos="288"/>
          <w:tab w:val="left" w:pos="4752"/>
        </w:tabs>
        <w:spacing w:line="200" w:lineRule="exact"/>
        <w:jc w:val="both"/>
        <w:rPr>
          <w:color w:val="FF0000"/>
          <w:sz w:val="20"/>
        </w:rPr>
      </w:pPr>
      <w:r w:rsidRPr="0062706F">
        <w:rPr>
          <w:color w:val="auto"/>
          <w:sz w:val="20"/>
        </w:rPr>
        <w:t>**</w:t>
      </w:r>
      <w:r w:rsidR="008E6B9C" w:rsidRPr="0062706F">
        <w:rPr>
          <w:color w:val="auto"/>
          <w:sz w:val="20"/>
        </w:rPr>
        <w:t>Increased to 30% and code changed to 5200</w:t>
      </w:r>
      <w:r w:rsidR="008E6B9C" w:rsidRPr="0062706F">
        <w:rPr>
          <w:color w:val="FF0000"/>
          <w:sz w:val="20"/>
        </w:rPr>
        <w:t xml:space="preserve"> </w:t>
      </w:r>
      <w:r w:rsidR="008E6B9C" w:rsidRPr="0062706F">
        <w:rPr>
          <w:color w:val="auto"/>
          <w:sz w:val="20"/>
        </w:rPr>
        <w:t>effective 20070910</w:t>
      </w:r>
      <w:r w:rsidR="0062706F" w:rsidRPr="0062706F">
        <w:rPr>
          <w:color w:val="auto"/>
          <w:sz w:val="20"/>
        </w:rPr>
        <w:t>.</w:t>
      </w:r>
    </w:p>
    <w:p w:rsidR="00B01038" w:rsidRPr="0062706F" w:rsidRDefault="00374414" w:rsidP="003701A0">
      <w:pPr>
        <w:tabs>
          <w:tab w:val="left" w:pos="288"/>
          <w:tab w:val="left" w:pos="4752"/>
        </w:tabs>
        <w:spacing w:line="200" w:lineRule="exact"/>
        <w:jc w:val="both"/>
        <w:rPr>
          <w:b/>
          <w:color w:val="000000"/>
          <w:sz w:val="20"/>
          <w:u w:val="single"/>
        </w:rPr>
      </w:pPr>
      <w:r w:rsidRPr="0062706F">
        <w:rPr>
          <w:color w:val="auto"/>
          <w:sz w:val="20"/>
        </w:rPr>
        <w:t>***</w:t>
      </w:r>
      <w:r w:rsidR="008E6B9C" w:rsidRPr="0062706F">
        <w:rPr>
          <w:color w:val="auto"/>
          <w:sz w:val="20"/>
        </w:rPr>
        <w:t xml:space="preserve">90% effective 20070910. Additional ratings </w:t>
      </w:r>
      <w:r w:rsidR="00981B58">
        <w:rPr>
          <w:color w:val="auto"/>
          <w:sz w:val="20"/>
        </w:rPr>
        <w:t>for complications of diabetes (o</w:t>
      </w:r>
      <w:r w:rsidR="008E6B9C" w:rsidRPr="0062706F">
        <w:rPr>
          <w:color w:val="auto"/>
          <w:sz w:val="20"/>
        </w:rPr>
        <w:t xml:space="preserve">ne at 10% and three at 0%) were added effective 2008114 but this did not change the combined rating. </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070D34" w:rsidRPr="00F64312" w:rsidRDefault="00AD2379" w:rsidP="00070D3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070D34" w:rsidRPr="009A376C">
        <w:rPr>
          <w:color w:val="auto"/>
        </w:rPr>
        <w:t xml:space="preserve">The Board acknowledges the sentiment expressed in the CI’s application, i.e., that </w:t>
      </w:r>
      <w:r w:rsidR="00070D34" w:rsidRPr="00A00471">
        <w:rPr>
          <w:color w:val="auto"/>
        </w:rPr>
        <w:t xml:space="preserve">the gravity of his conditions merit consideration for a higher separation rating. </w:t>
      </w:r>
      <w:r w:rsidR="006E2A72">
        <w:rPr>
          <w:color w:val="auto"/>
        </w:rPr>
        <w:t xml:space="preserve"> </w:t>
      </w:r>
      <w:r w:rsidR="00070D34" w:rsidRPr="00A00471">
        <w:rPr>
          <w:color w:val="auto"/>
        </w:rPr>
        <w:t>The Board wishes to clarify that it i</w:t>
      </w:r>
      <w:r w:rsidR="00423276">
        <w:rPr>
          <w:color w:val="auto"/>
        </w:rPr>
        <w:t>s subject to the same laws for</w:t>
      </w:r>
      <w:r w:rsidR="00070D34" w:rsidRPr="00A00471">
        <w:rPr>
          <w:color w:val="auto"/>
        </w:rPr>
        <w:t xml:space="preserve"> disability entitlements as those under which the Disability Evaluation System (DES) operates. </w:t>
      </w:r>
      <w:r w:rsidR="006E2A72">
        <w:rPr>
          <w:color w:val="auto"/>
        </w:rPr>
        <w:t xml:space="preserve"> </w:t>
      </w:r>
      <w:r w:rsidR="00070D34" w:rsidRPr="00A00471">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6E2A72">
        <w:rPr>
          <w:color w:val="auto"/>
        </w:rPr>
        <w:t xml:space="preserve"> </w:t>
      </w:r>
      <w:r w:rsidR="00070D34" w:rsidRPr="00A00471">
        <w:rPr>
          <w:color w:val="auto"/>
        </w:rPr>
        <w:t>However the Department of Veteran</w:t>
      </w:r>
      <w:r w:rsidR="006E2A72">
        <w:rPr>
          <w:color w:val="auto"/>
        </w:rPr>
        <w:t>s’</w:t>
      </w:r>
      <w:r w:rsidR="00070D34" w:rsidRPr="00A00471">
        <w:rPr>
          <w:color w:val="auto"/>
        </w:rPr>
        <w:t xml:space="preserve"> Affairs (DVA), operating under a different set of laws (Title 38, United States Code), is empo</w:t>
      </w:r>
      <w:r w:rsidR="006E2A72">
        <w:rPr>
          <w:color w:val="auto"/>
        </w:rPr>
        <w:t>wered to compensate all service-</w:t>
      </w:r>
      <w:r w:rsidR="00070D34" w:rsidRPr="00A00471">
        <w:rPr>
          <w:color w:val="auto"/>
        </w:rPr>
        <w:t>connected conditions and to periodically</w:t>
      </w:r>
      <w:r w:rsidR="00070D34" w:rsidRPr="009A376C">
        <w:rPr>
          <w:color w:val="auto"/>
        </w:rPr>
        <w:t xml:space="preserve"> reevaluate said conditions for the purpose of adjusting the </w:t>
      </w:r>
      <w:r w:rsidR="006E2A72">
        <w:rPr>
          <w:color w:val="auto"/>
        </w:rPr>
        <w:t>V</w:t>
      </w:r>
      <w:r w:rsidR="00070D34" w:rsidRPr="009A376C">
        <w:rPr>
          <w:color w:val="auto"/>
        </w:rPr>
        <w:t>et</w:t>
      </w:r>
      <w:r w:rsidR="006E2A72">
        <w:rPr>
          <w:color w:val="auto"/>
        </w:rPr>
        <w:t>eran’s disability rating should the</w:t>
      </w:r>
      <w:r w:rsidR="00070D34" w:rsidRPr="009A376C">
        <w:rPr>
          <w:color w:val="auto"/>
        </w:rPr>
        <w:t xml:space="preserve"> degree of impairment vary over time.</w:t>
      </w:r>
      <w:r w:rsidR="00070D34">
        <w:rPr>
          <w:color w:val="auto"/>
        </w:rPr>
        <w:t xml:space="preserve"> </w:t>
      </w:r>
      <w:r w:rsidR="006E2A72">
        <w:rPr>
          <w:color w:val="auto"/>
        </w:rPr>
        <w:t xml:space="preserve"> </w:t>
      </w:r>
      <w:r w:rsidR="00070D34" w:rsidRPr="009A376C">
        <w:rPr>
          <w:color w:val="auto"/>
        </w:rPr>
        <w:t xml:space="preserve">The Board utilizes </w:t>
      </w:r>
      <w:r w:rsidR="00423276">
        <w:rPr>
          <w:color w:val="auto"/>
        </w:rPr>
        <w:t>D</w:t>
      </w:r>
      <w:r w:rsidR="00070D34" w:rsidRPr="009A376C">
        <w:rPr>
          <w:color w:val="auto"/>
        </w:rPr>
        <w:t xml:space="preserve">VA evidence proximal to separation in arriving at its recommendations; and, </w:t>
      </w:r>
      <w:proofErr w:type="spellStart"/>
      <w:r w:rsidR="00070D34" w:rsidRPr="009A376C">
        <w:rPr>
          <w:color w:val="auto"/>
        </w:rPr>
        <w:t>DoDI</w:t>
      </w:r>
      <w:proofErr w:type="spellEnd"/>
      <w:r w:rsidR="00070D34" w:rsidRPr="009A376C">
        <w:rPr>
          <w:color w:val="auto"/>
        </w:rPr>
        <w:t xml:space="preserve"> 6040.44 defines a 12-month interval for special consideration to post-separation evidence. </w:t>
      </w:r>
      <w:r w:rsidR="006E2A72">
        <w:rPr>
          <w:color w:val="auto"/>
        </w:rPr>
        <w:t xml:space="preserve"> </w:t>
      </w:r>
      <w:r w:rsidR="00070D34" w:rsidRPr="009A376C">
        <w:rPr>
          <w:color w:val="auto"/>
        </w:rPr>
        <w:t xml:space="preserve">The Board’s authority as defined in </w:t>
      </w:r>
      <w:proofErr w:type="spellStart"/>
      <w:r w:rsidR="00070D34" w:rsidRPr="009A376C">
        <w:rPr>
          <w:color w:val="auto"/>
        </w:rPr>
        <w:t>DoDI</w:t>
      </w:r>
      <w:proofErr w:type="spellEnd"/>
      <w:r w:rsidR="00070D34" w:rsidRPr="009A376C">
        <w:rPr>
          <w:color w:val="auto"/>
        </w:rPr>
        <w:t xml:space="preserve"> 6040.44, however, resides in evaluating the fairness of DES fitness determinations and rating decisions for disability at the time of separation. </w:t>
      </w:r>
      <w:r w:rsidR="006E2A72">
        <w:rPr>
          <w:color w:val="auto"/>
        </w:rPr>
        <w:t xml:space="preserve"> </w:t>
      </w:r>
      <w:r w:rsidR="00070D34" w:rsidRPr="009A376C">
        <w:rPr>
          <w:color w:val="auto"/>
        </w:rPr>
        <w:t>Post-separation evidence therefore is probative only to the extent that it reasonably reflects the disability and fitness implications at the time of separation.</w:t>
      </w:r>
    </w:p>
    <w:p w:rsidR="00AD2379" w:rsidRPr="00F64312" w:rsidRDefault="00AD2379" w:rsidP="00A14D6D">
      <w:pPr>
        <w:jc w:val="both"/>
        <w:rPr>
          <w:color w:val="auto"/>
          <w:highlight w:val="yellow"/>
        </w:rPr>
      </w:pPr>
    </w:p>
    <w:p w:rsidR="00FD5085" w:rsidRDefault="00FD61B7" w:rsidP="00A14D6D">
      <w:pPr>
        <w:jc w:val="both"/>
        <w:rPr>
          <w:color w:val="000000"/>
          <w:szCs w:val="24"/>
        </w:rPr>
      </w:pPr>
      <w:proofErr w:type="gramStart"/>
      <w:r>
        <w:rPr>
          <w:color w:val="000000"/>
          <w:szCs w:val="24"/>
          <w:u w:val="single"/>
        </w:rPr>
        <w:t>Fibromyalgia with muscle pain and fatigue; greater than 11 of 18 tender points</w:t>
      </w:r>
      <w:r w:rsidR="00FD5085">
        <w:rPr>
          <w:color w:val="000000"/>
          <w:szCs w:val="24"/>
        </w:rPr>
        <w:t>.</w:t>
      </w:r>
      <w:proofErr w:type="gramEnd"/>
      <w:r w:rsidR="00FD5085">
        <w:rPr>
          <w:color w:val="000000"/>
          <w:szCs w:val="24"/>
        </w:rPr>
        <w:t xml:space="preserve"> </w:t>
      </w:r>
    </w:p>
    <w:p w:rsidR="00ED2263" w:rsidRDefault="00ED2263" w:rsidP="00A14D6D">
      <w:pPr>
        <w:jc w:val="both"/>
        <w:rPr>
          <w:color w:val="000000"/>
          <w:szCs w:val="24"/>
          <w:u w:val="single"/>
        </w:rPr>
      </w:pPr>
    </w:p>
    <w:p w:rsidR="00A14D6D" w:rsidRPr="007C0FBF" w:rsidRDefault="007C0FBF" w:rsidP="00A14D6D">
      <w:pPr>
        <w:jc w:val="both"/>
        <w:rPr>
          <w:color w:val="000000"/>
          <w:szCs w:val="24"/>
          <w:u w:val="single"/>
        </w:rPr>
      </w:pPr>
      <w:r w:rsidRPr="007C0FBF">
        <w:rPr>
          <w:color w:val="000000"/>
          <w:szCs w:val="24"/>
          <w:u w:val="single"/>
        </w:rPr>
        <w:t xml:space="preserve">TDRL entry </w:t>
      </w:r>
      <w:r w:rsidRPr="007C0FBF">
        <w:rPr>
          <w:color w:val="000000"/>
          <w:u w:val="single"/>
        </w:rPr>
        <w:t>200209</w:t>
      </w:r>
      <w:r>
        <w:rPr>
          <w:color w:val="000000"/>
          <w:u w:val="single"/>
        </w:rPr>
        <w:t>20</w:t>
      </w:r>
      <w:r>
        <w:rPr>
          <w:color w:val="000000"/>
          <w:szCs w:val="24"/>
          <w:u w:val="single"/>
        </w:rPr>
        <w:t>:</w:t>
      </w:r>
    </w:p>
    <w:p w:rsidR="00A14D6D" w:rsidRDefault="006E2A72" w:rsidP="00042AEB">
      <w:pPr>
        <w:jc w:val="both"/>
        <w:rPr>
          <w:color w:val="000000"/>
          <w:szCs w:val="24"/>
        </w:rPr>
      </w:pPr>
      <w:r>
        <w:rPr>
          <w:color w:val="000000"/>
          <w:szCs w:val="24"/>
        </w:rPr>
        <w:t>A</w:t>
      </w:r>
      <w:r w:rsidR="00A14D6D" w:rsidRPr="00A00471">
        <w:rPr>
          <w:color w:val="000000"/>
          <w:szCs w:val="24"/>
        </w:rPr>
        <w:t xml:space="preserve"> MEB </w:t>
      </w:r>
      <w:r>
        <w:rPr>
          <w:color w:val="000000"/>
          <w:szCs w:val="24"/>
        </w:rPr>
        <w:t>n</w:t>
      </w:r>
      <w:r w:rsidR="00A14D6D" w:rsidRPr="00A00471">
        <w:rPr>
          <w:color w:val="000000"/>
          <w:szCs w:val="24"/>
        </w:rPr>
        <w:t xml:space="preserve">arrative </w:t>
      </w:r>
      <w:r>
        <w:rPr>
          <w:color w:val="000000"/>
          <w:szCs w:val="24"/>
        </w:rPr>
        <w:t>s</w:t>
      </w:r>
      <w:r w:rsidR="00A14D6D" w:rsidRPr="00A00471">
        <w:rPr>
          <w:color w:val="000000"/>
          <w:szCs w:val="24"/>
        </w:rPr>
        <w:t xml:space="preserve">ummary (NARSUM) completed on </w:t>
      </w:r>
      <w:r>
        <w:rPr>
          <w:color w:val="000000"/>
          <w:szCs w:val="24"/>
        </w:rPr>
        <w:t xml:space="preserve">19 December </w:t>
      </w:r>
      <w:r w:rsidR="00A14D6D" w:rsidRPr="00A00471">
        <w:rPr>
          <w:color w:val="000000"/>
          <w:szCs w:val="24"/>
        </w:rPr>
        <w:t xml:space="preserve">2001 noted the CI had symptoms of multiple joint pains with morning stiffness that started around 1995. </w:t>
      </w:r>
      <w:r>
        <w:rPr>
          <w:color w:val="000000"/>
          <w:szCs w:val="24"/>
        </w:rPr>
        <w:t xml:space="preserve"> </w:t>
      </w:r>
      <w:r w:rsidR="00A14D6D" w:rsidRPr="00A00471">
        <w:rPr>
          <w:color w:val="000000"/>
          <w:szCs w:val="24"/>
        </w:rPr>
        <w:t xml:space="preserve">He also later had muscular cramps in the legs and right upper extremity. </w:t>
      </w:r>
      <w:r>
        <w:rPr>
          <w:color w:val="000000"/>
          <w:szCs w:val="24"/>
        </w:rPr>
        <w:t xml:space="preserve"> </w:t>
      </w:r>
      <w:r w:rsidR="00A14D6D" w:rsidRPr="00A00471">
        <w:rPr>
          <w:color w:val="000000"/>
          <w:szCs w:val="24"/>
        </w:rPr>
        <w:t xml:space="preserve">He </w:t>
      </w:r>
      <w:r w:rsidR="00A14D6D" w:rsidRPr="00C26070">
        <w:rPr>
          <w:color w:val="000000"/>
          <w:szCs w:val="24"/>
        </w:rPr>
        <w:t xml:space="preserve">was referred to rheumatology and diagnosed with fibromyalgia on </w:t>
      </w:r>
      <w:r>
        <w:rPr>
          <w:color w:val="000000"/>
          <w:szCs w:val="24"/>
        </w:rPr>
        <w:t xml:space="preserve">6 December </w:t>
      </w:r>
      <w:r w:rsidR="00A14D6D" w:rsidRPr="00C26070">
        <w:rPr>
          <w:color w:val="000000"/>
          <w:szCs w:val="24"/>
        </w:rPr>
        <w:t xml:space="preserve">2001. </w:t>
      </w:r>
      <w:r>
        <w:rPr>
          <w:color w:val="000000"/>
          <w:szCs w:val="24"/>
        </w:rPr>
        <w:t xml:space="preserve"> </w:t>
      </w:r>
      <w:r w:rsidR="00A14D6D" w:rsidRPr="00C26070">
        <w:rPr>
          <w:color w:val="000000"/>
          <w:szCs w:val="24"/>
        </w:rPr>
        <w:t xml:space="preserve">His pain was noted to be constant and moderate and exacerbated by strenuous physical activity. </w:t>
      </w:r>
      <w:r>
        <w:rPr>
          <w:color w:val="000000"/>
          <w:szCs w:val="24"/>
        </w:rPr>
        <w:t xml:space="preserve"> </w:t>
      </w:r>
      <w:r w:rsidR="00C82D48" w:rsidRPr="00C26070">
        <w:rPr>
          <w:color w:val="000000"/>
          <w:szCs w:val="24"/>
        </w:rPr>
        <w:t xml:space="preserve">The NARSUM did not specify if this included the fibromyalgia, the </w:t>
      </w:r>
      <w:r>
        <w:rPr>
          <w:color w:val="000000"/>
          <w:szCs w:val="24"/>
        </w:rPr>
        <w:t>DJD</w:t>
      </w:r>
      <w:r w:rsidR="00C82D48" w:rsidRPr="00C26070">
        <w:rPr>
          <w:color w:val="000000"/>
          <w:szCs w:val="24"/>
        </w:rPr>
        <w:t xml:space="preserve"> of the CI’s</w:t>
      </w:r>
      <w:r w:rsidR="00C82D48" w:rsidRPr="00A00471">
        <w:rPr>
          <w:color w:val="000000"/>
          <w:szCs w:val="24"/>
        </w:rPr>
        <w:t xml:space="preserve"> right shoulder or both. </w:t>
      </w:r>
      <w:r w:rsidR="00A14D6D" w:rsidRPr="00A00471">
        <w:rPr>
          <w:color w:val="000000"/>
          <w:szCs w:val="24"/>
        </w:rPr>
        <w:t>He was taking</w:t>
      </w:r>
      <w:r w:rsidR="00A14D6D">
        <w:rPr>
          <w:color w:val="000000"/>
          <w:szCs w:val="24"/>
        </w:rPr>
        <w:t xml:space="preserve"> </w:t>
      </w:r>
      <w:proofErr w:type="spellStart"/>
      <w:r w:rsidR="00A14D6D">
        <w:rPr>
          <w:color w:val="000000"/>
          <w:szCs w:val="24"/>
        </w:rPr>
        <w:t>Mobic</w:t>
      </w:r>
      <w:proofErr w:type="spellEnd"/>
      <w:r w:rsidR="00A14D6D">
        <w:rPr>
          <w:color w:val="000000"/>
          <w:szCs w:val="24"/>
        </w:rPr>
        <w:t xml:space="preserve"> and </w:t>
      </w:r>
      <w:proofErr w:type="spellStart"/>
      <w:r w:rsidR="00A14D6D">
        <w:rPr>
          <w:color w:val="000000"/>
          <w:szCs w:val="24"/>
        </w:rPr>
        <w:t>Elavil</w:t>
      </w:r>
      <w:proofErr w:type="spellEnd"/>
      <w:r w:rsidR="00A14D6D">
        <w:rPr>
          <w:color w:val="000000"/>
          <w:szCs w:val="24"/>
        </w:rPr>
        <w:t xml:space="preserve"> daily as well as Tylenol #3 two to three times a day. At the time of the NARSUM he was doing his regular job with profile limitation and </w:t>
      </w:r>
      <w:r w:rsidR="00A14D6D" w:rsidRPr="00A00471">
        <w:rPr>
          <w:color w:val="000000"/>
          <w:szCs w:val="24"/>
        </w:rPr>
        <w:t xml:space="preserve">felt tired all the time with joint pains and </w:t>
      </w:r>
      <w:r w:rsidR="00A14D6D" w:rsidRPr="00A00471">
        <w:rPr>
          <w:color w:val="000000"/>
          <w:szCs w:val="24"/>
        </w:rPr>
        <w:lastRenderedPageBreak/>
        <w:t xml:space="preserve">muscular pains. An addendum to the NARSUM was completed by rheumatology on </w:t>
      </w:r>
      <w:r>
        <w:rPr>
          <w:color w:val="000000"/>
          <w:szCs w:val="24"/>
        </w:rPr>
        <w:t xml:space="preserve">                  12 December </w:t>
      </w:r>
      <w:r w:rsidR="00A14D6D" w:rsidRPr="00A00471">
        <w:rPr>
          <w:color w:val="000000"/>
          <w:szCs w:val="24"/>
        </w:rPr>
        <w:t xml:space="preserve">2001. </w:t>
      </w:r>
      <w:r>
        <w:rPr>
          <w:color w:val="000000"/>
          <w:szCs w:val="24"/>
        </w:rPr>
        <w:t xml:space="preserve"> </w:t>
      </w:r>
      <w:r w:rsidR="00A14D6D" w:rsidRPr="00A00471">
        <w:rPr>
          <w:color w:val="000000"/>
          <w:szCs w:val="24"/>
        </w:rPr>
        <w:t>A similar clinical history was noted and included a history of muscle cramps involving his lower extremities and forearms, with greatest involvement in the left</w:t>
      </w:r>
      <w:r w:rsidR="00A14D6D">
        <w:rPr>
          <w:color w:val="000000"/>
          <w:szCs w:val="24"/>
        </w:rPr>
        <w:t xml:space="preserve"> calf. </w:t>
      </w:r>
      <w:r>
        <w:rPr>
          <w:color w:val="000000"/>
          <w:szCs w:val="24"/>
        </w:rPr>
        <w:t xml:space="preserve"> </w:t>
      </w:r>
      <w:r w:rsidR="00A14D6D">
        <w:rPr>
          <w:color w:val="000000"/>
          <w:szCs w:val="24"/>
        </w:rPr>
        <w:t xml:space="preserve">The CI denied joint pain and swelling and primarily complained of muscular pain. </w:t>
      </w:r>
      <w:r>
        <w:rPr>
          <w:color w:val="000000"/>
          <w:szCs w:val="24"/>
        </w:rPr>
        <w:t xml:space="preserve"> </w:t>
      </w:r>
      <w:r w:rsidR="00A14D6D">
        <w:rPr>
          <w:color w:val="000000"/>
          <w:szCs w:val="24"/>
        </w:rPr>
        <w:t>At the time</w:t>
      </w:r>
      <w:r w:rsidR="00DC3AFC">
        <w:rPr>
          <w:color w:val="000000"/>
          <w:szCs w:val="24"/>
        </w:rPr>
        <w:t>,</w:t>
      </w:r>
      <w:r w:rsidR="00A14D6D">
        <w:rPr>
          <w:color w:val="000000"/>
          <w:szCs w:val="24"/>
        </w:rPr>
        <w:t xml:space="preserve"> his pain was </w:t>
      </w:r>
      <w:r w:rsidR="00DC3AFC">
        <w:rPr>
          <w:color w:val="000000"/>
          <w:szCs w:val="24"/>
        </w:rPr>
        <w:t>severe and constant and involved</w:t>
      </w:r>
      <w:r w:rsidR="00A14D6D">
        <w:rPr>
          <w:color w:val="000000"/>
          <w:szCs w:val="24"/>
        </w:rPr>
        <w:t xml:space="preserve"> his neck, shoulders, elbow, low back, knees, wrists, calf, hamstrings muscle group, and thighs. </w:t>
      </w:r>
      <w:r>
        <w:rPr>
          <w:color w:val="000000"/>
          <w:szCs w:val="24"/>
        </w:rPr>
        <w:t xml:space="preserve"> </w:t>
      </w:r>
      <w:r w:rsidR="00A14D6D">
        <w:rPr>
          <w:color w:val="000000"/>
          <w:szCs w:val="24"/>
        </w:rPr>
        <w:t>He also reported severe fatigue, morning stiffness lasting</w:t>
      </w:r>
      <w:r w:rsidR="00042AEB">
        <w:rPr>
          <w:color w:val="000000"/>
          <w:szCs w:val="24"/>
        </w:rPr>
        <w:t xml:space="preserve"> approximately </w:t>
      </w:r>
      <w:r>
        <w:rPr>
          <w:color w:val="000000"/>
          <w:szCs w:val="24"/>
        </w:rPr>
        <w:t>an</w:t>
      </w:r>
      <w:r w:rsidR="00042AEB">
        <w:rPr>
          <w:color w:val="000000"/>
          <w:szCs w:val="24"/>
        </w:rPr>
        <w:t xml:space="preserve"> hour, poor non-restorative sleep with </w:t>
      </w:r>
      <w:r>
        <w:rPr>
          <w:color w:val="000000"/>
          <w:szCs w:val="24"/>
        </w:rPr>
        <w:t>an hour to 2</w:t>
      </w:r>
      <w:r w:rsidR="00042AEB">
        <w:rPr>
          <w:color w:val="000000"/>
          <w:szCs w:val="24"/>
        </w:rPr>
        <w:t xml:space="preserve"> hours of uninterrupted sleep per night, and discoloration of the fingers in cold temperatures secondary to a previous frostbite injury. The physical exam documented greater than 11/18 American </w:t>
      </w:r>
      <w:r w:rsidR="00FE4FB2">
        <w:rPr>
          <w:color w:val="000000"/>
          <w:szCs w:val="24"/>
        </w:rPr>
        <w:t>C</w:t>
      </w:r>
      <w:r w:rsidR="00042AEB">
        <w:rPr>
          <w:color w:val="000000"/>
          <w:szCs w:val="24"/>
        </w:rPr>
        <w:t xml:space="preserve">ollege of Rheumatology tender points located above and below the diaphragm and occurring symmetrically on both sides of the body. </w:t>
      </w:r>
      <w:r>
        <w:rPr>
          <w:color w:val="000000"/>
          <w:szCs w:val="24"/>
        </w:rPr>
        <w:t xml:space="preserve"> </w:t>
      </w:r>
      <w:r w:rsidR="00042AEB">
        <w:rPr>
          <w:color w:val="000000"/>
          <w:szCs w:val="24"/>
        </w:rPr>
        <w:t xml:space="preserve">Both shoulders had decreased flexion and abduction secondary to pain. </w:t>
      </w:r>
      <w:r>
        <w:rPr>
          <w:color w:val="000000"/>
          <w:szCs w:val="24"/>
        </w:rPr>
        <w:t xml:space="preserve"> </w:t>
      </w:r>
      <w:r w:rsidR="00042AEB">
        <w:rPr>
          <w:color w:val="000000"/>
          <w:szCs w:val="24"/>
        </w:rPr>
        <w:t xml:space="preserve">Fibromyalgia was diagnosed and the rheumatologist noted the CI’s current condition and symptoms significantly impacted his ability to perform activities of daily living. Including </w:t>
      </w:r>
      <w:r w:rsidR="00042AEB" w:rsidRPr="00042AEB">
        <w:rPr>
          <w:color w:val="000000"/>
          <w:szCs w:val="24"/>
        </w:rPr>
        <w:t>dressing himself, getting in and</w:t>
      </w:r>
      <w:r w:rsidR="00042AEB">
        <w:rPr>
          <w:color w:val="000000"/>
          <w:szCs w:val="24"/>
        </w:rPr>
        <w:t xml:space="preserve"> </w:t>
      </w:r>
      <w:r w:rsidR="00042AEB" w:rsidRPr="00042AEB">
        <w:rPr>
          <w:color w:val="000000"/>
          <w:szCs w:val="24"/>
        </w:rPr>
        <w:t>out of the bed, washing and drying his entire body, bending down to pick up objects from the floor,</w:t>
      </w:r>
      <w:r w:rsidR="00042AEB">
        <w:rPr>
          <w:color w:val="000000"/>
          <w:szCs w:val="24"/>
        </w:rPr>
        <w:t xml:space="preserve"> </w:t>
      </w:r>
      <w:r w:rsidR="00042AEB" w:rsidRPr="00042AEB">
        <w:rPr>
          <w:color w:val="000000"/>
          <w:szCs w:val="24"/>
        </w:rPr>
        <w:t>turning regular faucets on and off, getting in and out of a car, bus, train, or airplane, walking 2 miles,</w:t>
      </w:r>
      <w:r w:rsidR="00042AEB">
        <w:rPr>
          <w:color w:val="000000"/>
          <w:szCs w:val="24"/>
        </w:rPr>
        <w:t xml:space="preserve"> </w:t>
      </w:r>
      <w:r w:rsidR="00042AEB" w:rsidRPr="00042AEB">
        <w:rPr>
          <w:color w:val="000000"/>
          <w:szCs w:val="24"/>
        </w:rPr>
        <w:t>p</w:t>
      </w:r>
      <w:r w:rsidR="00042AEB">
        <w:rPr>
          <w:color w:val="000000"/>
          <w:szCs w:val="24"/>
        </w:rPr>
        <w:t>art</w:t>
      </w:r>
      <w:r w:rsidR="00042AEB" w:rsidRPr="00042AEB">
        <w:rPr>
          <w:color w:val="000000"/>
          <w:szCs w:val="24"/>
        </w:rPr>
        <w:t xml:space="preserve">icipating in sports and games that he desires, and getting a good night's sleep. </w:t>
      </w:r>
      <w:r>
        <w:rPr>
          <w:color w:val="000000"/>
          <w:szCs w:val="24"/>
        </w:rPr>
        <w:t xml:space="preserve"> </w:t>
      </w:r>
      <w:r w:rsidR="00042AEB" w:rsidRPr="00042AEB">
        <w:rPr>
          <w:color w:val="000000"/>
          <w:szCs w:val="24"/>
        </w:rPr>
        <w:t>He consider</w:t>
      </w:r>
      <w:r w:rsidR="00042AEB">
        <w:rPr>
          <w:color w:val="000000"/>
          <w:szCs w:val="24"/>
        </w:rPr>
        <w:t>ed</w:t>
      </w:r>
      <w:r w:rsidR="00042AEB" w:rsidRPr="00042AEB">
        <w:rPr>
          <w:color w:val="000000"/>
          <w:szCs w:val="24"/>
        </w:rPr>
        <w:t xml:space="preserve"> his</w:t>
      </w:r>
      <w:r w:rsidR="00042AEB">
        <w:rPr>
          <w:color w:val="000000"/>
          <w:szCs w:val="24"/>
        </w:rPr>
        <w:t xml:space="preserve"> </w:t>
      </w:r>
      <w:r w:rsidR="00042AEB" w:rsidRPr="00042AEB">
        <w:rPr>
          <w:color w:val="000000"/>
          <w:szCs w:val="24"/>
        </w:rPr>
        <w:t>overall we</w:t>
      </w:r>
      <w:r w:rsidR="00042AEB">
        <w:rPr>
          <w:color w:val="000000"/>
          <w:szCs w:val="24"/>
        </w:rPr>
        <w:t xml:space="preserve">ll-being as being very poor. </w:t>
      </w:r>
      <w:r>
        <w:rPr>
          <w:color w:val="000000"/>
          <w:szCs w:val="24"/>
        </w:rPr>
        <w:t xml:space="preserve"> </w:t>
      </w:r>
      <w:r w:rsidR="00042AEB">
        <w:rPr>
          <w:color w:val="000000"/>
          <w:szCs w:val="24"/>
        </w:rPr>
        <w:t>F</w:t>
      </w:r>
      <w:r w:rsidR="00042AEB" w:rsidRPr="00042AEB">
        <w:rPr>
          <w:color w:val="000000"/>
          <w:szCs w:val="24"/>
        </w:rPr>
        <w:t xml:space="preserve">atigue </w:t>
      </w:r>
      <w:r w:rsidR="00042AEB">
        <w:rPr>
          <w:color w:val="000000"/>
          <w:szCs w:val="24"/>
        </w:rPr>
        <w:t>wa</w:t>
      </w:r>
      <w:r w:rsidR="00042AEB" w:rsidRPr="00042AEB">
        <w:rPr>
          <w:color w:val="000000"/>
          <w:szCs w:val="24"/>
        </w:rPr>
        <w:t xml:space="preserve">s a major component of his illness. </w:t>
      </w:r>
      <w:r>
        <w:rPr>
          <w:color w:val="000000"/>
          <w:szCs w:val="24"/>
        </w:rPr>
        <w:t xml:space="preserve"> </w:t>
      </w:r>
      <w:r w:rsidR="00042AEB" w:rsidRPr="00042AEB">
        <w:rPr>
          <w:color w:val="000000"/>
          <w:szCs w:val="24"/>
        </w:rPr>
        <w:t>His</w:t>
      </w:r>
      <w:r w:rsidR="00042AEB">
        <w:rPr>
          <w:color w:val="000000"/>
          <w:szCs w:val="24"/>
        </w:rPr>
        <w:t xml:space="preserve"> prognosis wa</w:t>
      </w:r>
      <w:r w:rsidR="00042AEB" w:rsidRPr="00042AEB">
        <w:rPr>
          <w:color w:val="000000"/>
          <w:szCs w:val="24"/>
        </w:rPr>
        <w:t>s dependent upon response to aggressive medical therapy and a graded aerobic exercise and</w:t>
      </w:r>
      <w:r w:rsidR="00042AEB">
        <w:rPr>
          <w:color w:val="000000"/>
          <w:szCs w:val="24"/>
        </w:rPr>
        <w:t xml:space="preserve"> </w:t>
      </w:r>
      <w:r w:rsidR="00042AEB" w:rsidRPr="00042AEB">
        <w:rPr>
          <w:color w:val="000000"/>
          <w:szCs w:val="24"/>
        </w:rPr>
        <w:t>stretching program.</w:t>
      </w:r>
    </w:p>
    <w:p w:rsidR="00042AEB" w:rsidRDefault="00042AEB" w:rsidP="00042AEB">
      <w:pPr>
        <w:jc w:val="both"/>
        <w:rPr>
          <w:color w:val="000000"/>
          <w:szCs w:val="24"/>
        </w:rPr>
      </w:pPr>
    </w:p>
    <w:p w:rsidR="00042AEB" w:rsidRDefault="00042AEB" w:rsidP="004B3C31">
      <w:pPr>
        <w:jc w:val="both"/>
        <w:rPr>
          <w:color w:val="000000"/>
          <w:szCs w:val="24"/>
        </w:rPr>
      </w:pPr>
      <w:r w:rsidRPr="00A00471">
        <w:rPr>
          <w:color w:val="000000"/>
          <w:szCs w:val="24"/>
        </w:rPr>
        <w:t xml:space="preserve">An initial VA </w:t>
      </w:r>
      <w:r w:rsidR="00DC3AFC">
        <w:rPr>
          <w:color w:val="000000"/>
          <w:szCs w:val="24"/>
        </w:rPr>
        <w:t>C</w:t>
      </w:r>
      <w:r w:rsidRPr="00A00471">
        <w:rPr>
          <w:color w:val="000000"/>
          <w:szCs w:val="24"/>
        </w:rPr>
        <w:t xml:space="preserve">ompensation and </w:t>
      </w:r>
      <w:r w:rsidR="00DC3AFC">
        <w:rPr>
          <w:color w:val="000000"/>
          <w:szCs w:val="24"/>
        </w:rPr>
        <w:t>P</w:t>
      </w:r>
      <w:r w:rsidRPr="00A00471">
        <w:rPr>
          <w:color w:val="000000"/>
          <w:szCs w:val="24"/>
        </w:rPr>
        <w:t xml:space="preserve">ension (C&amp;P) examination for fibromyalgia was completed </w:t>
      </w:r>
      <w:r w:rsidR="006E2A72">
        <w:rPr>
          <w:color w:val="000000"/>
          <w:szCs w:val="24"/>
        </w:rPr>
        <w:t xml:space="preserve">on 6 December </w:t>
      </w:r>
      <w:r w:rsidRPr="00A00471">
        <w:rPr>
          <w:color w:val="000000"/>
          <w:szCs w:val="24"/>
        </w:rPr>
        <w:t>2002</w:t>
      </w:r>
      <w:r w:rsidR="001239D6" w:rsidRPr="00A00471">
        <w:rPr>
          <w:color w:val="000000"/>
          <w:szCs w:val="24"/>
        </w:rPr>
        <w:t xml:space="preserve">, </w:t>
      </w:r>
      <w:r w:rsidR="006E2A72">
        <w:rPr>
          <w:color w:val="000000"/>
          <w:szCs w:val="24"/>
        </w:rPr>
        <w:t>3</w:t>
      </w:r>
      <w:r w:rsidR="001239D6" w:rsidRPr="00A00471">
        <w:rPr>
          <w:color w:val="000000"/>
          <w:szCs w:val="24"/>
        </w:rPr>
        <w:t xml:space="preserve"> months after TDRL entry,</w:t>
      </w:r>
      <w:r w:rsidRPr="00A00471">
        <w:rPr>
          <w:color w:val="000000"/>
          <w:szCs w:val="24"/>
        </w:rPr>
        <w:t xml:space="preserve"> and it also noted onset of symptoms in 1995 with diagnosis of fibromyalgia in December 2001.</w:t>
      </w:r>
      <w:r w:rsidR="006E2A72">
        <w:rPr>
          <w:color w:val="000000"/>
          <w:szCs w:val="24"/>
        </w:rPr>
        <w:t xml:space="preserve"> </w:t>
      </w:r>
      <w:r w:rsidR="004B3C31" w:rsidRPr="00A00471">
        <w:rPr>
          <w:color w:val="000000"/>
          <w:szCs w:val="24"/>
        </w:rPr>
        <w:t xml:space="preserve"> Heavy work and lifting precipitated symptoms and </w:t>
      </w:r>
      <w:proofErr w:type="spellStart"/>
      <w:r w:rsidR="004B3C31" w:rsidRPr="00A00471">
        <w:rPr>
          <w:color w:val="000000"/>
          <w:szCs w:val="24"/>
        </w:rPr>
        <w:t>Elavil</w:t>
      </w:r>
      <w:proofErr w:type="spellEnd"/>
      <w:r w:rsidR="004B3C31" w:rsidRPr="00A00471">
        <w:rPr>
          <w:color w:val="000000"/>
          <w:szCs w:val="24"/>
        </w:rPr>
        <w:t xml:space="preserve"> helped him sleep. </w:t>
      </w:r>
      <w:r w:rsidR="006E2A72">
        <w:rPr>
          <w:color w:val="000000"/>
          <w:szCs w:val="24"/>
        </w:rPr>
        <w:t xml:space="preserve"> </w:t>
      </w:r>
      <w:r w:rsidR="004B3C31" w:rsidRPr="00A00471">
        <w:rPr>
          <w:color w:val="000000"/>
          <w:szCs w:val="24"/>
        </w:rPr>
        <w:t>His musculoskeletal</w:t>
      </w:r>
      <w:r w:rsidR="004B3C31">
        <w:rPr>
          <w:color w:val="000000"/>
          <w:szCs w:val="24"/>
        </w:rPr>
        <w:t xml:space="preserve"> pain was located in the </w:t>
      </w:r>
      <w:r w:rsidR="004B3C31" w:rsidRPr="004B3C31">
        <w:rPr>
          <w:color w:val="000000"/>
          <w:szCs w:val="24"/>
        </w:rPr>
        <w:t>neck, the back, the forearms, the posterior thighs, and the calves</w:t>
      </w:r>
      <w:r w:rsidR="004B3C31">
        <w:rPr>
          <w:color w:val="000000"/>
          <w:szCs w:val="24"/>
        </w:rPr>
        <w:t xml:space="preserve">. </w:t>
      </w:r>
      <w:r w:rsidR="006E2A72">
        <w:rPr>
          <w:color w:val="000000"/>
          <w:szCs w:val="24"/>
        </w:rPr>
        <w:t xml:space="preserve"> </w:t>
      </w:r>
      <w:r w:rsidR="004B3C31">
        <w:rPr>
          <w:color w:val="000000"/>
          <w:szCs w:val="24"/>
        </w:rPr>
        <w:t xml:space="preserve">He was also noted to have unexplained fatigue and sleep disturbance with nighttime cramping of the legs. </w:t>
      </w:r>
      <w:r w:rsidR="006E2A72">
        <w:rPr>
          <w:color w:val="000000"/>
          <w:szCs w:val="24"/>
        </w:rPr>
        <w:t xml:space="preserve"> </w:t>
      </w:r>
      <w:r w:rsidR="004B3C31">
        <w:rPr>
          <w:color w:val="000000"/>
          <w:szCs w:val="24"/>
        </w:rPr>
        <w:t xml:space="preserve">He also reported symptoms of depression and anxiety but had not lost any work due to this condition. </w:t>
      </w:r>
      <w:r w:rsidR="006E2A72">
        <w:rPr>
          <w:color w:val="000000"/>
          <w:szCs w:val="24"/>
        </w:rPr>
        <w:t xml:space="preserve"> </w:t>
      </w:r>
      <w:r w:rsidR="004B3C31">
        <w:rPr>
          <w:color w:val="000000"/>
          <w:szCs w:val="24"/>
        </w:rPr>
        <w:t xml:space="preserve">The examination noted tenderness of </w:t>
      </w:r>
      <w:r w:rsidR="004B3C31" w:rsidRPr="004B3C31">
        <w:rPr>
          <w:color w:val="000000"/>
          <w:szCs w:val="24"/>
        </w:rPr>
        <w:t>the neck,</w:t>
      </w:r>
      <w:r w:rsidR="004B3C31">
        <w:rPr>
          <w:color w:val="000000"/>
          <w:szCs w:val="24"/>
        </w:rPr>
        <w:t xml:space="preserve"> t</w:t>
      </w:r>
      <w:r w:rsidR="004B3C31" w:rsidRPr="004B3C31">
        <w:rPr>
          <w:color w:val="000000"/>
          <w:szCs w:val="24"/>
        </w:rPr>
        <w:t>he spine, the hip areas,</w:t>
      </w:r>
      <w:r w:rsidR="004B3C31">
        <w:rPr>
          <w:color w:val="000000"/>
          <w:szCs w:val="24"/>
        </w:rPr>
        <w:t xml:space="preserve"> posterior thighs, the calves and t</w:t>
      </w:r>
      <w:r w:rsidR="004B3C31" w:rsidRPr="004B3C31">
        <w:rPr>
          <w:color w:val="000000"/>
          <w:szCs w:val="24"/>
        </w:rPr>
        <w:t>rigger points</w:t>
      </w:r>
      <w:r w:rsidR="004B3C31">
        <w:rPr>
          <w:color w:val="000000"/>
          <w:szCs w:val="24"/>
        </w:rPr>
        <w:t xml:space="preserve"> in</w:t>
      </w:r>
      <w:r w:rsidR="004B3C31" w:rsidRPr="004B3C31">
        <w:rPr>
          <w:color w:val="000000"/>
          <w:szCs w:val="24"/>
        </w:rPr>
        <w:t xml:space="preserve"> the aforementioned areas, the neck, the back, the anterior chest, the</w:t>
      </w:r>
      <w:r w:rsidR="004B3C31">
        <w:rPr>
          <w:color w:val="000000"/>
          <w:szCs w:val="24"/>
        </w:rPr>
        <w:t xml:space="preserve"> </w:t>
      </w:r>
      <w:r w:rsidR="004B3C31" w:rsidRPr="004B3C31">
        <w:rPr>
          <w:color w:val="000000"/>
          <w:szCs w:val="24"/>
        </w:rPr>
        <w:t>highs and the hip areas.</w:t>
      </w:r>
      <w:r w:rsidR="004B3C31">
        <w:rPr>
          <w:color w:val="000000"/>
          <w:szCs w:val="24"/>
        </w:rPr>
        <w:t xml:space="preserve"> Muscle strength was normal. </w:t>
      </w:r>
      <w:r w:rsidR="006E2A72">
        <w:rPr>
          <w:color w:val="000000"/>
          <w:szCs w:val="24"/>
        </w:rPr>
        <w:t xml:space="preserve"> </w:t>
      </w:r>
      <w:r w:rsidR="004B3C31">
        <w:rPr>
          <w:color w:val="000000"/>
          <w:szCs w:val="24"/>
        </w:rPr>
        <w:t>The diagnosis was mild</w:t>
      </w:r>
      <w:r w:rsidR="001239D6">
        <w:rPr>
          <w:color w:val="000000"/>
          <w:szCs w:val="24"/>
        </w:rPr>
        <w:t xml:space="preserve"> fibromyalgia</w:t>
      </w:r>
      <w:r w:rsidR="004B3C31">
        <w:rPr>
          <w:color w:val="000000"/>
          <w:szCs w:val="24"/>
        </w:rPr>
        <w:t>.</w:t>
      </w:r>
    </w:p>
    <w:p w:rsidR="006414F1" w:rsidRDefault="006414F1" w:rsidP="004B3C31">
      <w:pPr>
        <w:jc w:val="both"/>
        <w:rPr>
          <w:color w:val="000000"/>
          <w:szCs w:val="24"/>
        </w:rPr>
      </w:pPr>
    </w:p>
    <w:p w:rsidR="006414F1" w:rsidRPr="006414F1" w:rsidRDefault="006414F1" w:rsidP="006414F1">
      <w:pPr>
        <w:jc w:val="both"/>
        <w:rPr>
          <w:rFonts w:eastAsia="Calibri" w:cs="Times New Roman"/>
          <w:color w:val="auto"/>
          <w:szCs w:val="24"/>
        </w:rPr>
      </w:pPr>
      <w:r w:rsidRPr="00F87DFB">
        <w:rPr>
          <w:color w:val="000000"/>
          <w:szCs w:val="24"/>
        </w:rPr>
        <w:t xml:space="preserve">The PEB determined this condition was unfitting but that the condition was not sufficiently stable for final adjudication. </w:t>
      </w:r>
      <w:r w:rsidR="006E2A72">
        <w:rPr>
          <w:color w:val="000000"/>
          <w:szCs w:val="24"/>
        </w:rPr>
        <w:t xml:space="preserve"> </w:t>
      </w:r>
      <w:r w:rsidRPr="00F87DFB">
        <w:rPr>
          <w:color w:val="000000"/>
          <w:szCs w:val="24"/>
        </w:rPr>
        <w:t xml:space="preserve">The CI was placed on the TDRL with a rating of </w:t>
      </w:r>
      <w:r>
        <w:rPr>
          <w:color w:val="000000"/>
          <w:szCs w:val="24"/>
        </w:rPr>
        <w:t>2</w:t>
      </w:r>
      <w:r w:rsidRPr="00F87DFB">
        <w:rPr>
          <w:color w:val="000000"/>
          <w:szCs w:val="24"/>
        </w:rPr>
        <w:t xml:space="preserve">0%. </w:t>
      </w:r>
      <w:r w:rsidR="006E2A72">
        <w:rPr>
          <w:color w:val="000000"/>
          <w:szCs w:val="24"/>
        </w:rPr>
        <w:t xml:space="preserve"> </w:t>
      </w:r>
      <w:r w:rsidRPr="00F87DFB">
        <w:rPr>
          <w:color w:val="000000"/>
          <w:szCs w:val="24"/>
        </w:rPr>
        <w:t xml:space="preserve">The VA applied a 10% rating. </w:t>
      </w:r>
      <w:r>
        <w:rPr>
          <w:color w:val="000000"/>
          <w:szCs w:val="24"/>
        </w:rPr>
        <w:t>The 10% rating is applied when continuous medications are required for control.</w:t>
      </w:r>
      <w:r w:rsidR="006E2A72">
        <w:rPr>
          <w:color w:val="000000"/>
          <w:szCs w:val="24"/>
        </w:rPr>
        <w:t xml:space="preserve"> </w:t>
      </w:r>
      <w:r>
        <w:rPr>
          <w:color w:val="000000"/>
          <w:szCs w:val="24"/>
        </w:rPr>
        <w:t xml:space="preserve"> The 20% rating requires that the symptoms of fibromyalgia are episodic with exacerbations often precipitated by environmental or emotional stress but are present more than one-third of the time. </w:t>
      </w:r>
      <w:r w:rsidR="006E2A72">
        <w:rPr>
          <w:color w:val="000000"/>
          <w:szCs w:val="24"/>
        </w:rPr>
        <w:t xml:space="preserve"> </w:t>
      </w:r>
      <w:r>
        <w:rPr>
          <w:color w:val="000000"/>
          <w:szCs w:val="24"/>
        </w:rPr>
        <w:t xml:space="preserve">While neither the NARSUM nor the VA C&amp;P specifically state the frequency of exacerbations, the CI’s continued to have significant symptoms despite medications. The fibromyalgia </w:t>
      </w:r>
      <w:r w:rsidR="0081406F">
        <w:rPr>
          <w:color w:val="000000"/>
          <w:szCs w:val="24"/>
        </w:rPr>
        <w:t>symptoms were improved but</w:t>
      </w:r>
      <w:r>
        <w:rPr>
          <w:color w:val="000000"/>
          <w:szCs w:val="24"/>
        </w:rPr>
        <w:t xml:space="preserve"> not controlled with medication. </w:t>
      </w:r>
      <w:r w:rsidRPr="00F87DFB">
        <w:rPr>
          <w:color w:val="000000"/>
          <w:szCs w:val="24"/>
        </w:rPr>
        <w:t>There is no evidence in the available record to support a rating</w:t>
      </w:r>
      <w:r>
        <w:rPr>
          <w:color w:val="000000"/>
          <w:szCs w:val="24"/>
        </w:rPr>
        <w:t xml:space="preserve"> greater than 20%</w:t>
      </w:r>
      <w:r w:rsidRPr="00F87DFB">
        <w:rPr>
          <w:color w:val="000000"/>
          <w:szCs w:val="24"/>
        </w:rPr>
        <w:t xml:space="preserve">. </w:t>
      </w:r>
      <w:r w:rsidRPr="00F87DFB">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w:t>
      </w:r>
      <w:r w:rsidRPr="006414F1">
        <w:rPr>
          <w:rFonts w:eastAsia="Calibri" w:cs="Times New Roman"/>
          <w:color w:val="auto"/>
          <w:szCs w:val="24"/>
        </w:rPr>
        <w:t xml:space="preserve">the </w:t>
      </w:r>
      <w:r w:rsidRPr="006414F1">
        <w:rPr>
          <w:color w:val="000000"/>
          <w:szCs w:val="24"/>
        </w:rPr>
        <w:t>fibromyalgia with muscle pain and fatigue; greater than 11 of 18 tender points</w:t>
      </w:r>
      <w:r w:rsidRPr="006414F1">
        <w:rPr>
          <w:rFonts w:eastAsia="Calibri" w:cs="Times New Roman"/>
          <w:color w:val="auto"/>
          <w:szCs w:val="24"/>
        </w:rPr>
        <w:t xml:space="preserve"> condition at the time of TDRL entry.  </w:t>
      </w:r>
    </w:p>
    <w:p w:rsidR="006414F1" w:rsidRPr="006414F1" w:rsidRDefault="006414F1" w:rsidP="004B3C31">
      <w:pPr>
        <w:jc w:val="both"/>
        <w:rPr>
          <w:color w:val="000000"/>
          <w:szCs w:val="24"/>
        </w:rPr>
      </w:pPr>
    </w:p>
    <w:p w:rsidR="007C0FBF" w:rsidRDefault="007C0FBF" w:rsidP="00042AEB">
      <w:pPr>
        <w:jc w:val="both"/>
        <w:rPr>
          <w:color w:val="000000"/>
          <w:szCs w:val="24"/>
          <w:u w:val="single"/>
        </w:rPr>
      </w:pPr>
      <w:r w:rsidRPr="007C0FBF">
        <w:rPr>
          <w:color w:val="000000"/>
          <w:szCs w:val="24"/>
          <w:u w:val="single"/>
        </w:rPr>
        <w:t>Separation f</w:t>
      </w:r>
      <w:r>
        <w:rPr>
          <w:color w:val="000000"/>
          <w:szCs w:val="24"/>
          <w:u w:val="single"/>
        </w:rPr>
        <w:t>ro</w:t>
      </w:r>
      <w:r w:rsidRPr="007C0FBF">
        <w:rPr>
          <w:color w:val="000000"/>
          <w:szCs w:val="24"/>
          <w:u w:val="single"/>
        </w:rPr>
        <w:t xml:space="preserve">m TDRL: </w:t>
      </w:r>
    </w:p>
    <w:p w:rsidR="00D253DD" w:rsidRPr="00D253DD" w:rsidRDefault="00D253DD" w:rsidP="00042AEB">
      <w:pPr>
        <w:jc w:val="both"/>
        <w:rPr>
          <w:color w:val="000000"/>
          <w:szCs w:val="24"/>
        </w:rPr>
      </w:pPr>
      <w:r w:rsidRPr="00D253DD">
        <w:rPr>
          <w:color w:val="000000"/>
          <w:szCs w:val="24"/>
        </w:rPr>
        <w:t xml:space="preserve">Two </w:t>
      </w:r>
      <w:r w:rsidR="00F95DBC">
        <w:rPr>
          <w:color w:val="000000"/>
          <w:szCs w:val="24"/>
        </w:rPr>
        <w:t xml:space="preserve">VA </w:t>
      </w:r>
      <w:r w:rsidRPr="00D253DD">
        <w:rPr>
          <w:color w:val="000000"/>
          <w:szCs w:val="24"/>
        </w:rPr>
        <w:t xml:space="preserve">clinical encounters </w:t>
      </w:r>
      <w:r w:rsidRPr="00F87DFB">
        <w:rPr>
          <w:color w:val="000000"/>
          <w:szCs w:val="24"/>
        </w:rPr>
        <w:t>from 2004 are available in the record for review.</w:t>
      </w:r>
      <w:r w:rsidR="00F95DBC" w:rsidRPr="00F87DFB">
        <w:rPr>
          <w:color w:val="000000"/>
          <w:szCs w:val="24"/>
        </w:rPr>
        <w:t xml:space="preserve"> In March 2004</w:t>
      </w:r>
      <w:proofErr w:type="gramStart"/>
      <w:r w:rsidR="006E42E8">
        <w:rPr>
          <w:color w:val="000000"/>
          <w:szCs w:val="24"/>
        </w:rPr>
        <w:t>,</w:t>
      </w:r>
      <w:r w:rsidR="00F95DBC" w:rsidRPr="00F87DFB">
        <w:rPr>
          <w:color w:val="000000"/>
          <w:szCs w:val="24"/>
        </w:rPr>
        <w:t xml:space="preserve">  the</w:t>
      </w:r>
      <w:proofErr w:type="gramEnd"/>
      <w:r w:rsidR="00F95DBC" w:rsidRPr="00F87DFB">
        <w:rPr>
          <w:color w:val="000000"/>
          <w:szCs w:val="24"/>
        </w:rPr>
        <w:t xml:space="preserve"> CI was noted to have pain all over rated at</w:t>
      </w:r>
      <w:r w:rsidR="00F95DBC">
        <w:rPr>
          <w:color w:val="000000"/>
          <w:szCs w:val="24"/>
        </w:rPr>
        <w:t xml:space="preserve"> 6/10 but this was acceptable with the medications he was receiving from Fort Polk. </w:t>
      </w:r>
      <w:r w:rsidR="006E42E8">
        <w:rPr>
          <w:color w:val="000000"/>
          <w:szCs w:val="24"/>
        </w:rPr>
        <w:t xml:space="preserve"> </w:t>
      </w:r>
      <w:r w:rsidR="00F95DBC">
        <w:rPr>
          <w:color w:val="000000"/>
          <w:szCs w:val="24"/>
        </w:rPr>
        <w:t xml:space="preserve">In July 2004 he reported morning stiffness lasting two hours that improved with movement, muscle weakness, pain in his legs, tiredness, and daily swelling of his fingers and phalanges. </w:t>
      </w:r>
      <w:r w:rsidR="006E42E8">
        <w:rPr>
          <w:color w:val="000000"/>
          <w:szCs w:val="24"/>
        </w:rPr>
        <w:t xml:space="preserve"> </w:t>
      </w:r>
      <w:r w:rsidR="00F95DBC">
        <w:rPr>
          <w:color w:val="000000"/>
          <w:szCs w:val="24"/>
        </w:rPr>
        <w:t>He had pain from head to toe every day.</w:t>
      </w:r>
      <w:r w:rsidR="00DC3AFC">
        <w:rPr>
          <w:color w:val="000000"/>
          <w:szCs w:val="24"/>
        </w:rPr>
        <w:t xml:space="preserve"> </w:t>
      </w:r>
      <w:r w:rsidR="00F95DBC">
        <w:rPr>
          <w:color w:val="000000"/>
          <w:szCs w:val="24"/>
        </w:rPr>
        <w:t xml:space="preserve"> All fibromyalgia trigger points were positive except the left knee. </w:t>
      </w:r>
      <w:r w:rsidR="006E42E8">
        <w:rPr>
          <w:color w:val="000000"/>
          <w:szCs w:val="24"/>
        </w:rPr>
        <w:t xml:space="preserve"> </w:t>
      </w:r>
      <w:r w:rsidR="00F95DBC">
        <w:rPr>
          <w:color w:val="000000"/>
          <w:szCs w:val="24"/>
        </w:rPr>
        <w:t xml:space="preserve">He was currently taking </w:t>
      </w:r>
      <w:proofErr w:type="spellStart"/>
      <w:r w:rsidR="00F95DBC">
        <w:rPr>
          <w:color w:val="000000"/>
          <w:szCs w:val="24"/>
        </w:rPr>
        <w:t>Klonopin</w:t>
      </w:r>
      <w:proofErr w:type="spellEnd"/>
      <w:r w:rsidR="00F95DBC">
        <w:rPr>
          <w:color w:val="000000"/>
          <w:szCs w:val="24"/>
        </w:rPr>
        <w:t xml:space="preserve"> and he was referred to rheumatology, podiatry, and PACT</w:t>
      </w:r>
      <w:r w:rsidR="00E1733B">
        <w:rPr>
          <w:color w:val="000000"/>
          <w:szCs w:val="24"/>
        </w:rPr>
        <w:t xml:space="preserve"> </w:t>
      </w:r>
      <w:r w:rsidR="00F95DBC">
        <w:rPr>
          <w:color w:val="000000"/>
          <w:szCs w:val="24"/>
        </w:rPr>
        <w:t>(</w:t>
      </w:r>
      <w:r w:rsidR="006E42E8">
        <w:rPr>
          <w:color w:val="000000"/>
          <w:szCs w:val="24"/>
        </w:rPr>
        <w:t>p</w:t>
      </w:r>
      <w:r w:rsidR="00E1733B">
        <w:rPr>
          <w:color w:val="000000"/>
          <w:szCs w:val="24"/>
        </w:rPr>
        <w:t xml:space="preserve">atient </w:t>
      </w:r>
      <w:r w:rsidR="006E42E8">
        <w:rPr>
          <w:color w:val="000000"/>
          <w:szCs w:val="24"/>
        </w:rPr>
        <w:t>a</w:t>
      </w:r>
      <w:r w:rsidR="00E1733B">
        <w:rPr>
          <w:color w:val="000000"/>
          <w:szCs w:val="24"/>
        </w:rPr>
        <w:t xml:space="preserve">ligned </w:t>
      </w:r>
      <w:r w:rsidR="006E42E8">
        <w:rPr>
          <w:color w:val="000000"/>
          <w:szCs w:val="24"/>
        </w:rPr>
        <w:t>c</w:t>
      </w:r>
      <w:r w:rsidR="00E1733B">
        <w:rPr>
          <w:color w:val="000000"/>
          <w:szCs w:val="24"/>
        </w:rPr>
        <w:t xml:space="preserve">are </w:t>
      </w:r>
      <w:r w:rsidR="006E42E8">
        <w:rPr>
          <w:color w:val="000000"/>
          <w:szCs w:val="24"/>
        </w:rPr>
        <w:t>t</w:t>
      </w:r>
      <w:r w:rsidR="00E1733B">
        <w:rPr>
          <w:color w:val="000000"/>
          <w:szCs w:val="24"/>
        </w:rPr>
        <w:t>eam</w:t>
      </w:r>
      <w:r w:rsidR="00F95DBC">
        <w:rPr>
          <w:color w:val="000000"/>
          <w:szCs w:val="24"/>
        </w:rPr>
        <w:t xml:space="preserve">). </w:t>
      </w:r>
      <w:r w:rsidR="006E42E8">
        <w:rPr>
          <w:color w:val="000000"/>
          <w:szCs w:val="24"/>
        </w:rPr>
        <w:t xml:space="preserve"> </w:t>
      </w:r>
      <w:r w:rsidR="00F95DBC">
        <w:rPr>
          <w:color w:val="000000"/>
          <w:szCs w:val="24"/>
        </w:rPr>
        <w:t>No follow-up appointments between this time and January 2005 are available in the record.</w:t>
      </w:r>
    </w:p>
    <w:p w:rsidR="00F95DBC" w:rsidRDefault="00F95DBC" w:rsidP="00D253DD">
      <w:pPr>
        <w:jc w:val="both"/>
        <w:rPr>
          <w:color w:val="000000"/>
          <w:szCs w:val="24"/>
        </w:rPr>
      </w:pPr>
    </w:p>
    <w:p w:rsidR="00FE4FB2" w:rsidRDefault="00FE4FB2" w:rsidP="00042AEB">
      <w:pPr>
        <w:jc w:val="both"/>
        <w:rPr>
          <w:color w:val="000000"/>
          <w:szCs w:val="24"/>
        </w:rPr>
      </w:pPr>
      <w:r w:rsidRPr="00FE4FB2">
        <w:rPr>
          <w:color w:val="000000"/>
          <w:szCs w:val="24"/>
        </w:rPr>
        <w:t xml:space="preserve">A second </w:t>
      </w:r>
      <w:r w:rsidRPr="00F87DFB">
        <w:rPr>
          <w:color w:val="000000"/>
          <w:szCs w:val="24"/>
        </w:rPr>
        <w:t xml:space="preserve">TDRL periodic evaluation for fibromyalgia was completed </w:t>
      </w:r>
      <w:r w:rsidR="006E42E8">
        <w:rPr>
          <w:color w:val="000000"/>
          <w:szCs w:val="24"/>
        </w:rPr>
        <w:t xml:space="preserve">28 January </w:t>
      </w:r>
      <w:r w:rsidRPr="00F87DFB">
        <w:rPr>
          <w:color w:val="000000"/>
          <w:szCs w:val="24"/>
        </w:rPr>
        <w:t>2005.</w:t>
      </w:r>
      <w:r w:rsidR="00C82D48" w:rsidRPr="00F87DFB">
        <w:rPr>
          <w:color w:val="000000"/>
          <w:szCs w:val="24"/>
        </w:rPr>
        <w:t xml:space="preserve"> The CI reported continued poor sleep and pain in his right shoulder, right hip, right mid-foot, and left wrist. </w:t>
      </w:r>
      <w:r w:rsidR="006E42E8">
        <w:rPr>
          <w:color w:val="000000"/>
          <w:szCs w:val="24"/>
        </w:rPr>
        <w:t xml:space="preserve"> </w:t>
      </w:r>
      <w:r w:rsidR="00C82D48" w:rsidRPr="00F87DFB">
        <w:rPr>
          <w:color w:val="000000"/>
          <w:szCs w:val="24"/>
        </w:rPr>
        <w:t>Greater than 11 of 18 t</w:t>
      </w:r>
      <w:r w:rsidR="00F04C6F" w:rsidRPr="00F87DFB">
        <w:rPr>
          <w:color w:val="000000"/>
          <w:szCs w:val="24"/>
        </w:rPr>
        <w:t>e</w:t>
      </w:r>
      <w:r w:rsidR="00C82D48" w:rsidRPr="00F87DFB">
        <w:rPr>
          <w:color w:val="000000"/>
          <w:szCs w:val="24"/>
        </w:rPr>
        <w:t>nder po</w:t>
      </w:r>
      <w:r w:rsidR="00F04C6F" w:rsidRPr="00F87DFB">
        <w:rPr>
          <w:color w:val="000000"/>
          <w:szCs w:val="24"/>
        </w:rPr>
        <w:t>ints for fibromyalgia were note</w:t>
      </w:r>
      <w:r w:rsidR="00C82D48" w:rsidRPr="00F87DFB">
        <w:rPr>
          <w:color w:val="000000"/>
          <w:szCs w:val="24"/>
        </w:rPr>
        <w:t>d</w:t>
      </w:r>
      <w:r w:rsidR="00F04C6F" w:rsidRPr="00F87DFB">
        <w:rPr>
          <w:color w:val="000000"/>
          <w:szCs w:val="24"/>
        </w:rPr>
        <w:t xml:space="preserve"> </w:t>
      </w:r>
      <w:r w:rsidR="00C82D48" w:rsidRPr="00F87DFB">
        <w:rPr>
          <w:color w:val="000000"/>
          <w:szCs w:val="24"/>
        </w:rPr>
        <w:t xml:space="preserve">on physical exam along with tender points in his mid-forearms and forehead. </w:t>
      </w:r>
      <w:r w:rsidR="006E42E8">
        <w:rPr>
          <w:color w:val="000000"/>
          <w:szCs w:val="24"/>
        </w:rPr>
        <w:t xml:space="preserve"> </w:t>
      </w:r>
      <w:r w:rsidR="00C82D48" w:rsidRPr="00F87DFB">
        <w:rPr>
          <w:color w:val="000000"/>
          <w:szCs w:val="24"/>
        </w:rPr>
        <w:t>No tenderness was noted in either thigh. The C</w:t>
      </w:r>
      <w:r w:rsidR="00E1733B" w:rsidRPr="00F87DFB">
        <w:rPr>
          <w:color w:val="000000"/>
          <w:szCs w:val="24"/>
        </w:rPr>
        <w:t>I</w:t>
      </w:r>
      <w:r w:rsidR="00C82D48" w:rsidRPr="00F87DFB">
        <w:rPr>
          <w:color w:val="000000"/>
          <w:szCs w:val="24"/>
        </w:rPr>
        <w:t xml:space="preserve"> also had diffuse </w:t>
      </w:r>
      <w:proofErr w:type="spellStart"/>
      <w:r w:rsidR="00C82D48" w:rsidRPr="00F87DFB">
        <w:rPr>
          <w:color w:val="000000"/>
          <w:szCs w:val="24"/>
        </w:rPr>
        <w:t>paraspinal</w:t>
      </w:r>
      <w:proofErr w:type="spellEnd"/>
      <w:r w:rsidR="00C82D48" w:rsidRPr="00F87DFB">
        <w:rPr>
          <w:color w:val="000000"/>
          <w:szCs w:val="24"/>
        </w:rPr>
        <w:t xml:space="preserve"> muscle spasm in the cervical, thoracic, and lumbar regions bilaterally.</w:t>
      </w:r>
      <w:r w:rsidR="006E42E8">
        <w:rPr>
          <w:color w:val="000000"/>
          <w:szCs w:val="24"/>
        </w:rPr>
        <w:t xml:space="preserve"> </w:t>
      </w:r>
      <w:r w:rsidR="00C82D48" w:rsidRPr="00F87DFB">
        <w:rPr>
          <w:color w:val="000000"/>
          <w:szCs w:val="24"/>
        </w:rPr>
        <w:t xml:space="preserve"> No muscle atrophy was noted and the sensory and reflex exams were normal.</w:t>
      </w:r>
      <w:r w:rsidR="006E42E8">
        <w:rPr>
          <w:color w:val="000000"/>
          <w:szCs w:val="24"/>
        </w:rPr>
        <w:t xml:space="preserve"> </w:t>
      </w:r>
      <w:r w:rsidR="00C82D48" w:rsidRPr="00F87DFB">
        <w:rPr>
          <w:color w:val="000000"/>
          <w:szCs w:val="24"/>
        </w:rPr>
        <w:t xml:space="preserve"> Pain </w:t>
      </w:r>
      <w:r w:rsidR="00F04C6F" w:rsidRPr="00F87DFB">
        <w:rPr>
          <w:color w:val="000000"/>
          <w:szCs w:val="24"/>
        </w:rPr>
        <w:t xml:space="preserve">rating for fibromyalgia </w:t>
      </w:r>
      <w:r w:rsidR="001239D6" w:rsidRPr="00F87DFB">
        <w:rPr>
          <w:color w:val="000000"/>
          <w:szCs w:val="24"/>
        </w:rPr>
        <w:t xml:space="preserve">alone </w:t>
      </w:r>
      <w:r w:rsidR="00F04C6F" w:rsidRPr="00F87DFB">
        <w:rPr>
          <w:color w:val="000000"/>
          <w:szCs w:val="24"/>
        </w:rPr>
        <w:t xml:space="preserve">was severe and constant and this was distinguished from the pain rating for the right shoulder </w:t>
      </w:r>
      <w:r w:rsidR="006E42E8">
        <w:rPr>
          <w:color w:val="000000"/>
          <w:szCs w:val="24"/>
        </w:rPr>
        <w:t>DJD</w:t>
      </w:r>
      <w:r w:rsidR="00F04C6F">
        <w:rPr>
          <w:color w:val="000000"/>
          <w:szCs w:val="24"/>
        </w:rPr>
        <w:t xml:space="preserve"> which was severe and chronic. </w:t>
      </w:r>
      <w:r w:rsidR="006E42E8">
        <w:rPr>
          <w:color w:val="000000"/>
          <w:szCs w:val="24"/>
        </w:rPr>
        <w:t xml:space="preserve"> </w:t>
      </w:r>
      <w:r w:rsidR="00F04C6F">
        <w:rPr>
          <w:color w:val="000000"/>
          <w:szCs w:val="24"/>
        </w:rPr>
        <w:t xml:space="preserve">The impression was fibromyalgia with chronic pain, severe and constant, manifested by classic tender points, poor sleep, and a pattern associated with irritability, fatigue, and depression. </w:t>
      </w:r>
      <w:r w:rsidR="006E42E8">
        <w:rPr>
          <w:color w:val="000000"/>
          <w:szCs w:val="24"/>
        </w:rPr>
        <w:t xml:space="preserve"> </w:t>
      </w:r>
      <w:r w:rsidR="00F04C6F">
        <w:rPr>
          <w:color w:val="000000"/>
          <w:szCs w:val="24"/>
        </w:rPr>
        <w:t xml:space="preserve">However, the examiner also noted the CI also had pain in control points suggestive of a psychogenic pain component as well and this pain was marked and constant. </w:t>
      </w:r>
      <w:r w:rsidR="006E42E8">
        <w:rPr>
          <w:color w:val="000000"/>
          <w:szCs w:val="24"/>
        </w:rPr>
        <w:t xml:space="preserve"> </w:t>
      </w:r>
      <w:r w:rsidR="00F04C6F">
        <w:rPr>
          <w:color w:val="000000"/>
          <w:szCs w:val="24"/>
        </w:rPr>
        <w:t xml:space="preserve">Additionally the examiner noted the diffuse </w:t>
      </w:r>
      <w:proofErr w:type="spellStart"/>
      <w:r w:rsidR="00F04C6F">
        <w:rPr>
          <w:color w:val="000000"/>
          <w:szCs w:val="24"/>
        </w:rPr>
        <w:t>paraspinal</w:t>
      </w:r>
      <w:proofErr w:type="spellEnd"/>
      <w:r w:rsidR="00F04C6F">
        <w:rPr>
          <w:color w:val="000000"/>
          <w:szCs w:val="24"/>
        </w:rPr>
        <w:t xml:space="preserve"> muscle spasm associated with fibromyalgia and chronic pain and this pain was marked and constant.</w:t>
      </w:r>
    </w:p>
    <w:p w:rsidR="00F04C6F" w:rsidRDefault="00F04C6F" w:rsidP="00042AEB">
      <w:pPr>
        <w:jc w:val="both"/>
        <w:rPr>
          <w:color w:val="000000"/>
          <w:szCs w:val="24"/>
        </w:rPr>
      </w:pPr>
    </w:p>
    <w:p w:rsidR="00F04C6F" w:rsidRPr="00F87DFB" w:rsidRDefault="006E42E8" w:rsidP="00FB7A61">
      <w:pPr>
        <w:jc w:val="both"/>
        <w:rPr>
          <w:color w:val="000000"/>
          <w:szCs w:val="24"/>
        </w:rPr>
      </w:pPr>
      <w:r>
        <w:rPr>
          <w:color w:val="000000"/>
          <w:szCs w:val="24"/>
        </w:rPr>
        <w:t xml:space="preserve">A </w:t>
      </w:r>
      <w:r w:rsidR="00F04C6F" w:rsidRPr="00F87DFB">
        <w:rPr>
          <w:color w:val="000000"/>
          <w:szCs w:val="24"/>
        </w:rPr>
        <w:t xml:space="preserve">PEB convened </w:t>
      </w:r>
      <w:r w:rsidR="00DC3AFC">
        <w:rPr>
          <w:color w:val="000000"/>
          <w:szCs w:val="24"/>
        </w:rPr>
        <w:t xml:space="preserve">on </w:t>
      </w:r>
      <w:r>
        <w:rPr>
          <w:color w:val="000000"/>
          <w:szCs w:val="24"/>
        </w:rPr>
        <w:t xml:space="preserve">24 June </w:t>
      </w:r>
      <w:r w:rsidR="00F04C6F" w:rsidRPr="00F87DFB">
        <w:rPr>
          <w:color w:val="000000"/>
          <w:szCs w:val="24"/>
        </w:rPr>
        <w:t>2005 and determined the CI’s condition had sufficiently stabilized f</w:t>
      </w:r>
      <w:r w:rsidR="00D253DD" w:rsidRPr="00F87DFB">
        <w:rPr>
          <w:color w:val="000000"/>
          <w:szCs w:val="24"/>
        </w:rPr>
        <w:t>o</w:t>
      </w:r>
      <w:r w:rsidR="00F04C6F" w:rsidRPr="00F87DFB">
        <w:rPr>
          <w:color w:val="000000"/>
          <w:szCs w:val="24"/>
        </w:rPr>
        <w:t>r final adjudication and that he r</w:t>
      </w:r>
      <w:r w:rsidR="00D253DD" w:rsidRPr="00F87DFB">
        <w:rPr>
          <w:color w:val="000000"/>
          <w:szCs w:val="24"/>
        </w:rPr>
        <w:t>e</w:t>
      </w:r>
      <w:r w:rsidR="00F04C6F" w:rsidRPr="00F87DFB">
        <w:rPr>
          <w:color w:val="000000"/>
          <w:szCs w:val="24"/>
        </w:rPr>
        <w:t xml:space="preserve">mained unfit </w:t>
      </w:r>
      <w:r w:rsidR="00D253DD" w:rsidRPr="00F87DFB">
        <w:rPr>
          <w:color w:val="000000"/>
          <w:szCs w:val="24"/>
        </w:rPr>
        <w:t>for reasonable perform the duties of his previous gra</w:t>
      </w:r>
      <w:r>
        <w:rPr>
          <w:color w:val="000000"/>
          <w:szCs w:val="24"/>
        </w:rPr>
        <w:t xml:space="preserve">de and military specialty.  The </w:t>
      </w:r>
      <w:r w:rsidR="00D253DD" w:rsidRPr="00F87DFB">
        <w:rPr>
          <w:color w:val="000000"/>
          <w:szCs w:val="24"/>
        </w:rPr>
        <w:t xml:space="preserve">PEB determined a disability rating of 10% </w:t>
      </w:r>
      <w:r w:rsidR="00F95DBC" w:rsidRPr="00F87DFB">
        <w:rPr>
          <w:color w:val="000000"/>
          <w:szCs w:val="24"/>
        </w:rPr>
        <w:t>for</w:t>
      </w:r>
      <w:r w:rsidR="00D253DD" w:rsidRPr="00F87DFB">
        <w:rPr>
          <w:color w:val="000000"/>
          <w:szCs w:val="24"/>
        </w:rPr>
        <w:t xml:space="preserve"> fibromyalgia requiring continuous medication and noted the soldier was working. </w:t>
      </w:r>
      <w:r>
        <w:rPr>
          <w:color w:val="000000"/>
          <w:szCs w:val="24"/>
        </w:rPr>
        <w:t xml:space="preserve"> </w:t>
      </w:r>
      <w:r w:rsidR="00D253DD" w:rsidRPr="00F87DFB">
        <w:rPr>
          <w:color w:val="000000"/>
          <w:szCs w:val="24"/>
        </w:rPr>
        <w:t>The CI did not concur and su</w:t>
      </w:r>
      <w:r w:rsidR="009A2276">
        <w:rPr>
          <w:color w:val="000000"/>
          <w:szCs w:val="24"/>
        </w:rPr>
        <w:t>bmitted a written appeal</w:t>
      </w:r>
      <w:r w:rsidR="00D253DD" w:rsidRPr="00F87DFB">
        <w:rPr>
          <w:color w:val="000000"/>
          <w:szCs w:val="24"/>
        </w:rPr>
        <w:t xml:space="preserve"> but waived a formal hearing. </w:t>
      </w:r>
      <w:r>
        <w:rPr>
          <w:color w:val="000000"/>
          <w:szCs w:val="24"/>
        </w:rPr>
        <w:t xml:space="preserve"> </w:t>
      </w:r>
      <w:r w:rsidR="00D253DD" w:rsidRPr="00F87DFB">
        <w:rPr>
          <w:color w:val="000000"/>
          <w:szCs w:val="24"/>
        </w:rPr>
        <w:t xml:space="preserve">This appeal was related to the sleep apnea condition and is discussed below in the </w:t>
      </w:r>
      <w:r>
        <w:rPr>
          <w:color w:val="000000"/>
          <w:szCs w:val="24"/>
        </w:rPr>
        <w:t>OSA</w:t>
      </w:r>
      <w:r w:rsidR="00D253DD" w:rsidRPr="00F87DFB">
        <w:rPr>
          <w:color w:val="000000"/>
          <w:szCs w:val="24"/>
        </w:rPr>
        <w:t xml:space="preserve"> section. </w:t>
      </w:r>
      <w:r>
        <w:rPr>
          <w:color w:val="000000"/>
          <w:szCs w:val="24"/>
        </w:rPr>
        <w:t xml:space="preserve"> </w:t>
      </w:r>
      <w:r w:rsidR="00D253DD" w:rsidRPr="00F87DFB">
        <w:rPr>
          <w:color w:val="000000"/>
          <w:szCs w:val="24"/>
        </w:rPr>
        <w:t xml:space="preserve">He was permanently separated with a 10% rating for fibromyalgia on </w:t>
      </w:r>
      <w:r>
        <w:rPr>
          <w:color w:val="000000"/>
          <w:szCs w:val="24"/>
        </w:rPr>
        <w:t xml:space="preserve">20 July </w:t>
      </w:r>
      <w:r w:rsidR="00D253DD" w:rsidRPr="00F87DFB">
        <w:rPr>
          <w:color w:val="000000"/>
          <w:szCs w:val="24"/>
        </w:rPr>
        <w:t>2005.</w:t>
      </w:r>
    </w:p>
    <w:p w:rsidR="00FE4FB2" w:rsidRPr="00F87DFB" w:rsidRDefault="00FE4FB2" w:rsidP="00FB7A61">
      <w:pPr>
        <w:jc w:val="both"/>
        <w:rPr>
          <w:color w:val="000000"/>
          <w:szCs w:val="24"/>
          <w:u w:val="single"/>
        </w:rPr>
      </w:pPr>
    </w:p>
    <w:p w:rsidR="00042AEB" w:rsidRPr="00F87DFB" w:rsidRDefault="004B3C31" w:rsidP="00FB7A61">
      <w:pPr>
        <w:jc w:val="both"/>
        <w:rPr>
          <w:color w:val="000000"/>
          <w:szCs w:val="24"/>
        </w:rPr>
      </w:pPr>
      <w:r w:rsidRPr="00F87DFB">
        <w:rPr>
          <w:color w:val="000000"/>
          <w:szCs w:val="24"/>
        </w:rPr>
        <w:t xml:space="preserve">The CI </w:t>
      </w:r>
      <w:r w:rsidR="007C0FBF" w:rsidRPr="00F87DFB">
        <w:rPr>
          <w:color w:val="000000"/>
          <w:szCs w:val="24"/>
        </w:rPr>
        <w:t xml:space="preserve">filed a </w:t>
      </w:r>
      <w:r w:rsidR="00F95DBC" w:rsidRPr="00F87DFB">
        <w:rPr>
          <w:color w:val="000000"/>
          <w:szCs w:val="24"/>
        </w:rPr>
        <w:t xml:space="preserve">VA </w:t>
      </w:r>
      <w:r w:rsidR="007C0FBF" w:rsidRPr="00F87DFB">
        <w:rPr>
          <w:color w:val="000000"/>
          <w:szCs w:val="24"/>
        </w:rPr>
        <w:t xml:space="preserve">claim for increased evaluation in September 2007 and the rating for fibromyalgia was subsequently increased to 40% based on ongoing treatment records and a subsequent VA C&amp;P examination of </w:t>
      </w:r>
      <w:r w:rsidR="006E42E8">
        <w:rPr>
          <w:color w:val="000000"/>
          <w:szCs w:val="24"/>
        </w:rPr>
        <w:t xml:space="preserve">8 November </w:t>
      </w:r>
      <w:r w:rsidR="007C0FBF" w:rsidRPr="00F87DFB">
        <w:rPr>
          <w:color w:val="000000"/>
          <w:szCs w:val="24"/>
        </w:rPr>
        <w:t>2007.</w:t>
      </w:r>
      <w:r w:rsidR="00FB7A61" w:rsidRPr="00F87DFB">
        <w:rPr>
          <w:color w:val="000000"/>
          <w:szCs w:val="24"/>
        </w:rPr>
        <w:t xml:space="preserve"> </w:t>
      </w:r>
      <w:r w:rsidR="006E42E8">
        <w:rPr>
          <w:color w:val="000000"/>
          <w:szCs w:val="24"/>
        </w:rPr>
        <w:t xml:space="preserve"> </w:t>
      </w:r>
      <w:r w:rsidR="00FB7A61" w:rsidRPr="00F87DFB">
        <w:rPr>
          <w:color w:val="000000"/>
          <w:szCs w:val="24"/>
        </w:rPr>
        <w:t>The available record supports the increased rating with clinical encounters dating from August 2006 t</w:t>
      </w:r>
      <w:r w:rsidR="009A2276">
        <w:rPr>
          <w:color w:val="000000"/>
          <w:szCs w:val="24"/>
        </w:rPr>
        <w:t>o October 2007</w:t>
      </w:r>
      <w:r w:rsidR="00FB7A61" w:rsidRPr="00F87DFB">
        <w:rPr>
          <w:color w:val="000000"/>
          <w:szCs w:val="24"/>
        </w:rPr>
        <w:t xml:space="preserve">. </w:t>
      </w:r>
      <w:r w:rsidR="006E42E8">
        <w:rPr>
          <w:color w:val="000000"/>
          <w:szCs w:val="24"/>
        </w:rPr>
        <w:t xml:space="preserve"> </w:t>
      </w:r>
      <w:r w:rsidR="00FB7A61" w:rsidRPr="00F87DFB">
        <w:rPr>
          <w:color w:val="000000"/>
          <w:szCs w:val="24"/>
        </w:rPr>
        <w:t xml:space="preserve">However all of this encounters are more than </w:t>
      </w:r>
      <w:r w:rsidR="006E42E8">
        <w:rPr>
          <w:color w:val="000000"/>
          <w:szCs w:val="24"/>
        </w:rPr>
        <w:t xml:space="preserve">12 </w:t>
      </w:r>
      <w:r w:rsidR="00FB7A61" w:rsidRPr="00F87DFB">
        <w:rPr>
          <w:color w:val="000000"/>
          <w:szCs w:val="24"/>
        </w:rPr>
        <w:t xml:space="preserve">months after the CI permanently separated and they show a worsening of the condition over time. </w:t>
      </w:r>
    </w:p>
    <w:p w:rsidR="006A7ABE" w:rsidRPr="00F87DFB" w:rsidRDefault="006A7ABE" w:rsidP="00FB7A61">
      <w:pPr>
        <w:jc w:val="both"/>
        <w:rPr>
          <w:color w:val="000000"/>
          <w:szCs w:val="24"/>
        </w:rPr>
      </w:pPr>
    </w:p>
    <w:p w:rsidR="00047DC6" w:rsidRDefault="00FB7A61" w:rsidP="00FB7A61">
      <w:pPr>
        <w:jc w:val="both"/>
        <w:rPr>
          <w:color w:val="000000"/>
          <w:szCs w:val="24"/>
        </w:rPr>
      </w:pPr>
      <w:r w:rsidRPr="00F87DFB">
        <w:rPr>
          <w:color w:val="000000"/>
          <w:szCs w:val="24"/>
        </w:rPr>
        <w:t xml:space="preserve">The rating criteria for fibromyalgia are based on the </w:t>
      </w:r>
      <w:proofErr w:type="spellStart"/>
      <w:r w:rsidRPr="00F87DFB">
        <w:rPr>
          <w:color w:val="000000"/>
          <w:szCs w:val="24"/>
        </w:rPr>
        <w:t>whether</w:t>
      </w:r>
      <w:proofErr w:type="spellEnd"/>
      <w:r w:rsidRPr="00F87DFB">
        <w:rPr>
          <w:color w:val="000000"/>
          <w:szCs w:val="24"/>
        </w:rPr>
        <w:t xml:space="preserve"> symptoms are controlled with medication, are present more than one third of the time with periodic exacerbations, or are constant or nearly so and are refractory to therapy. </w:t>
      </w:r>
      <w:r w:rsidR="006E42E8">
        <w:rPr>
          <w:color w:val="000000"/>
          <w:szCs w:val="24"/>
        </w:rPr>
        <w:t xml:space="preserve">The </w:t>
      </w:r>
      <w:r w:rsidR="001239D6" w:rsidRPr="00F87DFB">
        <w:rPr>
          <w:color w:val="000000"/>
          <w:szCs w:val="24"/>
        </w:rPr>
        <w:t xml:space="preserve">PEBs of March 2002 and </w:t>
      </w:r>
      <w:r w:rsidR="006E42E8">
        <w:rPr>
          <w:color w:val="000000"/>
          <w:szCs w:val="24"/>
        </w:rPr>
        <w:t xml:space="preserve">            </w:t>
      </w:r>
      <w:r w:rsidR="001239D6" w:rsidRPr="00F87DFB">
        <w:rPr>
          <w:color w:val="000000"/>
          <w:szCs w:val="24"/>
        </w:rPr>
        <w:t>December 2003 determined the CI’s fibromyalgia symptoms were present more than one third of the time and were not controlled with medication. The final TDRL evaluation in January 2005 supports the same determination.</w:t>
      </w:r>
      <w:r w:rsidR="006E42E8">
        <w:rPr>
          <w:color w:val="000000"/>
          <w:szCs w:val="24"/>
        </w:rPr>
        <w:t xml:space="preserve"> </w:t>
      </w:r>
      <w:r w:rsidR="001239D6" w:rsidRPr="00F87DFB">
        <w:rPr>
          <w:color w:val="000000"/>
          <w:szCs w:val="24"/>
        </w:rPr>
        <w:t xml:space="preserve"> There is no evidence that the CI’s fibromyalgia symptoms were controlled with medication. </w:t>
      </w:r>
      <w:r w:rsidR="006E42E8">
        <w:rPr>
          <w:color w:val="000000"/>
          <w:szCs w:val="24"/>
        </w:rPr>
        <w:t xml:space="preserve"> </w:t>
      </w:r>
      <w:r w:rsidR="00C61424">
        <w:rPr>
          <w:color w:val="000000"/>
          <w:szCs w:val="24"/>
        </w:rPr>
        <w:t xml:space="preserve">While the initial and final NARSUM examinations were completed by different providers, both examiners noted his pain was severe and constant. </w:t>
      </w:r>
      <w:r w:rsidR="006E42E8">
        <w:rPr>
          <w:color w:val="000000"/>
          <w:szCs w:val="24"/>
        </w:rPr>
        <w:t xml:space="preserve"> </w:t>
      </w:r>
      <w:r w:rsidR="001239D6" w:rsidRPr="00F87DFB">
        <w:rPr>
          <w:color w:val="000000"/>
          <w:szCs w:val="24"/>
        </w:rPr>
        <w:t xml:space="preserve">He was employed prior to TDRL entrance and during the entire time he was on the TDRL. </w:t>
      </w:r>
      <w:r w:rsidR="0081406F">
        <w:rPr>
          <w:color w:val="000000"/>
          <w:szCs w:val="24"/>
        </w:rPr>
        <w:t>The CI was able to work, within physical limitations, despite his symptoms both while on active duty and after entering the TDRL.</w:t>
      </w:r>
      <w:r w:rsidR="006E42E8">
        <w:rPr>
          <w:color w:val="000000"/>
          <w:szCs w:val="24"/>
        </w:rPr>
        <w:t xml:space="preserve"> </w:t>
      </w:r>
      <w:r w:rsidR="0081406F">
        <w:rPr>
          <w:color w:val="000000"/>
          <w:szCs w:val="24"/>
        </w:rPr>
        <w:t xml:space="preserve"> </w:t>
      </w:r>
      <w:r w:rsidR="001239D6" w:rsidRPr="00F87DFB">
        <w:rPr>
          <w:color w:val="000000"/>
          <w:szCs w:val="24"/>
        </w:rPr>
        <w:t>There is nothing in the record that supports a determination that the CI’s fibromyalgia condition had improved prior to his final separation in July 2005.</w:t>
      </w:r>
      <w:r w:rsidR="006E42E8">
        <w:rPr>
          <w:color w:val="000000"/>
          <w:szCs w:val="24"/>
        </w:rPr>
        <w:t xml:space="preserve"> </w:t>
      </w:r>
      <w:r w:rsidR="001239D6" w:rsidRPr="00F87DFB">
        <w:rPr>
          <w:color w:val="000000"/>
          <w:szCs w:val="24"/>
        </w:rPr>
        <w:t xml:space="preserve"> All three TDRL evaluations support a 20% disability rating for fibromyalgia. </w:t>
      </w:r>
      <w:r w:rsidR="0016557F" w:rsidRPr="00F87DFB">
        <w:rPr>
          <w:color w:val="000000"/>
          <w:szCs w:val="24"/>
        </w:rPr>
        <w:t xml:space="preserve">After due deliberation, considering all of the evidence and mindful of VASRD §4.3 (reasonable doubt), the Board recommends </w:t>
      </w:r>
      <w:r w:rsidR="0016557F" w:rsidRPr="00F87DFB">
        <w:rPr>
          <w:color w:val="auto"/>
          <w:szCs w:val="24"/>
        </w:rPr>
        <w:t>an initial TDRL rating of 20% and a 20% permanent rating, coded</w:t>
      </w:r>
      <w:r w:rsidR="0016557F" w:rsidRPr="0016557F">
        <w:rPr>
          <w:color w:val="auto"/>
          <w:szCs w:val="24"/>
        </w:rPr>
        <w:t xml:space="preserve"> </w:t>
      </w:r>
      <w:r w:rsidR="0016557F">
        <w:rPr>
          <w:color w:val="auto"/>
          <w:szCs w:val="24"/>
        </w:rPr>
        <w:t xml:space="preserve">5025 </w:t>
      </w:r>
      <w:r w:rsidR="0016557F" w:rsidRPr="0016557F">
        <w:rPr>
          <w:color w:val="auto"/>
          <w:szCs w:val="24"/>
        </w:rPr>
        <w:t>IAW VASRD §4.71a</w:t>
      </w:r>
      <w:r w:rsidR="0016557F">
        <w:rPr>
          <w:color w:val="auto"/>
          <w:szCs w:val="24"/>
        </w:rPr>
        <w:t>.</w:t>
      </w:r>
    </w:p>
    <w:p w:rsidR="00FD5085" w:rsidRDefault="00FD5085" w:rsidP="00FB7A61">
      <w:pPr>
        <w:jc w:val="both"/>
        <w:rPr>
          <w:color w:val="000000"/>
          <w:szCs w:val="24"/>
        </w:rPr>
      </w:pPr>
    </w:p>
    <w:p w:rsidR="00F55634" w:rsidRPr="00F64312" w:rsidRDefault="00FD5085" w:rsidP="00722A6C">
      <w:pPr>
        <w:jc w:val="both"/>
        <w:rPr>
          <w:color w:val="auto"/>
          <w:szCs w:val="24"/>
        </w:rPr>
      </w:pPr>
      <w:proofErr w:type="gramStart"/>
      <w:r w:rsidRPr="0004344D">
        <w:rPr>
          <w:color w:val="000000"/>
          <w:szCs w:val="24"/>
          <w:u w:val="single"/>
        </w:rPr>
        <w:t xml:space="preserve">Degenerative Joint Disease Status Post Rotator Cuff </w:t>
      </w:r>
      <w:r w:rsidRPr="00295FB5">
        <w:rPr>
          <w:color w:val="000000"/>
          <w:szCs w:val="24"/>
          <w:u w:val="single"/>
        </w:rPr>
        <w:t>Repair Condition.</w:t>
      </w:r>
      <w:proofErr w:type="gramEnd"/>
      <w:r w:rsidR="00E1733B">
        <w:rPr>
          <w:color w:val="000000"/>
          <w:szCs w:val="24"/>
        </w:rPr>
        <w:t xml:space="preserve">  </w:t>
      </w:r>
      <w:r w:rsidR="0069687C" w:rsidRPr="00F64312">
        <w:rPr>
          <w:color w:val="auto"/>
          <w:szCs w:val="24"/>
        </w:rPr>
        <w:t xml:space="preserve">There </w:t>
      </w:r>
      <w:r w:rsidR="0069687C" w:rsidRPr="00B51EAE">
        <w:rPr>
          <w:color w:val="auto"/>
          <w:szCs w:val="24"/>
        </w:rPr>
        <w:t xml:space="preserve">were </w:t>
      </w:r>
      <w:r w:rsidR="00062263" w:rsidRPr="00B51EAE">
        <w:rPr>
          <w:color w:val="auto"/>
          <w:szCs w:val="24"/>
        </w:rPr>
        <w:t>four</w:t>
      </w:r>
      <w:r w:rsidR="006E42E8">
        <w:rPr>
          <w:color w:val="auto"/>
          <w:szCs w:val="24"/>
        </w:rPr>
        <w:t xml:space="preserve"> 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F55634">
        <w:rPr>
          <w:color w:val="auto"/>
          <w:szCs w:val="24"/>
        </w:rPr>
        <w:t xml:space="preserve"> An additional evaluation showing a worsening of the condition over time is also included below.</w:t>
      </w:r>
    </w:p>
    <w:tbl>
      <w:tblPr>
        <w:tblpPr w:leftFromText="180" w:rightFromText="180" w:vertAnchor="text" w:horzAnchor="margin" w:tblpX="-18" w:tblpY="266"/>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738"/>
        <w:gridCol w:w="630"/>
        <w:gridCol w:w="720"/>
        <w:gridCol w:w="720"/>
        <w:gridCol w:w="1530"/>
        <w:gridCol w:w="810"/>
        <w:gridCol w:w="900"/>
        <w:gridCol w:w="1800"/>
      </w:tblGrid>
      <w:tr w:rsidR="0016557F" w:rsidRPr="00F64312" w:rsidTr="00ED2263">
        <w:trPr>
          <w:trHeight w:val="781"/>
        </w:trPr>
        <w:tc>
          <w:tcPr>
            <w:tcW w:w="1638" w:type="dxa"/>
            <w:vMerge w:val="restart"/>
            <w:shd w:val="clear" w:color="auto" w:fill="D9D9D9"/>
            <w:vAlign w:val="center"/>
          </w:tcPr>
          <w:p w:rsidR="0016557F" w:rsidRPr="00F64312" w:rsidRDefault="0016557F" w:rsidP="00ED2263">
            <w:pPr>
              <w:contextualSpacing/>
              <w:rPr>
                <w:rFonts w:eastAsia="Calibri"/>
                <w:color w:val="auto"/>
                <w:sz w:val="18"/>
                <w:szCs w:val="18"/>
              </w:rPr>
            </w:pPr>
            <w:r w:rsidRPr="00F64312">
              <w:rPr>
                <w:rFonts w:eastAsia="Calibri"/>
                <w:color w:val="auto"/>
                <w:sz w:val="18"/>
                <w:szCs w:val="18"/>
              </w:rPr>
              <w:lastRenderedPageBreak/>
              <w:t>Shoulder ROM</w:t>
            </w:r>
          </w:p>
        </w:tc>
        <w:tc>
          <w:tcPr>
            <w:tcW w:w="1368" w:type="dxa"/>
            <w:gridSpan w:val="2"/>
            <w:shd w:val="clear" w:color="auto" w:fill="D9D9D9"/>
            <w:vAlign w:val="center"/>
          </w:tcPr>
          <w:p w:rsidR="006773FF" w:rsidRDefault="0016557F" w:rsidP="00ED2263">
            <w:pPr>
              <w:contextualSpacing/>
              <w:rPr>
                <w:rFonts w:eastAsia="Calibri"/>
                <w:color w:val="auto"/>
                <w:sz w:val="18"/>
                <w:szCs w:val="18"/>
              </w:rPr>
            </w:pPr>
            <w:r w:rsidRPr="00F64312">
              <w:rPr>
                <w:rFonts w:eastAsia="Calibri"/>
                <w:color w:val="auto"/>
                <w:sz w:val="18"/>
                <w:szCs w:val="18"/>
              </w:rPr>
              <w:t xml:space="preserve">MEB </w:t>
            </w:r>
            <w:r w:rsidR="005012AD">
              <w:rPr>
                <w:rFonts w:eastAsia="Calibri"/>
                <w:color w:val="auto"/>
                <w:sz w:val="18"/>
                <w:szCs w:val="18"/>
              </w:rPr>
              <w:t>NARSUM</w:t>
            </w:r>
          </w:p>
          <w:p w:rsidR="0016557F" w:rsidRPr="00F64312" w:rsidRDefault="0016557F" w:rsidP="00ED2263">
            <w:pPr>
              <w:contextualSpacing/>
              <w:rPr>
                <w:rFonts w:eastAsia="Calibri"/>
                <w:color w:val="auto"/>
                <w:sz w:val="18"/>
                <w:szCs w:val="18"/>
              </w:rPr>
            </w:pPr>
            <w:r w:rsidRPr="00F64312">
              <w:rPr>
                <w:rFonts w:eastAsia="Calibri"/>
                <w:color w:val="auto"/>
                <w:sz w:val="18"/>
                <w:szCs w:val="18"/>
              </w:rPr>
              <w:t>~</w:t>
            </w:r>
            <w:r>
              <w:rPr>
                <w:rFonts w:eastAsia="Calibri"/>
                <w:color w:val="auto"/>
                <w:sz w:val="18"/>
                <w:szCs w:val="18"/>
              </w:rPr>
              <w:t>11</w:t>
            </w:r>
            <w:r w:rsidRPr="00F64312">
              <w:rPr>
                <w:rFonts w:eastAsia="Calibri"/>
                <w:color w:val="auto"/>
                <w:sz w:val="18"/>
                <w:szCs w:val="18"/>
              </w:rPr>
              <w:t xml:space="preserve"> Mo</w:t>
            </w:r>
            <w:r>
              <w:rPr>
                <w:rFonts w:eastAsia="Calibri"/>
                <w:color w:val="auto"/>
                <w:sz w:val="18"/>
                <w:szCs w:val="18"/>
              </w:rPr>
              <w:t>nths</w:t>
            </w:r>
            <w:r w:rsidRPr="00F64312">
              <w:rPr>
                <w:rFonts w:eastAsia="Calibri"/>
                <w:color w:val="auto"/>
                <w:sz w:val="18"/>
                <w:szCs w:val="18"/>
              </w:rPr>
              <w:t xml:space="preserve"> Pre-</w:t>
            </w:r>
            <w:r>
              <w:rPr>
                <w:rFonts w:eastAsia="Calibri"/>
                <w:color w:val="auto"/>
                <w:sz w:val="18"/>
                <w:szCs w:val="18"/>
              </w:rPr>
              <w:t>TDRL Entry</w:t>
            </w:r>
          </w:p>
          <w:p w:rsidR="0016557F" w:rsidRPr="00F64312" w:rsidRDefault="0016557F" w:rsidP="00F87DFB">
            <w:pPr>
              <w:contextualSpacing/>
              <w:rPr>
                <w:rFonts w:eastAsia="Calibri"/>
                <w:color w:val="auto"/>
                <w:sz w:val="18"/>
                <w:szCs w:val="18"/>
              </w:rPr>
            </w:pPr>
            <w:r w:rsidRPr="00F64312">
              <w:rPr>
                <w:rFonts w:eastAsia="Calibri"/>
                <w:color w:val="auto"/>
                <w:sz w:val="18"/>
                <w:szCs w:val="18"/>
              </w:rPr>
              <w:t>(200</w:t>
            </w:r>
            <w:r>
              <w:rPr>
                <w:rFonts w:eastAsia="Calibri"/>
                <w:color w:val="auto"/>
                <w:sz w:val="18"/>
                <w:szCs w:val="18"/>
              </w:rPr>
              <w:t>11101</w:t>
            </w:r>
            <w:r w:rsidRPr="00F64312">
              <w:rPr>
                <w:rFonts w:eastAsia="Calibri"/>
                <w:color w:val="auto"/>
                <w:sz w:val="18"/>
                <w:szCs w:val="18"/>
              </w:rPr>
              <w:t>)</w:t>
            </w:r>
          </w:p>
        </w:tc>
        <w:tc>
          <w:tcPr>
            <w:tcW w:w="1440" w:type="dxa"/>
            <w:gridSpan w:val="2"/>
            <w:shd w:val="clear" w:color="auto" w:fill="D9D9D9"/>
            <w:vAlign w:val="center"/>
          </w:tcPr>
          <w:p w:rsidR="006773FF" w:rsidRDefault="0016557F" w:rsidP="00ED2263">
            <w:pPr>
              <w:contextualSpacing/>
              <w:rPr>
                <w:rFonts w:eastAsia="Calibri"/>
                <w:color w:val="auto"/>
                <w:sz w:val="18"/>
                <w:szCs w:val="18"/>
              </w:rPr>
            </w:pPr>
            <w:r w:rsidRPr="009D56AA">
              <w:rPr>
                <w:rFonts w:eastAsia="Calibri"/>
                <w:color w:val="auto"/>
                <w:sz w:val="18"/>
                <w:szCs w:val="18"/>
              </w:rPr>
              <w:t>VA C&amp;P</w:t>
            </w:r>
          </w:p>
          <w:p w:rsidR="0016557F" w:rsidRPr="009D56AA" w:rsidRDefault="0016557F" w:rsidP="00ED2263">
            <w:pPr>
              <w:contextualSpacing/>
              <w:rPr>
                <w:rFonts w:eastAsia="Calibri"/>
                <w:color w:val="auto"/>
                <w:sz w:val="18"/>
                <w:szCs w:val="18"/>
              </w:rPr>
            </w:pPr>
            <w:r w:rsidRPr="009D56AA">
              <w:rPr>
                <w:rFonts w:eastAsia="Calibri"/>
                <w:color w:val="auto"/>
                <w:sz w:val="18"/>
                <w:szCs w:val="18"/>
              </w:rPr>
              <w:t xml:space="preserve"> ~</w:t>
            </w:r>
            <w:r>
              <w:rPr>
                <w:rFonts w:eastAsia="Calibri"/>
                <w:color w:val="auto"/>
                <w:sz w:val="18"/>
                <w:szCs w:val="18"/>
              </w:rPr>
              <w:t>3 Months Post</w:t>
            </w:r>
            <w:r w:rsidRPr="009D56AA">
              <w:rPr>
                <w:rFonts w:eastAsia="Calibri"/>
                <w:color w:val="auto"/>
                <w:sz w:val="18"/>
                <w:szCs w:val="18"/>
              </w:rPr>
              <w:t>-</w:t>
            </w:r>
            <w:r w:rsidR="006773FF">
              <w:rPr>
                <w:rFonts w:eastAsia="Calibri"/>
                <w:color w:val="auto"/>
                <w:sz w:val="18"/>
                <w:szCs w:val="18"/>
              </w:rPr>
              <w:t>T</w:t>
            </w:r>
            <w:r>
              <w:rPr>
                <w:rFonts w:eastAsia="Calibri"/>
                <w:color w:val="auto"/>
                <w:sz w:val="18"/>
                <w:szCs w:val="18"/>
              </w:rPr>
              <w:t>DRL Entry</w:t>
            </w:r>
          </w:p>
          <w:p w:rsidR="0016557F" w:rsidRDefault="0016557F" w:rsidP="00F87DFB">
            <w:pPr>
              <w:contextualSpacing/>
              <w:rPr>
                <w:rFonts w:eastAsia="Calibri"/>
                <w:color w:val="auto"/>
                <w:sz w:val="18"/>
                <w:szCs w:val="18"/>
              </w:rPr>
            </w:pPr>
            <w:r w:rsidRPr="009D56AA">
              <w:rPr>
                <w:rFonts w:eastAsia="Calibri"/>
                <w:color w:val="auto"/>
                <w:sz w:val="18"/>
                <w:szCs w:val="18"/>
              </w:rPr>
              <w:t>(20021206)</w:t>
            </w:r>
          </w:p>
        </w:tc>
        <w:tc>
          <w:tcPr>
            <w:tcW w:w="1530" w:type="dxa"/>
            <w:shd w:val="clear" w:color="auto" w:fill="D9D9D9"/>
            <w:vAlign w:val="center"/>
          </w:tcPr>
          <w:p w:rsidR="006773FF" w:rsidRPr="009D56AA" w:rsidRDefault="0016557F" w:rsidP="00ED2263">
            <w:pPr>
              <w:contextualSpacing/>
              <w:rPr>
                <w:rFonts w:eastAsia="Calibri"/>
                <w:color w:val="auto"/>
                <w:sz w:val="18"/>
                <w:szCs w:val="18"/>
              </w:rPr>
            </w:pPr>
            <w:r>
              <w:rPr>
                <w:rFonts w:eastAsia="Calibri"/>
                <w:color w:val="auto"/>
                <w:sz w:val="18"/>
                <w:szCs w:val="18"/>
              </w:rPr>
              <w:t>TDRL RE-EVAL</w:t>
            </w:r>
            <w:r w:rsidRPr="00F64312">
              <w:rPr>
                <w:rFonts w:eastAsia="Cambria"/>
                <w:color w:val="auto"/>
                <w:sz w:val="18"/>
                <w:szCs w:val="18"/>
              </w:rPr>
              <w:t xml:space="preserve"> ~</w:t>
            </w:r>
            <w:r w:rsidR="006773FF">
              <w:rPr>
                <w:rFonts w:eastAsia="Cambria"/>
                <w:color w:val="auto"/>
                <w:sz w:val="18"/>
                <w:szCs w:val="18"/>
              </w:rPr>
              <w:t>13</w:t>
            </w:r>
            <w:r w:rsidRPr="00F64312">
              <w:rPr>
                <w:rFonts w:eastAsia="Cambria"/>
                <w:color w:val="auto"/>
                <w:sz w:val="18"/>
                <w:szCs w:val="18"/>
              </w:rPr>
              <w:t xml:space="preserve"> </w:t>
            </w:r>
            <w:r w:rsidR="006773FF">
              <w:rPr>
                <w:rFonts w:eastAsia="Calibri"/>
                <w:color w:val="auto"/>
                <w:sz w:val="18"/>
                <w:szCs w:val="18"/>
              </w:rPr>
              <w:t xml:space="preserve"> Months Post</w:t>
            </w:r>
            <w:r w:rsidR="006773FF" w:rsidRPr="009D56AA">
              <w:rPr>
                <w:rFonts w:eastAsia="Calibri"/>
                <w:color w:val="auto"/>
                <w:sz w:val="18"/>
                <w:szCs w:val="18"/>
              </w:rPr>
              <w:t>-</w:t>
            </w:r>
            <w:r w:rsidR="006773FF">
              <w:rPr>
                <w:rFonts w:eastAsia="Calibri"/>
                <w:color w:val="auto"/>
                <w:sz w:val="18"/>
                <w:szCs w:val="18"/>
              </w:rPr>
              <w:t>TDRL Entry</w:t>
            </w:r>
          </w:p>
          <w:p w:rsidR="0016557F" w:rsidRPr="00F64312" w:rsidRDefault="0016557F" w:rsidP="00F87DFB">
            <w:pPr>
              <w:contextualSpacing/>
              <w:rPr>
                <w:rFonts w:eastAsia="Calibri"/>
                <w:color w:val="auto"/>
                <w:sz w:val="18"/>
                <w:szCs w:val="18"/>
              </w:rPr>
            </w:pPr>
            <w:r w:rsidRPr="00F64312">
              <w:rPr>
                <w:rFonts w:eastAsia="Calibri"/>
                <w:color w:val="auto"/>
                <w:sz w:val="18"/>
                <w:szCs w:val="18"/>
              </w:rPr>
              <w:t>(200</w:t>
            </w:r>
            <w:r>
              <w:rPr>
                <w:rFonts w:eastAsia="Calibri"/>
                <w:color w:val="auto"/>
                <w:sz w:val="18"/>
                <w:szCs w:val="18"/>
              </w:rPr>
              <w:t>31023</w:t>
            </w:r>
            <w:r w:rsidRPr="00F64312">
              <w:rPr>
                <w:rFonts w:eastAsia="Calibri"/>
                <w:color w:val="auto"/>
                <w:sz w:val="18"/>
                <w:szCs w:val="18"/>
              </w:rPr>
              <w:t>)</w:t>
            </w:r>
            <w:r>
              <w:rPr>
                <w:rFonts w:eastAsia="Calibri"/>
                <w:color w:val="auto"/>
                <w:sz w:val="18"/>
                <w:szCs w:val="18"/>
              </w:rPr>
              <w:t xml:space="preserve"> </w:t>
            </w:r>
          </w:p>
        </w:tc>
        <w:tc>
          <w:tcPr>
            <w:tcW w:w="1710" w:type="dxa"/>
            <w:gridSpan w:val="2"/>
            <w:shd w:val="clear" w:color="auto" w:fill="D9D9D9"/>
            <w:vAlign w:val="center"/>
          </w:tcPr>
          <w:p w:rsidR="006773FF" w:rsidRDefault="0016557F" w:rsidP="00ED2263">
            <w:pPr>
              <w:contextualSpacing/>
              <w:rPr>
                <w:rFonts w:eastAsia="Cambria"/>
                <w:color w:val="auto"/>
                <w:sz w:val="18"/>
                <w:szCs w:val="18"/>
              </w:rPr>
            </w:pPr>
            <w:r>
              <w:rPr>
                <w:rFonts w:eastAsia="Calibri"/>
                <w:color w:val="auto"/>
                <w:sz w:val="18"/>
                <w:szCs w:val="18"/>
              </w:rPr>
              <w:t>TDRL RE-EVAL</w:t>
            </w:r>
            <w:r w:rsidRPr="00F64312">
              <w:rPr>
                <w:rFonts w:eastAsia="Cambria"/>
                <w:color w:val="auto"/>
                <w:sz w:val="18"/>
                <w:szCs w:val="18"/>
              </w:rPr>
              <w:t xml:space="preserve"> </w:t>
            </w:r>
          </w:p>
          <w:p w:rsidR="0016557F" w:rsidRPr="00F64312" w:rsidRDefault="0016557F" w:rsidP="00ED2263">
            <w:pPr>
              <w:contextualSpacing/>
              <w:rPr>
                <w:rFonts w:eastAsia="Cambria"/>
                <w:color w:val="auto"/>
                <w:sz w:val="18"/>
                <w:szCs w:val="18"/>
              </w:rPr>
            </w:pPr>
            <w:r w:rsidRPr="00F64312">
              <w:rPr>
                <w:rFonts w:eastAsia="Cambria"/>
                <w:color w:val="auto"/>
                <w:sz w:val="18"/>
                <w:szCs w:val="18"/>
              </w:rPr>
              <w:t>~</w:t>
            </w:r>
            <w:r w:rsidR="00C0602A">
              <w:rPr>
                <w:rFonts w:eastAsia="Cambria"/>
                <w:color w:val="auto"/>
                <w:sz w:val="18"/>
                <w:szCs w:val="18"/>
              </w:rPr>
              <w:t>4</w:t>
            </w:r>
            <w:r w:rsidRPr="00F64312">
              <w:rPr>
                <w:rFonts w:eastAsia="Cambria"/>
                <w:color w:val="auto"/>
                <w:sz w:val="18"/>
                <w:szCs w:val="18"/>
              </w:rPr>
              <w:t xml:space="preserve"> Mo</w:t>
            </w:r>
            <w:r w:rsidR="006773FF">
              <w:rPr>
                <w:rFonts w:eastAsia="Cambria"/>
                <w:color w:val="auto"/>
                <w:sz w:val="18"/>
                <w:szCs w:val="18"/>
              </w:rPr>
              <w:t>nths</w:t>
            </w:r>
            <w:r>
              <w:rPr>
                <w:rFonts w:eastAsia="Cambria"/>
                <w:color w:val="auto"/>
                <w:sz w:val="18"/>
                <w:szCs w:val="18"/>
              </w:rPr>
              <w:t xml:space="preserve"> </w:t>
            </w:r>
            <w:r w:rsidR="006773FF">
              <w:rPr>
                <w:rFonts w:eastAsia="Cambria"/>
                <w:color w:val="auto"/>
                <w:sz w:val="18"/>
                <w:szCs w:val="18"/>
              </w:rPr>
              <w:t xml:space="preserve">Prior to Final </w:t>
            </w:r>
            <w:r w:rsidRPr="00F64312">
              <w:rPr>
                <w:rFonts w:eastAsia="Cambria"/>
                <w:color w:val="auto"/>
                <w:sz w:val="18"/>
                <w:szCs w:val="18"/>
              </w:rPr>
              <w:t>Sep</w:t>
            </w:r>
            <w:r w:rsidR="006773FF">
              <w:rPr>
                <w:rFonts w:eastAsia="Cambria"/>
                <w:color w:val="auto"/>
                <w:sz w:val="18"/>
                <w:szCs w:val="18"/>
              </w:rPr>
              <w:t>aration</w:t>
            </w:r>
          </w:p>
          <w:p w:rsidR="0016557F" w:rsidRPr="00F87DFB" w:rsidRDefault="0016557F" w:rsidP="00F87DFB">
            <w:pPr>
              <w:contextualSpacing/>
              <w:rPr>
                <w:rFonts w:eastAsia="Calibri"/>
                <w:color w:val="auto"/>
                <w:sz w:val="18"/>
                <w:szCs w:val="18"/>
              </w:rPr>
            </w:pPr>
            <w:r w:rsidRPr="00F64312">
              <w:rPr>
                <w:rFonts w:eastAsia="Calibri"/>
                <w:color w:val="auto"/>
                <w:sz w:val="18"/>
                <w:szCs w:val="18"/>
              </w:rPr>
              <w:t>(200</w:t>
            </w:r>
            <w:r>
              <w:rPr>
                <w:rFonts w:eastAsia="Calibri"/>
                <w:color w:val="auto"/>
                <w:sz w:val="18"/>
                <w:szCs w:val="18"/>
              </w:rPr>
              <w:t>50304</w:t>
            </w:r>
            <w:r w:rsidRPr="00F64312">
              <w:rPr>
                <w:rFonts w:eastAsia="Calibri"/>
                <w:color w:val="auto"/>
                <w:sz w:val="18"/>
                <w:szCs w:val="18"/>
              </w:rPr>
              <w:t>)</w:t>
            </w:r>
          </w:p>
        </w:tc>
        <w:tc>
          <w:tcPr>
            <w:tcW w:w="1800" w:type="dxa"/>
            <w:shd w:val="clear" w:color="auto" w:fill="D9D9D9"/>
            <w:vAlign w:val="center"/>
          </w:tcPr>
          <w:p w:rsidR="0016557F" w:rsidRPr="00F64312" w:rsidRDefault="0016557F" w:rsidP="00ED2263">
            <w:pPr>
              <w:contextualSpacing/>
              <w:rPr>
                <w:rFonts w:eastAsia="Cambria"/>
                <w:color w:val="auto"/>
                <w:sz w:val="18"/>
                <w:szCs w:val="18"/>
              </w:rPr>
            </w:pPr>
            <w:r w:rsidRPr="00F64312">
              <w:rPr>
                <w:rFonts w:eastAsia="Calibri"/>
                <w:color w:val="auto"/>
                <w:sz w:val="18"/>
                <w:szCs w:val="18"/>
              </w:rPr>
              <w:t>VA</w:t>
            </w:r>
            <w:r w:rsidRPr="00F64312">
              <w:rPr>
                <w:rFonts w:eastAsia="Cambria"/>
                <w:color w:val="auto"/>
                <w:sz w:val="18"/>
                <w:szCs w:val="18"/>
              </w:rPr>
              <w:t xml:space="preserve"> C&amp;P ~</w:t>
            </w:r>
            <w:r w:rsidRPr="005C3323">
              <w:rPr>
                <w:rFonts w:eastAsia="Cambria"/>
                <w:color w:val="auto"/>
                <w:sz w:val="18"/>
                <w:szCs w:val="18"/>
              </w:rPr>
              <w:t>28</w:t>
            </w:r>
            <w:r w:rsidRPr="00F64312">
              <w:rPr>
                <w:rFonts w:eastAsia="Cambria"/>
                <w:color w:val="auto"/>
                <w:sz w:val="18"/>
                <w:szCs w:val="18"/>
              </w:rPr>
              <w:t xml:space="preserve"> Mo</w:t>
            </w:r>
            <w:r w:rsidR="006773FF">
              <w:rPr>
                <w:rFonts w:eastAsia="Cambria"/>
                <w:color w:val="auto"/>
                <w:sz w:val="18"/>
                <w:szCs w:val="18"/>
              </w:rPr>
              <w:t xml:space="preserve">nths </w:t>
            </w:r>
            <w:r w:rsidRPr="00F64312">
              <w:rPr>
                <w:rFonts w:eastAsia="Cambria"/>
                <w:color w:val="auto"/>
                <w:sz w:val="18"/>
                <w:szCs w:val="18"/>
              </w:rPr>
              <w:t>Post-</w:t>
            </w:r>
            <w:r w:rsidR="0007619C">
              <w:rPr>
                <w:rFonts w:eastAsia="Cambria"/>
                <w:color w:val="auto"/>
                <w:sz w:val="18"/>
                <w:szCs w:val="18"/>
              </w:rPr>
              <w:t xml:space="preserve">Final </w:t>
            </w:r>
            <w:r w:rsidRPr="00F64312">
              <w:rPr>
                <w:rFonts w:eastAsia="Cambria"/>
                <w:color w:val="auto"/>
                <w:sz w:val="18"/>
                <w:szCs w:val="18"/>
              </w:rPr>
              <w:t>Sep</w:t>
            </w:r>
            <w:r w:rsidR="006773FF">
              <w:rPr>
                <w:rFonts w:eastAsia="Cambria"/>
                <w:color w:val="auto"/>
                <w:sz w:val="18"/>
                <w:szCs w:val="18"/>
              </w:rPr>
              <w:t>aration</w:t>
            </w:r>
          </w:p>
          <w:p w:rsidR="0016557F" w:rsidRPr="00F87DFB" w:rsidRDefault="0016557F" w:rsidP="00F87DFB">
            <w:pPr>
              <w:contextualSpacing/>
              <w:rPr>
                <w:rFonts w:eastAsia="Calibri"/>
                <w:color w:val="auto"/>
                <w:sz w:val="18"/>
                <w:szCs w:val="18"/>
              </w:rPr>
            </w:pPr>
            <w:r w:rsidRPr="00F64312">
              <w:rPr>
                <w:rFonts w:eastAsia="Calibri"/>
                <w:color w:val="auto"/>
                <w:sz w:val="18"/>
                <w:szCs w:val="18"/>
              </w:rPr>
              <w:t>(200</w:t>
            </w:r>
            <w:r>
              <w:rPr>
                <w:rFonts w:eastAsia="Calibri"/>
                <w:color w:val="auto"/>
                <w:sz w:val="18"/>
                <w:szCs w:val="18"/>
              </w:rPr>
              <w:t>71108</w:t>
            </w:r>
            <w:r w:rsidRPr="00F64312">
              <w:rPr>
                <w:rFonts w:eastAsia="Calibri"/>
                <w:color w:val="auto"/>
                <w:sz w:val="18"/>
                <w:szCs w:val="18"/>
              </w:rPr>
              <w:t>)</w:t>
            </w:r>
          </w:p>
        </w:tc>
      </w:tr>
      <w:tr w:rsidR="00722A6C" w:rsidRPr="00F64312" w:rsidTr="00ED2263">
        <w:trPr>
          <w:trHeight w:val="156"/>
        </w:trPr>
        <w:tc>
          <w:tcPr>
            <w:tcW w:w="1638" w:type="dxa"/>
            <w:vMerge/>
            <w:shd w:val="clear" w:color="auto" w:fill="D9D9D9"/>
            <w:vAlign w:val="center"/>
          </w:tcPr>
          <w:p w:rsidR="00722A6C" w:rsidRPr="00F64312" w:rsidRDefault="00722A6C" w:rsidP="00ED2263">
            <w:pPr>
              <w:contextualSpacing/>
              <w:rPr>
                <w:rFonts w:eastAsia="Calibri"/>
                <w:color w:val="auto"/>
                <w:sz w:val="18"/>
                <w:szCs w:val="18"/>
              </w:rPr>
            </w:pPr>
          </w:p>
        </w:tc>
        <w:tc>
          <w:tcPr>
            <w:tcW w:w="738" w:type="dxa"/>
            <w:tcBorders>
              <w:right w:val="single" w:sz="4" w:space="0" w:color="auto"/>
            </w:tcBorders>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Left</w:t>
            </w:r>
          </w:p>
        </w:tc>
        <w:tc>
          <w:tcPr>
            <w:tcW w:w="630" w:type="dxa"/>
            <w:tcBorders>
              <w:left w:val="single" w:sz="4" w:space="0" w:color="auto"/>
            </w:tcBorders>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Right</w:t>
            </w:r>
          </w:p>
        </w:tc>
        <w:tc>
          <w:tcPr>
            <w:tcW w:w="720" w:type="dxa"/>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Left</w:t>
            </w:r>
          </w:p>
        </w:tc>
        <w:tc>
          <w:tcPr>
            <w:tcW w:w="720" w:type="dxa"/>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Right</w:t>
            </w:r>
          </w:p>
        </w:tc>
        <w:tc>
          <w:tcPr>
            <w:tcW w:w="1530" w:type="dxa"/>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Right</w:t>
            </w:r>
          </w:p>
        </w:tc>
        <w:tc>
          <w:tcPr>
            <w:tcW w:w="810" w:type="dxa"/>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Left</w:t>
            </w:r>
          </w:p>
        </w:tc>
        <w:tc>
          <w:tcPr>
            <w:tcW w:w="900" w:type="dxa"/>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Right</w:t>
            </w:r>
          </w:p>
        </w:tc>
        <w:tc>
          <w:tcPr>
            <w:tcW w:w="1800" w:type="dxa"/>
            <w:shd w:val="clear" w:color="auto" w:fill="D9D9D9"/>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Right</w:t>
            </w:r>
          </w:p>
        </w:tc>
      </w:tr>
      <w:tr w:rsidR="00722A6C" w:rsidRPr="00F64312" w:rsidTr="00ED2263">
        <w:trPr>
          <w:trHeight w:val="260"/>
        </w:trPr>
        <w:tc>
          <w:tcPr>
            <w:tcW w:w="1638" w:type="dxa"/>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Flexion (0-180⁰)</w:t>
            </w:r>
          </w:p>
        </w:tc>
        <w:tc>
          <w:tcPr>
            <w:tcW w:w="738" w:type="dxa"/>
            <w:tcBorders>
              <w:right w:val="single" w:sz="4" w:space="0" w:color="auto"/>
            </w:tcBorders>
            <w:vAlign w:val="center"/>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180⁰</w:t>
            </w:r>
          </w:p>
        </w:tc>
        <w:tc>
          <w:tcPr>
            <w:tcW w:w="630" w:type="dxa"/>
            <w:tcBorders>
              <w:left w:val="single" w:sz="4" w:space="0" w:color="auto"/>
            </w:tcBorders>
            <w:vAlign w:val="center"/>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125⁰</w:t>
            </w:r>
          </w:p>
        </w:tc>
        <w:tc>
          <w:tcPr>
            <w:tcW w:w="720" w:type="dxa"/>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180⁰</w:t>
            </w:r>
          </w:p>
        </w:tc>
        <w:tc>
          <w:tcPr>
            <w:tcW w:w="720" w:type="dxa"/>
          </w:tcPr>
          <w:p w:rsidR="00722A6C" w:rsidRPr="00B51EAE" w:rsidRDefault="00722A6C" w:rsidP="00ED2263">
            <w:r w:rsidRPr="00B51EAE">
              <w:rPr>
                <w:rFonts w:eastAsia="Calibri"/>
                <w:color w:val="auto"/>
                <w:sz w:val="18"/>
                <w:szCs w:val="18"/>
              </w:rPr>
              <w:t>160⁰</w:t>
            </w:r>
          </w:p>
        </w:tc>
        <w:tc>
          <w:tcPr>
            <w:tcW w:w="1530" w:type="dxa"/>
            <w:vAlign w:val="center"/>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135⁰</w:t>
            </w:r>
          </w:p>
        </w:tc>
        <w:tc>
          <w:tcPr>
            <w:tcW w:w="810" w:type="dxa"/>
          </w:tcPr>
          <w:p w:rsidR="00722A6C" w:rsidRPr="00B51EAE" w:rsidRDefault="00722A6C" w:rsidP="00ED2263">
            <w:pPr>
              <w:contextualSpacing/>
              <w:rPr>
                <w:rFonts w:eastAsia="Calibri"/>
                <w:color w:val="auto"/>
                <w:sz w:val="18"/>
                <w:szCs w:val="18"/>
              </w:rPr>
            </w:pPr>
          </w:p>
        </w:tc>
        <w:tc>
          <w:tcPr>
            <w:tcW w:w="900" w:type="dxa"/>
          </w:tcPr>
          <w:p w:rsidR="00722A6C" w:rsidRPr="00B51EAE" w:rsidRDefault="00722A6C" w:rsidP="00ED2263">
            <w:pPr>
              <w:contextualSpacing/>
              <w:rPr>
                <w:rFonts w:eastAsia="Calibri"/>
                <w:color w:val="auto"/>
                <w:sz w:val="18"/>
                <w:szCs w:val="18"/>
              </w:rPr>
            </w:pPr>
            <w:r>
              <w:rPr>
                <w:rFonts w:eastAsia="Calibri"/>
                <w:color w:val="auto"/>
                <w:sz w:val="18"/>
                <w:szCs w:val="18"/>
              </w:rPr>
              <w:t>160°</w:t>
            </w:r>
          </w:p>
        </w:tc>
        <w:tc>
          <w:tcPr>
            <w:tcW w:w="1800" w:type="dxa"/>
            <w:vAlign w:val="center"/>
          </w:tcPr>
          <w:p w:rsidR="00722A6C" w:rsidRPr="00B51EAE" w:rsidRDefault="00722A6C" w:rsidP="00ED2263">
            <w:pPr>
              <w:contextualSpacing/>
              <w:rPr>
                <w:rFonts w:eastAsia="Calibri"/>
                <w:color w:val="auto"/>
                <w:sz w:val="18"/>
                <w:szCs w:val="18"/>
              </w:rPr>
            </w:pPr>
            <w:proofErr w:type="spellStart"/>
            <w:r>
              <w:rPr>
                <w:rFonts w:eastAsia="Calibri"/>
                <w:color w:val="auto"/>
                <w:sz w:val="18"/>
                <w:szCs w:val="18"/>
              </w:rPr>
              <w:t>Ankylosis</w:t>
            </w:r>
            <w:proofErr w:type="spellEnd"/>
            <w:r>
              <w:rPr>
                <w:rFonts w:eastAsia="Calibri"/>
                <w:color w:val="auto"/>
                <w:sz w:val="18"/>
                <w:szCs w:val="18"/>
              </w:rPr>
              <w:t xml:space="preserve"> at 70°</w:t>
            </w:r>
          </w:p>
        </w:tc>
      </w:tr>
      <w:tr w:rsidR="00722A6C" w:rsidRPr="00F64312" w:rsidTr="00ED2263">
        <w:trPr>
          <w:trHeight w:val="242"/>
        </w:trPr>
        <w:tc>
          <w:tcPr>
            <w:tcW w:w="1638" w:type="dxa"/>
            <w:vAlign w:val="center"/>
          </w:tcPr>
          <w:p w:rsidR="00722A6C" w:rsidRPr="00F64312" w:rsidRDefault="00722A6C" w:rsidP="00ED2263">
            <w:pPr>
              <w:contextualSpacing/>
              <w:rPr>
                <w:rFonts w:eastAsia="Calibri"/>
                <w:color w:val="auto"/>
                <w:sz w:val="18"/>
                <w:szCs w:val="18"/>
              </w:rPr>
            </w:pPr>
            <w:r w:rsidRPr="00F64312">
              <w:rPr>
                <w:rFonts w:eastAsia="Calibri"/>
                <w:color w:val="auto"/>
                <w:sz w:val="18"/>
                <w:szCs w:val="18"/>
              </w:rPr>
              <w:t>Abduction (0-180⁰)</w:t>
            </w:r>
          </w:p>
        </w:tc>
        <w:tc>
          <w:tcPr>
            <w:tcW w:w="738" w:type="dxa"/>
            <w:tcBorders>
              <w:right w:val="single" w:sz="4" w:space="0" w:color="auto"/>
            </w:tcBorders>
            <w:vAlign w:val="center"/>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180⁰</w:t>
            </w:r>
          </w:p>
        </w:tc>
        <w:tc>
          <w:tcPr>
            <w:tcW w:w="630" w:type="dxa"/>
            <w:tcBorders>
              <w:left w:val="single" w:sz="4" w:space="0" w:color="auto"/>
            </w:tcBorders>
            <w:vAlign w:val="center"/>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95⁰</w:t>
            </w:r>
          </w:p>
        </w:tc>
        <w:tc>
          <w:tcPr>
            <w:tcW w:w="720" w:type="dxa"/>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0-180⁰</w:t>
            </w:r>
          </w:p>
        </w:tc>
        <w:tc>
          <w:tcPr>
            <w:tcW w:w="720" w:type="dxa"/>
          </w:tcPr>
          <w:p w:rsidR="00722A6C" w:rsidRPr="00B51EAE" w:rsidRDefault="00722A6C" w:rsidP="00ED2263">
            <w:r w:rsidRPr="00B51EAE">
              <w:rPr>
                <w:rFonts w:eastAsia="Calibri"/>
                <w:color w:val="auto"/>
                <w:sz w:val="18"/>
                <w:szCs w:val="18"/>
              </w:rPr>
              <w:t>0-160⁰</w:t>
            </w:r>
          </w:p>
        </w:tc>
        <w:tc>
          <w:tcPr>
            <w:tcW w:w="1530" w:type="dxa"/>
            <w:vAlign w:val="center"/>
          </w:tcPr>
          <w:p w:rsidR="00722A6C" w:rsidRPr="00B51EAE" w:rsidRDefault="00722A6C" w:rsidP="00ED2263">
            <w:pPr>
              <w:contextualSpacing/>
              <w:rPr>
                <w:rFonts w:eastAsia="Calibri"/>
                <w:color w:val="auto"/>
                <w:sz w:val="18"/>
                <w:szCs w:val="18"/>
              </w:rPr>
            </w:pPr>
            <w:r w:rsidRPr="00B51EAE">
              <w:rPr>
                <w:rFonts w:eastAsia="Calibri"/>
                <w:color w:val="auto"/>
                <w:sz w:val="18"/>
                <w:szCs w:val="18"/>
              </w:rPr>
              <w:t>130⁰</w:t>
            </w:r>
          </w:p>
        </w:tc>
        <w:tc>
          <w:tcPr>
            <w:tcW w:w="810" w:type="dxa"/>
          </w:tcPr>
          <w:p w:rsidR="00722A6C" w:rsidRPr="00B51EAE" w:rsidRDefault="00722A6C" w:rsidP="00ED2263">
            <w:pPr>
              <w:contextualSpacing/>
              <w:rPr>
                <w:rFonts w:eastAsia="Calibri"/>
                <w:color w:val="auto"/>
                <w:sz w:val="18"/>
                <w:szCs w:val="18"/>
              </w:rPr>
            </w:pPr>
          </w:p>
        </w:tc>
        <w:tc>
          <w:tcPr>
            <w:tcW w:w="900" w:type="dxa"/>
          </w:tcPr>
          <w:p w:rsidR="00722A6C" w:rsidRPr="00B51EAE" w:rsidRDefault="00722A6C" w:rsidP="00ED2263">
            <w:pPr>
              <w:contextualSpacing/>
              <w:rPr>
                <w:rFonts w:eastAsia="Calibri"/>
                <w:color w:val="auto"/>
                <w:sz w:val="18"/>
                <w:szCs w:val="18"/>
              </w:rPr>
            </w:pPr>
            <w:r>
              <w:rPr>
                <w:rFonts w:eastAsia="Calibri"/>
                <w:color w:val="auto"/>
                <w:sz w:val="18"/>
                <w:szCs w:val="18"/>
              </w:rPr>
              <w:t>155°</w:t>
            </w:r>
          </w:p>
        </w:tc>
        <w:tc>
          <w:tcPr>
            <w:tcW w:w="1800" w:type="dxa"/>
            <w:vAlign w:val="center"/>
          </w:tcPr>
          <w:p w:rsidR="00722A6C" w:rsidRPr="00B51EAE" w:rsidRDefault="00722A6C" w:rsidP="00ED2263">
            <w:pPr>
              <w:contextualSpacing/>
              <w:rPr>
                <w:rFonts w:eastAsia="Calibri"/>
                <w:color w:val="auto"/>
                <w:sz w:val="18"/>
                <w:szCs w:val="18"/>
              </w:rPr>
            </w:pPr>
            <w:proofErr w:type="spellStart"/>
            <w:r>
              <w:rPr>
                <w:rFonts w:eastAsia="Calibri"/>
                <w:color w:val="auto"/>
                <w:sz w:val="18"/>
                <w:szCs w:val="18"/>
              </w:rPr>
              <w:t>Ankylosis</w:t>
            </w:r>
            <w:proofErr w:type="spellEnd"/>
            <w:r>
              <w:rPr>
                <w:rFonts w:eastAsia="Calibri"/>
                <w:color w:val="auto"/>
                <w:sz w:val="18"/>
                <w:szCs w:val="18"/>
              </w:rPr>
              <w:t xml:space="preserve"> at 60°</w:t>
            </w:r>
          </w:p>
        </w:tc>
      </w:tr>
      <w:tr w:rsidR="0016557F" w:rsidRPr="00F64312" w:rsidTr="00ED2263">
        <w:trPr>
          <w:trHeight w:val="521"/>
        </w:trPr>
        <w:tc>
          <w:tcPr>
            <w:tcW w:w="1638" w:type="dxa"/>
            <w:vAlign w:val="center"/>
          </w:tcPr>
          <w:p w:rsidR="0016557F" w:rsidRPr="00F64312" w:rsidRDefault="0016557F" w:rsidP="00ED2263">
            <w:pPr>
              <w:tabs>
                <w:tab w:val="left" w:pos="288"/>
                <w:tab w:val="left" w:pos="4752"/>
              </w:tabs>
              <w:rPr>
                <w:rFonts w:eastAsia="Cambria"/>
                <w:color w:val="auto"/>
                <w:sz w:val="18"/>
                <w:szCs w:val="18"/>
              </w:rPr>
            </w:pPr>
            <w:r w:rsidRPr="00F64312">
              <w:rPr>
                <w:rFonts w:eastAsia="Cambria"/>
                <w:color w:val="auto"/>
                <w:sz w:val="18"/>
                <w:szCs w:val="18"/>
              </w:rPr>
              <w:t>Comments</w:t>
            </w:r>
          </w:p>
        </w:tc>
        <w:tc>
          <w:tcPr>
            <w:tcW w:w="1368" w:type="dxa"/>
            <w:gridSpan w:val="2"/>
            <w:vAlign w:val="center"/>
          </w:tcPr>
          <w:p w:rsidR="0016557F" w:rsidRPr="006773FF" w:rsidRDefault="000815F2" w:rsidP="00ED2263">
            <w:pPr>
              <w:tabs>
                <w:tab w:val="left" w:pos="288"/>
                <w:tab w:val="left" w:pos="4752"/>
              </w:tabs>
              <w:jc w:val="left"/>
              <w:rPr>
                <w:rFonts w:eastAsia="Cambria"/>
                <w:color w:val="auto"/>
                <w:sz w:val="18"/>
                <w:szCs w:val="18"/>
              </w:rPr>
            </w:pPr>
            <w:r>
              <w:rPr>
                <w:rFonts w:eastAsia="Cambria"/>
                <w:color w:val="auto"/>
                <w:sz w:val="18"/>
                <w:szCs w:val="18"/>
              </w:rPr>
              <w:t xml:space="preserve">Right shoulder abduction limited due to pain; MRI 20000623 chronic degenerative changes of the AC joint with inferior </w:t>
            </w:r>
            <w:proofErr w:type="spellStart"/>
            <w:r>
              <w:rPr>
                <w:rFonts w:eastAsia="Cambria"/>
                <w:color w:val="auto"/>
                <w:sz w:val="18"/>
                <w:szCs w:val="18"/>
              </w:rPr>
              <w:t>osteophyte</w:t>
            </w:r>
            <w:proofErr w:type="spellEnd"/>
            <w:r>
              <w:rPr>
                <w:rFonts w:eastAsia="Cambria"/>
                <w:color w:val="auto"/>
                <w:sz w:val="18"/>
                <w:szCs w:val="18"/>
              </w:rPr>
              <w:t xml:space="preserve"> impinging on </w:t>
            </w:r>
            <w:proofErr w:type="spellStart"/>
            <w:r>
              <w:rPr>
                <w:rFonts w:eastAsia="Cambria"/>
                <w:color w:val="auto"/>
                <w:sz w:val="18"/>
                <w:szCs w:val="18"/>
              </w:rPr>
              <w:t>supraspinatus</w:t>
            </w:r>
            <w:proofErr w:type="spellEnd"/>
            <w:r>
              <w:rPr>
                <w:rFonts w:eastAsia="Cambria"/>
                <w:color w:val="auto"/>
                <w:sz w:val="18"/>
                <w:szCs w:val="18"/>
              </w:rPr>
              <w:t xml:space="preserve"> tendon</w:t>
            </w:r>
          </w:p>
        </w:tc>
        <w:tc>
          <w:tcPr>
            <w:tcW w:w="1440" w:type="dxa"/>
            <w:gridSpan w:val="2"/>
            <w:vAlign w:val="center"/>
          </w:tcPr>
          <w:p w:rsidR="0016557F" w:rsidRPr="00F87DFB" w:rsidRDefault="00722A6C" w:rsidP="00ED2263">
            <w:pPr>
              <w:tabs>
                <w:tab w:val="left" w:pos="288"/>
                <w:tab w:val="left" w:pos="4752"/>
              </w:tabs>
              <w:jc w:val="left"/>
              <w:rPr>
                <w:rFonts w:eastAsia="Cambria"/>
                <w:color w:val="auto"/>
                <w:sz w:val="18"/>
                <w:szCs w:val="18"/>
              </w:rPr>
            </w:pPr>
            <w:r w:rsidRPr="00F87DFB">
              <w:rPr>
                <w:rFonts w:eastAsia="Cambria"/>
                <w:color w:val="auto"/>
                <w:sz w:val="18"/>
                <w:szCs w:val="18"/>
              </w:rPr>
              <w:t>Right hand dominant; n</w:t>
            </w:r>
            <w:r w:rsidR="000815F2" w:rsidRPr="00F87DFB">
              <w:rPr>
                <w:rFonts w:eastAsia="Cambria"/>
                <w:color w:val="auto"/>
                <w:sz w:val="18"/>
                <w:szCs w:val="18"/>
              </w:rPr>
              <w:t xml:space="preserve">o joint swelling, effusion, tenderness, muscle spasm, joint laxity, or muscle </w:t>
            </w:r>
            <w:r w:rsidRPr="00F87DFB">
              <w:rPr>
                <w:rFonts w:eastAsia="Cambria"/>
                <w:color w:val="auto"/>
                <w:sz w:val="18"/>
                <w:szCs w:val="18"/>
              </w:rPr>
              <w:t>atrophy; reflexes 2+ and equal bilateral</w:t>
            </w:r>
          </w:p>
        </w:tc>
        <w:tc>
          <w:tcPr>
            <w:tcW w:w="1530" w:type="dxa"/>
            <w:vAlign w:val="center"/>
          </w:tcPr>
          <w:p w:rsidR="0016557F" w:rsidRPr="006773FF" w:rsidRDefault="000815F2" w:rsidP="00ED2263">
            <w:pPr>
              <w:tabs>
                <w:tab w:val="left" w:pos="288"/>
                <w:tab w:val="left" w:pos="4752"/>
              </w:tabs>
              <w:jc w:val="left"/>
              <w:rPr>
                <w:rFonts w:eastAsia="Cambria"/>
                <w:color w:val="auto"/>
                <w:sz w:val="18"/>
                <w:szCs w:val="18"/>
              </w:rPr>
            </w:pPr>
            <w:r>
              <w:rPr>
                <w:rFonts w:eastAsia="Cambria"/>
                <w:color w:val="auto"/>
                <w:sz w:val="18"/>
                <w:szCs w:val="18"/>
              </w:rPr>
              <w:t xml:space="preserve">Tenderness over AC joint on the right with positive cross-body abduction side; positive </w:t>
            </w:r>
            <w:proofErr w:type="spellStart"/>
            <w:r>
              <w:rPr>
                <w:rFonts w:eastAsia="Cambria"/>
                <w:color w:val="auto"/>
                <w:sz w:val="18"/>
                <w:szCs w:val="18"/>
              </w:rPr>
              <w:t>Neer</w:t>
            </w:r>
            <w:proofErr w:type="spellEnd"/>
            <w:r>
              <w:rPr>
                <w:rFonts w:eastAsia="Cambria"/>
                <w:color w:val="auto"/>
                <w:sz w:val="18"/>
                <w:szCs w:val="18"/>
              </w:rPr>
              <w:t>-Hawkins sign; significant weakness in external rotation; X-ray shows osteoarthritis</w:t>
            </w:r>
          </w:p>
        </w:tc>
        <w:tc>
          <w:tcPr>
            <w:tcW w:w="1710" w:type="dxa"/>
            <w:gridSpan w:val="2"/>
            <w:vAlign w:val="center"/>
          </w:tcPr>
          <w:p w:rsidR="0016557F" w:rsidRPr="006773FF" w:rsidRDefault="006773FF" w:rsidP="00ED2263">
            <w:pPr>
              <w:tabs>
                <w:tab w:val="left" w:pos="288"/>
                <w:tab w:val="left" w:pos="4752"/>
              </w:tabs>
              <w:jc w:val="left"/>
              <w:rPr>
                <w:rFonts w:eastAsia="Cambria"/>
                <w:color w:val="auto"/>
                <w:sz w:val="18"/>
                <w:szCs w:val="18"/>
              </w:rPr>
            </w:pPr>
            <w:r>
              <w:rPr>
                <w:rFonts w:eastAsia="Cambria"/>
                <w:color w:val="auto"/>
                <w:sz w:val="18"/>
                <w:szCs w:val="18"/>
              </w:rPr>
              <w:t xml:space="preserve">Positive cross-arm reduction test; positive </w:t>
            </w:r>
            <w:proofErr w:type="spellStart"/>
            <w:r>
              <w:rPr>
                <w:rFonts w:eastAsia="Cambria"/>
                <w:color w:val="auto"/>
                <w:sz w:val="18"/>
                <w:szCs w:val="18"/>
              </w:rPr>
              <w:t>Hawkin’s</w:t>
            </w:r>
            <w:proofErr w:type="spellEnd"/>
            <w:r>
              <w:rPr>
                <w:rFonts w:eastAsia="Cambria"/>
                <w:color w:val="auto"/>
                <w:sz w:val="18"/>
                <w:szCs w:val="18"/>
              </w:rPr>
              <w:t xml:space="preserve"> and </w:t>
            </w:r>
            <w:proofErr w:type="spellStart"/>
            <w:r>
              <w:rPr>
                <w:rFonts w:eastAsia="Cambria"/>
                <w:color w:val="auto"/>
                <w:sz w:val="18"/>
                <w:szCs w:val="18"/>
              </w:rPr>
              <w:t>Neer’s</w:t>
            </w:r>
            <w:proofErr w:type="spellEnd"/>
            <w:r>
              <w:rPr>
                <w:rFonts w:eastAsia="Cambria"/>
                <w:color w:val="auto"/>
                <w:sz w:val="18"/>
                <w:szCs w:val="18"/>
              </w:rPr>
              <w:t xml:space="preserve"> tests; Motor 4+/5 for </w:t>
            </w:r>
            <w:proofErr w:type="spellStart"/>
            <w:r>
              <w:rPr>
                <w:rFonts w:eastAsia="Cambria"/>
                <w:color w:val="auto"/>
                <w:sz w:val="18"/>
                <w:szCs w:val="18"/>
              </w:rPr>
              <w:t>subscapularis</w:t>
            </w:r>
            <w:proofErr w:type="spellEnd"/>
            <w:r>
              <w:rPr>
                <w:rFonts w:eastAsia="Cambria"/>
                <w:color w:val="auto"/>
                <w:sz w:val="18"/>
                <w:szCs w:val="18"/>
              </w:rPr>
              <w:t xml:space="preserve">, others 5/5; </w:t>
            </w:r>
            <w:proofErr w:type="spellStart"/>
            <w:r>
              <w:rPr>
                <w:rFonts w:eastAsia="Cambria"/>
                <w:color w:val="auto"/>
                <w:sz w:val="18"/>
                <w:szCs w:val="18"/>
              </w:rPr>
              <w:t>neurovascularly</w:t>
            </w:r>
            <w:proofErr w:type="spellEnd"/>
            <w:r>
              <w:rPr>
                <w:rFonts w:eastAsia="Cambria"/>
                <w:color w:val="auto"/>
                <w:sz w:val="18"/>
                <w:szCs w:val="18"/>
              </w:rPr>
              <w:t xml:space="preserve"> intact  to light touch; x-rays show large </w:t>
            </w:r>
            <w:proofErr w:type="spellStart"/>
            <w:r>
              <w:rPr>
                <w:rFonts w:eastAsia="Cambria"/>
                <w:color w:val="auto"/>
                <w:sz w:val="18"/>
                <w:szCs w:val="18"/>
              </w:rPr>
              <w:t>osteophyte</w:t>
            </w:r>
            <w:proofErr w:type="spellEnd"/>
            <w:r>
              <w:rPr>
                <w:rFonts w:eastAsia="Cambria"/>
                <w:color w:val="auto"/>
                <w:sz w:val="18"/>
                <w:szCs w:val="18"/>
              </w:rPr>
              <w:t>, no AC elevation change with weight</w:t>
            </w:r>
          </w:p>
        </w:tc>
        <w:tc>
          <w:tcPr>
            <w:tcW w:w="1800" w:type="dxa"/>
            <w:vAlign w:val="center"/>
          </w:tcPr>
          <w:p w:rsidR="0016557F" w:rsidRPr="006773FF" w:rsidRDefault="00722A6C" w:rsidP="00ED2263">
            <w:pPr>
              <w:tabs>
                <w:tab w:val="left" w:pos="288"/>
                <w:tab w:val="left" w:pos="4752"/>
              </w:tabs>
              <w:jc w:val="left"/>
              <w:rPr>
                <w:rFonts w:eastAsia="Cambria"/>
                <w:color w:val="auto"/>
                <w:sz w:val="18"/>
                <w:szCs w:val="18"/>
              </w:rPr>
            </w:pPr>
            <w:proofErr w:type="spellStart"/>
            <w:r>
              <w:rPr>
                <w:rFonts w:eastAsia="Cambria"/>
                <w:color w:val="auto"/>
                <w:sz w:val="18"/>
                <w:szCs w:val="18"/>
              </w:rPr>
              <w:t>Ankylosis</w:t>
            </w:r>
            <w:proofErr w:type="spellEnd"/>
            <w:r>
              <w:rPr>
                <w:rFonts w:eastAsia="Cambria"/>
                <w:color w:val="auto"/>
                <w:sz w:val="18"/>
                <w:szCs w:val="18"/>
              </w:rPr>
              <w:t xml:space="preserve"> at 70° of flexion is unfavorable</w:t>
            </w:r>
            <w:r w:rsidR="00ED2263">
              <w:rPr>
                <w:rFonts w:eastAsia="Cambria"/>
                <w:color w:val="auto"/>
                <w:sz w:val="18"/>
                <w:szCs w:val="18"/>
              </w:rPr>
              <w:t xml:space="preserve">; </w:t>
            </w:r>
            <w:proofErr w:type="spellStart"/>
            <w:r w:rsidR="00ED2263">
              <w:rPr>
                <w:rFonts w:eastAsia="Calibri"/>
                <w:color w:val="auto"/>
                <w:sz w:val="18"/>
                <w:szCs w:val="18"/>
              </w:rPr>
              <w:t>Ankylosis</w:t>
            </w:r>
            <w:proofErr w:type="spellEnd"/>
            <w:r>
              <w:rPr>
                <w:rFonts w:eastAsia="Calibri"/>
                <w:color w:val="auto"/>
                <w:sz w:val="18"/>
                <w:szCs w:val="18"/>
              </w:rPr>
              <w:t xml:space="preserve"> at 60° of abduction is favorable; ROM was not performed because the joint is </w:t>
            </w:r>
            <w:proofErr w:type="spellStart"/>
            <w:r>
              <w:rPr>
                <w:rFonts w:eastAsia="Calibri"/>
                <w:color w:val="auto"/>
                <w:sz w:val="18"/>
                <w:szCs w:val="18"/>
              </w:rPr>
              <w:t>ankylosed</w:t>
            </w:r>
            <w:proofErr w:type="spellEnd"/>
            <w:r>
              <w:rPr>
                <w:rFonts w:eastAsia="Calibri"/>
                <w:color w:val="auto"/>
                <w:sz w:val="18"/>
                <w:szCs w:val="18"/>
              </w:rPr>
              <w:t>. On right, there is weakness, tenderness, and guarding</w:t>
            </w:r>
            <w:r w:rsidR="00ED2263">
              <w:rPr>
                <w:rFonts w:eastAsia="Calibri"/>
                <w:color w:val="auto"/>
                <w:sz w:val="18"/>
                <w:szCs w:val="18"/>
              </w:rPr>
              <w:t xml:space="preserve"> of movement. No edema, effusion, redness, heat, or </w:t>
            </w:r>
            <w:proofErr w:type="spellStart"/>
            <w:r w:rsidR="00ED2263">
              <w:rPr>
                <w:rFonts w:eastAsia="Calibri"/>
                <w:color w:val="auto"/>
                <w:sz w:val="18"/>
                <w:szCs w:val="18"/>
              </w:rPr>
              <w:t>subluxation</w:t>
            </w:r>
            <w:proofErr w:type="spellEnd"/>
          </w:p>
        </w:tc>
      </w:tr>
      <w:tr w:rsidR="00722A6C" w:rsidRPr="00F64312" w:rsidTr="00ED2263">
        <w:trPr>
          <w:trHeight w:val="75"/>
        </w:trPr>
        <w:tc>
          <w:tcPr>
            <w:tcW w:w="1638" w:type="dxa"/>
            <w:vAlign w:val="center"/>
          </w:tcPr>
          <w:p w:rsidR="00722A6C" w:rsidRPr="00F64312" w:rsidRDefault="00722A6C" w:rsidP="00ED2263">
            <w:pPr>
              <w:tabs>
                <w:tab w:val="left" w:pos="288"/>
                <w:tab w:val="left" w:pos="4752"/>
              </w:tabs>
              <w:rPr>
                <w:rFonts w:eastAsia="Cambria"/>
                <w:color w:val="auto"/>
                <w:sz w:val="18"/>
                <w:szCs w:val="18"/>
              </w:rPr>
            </w:pPr>
            <w:r w:rsidRPr="00F64312">
              <w:rPr>
                <w:rFonts w:eastAsia="Cambria"/>
                <w:color w:val="auto"/>
                <w:sz w:val="18"/>
                <w:szCs w:val="18"/>
              </w:rPr>
              <w:t>§4.71a Rating</w:t>
            </w:r>
          </w:p>
        </w:tc>
        <w:tc>
          <w:tcPr>
            <w:tcW w:w="738" w:type="dxa"/>
            <w:tcBorders>
              <w:right w:val="single" w:sz="4" w:space="0" w:color="auto"/>
            </w:tcBorders>
            <w:vAlign w:val="center"/>
          </w:tcPr>
          <w:p w:rsidR="00722A6C" w:rsidRPr="00606238" w:rsidRDefault="00722A6C" w:rsidP="00ED2263">
            <w:pPr>
              <w:tabs>
                <w:tab w:val="left" w:pos="288"/>
                <w:tab w:val="left" w:pos="4752"/>
              </w:tabs>
              <w:rPr>
                <w:rFonts w:eastAsia="Cambria"/>
                <w:color w:val="auto"/>
                <w:sz w:val="18"/>
                <w:szCs w:val="18"/>
              </w:rPr>
            </w:pPr>
          </w:p>
        </w:tc>
        <w:tc>
          <w:tcPr>
            <w:tcW w:w="630" w:type="dxa"/>
            <w:tcBorders>
              <w:left w:val="single" w:sz="4" w:space="0" w:color="auto"/>
            </w:tcBorders>
            <w:vAlign w:val="center"/>
          </w:tcPr>
          <w:p w:rsidR="00722A6C" w:rsidRPr="00606238" w:rsidRDefault="00606238" w:rsidP="00ED2263">
            <w:pPr>
              <w:tabs>
                <w:tab w:val="left" w:pos="288"/>
                <w:tab w:val="left" w:pos="4752"/>
              </w:tabs>
              <w:rPr>
                <w:rFonts w:eastAsia="Cambria"/>
                <w:color w:val="auto"/>
                <w:sz w:val="18"/>
                <w:szCs w:val="18"/>
              </w:rPr>
            </w:pPr>
            <w:r w:rsidRPr="00606238">
              <w:rPr>
                <w:rFonts w:eastAsia="Cambria"/>
                <w:color w:val="auto"/>
                <w:sz w:val="18"/>
                <w:szCs w:val="18"/>
              </w:rPr>
              <w:t>10%</w:t>
            </w:r>
          </w:p>
        </w:tc>
        <w:tc>
          <w:tcPr>
            <w:tcW w:w="720" w:type="dxa"/>
          </w:tcPr>
          <w:p w:rsidR="00722A6C" w:rsidRPr="00606238" w:rsidRDefault="00722A6C" w:rsidP="00ED2263">
            <w:pPr>
              <w:tabs>
                <w:tab w:val="left" w:pos="288"/>
                <w:tab w:val="left" w:pos="4752"/>
              </w:tabs>
              <w:rPr>
                <w:rFonts w:eastAsia="Cambria"/>
                <w:color w:val="auto"/>
                <w:sz w:val="18"/>
                <w:szCs w:val="18"/>
              </w:rPr>
            </w:pPr>
          </w:p>
        </w:tc>
        <w:tc>
          <w:tcPr>
            <w:tcW w:w="720" w:type="dxa"/>
          </w:tcPr>
          <w:p w:rsidR="00722A6C" w:rsidRPr="00606238" w:rsidRDefault="00606238" w:rsidP="00ED2263">
            <w:pPr>
              <w:tabs>
                <w:tab w:val="left" w:pos="288"/>
                <w:tab w:val="left" w:pos="4752"/>
              </w:tabs>
              <w:rPr>
                <w:rFonts w:eastAsia="Cambria"/>
                <w:color w:val="auto"/>
                <w:sz w:val="18"/>
                <w:szCs w:val="18"/>
              </w:rPr>
            </w:pPr>
            <w:r w:rsidRPr="00606238">
              <w:rPr>
                <w:rFonts w:eastAsia="Cambria"/>
                <w:color w:val="auto"/>
                <w:sz w:val="18"/>
                <w:szCs w:val="18"/>
              </w:rPr>
              <w:t>10%</w:t>
            </w:r>
          </w:p>
        </w:tc>
        <w:tc>
          <w:tcPr>
            <w:tcW w:w="1530" w:type="dxa"/>
          </w:tcPr>
          <w:p w:rsidR="00722A6C" w:rsidRPr="00606238" w:rsidRDefault="00606238" w:rsidP="00ED2263">
            <w:pPr>
              <w:tabs>
                <w:tab w:val="left" w:pos="288"/>
                <w:tab w:val="left" w:pos="4752"/>
              </w:tabs>
              <w:rPr>
                <w:rFonts w:eastAsia="Cambria"/>
                <w:color w:val="auto"/>
                <w:sz w:val="18"/>
                <w:szCs w:val="18"/>
              </w:rPr>
            </w:pPr>
            <w:r w:rsidRPr="00606238">
              <w:rPr>
                <w:rFonts w:eastAsia="Cambria"/>
                <w:color w:val="auto"/>
                <w:sz w:val="18"/>
                <w:szCs w:val="18"/>
              </w:rPr>
              <w:t>10%</w:t>
            </w:r>
          </w:p>
        </w:tc>
        <w:tc>
          <w:tcPr>
            <w:tcW w:w="810" w:type="dxa"/>
            <w:vAlign w:val="center"/>
          </w:tcPr>
          <w:p w:rsidR="00722A6C" w:rsidRPr="00606238" w:rsidRDefault="00722A6C" w:rsidP="00ED2263">
            <w:pPr>
              <w:tabs>
                <w:tab w:val="left" w:pos="288"/>
                <w:tab w:val="left" w:pos="4752"/>
              </w:tabs>
              <w:rPr>
                <w:rFonts w:eastAsia="Cambria"/>
                <w:color w:val="auto"/>
                <w:sz w:val="18"/>
                <w:szCs w:val="18"/>
              </w:rPr>
            </w:pPr>
          </w:p>
        </w:tc>
        <w:tc>
          <w:tcPr>
            <w:tcW w:w="900" w:type="dxa"/>
            <w:vAlign w:val="center"/>
          </w:tcPr>
          <w:p w:rsidR="00722A6C" w:rsidRPr="00606238" w:rsidRDefault="00606238" w:rsidP="00ED2263">
            <w:pPr>
              <w:tabs>
                <w:tab w:val="left" w:pos="288"/>
                <w:tab w:val="left" w:pos="4752"/>
              </w:tabs>
              <w:rPr>
                <w:rFonts w:eastAsia="Cambria"/>
                <w:color w:val="auto"/>
                <w:sz w:val="18"/>
                <w:szCs w:val="18"/>
              </w:rPr>
            </w:pPr>
            <w:r w:rsidRPr="00606238">
              <w:rPr>
                <w:rFonts w:eastAsia="Cambria"/>
                <w:color w:val="auto"/>
                <w:sz w:val="18"/>
                <w:szCs w:val="18"/>
              </w:rPr>
              <w:t>10%</w:t>
            </w:r>
          </w:p>
        </w:tc>
        <w:tc>
          <w:tcPr>
            <w:tcW w:w="1800" w:type="dxa"/>
            <w:tcBorders>
              <w:right w:val="single" w:sz="4" w:space="0" w:color="auto"/>
            </w:tcBorders>
            <w:vAlign w:val="center"/>
          </w:tcPr>
          <w:p w:rsidR="00722A6C" w:rsidRPr="00606238" w:rsidRDefault="00606238" w:rsidP="00ED2263">
            <w:pPr>
              <w:tabs>
                <w:tab w:val="left" w:pos="288"/>
                <w:tab w:val="left" w:pos="4752"/>
              </w:tabs>
              <w:rPr>
                <w:rFonts w:eastAsia="Cambria"/>
                <w:color w:val="auto"/>
                <w:sz w:val="18"/>
                <w:szCs w:val="18"/>
              </w:rPr>
            </w:pPr>
            <w:r>
              <w:rPr>
                <w:rFonts w:eastAsia="Cambria"/>
                <w:color w:val="auto"/>
                <w:sz w:val="18"/>
                <w:szCs w:val="18"/>
              </w:rPr>
              <w:t>30%</w:t>
            </w:r>
          </w:p>
        </w:tc>
      </w:tr>
    </w:tbl>
    <w:p w:rsidR="00061756" w:rsidRDefault="00061756" w:rsidP="0069687C">
      <w:pPr>
        <w:jc w:val="both"/>
        <w:rPr>
          <w:color w:val="auto"/>
          <w:szCs w:val="24"/>
          <w:highlight w:val="yellow"/>
        </w:rPr>
      </w:pPr>
    </w:p>
    <w:p w:rsidR="00F87DFB" w:rsidRDefault="00F87DFB" w:rsidP="003701A0">
      <w:pPr>
        <w:jc w:val="both"/>
        <w:rPr>
          <w:color w:val="000000"/>
          <w:szCs w:val="24"/>
          <w:u w:val="single"/>
        </w:rPr>
      </w:pPr>
    </w:p>
    <w:p w:rsidR="00ED2263" w:rsidRDefault="00ED2263" w:rsidP="003701A0">
      <w:pPr>
        <w:jc w:val="both"/>
        <w:rPr>
          <w:color w:val="000000"/>
          <w:szCs w:val="24"/>
          <w:u w:val="single"/>
        </w:rPr>
      </w:pPr>
      <w:r w:rsidRPr="007C0FBF">
        <w:rPr>
          <w:color w:val="000000"/>
          <w:szCs w:val="24"/>
          <w:u w:val="single"/>
        </w:rPr>
        <w:t xml:space="preserve">TDRL entry </w:t>
      </w:r>
      <w:r w:rsidRPr="007C0FBF">
        <w:rPr>
          <w:color w:val="000000"/>
          <w:u w:val="single"/>
        </w:rPr>
        <w:t>200209</w:t>
      </w:r>
      <w:r>
        <w:rPr>
          <w:color w:val="000000"/>
          <w:u w:val="single"/>
        </w:rPr>
        <w:t>20</w:t>
      </w:r>
      <w:r>
        <w:rPr>
          <w:color w:val="000000"/>
          <w:szCs w:val="24"/>
          <w:u w:val="single"/>
        </w:rPr>
        <w:t>:</w:t>
      </w:r>
    </w:p>
    <w:p w:rsidR="00E1733B" w:rsidRDefault="0084560B" w:rsidP="003701A0">
      <w:pPr>
        <w:jc w:val="both"/>
        <w:rPr>
          <w:color w:val="000000"/>
          <w:szCs w:val="24"/>
        </w:rPr>
      </w:pPr>
      <w:r w:rsidRPr="0084560B">
        <w:rPr>
          <w:color w:val="000000"/>
          <w:szCs w:val="24"/>
        </w:rPr>
        <w:t>The CI first noted right shoulder pain in March 2000</w:t>
      </w:r>
      <w:r>
        <w:rPr>
          <w:color w:val="000000"/>
          <w:szCs w:val="24"/>
        </w:rPr>
        <w:t xml:space="preserve">. </w:t>
      </w:r>
      <w:r w:rsidR="006E42E8">
        <w:rPr>
          <w:color w:val="000000"/>
          <w:szCs w:val="24"/>
        </w:rPr>
        <w:t xml:space="preserve"> </w:t>
      </w:r>
      <w:r w:rsidR="005012AD">
        <w:rPr>
          <w:color w:val="000000"/>
          <w:szCs w:val="24"/>
        </w:rPr>
        <w:t xml:space="preserve">Plain </w:t>
      </w:r>
      <w:r w:rsidR="00DC3AFC">
        <w:rPr>
          <w:color w:val="000000"/>
          <w:szCs w:val="24"/>
        </w:rPr>
        <w:t>X</w:t>
      </w:r>
      <w:r w:rsidR="005012AD">
        <w:rPr>
          <w:color w:val="000000"/>
          <w:szCs w:val="24"/>
        </w:rPr>
        <w:t xml:space="preserve">-rays </w:t>
      </w:r>
      <w:r w:rsidR="00645DBF">
        <w:rPr>
          <w:color w:val="000000"/>
          <w:szCs w:val="24"/>
        </w:rPr>
        <w:t xml:space="preserve">in </w:t>
      </w:r>
      <w:r w:rsidR="005012AD">
        <w:rPr>
          <w:color w:val="000000"/>
          <w:szCs w:val="24"/>
        </w:rPr>
        <w:t xml:space="preserve">May 2000 documented degenerative changes of the right </w:t>
      </w:r>
      <w:proofErr w:type="spellStart"/>
      <w:r w:rsidR="00C0602A">
        <w:rPr>
          <w:color w:val="000000"/>
          <w:szCs w:val="24"/>
        </w:rPr>
        <w:t>acromioclavicular</w:t>
      </w:r>
      <w:proofErr w:type="spellEnd"/>
      <w:r w:rsidR="00C0602A">
        <w:rPr>
          <w:color w:val="000000"/>
          <w:szCs w:val="24"/>
        </w:rPr>
        <w:t xml:space="preserve"> (</w:t>
      </w:r>
      <w:r w:rsidR="005012AD">
        <w:rPr>
          <w:color w:val="000000"/>
          <w:szCs w:val="24"/>
        </w:rPr>
        <w:t>AC</w:t>
      </w:r>
      <w:r w:rsidR="00C0602A">
        <w:rPr>
          <w:color w:val="000000"/>
          <w:szCs w:val="24"/>
        </w:rPr>
        <w:t>)</w:t>
      </w:r>
      <w:r w:rsidR="005012AD">
        <w:rPr>
          <w:color w:val="000000"/>
          <w:szCs w:val="24"/>
        </w:rPr>
        <w:t xml:space="preserve"> joint. </w:t>
      </w:r>
      <w:r w:rsidR="00645DBF">
        <w:rPr>
          <w:color w:val="000000"/>
          <w:szCs w:val="24"/>
        </w:rPr>
        <w:t xml:space="preserve"> </w:t>
      </w:r>
      <w:r w:rsidR="00DC3AFC">
        <w:rPr>
          <w:color w:val="000000"/>
          <w:szCs w:val="24"/>
        </w:rPr>
        <w:t xml:space="preserve">An MRI from </w:t>
      </w:r>
      <w:r w:rsidR="00645DBF">
        <w:rPr>
          <w:color w:val="000000"/>
          <w:szCs w:val="24"/>
        </w:rPr>
        <w:t xml:space="preserve">26 June </w:t>
      </w:r>
      <w:r w:rsidR="005012AD">
        <w:rPr>
          <w:color w:val="000000"/>
          <w:szCs w:val="24"/>
        </w:rPr>
        <w:t xml:space="preserve">2000 showed chronic degenerative changes </w:t>
      </w:r>
      <w:r w:rsidR="005012AD" w:rsidRPr="00F87DFB">
        <w:rPr>
          <w:color w:val="000000"/>
          <w:szCs w:val="24"/>
        </w:rPr>
        <w:t xml:space="preserve">of the right AC joint with an inferior </w:t>
      </w:r>
      <w:proofErr w:type="spellStart"/>
      <w:r w:rsidR="005012AD" w:rsidRPr="00F87DFB">
        <w:rPr>
          <w:color w:val="000000"/>
          <w:szCs w:val="24"/>
        </w:rPr>
        <w:t>osteophyte</w:t>
      </w:r>
      <w:proofErr w:type="spellEnd"/>
      <w:r w:rsidR="005012AD" w:rsidRPr="00F87DFB">
        <w:rPr>
          <w:color w:val="000000"/>
          <w:szCs w:val="24"/>
        </w:rPr>
        <w:t xml:space="preserve"> causing impingement on, but no tear of, the </w:t>
      </w:r>
      <w:proofErr w:type="spellStart"/>
      <w:r w:rsidR="005012AD" w:rsidRPr="00F87DFB">
        <w:rPr>
          <w:color w:val="000000"/>
          <w:szCs w:val="24"/>
        </w:rPr>
        <w:t>supraspinatus</w:t>
      </w:r>
      <w:proofErr w:type="spellEnd"/>
      <w:r w:rsidR="005012AD" w:rsidRPr="00F87DFB">
        <w:rPr>
          <w:color w:val="000000"/>
          <w:szCs w:val="24"/>
        </w:rPr>
        <w:t xml:space="preserve"> tendon. </w:t>
      </w:r>
      <w:r w:rsidR="00645DBF">
        <w:rPr>
          <w:color w:val="000000"/>
          <w:szCs w:val="24"/>
        </w:rPr>
        <w:t xml:space="preserve"> </w:t>
      </w:r>
      <w:r w:rsidRPr="00F87DFB">
        <w:rPr>
          <w:color w:val="000000"/>
          <w:szCs w:val="24"/>
        </w:rPr>
        <w:t xml:space="preserve">His symptoms did not resolve with physical therapy and he underwent arthroscopic surgery in December 2000 for right shoulder </w:t>
      </w:r>
      <w:proofErr w:type="spellStart"/>
      <w:r w:rsidRPr="00F87DFB">
        <w:rPr>
          <w:color w:val="000000"/>
          <w:szCs w:val="24"/>
        </w:rPr>
        <w:t>acromioclavicular</w:t>
      </w:r>
      <w:proofErr w:type="spellEnd"/>
      <w:r w:rsidRPr="00F87DFB">
        <w:rPr>
          <w:color w:val="000000"/>
          <w:szCs w:val="24"/>
        </w:rPr>
        <w:t xml:space="preserve"> </w:t>
      </w:r>
      <w:proofErr w:type="spellStart"/>
      <w:r w:rsidRPr="00F87DFB">
        <w:rPr>
          <w:color w:val="000000"/>
          <w:szCs w:val="24"/>
        </w:rPr>
        <w:t>osteoarthrosis</w:t>
      </w:r>
      <w:proofErr w:type="spellEnd"/>
      <w:r w:rsidRPr="00F87DFB">
        <w:rPr>
          <w:color w:val="000000"/>
          <w:szCs w:val="24"/>
        </w:rPr>
        <w:t xml:space="preserve"> with impingement syndrome and partial thickness rotator cuff tear. </w:t>
      </w:r>
      <w:r w:rsidR="00645DBF">
        <w:rPr>
          <w:color w:val="000000"/>
          <w:szCs w:val="24"/>
        </w:rPr>
        <w:t xml:space="preserve"> </w:t>
      </w:r>
      <w:r w:rsidRPr="00F87DFB">
        <w:rPr>
          <w:color w:val="000000"/>
          <w:szCs w:val="24"/>
        </w:rPr>
        <w:t>However, he continued to have symptoms and had a second surgery of a mini open rotator repair in June 2001.</w:t>
      </w:r>
      <w:r w:rsidR="00645DBF">
        <w:rPr>
          <w:color w:val="000000"/>
          <w:szCs w:val="24"/>
        </w:rPr>
        <w:t xml:space="preserve"> </w:t>
      </w:r>
      <w:r w:rsidRPr="00F87DFB">
        <w:rPr>
          <w:color w:val="000000"/>
          <w:szCs w:val="24"/>
        </w:rPr>
        <w:t xml:space="preserve"> He continued to have pain with impingement signs and was given a permanent profile for this failed rotator cuff repair condition in September 2001. </w:t>
      </w:r>
      <w:r w:rsidR="00645DBF">
        <w:rPr>
          <w:color w:val="000000"/>
          <w:szCs w:val="24"/>
        </w:rPr>
        <w:t xml:space="preserve"> </w:t>
      </w:r>
      <w:r w:rsidRPr="00F87DFB">
        <w:rPr>
          <w:color w:val="000000"/>
          <w:szCs w:val="24"/>
        </w:rPr>
        <w:t xml:space="preserve">The MEB NARSUM completed </w:t>
      </w:r>
      <w:r w:rsidR="00645DBF">
        <w:rPr>
          <w:color w:val="000000"/>
          <w:szCs w:val="24"/>
        </w:rPr>
        <w:t xml:space="preserve">on 19 December </w:t>
      </w:r>
      <w:r w:rsidRPr="00F87DFB">
        <w:rPr>
          <w:color w:val="000000"/>
          <w:szCs w:val="24"/>
        </w:rPr>
        <w:t xml:space="preserve">2001 noted his pain was constant and moderate and was exacerbated by strenuous physical activity. However, as discussed above, the NARSUM did not specify whether this description applied to his right shoulder pain or his fibromyalgia pain. </w:t>
      </w:r>
      <w:r w:rsidR="00645DBF">
        <w:rPr>
          <w:color w:val="000000"/>
          <w:szCs w:val="24"/>
        </w:rPr>
        <w:t xml:space="preserve"> </w:t>
      </w:r>
      <w:r w:rsidR="005012AD" w:rsidRPr="00F87DFB">
        <w:rPr>
          <w:color w:val="000000"/>
          <w:szCs w:val="24"/>
        </w:rPr>
        <w:t xml:space="preserve">The physical examination for this NARSM was completed on </w:t>
      </w:r>
      <w:r w:rsidR="00645DBF">
        <w:rPr>
          <w:color w:val="000000"/>
          <w:szCs w:val="24"/>
        </w:rPr>
        <w:t xml:space="preserve">1 November </w:t>
      </w:r>
      <w:r w:rsidR="005012AD" w:rsidRPr="00F87DFB">
        <w:rPr>
          <w:color w:val="000000"/>
          <w:szCs w:val="24"/>
        </w:rPr>
        <w:t>2001</w:t>
      </w:r>
      <w:r w:rsidR="005012AD">
        <w:rPr>
          <w:color w:val="000000"/>
          <w:szCs w:val="24"/>
        </w:rPr>
        <w:t xml:space="preserve"> and is reported in the chart above. </w:t>
      </w:r>
      <w:r w:rsidR="00645DBF">
        <w:rPr>
          <w:color w:val="000000"/>
          <w:szCs w:val="24"/>
        </w:rPr>
        <w:t xml:space="preserve"> </w:t>
      </w:r>
      <w:r w:rsidR="005012AD">
        <w:rPr>
          <w:color w:val="000000"/>
          <w:szCs w:val="24"/>
        </w:rPr>
        <w:t xml:space="preserve">The diagnosis was degenerative joint disease, right shoulder, status post rotator cuff repair. </w:t>
      </w:r>
      <w:r w:rsidR="00645DBF">
        <w:rPr>
          <w:color w:val="000000"/>
          <w:szCs w:val="24"/>
        </w:rPr>
        <w:t xml:space="preserve"> </w:t>
      </w:r>
      <w:r w:rsidR="005012AD">
        <w:rPr>
          <w:color w:val="000000"/>
          <w:szCs w:val="24"/>
        </w:rPr>
        <w:t xml:space="preserve">The VA C&amp;P examination of the right shoulder in December 2002, </w:t>
      </w:r>
      <w:r w:rsidR="00645DBF">
        <w:rPr>
          <w:color w:val="000000"/>
          <w:szCs w:val="24"/>
        </w:rPr>
        <w:t>3</w:t>
      </w:r>
      <w:r w:rsidR="005012AD">
        <w:rPr>
          <w:color w:val="000000"/>
          <w:szCs w:val="24"/>
        </w:rPr>
        <w:t xml:space="preserve"> months after TDRL entry, noted osteoarthritis of the right shoulder AC joint with impingement and a history of rotator cuff repair. </w:t>
      </w:r>
      <w:r w:rsidR="00645DBF">
        <w:rPr>
          <w:color w:val="000000"/>
          <w:szCs w:val="24"/>
        </w:rPr>
        <w:t xml:space="preserve"> </w:t>
      </w:r>
      <w:r w:rsidR="005012AD">
        <w:rPr>
          <w:color w:val="000000"/>
          <w:szCs w:val="24"/>
        </w:rPr>
        <w:t>The examination is also reported in the chart above.</w:t>
      </w:r>
      <w:r w:rsidR="00BF6EBE">
        <w:rPr>
          <w:color w:val="000000"/>
          <w:szCs w:val="24"/>
        </w:rPr>
        <w:t xml:space="preserve"> </w:t>
      </w:r>
      <w:r w:rsidR="00645DBF">
        <w:rPr>
          <w:color w:val="000000"/>
          <w:szCs w:val="24"/>
        </w:rPr>
        <w:t xml:space="preserve"> </w:t>
      </w:r>
      <w:r w:rsidR="00BF6EBE">
        <w:rPr>
          <w:color w:val="000000"/>
          <w:szCs w:val="24"/>
        </w:rPr>
        <w:t>While the VA exam documents a greater ROM, neither examination includes a compensable limitation of motion.</w:t>
      </w:r>
      <w:r w:rsidR="00645DBF">
        <w:rPr>
          <w:color w:val="000000"/>
          <w:szCs w:val="24"/>
        </w:rPr>
        <w:t xml:space="preserve"> </w:t>
      </w:r>
      <w:r w:rsidR="00BF6EBE">
        <w:rPr>
          <w:color w:val="000000"/>
          <w:szCs w:val="24"/>
        </w:rPr>
        <w:t xml:space="preserve"> </w:t>
      </w:r>
      <w:r w:rsidR="00C55C55">
        <w:rPr>
          <w:color w:val="000000"/>
          <w:szCs w:val="24"/>
        </w:rPr>
        <w:t xml:space="preserve">The MEB NARSUM examination was completed only </w:t>
      </w:r>
      <w:r w:rsidR="00645DBF">
        <w:rPr>
          <w:color w:val="000000"/>
          <w:szCs w:val="24"/>
        </w:rPr>
        <w:t>5</w:t>
      </w:r>
      <w:r w:rsidR="00C55C55">
        <w:rPr>
          <w:color w:val="000000"/>
          <w:szCs w:val="24"/>
        </w:rPr>
        <w:t xml:space="preserve"> months after the CI’s second shoulder surgery and this might explain the more limited ROM. </w:t>
      </w:r>
      <w:r w:rsidR="00645DBF">
        <w:rPr>
          <w:color w:val="000000"/>
          <w:szCs w:val="24"/>
        </w:rPr>
        <w:t xml:space="preserve"> </w:t>
      </w:r>
      <w:r w:rsidR="00BF6EBE">
        <w:rPr>
          <w:color w:val="000000"/>
          <w:szCs w:val="24"/>
        </w:rPr>
        <w:t>Both examinations document pain limited motion.</w:t>
      </w:r>
    </w:p>
    <w:p w:rsidR="00BF6EBE" w:rsidRDefault="00BF6EBE" w:rsidP="003701A0">
      <w:pPr>
        <w:jc w:val="both"/>
        <w:rPr>
          <w:color w:val="000000"/>
          <w:szCs w:val="24"/>
        </w:rPr>
      </w:pPr>
    </w:p>
    <w:p w:rsidR="00BF6EBE" w:rsidRPr="00F87DFB" w:rsidRDefault="00DC3AFC" w:rsidP="003701A0">
      <w:pPr>
        <w:jc w:val="both"/>
        <w:rPr>
          <w:rFonts w:eastAsia="Calibri" w:cs="Times New Roman"/>
          <w:color w:val="auto"/>
          <w:szCs w:val="24"/>
        </w:rPr>
      </w:pPr>
      <w:r>
        <w:rPr>
          <w:color w:val="000000"/>
          <w:szCs w:val="24"/>
        </w:rPr>
        <w:t xml:space="preserve">The PEB </w:t>
      </w:r>
      <w:r w:rsidR="00BF6EBE" w:rsidRPr="00F87DFB">
        <w:rPr>
          <w:color w:val="000000"/>
          <w:szCs w:val="24"/>
        </w:rPr>
        <w:t xml:space="preserve">determined this condition was unfitting </w:t>
      </w:r>
      <w:r w:rsidR="005455F8" w:rsidRPr="00F87DFB">
        <w:rPr>
          <w:color w:val="000000"/>
          <w:szCs w:val="24"/>
        </w:rPr>
        <w:t>but that the condition was not sufficiently stable for final adjudication. The CI was placed on the TDRL with a rating of</w:t>
      </w:r>
      <w:r w:rsidR="00BF6EBE" w:rsidRPr="00F87DFB">
        <w:rPr>
          <w:color w:val="000000"/>
          <w:szCs w:val="24"/>
        </w:rPr>
        <w:t xml:space="preserve"> 10%.</w:t>
      </w:r>
      <w:r>
        <w:rPr>
          <w:color w:val="000000"/>
          <w:szCs w:val="24"/>
        </w:rPr>
        <w:t xml:space="preserve"> </w:t>
      </w:r>
      <w:r w:rsidR="00BF6EBE" w:rsidRPr="00F87DFB">
        <w:rPr>
          <w:color w:val="000000"/>
          <w:szCs w:val="24"/>
        </w:rPr>
        <w:t xml:space="preserve"> The VA also applied a 10%</w:t>
      </w:r>
      <w:r w:rsidR="005455F8" w:rsidRPr="00F87DFB">
        <w:rPr>
          <w:color w:val="000000"/>
          <w:szCs w:val="24"/>
        </w:rPr>
        <w:t xml:space="preserve"> rating</w:t>
      </w:r>
      <w:r w:rsidR="00BF6EBE" w:rsidRPr="00F87DFB">
        <w:rPr>
          <w:color w:val="000000"/>
          <w:szCs w:val="24"/>
        </w:rPr>
        <w:t xml:space="preserve">. There is no evidence in the available record to support a higher rating. </w:t>
      </w:r>
      <w:r w:rsidR="00645DBF">
        <w:rPr>
          <w:color w:val="000000"/>
          <w:szCs w:val="24"/>
        </w:rPr>
        <w:t xml:space="preserve"> </w:t>
      </w:r>
      <w:r w:rsidR="00BF6EBE" w:rsidRPr="00F87DFB">
        <w:rPr>
          <w:rFonts w:eastAsia="Calibri" w:cs="Times New Roman"/>
          <w:color w:val="auto"/>
          <w:szCs w:val="24"/>
        </w:rPr>
        <w:t xml:space="preserve">After due deliberation, considering all of the evidence and mindful of VASRD §4.3 (reasonable </w:t>
      </w:r>
      <w:r w:rsidR="00BF6EBE" w:rsidRPr="00F87DFB">
        <w:rPr>
          <w:rFonts w:eastAsia="Calibri" w:cs="Times New Roman"/>
          <w:color w:val="auto"/>
          <w:szCs w:val="24"/>
        </w:rPr>
        <w:lastRenderedPageBreak/>
        <w:t xml:space="preserve">doubt), the Board concluded that there was insufficient cause to recommend a change in the PEB adjudication for the </w:t>
      </w:r>
      <w:r w:rsidR="00645DBF">
        <w:rPr>
          <w:color w:val="auto"/>
        </w:rPr>
        <w:t>DJD</w:t>
      </w:r>
      <w:r w:rsidR="00BF6EBE" w:rsidRPr="00F87DFB">
        <w:rPr>
          <w:color w:val="auto"/>
        </w:rPr>
        <w:t xml:space="preserve"> status post rotator cuff repair</w:t>
      </w:r>
      <w:r w:rsidR="00BF6EBE" w:rsidRPr="00F87DFB">
        <w:rPr>
          <w:rFonts w:eastAsia="Calibri" w:cs="Times New Roman"/>
          <w:color w:val="auto"/>
          <w:szCs w:val="24"/>
        </w:rPr>
        <w:t xml:space="preserve"> condition at the time of TDRL entry.  </w:t>
      </w:r>
    </w:p>
    <w:p w:rsidR="00BF6EBE" w:rsidRPr="00F87DFB" w:rsidRDefault="00BF6EBE" w:rsidP="003701A0">
      <w:pPr>
        <w:jc w:val="both"/>
        <w:rPr>
          <w:rFonts w:eastAsia="Calibri" w:cs="Times New Roman"/>
          <w:color w:val="auto"/>
          <w:szCs w:val="24"/>
        </w:rPr>
      </w:pPr>
    </w:p>
    <w:p w:rsidR="00BF6EBE" w:rsidRPr="00F64312" w:rsidRDefault="00C55C55" w:rsidP="003701A0">
      <w:pPr>
        <w:jc w:val="both"/>
        <w:rPr>
          <w:rFonts w:eastAsia="Calibri" w:cs="Times New Roman"/>
          <w:color w:val="auto"/>
          <w:szCs w:val="24"/>
        </w:rPr>
      </w:pPr>
      <w:r w:rsidRPr="00F87DFB">
        <w:rPr>
          <w:rFonts w:eastAsia="Calibri" w:cs="Times New Roman"/>
          <w:color w:val="auto"/>
          <w:szCs w:val="24"/>
        </w:rPr>
        <w:t xml:space="preserve">A </w:t>
      </w:r>
      <w:r w:rsidR="00645DBF">
        <w:rPr>
          <w:rFonts w:eastAsia="Calibri" w:cs="Times New Roman"/>
          <w:color w:val="auto"/>
          <w:szCs w:val="24"/>
        </w:rPr>
        <w:t>p</w:t>
      </w:r>
      <w:r w:rsidRPr="00F87DFB">
        <w:rPr>
          <w:rFonts w:eastAsia="Calibri" w:cs="Times New Roman"/>
          <w:color w:val="auto"/>
          <w:szCs w:val="24"/>
        </w:rPr>
        <w:t xml:space="preserve">eriodic TDRL </w:t>
      </w:r>
      <w:r w:rsidR="00645DBF">
        <w:rPr>
          <w:rFonts w:eastAsia="Calibri" w:cs="Times New Roman"/>
          <w:color w:val="auto"/>
          <w:szCs w:val="24"/>
        </w:rPr>
        <w:t>e</w:t>
      </w:r>
      <w:r w:rsidRPr="00F87DFB">
        <w:rPr>
          <w:rFonts w:eastAsia="Calibri" w:cs="Times New Roman"/>
          <w:color w:val="auto"/>
          <w:szCs w:val="24"/>
        </w:rPr>
        <w:t xml:space="preserve">valuation was completed </w:t>
      </w:r>
      <w:r w:rsidR="00645DBF">
        <w:rPr>
          <w:rFonts w:eastAsia="Calibri" w:cs="Times New Roman"/>
          <w:color w:val="auto"/>
          <w:szCs w:val="24"/>
        </w:rPr>
        <w:t xml:space="preserve">on 23 October </w:t>
      </w:r>
      <w:r w:rsidRPr="00F87DFB">
        <w:rPr>
          <w:rFonts w:eastAsia="Calibri" w:cs="Times New Roman"/>
          <w:color w:val="auto"/>
          <w:szCs w:val="24"/>
        </w:rPr>
        <w:t xml:space="preserve">2003, </w:t>
      </w:r>
      <w:r w:rsidR="00645DBF">
        <w:rPr>
          <w:rFonts w:eastAsia="Calibri" w:cs="Times New Roman"/>
          <w:color w:val="auto"/>
          <w:szCs w:val="24"/>
        </w:rPr>
        <w:t>13</w:t>
      </w:r>
      <w:r w:rsidRPr="00F87DFB">
        <w:rPr>
          <w:rFonts w:eastAsia="Calibri" w:cs="Times New Roman"/>
          <w:color w:val="auto"/>
          <w:szCs w:val="24"/>
        </w:rPr>
        <w:t xml:space="preserve"> months after TDRL entry and the physical examination is reported in the chart above. </w:t>
      </w:r>
      <w:r w:rsidR="00645DBF">
        <w:rPr>
          <w:rFonts w:eastAsia="Calibri" w:cs="Times New Roman"/>
          <w:color w:val="auto"/>
          <w:szCs w:val="24"/>
        </w:rPr>
        <w:t xml:space="preserve"> </w:t>
      </w:r>
      <w:r w:rsidRPr="00F87DFB">
        <w:rPr>
          <w:rFonts w:eastAsia="Calibri" w:cs="Times New Roman"/>
          <w:color w:val="auto"/>
          <w:szCs w:val="24"/>
        </w:rPr>
        <w:t xml:space="preserve">The examiner noted a poor </w:t>
      </w:r>
      <w:r w:rsidR="00290E26">
        <w:rPr>
          <w:rFonts w:eastAsia="Calibri" w:cs="Times New Roman"/>
          <w:color w:val="auto"/>
          <w:szCs w:val="24"/>
        </w:rPr>
        <w:t xml:space="preserve">functional </w:t>
      </w:r>
      <w:r w:rsidR="00DC3AFC">
        <w:rPr>
          <w:rFonts w:eastAsia="Calibri" w:cs="Times New Roman"/>
          <w:color w:val="auto"/>
          <w:szCs w:val="24"/>
        </w:rPr>
        <w:t>outcome fro</w:t>
      </w:r>
      <w:r w:rsidRPr="00F87DFB">
        <w:rPr>
          <w:rFonts w:eastAsia="Calibri" w:cs="Times New Roman"/>
          <w:color w:val="auto"/>
          <w:szCs w:val="24"/>
        </w:rPr>
        <w:t>m the surgery and recommended another right shoulder arthroscopy with a Mumford procedure to potentially alleviate the CI’s symptoms</w:t>
      </w:r>
      <w:r>
        <w:rPr>
          <w:rFonts w:eastAsia="Calibri" w:cs="Times New Roman"/>
          <w:color w:val="auto"/>
          <w:szCs w:val="24"/>
        </w:rPr>
        <w:t xml:space="preserve">. </w:t>
      </w:r>
      <w:r w:rsidR="00645DBF">
        <w:rPr>
          <w:rFonts w:eastAsia="Calibri" w:cs="Times New Roman"/>
          <w:color w:val="auto"/>
          <w:szCs w:val="24"/>
        </w:rPr>
        <w:t xml:space="preserve"> </w:t>
      </w:r>
      <w:r>
        <w:rPr>
          <w:rFonts w:eastAsia="Calibri" w:cs="Times New Roman"/>
          <w:color w:val="auto"/>
          <w:szCs w:val="24"/>
        </w:rPr>
        <w:t xml:space="preserve">The examiner also recommended the CI remain on the TDRL for another year. </w:t>
      </w:r>
      <w:r w:rsidR="00645DBF">
        <w:rPr>
          <w:rFonts w:eastAsia="Calibri" w:cs="Times New Roman"/>
          <w:color w:val="auto"/>
          <w:szCs w:val="24"/>
        </w:rPr>
        <w:t xml:space="preserve"> </w:t>
      </w:r>
      <w:r w:rsidR="007638D0">
        <w:rPr>
          <w:rFonts w:eastAsia="Calibri" w:cs="Times New Roman"/>
          <w:color w:val="auto"/>
          <w:szCs w:val="24"/>
        </w:rPr>
        <w:t xml:space="preserve">On </w:t>
      </w:r>
      <w:r w:rsidR="00645DBF">
        <w:rPr>
          <w:rFonts w:eastAsia="Calibri" w:cs="Times New Roman"/>
          <w:color w:val="auto"/>
          <w:szCs w:val="24"/>
        </w:rPr>
        <w:t xml:space="preserve">5 December </w:t>
      </w:r>
      <w:r w:rsidR="007638D0">
        <w:rPr>
          <w:rFonts w:eastAsia="Calibri" w:cs="Times New Roman"/>
          <w:color w:val="auto"/>
          <w:szCs w:val="24"/>
        </w:rPr>
        <w:t>2003 t</w:t>
      </w:r>
      <w:r>
        <w:rPr>
          <w:rFonts w:eastAsia="Calibri" w:cs="Times New Roman"/>
          <w:color w:val="auto"/>
          <w:szCs w:val="24"/>
        </w:rPr>
        <w:t>he PEB determined the CI’s impairment had not yet sufficiently stabilized for final adjudication and he remained on the TDRL.</w:t>
      </w:r>
      <w:r w:rsidR="00C0602A">
        <w:rPr>
          <w:rFonts w:eastAsia="Calibri" w:cs="Times New Roman"/>
          <w:color w:val="auto"/>
          <w:szCs w:val="24"/>
        </w:rPr>
        <w:t xml:space="preserve"> </w:t>
      </w:r>
      <w:r w:rsidR="00645DBF">
        <w:rPr>
          <w:rFonts w:eastAsia="Calibri" w:cs="Times New Roman"/>
          <w:color w:val="auto"/>
          <w:szCs w:val="24"/>
        </w:rPr>
        <w:t xml:space="preserve"> </w:t>
      </w:r>
      <w:r w:rsidR="00C0602A">
        <w:rPr>
          <w:rFonts w:eastAsia="Calibri" w:cs="Times New Roman"/>
          <w:color w:val="auto"/>
          <w:szCs w:val="24"/>
        </w:rPr>
        <w:t xml:space="preserve">A third surgery was completed in March 2004 with debridement and repair of the rotator cuff; however no operative report was available for review. </w:t>
      </w:r>
      <w:r w:rsidR="00645DBF">
        <w:rPr>
          <w:rFonts w:eastAsia="Calibri" w:cs="Times New Roman"/>
          <w:color w:val="auto"/>
          <w:szCs w:val="24"/>
        </w:rPr>
        <w:t xml:space="preserve"> </w:t>
      </w:r>
      <w:r w:rsidR="00C0602A">
        <w:rPr>
          <w:rFonts w:eastAsia="Calibri" w:cs="Times New Roman"/>
          <w:color w:val="auto"/>
          <w:szCs w:val="24"/>
        </w:rPr>
        <w:t>This surgery was arthroscopic, like the first surgery.</w:t>
      </w:r>
    </w:p>
    <w:p w:rsidR="00ED2263" w:rsidRPr="00ED2263" w:rsidRDefault="00ED2263" w:rsidP="003701A0">
      <w:pPr>
        <w:jc w:val="both"/>
        <w:rPr>
          <w:color w:val="auto"/>
          <w:szCs w:val="24"/>
          <w:highlight w:val="yellow"/>
          <w:u w:val="single"/>
        </w:rPr>
      </w:pPr>
    </w:p>
    <w:p w:rsidR="00ED2263" w:rsidRPr="00F87DFB" w:rsidRDefault="00290E26" w:rsidP="003701A0">
      <w:pPr>
        <w:jc w:val="both"/>
        <w:rPr>
          <w:color w:val="000000"/>
          <w:szCs w:val="24"/>
          <w:u w:val="single"/>
        </w:rPr>
      </w:pPr>
      <w:r>
        <w:rPr>
          <w:color w:val="000000"/>
          <w:szCs w:val="24"/>
          <w:u w:val="single"/>
        </w:rPr>
        <w:t>Separation from TDRL</w:t>
      </w:r>
      <w:r w:rsidR="00ED2263" w:rsidRPr="00F87DFB">
        <w:rPr>
          <w:color w:val="000000"/>
          <w:szCs w:val="24"/>
          <w:u w:val="single"/>
        </w:rPr>
        <w:t xml:space="preserve">: </w:t>
      </w:r>
    </w:p>
    <w:p w:rsidR="004C18D5" w:rsidRPr="00F87DFB" w:rsidRDefault="004C18D5" w:rsidP="003701A0">
      <w:pPr>
        <w:jc w:val="both"/>
        <w:rPr>
          <w:color w:val="000000"/>
          <w:szCs w:val="24"/>
        </w:rPr>
      </w:pPr>
      <w:r w:rsidRPr="00F87DFB">
        <w:rPr>
          <w:color w:val="000000"/>
          <w:szCs w:val="24"/>
        </w:rPr>
        <w:t xml:space="preserve">A second </w:t>
      </w:r>
      <w:r w:rsidR="00645DBF">
        <w:rPr>
          <w:color w:val="000000"/>
          <w:szCs w:val="24"/>
        </w:rPr>
        <w:t>p</w:t>
      </w:r>
      <w:r w:rsidRPr="00F87DFB">
        <w:rPr>
          <w:color w:val="000000"/>
          <w:szCs w:val="24"/>
        </w:rPr>
        <w:t xml:space="preserve">eriodic TDRL </w:t>
      </w:r>
      <w:r w:rsidR="00645DBF">
        <w:rPr>
          <w:color w:val="000000"/>
          <w:szCs w:val="24"/>
        </w:rPr>
        <w:t>e</w:t>
      </w:r>
      <w:r w:rsidRPr="00F87DFB">
        <w:rPr>
          <w:color w:val="000000"/>
          <w:szCs w:val="24"/>
        </w:rPr>
        <w:t xml:space="preserve">valuation was completed </w:t>
      </w:r>
      <w:r w:rsidR="00645DBF">
        <w:rPr>
          <w:color w:val="000000"/>
          <w:szCs w:val="24"/>
        </w:rPr>
        <w:t xml:space="preserve">on 4 March </w:t>
      </w:r>
      <w:r w:rsidRPr="00F87DFB">
        <w:rPr>
          <w:color w:val="000000"/>
          <w:szCs w:val="24"/>
        </w:rPr>
        <w:t>2005</w:t>
      </w:r>
      <w:r w:rsidR="00C0602A" w:rsidRPr="00F87DFB">
        <w:rPr>
          <w:color w:val="000000"/>
          <w:szCs w:val="24"/>
        </w:rPr>
        <w:t xml:space="preserve"> </w:t>
      </w:r>
      <w:r w:rsidRPr="00F87DFB">
        <w:rPr>
          <w:color w:val="000000"/>
          <w:szCs w:val="24"/>
        </w:rPr>
        <w:t xml:space="preserve">and the physical examination is documented in the chart above. </w:t>
      </w:r>
      <w:r w:rsidR="00645DBF">
        <w:rPr>
          <w:color w:val="000000"/>
          <w:szCs w:val="24"/>
        </w:rPr>
        <w:t xml:space="preserve"> </w:t>
      </w:r>
      <w:r w:rsidRPr="00F87DFB">
        <w:rPr>
          <w:color w:val="000000"/>
          <w:szCs w:val="24"/>
        </w:rPr>
        <w:t xml:space="preserve">This was </w:t>
      </w:r>
      <w:r w:rsidR="00645DBF">
        <w:rPr>
          <w:color w:val="000000"/>
          <w:szCs w:val="24"/>
        </w:rPr>
        <w:t>4</w:t>
      </w:r>
      <w:r w:rsidRPr="00F87DFB">
        <w:rPr>
          <w:color w:val="000000"/>
          <w:szCs w:val="24"/>
        </w:rPr>
        <w:t xml:space="preserve"> months prior to final separation</w:t>
      </w:r>
      <w:r w:rsidR="00C0602A" w:rsidRPr="00F87DFB">
        <w:rPr>
          <w:color w:val="000000"/>
          <w:szCs w:val="24"/>
        </w:rPr>
        <w:t>.</w:t>
      </w:r>
      <w:r w:rsidRPr="00F87DFB">
        <w:rPr>
          <w:color w:val="000000"/>
          <w:szCs w:val="24"/>
        </w:rPr>
        <w:t xml:space="preserve"> </w:t>
      </w:r>
      <w:r w:rsidR="00645DBF">
        <w:rPr>
          <w:color w:val="000000"/>
          <w:szCs w:val="24"/>
        </w:rPr>
        <w:t xml:space="preserve"> </w:t>
      </w:r>
      <w:r w:rsidR="00C0602A" w:rsidRPr="00F87DFB">
        <w:rPr>
          <w:color w:val="000000"/>
          <w:szCs w:val="24"/>
        </w:rPr>
        <w:t xml:space="preserve">The CI continued to have right shoulder pain that was exacerbated with any attempt to perform overhead activities, heavy lifting, and changes in the weather. </w:t>
      </w:r>
      <w:r w:rsidR="00645DBF">
        <w:rPr>
          <w:color w:val="000000"/>
          <w:szCs w:val="24"/>
        </w:rPr>
        <w:t xml:space="preserve"> </w:t>
      </w:r>
      <w:r w:rsidR="00C0602A" w:rsidRPr="00F87DFB">
        <w:rPr>
          <w:color w:val="000000"/>
          <w:szCs w:val="24"/>
        </w:rPr>
        <w:t xml:space="preserve">He remained unable to perform the duties required of a supply specialist. </w:t>
      </w:r>
      <w:r w:rsidR="00645DBF">
        <w:rPr>
          <w:color w:val="000000"/>
          <w:szCs w:val="24"/>
        </w:rPr>
        <w:t xml:space="preserve"> </w:t>
      </w:r>
      <w:r w:rsidR="00C0602A" w:rsidRPr="00F87DFB">
        <w:rPr>
          <w:color w:val="000000"/>
          <w:szCs w:val="24"/>
        </w:rPr>
        <w:t xml:space="preserve">Right shoulder x-rays continued to show a large </w:t>
      </w:r>
      <w:proofErr w:type="spellStart"/>
      <w:r w:rsidR="00C0602A" w:rsidRPr="00F87DFB">
        <w:rPr>
          <w:color w:val="000000"/>
          <w:szCs w:val="24"/>
        </w:rPr>
        <w:t>osteophyte</w:t>
      </w:r>
      <w:proofErr w:type="spellEnd"/>
      <w:r w:rsidR="00C0602A" w:rsidRPr="00F87DFB">
        <w:rPr>
          <w:color w:val="000000"/>
          <w:szCs w:val="24"/>
        </w:rPr>
        <w:t xml:space="preserve"> and evidence of the previous surgeries. </w:t>
      </w:r>
      <w:r w:rsidR="00645DBF">
        <w:rPr>
          <w:color w:val="000000"/>
          <w:szCs w:val="24"/>
        </w:rPr>
        <w:t xml:space="preserve"> </w:t>
      </w:r>
      <w:r w:rsidR="00C0602A" w:rsidRPr="00F87DFB">
        <w:rPr>
          <w:color w:val="000000"/>
          <w:szCs w:val="24"/>
        </w:rPr>
        <w:t xml:space="preserve">Radiographs, with and without weight, did not show any change in the elevation of the AC joint. </w:t>
      </w:r>
      <w:r w:rsidR="00645DBF">
        <w:rPr>
          <w:color w:val="000000"/>
          <w:szCs w:val="24"/>
        </w:rPr>
        <w:t xml:space="preserve"> </w:t>
      </w:r>
      <w:r w:rsidR="00C0602A" w:rsidRPr="00F87DFB">
        <w:rPr>
          <w:color w:val="000000"/>
          <w:szCs w:val="24"/>
        </w:rPr>
        <w:t xml:space="preserve">The pain was noted to be marked and constant. </w:t>
      </w:r>
      <w:r w:rsidR="00645DBF">
        <w:rPr>
          <w:color w:val="000000"/>
          <w:szCs w:val="24"/>
        </w:rPr>
        <w:t xml:space="preserve"> </w:t>
      </w:r>
      <w:r w:rsidR="00C0602A" w:rsidRPr="00F87DFB">
        <w:rPr>
          <w:color w:val="000000"/>
          <w:szCs w:val="24"/>
        </w:rPr>
        <w:t xml:space="preserve">The examiner opined that while the CI’s symptoms might improve with time and activity modification, it was unlikely that he would ever be able to return to full duty. </w:t>
      </w:r>
      <w:r w:rsidR="00645DBF">
        <w:rPr>
          <w:color w:val="000000"/>
          <w:szCs w:val="24"/>
        </w:rPr>
        <w:t xml:space="preserve"> </w:t>
      </w:r>
      <w:r w:rsidR="00C0602A" w:rsidRPr="00F87DFB">
        <w:rPr>
          <w:color w:val="000000"/>
          <w:szCs w:val="24"/>
        </w:rPr>
        <w:t xml:space="preserve">No other VA C&amp;P examination was completed until more than </w:t>
      </w:r>
      <w:r w:rsidR="00645DBF">
        <w:rPr>
          <w:color w:val="000000"/>
          <w:szCs w:val="24"/>
        </w:rPr>
        <w:t>2</w:t>
      </w:r>
      <w:r w:rsidR="00C0602A" w:rsidRPr="00F87DFB">
        <w:rPr>
          <w:color w:val="000000"/>
          <w:szCs w:val="24"/>
        </w:rPr>
        <w:t xml:space="preserve"> years after the CI separated from the TDRL.</w:t>
      </w:r>
      <w:r w:rsidR="00FC49D0" w:rsidRPr="00F87DFB">
        <w:rPr>
          <w:color w:val="000000"/>
          <w:szCs w:val="24"/>
        </w:rPr>
        <w:t xml:space="preserve"> </w:t>
      </w:r>
      <w:r w:rsidR="00645DBF">
        <w:rPr>
          <w:color w:val="000000"/>
          <w:szCs w:val="24"/>
        </w:rPr>
        <w:t xml:space="preserve"> </w:t>
      </w:r>
      <w:r w:rsidR="00FC49D0" w:rsidRPr="00F87DFB">
        <w:rPr>
          <w:color w:val="000000"/>
          <w:szCs w:val="24"/>
        </w:rPr>
        <w:t xml:space="preserve">This examination from November 2007 did show a worsening of disease over time with an </w:t>
      </w:r>
      <w:proofErr w:type="spellStart"/>
      <w:r w:rsidR="00FC49D0" w:rsidRPr="00F87DFB">
        <w:rPr>
          <w:color w:val="000000"/>
          <w:szCs w:val="24"/>
        </w:rPr>
        <w:t>ankylosed</w:t>
      </w:r>
      <w:proofErr w:type="spellEnd"/>
      <w:r w:rsidR="00FC49D0" w:rsidRPr="00F87DFB">
        <w:rPr>
          <w:color w:val="000000"/>
          <w:szCs w:val="24"/>
        </w:rPr>
        <w:t xml:space="preserve"> shoulder joint.</w:t>
      </w:r>
      <w:r w:rsidR="00645DBF">
        <w:rPr>
          <w:color w:val="000000"/>
          <w:szCs w:val="24"/>
        </w:rPr>
        <w:t xml:space="preserve"> </w:t>
      </w:r>
      <w:r w:rsidR="00FC49D0" w:rsidRPr="00F87DFB">
        <w:rPr>
          <w:color w:val="000000"/>
          <w:szCs w:val="24"/>
        </w:rPr>
        <w:t xml:space="preserve"> </w:t>
      </w:r>
      <w:r w:rsidR="004E36CE" w:rsidRPr="00F87DFB">
        <w:rPr>
          <w:color w:val="000000"/>
          <w:szCs w:val="24"/>
        </w:rPr>
        <w:t xml:space="preserve">The VA increased the rating to 20% based on this examination. </w:t>
      </w:r>
      <w:r w:rsidR="00FC49D0" w:rsidRPr="00F87DFB">
        <w:rPr>
          <w:color w:val="000000"/>
          <w:szCs w:val="24"/>
        </w:rPr>
        <w:t xml:space="preserve">However, this </w:t>
      </w:r>
      <w:r w:rsidR="004E36CE" w:rsidRPr="00F87DFB">
        <w:rPr>
          <w:color w:val="000000"/>
          <w:szCs w:val="24"/>
        </w:rPr>
        <w:t xml:space="preserve">degree of limitation of motion </w:t>
      </w:r>
      <w:r w:rsidR="00FC49D0" w:rsidRPr="00F87DFB">
        <w:rPr>
          <w:color w:val="000000"/>
          <w:szCs w:val="24"/>
        </w:rPr>
        <w:t>was not present at the time of separation and therefore does not affect the final separation disability rating.</w:t>
      </w:r>
    </w:p>
    <w:p w:rsidR="00FC49D0" w:rsidRPr="00F87DFB" w:rsidRDefault="00FC49D0" w:rsidP="003701A0">
      <w:pPr>
        <w:jc w:val="both"/>
        <w:rPr>
          <w:color w:val="000000"/>
          <w:szCs w:val="24"/>
        </w:rPr>
      </w:pPr>
    </w:p>
    <w:p w:rsidR="00FC49D0" w:rsidRPr="00F87DFB" w:rsidRDefault="009405EF" w:rsidP="003701A0">
      <w:pPr>
        <w:jc w:val="both"/>
        <w:rPr>
          <w:rFonts w:eastAsia="Calibri" w:cs="Times New Roman"/>
          <w:color w:val="auto"/>
          <w:szCs w:val="24"/>
        </w:rPr>
      </w:pPr>
      <w:r>
        <w:rPr>
          <w:color w:val="000000"/>
          <w:szCs w:val="24"/>
        </w:rPr>
        <w:t xml:space="preserve">The </w:t>
      </w:r>
      <w:r w:rsidR="008A3D00">
        <w:rPr>
          <w:color w:val="000000"/>
          <w:szCs w:val="24"/>
        </w:rPr>
        <w:t xml:space="preserve">24 June 2005 </w:t>
      </w:r>
      <w:r w:rsidR="00FC49D0" w:rsidRPr="00F87DFB">
        <w:rPr>
          <w:color w:val="000000"/>
          <w:szCs w:val="24"/>
        </w:rPr>
        <w:t xml:space="preserve">PEB determined the CI remained unfit for duty secondary to this right shoulder condition and applied a 10% rating. </w:t>
      </w:r>
      <w:r>
        <w:rPr>
          <w:color w:val="000000"/>
          <w:szCs w:val="24"/>
        </w:rPr>
        <w:t xml:space="preserve"> </w:t>
      </w:r>
      <w:r w:rsidR="00FC49D0" w:rsidRPr="00F87DFB">
        <w:rPr>
          <w:color w:val="000000"/>
          <w:szCs w:val="24"/>
        </w:rPr>
        <w:t xml:space="preserve">A 10% rating is warranted based on pain-limited motion of the joint. </w:t>
      </w:r>
      <w:r>
        <w:rPr>
          <w:color w:val="000000"/>
          <w:szCs w:val="24"/>
        </w:rPr>
        <w:t xml:space="preserve"> </w:t>
      </w:r>
      <w:r w:rsidR="00FC49D0" w:rsidRPr="00F87DFB">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Pr>
          <w:color w:val="auto"/>
        </w:rPr>
        <w:t>DJD</w:t>
      </w:r>
      <w:r w:rsidR="00FC49D0" w:rsidRPr="00F87DFB">
        <w:rPr>
          <w:color w:val="auto"/>
        </w:rPr>
        <w:t xml:space="preserve"> status post rotator cuff repair</w:t>
      </w:r>
      <w:r w:rsidR="00FC49D0" w:rsidRPr="00F87DFB">
        <w:rPr>
          <w:rFonts w:eastAsia="Calibri" w:cs="Times New Roman"/>
          <w:color w:val="auto"/>
          <w:szCs w:val="24"/>
        </w:rPr>
        <w:t xml:space="preserve"> condition at</w:t>
      </w:r>
      <w:r w:rsidR="00F55634">
        <w:rPr>
          <w:rFonts w:eastAsia="Calibri" w:cs="Times New Roman"/>
          <w:color w:val="auto"/>
          <w:szCs w:val="24"/>
        </w:rPr>
        <w:t xml:space="preserve"> the time of final separation.</w:t>
      </w:r>
    </w:p>
    <w:p w:rsidR="00ED2263" w:rsidRPr="00F87DFB" w:rsidRDefault="00ED2263" w:rsidP="003701A0">
      <w:pPr>
        <w:jc w:val="both"/>
        <w:rPr>
          <w:color w:val="auto"/>
          <w:szCs w:val="24"/>
        </w:rPr>
      </w:pPr>
    </w:p>
    <w:p w:rsidR="00ED2263" w:rsidRDefault="00F95DBC" w:rsidP="003701A0">
      <w:pPr>
        <w:jc w:val="both"/>
        <w:rPr>
          <w:color w:val="auto"/>
        </w:rPr>
      </w:pPr>
      <w:r w:rsidRPr="0004344D">
        <w:rPr>
          <w:color w:val="000000"/>
          <w:szCs w:val="24"/>
          <w:u w:val="single"/>
        </w:rPr>
        <w:t>Obstructive Sleep Apnea Rated As Mild</w:t>
      </w:r>
      <w:r w:rsidRPr="00295FB5">
        <w:rPr>
          <w:color w:val="000000"/>
          <w:szCs w:val="24"/>
          <w:u w:val="single"/>
        </w:rPr>
        <w:t xml:space="preserve"> Industrial Impairment Condition</w:t>
      </w:r>
      <w:r>
        <w:rPr>
          <w:color w:val="000000"/>
          <w:szCs w:val="24"/>
        </w:rPr>
        <w:t xml:space="preserve">.   </w:t>
      </w:r>
      <w:r w:rsidR="0082079E">
        <w:rPr>
          <w:color w:val="000000"/>
          <w:szCs w:val="24"/>
        </w:rPr>
        <w:t xml:space="preserve">The CI was diagnosed with </w:t>
      </w:r>
      <w:r w:rsidR="009405EF">
        <w:rPr>
          <w:color w:val="000000"/>
          <w:szCs w:val="24"/>
        </w:rPr>
        <w:t>OSA</w:t>
      </w:r>
      <w:r w:rsidR="0082079E">
        <w:rPr>
          <w:color w:val="000000"/>
          <w:szCs w:val="24"/>
        </w:rPr>
        <w:t xml:space="preserve"> in 1993 and had </w:t>
      </w:r>
      <w:proofErr w:type="spellStart"/>
      <w:r w:rsidR="004D78D5">
        <w:rPr>
          <w:color w:val="000000"/>
          <w:szCs w:val="24"/>
        </w:rPr>
        <w:t>uvulopalatopharyngoplasty</w:t>
      </w:r>
      <w:proofErr w:type="spellEnd"/>
      <w:r w:rsidR="004D78D5">
        <w:rPr>
          <w:color w:val="000000"/>
          <w:szCs w:val="24"/>
        </w:rPr>
        <w:t xml:space="preserve"> (UPPP) </w:t>
      </w:r>
      <w:r w:rsidR="0082079E">
        <w:rPr>
          <w:color w:val="000000"/>
          <w:szCs w:val="24"/>
        </w:rPr>
        <w:t xml:space="preserve">surgery but continued to have symptoms. </w:t>
      </w:r>
      <w:r w:rsidR="009405EF">
        <w:rPr>
          <w:color w:val="000000"/>
          <w:szCs w:val="24"/>
        </w:rPr>
        <w:t xml:space="preserve"> </w:t>
      </w:r>
      <w:r w:rsidR="0082079E">
        <w:rPr>
          <w:color w:val="000000"/>
          <w:szCs w:val="24"/>
        </w:rPr>
        <w:t>He was prescribed a CPAP machine and issued a permanent profile in August 2001.</w:t>
      </w:r>
    </w:p>
    <w:p w:rsidR="00ED2263" w:rsidRDefault="00ED2263" w:rsidP="003701A0">
      <w:pPr>
        <w:jc w:val="both"/>
        <w:rPr>
          <w:color w:val="000000"/>
          <w:szCs w:val="24"/>
          <w:u w:val="single"/>
        </w:rPr>
      </w:pPr>
    </w:p>
    <w:p w:rsidR="00ED2263" w:rsidRDefault="00290E26" w:rsidP="003701A0">
      <w:pPr>
        <w:jc w:val="both"/>
        <w:rPr>
          <w:color w:val="000000"/>
          <w:szCs w:val="24"/>
          <w:u w:val="single"/>
        </w:rPr>
      </w:pPr>
      <w:r>
        <w:rPr>
          <w:color w:val="000000"/>
          <w:szCs w:val="24"/>
          <w:u w:val="single"/>
        </w:rPr>
        <w:t>TDRL entry</w:t>
      </w:r>
      <w:r w:rsidR="00ED2263">
        <w:rPr>
          <w:color w:val="000000"/>
          <w:szCs w:val="24"/>
          <w:u w:val="single"/>
        </w:rPr>
        <w:t>:</w:t>
      </w:r>
    </w:p>
    <w:p w:rsidR="001F4AC3" w:rsidRPr="00F87DFB" w:rsidRDefault="001F4AC3" w:rsidP="003701A0">
      <w:pPr>
        <w:jc w:val="both"/>
        <w:rPr>
          <w:color w:val="000000"/>
          <w:szCs w:val="24"/>
        </w:rPr>
      </w:pPr>
      <w:r w:rsidRPr="00F87DFB">
        <w:rPr>
          <w:color w:val="000000"/>
          <w:szCs w:val="24"/>
        </w:rPr>
        <w:t>The MEB NARSUM examination noted the CI was still having some symptoms of smothering spells at night. He was issued a permanent P3 profile which stated he must use the CPAP while sleeping.</w:t>
      </w:r>
      <w:r w:rsidR="005455F8" w:rsidRPr="00F87DFB">
        <w:rPr>
          <w:color w:val="000000"/>
          <w:szCs w:val="24"/>
        </w:rPr>
        <w:t xml:space="preserve"> </w:t>
      </w:r>
      <w:r w:rsidR="009405EF">
        <w:rPr>
          <w:color w:val="000000"/>
          <w:szCs w:val="24"/>
        </w:rPr>
        <w:t xml:space="preserve"> </w:t>
      </w:r>
      <w:r w:rsidR="005455F8" w:rsidRPr="00F87DFB">
        <w:rPr>
          <w:color w:val="000000"/>
          <w:szCs w:val="24"/>
        </w:rPr>
        <w:t xml:space="preserve">A VA Respiratory C&amp;P examination was completed </w:t>
      </w:r>
      <w:r w:rsidR="009405EF">
        <w:rPr>
          <w:color w:val="000000"/>
          <w:szCs w:val="24"/>
        </w:rPr>
        <w:t xml:space="preserve">on           6 December </w:t>
      </w:r>
      <w:proofErr w:type="gramStart"/>
      <w:r w:rsidR="005455F8" w:rsidRPr="00F87DFB">
        <w:rPr>
          <w:color w:val="000000"/>
          <w:szCs w:val="24"/>
        </w:rPr>
        <w:t>2002</w:t>
      </w:r>
      <w:r w:rsidR="008A3D00">
        <w:rPr>
          <w:color w:val="000000"/>
          <w:szCs w:val="24"/>
        </w:rPr>
        <w:t>,</w:t>
      </w:r>
      <w:proofErr w:type="gramEnd"/>
      <w:r w:rsidR="005455F8" w:rsidRPr="00F87DFB">
        <w:rPr>
          <w:color w:val="000000"/>
          <w:szCs w:val="24"/>
        </w:rPr>
        <w:t xml:space="preserve"> about </w:t>
      </w:r>
      <w:r w:rsidR="009405EF">
        <w:rPr>
          <w:color w:val="000000"/>
          <w:szCs w:val="24"/>
        </w:rPr>
        <w:t>3</w:t>
      </w:r>
      <w:r w:rsidR="005455F8" w:rsidRPr="00F87DFB">
        <w:rPr>
          <w:color w:val="000000"/>
          <w:szCs w:val="24"/>
        </w:rPr>
        <w:t xml:space="preserve"> months after the CI entered the TDRL. </w:t>
      </w:r>
      <w:r w:rsidR="009405EF">
        <w:rPr>
          <w:color w:val="000000"/>
          <w:szCs w:val="24"/>
        </w:rPr>
        <w:t xml:space="preserve"> </w:t>
      </w:r>
      <w:r w:rsidR="005455F8" w:rsidRPr="00F87DFB">
        <w:rPr>
          <w:color w:val="000000"/>
          <w:szCs w:val="24"/>
        </w:rPr>
        <w:t xml:space="preserve">At that examination the CI reported excessive daytime somnolence while on CPAP at 14cm. </w:t>
      </w:r>
      <w:r w:rsidR="009405EF">
        <w:rPr>
          <w:color w:val="000000"/>
          <w:szCs w:val="24"/>
        </w:rPr>
        <w:t xml:space="preserve"> </w:t>
      </w:r>
      <w:r w:rsidR="005455F8" w:rsidRPr="00F87DFB">
        <w:rPr>
          <w:color w:val="000000"/>
          <w:szCs w:val="24"/>
        </w:rPr>
        <w:t>The respiratory physical examination was within normal limits.</w:t>
      </w:r>
    </w:p>
    <w:p w:rsidR="005455F8" w:rsidRPr="00F87DFB" w:rsidRDefault="005455F8" w:rsidP="003701A0">
      <w:pPr>
        <w:jc w:val="both"/>
        <w:rPr>
          <w:color w:val="000000"/>
          <w:szCs w:val="24"/>
        </w:rPr>
      </w:pPr>
    </w:p>
    <w:p w:rsidR="005455F8" w:rsidRPr="00F87DFB" w:rsidRDefault="009405EF" w:rsidP="003701A0">
      <w:pPr>
        <w:jc w:val="both"/>
        <w:rPr>
          <w:color w:val="auto"/>
          <w:szCs w:val="24"/>
        </w:rPr>
      </w:pPr>
      <w:r>
        <w:rPr>
          <w:color w:val="000000"/>
          <w:szCs w:val="24"/>
        </w:rPr>
        <w:t xml:space="preserve">In March 2002, the </w:t>
      </w:r>
      <w:r w:rsidR="005455F8" w:rsidRPr="00F87DFB">
        <w:rPr>
          <w:color w:val="000000"/>
          <w:szCs w:val="24"/>
        </w:rPr>
        <w:t>PEB determined this condition was unfitting but was not sufficiently stable for final adjudication</w:t>
      </w:r>
      <w:r w:rsidR="008A3D00">
        <w:rPr>
          <w:color w:val="000000"/>
          <w:szCs w:val="24"/>
        </w:rPr>
        <w:t xml:space="preserve">. </w:t>
      </w:r>
      <w:r w:rsidR="005455F8" w:rsidRPr="00F87DFB">
        <w:rPr>
          <w:color w:val="000000"/>
          <w:szCs w:val="24"/>
        </w:rPr>
        <w:t xml:space="preserve"> The CI was placed on the TDRL with a 0% rating IAW DODI</w:t>
      </w:r>
      <w:r w:rsidR="005455F8" w:rsidRPr="005455F8">
        <w:rPr>
          <w:color w:val="000000"/>
          <w:szCs w:val="24"/>
        </w:rPr>
        <w:t xml:space="preserve"> 1332.39, </w:t>
      </w:r>
      <w:proofErr w:type="spellStart"/>
      <w:r w:rsidR="005455F8" w:rsidRPr="005455F8">
        <w:rPr>
          <w:color w:val="000000"/>
          <w:szCs w:val="24"/>
        </w:rPr>
        <w:t>para</w:t>
      </w:r>
      <w:proofErr w:type="spellEnd"/>
      <w:r w:rsidR="005455F8" w:rsidRPr="005455F8">
        <w:rPr>
          <w:color w:val="000000"/>
          <w:szCs w:val="24"/>
        </w:rPr>
        <w:t xml:space="preserve"> E2.A1.2.21.</w:t>
      </w:r>
      <w:r w:rsidR="005455F8">
        <w:rPr>
          <w:color w:val="000000"/>
          <w:szCs w:val="24"/>
        </w:rPr>
        <w:t xml:space="preserve"> </w:t>
      </w:r>
      <w:r>
        <w:rPr>
          <w:color w:val="000000"/>
          <w:szCs w:val="24"/>
        </w:rPr>
        <w:t xml:space="preserve"> </w:t>
      </w:r>
      <w:r w:rsidR="005455F8">
        <w:rPr>
          <w:color w:val="000000"/>
          <w:szCs w:val="24"/>
        </w:rPr>
        <w:t xml:space="preserve">However, </w:t>
      </w:r>
      <w:r w:rsidR="005455F8" w:rsidRPr="00F87DFB">
        <w:rPr>
          <w:color w:val="000000"/>
          <w:szCs w:val="24"/>
        </w:rPr>
        <w:t xml:space="preserve">the VA applied a 50% rating IAW </w:t>
      </w:r>
      <w:r w:rsidR="005455F8" w:rsidRPr="00F87DFB">
        <w:rPr>
          <w:color w:val="auto"/>
          <w:szCs w:val="24"/>
        </w:rPr>
        <w:t xml:space="preserve">VASRD §4.97 and based on the </w:t>
      </w:r>
      <w:r w:rsidR="00242F31" w:rsidRPr="00F87DFB">
        <w:rPr>
          <w:color w:val="auto"/>
          <w:szCs w:val="24"/>
        </w:rPr>
        <w:t xml:space="preserve">required </w:t>
      </w:r>
      <w:r w:rsidR="00242F31" w:rsidRPr="00F87DFB">
        <w:rPr>
          <w:color w:val="auto"/>
        </w:rPr>
        <w:t>use of breathing assistance device</w:t>
      </w:r>
      <w:r w:rsidR="005455F8" w:rsidRPr="00F87DFB">
        <w:rPr>
          <w:color w:val="auto"/>
          <w:szCs w:val="24"/>
        </w:rPr>
        <w:t>.</w:t>
      </w:r>
    </w:p>
    <w:p w:rsidR="004D78D5" w:rsidRPr="00F87DFB" w:rsidRDefault="004D78D5" w:rsidP="003701A0">
      <w:pPr>
        <w:jc w:val="both"/>
        <w:rPr>
          <w:color w:val="000000"/>
          <w:szCs w:val="24"/>
        </w:rPr>
      </w:pPr>
    </w:p>
    <w:p w:rsidR="004D78D5" w:rsidRDefault="004D78D5" w:rsidP="003701A0">
      <w:pPr>
        <w:jc w:val="both"/>
        <w:rPr>
          <w:color w:val="000000"/>
          <w:szCs w:val="24"/>
        </w:rPr>
      </w:pPr>
      <w:r w:rsidRPr="00F87DFB">
        <w:rPr>
          <w:color w:val="000000"/>
          <w:szCs w:val="24"/>
        </w:rPr>
        <w:lastRenderedPageBreak/>
        <w:t xml:space="preserve">In January 2003 a repeat sleep study documented continued spontaneous and severe oxygen </w:t>
      </w:r>
      <w:proofErr w:type="spellStart"/>
      <w:r w:rsidRPr="00F87DFB">
        <w:rPr>
          <w:color w:val="000000"/>
          <w:szCs w:val="24"/>
        </w:rPr>
        <w:t>desaturations</w:t>
      </w:r>
      <w:proofErr w:type="spellEnd"/>
      <w:r w:rsidRPr="00F87DFB">
        <w:rPr>
          <w:color w:val="000000"/>
          <w:szCs w:val="24"/>
        </w:rPr>
        <w:t xml:space="preserve"> despite use of CPAP at high pressures. The physician recommended a combination </w:t>
      </w:r>
      <w:proofErr w:type="spellStart"/>
      <w:r w:rsidRPr="00F87DFB">
        <w:rPr>
          <w:color w:val="000000"/>
          <w:szCs w:val="24"/>
        </w:rPr>
        <w:t>Bi</w:t>
      </w:r>
      <w:r w:rsidR="00CA71E2" w:rsidRPr="00F87DFB">
        <w:rPr>
          <w:color w:val="000000"/>
          <w:szCs w:val="24"/>
        </w:rPr>
        <w:t>PAP</w:t>
      </w:r>
      <w:proofErr w:type="spellEnd"/>
      <w:r w:rsidRPr="00F87DFB">
        <w:rPr>
          <w:color w:val="000000"/>
          <w:szCs w:val="24"/>
        </w:rPr>
        <w:t xml:space="preserve"> with oxygen</w:t>
      </w:r>
      <w:r w:rsidR="00C853C9" w:rsidRPr="00F87DFB">
        <w:rPr>
          <w:color w:val="000000"/>
          <w:szCs w:val="24"/>
        </w:rPr>
        <w:t xml:space="preserve"> along with outpatient </w:t>
      </w:r>
      <w:proofErr w:type="spellStart"/>
      <w:r w:rsidR="00C853C9" w:rsidRPr="00F87DFB">
        <w:rPr>
          <w:color w:val="000000"/>
          <w:szCs w:val="24"/>
        </w:rPr>
        <w:t>dosimetry</w:t>
      </w:r>
      <w:proofErr w:type="spellEnd"/>
      <w:r w:rsidR="00C853C9" w:rsidRPr="00F87DFB">
        <w:rPr>
          <w:color w:val="000000"/>
          <w:szCs w:val="24"/>
        </w:rPr>
        <w:t xml:space="preserve"> to ensure proper titration. </w:t>
      </w:r>
      <w:r w:rsidR="00CA71E2" w:rsidRPr="00F87DFB">
        <w:rPr>
          <w:color w:val="000000"/>
          <w:szCs w:val="24"/>
        </w:rPr>
        <w:t xml:space="preserve">This titration was successfully completed on </w:t>
      </w:r>
      <w:r w:rsidR="009405EF">
        <w:rPr>
          <w:color w:val="000000"/>
          <w:szCs w:val="24"/>
        </w:rPr>
        <w:t xml:space="preserve">18 August </w:t>
      </w:r>
      <w:r w:rsidRPr="00F87DFB">
        <w:rPr>
          <w:color w:val="000000"/>
          <w:szCs w:val="24"/>
        </w:rPr>
        <w:t>2003</w:t>
      </w:r>
      <w:r w:rsidR="00CA71E2" w:rsidRPr="00F87DFB">
        <w:rPr>
          <w:color w:val="000000"/>
          <w:szCs w:val="24"/>
        </w:rPr>
        <w:t>.</w:t>
      </w:r>
      <w:r w:rsidRPr="00F87DFB">
        <w:rPr>
          <w:color w:val="000000"/>
          <w:szCs w:val="24"/>
        </w:rPr>
        <w:t xml:space="preserve"> </w:t>
      </w:r>
      <w:r w:rsidR="009405EF">
        <w:rPr>
          <w:color w:val="000000"/>
          <w:szCs w:val="24"/>
        </w:rPr>
        <w:t xml:space="preserve"> </w:t>
      </w:r>
      <w:r w:rsidR="00CA71E2" w:rsidRPr="00F87DFB">
        <w:rPr>
          <w:color w:val="000000"/>
          <w:szCs w:val="24"/>
        </w:rPr>
        <w:t>This sleep study noted the CI h</w:t>
      </w:r>
      <w:r w:rsidRPr="00F87DFB">
        <w:rPr>
          <w:color w:val="000000"/>
          <w:szCs w:val="24"/>
        </w:rPr>
        <w:t xml:space="preserve">ad sleep disturbance associated with </w:t>
      </w:r>
      <w:r w:rsidR="00CA71E2" w:rsidRPr="00F87DFB">
        <w:rPr>
          <w:color w:val="000000"/>
          <w:szCs w:val="24"/>
        </w:rPr>
        <w:t xml:space="preserve">his </w:t>
      </w:r>
      <w:r w:rsidRPr="00F87DFB">
        <w:rPr>
          <w:color w:val="000000"/>
          <w:szCs w:val="24"/>
        </w:rPr>
        <w:t xml:space="preserve">fibromyalgia, </w:t>
      </w:r>
      <w:r w:rsidR="00CA71E2" w:rsidRPr="00F87DFB">
        <w:rPr>
          <w:color w:val="000000"/>
          <w:szCs w:val="24"/>
        </w:rPr>
        <w:t xml:space="preserve">and was </w:t>
      </w:r>
      <w:r w:rsidRPr="00F87DFB">
        <w:rPr>
          <w:color w:val="000000"/>
          <w:szCs w:val="24"/>
        </w:rPr>
        <w:t xml:space="preserve">not related to </w:t>
      </w:r>
      <w:r w:rsidR="00CA71E2" w:rsidRPr="00F87DFB">
        <w:rPr>
          <w:color w:val="000000"/>
          <w:szCs w:val="24"/>
        </w:rPr>
        <w:t>the sleep disturbance f</w:t>
      </w:r>
      <w:r w:rsidR="008A3D00">
        <w:rPr>
          <w:color w:val="000000"/>
          <w:szCs w:val="24"/>
        </w:rPr>
        <w:t>rom</w:t>
      </w:r>
      <w:r w:rsidR="00CA71E2" w:rsidRPr="00F87DFB">
        <w:rPr>
          <w:color w:val="000000"/>
          <w:szCs w:val="24"/>
        </w:rPr>
        <w:t xml:space="preserve"> his </w:t>
      </w:r>
      <w:r w:rsidRPr="00F87DFB">
        <w:rPr>
          <w:color w:val="000000"/>
          <w:szCs w:val="24"/>
        </w:rPr>
        <w:t>sleep apnea.</w:t>
      </w:r>
      <w:r w:rsidR="009405EF">
        <w:rPr>
          <w:color w:val="000000"/>
          <w:szCs w:val="24"/>
        </w:rPr>
        <w:t xml:space="preserve"> </w:t>
      </w:r>
      <w:r w:rsidRPr="00F87DFB">
        <w:rPr>
          <w:color w:val="000000"/>
          <w:szCs w:val="24"/>
        </w:rPr>
        <w:t xml:space="preserve"> </w:t>
      </w:r>
      <w:r w:rsidR="00CA71E2" w:rsidRPr="00F87DFB">
        <w:rPr>
          <w:color w:val="000000"/>
          <w:szCs w:val="24"/>
        </w:rPr>
        <w:t xml:space="preserve">Each </w:t>
      </w:r>
      <w:r w:rsidR="007638D0" w:rsidRPr="00F87DFB">
        <w:rPr>
          <w:color w:val="000000"/>
          <w:szCs w:val="24"/>
        </w:rPr>
        <w:t>condition</w:t>
      </w:r>
      <w:r w:rsidR="00CA71E2" w:rsidRPr="00F87DFB">
        <w:rPr>
          <w:color w:val="000000"/>
          <w:szCs w:val="24"/>
        </w:rPr>
        <w:t xml:space="preserve"> independently </w:t>
      </w:r>
      <w:r w:rsidRPr="00F87DFB">
        <w:rPr>
          <w:color w:val="000000"/>
          <w:szCs w:val="24"/>
        </w:rPr>
        <w:t>affect</w:t>
      </w:r>
      <w:r w:rsidR="00CA71E2" w:rsidRPr="00F87DFB">
        <w:rPr>
          <w:color w:val="000000"/>
          <w:szCs w:val="24"/>
        </w:rPr>
        <w:t>ed</w:t>
      </w:r>
      <w:r w:rsidR="00F87DFB" w:rsidRPr="00F87DFB">
        <w:rPr>
          <w:color w:val="000000"/>
          <w:szCs w:val="24"/>
        </w:rPr>
        <w:t xml:space="preserve"> his sleep</w:t>
      </w:r>
      <w:r w:rsidRPr="00F87DFB">
        <w:rPr>
          <w:color w:val="000000"/>
          <w:szCs w:val="24"/>
        </w:rPr>
        <w:t xml:space="preserve">. </w:t>
      </w:r>
      <w:r w:rsidR="009405EF">
        <w:rPr>
          <w:color w:val="000000"/>
          <w:szCs w:val="24"/>
        </w:rPr>
        <w:t xml:space="preserve"> </w:t>
      </w:r>
      <w:r w:rsidRPr="00F87DFB">
        <w:rPr>
          <w:color w:val="000000"/>
          <w:szCs w:val="24"/>
        </w:rPr>
        <w:t>Alpha waves were noted</w:t>
      </w:r>
      <w:r w:rsidR="00CA71E2" w:rsidRPr="00F87DFB">
        <w:rPr>
          <w:color w:val="000000"/>
          <w:szCs w:val="24"/>
        </w:rPr>
        <w:t xml:space="preserve"> and were</w:t>
      </w:r>
      <w:r w:rsidRPr="00F87DFB">
        <w:rPr>
          <w:color w:val="000000"/>
          <w:szCs w:val="24"/>
        </w:rPr>
        <w:t xml:space="preserve">, “significant with his underlying diagnosis of </w:t>
      </w:r>
      <w:r w:rsidR="009405EF">
        <w:rPr>
          <w:color w:val="000000"/>
          <w:szCs w:val="24"/>
        </w:rPr>
        <w:t>f</w:t>
      </w:r>
      <w:r w:rsidRPr="00F87DFB">
        <w:rPr>
          <w:color w:val="000000"/>
          <w:szCs w:val="24"/>
        </w:rPr>
        <w:t>ibromyalgia.”</w:t>
      </w:r>
      <w:r w:rsidR="009405EF">
        <w:rPr>
          <w:color w:val="000000"/>
          <w:szCs w:val="24"/>
        </w:rPr>
        <w:t xml:space="preserve"> </w:t>
      </w:r>
      <w:r w:rsidRPr="00F87DFB">
        <w:rPr>
          <w:color w:val="000000"/>
          <w:szCs w:val="24"/>
        </w:rPr>
        <w:t xml:space="preserve"> </w:t>
      </w:r>
      <w:r w:rsidR="00CA71E2" w:rsidRPr="00F87DFB">
        <w:rPr>
          <w:color w:val="000000"/>
          <w:szCs w:val="24"/>
        </w:rPr>
        <w:t>The CI was s</w:t>
      </w:r>
      <w:r w:rsidRPr="00F87DFB">
        <w:rPr>
          <w:color w:val="000000"/>
          <w:szCs w:val="24"/>
        </w:rPr>
        <w:t xml:space="preserve">uccessfully titrated with </w:t>
      </w:r>
      <w:proofErr w:type="spellStart"/>
      <w:r w:rsidR="00CA71E2" w:rsidRPr="00F87DFB">
        <w:rPr>
          <w:color w:val="000000"/>
          <w:szCs w:val="24"/>
        </w:rPr>
        <w:t>BiPAP</w:t>
      </w:r>
      <w:proofErr w:type="spellEnd"/>
      <w:r w:rsidRPr="00F87DFB">
        <w:rPr>
          <w:color w:val="000000"/>
          <w:szCs w:val="24"/>
        </w:rPr>
        <w:t xml:space="preserve"> of 17/13cm</w:t>
      </w:r>
      <w:r w:rsidR="00CA71E2" w:rsidRPr="00F87DFB">
        <w:rPr>
          <w:color w:val="000000"/>
          <w:szCs w:val="24"/>
        </w:rPr>
        <w:t xml:space="preserve"> and oxygen with the </w:t>
      </w:r>
      <w:r w:rsidRPr="00F87DFB">
        <w:rPr>
          <w:color w:val="000000"/>
          <w:szCs w:val="24"/>
        </w:rPr>
        <w:t xml:space="preserve">apnea controlled. </w:t>
      </w:r>
      <w:r w:rsidR="00CA71E2" w:rsidRPr="00F87DFB">
        <w:rPr>
          <w:color w:val="000000"/>
          <w:szCs w:val="24"/>
        </w:rPr>
        <w:t xml:space="preserve">However the physician also noted he had </w:t>
      </w:r>
      <w:r w:rsidRPr="00F87DFB">
        <w:rPr>
          <w:color w:val="000000"/>
          <w:szCs w:val="24"/>
        </w:rPr>
        <w:t xml:space="preserve">“frequent arousals at times without respiratory events which may go along with his underlying diagnosis of </w:t>
      </w:r>
      <w:r w:rsidR="009405EF">
        <w:rPr>
          <w:color w:val="000000"/>
          <w:szCs w:val="24"/>
        </w:rPr>
        <w:t>f</w:t>
      </w:r>
      <w:r w:rsidRPr="00F87DFB">
        <w:rPr>
          <w:color w:val="000000"/>
          <w:szCs w:val="24"/>
        </w:rPr>
        <w:t>ibromyalgia which in itself is associated with disrupted sleep.”</w:t>
      </w:r>
      <w:r w:rsidR="00CA71E2" w:rsidRPr="00F87DFB">
        <w:rPr>
          <w:color w:val="000000"/>
          <w:szCs w:val="24"/>
        </w:rPr>
        <w:t xml:space="preserve"> </w:t>
      </w:r>
      <w:r w:rsidR="009405EF">
        <w:rPr>
          <w:color w:val="000000"/>
          <w:szCs w:val="24"/>
        </w:rPr>
        <w:t xml:space="preserve"> </w:t>
      </w:r>
      <w:r w:rsidR="00CA71E2" w:rsidRPr="00F87DFB">
        <w:rPr>
          <w:color w:val="000000"/>
          <w:szCs w:val="24"/>
        </w:rPr>
        <w:t xml:space="preserve">At the time of the first </w:t>
      </w:r>
      <w:r w:rsidR="009405EF">
        <w:rPr>
          <w:color w:val="000000"/>
          <w:szCs w:val="24"/>
        </w:rPr>
        <w:t>p</w:t>
      </w:r>
      <w:r w:rsidR="00CA71E2" w:rsidRPr="00F87DFB">
        <w:rPr>
          <w:color w:val="000000"/>
          <w:szCs w:val="24"/>
        </w:rPr>
        <w:t xml:space="preserve">eriodic TDRL </w:t>
      </w:r>
      <w:r w:rsidR="008A3D00">
        <w:rPr>
          <w:color w:val="000000"/>
          <w:szCs w:val="24"/>
        </w:rPr>
        <w:t>e</w:t>
      </w:r>
      <w:r w:rsidR="00CA71E2" w:rsidRPr="00F87DFB">
        <w:rPr>
          <w:color w:val="000000"/>
          <w:szCs w:val="24"/>
        </w:rPr>
        <w:t xml:space="preserve">valuation in October 2003 he was continuing to have frequently night time awakenings, approximately </w:t>
      </w:r>
      <w:r w:rsidR="00290E26">
        <w:rPr>
          <w:color w:val="000000"/>
          <w:szCs w:val="24"/>
        </w:rPr>
        <w:t>10</w:t>
      </w:r>
      <w:r w:rsidR="00CA71E2" w:rsidRPr="00F87DFB">
        <w:rPr>
          <w:color w:val="000000"/>
          <w:szCs w:val="24"/>
        </w:rPr>
        <w:t xml:space="preserve"> to </w:t>
      </w:r>
      <w:r w:rsidR="00290E26">
        <w:rPr>
          <w:color w:val="000000"/>
          <w:szCs w:val="24"/>
        </w:rPr>
        <w:t>15</w:t>
      </w:r>
      <w:bookmarkStart w:id="0" w:name="_GoBack"/>
      <w:bookmarkEnd w:id="0"/>
      <w:r w:rsidR="00CA71E2" w:rsidRPr="00F87DFB">
        <w:rPr>
          <w:color w:val="000000"/>
          <w:szCs w:val="24"/>
        </w:rPr>
        <w:t xml:space="preserve"> times per night and</w:t>
      </w:r>
      <w:r w:rsidR="00CA71E2">
        <w:rPr>
          <w:color w:val="000000"/>
          <w:szCs w:val="24"/>
        </w:rPr>
        <w:t xml:space="preserve"> increased snoring while on the </w:t>
      </w:r>
      <w:proofErr w:type="spellStart"/>
      <w:r w:rsidR="00CA71E2">
        <w:rPr>
          <w:color w:val="000000"/>
          <w:szCs w:val="24"/>
        </w:rPr>
        <w:t>BiPAP</w:t>
      </w:r>
      <w:proofErr w:type="spellEnd"/>
      <w:r w:rsidR="00CA71E2">
        <w:rPr>
          <w:color w:val="000000"/>
          <w:szCs w:val="24"/>
        </w:rPr>
        <w:t>.</w:t>
      </w:r>
      <w:r w:rsidR="009405EF">
        <w:rPr>
          <w:color w:val="000000"/>
          <w:szCs w:val="24"/>
        </w:rPr>
        <w:t xml:space="preserve"> </w:t>
      </w:r>
      <w:r w:rsidR="00CA71E2">
        <w:rPr>
          <w:color w:val="000000"/>
          <w:szCs w:val="24"/>
        </w:rPr>
        <w:t xml:space="preserve"> The examiner recommended </w:t>
      </w:r>
      <w:r w:rsidR="007638D0">
        <w:rPr>
          <w:color w:val="000000"/>
          <w:szCs w:val="24"/>
        </w:rPr>
        <w:t xml:space="preserve">a pulmonary evaluation due to continued and worsening symptoms of OSA. </w:t>
      </w:r>
      <w:r w:rsidR="009405EF">
        <w:rPr>
          <w:color w:val="000000"/>
          <w:szCs w:val="24"/>
        </w:rPr>
        <w:t xml:space="preserve"> </w:t>
      </w:r>
      <w:r w:rsidR="008A3D00">
        <w:rPr>
          <w:rFonts w:eastAsia="Calibri" w:cs="Times New Roman"/>
          <w:color w:val="auto"/>
          <w:szCs w:val="24"/>
        </w:rPr>
        <w:t xml:space="preserve">On </w:t>
      </w:r>
      <w:r w:rsidR="009405EF">
        <w:rPr>
          <w:rFonts w:eastAsia="Calibri" w:cs="Times New Roman"/>
          <w:color w:val="auto"/>
          <w:szCs w:val="24"/>
        </w:rPr>
        <w:t xml:space="preserve">5 December </w:t>
      </w:r>
      <w:r w:rsidR="007638D0">
        <w:rPr>
          <w:rFonts w:eastAsia="Calibri" w:cs="Times New Roman"/>
          <w:color w:val="auto"/>
          <w:szCs w:val="24"/>
        </w:rPr>
        <w:t>2003</w:t>
      </w:r>
      <w:r w:rsidR="008A3D00">
        <w:rPr>
          <w:rFonts w:eastAsia="Calibri" w:cs="Times New Roman"/>
          <w:color w:val="auto"/>
          <w:szCs w:val="24"/>
        </w:rPr>
        <w:t>, the</w:t>
      </w:r>
      <w:r w:rsidR="007638D0">
        <w:rPr>
          <w:rFonts w:eastAsia="Calibri" w:cs="Times New Roman"/>
          <w:color w:val="auto"/>
          <w:szCs w:val="24"/>
        </w:rPr>
        <w:t xml:space="preserve"> PEB determined the CI’s impairment had not yet sufficiently stabilized for final adjudication and he remained on the TDRL.</w:t>
      </w:r>
    </w:p>
    <w:p w:rsidR="00ED2263" w:rsidRPr="00ED2263" w:rsidRDefault="00ED2263" w:rsidP="003701A0">
      <w:pPr>
        <w:jc w:val="both"/>
        <w:rPr>
          <w:color w:val="auto"/>
          <w:szCs w:val="24"/>
          <w:highlight w:val="yellow"/>
          <w:u w:val="single"/>
        </w:rPr>
      </w:pPr>
    </w:p>
    <w:p w:rsidR="00ED2263" w:rsidRDefault="00ED2263" w:rsidP="003701A0">
      <w:pPr>
        <w:jc w:val="both"/>
        <w:rPr>
          <w:color w:val="000000"/>
          <w:szCs w:val="24"/>
          <w:u w:val="single"/>
        </w:rPr>
      </w:pPr>
      <w:r w:rsidRPr="007C0FBF">
        <w:rPr>
          <w:color w:val="000000"/>
          <w:szCs w:val="24"/>
          <w:u w:val="single"/>
        </w:rPr>
        <w:t>Separation f</w:t>
      </w:r>
      <w:r>
        <w:rPr>
          <w:color w:val="000000"/>
          <w:szCs w:val="24"/>
          <w:u w:val="single"/>
        </w:rPr>
        <w:t>ro</w:t>
      </w:r>
      <w:r w:rsidRPr="007C0FBF">
        <w:rPr>
          <w:color w:val="000000"/>
          <w:szCs w:val="24"/>
          <w:u w:val="single"/>
        </w:rPr>
        <w:t xml:space="preserve">m TDRL </w:t>
      </w:r>
      <w:r w:rsidRPr="007C0FBF">
        <w:rPr>
          <w:color w:val="000000"/>
          <w:u w:val="single"/>
        </w:rPr>
        <w:t>20050720</w:t>
      </w:r>
      <w:r w:rsidRPr="007C0FBF">
        <w:rPr>
          <w:color w:val="000000"/>
          <w:szCs w:val="24"/>
          <w:u w:val="single"/>
        </w:rPr>
        <w:t xml:space="preserve">: </w:t>
      </w:r>
    </w:p>
    <w:p w:rsidR="00242F31" w:rsidRDefault="00242F31" w:rsidP="003701A0">
      <w:pPr>
        <w:jc w:val="both"/>
        <w:rPr>
          <w:color w:val="000000"/>
          <w:szCs w:val="24"/>
        </w:rPr>
      </w:pPr>
      <w:r w:rsidRPr="004C18D5">
        <w:rPr>
          <w:color w:val="000000"/>
          <w:szCs w:val="24"/>
        </w:rPr>
        <w:t xml:space="preserve">A second </w:t>
      </w:r>
      <w:r w:rsidR="008A3D00">
        <w:rPr>
          <w:color w:val="000000"/>
          <w:szCs w:val="24"/>
        </w:rPr>
        <w:t>p</w:t>
      </w:r>
      <w:r w:rsidRPr="00F87DFB">
        <w:rPr>
          <w:color w:val="000000"/>
          <w:szCs w:val="24"/>
        </w:rPr>
        <w:t xml:space="preserve">eriodic TDRL </w:t>
      </w:r>
      <w:r w:rsidR="008A3D00">
        <w:rPr>
          <w:color w:val="000000"/>
          <w:szCs w:val="24"/>
        </w:rPr>
        <w:t>e</w:t>
      </w:r>
      <w:r w:rsidRPr="00F87DFB">
        <w:rPr>
          <w:color w:val="000000"/>
          <w:szCs w:val="24"/>
        </w:rPr>
        <w:t xml:space="preserve">valuation was completed for OSA on </w:t>
      </w:r>
      <w:r w:rsidR="009405EF">
        <w:rPr>
          <w:color w:val="000000"/>
          <w:szCs w:val="24"/>
        </w:rPr>
        <w:t>8 July 2005</w:t>
      </w:r>
      <w:r w:rsidRPr="00F87DFB">
        <w:rPr>
          <w:color w:val="000000"/>
          <w:szCs w:val="24"/>
        </w:rPr>
        <w:t xml:space="preserve">. </w:t>
      </w:r>
      <w:r w:rsidR="009405EF">
        <w:rPr>
          <w:color w:val="000000"/>
          <w:szCs w:val="24"/>
        </w:rPr>
        <w:t xml:space="preserve"> </w:t>
      </w:r>
      <w:r w:rsidRPr="00F87DFB">
        <w:rPr>
          <w:color w:val="000000"/>
          <w:szCs w:val="24"/>
        </w:rPr>
        <w:t>The history described above was also reported at this examination.</w:t>
      </w:r>
      <w:r w:rsidR="00BD28A8" w:rsidRPr="00F87DFB">
        <w:rPr>
          <w:color w:val="000000"/>
          <w:szCs w:val="24"/>
        </w:rPr>
        <w:t xml:space="preserve"> </w:t>
      </w:r>
      <w:r w:rsidR="009405EF">
        <w:rPr>
          <w:color w:val="000000"/>
          <w:szCs w:val="24"/>
        </w:rPr>
        <w:t xml:space="preserve"> </w:t>
      </w:r>
      <w:r w:rsidR="00BD28A8" w:rsidRPr="00F87DFB">
        <w:rPr>
          <w:color w:val="000000"/>
          <w:szCs w:val="24"/>
        </w:rPr>
        <w:t>The CI continued to have</w:t>
      </w:r>
      <w:r w:rsidR="00BD28A8">
        <w:rPr>
          <w:color w:val="000000"/>
          <w:szCs w:val="24"/>
        </w:rPr>
        <w:t xml:space="preserve"> excessive daytime somnolence. </w:t>
      </w:r>
      <w:r w:rsidR="009405EF">
        <w:rPr>
          <w:color w:val="000000"/>
          <w:szCs w:val="24"/>
        </w:rPr>
        <w:t xml:space="preserve"> </w:t>
      </w:r>
      <w:r w:rsidR="00BD28A8">
        <w:rPr>
          <w:color w:val="000000"/>
          <w:szCs w:val="24"/>
        </w:rPr>
        <w:t xml:space="preserve">He reported feeling drowsy while driving but had not fallen asleep while driving or had any accidents. </w:t>
      </w:r>
      <w:r w:rsidR="009405EF">
        <w:rPr>
          <w:color w:val="000000"/>
          <w:szCs w:val="24"/>
        </w:rPr>
        <w:t xml:space="preserve"> </w:t>
      </w:r>
      <w:r w:rsidR="00BD28A8">
        <w:rPr>
          <w:color w:val="000000"/>
          <w:szCs w:val="24"/>
        </w:rPr>
        <w:t xml:space="preserve">He complained of decreased ability to concentrate during the day and while at work and stated this caused difficulties. </w:t>
      </w:r>
      <w:r w:rsidR="009405EF">
        <w:rPr>
          <w:color w:val="000000"/>
          <w:szCs w:val="24"/>
        </w:rPr>
        <w:t xml:space="preserve"> </w:t>
      </w:r>
      <w:r w:rsidR="00BD28A8">
        <w:rPr>
          <w:color w:val="000000"/>
          <w:szCs w:val="24"/>
        </w:rPr>
        <w:t xml:space="preserve">He denied taking frequent naps during the day. </w:t>
      </w:r>
      <w:r w:rsidR="009405EF">
        <w:rPr>
          <w:color w:val="000000"/>
          <w:szCs w:val="24"/>
        </w:rPr>
        <w:t xml:space="preserve"> </w:t>
      </w:r>
      <w:r w:rsidR="00BD28A8">
        <w:rPr>
          <w:color w:val="000000"/>
          <w:szCs w:val="24"/>
        </w:rPr>
        <w:t xml:space="preserve">He also continued to wake up frequently during the night and continued to snore while sleeping. The physician noted definite industrial impairment. </w:t>
      </w:r>
      <w:r w:rsidR="009405EF">
        <w:rPr>
          <w:color w:val="000000"/>
          <w:szCs w:val="24"/>
        </w:rPr>
        <w:t xml:space="preserve"> </w:t>
      </w:r>
      <w:r w:rsidR="00BD28A8">
        <w:rPr>
          <w:color w:val="000000"/>
          <w:szCs w:val="24"/>
        </w:rPr>
        <w:t>The physical examination noted</w:t>
      </w:r>
      <w:r w:rsidR="00B07C45">
        <w:rPr>
          <w:color w:val="000000"/>
          <w:szCs w:val="24"/>
        </w:rPr>
        <w:t xml:space="preserve"> the </w:t>
      </w:r>
      <w:proofErr w:type="spellStart"/>
      <w:r w:rsidR="00B07C45">
        <w:rPr>
          <w:color w:val="000000"/>
          <w:szCs w:val="24"/>
        </w:rPr>
        <w:t>oropharynx</w:t>
      </w:r>
      <w:proofErr w:type="spellEnd"/>
      <w:r w:rsidR="00B07C45">
        <w:rPr>
          <w:color w:val="000000"/>
          <w:szCs w:val="24"/>
        </w:rPr>
        <w:t xml:space="preserve"> revealed mild </w:t>
      </w:r>
      <w:proofErr w:type="spellStart"/>
      <w:r w:rsidR="00B07C45">
        <w:rPr>
          <w:color w:val="000000"/>
          <w:szCs w:val="24"/>
        </w:rPr>
        <w:t>macroglossia</w:t>
      </w:r>
      <w:proofErr w:type="spellEnd"/>
      <w:r w:rsidR="00B07C45">
        <w:rPr>
          <w:color w:val="000000"/>
          <w:szCs w:val="24"/>
        </w:rPr>
        <w:t xml:space="preserve"> and </w:t>
      </w:r>
      <w:r w:rsidR="000041C4">
        <w:rPr>
          <w:color w:val="000000"/>
          <w:szCs w:val="24"/>
        </w:rPr>
        <w:t xml:space="preserve">a </w:t>
      </w:r>
      <w:r w:rsidR="000041C4" w:rsidRPr="00BD28A8">
        <w:rPr>
          <w:color w:val="000000"/>
          <w:szCs w:val="24"/>
        </w:rPr>
        <w:t>very</w:t>
      </w:r>
      <w:r w:rsidR="00BD28A8" w:rsidRPr="00BD28A8">
        <w:rPr>
          <w:color w:val="000000"/>
          <w:szCs w:val="24"/>
        </w:rPr>
        <w:t xml:space="preserve"> small posterior</w:t>
      </w:r>
      <w:r w:rsidR="00B07C45">
        <w:rPr>
          <w:color w:val="000000"/>
          <w:szCs w:val="24"/>
        </w:rPr>
        <w:t xml:space="preserve"> </w:t>
      </w:r>
      <w:proofErr w:type="spellStart"/>
      <w:r w:rsidR="00BD28A8" w:rsidRPr="00BD28A8">
        <w:rPr>
          <w:color w:val="000000"/>
          <w:szCs w:val="24"/>
        </w:rPr>
        <w:t>oropharyngeal</w:t>
      </w:r>
      <w:proofErr w:type="spellEnd"/>
      <w:r w:rsidR="00BD28A8" w:rsidRPr="00BD28A8">
        <w:rPr>
          <w:color w:val="000000"/>
          <w:szCs w:val="24"/>
        </w:rPr>
        <w:t xml:space="preserve"> airway with a </w:t>
      </w:r>
      <w:proofErr w:type="spellStart"/>
      <w:r w:rsidR="00BD28A8" w:rsidRPr="00BD28A8">
        <w:rPr>
          <w:color w:val="000000"/>
          <w:szCs w:val="24"/>
        </w:rPr>
        <w:t>Mallampati</w:t>
      </w:r>
      <w:proofErr w:type="spellEnd"/>
      <w:r w:rsidR="00BD28A8" w:rsidRPr="00BD28A8">
        <w:rPr>
          <w:color w:val="000000"/>
          <w:szCs w:val="24"/>
        </w:rPr>
        <w:t xml:space="preserve"> Class III. </w:t>
      </w:r>
      <w:r w:rsidR="009405EF">
        <w:rPr>
          <w:color w:val="000000"/>
          <w:szCs w:val="24"/>
        </w:rPr>
        <w:t xml:space="preserve"> </w:t>
      </w:r>
      <w:r w:rsidR="00B07C45">
        <w:rPr>
          <w:color w:val="000000"/>
          <w:szCs w:val="24"/>
        </w:rPr>
        <w:t>The lungs were clear to auscultation and r</w:t>
      </w:r>
      <w:r w:rsidR="00BD28A8" w:rsidRPr="00BD28A8">
        <w:rPr>
          <w:color w:val="000000"/>
          <w:szCs w:val="24"/>
        </w:rPr>
        <w:t>espiratory movements were normal. There is no wheezing or crackles</w:t>
      </w:r>
      <w:r w:rsidR="00B07C45">
        <w:rPr>
          <w:color w:val="000000"/>
          <w:szCs w:val="24"/>
        </w:rPr>
        <w:t xml:space="preserve">. </w:t>
      </w:r>
      <w:r w:rsidR="009405EF">
        <w:rPr>
          <w:color w:val="000000"/>
          <w:szCs w:val="24"/>
        </w:rPr>
        <w:t xml:space="preserve"> </w:t>
      </w:r>
      <w:r w:rsidR="00B07C45">
        <w:rPr>
          <w:color w:val="000000"/>
          <w:szCs w:val="24"/>
        </w:rPr>
        <w:t xml:space="preserve">Pulmonary function tests were completed on the day of this examination and they showed a mild restrictive ventilator defect. </w:t>
      </w:r>
      <w:r w:rsidR="009405EF">
        <w:rPr>
          <w:color w:val="000000"/>
          <w:szCs w:val="24"/>
        </w:rPr>
        <w:t xml:space="preserve"> </w:t>
      </w:r>
      <w:r w:rsidR="00B07C45">
        <w:rPr>
          <w:color w:val="000000"/>
          <w:szCs w:val="24"/>
        </w:rPr>
        <w:t xml:space="preserve">The physician noted the CI continued to have significant symptoms related to his poorly controlled OSA including excessive daytime somnolence, decreased ability to concentrate, and </w:t>
      </w:r>
      <w:proofErr w:type="spellStart"/>
      <w:r w:rsidR="00B07C45">
        <w:rPr>
          <w:color w:val="000000"/>
          <w:szCs w:val="24"/>
        </w:rPr>
        <w:t>nonrestorative</w:t>
      </w:r>
      <w:proofErr w:type="spellEnd"/>
      <w:r w:rsidR="00B07C45">
        <w:rPr>
          <w:color w:val="000000"/>
          <w:szCs w:val="24"/>
        </w:rPr>
        <w:t xml:space="preserve"> sleep. </w:t>
      </w:r>
      <w:r w:rsidR="009405EF">
        <w:rPr>
          <w:color w:val="000000"/>
          <w:szCs w:val="24"/>
        </w:rPr>
        <w:t xml:space="preserve"> </w:t>
      </w:r>
      <w:r w:rsidR="00B07C45">
        <w:rPr>
          <w:color w:val="000000"/>
          <w:szCs w:val="24"/>
        </w:rPr>
        <w:t>He opined the condition was permanent and would not improve and recommended final adjudication.</w:t>
      </w:r>
    </w:p>
    <w:p w:rsidR="00B07C45" w:rsidRDefault="00B07C45" w:rsidP="003701A0">
      <w:pPr>
        <w:jc w:val="both"/>
        <w:rPr>
          <w:color w:val="000000"/>
          <w:szCs w:val="24"/>
        </w:rPr>
      </w:pPr>
    </w:p>
    <w:p w:rsidR="00B07C45" w:rsidRDefault="008A3D00" w:rsidP="003701A0">
      <w:pPr>
        <w:jc w:val="both"/>
        <w:rPr>
          <w:color w:val="000000"/>
          <w:szCs w:val="24"/>
        </w:rPr>
      </w:pPr>
      <w:r>
        <w:rPr>
          <w:color w:val="000000"/>
          <w:szCs w:val="24"/>
        </w:rPr>
        <w:t>On</w:t>
      </w:r>
      <w:r w:rsidR="00B07C45">
        <w:rPr>
          <w:color w:val="000000"/>
          <w:szCs w:val="24"/>
        </w:rPr>
        <w:t xml:space="preserve"> </w:t>
      </w:r>
      <w:r w:rsidR="009405EF">
        <w:rPr>
          <w:color w:val="000000"/>
          <w:szCs w:val="24"/>
        </w:rPr>
        <w:t xml:space="preserve">24 June </w:t>
      </w:r>
      <w:r w:rsidR="0095134C">
        <w:rPr>
          <w:color w:val="000000"/>
          <w:szCs w:val="24"/>
        </w:rPr>
        <w:t>2005</w:t>
      </w:r>
      <w:r>
        <w:rPr>
          <w:color w:val="000000"/>
          <w:szCs w:val="24"/>
        </w:rPr>
        <w:t>, the</w:t>
      </w:r>
      <w:r w:rsidR="009405EF">
        <w:rPr>
          <w:color w:val="000000"/>
          <w:szCs w:val="24"/>
        </w:rPr>
        <w:t xml:space="preserve"> </w:t>
      </w:r>
      <w:r w:rsidR="00B07C45">
        <w:rPr>
          <w:color w:val="000000"/>
          <w:szCs w:val="24"/>
        </w:rPr>
        <w:t>PEB</w:t>
      </w:r>
      <w:r w:rsidR="0095134C">
        <w:rPr>
          <w:color w:val="000000"/>
          <w:szCs w:val="24"/>
        </w:rPr>
        <w:t xml:space="preserve"> determined the CI’s conditions had sufficiently stabilized for final adjudication and that he remained unfit for continued service due to the OSA condition.</w:t>
      </w:r>
      <w:r w:rsidR="009405EF">
        <w:rPr>
          <w:color w:val="000000"/>
          <w:szCs w:val="24"/>
        </w:rPr>
        <w:t xml:space="preserve"> </w:t>
      </w:r>
      <w:r w:rsidR="0095134C">
        <w:rPr>
          <w:color w:val="000000"/>
          <w:szCs w:val="24"/>
        </w:rPr>
        <w:t xml:space="preserve"> Citing the now rescinded </w:t>
      </w:r>
      <w:proofErr w:type="spellStart"/>
      <w:r w:rsidR="0095134C">
        <w:rPr>
          <w:color w:val="000000"/>
          <w:szCs w:val="24"/>
        </w:rPr>
        <w:t>DoDI</w:t>
      </w:r>
      <w:proofErr w:type="spellEnd"/>
      <w:r w:rsidR="0095134C">
        <w:rPr>
          <w:color w:val="000000"/>
          <w:szCs w:val="24"/>
        </w:rPr>
        <w:t xml:space="preserve">, the PEB determined the CI had a mild industrial impairment and applied a 0% rating at final separation. </w:t>
      </w:r>
      <w:r w:rsidR="009405EF">
        <w:rPr>
          <w:color w:val="000000"/>
          <w:szCs w:val="24"/>
        </w:rPr>
        <w:t xml:space="preserve"> </w:t>
      </w:r>
      <w:r w:rsidR="0095134C">
        <w:rPr>
          <w:color w:val="000000"/>
          <w:szCs w:val="24"/>
        </w:rPr>
        <w:t>The VA rating of 50% from the time of TDRL entry remained in effect</w:t>
      </w:r>
      <w:r w:rsidR="00050369">
        <w:rPr>
          <w:color w:val="000000"/>
          <w:szCs w:val="24"/>
        </w:rPr>
        <w:t>.</w:t>
      </w:r>
    </w:p>
    <w:p w:rsidR="00BD28A8" w:rsidRDefault="00BD28A8" w:rsidP="003701A0">
      <w:pPr>
        <w:jc w:val="both"/>
        <w:rPr>
          <w:color w:val="000000"/>
          <w:szCs w:val="24"/>
          <w:u w:val="single"/>
        </w:rPr>
      </w:pPr>
    </w:p>
    <w:p w:rsidR="0095134C" w:rsidRDefault="0095134C" w:rsidP="003701A0">
      <w:pPr>
        <w:jc w:val="both"/>
        <w:rPr>
          <w:color w:val="000000"/>
          <w:szCs w:val="24"/>
        </w:rPr>
      </w:pPr>
      <w:r>
        <w:rPr>
          <w:color w:val="auto"/>
          <w:szCs w:val="24"/>
        </w:rPr>
        <w:t>The PEB’s DA Form 199</w:t>
      </w:r>
      <w:r w:rsidR="007062D9" w:rsidRPr="0095134C">
        <w:rPr>
          <w:color w:val="auto"/>
          <w:szCs w:val="24"/>
        </w:rPr>
        <w:t xml:space="preserve"> assigned a 0% rating under DODI 1332.39 (E2.A1.2.21), and based the fitness adjudication solely on </w:t>
      </w:r>
      <w:r>
        <w:rPr>
          <w:color w:val="auto"/>
          <w:szCs w:val="24"/>
        </w:rPr>
        <w:t>the basis of industrial impairment</w:t>
      </w:r>
      <w:r w:rsidR="007062D9" w:rsidRPr="0095134C">
        <w:rPr>
          <w:color w:val="auto"/>
          <w:szCs w:val="24"/>
        </w:rPr>
        <w:t>.</w:t>
      </w:r>
      <w:r>
        <w:rPr>
          <w:color w:val="auto"/>
          <w:szCs w:val="24"/>
        </w:rPr>
        <w:t xml:space="preserve"> Although the periodic TDRL </w:t>
      </w:r>
      <w:r w:rsidR="008A3D00">
        <w:rPr>
          <w:color w:val="auto"/>
          <w:szCs w:val="24"/>
        </w:rPr>
        <w:t>e</w:t>
      </w:r>
      <w:r>
        <w:rPr>
          <w:color w:val="auto"/>
          <w:szCs w:val="24"/>
        </w:rPr>
        <w:t xml:space="preserve">valuation supported a definite industrial impairment, the PEB determined only a mild industrial impairment was present. </w:t>
      </w:r>
      <w:r w:rsidR="009405EF">
        <w:rPr>
          <w:color w:val="auto"/>
          <w:szCs w:val="24"/>
        </w:rPr>
        <w:t xml:space="preserve"> </w:t>
      </w:r>
      <w:r w:rsidR="007062D9" w:rsidRPr="0095134C">
        <w:rPr>
          <w:color w:val="auto"/>
          <w:szCs w:val="24"/>
        </w:rPr>
        <w:t xml:space="preserve">Contemporary PEBs across all of the services no longer consider OSA </w:t>
      </w:r>
      <w:r w:rsidR="007062D9" w:rsidRPr="00F87DFB">
        <w:rPr>
          <w:color w:val="auto"/>
          <w:szCs w:val="24"/>
        </w:rPr>
        <w:t xml:space="preserve">to be unfitting </w:t>
      </w:r>
      <w:r w:rsidRPr="00F87DFB">
        <w:rPr>
          <w:color w:val="auto"/>
          <w:szCs w:val="24"/>
        </w:rPr>
        <w:t>in general</w:t>
      </w:r>
      <w:r w:rsidR="007062D9" w:rsidRPr="00F87DFB">
        <w:rPr>
          <w:color w:val="auto"/>
          <w:szCs w:val="24"/>
        </w:rPr>
        <w:t xml:space="preserve">, but the Board, by legal opinion and firm precedent, does not make contrary recommendations to a PEB determination that a condition was unfitting. VASRD §4.97 mandates a minimum rating of 50% under 6847 for OSA requiring a breathing assistance device. </w:t>
      </w:r>
      <w:r w:rsidR="009405EF">
        <w:rPr>
          <w:color w:val="auto"/>
          <w:szCs w:val="24"/>
        </w:rPr>
        <w:t xml:space="preserve"> </w:t>
      </w:r>
      <w:r w:rsidR="007062D9" w:rsidRPr="00F87DFB">
        <w:rPr>
          <w:color w:val="auto"/>
          <w:szCs w:val="24"/>
        </w:rPr>
        <w:t xml:space="preserve">In consideration of this evidence, and IAW </w:t>
      </w:r>
      <w:proofErr w:type="spellStart"/>
      <w:r w:rsidR="007062D9" w:rsidRPr="00F87DFB">
        <w:rPr>
          <w:color w:val="auto"/>
          <w:szCs w:val="24"/>
        </w:rPr>
        <w:t>DoDI</w:t>
      </w:r>
      <w:proofErr w:type="spellEnd"/>
      <w:r w:rsidR="007062D9" w:rsidRPr="00F87DFB">
        <w:rPr>
          <w:color w:val="auto"/>
          <w:szCs w:val="24"/>
        </w:rPr>
        <w:t xml:space="preserve"> 6040.</w:t>
      </w:r>
      <w:r w:rsidRPr="00F87DFB">
        <w:rPr>
          <w:color w:val="auto"/>
          <w:szCs w:val="24"/>
        </w:rPr>
        <w:t>44, the Board must recommend a final s</w:t>
      </w:r>
      <w:r w:rsidR="007062D9" w:rsidRPr="00F87DFB">
        <w:rPr>
          <w:color w:val="auto"/>
          <w:szCs w:val="24"/>
        </w:rPr>
        <w:t>eparation rating of 50% for the OSA conditio</w:t>
      </w:r>
      <w:r w:rsidR="007062D9" w:rsidRPr="009405EF">
        <w:rPr>
          <w:color w:val="auto"/>
          <w:szCs w:val="24"/>
        </w:rPr>
        <w:t>n.</w:t>
      </w:r>
      <w:r w:rsidRPr="00F87DFB">
        <w:rPr>
          <w:szCs w:val="24"/>
        </w:rPr>
        <w:t xml:space="preserve"> </w:t>
      </w:r>
      <w:r w:rsidR="009405EF">
        <w:rPr>
          <w:szCs w:val="24"/>
        </w:rPr>
        <w:t xml:space="preserve"> </w:t>
      </w:r>
      <w:r w:rsidRPr="00F87DFB">
        <w:rPr>
          <w:color w:val="000000"/>
          <w:szCs w:val="24"/>
        </w:rPr>
        <w:t xml:space="preserve">After due deliberation, considering all of the evidence and mindful of VASRD §4.3 (reasonable doubt), the Board recommends </w:t>
      </w:r>
      <w:r w:rsidRPr="00F87DFB">
        <w:rPr>
          <w:color w:val="auto"/>
          <w:szCs w:val="24"/>
        </w:rPr>
        <w:t>an initial TDRL rating of 50% and a 50% permanent rating, coded</w:t>
      </w:r>
      <w:r w:rsidRPr="0016557F">
        <w:rPr>
          <w:color w:val="auto"/>
          <w:szCs w:val="24"/>
        </w:rPr>
        <w:t xml:space="preserve"> </w:t>
      </w:r>
      <w:r>
        <w:rPr>
          <w:color w:val="auto"/>
          <w:szCs w:val="24"/>
        </w:rPr>
        <w:t xml:space="preserve">6847 </w:t>
      </w:r>
      <w:r w:rsidRPr="0016557F">
        <w:rPr>
          <w:color w:val="auto"/>
          <w:szCs w:val="24"/>
        </w:rPr>
        <w:t>IAW VASRD §4.</w:t>
      </w:r>
      <w:r>
        <w:rPr>
          <w:color w:val="auto"/>
          <w:szCs w:val="24"/>
        </w:rPr>
        <w:t>97.</w:t>
      </w:r>
    </w:p>
    <w:p w:rsidR="003863E9" w:rsidRPr="00F64312" w:rsidRDefault="003863E9" w:rsidP="003701A0">
      <w:pPr>
        <w:pBdr>
          <w:bottom w:val="single" w:sz="12" w:space="1" w:color="auto"/>
        </w:pBdr>
        <w:tabs>
          <w:tab w:val="left" w:pos="288"/>
          <w:tab w:val="left" w:pos="4752"/>
        </w:tabs>
        <w:jc w:val="both"/>
        <w:rPr>
          <w:color w:val="auto"/>
        </w:rPr>
      </w:pPr>
    </w:p>
    <w:p w:rsidR="00AD2379" w:rsidRPr="00F64312" w:rsidRDefault="00AD2379" w:rsidP="003701A0">
      <w:pPr>
        <w:jc w:val="both"/>
        <w:rPr>
          <w:color w:val="auto"/>
          <w:highlight w:val="magenta"/>
        </w:rPr>
      </w:pPr>
    </w:p>
    <w:p w:rsidR="00122D23" w:rsidRPr="0016557F" w:rsidRDefault="00AD2379" w:rsidP="003701A0">
      <w:pPr>
        <w:jc w:val="both"/>
        <w:rPr>
          <w:color w:val="auto"/>
          <w:szCs w:val="24"/>
        </w:rPr>
      </w:pPr>
      <w:r w:rsidRPr="00F64312">
        <w:rPr>
          <w:color w:val="auto"/>
          <w:u w:val="single"/>
        </w:rPr>
        <w:t>BOARD FINDINGS</w:t>
      </w:r>
      <w:r w:rsidRPr="00F64312">
        <w:rPr>
          <w:color w:val="auto"/>
        </w:rPr>
        <w:t xml:space="preserve">:  IAW </w:t>
      </w:r>
      <w:proofErr w:type="spellStart"/>
      <w:r w:rsidRPr="00F64312">
        <w:rPr>
          <w:color w:val="auto"/>
        </w:rPr>
        <w:t>DoDI</w:t>
      </w:r>
      <w:proofErr w:type="spellEnd"/>
      <w:r w:rsidRPr="00F64312">
        <w:rPr>
          <w:color w:val="auto"/>
        </w:rPr>
        <w:t xml:space="preserve"> 6040.44, provisions of </w:t>
      </w:r>
      <w:proofErr w:type="spellStart"/>
      <w:r w:rsidRPr="00F64312">
        <w:rPr>
          <w:color w:val="auto"/>
        </w:rPr>
        <w:t>DoD</w:t>
      </w:r>
      <w:proofErr w:type="spellEnd"/>
      <w:r w:rsidRPr="00F64312">
        <w:rPr>
          <w:color w:val="auto"/>
        </w:rPr>
        <w:t xml:space="preserve"> or Military Department regulations or guidelines relied upon by the PEB will not be considered by the Board to the extent they were </w:t>
      </w:r>
      <w:r w:rsidRPr="00F87DFB">
        <w:rPr>
          <w:color w:val="auto"/>
        </w:rPr>
        <w:t>inconsistent with the VASRD in effect at the time of the adjudication</w:t>
      </w:r>
      <w:r w:rsidRPr="00F87DFB">
        <w:rPr>
          <w:rFonts w:cs="Times New Roman"/>
          <w:color w:val="auto"/>
        </w:rPr>
        <w:t>.</w:t>
      </w:r>
      <w:r w:rsidR="00122D23" w:rsidRPr="00F87DFB">
        <w:rPr>
          <w:rFonts w:cs="Times New Roman"/>
          <w:color w:val="auto"/>
        </w:rPr>
        <w:t xml:space="preserve"> </w:t>
      </w:r>
      <w:r w:rsidR="009405EF">
        <w:rPr>
          <w:rFonts w:cs="Times New Roman"/>
          <w:color w:val="auto"/>
        </w:rPr>
        <w:t xml:space="preserve"> </w:t>
      </w:r>
      <w:r w:rsidR="00165C7B" w:rsidRPr="00F87DFB">
        <w:rPr>
          <w:rFonts w:eastAsia="Calibri" w:cs="Times New Roman"/>
          <w:color w:val="auto"/>
          <w:szCs w:val="24"/>
        </w:rPr>
        <w:t xml:space="preserve">As discussed above, PEB reliance on </w:t>
      </w:r>
      <w:proofErr w:type="spellStart"/>
      <w:r w:rsidR="00165C7B" w:rsidRPr="00F87DFB">
        <w:rPr>
          <w:rFonts w:eastAsia="Calibri" w:cs="Times New Roman"/>
          <w:color w:val="auto"/>
          <w:szCs w:val="24"/>
        </w:rPr>
        <w:t>DoDI</w:t>
      </w:r>
      <w:proofErr w:type="spellEnd"/>
      <w:r w:rsidR="00165C7B" w:rsidRPr="00F87DFB">
        <w:rPr>
          <w:rFonts w:eastAsia="Calibri" w:cs="Times New Roman"/>
          <w:color w:val="auto"/>
          <w:szCs w:val="24"/>
        </w:rPr>
        <w:t xml:space="preserve"> 1332.39 for rating </w:t>
      </w:r>
      <w:r w:rsidR="009405EF">
        <w:rPr>
          <w:rFonts w:eastAsia="Calibri" w:cs="Times New Roman"/>
          <w:color w:val="auto"/>
          <w:szCs w:val="24"/>
        </w:rPr>
        <w:t>OSA</w:t>
      </w:r>
      <w:r w:rsidR="00165C7B" w:rsidRPr="00F87DFB">
        <w:rPr>
          <w:rFonts w:eastAsia="Calibri" w:cs="Times New Roman"/>
          <w:color w:val="auto"/>
          <w:szCs w:val="24"/>
        </w:rPr>
        <w:t xml:space="preserve"> was operant in this case and the condition was adjudicated independently of that instruction by the Board. </w:t>
      </w:r>
      <w:r w:rsidR="009405EF">
        <w:rPr>
          <w:rFonts w:eastAsia="Calibri" w:cs="Times New Roman"/>
          <w:color w:val="auto"/>
          <w:szCs w:val="24"/>
        </w:rPr>
        <w:t xml:space="preserve"> </w:t>
      </w:r>
      <w:r w:rsidR="00F87DFB" w:rsidRPr="00F87DFB">
        <w:rPr>
          <w:color w:val="auto"/>
          <w:szCs w:val="24"/>
        </w:rPr>
        <w:t>In the matter of the fibromyalgia condition, the Board unanimously recommends an initial TDRL rating of 20%, coded 5025 IAW VASRD §4.71a</w:t>
      </w:r>
      <w:r w:rsidR="00F87DFB" w:rsidRPr="0016557F">
        <w:rPr>
          <w:color w:val="auto"/>
          <w:szCs w:val="24"/>
        </w:rPr>
        <w:t>.</w:t>
      </w:r>
      <w:r w:rsidR="00F87DFB">
        <w:rPr>
          <w:color w:val="auto"/>
          <w:szCs w:val="24"/>
        </w:rPr>
        <w:t xml:space="preserve"> </w:t>
      </w:r>
      <w:r w:rsidR="009405EF">
        <w:rPr>
          <w:color w:val="auto"/>
          <w:szCs w:val="24"/>
        </w:rPr>
        <w:t xml:space="preserve"> </w:t>
      </w:r>
      <w:r w:rsidR="00F87DFB">
        <w:rPr>
          <w:color w:val="auto"/>
          <w:szCs w:val="24"/>
        </w:rPr>
        <w:t xml:space="preserve">The </w:t>
      </w:r>
      <w:r w:rsidR="0016557F" w:rsidRPr="0016557F">
        <w:rPr>
          <w:color w:val="auto"/>
          <w:szCs w:val="24"/>
        </w:rPr>
        <w:t>Board</w:t>
      </w:r>
      <w:r w:rsidR="00F87DFB">
        <w:rPr>
          <w:color w:val="auto"/>
          <w:szCs w:val="24"/>
        </w:rPr>
        <w:t>, by simple majority,</w:t>
      </w:r>
      <w:r w:rsidR="0016557F" w:rsidRPr="0016557F">
        <w:rPr>
          <w:color w:val="auto"/>
          <w:szCs w:val="24"/>
        </w:rPr>
        <w:t xml:space="preserve"> recommends a </w:t>
      </w:r>
      <w:r w:rsidR="00122D23">
        <w:rPr>
          <w:color w:val="auto"/>
          <w:szCs w:val="24"/>
        </w:rPr>
        <w:t>2</w:t>
      </w:r>
      <w:r w:rsidR="0016557F" w:rsidRPr="0016557F">
        <w:rPr>
          <w:color w:val="auto"/>
          <w:szCs w:val="24"/>
        </w:rPr>
        <w:t xml:space="preserve">0% permanent rating, coded </w:t>
      </w:r>
      <w:r w:rsidR="00122D23">
        <w:rPr>
          <w:color w:val="auto"/>
          <w:szCs w:val="24"/>
        </w:rPr>
        <w:t>5025</w:t>
      </w:r>
      <w:r w:rsidR="0016557F" w:rsidRPr="0016557F">
        <w:rPr>
          <w:color w:val="auto"/>
          <w:szCs w:val="24"/>
        </w:rPr>
        <w:t xml:space="preserve"> IAW VASRD §4.71a. </w:t>
      </w:r>
      <w:r w:rsidR="009405EF">
        <w:rPr>
          <w:color w:val="auto"/>
          <w:szCs w:val="24"/>
        </w:rPr>
        <w:t xml:space="preserve"> </w:t>
      </w:r>
      <w:r w:rsidR="00F87DFB" w:rsidRPr="00F87DFB">
        <w:rPr>
          <w:color w:val="auto"/>
          <w:szCs w:val="24"/>
        </w:rPr>
        <w:t>The single voter for dissent (who recommended rating 5025 at 10</w:t>
      </w:r>
      <w:r w:rsidR="00F87DFB" w:rsidRPr="0096686D">
        <w:rPr>
          <w:color w:val="auto"/>
          <w:szCs w:val="24"/>
        </w:rPr>
        <w:t xml:space="preserve">%) submitted the </w:t>
      </w:r>
      <w:proofErr w:type="spellStart"/>
      <w:r w:rsidR="00F87DFB" w:rsidRPr="0096686D">
        <w:rPr>
          <w:color w:val="auto"/>
          <w:szCs w:val="24"/>
        </w:rPr>
        <w:t>addended</w:t>
      </w:r>
      <w:proofErr w:type="spellEnd"/>
      <w:r w:rsidR="00F87DFB" w:rsidRPr="0096686D">
        <w:rPr>
          <w:color w:val="auto"/>
          <w:szCs w:val="24"/>
        </w:rPr>
        <w:t xml:space="preserve"> minority opinion. </w:t>
      </w:r>
      <w:r w:rsidR="009405EF">
        <w:rPr>
          <w:color w:val="auto"/>
          <w:szCs w:val="24"/>
        </w:rPr>
        <w:t xml:space="preserve"> </w:t>
      </w:r>
      <w:r w:rsidR="00560F12" w:rsidRPr="0096686D">
        <w:rPr>
          <w:rFonts w:eastAsia="Calibri" w:cs="Times New Roman"/>
          <w:color w:val="auto"/>
          <w:szCs w:val="24"/>
        </w:rPr>
        <w:t>In the matter</w:t>
      </w:r>
      <w:r w:rsidR="00560F12" w:rsidRPr="00F87DFB">
        <w:rPr>
          <w:rFonts w:eastAsia="Calibri" w:cs="Times New Roman"/>
          <w:color w:val="auto"/>
          <w:szCs w:val="24"/>
        </w:rPr>
        <w:t xml:space="preserve"> of the </w:t>
      </w:r>
      <w:r w:rsidR="009405EF">
        <w:rPr>
          <w:color w:val="auto"/>
        </w:rPr>
        <w:t>DJD</w:t>
      </w:r>
      <w:r w:rsidR="000156A9" w:rsidRPr="00F87DFB">
        <w:rPr>
          <w:color w:val="auto"/>
        </w:rPr>
        <w:t xml:space="preserve"> status post rotator cuff repair</w:t>
      </w:r>
      <w:r w:rsidR="000156A9" w:rsidRPr="00F87DFB">
        <w:rPr>
          <w:rFonts w:eastAsia="Calibri" w:cs="Times New Roman"/>
          <w:color w:val="auto"/>
          <w:szCs w:val="24"/>
        </w:rPr>
        <w:t xml:space="preserve"> condition </w:t>
      </w:r>
      <w:r w:rsidR="00560F12" w:rsidRPr="00F87DFB">
        <w:rPr>
          <w:rFonts w:eastAsia="Calibri" w:cs="Times New Roman"/>
          <w:color w:val="auto"/>
          <w:szCs w:val="24"/>
        </w:rPr>
        <w:t>and IAW VASRD §4.71a, the Board unanimously recommends no change in the PEB adjudication</w:t>
      </w:r>
      <w:r w:rsidR="00122D23" w:rsidRPr="00F87DFB">
        <w:rPr>
          <w:rFonts w:eastAsia="Calibri" w:cs="Times New Roman"/>
          <w:color w:val="auto"/>
          <w:szCs w:val="24"/>
        </w:rPr>
        <w:t xml:space="preserve"> at the initial TDRL rating or at permanent separation</w:t>
      </w:r>
      <w:r w:rsidR="00560F12" w:rsidRPr="00F87DFB">
        <w:rPr>
          <w:rFonts w:eastAsia="Calibri" w:cs="Times New Roman"/>
          <w:color w:val="auto"/>
          <w:szCs w:val="24"/>
        </w:rPr>
        <w:t>.</w:t>
      </w:r>
      <w:r w:rsidR="006B690F" w:rsidRPr="00F87DFB">
        <w:rPr>
          <w:rFonts w:eastAsia="Calibri" w:cs="Times New Roman"/>
          <w:color w:val="auto"/>
          <w:szCs w:val="24"/>
        </w:rPr>
        <w:t xml:space="preserve"> </w:t>
      </w:r>
      <w:r w:rsidR="009405EF">
        <w:rPr>
          <w:rFonts w:eastAsia="Calibri" w:cs="Times New Roman"/>
          <w:color w:val="auto"/>
          <w:szCs w:val="24"/>
        </w:rPr>
        <w:t xml:space="preserve"> </w:t>
      </w:r>
      <w:r w:rsidR="00122D23" w:rsidRPr="00F87DFB">
        <w:rPr>
          <w:color w:val="auto"/>
          <w:szCs w:val="24"/>
        </w:rPr>
        <w:t xml:space="preserve">In the matter of the </w:t>
      </w:r>
      <w:r w:rsidR="009405EF">
        <w:rPr>
          <w:color w:val="auto"/>
          <w:szCs w:val="24"/>
        </w:rPr>
        <w:t>OSA</w:t>
      </w:r>
      <w:r w:rsidR="00122D23" w:rsidRPr="00F87DFB">
        <w:rPr>
          <w:color w:val="auto"/>
          <w:szCs w:val="24"/>
        </w:rPr>
        <w:t xml:space="preserve"> condition, the Board unanimously recommends an initial TDRL rating of 50% and a 50% permanent rating, coded 6847 IAW VASRD</w:t>
      </w:r>
      <w:r w:rsidR="00122D23" w:rsidRPr="0016557F">
        <w:rPr>
          <w:color w:val="auto"/>
          <w:szCs w:val="24"/>
        </w:rPr>
        <w:t xml:space="preserve"> §4.</w:t>
      </w:r>
      <w:r w:rsidR="0095134C">
        <w:rPr>
          <w:color w:val="auto"/>
          <w:szCs w:val="24"/>
        </w:rPr>
        <w:t>97</w:t>
      </w:r>
      <w:r w:rsidR="00122D23" w:rsidRPr="0016557F">
        <w:rPr>
          <w:color w:val="auto"/>
          <w:szCs w:val="24"/>
        </w:rPr>
        <w:t xml:space="preserve">. </w:t>
      </w:r>
    </w:p>
    <w:p w:rsidR="00AD2379" w:rsidRPr="00F64312" w:rsidRDefault="00AD2379" w:rsidP="003701A0">
      <w:pPr>
        <w:pBdr>
          <w:bottom w:val="single" w:sz="12" w:space="1" w:color="auto"/>
        </w:pBdr>
        <w:tabs>
          <w:tab w:val="left" w:pos="288"/>
          <w:tab w:val="left" w:pos="4752"/>
        </w:tabs>
        <w:jc w:val="both"/>
        <w:rPr>
          <w:color w:val="auto"/>
          <w:highlight w:val="magenta"/>
        </w:rPr>
      </w:pPr>
    </w:p>
    <w:p w:rsidR="00AD2379" w:rsidRPr="00F64312" w:rsidRDefault="00AD2379" w:rsidP="003701A0">
      <w:pPr>
        <w:jc w:val="both"/>
        <w:rPr>
          <w:color w:val="auto"/>
          <w:highlight w:val="magenta"/>
        </w:rPr>
      </w:pPr>
    </w:p>
    <w:p w:rsidR="00565636" w:rsidRPr="00F64312" w:rsidRDefault="00AD2379" w:rsidP="003701A0">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w:t>
      </w:r>
      <w:proofErr w:type="spellStart"/>
      <w:r w:rsidR="00565636" w:rsidRPr="00F64312">
        <w:rPr>
          <w:rFonts w:eastAsia="Calibri" w:cs="Times New Roman"/>
          <w:color w:val="auto"/>
          <w:szCs w:val="24"/>
        </w:rPr>
        <w:t>recharacterized</w:t>
      </w:r>
      <w:proofErr w:type="spellEnd"/>
      <w:r w:rsidR="00565636" w:rsidRPr="00F64312">
        <w:rPr>
          <w:rFonts w:eastAsia="Calibri" w:cs="Times New Roman"/>
          <w:color w:val="auto"/>
          <w:szCs w:val="24"/>
        </w:rPr>
        <w:t xml:space="preserve">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7B080E" w:rsidRDefault="007B080E" w:rsidP="00565636">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270"/>
        <w:gridCol w:w="1080"/>
        <w:gridCol w:w="810"/>
        <w:gridCol w:w="1530"/>
      </w:tblGrid>
      <w:tr w:rsidR="007B080E" w:rsidRPr="00F64312" w:rsidTr="007B080E">
        <w:trPr>
          <w:trHeight w:val="206"/>
          <w:jc w:val="center"/>
        </w:trPr>
        <w:tc>
          <w:tcPr>
            <w:tcW w:w="5940" w:type="dxa"/>
            <w:gridSpan w:val="2"/>
            <w:vMerge w:val="restart"/>
            <w:shd w:val="clear" w:color="auto" w:fill="D9D9D9"/>
            <w:vAlign w:val="center"/>
          </w:tcPr>
          <w:p w:rsidR="007B080E" w:rsidRPr="00F64312" w:rsidRDefault="007B080E" w:rsidP="00803C32">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080" w:type="dxa"/>
            <w:vMerge w:val="restart"/>
            <w:shd w:val="clear" w:color="auto" w:fill="D9D9D9"/>
            <w:vAlign w:val="center"/>
          </w:tcPr>
          <w:p w:rsidR="007B080E" w:rsidRPr="00F64312" w:rsidRDefault="007B080E" w:rsidP="00803C32">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7B080E" w:rsidRPr="00F64312" w:rsidRDefault="007B080E" w:rsidP="00803C32">
            <w:pPr>
              <w:rPr>
                <w:color w:val="auto"/>
              </w:rPr>
            </w:pPr>
            <w:r w:rsidRPr="00F64312">
              <w:rPr>
                <w:rFonts w:eastAsia="Calibri" w:cs="Times New Roman"/>
                <w:b/>
                <w:color w:val="auto"/>
                <w:szCs w:val="24"/>
              </w:rPr>
              <w:t>RATING</w:t>
            </w:r>
          </w:p>
        </w:tc>
      </w:tr>
      <w:tr w:rsidR="007B080E" w:rsidRPr="00F64312" w:rsidTr="007B080E">
        <w:trPr>
          <w:trHeight w:val="194"/>
          <w:jc w:val="center"/>
        </w:trPr>
        <w:tc>
          <w:tcPr>
            <w:tcW w:w="5940" w:type="dxa"/>
            <w:gridSpan w:val="2"/>
            <w:vMerge/>
            <w:shd w:val="clear" w:color="auto" w:fill="D9D9D9"/>
            <w:vAlign w:val="center"/>
          </w:tcPr>
          <w:p w:rsidR="007B080E" w:rsidRPr="00F64312" w:rsidRDefault="007B080E" w:rsidP="00803C32">
            <w:pPr>
              <w:tabs>
                <w:tab w:val="left" w:pos="288"/>
                <w:tab w:val="left" w:pos="4752"/>
              </w:tabs>
              <w:rPr>
                <w:rFonts w:eastAsia="Calibri" w:cs="Times New Roman"/>
                <w:b/>
                <w:color w:val="auto"/>
                <w:szCs w:val="24"/>
              </w:rPr>
            </w:pPr>
          </w:p>
        </w:tc>
        <w:tc>
          <w:tcPr>
            <w:tcW w:w="1080" w:type="dxa"/>
            <w:vMerge/>
            <w:shd w:val="clear" w:color="auto" w:fill="D9D9D9"/>
            <w:vAlign w:val="center"/>
          </w:tcPr>
          <w:p w:rsidR="007B080E" w:rsidRPr="00F64312" w:rsidRDefault="007B080E" w:rsidP="00803C32">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7B080E" w:rsidRPr="00F64312" w:rsidRDefault="007B080E" w:rsidP="00803C32">
            <w:pPr>
              <w:rPr>
                <w:color w:val="auto"/>
              </w:rPr>
            </w:pPr>
            <w:r w:rsidRPr="00F64312">
              <w:rPr>
                <w:rFonts w:eastAsia="Calibri" w:cs="Times New Roman"/>
                <w:b/>
                <w:color w:val="auto"/>
                <w:szCs w:val="24"/>
              </w:rPr>
              <w:t>TDRL</w:t>
            </w:r>
          </w:p>
        </w:tc>
        <w:tc>
          <w:tcPr>
            <w:tcW w:w="1530" w:type="dxa"/>
            <w:tcBorders>
              <w:top w:val="single" w:sz="4" w:space="0" w:color="auto"/>
            </w:tcBorders>
            <w:shd w:val="pct15" w:color="auto" w:fill="auto"/>
            <w:vAlign w:val="center"/>
          </w:tcPr>
          <w:p w:rsidR="007B080E" w:rsidRPr="00F64312" w:rsidRDefault="007B080E" w:rsidP="00803C32">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7B080E" w:rsidRPr="00F64312" w:rsidTr="007B080E">
        <w:trPr>
          <w:trHeight w:val="305"/>
          <w:jc w:val="center"/>
        </w:trPr>
        <w:tc>
          <w:tcPr>
            <w:tcW w:w="5940" w:type="dxa"/>
            <w:gridSpan w:val="2"/>
            <w:vAlign w:val="center"/>
          </w:tcPr>
          <w:p w:rsidR="007B080E" w:rsidRPr="00F64312" w:rsidRDefault="007B080E" w:rsidP="00803C32">
            <w:pPr>
              <w:tabs>
                <w:tab w:val="left" w:pos="288"/>
                <w:tab w:val="left" w:pos="4752"/>
              </w:tabs>
              <w:jc w:val="left"/>
              <w:rPr>
                <w:rFonts w:eastAsia="Calibri" w:cs="Times New Roman"/>
                <w:color w:val="auto"/>
                <w:szCs w:val="24"/>
              </w:rPr>
            </w:pPr>
            <w:r>
              <w:rPr>
                <w:color w:val="auto"/>
              </w:rPr>
              <w:t>Fibromyalgia</w:t>
            </w:r>
          </w:p>
        </w:tc>
        <w:tc>
          <w:tcPr>
            <w:tcW w:w="1080" w:type="dxa"/>
            <w:tcBorders>
              <w:bottom w:val="single" w:sz="4" w:space="0" w:color="000000"/>
            </w:tcBorders>
            <w:vAlign w:val="center"/>
          </w:tcPr>
          <w:p w:rsidR="00803C32" w:rsidRPr="007B080E" w:rsidRDefault="00803C32" w:rsidP="00803C32">
            <w:pPr>
              <w:tabs>
                <w:tab w:val="left" w:pos="288"/>
                <w:tab w:val="left" w:pos="4752"/>
              </w:tabs>
              <w:rPr>
                <w:color w:val="auto"/>
              </w:rPr>
            </w:pPr>
            <w:r>
              <w:rPr>
                <w:color w:val="auto"/>
              </w:rPr>
              <w:t>5025</w:t>
            </w:r>
          </w:p>
        </w:tc>
        <w:tc>
          <w:tcPr>
            <w:tcW w:w="810" w:type="dxa"/>
            <w:tcBorders>
              <w:bottom w:val="single" w:sz="4" w:space="0" w:color="000000"/>
            </w:tcBorders>
            <w:vAlign w:val="center"/>
          </w:tcPr>
          <w:p w:rsidR="007B080E" w:rsidRPr="00F87DFB" w:rsidRDefault="00803C32" w:rsidP="00803C32">
            <w:pPr>
              <w:tabs>
                <w:tab w:val="left" w:pos="288"/>
                <w:tab w:val="left" w:pos="4752"/>
              </w:tabs>
              <w:rPr>
                <w:color w:val="auto"/>
              </w:rPr>
            </w:pPr>
            <w:r w:rsidRPr="00F87DFB">
              <w:rPr>
                <w:color w:val="auto"/>
              </w:rPr>
              <w:t>2</w:t>
            </w:r>
            <w:r w:rsidR="007B080E" w:rsidRPr="00F87DFB">
              <w:rPr>
                <w:color w:val="auto"/>
              </w:rPr>
              <w:t>0%</w:t>
            </w:r>
          </w:p>
        </w:tc>
        <w:tc>
          <w:tcPr>
            <w:tcW w:w="1530" w:type="dxa"/>
            <w:tcBorders>
              <w:bottom w:val="single" w:sz="4" w:space="0" w:color="000000"/>
            </w:tcBorders>
            <w:vAlign w:val="center"/>
          </w:tcPr>
          <w:p w:rsidR="007B080E" w:rsidRPr="00F87DFB" w:rsidRDefault="00803C32" w:rsidP="00803C32">
            <w:pPr>
              <w:tabs>
                <w:tab w:val="left" w:pos="288"/>
                <w:tab w:val="left" w:pos="4752"/>
              </w:tabs>
              <w:rPr>
                <w:rFonts w:eastAsia="Calibri" w:cs="Times New Roman"/>
                <w:color w:val="auto"/>
                <w:szCs w:val="24"/>
              </w:rPr>
            </w:pPr>
            <w:r w:rsidRPr="00F87DFB">
              <w:rPr>
                <w:rFonts w:eastAsia="Calibri" w:cs="Times New Roman"/>
                <w:color w:val="auto"/>
                <w:szCs w:val="24"/>
              </w:rPr>
              <w:t>2</w:t>
            </w:r>
            <w:r w:rsidR="007B080E" w:rsidRPr="00F87DFB">
              <w:rPr>
                <w:rFonts w:eastAsia="Calibri" w:cs="Times New Roman"/>
                <w:color w:val="auto"/>
                <w:szCs w:val="24"/>
              </w:rPr>
              <w:t>0%</w:t>
            </w:r>
          </w:p>
        </w:tc>
      </w:tr>
      <w:tr w:rsidR="007B080E" w:rsidRPr="00F64312" w:rsidTr="007B080E">
        <w:trPr>
          <w:trHeight w:val="197"/>
          <w:jc w:val="center"/>
        </w:trPr>
        <w:tc>
          <w:tcPr>
            <w:tcW w:w="5940" w:type="dxa"/>
            <w:gridSpan w:val="2"/>
            <w:vAlign w:val="center"/>
          </w:tcPr>
          <w:p w:rsidR="007B080E" w:rsidRPr="00F64312" w:rsidRDefault="007B080E" w:rsidP="00803C32">
            <w:pPr>
              <w:tabs>
                <w:tab w:val="left" w:pos="288"/>
                <w:tab w:val="left" w:pos="4752"/>
              </w:tabs>
              <w:jc w:val="left"/>
              <w:rPr>
                <w:color w:val="auto"/>
              </w:rPr>
            </w:pPr>
            <w:r>
              <w:rPr>
                <w:color w:val="auto"/>
              </w:rPr>
              <w:t>Degenerative Joint Disease status post Rotator Cuff Repair</w:t>
            </w:r>
          </w:p>
        </w:tc>
        <w:tc>
          <w:tcPr>
            <w:tcW w:w="1080" w:type="dxa"/>
            <w:tcBorders>
              <w:bottom w:val="single" w:sz="4" w:space="0" w:color="000000"/>
            </w:tcBorders>
            <w:vAlign w:val="center"/>
          </w:tcPr>
          <w:p w:rsidR="007B080E" w:rsidRPr="007B080E" w:rsidRDefault="00803C32" w:rsidP="00606238">
            <w:pPr>
              <w:tabs>
                <w:tab w:val="left" w:pos="288"/>
                <w:tab w:val="left" w:pos="4752"/>
              </w:tabs>
              <w:rPr>
                <w:color w:val="auto"/>
              </w:rPr>
            </w:pPr>
            <w:r>
              <w:rPr>
                <w:color w:val="auto"/>
              </w:rPr>
              <w:t>5</w:t>
            </w:r>
            <w:r w:rsidR="003C4E01">
              <w:rPr>
                <w:color w:val="auto"/>
              </w:rPr>
              <w:t>0</w:t>
            </w:r>
            <w:r>
              <w:rPr>
                <w:color w:val="auto"/>
              </w:rPr>
              <w:t>03</w:t>
            </w:r>
          </w:p>
        </w:tc>
        <w:tc>
          <w:tcPr>
            <w:tcW w:w="810" w:type="dxa"/>
            <w:tcBorders>
              <w:bottom w:val="single" w:sz="4" w:space="0" w:color="000000"/>
            </w:tcBorders>
            <w:vAlign w:val="center"/>
          </w:tcPr>
          <w:p w:rsidR="007B080E" w:rsidRPr="00F87DFB" w:rsidRDefault="00803C32" w:rsidP="00803C32">
            <w:pPr>
              <w:tabs>
                <w:tab w:val="left" w:pos="288"/>
                <w:tab w:val="left" w:pos="4752"/>
              </w:tabs>
              <w:rPr>
                <w:color w:val="auto"/>
              </w:rPr>
            </w:pPr>
            <w:r w:rsidRPr="00F87DFB">
              <w:rPr>
                <w:color w:val="auto"/>
              </w:rPr>
              <w:t>10%</w:t>
            </w:r>
          </w:p>
        </w:tc>
        <w:tc>
          <w:tcPr>
            <w:tcW w:w="1530" w:type="dxa"/>
            <w:tcBorders>
              <w:bottom w:val="single" w:sz="4" w:space="0" w:color="000000"/>
            </w:tcBorders>
            <w:vAlign w:val="center"/>
          </w:tcPr>
          <w:p w:rsidR="007B080E" w:rsidRPr="00F87DFB" w:rsidRDefault="00803C32" w:rsidP="00803C32">
            <w:pPr>
              <w:tabs>
                <w:tab w:val="left" w:pos="288"/>
                <w:tab w:val="left" w:pos="4752"/>
              </w:tabs>
              <w:rPr>
                <w:rFonts w:eastAsia="Calibri" w:cs="Times New Roman"/>
                <w:color w:val="auto"/>
                <w:szCs w:val="24"/>
              </w:rPr>
            </w:pPr>
            <w:r w:rsidRPr="00F87DFB">
              <w:rPr>
                <w:rFonts w:eastAsia="Calibri" w:cs="Times New Roman"/>
                <w:color w:val="auto"/>
                <w:szCs w:val="24"/>
              </w:rPr>
              <w:t>10%</w:t>
            </w:r>
          </w:p>
        </w:tc>
      </w:tr>
      <w:tr w:rsidR="007B080E" w:rsidRPr="00F64312" w:rsidTr="007B080E">
        <w:trPr>
          <w:trHeight w:val="323"/>
          <w:jc w:val="center"/>
        </w:trPr>
        <w:tc>
          <w:tcPr>
            <w:tcW w:w="5940" w:type="dxa"/>
            <w:gridSpan w:val="2"/>
            <w:vAlign w:val="center"/>
          </w:tcPr>
          <w:p w:rsidR="007B080E" w:rsidRPr="00F64312" w:rsidRDefault="007B080E" w:rsidP="00803C32">
            <w:pPr>
              <w:tabs>
                <w:tab w:val="left" w:pos="288"/>
                <w:tab w:val="left" w:pos="4752"/>
              </w:tabs>
              <w:jc w:val="left"/>
              <w:rPr>
                <w:color w:val="auto"/>
              </w:rPr>
            </w:pPr>
            <w:r>
              <w:rPr>
                <w:color w:val="auto"/>
              </w:rPr>
              <w:t>Obstructive Sleep Apnea</w:t>
            </w:r>
          </w:p>
        </w:tc>
        <w:tc>
          <w:tcPr>
            <w:tcW w:w="1080" w:type="dxa"/>
            <w:tcBorders>
              <w:bottom w:val="single" w:sz="4" w:space="0" w:color="000000"/>
            </w:tcBorders>
            <w:vAlign w:val="center"/>
          </w:tcPr>
          <w:p w:rsidR="007B080E" w:rsidRPr="007B080E" w:rsidRDefault="00803C32" w:rsidP="00803C32">
            <w:pPr>
              <w:tabs>
                <w:tab w:val="left" w:pos="288"/>
                <w:tab w:val="left" w:pos="4752"/>
              </w:tabs>
              <w:rPr>
                <w:color w:val="auto"/>
              </w:rPr>
            </w:pPr>
            <w:r>
              <w:rPr>
                <w:color w:val="auto"/>
              </w:rPr>
              <w:t>6847</w:t>
            </w:r>
          </w:p>
        </w:tc>
        <w:tc>
          <w:tcPr>
            <w:tcW w:w="810" w:type="dxa"/>
            <w:tcBorders>
              <w:bottom w:val="single" w:sz="4" w:space="0" w:color="000000"/>
            </w:tcBorders>
            <w:vAlign w:val="center"/>
          </w:tcPr>
          <w:p w:rsidR="007B080E" w:rsidRPr="00F87DFB" w:rsidRDefault="007062D9" w:rsidP="00803C32">
            <w:pPr>
              <w:tabs>
                <w:tab w:val="left" w:pos="288"/>
                <w:tab w:val="left" w:pos="4752"/>
              </w:tabs>
              <w:rPr>
                <w:color w:val="auto"/>
              </w:rPr>
            </w:pPr>
            <w:r w:rsidRPr="00F87DFB">
              <w:rPr>
                <w:color w:val="auto"/>
              </w:rPr>
              <w:t>5</w:t>
            </w:r>
            <w:r w:rsidR="00803C32" w:rsidRPr="00F87DFB">
              <w:rPr>
                <w:color w:val="auto"/>
              </w:rPr>
              <w:t>0%</w:t>
            </w:r>
          </w:p>
        </w:tc>
        <w:tc>
          <w:tcPr>
            <w:tcW w:w="1530" w:type="dxa"/>
            <w:tcBorders>
              <w:bottom w:val="single" w:sz="4" w:space="0" w:color="000000"/>
            </w:tcBorders>
            <w:vAlign w:val="center"/>
          </w:tcPr>
          <w:p w:rsidR="007B080E" w:rsidRPr="00F87DFB" w:rsidRDefault="007062D9" w:rsidP="00803C32">
            <w:pPr>
              <w:tabs>
                <w:tab w:val="left" w:pos="288"/>
                <w:tab w:val="left" w:pos="4752"/>
              </w:tabs>
              <w:rPr>
                <w:rFonts w:eastAsia="Calibri" w:cs="Times New Roman"/>
                <w:color w:val="auto"/>
                <w:szCs w:val="24"/>
              </w:rPr>
            </w:pPr>
            <w:r w:rsidRPr="00F87DFB">
              <w:rPr>
                <w:rFonts w:eastAsia="Calibri" w:cs="Times New Roman"/>
                <w:color w:val="auto"/>
                <w:szCs w:val="24"/>
              </w:rPr>
              <w:t>5</w:t>
            </w:r>
            <w:r w:rsidR="00803C32" w:rsidRPr="00F87DFB">
              <w:rPr>
                <w:rFonts w:eastAsia="Calibri" w:cs="Times New Roman"/>
                <w:color w:val="auto"/>
                <w:szCs w:val="24"/>
              </w:rPr>
              <w:t>0%</w:t>
            </w:r>
          </w:p>
        </w:tc>
      </w:tr>
      <w:tr w:rsidR="007B080E" w:rsidRPr="00F64312" w:rsidTr="007B080E">
        <w:tblPrEx>
          <w:tblLook w:val="0000"/>
        </w:tblPrEx>
        <w:trPr>
          <w:gridBefore w:val="1"/>
          <w:wBefore w:w="5670" w:type="dxa"/>
          <w:trHeight w:val="161"/>
          <w:jc w:val="center"/>
        </w:trPr>
        <w:tc>
          <w:tcPr>
            <w:tcW w:w="1350" w:type="dxa"/>
            <w:gridSpan w:val="2"/>
            <w:tcBorders>
              <w:left w:val="single" w:sz="4" w:space="0" w:color="auto"/>
            </w:tcBorders>
            <w:shd w:val="pct15" w:color="auto" w:fill="auto"/>
            <w:vAlign w:val="center"/>
          </w:tcPr>
          <w:p w:rsidR="007B080E" w:rsidRPr="007B080E" w:rsidRDefault="007B080E" w:rsidP="00803C32">
            <w:pPr>
              <w:tabs>
                <w:tab w:val="left" w:pos="288"/>
                <w:tab w:val="left" w:pos="4752"/>
              </w:tabs>
              <w:rPr>
                <w:rFonts w:eastAsia="Calibri" w:cs="Times New Roman"/>
                <w:b/>
                <w:color w:val="auto"/>
                <w:szCs w:val="24"/>
              </w:rPr>
            </w:pPr>
            <w:r w:rsidRPr="007B080E">
              <w:rPr>
                <w:rFonts w:eastAsia="Calibri" w:cs="Times New Roman"/>
                <w:b/>
                <w:color w:val="auto"/>
                <w:szCs w:val="24"/>
              </w:rPr>
              <w:t>COMBINED</w:t>
            </w:r>
          </w:p>
        </w:tc>
        <w:tc>
          <w:tcPr>
            <w:tcW w:w="810" w:type="dxa"/>
            <w:tcBorders>
              <w:left w:val="single" w:sz="4" w:space="0" w:color="auto"/>
            </w:tcBorders>
            <w:shd w:val="pct15" w:color="auto" w:fill="auto"/>
            <w:vAlign w:val="center"/>
          </w:tcPr>
          <w:p w:rsidR="007B080E" w:rsidRPr="007B080E" w:rsidRDefault="007062D9" w:rsidP="00803C32">
            <w:pPr>
              <w:tabs>
                <w:tab w:val="left" w:pos="288"/>
                <w:tab w:val="left" w:pos="4752"/>
              </w:tabs>
              <w:rPr>
                <w:rFonts w:eastAsia="Calibri" w:cs="Times New Roman"/>
                <w:b/>
                <w:color w:val="auto"/>
                <w:szCs w:val="24"/>
              </w:rPr>
            </w:pPr>
            <w:r>
              <w:rPr>
                <w:rFonts w:eastAsia="Calibri" w:cs="Times New Roman"/>
                <w:b/>
                <w:color w:val="auto"/>
                <w:szCs w:val="24"/>
              </w:rPr>
              <w:t>6</w:t>
            </w:r>
            <w:r w:rsidR="007B080E" w:rsidRPr="007B080E">
              <w:rPr>
                <w:rFonts w:eastAsia="Calibri" w:cs="Times New Roman"/>
                <w:b/>
                <w:color w:val="auto"/>
                <w:szCs w:val="24"/>
              </w:rPr>
              <w:t>0%</w:t>
            </w:r>
          </w:p>
        </w:tc>
        <w:tc>
          <w:tcPr>
            <w:tcW w:w="1530" w:type="dxa"/>
            <w:shd w:val="pct15" w:color="auto" w:fill="auto"/>
            <w:vAlign w:val="center"/>
          </w:tcPr>
          <w:p w:rsidR="007B080E" w:rsidRPr="007B080E" w:rsidRDefault="007062D9" w:rsidP="00803C32">
            <w:pPr>
              <w:tabs>
                <w:tab w:val="left" w:pos="288"/>
                <w:tab w:val="left" w:pos="4752"/>
              </w:tabs>
              <w:rPr>
                <w:rFonts w:eastAsia="Calibri" w:cs="Times New Roman"/>
                <w:b/>
                <w:color w:val="auto"/>
                <w:szCs w:val="24"/>
              </w:rPr>
            </w:pPr>
            <w:r>
              <w:rPr>
                <w:rFonts w:eastAsia="Calibri" w:cs="Times New Roman"/>
                <w:b/>
                <w:color w:val="auto"/>
                <w:szCs w:val="24"/>
              </w:rPr>
              <w:t>6</w:t>
            </w:r>
            <w:r w:rsidR="007B080E" w:rsidRPr="007B080E">
              <w:rPr>
                <w:rFonts w:eastAsia="Calibri" w:cs="Times New Roman"/>
                <w:b/>
                <w:color w:val="auto"/>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062263">
        <w:rPr>
          <w:color w:val="auto"/>
        </w:rPr>
        <w:t>20</w:t>
      </w:r>
      <w:r w:rsidR="00062263" w:rsidRPr="00062263">
        <w:rPr>
          <w:color w:val="auto"/>
        </w:rPr>
        <w:t>110817</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B6186">
        <w:rPr>
          <w:color w:val="auto"/>
        </w:rPr>
        <w:t>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8E6B9C" w:rsidRDefault="008E6B9C" w:rsidP="008E6B9C">
      <w:pPr>
        <w:tabs>
          <w:tab w:val="left" w:pos="0"/>
          <w:tab w:val="left" w:pos="4320"/>
        </w:tabs>
        <w:jc w:val="both"/>
        <w:rPr>
          <w:color w:val="auto"/>
        </w:rPr>
      </w:pPr>
    </w:p>
    <w:p w:rsidR="00C034A3" w:rsidRDefault="00C034A3" w:rsidP="00C034A3">
      <w:pPr>
        <w:spacing w:line="240" w:lineRule="auto"/>
        <w:jc w:val="left"/>
        <w:rPr>
          <w:color w:val="auto"/>
          <w:u w:val="single"/>
        </w:rPr>
      </w:pPr>
    </w:p>
    <w:p w:rsidR="00C034A3" w:rsidRPr="00C034A3" w:rsidRDefault="00925645" w:rsidP="00925645">
      <w:pPr>
        <w:jc w:val="both"/>
        <w:rPr>
          <w:rFonts w:cs="Times New Roman"/>
          <w:color w:val="auto"/>
        </w:rPr>
      </w:pPr>
      <w:r>
        <w:rPr>
          <w:rFonts w:cs="Times New Roman"/>
          <w:color w:val="auto"/>
          <w:u w:val="single"/>
        </w:rPr>
        <w:br w:type="page"/>
      </w:r>
      <w:r w:rsidR="00C034A3" w:rsidRPr="00C034A3">
        <w:rPr>
          <w:rFonts w:cs="Times New Roman"/>
          <w:color w:val="auto"/>
          <w:u w:val="single"/>
        </w:rPr>
        <w:lastRenderedPageBreak/>
        <w:t>MINORITY OPINION</w:t>
      </w:r>
      <w:r w:rsidR="00C034A3" w:rsidRPr="00C034A3">
        <w:rPr>
          <w:rFonts w:cs="Times New Roman"/>
          <w:color w:val="auto"/>
        </w:rPr>
        <w:t xml:space="preserve">:  </w:t>
      </w:r>
    </w:p>
    <w:p w:rsidR="00B07C45" w:rsidRDefault="00B07C45" w:rsidP="00925645">
      <w:pPr>
        <w:jc w:val="both"/>
        <w:rPr>
          <w:rFonts w:cs="Times New Roman"/>
          <w:color w:val="auto"/>
        </w:rPr>
      </w:pPr>
    </w:p>
    <w:p w:rsidR="00C034A3" w:rsidRPr="00C034A3" w:rsidRDefault="00C034A3" w:rsidP="00925645">
      <w:pPr>
        <w:jc w:val="both"/>
        <w:rPr>
          <w:rFonts w:cs="Times New Roman"/>
          <w:color w:val="auto"/>
        </w:rPr>
      </w:pPr>
      <w:r w:rsidRPr="00C034A3">
        <w:rPr>
          <w:rFonts w:cs="Times New Roman"/>
          <w:color w:val="auto"/>
        </w:rPr>
        <w:t xml:space="preserve">The CI was originally placed on the TDRL on </w:t>
      </w:r>
      <w:r w:rsidR="009405EF">
        <w:rPr>
          <w:rFonts w:cs="Times New Roman"/>
          <w:color w:val="auto"/>
        </w:rPr>
        <w:t xml:space="preserve">14 March </w:t>
      </w:r>
      <w:r w:rsidRPr="00C034A3">
        <w:rPr>
          <w:rFonts w:cs="Times New Roman"/>
          <w:color w:val="auto"/>
        </w:rPr>
        <w:t xml:space="preserve">2002 for </w:t>
      </w:r>
      <w:r w:rsidR="009405EF">
        <w:rPr>
          <w:rFonts w:cs="Times New Roman"/>
          <w:color w:val="auto"/>
        </w:rPr>
        <w:t>f</w:t>
      </w:r>
      <w:r w:rsidRPr="00C034A3">
        <w:rPr>
          <w:rFonts w:cs="Times New Roman"/>
          <w:color w:val="auto"/>
        </w:rPr>
        <w:t xml:space="preserve">ibromyalgia at 20%.  </w:t>
      </w:r>
      <w:proofErr w:type="gramStart"/>
      <w:r w:rsidRPr="00C034A3">
        <w:rPr>
          <w:rFonts w:cs="Times New Roman"/>
          <w:color w:val="auto"/>
        </w:rPr>
        <w:t xml:space="preserve">The CI initially non-concurred with the PEB’s findings on </w:t>
      </w:r>
      <w:r w:rsidR="009405EF">
        <w:rPr>
          <w:rFonts w:cs="Times New Roman"/>
          <w:color w:val="auto"/>
        </w:rPr>
        <w:t xml:space="preserve">19 March </w:t>
      </w:r>
      <w:r w:rsidRPr="00C034A3">
        <w:rPr>
          <w:rFonts w:cs="Times New Roman"/>
          <w:color w:val="auto"/>
        </w:rPr>
        <w:t>2002, and appealed to the Physical Disability Agency (PDA).</w:t>
      </w:r>
      <w:proofErr w:type="gramEnd"/>
      <w:r w:rsidRPr="00C034A3">
        <w:rPr>
          <w:rFonts w:cs="Times New Roman"/>
          <w:color w:val="auto"/>
        </w:rPr>
        <w:t xml:space="preserve">  However, on </w:t>
      </w:r>
      <w:r w:rsidR="009405EF">
        <w:rPr>
          <w:rFonts w:cs="Times New Roman"/>
          <w:color w:val="auto"/>
        </w:rPr>
        <w:t xml:space="preserve">10 April </w:t>
      </w:r>
      <w:r w:rsidRPr="00C034A3">
        <w:rPr>
          <w:rFonts w:cs="Times New Roman"/>
          <w:color w:val="auto"/>
        </w:rPr>
        <w:t xml:space="preserve">2002, the CI wrote a memorandum to the President of the PDA changing his non-concur election to accept the PEB’s finding.  Upon re-evaluation on </w:t>
      </w:r>
      <w:r w:rsidR="009405EF">
        <w:rPr>
          <w:rFonts w:cs="Times New Roman"/>
          <w:color w:val="auto"/>
        </w:rPr>
        <w:t xml:space="preserve">23 October </w:t>
      </w:r>
      <w:r w:rsidRPr="00C034A3">
        <w:rPr>
          <w:rFonts w:cs="Times New Roman"/>
          <w:color w:val="auto"/>
        </w:rPr>
        <w:t>2003, the PEB rated the CI for the unfitting Fibromyalgia condition with a permanent separation rating of 10%.  Per the</w:t>
      </w:r>
      <w:r w:rsidR="00423276">
        <w:rPr>
          <w:rFonts w:cs="Times New Roman"/>
          <w:color w:val="auto"/>
        </w:rPr>
        <w:t xml:space="preserve"> </w:t>
      </w:r>
      <w:r w:rsidRPr="00C034A3">
        <w:rPr>
          <w:rFonts w:cs="Times New Roman"/>
          <w:color w:val="auto"/>
        </w:rPr>
        <w:t>NARSUM</w:t>
      </w:r>
      <w:r w:rsidR="00423276">
        <w:rPr>
          <w:rFonts w:cs="Times New Roman"/>
          <w:color w:val="auto"/>
        </w:rPr>
        <w:t xml:space="preserve"> 23 October 2003</w:t>
      </w:r>
      <w:r w:rsidRPr="00C034A3">
        <w:rPr>
          <w:rFonts w:cs="Times New Roman"/>
          <w:color w:val="auto"/>
        </w:rPr>
        <w:t xml:space="preserve">, </w:t>
      </w:r>
      <w:r w:rsidR="00423276">
        <w:rPr>
          <w:rFonts w:cs="Times New Roman"/>
          <w:color w:val="auto"/>
        </w:rPr>
        <w:t>a</w:t>
      </w:r>
      <w:r w:rsidRPr="00C034A3">
        <w:rPr>
          <w:rFonts w:cs="Times New Roman"/>
          <w:color w:val="auto"/>
        </w:rPr>
        <w:t xml:space="preserve"> year after placement on the TDRL, the CI’s, “</w:t>
      </w:r>
      <w:r w:rsidR="00423276">
        <w:rPr>
          <w:rFonts w:cs="Times New Roman"/>
          <w:color w:val="auto"/>
        </w:rPr>
        <w:t>f</w:t>
      </w:r>
      <w:r w:rsidRPr="00C034A3">
        <w:rPr>
          <w:rFonts w:cs="Times New Roman"/>
          <w:color w:val="auto"/>
        </w:rPr>
        <w:t>ibromyalgia has remained unchanged” and the CI, “has gained employment as a civilian contractor through Logistical Support doing predominantly clerical duties.  He is able to lift up to about 50 pounds on occasion to carry things with his arms down.”  The PEB’s finding of a final permanent 10% rating (</w:t>
      </w:r>
      <w:r w:rsidR="00423276">
        <w:rPr>
          <w:rFonts w:cs="Times New Roman"/>
          <w:color w:val="auto"/>
        </w:rPr>
        <w:t xml:space="preserve">dated 24 June </w:t>
      </w:r>
      <w:r w:rsidRPr="00C034A3">
        <w:rPr>
          <w:rFonts w:cs="Times New Roman"/>
          <w:color w:val="auto"/>
        </w:rPr>
        <w:t xml:space="preserve">2005) for the </w:t>
      </w:r>
      <w:r w:rsidR="00423276">
        <w:rPr>
          <w:rFonts w:cs="Times New Roman"/>
          <w:color w:val="auto"/>
        </w:rPr>
        <w:t>f</w:t>
      </w:r>
      <w:r w:rsidRPr="00C034A3">
        <w:rPr>
          <w:rFonts w:cs="Times New Roman"/>
          <w:color w:val="auto"/>
        </w:rPr>
        <w:t>ibromyalgia was upheld.</w:t>
      </w:r>
    </w:p>
    <w:p w:rsidR="00C034A3" w:rsidRPr="00C034A3" w:rsidRDefault="00C034A3" w:rsidP="00925645">
      <w:pPr>
        <w:jc w:val="both"/>
        <w:rPr>
          <w:rFonts w:cs="Times New Roman"/>
          <w:color w:val="auto"/>
        </w:rPr>
      </w:pPr>
    </w:p>
    <w:p w:rsidR="00C034A3" w:rsidRPr="00C034A3" w:rsidRDefault="00C034A3" w:rsidP="00925645">
      <w:pPr>
        <w:jc w:val="both"/>
        <w:rPr>
          <w:rFonts w:cs="Times New Roman"/>
          <w:color w:val="auto"/>
        </w:rPr>
      </w:pPr>
      <w:r w:rsidRPr="00C034A3">
        <w:rPr>
          <w:rFonts w:cs="Times New Roman"/>
          <w:color w:val="auto"/>
        </w:rPr>
        <w:t xml:space="preserve">After a thorough review and examination of the whole recorded history, I believe the final rating of 10% for </w:t>
      </w:r>
      <w:r w:rsidR="00423276">
        <w:rPr>
          <w:rFonts w:cs="Times New Roman"/>
          <w:color w:val="auto"/>
        </w:rPr>
        <w:t>f</w:t>
      </w:r>
      <w:r w:rsidRPr="00C034A3">
        <w:rPr>
          <w:rFonts w:cs="Times New Roman"/>
          <w:color w:val="auto"/>
        </w:rPr>
        <w:t>ibromyalgia accurately reflects the elements of the CI’s disability at the time of separation.  According to the Commander’s Performance Statement dated 20011019, the CI, “…has managed the troop supply room for the past 27 months, and directly manages accountability for more than $9 million worth of government property.  He was commended during the last regimental command inspection for his management of all facets of supply room operations.”  The Commander also indicated, “There has been no decline in the quality of his duty performance since receiving the profile.”  The CI “…is the finest supply sergeant I have seen in 16 years of service.  He is a highly motivated, extremely knowledgeable NCO who other unit supply sergeants come for advice.”  The CI “…was working in his primary MOS prior to and after treatment for this condition</w:t>
      </w:r>
      <w:r w:rsidR="00925645">
        <w:rPr>
          <w:rFonts w:cs="Times New Roman"/>
          <w:color w:val="auto"/>
        </w:rPr>
        <w:t>.</w:t>
      </w:r>
      <w:r w:rsidRPr="00C034A3">
        <w:rPr>
          <w:rFonts w:cs="Times New Roman"/>
          <w:color w:val="auto"/>
        </w:rPr>
        <w:t>”  These statements by the CI’s Commanding Officer reflect the CI’s ability to perform the duties of his MOS without any declination in mis</w:t>
      </w:r>
      <w:r w:rsidR="00423276">
        <w:rPr>
          <w:rFonts w:cs="Times New Roman"/>
          <w:color w:val="auto"/>
        </w:rPr>
        <w:t>sion accomplishment due to his f</w:t>
      </w:r>
      <w:r w:rsidRPr="00C034A3">
        <w:rPr>
          <w:rFonts w:cs="Times New Roman"/>
          <w:color w:val="auto"/>
        </w:rPr>
        <w:t>ibromyalgia.</w:t>
      </w:r>
    </w:p>
    <w:p w:rsidR="00C034A3" w:rsidRPr="00C034A3" w:rsidRDefault="00C034A3" w:rsidP="00925645">
      <w:pPr>
        <w:jc w:val="both"/>
        <w:rPr>
          <w:rFonts w:cs="Times New Roman"/>
          <w:color w:val="auto"/>
        </w:rPr>
      </w:pPr>
    </w:p>
    <w:p w:rsidR="00C034A3" w:rsidRPr="00C034A3" w:rsidRDefault="00423276" w:rsidP="00925645">
      <w:pPr>
        <w:jc w:val="both"/>
        <w:rPr>
          <w:rFonts w:cs="Times New Roman"/>
          <w:color w:val="auto"/>
        </w:rPr>
      </w:pPr>
      <w:r>
        <w:rPr>
          <w:rFonts w:cs="Times New Roman"/>
          <w:color w:val="auto"/>
        </w:rPr>
        <w:t>Furthermore, per the</w:t>
      </w:r>
      <w:r w:rsidR="00C034A3" w:rsidRPr="00C034A3">
        <w:rPr>
          <w:rFonts w:cs="Times New Roman"/>
          <w:color w:val="auto"/>
        </w:rPr>
        <w:t xml:space="preserve"> VA C&amp;P </w:t>
      </w:r>
      <w:r>
        <w:rPr>
          <w:rFonts w:cs="Times New Roman"/>
          <w:color w:val="auto"/>
        </w:rPr>
        <w:t>e</w:t>
      </w:r>
      <w:r w:rsidR="00C034A3" w:rsidRPr="00C034A3">
        <w:rPr>
          <w:rFonts w:cs="Times New Roman"/>
          <w:color w:val="auto"/>
        </w:rPr>
        <w:t>xam</w:t>
      </w:r>
      <w:r>
        <w:rPr>
          <w:rFonts w:cs="Times New Roman"/>
          <w:color w:val="auto"/>
        </w:rPr>
        <w:t>, performed on 6 December 2002</w:t>
      </w:r>
      <w:r w:rsidR="00C034A3" w:rsidRPr="00C034A3">
        <w:rPr>
          <w:rFonts w:cs="Times New Roman"/>
          <w:color w:val="auto"/>
        </w:rPr>
        <w:t xml:space="preserve">, </w:t>
      </w:r>
      <w:r>
        <w:rPr>
          <w:rFonts w:cs="Times New Roman"/>
          <w:color w:val="auto"/>
        </w:rPr>
        <w:t>3</w:t>
      </w:r>
      <w:r w:rsidR="00C034A3" w:rsidRPr="00C034A3">
        <w:rPr>
          <w:rFonts w:cs="Times New Roman"/>
          <w:color w:val="auto"/>
        </w:rPr>
        <w:t xml:space="preserve"> months after placement on the TDRL, the CI, “…has gained employment working at Fort Polk as a forklift operator.  Precipitating factors are heavy work and lifting.  Alleviating treatments are </w:t>
      </w:r>
      <w:proofErr w:type="spellStart"/>
      <w:r w:rsidR="00C034A3" w:rsidRPr="00C034A3">
        <w:rPr>
          <w:rFonts w:cs="Times New Roman"/>
          <w:color w:val="auto"/>
        </w:rPr>
        <w:t>Elavil</w:t>
      </w:r>
      <w:proofErr w:type="spellEnd"/>
      <w:r w:rsidR="00C034A3" w:rsidRPr="00C034A3">
        <w:rPr>
          <w:rFonts w:cs="Times New Roman"/>
          <w:color w:val="auto"/>
        </w:rPr>
        <w:t xml:space="preserve">, which he takes, that helps him with his sleep.”  Furthermore, “His treatment for the fibromyalgia consists of </w:t>
      </w:r>
      <w:proofErr w:type="spellStart"/>
      <w:r w:rsidR="00C034A3" w:rsidRPr="00C034A3">
        <w:rPr>
          <w:rFonts w:cs="Times New Roman"/>
          <w:color w:val="auto"/>
        </w:rPr>
        <w:t>Elavil</w:t>
      </w:r>
      <w:proofErr w:type="spellEnd"/>
      <w:r w:rsidR="00C034A3" w:rsidRPr="00C034A3">
        <w:rPr>
          <w:rFonts w:cs="Times New Roman"/>
          <w:color w:val="auto"/>
        </w:rPr>
        <w:t xml:space="preserve"> 150 mg </w:t>
      </w:r>
      <w:proofErr w:type="spellStart"/>
      <w:r w:rsidR="00C034A3" w:rsidRPr="00C034A3">
        <w:rPr>
          <w:rFonts w:cs="Times New Roman"/>
          <w:color w:val="auto"/>
        </w:rPr>
        <w:t>h.s</w:t>
      </w:r>
      <w:proofErr w:type="spellEnd"/>
      <w:r w:rsidR="00C034A3" w:rsidRPr="00C034A3">
        <w:rPr>
          <w:rFonts w:cs="Times New Roman"/>
          <w:color w:val="auto"/>
        </w:rPr>
        <w:t xml:space="preserve">.  This has improved his sleeping.  He has not lost any time of work because of his fibromyalgia.  He does not have a loss of muscle strength.”  “Diagnosis:  </w:t>
      </w:r>
      <w:r>
        <w:rPr>
          <w:rFonts w:cs="Times New Roman"/>
          <w:color w:val="auto"/>
        </w:rPr>
        <w:t>f</w:t>
      </w:r>
      <w:r w:rsidR="00C034A3" w:rsidRPr="00C034A3">
        <w:rPr>
          <w:rFonts w:cs="Times New Roman"/>
          <w:color w:val="auto"/>
        </w:rPr>
        <w:t>ibromyalgia, mild.”  The VA determined the CI’s condition did not warrant a 20% rating due to the CI’s fibromyalgia symptoms were diagnosed as “mild” and were not episodic or present more than one-third of the time.  As the CI was working full time as a forklift operator and did not lose any time of work and his fibromyalgia was controlled using continuous medication (</w:t>
      </w:r>
      <w:proofErr w:type="spellStart"/>
      <w:r w:rsidR="00C034A3" w:rsidRPr="00C034A3">
        <w:rPr>
          <w:rFonts w:cs="Times New Roman"/>
          <w:color w:val="auto"/>
        </w:rPr>
        <w:t>Elavil</w:t>
      </w:r>
      <w:proofErr w:type="spellEnd"/>
      <w:r w:rsidR="00C034A3" w:rsidRPr="00C034A3">
        <w:rPr>
          <w:rFonts w:cs="Times New Roman"/>
          <w:color w:val="auto"/>
        </w:rPr>
        <w:t>), a 10% rating is warranted.</w:t>
      </w:r>
    </w:p>
    <w:p w:rsidR="00C034A3" w:rsidRPr="00C034A3" w:rsidRDefault="00C034A3" w:rsidP="00925645">
      <w:pPr>
        <w:jc w:val="both"/>
        <w:rPr>
          <w:rFonts w:cs="Times New Roman"/>
          <w:color w:val="auto"/>
        </w:rPr>
      </w:pPr>
    </w:p>
    <w:p w:rsidR="00C034A3" w:rsidRPr="00C034A3" w:rsidRDefault="00C034A3" w:rsidP="00925645">
      <w:pPr>
        <w:jc w:val="both"/>
        <w:rPr>
          <w:rFonts w:cs="Times New Roman"/>
          <w:color w:val="auto"/>
        </w:rPr>
      </w:pPr>
      <w:r w:rsidRPr="00C034A3">
        <w:rPr>
          <w:rFonts w:cs="Times New Roman"/>
          <w:color w:val="auto"/>
        </w:rPr>
        <w:t xml:space="preserve">The </w:t>
      </w:r>
      <w:r w:rsidR="008A3D00">
        <w:rPr>
          <w:rFonts w:cs="Times New Roman"/>
          <w:color w:val="auto"/>
        </w:rPr>
        <w:t>B</w:t>
      </w:r>
      <w:r w:rsidRPr="00C034A3">
        <w:rPr>
          <w:rFonts w:cs="Times New Roman"/>
          <w:color w:val="auto"/>
        </w:rPr>
        <w:t>oard members unanimously agreed the TDRL rating for the CI’s Fibromyalgia was correctly rated at 20%.   However, the Board members were not in agreement on a final rating of 10% at the time of the CI’s removal from the TDRL.  This resulted in a split vote, 2:1, for rating the Fibromyalgia at 20% upon permanent separation.  I do not believe the CI’s Fibromyalgia was significant enough at the time of removal from the TDRL to justify a continued rating of 20%.</w:t>
      </w:r>
    </w:p>
    <w:p w:rsidR="00C034A3" w:rsidRPr="00C034A3" w:rsidRDefault="00C034A3" w:rsidP="00925645">
      <w:pPr>
        <w:jc w:val="both"/>
        <w:rPr>
          <w:rFonts w:cs="Times New Roman"/>
          <w:color w:val="auto"/>
        </w:rPr>
      </w:pPr>
    </w:p>
    <w:p w:rsidR="00C034A3" w:rsidRPr="00C034A3" w:rsidRDefault="00423276" w:rsidP="00925645">
      <w:pPr>
        <w:jc w:val="both"/>
        <w:rPr>
          <w:rFonts w:cs="Times New Roman"/>
          <w:color w:val="auto"/>
        </w:rPr>
      </w:pPr>
      <w:r>
        <w:rPr>
          <w:rFonts w:cs="Times New Roman"/>
          <w:color w:val="auto"/>
        </w:rPr>
        <w:t>Per the TDRL e</w:t>
      </w:r>
      <w:r w:rsidR="00C034A3" w:rsidRPr="00C034A3">
        <w:rPr>
          <w:rFonts w:cs="Times New Roman"/>
          <w:color w:val="auto"/>
        </w:rPr>
        <w:t>valuation</w:t>
      </w:r>
      <w:r>
        <w:rPr>
          <w:rFonts w:cs="Times New Roman"/>
          <w:color w:val="auto"/>
        </w:rPr>
        <w:t xml:space="preserve"> on 28 January 2005</w:t>
      </w:r>
      <w:r w:rsidR="00C034A3" w:rsidRPr="00C034A3">
        <w:rPr>
          <w:rFonts w:cs="Times New Roman"/>
          <w:color w:val="auto"/>
        </w:rPr>
        <w:t xml:space="preserve">, the </w:t>
      </w:r>
      <w:proofErr w:type="gramStart"/>
      <w:r w:rsidR="00C034A3" w:rsidRPr="00C034A3">
        <w:rPr>
          <w:rFonts w:cs="Times New Roman"/>
          <w:color w:val="auto"/>
        </w:rPr>
        <w:t>CI,</w:t>
      </w:r>
      <w:proofErr w:type="gramEnd"/>
      <w:r w:rsidR="00C034A3" w:rsidRPr="00C034A3">
        <w:rPr>
          <w:rFonts w:cs="Times New Roman"/>
          <w:color w:val="auto"/>
        </w:rPr>
        <w:t xml:space="preserve"> “is exhausted at the end of each working day.  He describes having a sedentary job.  He does not see anyone for pain management and is not followed by a psychologist or a psychiatrist.”</w:t>
      </w:r>
    </w:p>
    <w:p w:rsidR="00C034A3" w:rsidRPr="00C034A3" w:rsidRDefault="00C034A3" w:rsidP="00925645">
      <w:pPr>
        <w:jc w:val="both"/>
        <w:rPr>
          <w:rFonts w:cs="Times New Roman"/>
          <w:color w:val="auto"/>
        </w:rPr>
      </w:pPr>
    </w:p>
    <w:p w:rsidR="00CB6186" w:rsidRDefault="00C034A3" w:rsidP="00925645">
      <w:pPr>
        <w:jc w:val="both"/>
        <w:rPr>
          <w:rFonts w:cs="Times New Roman"/>
          <w:color w:val="auto"/>
        </w:rPr>
      </w:pPr>
      <w:r w:rsidRPr="00C034A3">
        <w:rPr>
          <w:rFonts w:cs="Times New Roman"/>
          <w:color w:val="auto"/>
        </w:rPr>
        <w:t>I believe a final, permanent rating of 10% more accurately reflects the elements of the CI’s disability at the time of his separation.  I believe the PEB accurately rated the CI’s impairment and I recommend no change from that adjudication.</w:t>
      </w:r>
    </w:p>
    <w:p w:rsidR="00CB6186" w:rsidRDefault="00CB6186" w:rsidP="00CB6186">
      <w:pPr>
        <w:jc w:val="left"/>
      </w:pPr>
      <w:r>
        <w:rPr>
          <w:rFonts w:cs="Times New Roman"/>
          <w:color w:val="auto"/>
        </w:rPr>
        <w:br w:type="page"/>
      </w:r>
      <w:r>
        <w:lastRenderedPageBreak/>
        <w:t>SFMR-RB</w:t>
      </w:r>
      <w:r>
        <w:tab/>
      </w:r>
      <w:r>
        <w:tab/>
      </w:r>
      <w:r>
        <w:tab/>
      </w:r>
      <w:r>
        <w:tab/>
      </w:r>
      <w:r>
        <w:tab/>
      </w:r>
      <w:r>
        <w:tab/>
      </w:r>
      <w:r>
        <w:tab/>
      </w:r>
      <w:r>
        <w:tab/>
      </w:r>
      <w:r>
        <w:tab/>
      </w:r>
    </w:p>
    <w:p w:rsidR="00CB6186" w:rsidRDefault="00CB6186" w:rsidP="00CB6186">
      <w:pPr>
        <w:pStyle w:val="Header"/>
        <w:tabs>
          <w:tab w:val="left" w:pos="720"/>
        </w:tabs>
        <w:jc w:val="left"/>
      </w:pPr>
    </w:p>
    <w:p w:rsidR="00CB6186" w:rsidRDefault="00CB6186" w:rsidP="00CB6186">
      <w:pPr>
        <w:jc w:val="left"/>
      </w:pPr>
    </w:p>
    <w:p w:rsidR="00CB6186" w:rsidRDefault="00CB6186" w:rsidP="00CB6186">
      <w:pPr>
        <w:tabs>
          <w:tab w:val="right" w:pos="9360"/>
        </w:tabs>
        <w:jc w:val="left"/>
      </w:pPr>
      <w:r>
        <w:t xml:space="preserve">MEMORANDUM FOR Commander, US Army Physical Disability Agency </w:t>
      </w:r>
      <w:r>
        <w:tab/>
      </w:r>
    </w:p>
    <w:p w:rsidR="00CB6186" w:rsidRDefault="00CB6186" w:rsidP="00CB6186">
      <w:pPr>
        <w:jc w:val="left"/>
      </w:pPr>
      <w:r>
        <w:t>(TAPD-</w:t>
      </w:r>
      <w:proofErr w:type="gramStart"/>
      <w:r>
        <w:t>ZB  )</w:t>
      </w:r>
      <w:proofErr w:type="gramEnd"/>
      <w:r>
        <w:t>, 2900 Crystal Drive, Suite 300, Arlington, VA  22202</w:t>
      </w:r>
    </w:p>
    <w:p w:rsidR="00CB6186" w:rsidRDefault="00CB6186" w:rsidP="00CB6186">
      <w:pPr>
        <w:jc w:val="left"/>
      </w:pPr>
    </w:p>
    <w:p w:rsidR="00CB6186" w:rsidRDefault="00CB6186" w:rsidP="00CB6186">
      <w:pPr>
        <w:ind w:right="-180"/>
        <w:jc w:val="left"/>
      </w:pPr>
      <w:r>
        <w:t xml:space="preserve">SUBJECT:  Department of Defense Physical Disability Board of Review Recommendation </w:t>
      </w:r>
    </w:p>
    <w:p w:rsidR="00CB6186" w:rsidRDefault="00CB6186" w:rsidP="00CB6186">
      <w:pPr>
        <w:pStyle w:val="Header"/>
        <w:tabs>
          <w:tab w:val="left" w:pos="720"/>
        </w:tabs>
        <w:jc w:val="left"/>
      </w:pPr>
      <w:proofErr w:type="gramStart"/>
      <w:r>
        <w:t>for</w:t>
      </w:r>
      <w:proofErr w:type="gramEnd"/>
      <w:r>
        <w:t xml:space="preserve"> XXXXXXXXXXXXXXXXXXXXXXXXXXXX, AR20120011905 (PD201100722)</w:t>
      </w:r>
    </w:p>
    <w:p w:rsidR="00CB6186" w:rsidRDefault="00CB6186" w:rsidP="00CB6186">
      <w:pPr>
        <w:pStyle w:val="Header"/>
        <w:tabs>
          <w:tab w:val="left" w:pos="720"/>
        </w:tabs>
        <w:jc w:val="left"/>
      </w:pPr>
    </w:p>
    <w:p w:rsidR="00CB6186" w:rsidRDefault="00CB6186" w:rsidP="00CB6186">
      <w:pPr>
        <w:jc w:val="left"/>
      </w:pPr>
    </w:p>
    <w:p w:rsidR="00CB6186" w:rsidRDefault="00CB6186" w:rsidP="00CB6186">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CB6186" w:rsidRDefault="00CB6186" w:rsidP="00CB6186">
      <w:pPr>
        <w:jc w:val="left"/>
      </w:pPr>
      <w:r>
        <w:t xml:space="preserve">60% disability rather than 30% disability for the period of 20 September 2002 to </w:t>
      </w:r>
    </w:p>
    <w:p w:rsidR="00CB6186" w:rsidRDefault="00CB6186" w:rsidP="00CB6186">
      <w:pPr>
        <w:jc w:val="left"/>
      </w:pPr>
      <w:r>
        <w:t xml:space="preserve">20 July 2005 and then following this period </w:t>
      </w:r>
      <w:proofErr w:type="spellStart"/>
      <w:r>
        <w:t>recharacterize</w:t>
      </w:r>
      <w:proofErr w:type="spellEnd"/>
      <w:r>
        <w:t xml:space="preserve"> the individual’s separation as a permanent disability retirement with the combined disability rating of 60%.</w:t>
      </w:r>
    </w:p>
    <w:p w:rsidR="00CB6186" w:rsidRDefault="00CB6186" w:rsidP="00CB6186">
      <w:pPr>
        <w:jc w:val="left"/>
      </w:pPr>
    </w:p>
    <w:p w:rsidR="00CB6186" w:rsidRDefault="00CB6186" w:rsidP="00CB6186">
      <w:pPr>
        <w:jc w:val="left"/>
      </w:pPr>
      <w:r>
        <w:t>2.  I direct that all the Department of the Army records of the individual concerned be corrected accordingly no later than 120 days from the date of this memorandum.</w:t>
      </w:r>
    </w:p>
    <w:p w:rsidR="00CB6186" w:rsidRDefault="00CB6186" w:rsidP="00CB6186">
      <w:pPr>
        <w:jc w:val="left"/>
      </w:pPr>
    </w:p>
    <w:p w:rsidR="00CB6186" w:rsidRDefault="00CB6186" w:rsidP="00CB6186">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CB6186" w:rsidRDefault="00CB6186" w:rsidP="00CB6186">
      <w:pPr>
        <w:jc w:val="left"/>
      </w:pPr>
    </w:p>
    <w:p w:rsidR="00CB6186" w:rsidRDefault="00CB6186" w:rsidP="00CB6186">
      <w:pPr>
        <w:jc w:val="left"/>
      </w:pPr>
      <w:r>
        <w:tab/>
      </w:r>
      <w:proofErr w:type="gramStart"/>
      <w:r>
        <w:t>b.  Providing</w:t>
      </w:r>
      <w:proofErr w:type="gramEnd"/>
      <w:r>
        <w:t xml:space="preserve"> orders showing that the individual was retired with permanent disability effective the day following the TDRL period.</w:t>
      </w:r>
    </w:p>
    <w:p w:rsidR="00CB6186" w:rsidRDefault="00CB6186" w:rsidP="00CB6186">
      <w:pPr>
        <w:jc w:val="left"/>
      </w:pPr>
    </w:p>
    <w:p w:rsidR="00CB6186" w:rsidRDefault="00CB6186" w:rsidP="00CB6186">
      <w:pPr>
        <w:jc w:val="left"/>
      </w:pPr>
      <w:r>
        <w:tab/>
      </w:r>
      <w:proofErr w:type="gramStart"/>
      <w:r>
        <w:t>c.  Adjusting</w:t>
      </w:r>
      <w:proofErr w:type="gramEnd"/>
      <w:r>
        <w:t xml:space="preserve"> pay and allowances accordingly.  Pay and allowance adjustment will account for recoupment of severance pay, provide 60% retired pay for the constructive temporary disability retired period effective the date of the individual’s original medical separation and then payment of permanent disability retired pay at 60% effective the day following the constructive TDRL period.  </w:t>
      </w:r>
    </w:p>
    <w:p w:rsidR="00CB6186" w:rsidRDefault="00CB6186" w:rsidP="00CB6186">
      <w:pPr>
        <w:jc w:val="left"/>
      </w:pPr>
    </w:p>
    <w:p w:rsidR="00CB6186" w:rsidRDefault="00CB6186" w:rsidP="00CB6186">
      <w:pPr>
        <w:jc w:val="left"/>
      </w:pPr>
      <w:r>
        <w:tab/>
      </w:r>
      <w:proofErr w:type="gramStart"/>
      <w:r>
        <w:t>d.  Affording</w:t>
      </w:r>
      <w:proofErr w:type="gramEnd"/>
      <w:r>
        <w:t xml:space="preserve"> the individual the opportunity to elect Survivor Benefit Plan (SBP) and medical TRICARE retiree options.</w:t>
      </w:r>
    </w:p>
    <w:p w:rsidR="00CB6186" w:rsidRDefault="00CB6186" w:rsidP="00CB6186">
      <w:pPr>
        <w:jc w:val="left"/>
      </w:pPr>
    </w:p>
    <w:p w:rsidR="00CB6186" w:rsidRDefault="00CB6186" w:rsidP="00CB6186">
      <w:pPr>
        <w:jc w:val="left"/>
      </w:pPr>
      <w:bookmarkStart w:id="1" w:name="OLE_LINK2"/>
      <w:bookmarkStart w:id="2" w:name="OLE_LINK1"/>
    </w:p>
    <w:p w:rsidR="00CB6186" w:rsidRDefault="00CB6186" w:rsidP="00CB6186">
      <w:pPr>
        <w:jc w:val="left"/>
      </w:pPr>
    </w:p>
    <w:p w:rsidR="00CB6186" w:rsidRDefault="00CB6186" w:rsidP="00CB618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1"/>
    <w:bookmarkEnd w:id="2"/>
    <w:p w:rsidR="00CB6186" w:rsidRDefault="00CB6186" w:rsidP="00CB6186">
      <w:pPr>
        <w:jc w:val="left"/>
      </w:pPr>
    </w:p>
    <w:p w:rsidR="00CB6186" w:rsidRDefault="00CB6186" w:rsidP="00CB6186">
      <w:pPr>
        <w:jc w:val="left"/>
      </w:pPr>
      <w:r>
        <w:t>BY ORDER OF THE SECRETARY OF THE ARMY:</w:t>
      </w:r>
    </w:p>
    <w:p w:rsidR="00CB6186" w:rsidRDefault="00CB6186" w:rsidP="00CB6186">
      <w:pPr>
        <w:jc w:val="left"/>
      </w:pPr>
    </w:p>
    <w:p w:rsidR="00CB6186" w:rsidRDefault="00CB6186" w:rsidP="00CB6186">
      <w:pPr>
        <w:pStyle w:val="Header"/>
        <w:tabs>
          <w:tab w:val="left" w:pos="720"/>
        </w:tabs>
        <w:jc w:val="left"/>
      </w:pPr>
    </w:p>
    <w:p w:rsidR="00CB6186" w:rsidRDefault="00CB6186" w:rsidP="00CB6186">
      <w:pPr>
        <w:jc w:val="left"/>
      </w:pPr>
      <w:bookmarkStart w:id="3" w:name="OLE_LINK4"/>
      <w:bookmarkStart w:id="4" w:name="OLE_LINK3"/>
    </w:p>
    <w:p w:rsidR="00CB6186" w:rsidRDefault="00CB6186" w:rsidP="00CB6186">
      <w:pPr>
        <w:jc w:val="left"/>
      </w:pPr>
      <w:r>
        <w:t>Encl</w:t>
      </w:r>
      <w:r>
        <w:tab/>
      </w:r>
      <w:r>
        <w:tab/>
      </w:r>
      <w:r>
        <w:tab/>
      </w:r>
      <w:r>
        <w:tab/>
      </w:r>
      <w:r>
        <w:tab/>
      </w:r>
      <w:r>
        <w:tab/>
        <w:t xml:space="preserve">     XXXXXXXXXXXXXXXXXXXX</w:t>
      </w:r>
    </w:p>
    <w:p w:rsidR="00CB6186" w:rsidRDefault="00CB6186" w:rsidP="00CB6186">
      <w:pPr>
        <w:jc w:val="left"/>
      </w:pPr>
      <w:r>
        <w:tab/>
      </w:r>
      <w:r>
        <w:tab/>
      </w:r>
      <w:r>
        <w:tab/>
      </w:r>
      <w:r>
        <w:tab/>
      </w:r>
      <w:r>
        <w:tab/>
      </w:r>
      <w:r>
        <w:tab/>
        <w:t xml:space="preserve">     Deputy Assistant Secretary</w:t>
      </w:r>
    </w:p>
    <w:p w:rsidR="00CB6186" w:rsidRDefault="00CB6186" w:rsidP="00CB6186">
      <w:pPr>
        <w:jc w:val="left"/>
      </w:pPr>
      <w:r>
        <w:tab/>
      </w:r>
      <w:r>
        <w:tab/>
      </w:r>
      <w:r>
        <w:tab/>
      </w:r>
      <w:r>
        <w:tab/>
      </w:r>
      <w:r>
        <w:tab/>
      </w:r>
      <w:r>
        <w:tab/>
        <w:t xml:space="preserve">         (Army Review Boards)</w:t>
      </w:r>
      <w:bookmarkEnd w:id="3"/>
      <w:bookmarkEnd w:id="4"/>
    </w:p>
    <w:p w:rsidR="00CB6186" w:rsidRDefault="00CB6186" w:rsidP="00CB6186">
      <w:pPr>
        <w:jc w:val="left"/>
      </w:pPr>
    </w:p>
    <w:p w:rsidR="00CB6186" w:rsidRDefault="00CB6186" w:rsidP="00CB6186">
      <w:pPr>
        <w:jc w:val="left"/>
      </w:pPr>
      <w:r>
        <w:t xml:space="preserve">CF: </w:t>
      </w:r>
    </w:p>
    <w:p w:rsidR="00CB6186" w:rsidRDefault="00CB6186" w:rsidP="00CB6186">
      <w:pPr>
        <w:jc w:val="left"/>
      </w:pPr>
      <w:r>
        <w:t xml:space="preserve">(  ) </w:t>
      </w:r>
      <w:proofErr w:type="spellStart"/>
      <w:proofErr w:type="gramStart"/>
      <w:r>
        <w:t>DoD</w:t>
      </w:r>
      <w:proofErr w:type="spellEnd"/>
      <w:proofErr w:type="gramEnd"/>
      <w:r>
        <w:t xml:space="preserve"> PDBR</w:t>
      </w:r>
    </w:p>
    <w:p w:rsidR="00C034A3" w:rsidRPr="00F64312" w:rsidRDefault="00CB6186" w:rsidP="00CB6186">
      <w:pPr>
        <w:jc w:val="left"/>
        <w:rPr>
          <w:rFonts w:cs="Times New Roman"/>
          <w:color w:val="auto"/>
        </w:rPr>
      </w:pPr>
      <w:r>
        <w:t>(  ) DVA</w:t>
      </w:r>
    </w:p>
    <w:sectPr w:rsidR="00C034A3" w:rsidRPr="00F6431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26" w:rsidRDefault="003A0826">
      <w:r>
        <w:separator/>
      </w:r>
    </w:p>
  </w:endnote>
  <w:endnote w:type="continuationSeparator" w:id="0">
    <w:p w:rsidR="003A0826" w:rsidRDefault="003A0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76" w:rsidRPr="00374247" w:rsidRDefault="00423276" w:rsidP="00004B72">
    <w:pPr>
      <w:pStyle w:val="Footer"/>
      <w:ind w:firstLine="4320"/>
      <w:rPr>
        <w:color w:val="auto"/>
        <w:szCs w:val="24"/>
      </w:rPr>
    </w:pPr>
    <w:r w:rsidRPr="00374247">
      <w:rPr>
        <w:color w:val="auto"/>
        <w:szCs w:val="24"/>
      </w:rPr>
      <w:t xml:space="preserve">   </w:t>
    </w:r>
    <w:r w:rsidR="00242C76" w:rsidRPr="0004344D">
      <w:rPr>
        <w:color w:val="auto"/>
        <w:szCs w:val="24"/>
      </w:rPr>
      <w:fldChar w:fldCharType="begin"/>
    </w:r>
    <w:r w:rsidRPr="0004344D">
      <w:rPr>
        <w:color w:val="auto"/>
        <w:szCs w:val="24"/>
      </w:rPr>
      <w:instrText xml:space="preserve"> PAGE   \* MERGEFORMAT </w:instrText>
    </w:r>
    <w:r w:rsidR="00242C76" w:rsidRPr="0004344D">
      <w:rPr>
        <w:color w:val="auto"/>
        <w:szCs w:val="24"/>
      </w:rPr>
      <w:fldChar w:fldCharType="separate"/>
    </w:r>
    <w:r w:rsidR="00CB6186" w:rsidRPr="00CB6186">
      <w:rPr>
        <w:noProof/>
        <w:color w:val="auto"/>
      </w:rPr>
      <w:t>2</w:t>
    </w:r>
    <w:r w:rsidR="00242C76" w:rsidRPr="0004344D">
      <w:rPr>
        <w:color w:val="auto"/>
        <w:szCs w:val="24"/>
      </w:rPr>
      <w:fldChar w:fldCharType="end"/>
    </w:r>
    <w:r w:rsidRPr="0004344D">
      <w:rPr>
        <w:color w:val="auto"/>
        <w:szCs w:val="24"/>
      </w:rPr>
      <w:t xml:space="preserve">                                                           PD1100722</w:t>
    </w:r>
  </w:p>
  <w:p w:rsidR="00423276" w:rsidRPr="00684CE6" w:rsidRDefault="0042327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26" w:rsidRDefault="003A0826">
      <w:r>
        <w:separator/>
      </w:r>
    </w:p>
  </w:footnote>
  <w:footnote w:type="continuationSeparator" w:id="0">
    <w:p w:rsidR="003A0826" w:rsidRDefault="003A0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9729F"/>
    <w:multiLevelType w:val="hybridMultilevel"/>
    <w:tmpl w:val="82CE8772"/>
    <w:lvl w:ilvl="0" w:tplc="B3CACB0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6"/>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1EFC"/>
    <w:rsid w:val="000024F5"/>
    <w:rsid w:val="000041C4"/>
    <w:rsid w:val="00004B72"/>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05B"/>
    <w:rsid w:val="000156A9"/>
    <w:rsid w:val="00017778"/>
    <w:rsid w:val="00020941"/>
    <w:rsid w:val="00021361"/>
    <w:rsid w:val="00022CF3"/>
    <w:rsid w:val="00023562"/>
    <w:rsid w:val="00023677"/>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AEB"/>
    <w:rsid w:val="00042C26"/>
    <w:rsid w:val="00043382"/>
    <w:rsid w:val="00043A3D"/>
    <w:rsid w:val="00044623"/>
    <w:rsid w:val="000452D7"/>
    <w:rsid w:val="00046203"/>
    <w:rsid w:val="00047DC6"/>
    <w:rsid w:val="00050369"/>
    <w:rsid w:val="00051622"/>
    <w:rsid w:val="00051A11"/>
    <w:rsid w:val="00051F89"/>
    <w:rsid w:val="00052234"/>
    <w:rsid w:val="00053D7C"/>
    <w:rsid w:val="000575C5"/>
    <w:rsid w:val="000577C9"/>
    <w:rsid w:val="00060C18"/>
    <w:rsid w:val="00060FFD"/>
    <w:rsid w:val="00061756"/>
    <w:rsid w:val="00061D69"/>
    <w:rsid w:val="00062263"/>
    <w:rsid w:val="00063BE5"/>
    <w:rsid w:val="0006431E"/>
    <w:rsid w:val="000647B0"/>
    <w:rsid w:val="00064E37"/>
    <w:rsid w:val="000652EA"/>
    <w:rsid w:val="00065B85"/>
    <w:rsid w:val="00065E21"/>
    <w:rsid w:val="000673ED"/>
    <w:rsid w:val="00067854"/>
    <w:rsid w:val="00070D34"/>
    <w:rsid w:val="00070DED"/>
    <w:rsid w:val="00071071"/>
    <w:rsid w:val="00071F0D"/>
    <w:rsid w:val="00072433"/>
    <w:rsid w:val="00072B3E"/>
    <w:rsid w:val="0007488B"/>
    <w:rsid w:val="00075702"/>
    <w:rsid w:val="00075A0C"/>
    <w:rsid w:val="0007619C"/>
    <w:rsid w:val="000775C2"/>
    <w:rsid w:val="00077835"/>
    <w:rsid w:val="000801EF"/>
    <w:rsid w:val="000806AD"/>
    <w:rsid w:val="00080BDF"/>
    <w:rsid w:val="00080C57"/>
    <w:rsid w:val="000815F2"/>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5073"/>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7E6"/>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D23"/>
    <w:rsid w:val="00122FC5"/>
    <w:rsid w:val="001231DC"/>
    <w:rsid w:val="001239D6"/>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57F"/>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2A92"/>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996"/>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93B"/>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1021"/>
    <w:rsid w:val="001F29F9"/>
    <w:rsid w:val="001F4AC3"/>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C76"/>
    <w:rsid w:val="00242D14"/>
    <w:rsid w:val="00242F31"/>
    <w:rsid w:val="002432F4"/>
    <w:rsid w:val="002440AB"/>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169"/>
    <w:rsid w:val="00260531"/>
    <w:rsid w:val="00260B9A"/>
    <w:rsid w:val="00261B7E"/>
    <w:rsid w:val="00262EA5"/>
    <w:rsid w:val="0026318D"/>
    <w:rsid w:val="00263542"/>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0E26"/>
    <w:rsid w:val="00291A69"/>
    <w:rsid w:val="00292397"/>
    <w:rsid w:val="00292AB2"/>
    <w:rsid w:val="00292B82"/>
    <w:rsid w:val="00293DB6"/>
    <w:rsid w:val="00293FE8"/>
    <w:rsid w:val="00294437"/>
    <w:rsid w:val="00295FB5"/>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3BC3"/>
    <w:rsid w:val="0030433B"/>
    <w:rsid w:val="00304511"/>
    <w:rsid w:val="00305856"/>
    <w:rsid w:val="00305867"/>
    <w:rsid w:val="0030678B"/>
    <w:rsid w:val="00306D16"/>
    <w:rsid w:val="0030700A"/>
    <w:rsid w:val="00307595"/>
    <w:rsid w:val="00307DA6"/>
    <w:rsid w:val="00310CD7"/>
    <w:rsid w:val="00310F34"/>
    <w:rsid w:val="00313C3A"/>
    <w:rsid w:val="00313D7A"/>
    <w:rsid w:val="00314517"/>
    <w:rsid w:val="003155FB"/>
    <w:rsid w:val="0032136A"/>
    <w:rsid w:val="003219E5"/>
    <w:rsid w:val="003224D8"/>
    <w:rsid w:val="00323A90"/>
    <w:rsid w:val="00323E70"/>
    <w:rsid w:val="00324D6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80B"/>
    <w:rsid w:val="0033601F"/>
    <w:rsid w:val="00336805"/>
    <w:rsid w:val="00337351"/>
    <w:rsid w:val="00341A54"/>
    <w:rsid w:val="00344A4F"/>
    <w:rsid w:val="00344D17"/>
    <w:rsid w:val="003462A8"/>
    <w:rsid w:val="0034669F"/>
    <w:rsid w:val="003470C4"/>
    <w:rsid w:val="00347D0D"/>
    <w:rsid w:val="00351498"/>
    <w:rsid w:val="00352B22"/>
    <w:rsid w:val="00352CBF"/>
    <w:rsid w:val="003532D4"/>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603"/>
    <w:rsid w:val="00367D4F"/>
    <w:rsid w:val="003701A0"/>
    <w:rsid w:val="00370743"/>
    <w:rsid w:val="00370EF5"/>
    <w:rsid w:val="0037135B"/>
    <w:rsid w:val="003718CD"/>
    <w:rsid w:val="00372251"/>
    <w:rsid w:val="00373F64"/>
    <w:rsid w:val="00374247"/>
    <w:rsid w:val="00374414"/>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438"/>
    <w:rsid w:val="00396779"/>
    <w:rsid w:val="00397DB7"/>
    <w:rsid w:val="003A0826"/>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4E01"/>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A5A"/>
    <w:rsid w:val="00403BFB"/>
    <w:rsid w:val="00404B45"/>
    <w:rsid w:val="00405BCF"/>
    <w:rsid w:val="004068E0"/>
    <w:rsid w:val="00406CC5"/>
    <w:rsid w:val="00406FCA"/>
    <w:rsid w:val="004074A4"/>
    <w:rsid w:val="004101B2"/>
    <w:rsid w:val="004123D7"/>
    <w:rsid w:val="00412658"/>
    <w:rsid w:val="004129DA"/>
    <w:rsid w:val="00415EA4"/>
    <w:rsid w:val="0041604B"/>
    <w:rsid w:val="0041690F"/>
    <w:rsid w:val="004172DB"/>
    <w:rsid w:val="004174F0"/>
    <w:rsid w:val="00417999"/>
    <w:rsid w:val="00417BED"/>
    <w:rsid w:val="00420A1D"/>
    <w:rsid w:val="00420B1E"/>
    <w:rsid w:val="004211FD"/>
    <w:rsid w:val="00421485"/>
    <w:rsid w:val="004216DA"/>
    <w:rsid w:val="00421DEA"/>
    <w:rsid w:val="00422B75"/>
    <w:rsid w:val="00423276"/>
    <w:rsid w:val="00424458"/>
    <w:rsid w:val="00424612"/>
    <w:rsid w:val="0042528C"/>
    <w:rsid w:val="00425672"/>
    <w:rsid w:val="00425A6A"/>
    <w:rsid w:val="00426A23"/>
    <w:rsid w:val="00427C7F"/>
    <w:rsid w:val="00427F54"/>
    <w:rsid w:val="004306E0"/>
    <w:rsid w:val="004316FD"/>
    <w:rsid w:val="00432AC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0073"/>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1DF5"/>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3602"/>
    <w:rsid w:val="004B3C31"/>
    <w:rsid w:val="004B46D7"/>
    <w:rsid w:val="004B478D"/>
    <w:rsid w:val="004B6AF3"/>
    <w:rsid w:val="004B6B34"/>
    <w:rsid w:val="004B6F1F"/>
    <w:rsid w:val="004B715E"/>
    <w:rsid w:val="004B7169"/>
    <w:rsid w:val="004B7282"/>
    <w:rsid w:val="004B73E0"/>
    <w:rsid w:val="004B79C9"/>
    <w:rsid w:val="004C00DD"/>
    <w:rsid w:val="004C05CF"/>
    <w:rsid w:val="004C0776"/>
    <w:rsid w:val="004C0A64"/>
    <w:rsid w:val="004C18D5"/>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413"/>
    <w:rsid w:val="004D6BBB"/>
    <w:rsid w:val="004D6E90"/>
    <w:rsid w:val="004D6F2B"/>
    <w:rsid w:val="004D78D5"/>
    <w:rsid w:val="004E0248"/>
    <w:rsid w:val="004E21A3"/>
    <w:rsid w:val="004E32EA"/>
    <w:rsid w:val="004E3517"/>
    <w:rsid w:val="004E36CE"/>
    <w:rsid w:val="004E50BB"/>
    <w:rsid w:val="004E6866"/>
    <w:rsid w:val="004F0C58"/>
    <w:rsid w:val="004F10EB"/>
    <w:rsid w:val="004F3222"/>
    <w:rsid w:val="004F3639"/>
    <w:rsid w:val="004F3BFA"/>
    <w:rsid w:val="004F4E3C"/>
    <w:rsid w:val="004F5A1A"/>
    <w:rsid w:val="004F675A"/>
    <w:rsid w:val="004F77A3"/>
    <w:rsid w:val="005000AB"/>
    <w:rsid w:val="00500EAF"/>
    <w:rsid w:val="00500F3C"/>
    <w:rsid w:val="005012AD"/>
    <w:rsid w:val="005019CF"/>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5D46"/>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596"/>
    <w:rsid w:val="005455F8"/>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B7B5B"/>
    <w:rsid w:val="005C0E87"/>
    <w:rsid w:val="005C1398"/>
    <w:rsid w:val="005C16F3"/>
    <w:rsid w:val="005C332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238"/>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06F"/>
    <w:rsid w:val="006274B4"/>
    <w:rsid w:val="006307BA"/>
    <w:rsid w:val="006315BA"/>
    <w:rsid w:val="006315CB"/>
    <w:rsid w:val="00634C4A"/>
    <w:rsid w:val="0063532E"/>
    <w:rsid w:val="0063579F"/>
    <w:rsid w:val="006364ED"/>
    <w:rsid w:val="00637063"/>
    <w:rsid w:val="0063737C"/>
    <w:rsid w:val="00637BDC"/>
    <w:rsid w:val="00640363"/>
    <w:rsid w:val="00640622"/>
    <w:rsid w:val="006414F1"/>
    <w:rsid w:val="006418C9"/>
    <w:rsid w:val="00641DEE"/>
    <w:rsid w:val="00642BD6"/>
    <w:rsid w:val="00643C8F"/>
    <w:rsid w:val="00645046"/>
    <w:rsid w:val="0064527A"/>
    <w:rsid w:val="006458FD"/>
    <w:rsid w:val="00645DBF"/>
    <w:rsid w:val="00645DE8"/>
    <w:rsid w:val="00645EA2"/>
    <w:rsid w:val="00651E6D"/>
    <w:rsid w:val="0065237D"/>
    <w:rsid w:val="00652943"/>
    <w:rsid w:val="00652A8E"/>
    <w:rsid w:val="006537FE"/>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3B6A"/>
    <w:rsid w:val="00663BBA"/>
    <w:rsid w:val="00664296"/>
    <w:rsid w:val="00664427"/>
    <w:rsid w:val="00664840"/>
    <w:rsid w:val="006649CD"/>
    <w:rsid w:val="00665D75"/>
    <w:rsid w:val="0066684A"/>
    <w:rsid w:val="006708E3"/>
    <w:rsid w:val="00670DDC"/>
    <w:rsid w:val="00671389"/>
    <w:rsid w:val="00671EB4"/>
    <w:rsid w:val="00673CDC"/>
    <w:rsid w:val="0067443B"/>
    <w:rsid w:val="006770AA"/>
    <w:rsid w:val="006773FF"/>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5F14"/>
    <w:rsid w:val="006A75FA"/>
    <w:rsid w:val="006A7ABE"/>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C7EDD"/>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A72"/>
    <w:rsid w:val="006E2DC8"/>
    <w:rsid w:val="006E42E8"/>
    <w:rsid w:val="006E58CB"/>
    <w:rsid w:val="006E6B68"/>
    <w:rsid w:val="006E7089"/>
    <w:rsid w:val="006E7356"/>
    <w:rsid w:val="006E77C8"/>
    <w:rsid w:val="006F0F9C"/>
    <w:rsid w:val="006F149D"/>
    <w:rsid w:val="006F1A46"/>
    <w:rsid w:val="006F2B5B"/>
    <w:rsid w:val="006F36EA"/>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2D9"/>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A6C"/>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730"/>
    <w:rsid w:val="007554BB"/>
    <w:rsid w:val="0076100C"/>
    <w:rsid w:val="00761127"/>
    <w:rsid w:val="007612A5"/>
    <w:rsid w:val="007635A8"/>
    <w:rsid w:val="007638D0"/>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DC9"/>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80E"/>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0FBF"/>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D2"/>
    <w:rsid w:val="007E71B1"/>
    <w:rsid w:val="007E763E"/>
    <w:rsid w:val="007E79E2"/>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3C32"/>
    <w:rsid w:val="00804385"/>
    <w:rsid w:val="00804E0E"/>
    <w:rsid w:val="008051EB"/>
    <w:rsid w:val="0080588E"/>
    <w:rsid w:val="00805AFD"/>
    <w:rsid w:val="00806397"/>
    <w:rsid w:val="008078D8"/>
    <w:rsid w:val="0080798E"/>
    <w:rsid w:val="00811BD9"/>
    <w:rsid w:val="00811D5B"/>
    <w:rsid w:val="00813C51"/>
    <w:rsid w:val="0081406F"/>
    <w:rsid w:val="00816CCB"/>
    <w:rsid w:val="00817572"/>
    <w:rsid w:val="00817713"/>
    <w:rsid w:val="0082079E"/>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379"/>
    <w:rsid w:val="00834458"/>
    <w:rsid w:val="00834AEA"/>
    <w:rsid w:val="00835841"/>
    <w:rsid w:val="00835BF8"/>
    <w:rsid w:val="00835FB7"/>
    <w:rsid w:val="00836B7B"/>
    <w:rsid w:val="00837465"/>
    <w:rsid w:val="0084002E"/>
    <w:rsid w:val="00840159"/>
    <w:rsid w:val="00840621"/>
    <w:rsid w:val="00840B3D"/>
    <w:rsid w:val="00841243"/>
    <w:rsid w:val="00841457"/>
    <w:rsid w:val="0084297D"/>
    <w:rsid w:val="00842BAA"/>
    <w:rsid w:val="00842D8F"/>
    <w:rsid w:val="00843151"/>
    <w:rsid w:val="0084374E"/>
    <w:rsid w:val="008440D3"/>
    <w:rsid w:val="00844842"/>
    <w:rsid w:val="0084493E"/>
    <w:rsid w:val="00844A53"/>
    <w:rsid w:val="00844B99"/>
    <w:rsid w:val="00844DD0"/>
    <w:rsid w:val="008455C8"/>
    <w:rsid w:val="0084560B"/>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757"/>
    <w:rsid w:val="00860869"/>
    <w:rsid w:val="00860E60"/>
    <w:rsid w:val="0086102A"/>
    <w:rsid w:val="0086162B"/>
    <w:rsid w:val="00861710"/>
    <w:rsid w:val="00861D5C"/>
    <w:rsid w:val="00861E7C"/>
    <w:rsid w:val="008626C2"/>
    <w:rsid w:val="00863B7C"/>
    <w:rsid w:val="0086429C"/>
    <w:rsid w:val="00865207"/>
    <w:rsid w:val="008656A7"/>
    <w:rsid w:val="00865FA3"/>
    <w:rsid w:val="00866231"/>
    <w:rsid w:val="00866928"/>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63D"/>
    <w:rsid w:val="00892B90"/>
    <w:rsid w:val="00896535"/>
    <w:rsid w:val="00896683"/>
    <w:rsid w:val="00896C01"/>
    <w:rsid w:val="00896E71"/>
    <w:rsid w:val="0089750B"/>
    <w:rsid w:val="00897589"/>
    <w:rsid w:val="008A0C99"/>
    <w:rsid w:val="008A0D4F"/>
    <w:rsid w:val="008A1CC3"/>
    <w:rsid w:val="008A39D7"/>
    <w:rsid w:val="008A3CD0"/>
    <w:rsid w:val="008A3D00"/>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2FC"/>
    <w:rsid w:val="008E0790"/>
    <w:rsid w:val="008E0D8F"/>
    <w:rsid w:val="008E0F4E"/>
    <w:rsid w:val="008E1E94"/>
    <w:rsid w:val="008E2D99"/>
    <w:rsid w:val="008E30D4"/>
    <w:rsid w:val="008E38B0"/>
    <w:rsid w:val="008E3C90"/>
    <w:rsid w:val="008E4A60"/>
    <w:rsid w:val="008E6B9C"/>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0676"/>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645"/>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05EF"/>
    <w:rsid w:val="009419B4"/>
    <w:rsid w:val="00941A4C"/>
    <w:rsid w:val="00942645"/>
    <w:rsid w:val="009461E6"/>
    <w:rsid w:val="00950A3A"/>
    <w:rsid w:val="0095134C"/>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86D"/>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1B58"/>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276"/>
    <w:rsid w:val="009A26B9"/>
    <w:rsid w:val="009A49D3"/>
    <w:rsid w:val="009A4F1B"/>
    <w:rsid w:val="009A66C5"/>
    <w:rsid w:val="009A66E7"/>
    <w:rsid w:val="009A7578"/>
    <w:rsid w:val="009A79BA"/>
    <w:rsid w:val="009B10F9"/>
    <w:rsid w:val="009B14D1"/>
    <w:rsid w:val="009B1534"/>
    <w:rsid w:val="009B4963"/>
    <w:rsid w:val="009B4A3B"/>
    <w:rsid w:val="009B4E27"/>
    <w:rsid w:val="009B5902"/>
    <w:rsid w:val="009B6023"/>
    <w:rsid w:val="009B69D3"/>
    <w:rsid w:val="009B721E"/>
    <w:rsid w:val="009B7BA7"/>
    <w:rsid w:val="009B7C01"/>
    <w:rsid w:val="009C0938"/>
    <w:rsid w:val="009C0C22"/>
    <w:rsid w:val="009C12A1"/>
    <w:rsid w:val="009C15D9"/>
    <w:rsid w:val="009C1A1D"/>
    <w:rsid w:val="009C22C8"/>
    <w:rsid w:val="009C2AA1"/>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CA"/>
    <w:rsid w:val="009D4229"/>
    <w:rsid w:val="009D4268"/>
    <w:rsid w:val="009D56AA"/>
    <w:rsid w:val="009D5DE9"/>
    <w:rsid w:val="009E09D0"/>
    <w:rsid w:val="009E0C9F"/>
    <w:rsid w:val="009E1181"/>
    <w:rsid w:val="009E1283"/>
    <w:rsid w:val="009E177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471"/>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F24"/>
    <w:rsid w:val="00A1105B"/>
    <w:rsid w:val="00A1213C"/>
    <w:rsid w:val="00A130E8"/>
    <w:rsid w:val="00A14D6D"/>
    <w:rsid w:val="00A15B6B"/>
    <w:rsid w:val="00A15EB4"/>
    <w:rsid w:val="00A16172"/>
    <w:rsid w:val="00A161DE"/>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4DE1"/>
    <w:rsid w:val="00A55068"/>
    <w:rsid w:val="00A558A5"/>
    <w:rsid w:val="00A56D26"/>
    <w:rsid w:val="00A571A7"/>
    <w:rsid w:val="00A5749A"/>
    <w:rsid w:val="00A575E1"/>
    <w:rsid w:val="00A57BA8"/>
    <w:rsid w:val="00A57C35"/>
    <w:rsid w:val="00A60493"/>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C6A"/>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A7F"/>
    <w:rsid w:val="00A97B11"/>
    <w:rsid w:val="00A97CD9"/>
    <w:rsid w:val="00AA020A"/>
    <w:rsid w:val="00AA04B3"/>
    <w:rsid w:val="00AA088E"/>
    <w:rsid w:val="00AA1253"/>
    <w:rsid w:val="00AA1ED0"/>
    <w:rsid w:val="00AA1F5B"/>
    <w:rsid w:val="00AA255E"/>
    <w:rsid w:val="00AA28EF"/>
    <w:rsid w:val="00AA3593"/>
    <w:rsid w:val="00AA38CA"/>
    <w:rsid w:val="00AA493E"/>
    <w:rsid w:val="00AA4BEA"/>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6429"/>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636"/>
    <w:rsid w:val="00B0472F"/>
    <w:rsid w:val="00B06930"/>
    <w:rsid w:val="00B076B6"/>
    <w:rsid w:val="00B0773A"/>
    <w:rsid w:val="00B07955"/>
    <w:rsid w:val="00B07C45"/>
    <w:rsid w:val="00B1176B"/>
    <w:rsid w:val="00B11858"/>
    <w:rsid w:val="00B13A51"/>
    <w:rsid w:val="00B140B8"/>
    <w:rsid w:val="00B14FAA"/>
    <w:rsid w:val="00B15BED"/>
    <w:rsid w:val="00B15D30"/>
    <w:rsid w:val="00B15F09"/>
    <w:rsid w:val="00B16D18"/>
    <w:rsid w:val="00B1704A"/>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362"/>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EAE"/>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38A1"/>
    <w:rsid w:val="00BC3E50"/>
    <w:rsid w:val="00BC5860"/>
    <w:rsid w:val="00BC60A5"/>
    <w:rsid w:val="00BC7F82"/>
    <w:rsid w:val="00BD1844"/>
    <w:rsid w:val="00BD28A8"/>
    <w:rsid w:val="00BD2A49"/>
    <w:rsid w:val="00BD3683"/>
    <w:rsid w:val="00BD40AB"/>
    <w:rsid w:val="00BD40DE"/>
    <w:rsid w:val="00BD6297"/>
    <w:rsid w:val="00BD6806"/>
    <w:rsid w:val="00BD6939"/>
    <w:rsid w:val="00BD70F4"/>
    <w:rsid w:val="00BD7390"/>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697"/>
    <w:rsid w:val="00BF0B7F"/>
    <w:rsid w:val="00BF0E94"/>
    <w:rsid w:val="00BF2988"/>
    <w:rsid w:val="00BF3FB9"/>
    <w:rsid w:val="00BF4012"/>
    <w:rsid w:val="00BF4225"/>
    <w:rsid w:val="00BF4720"/>
    <w:rsid w:val="00BF4D20"/>
    <w:rsid w:val="00BF4F49"/>
    <w:rsid w:val="00BF6759"/>
    <w:rsid w:val="00BF6EBE"/>
    <w:rsid w:val="00BF70A6"/>
    <w:rsid w:val="00BF72CA"/>
    <w:rsid w:val="00BF7B4F"/>
    <w:rsid w:val="00BF7B63"/>
    <w:rsid w:val="00BF7F3C"/>
    <w:rsid w:val="00C005D4"/>
    <w:rsid w:val="00C00671"/>
    <w:rsid w:val="00C02814"/>
    <w:rsid w:val="00C034A3"/>
    <w:rsid w:val="00C0359D"/>
    <w:rsid w:val="00C038EC"/>
    <w:rsid w:val="00C03C21"/>
    <w:rsid w:val="00C05C6D"/>
    <w:rsid w:val="00C0602A"/>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070"/>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78C"/>
    <w:rsid w:val="00C54DF3"/>
    <w:rsid w:val="00C55C55"/>
    <w:rsid w:val="00C560A7"/>
    <w:rsid w:val="00C566C9"/>
    <w:rsid w:val="00C56FC8"/>
    <w:rsid w:val="00C60F23"/>
    <w:rsid w:val="00C61424"/>
    <w:rsid w:val="00C6170B"/>
    <w:rsid w:val="00C62EB2"/>
    <w:rsid w:val="00C63431"/>
    <w:rsid w:val="00C64C87"/>
    <w:rsid w:val="00C65414"/>
    <w:rsid w:val="00C6590A"/>
    <w:rsid w:val="00C65BE0"/>
    <w:rsid w:val="00C665FE"/>
    <w:rsid w:val="00C71BEC"/>
    <w:rsid w:val="00C73942"/>
    <w:rsid w:val="00C73A83"/>
    <w:rsid w:val="00C74D3A"/>
    <w:rsid w:val="00C75F3D"/>
    <w:rsid w:val="00C77DCA"/>
    <w:rsid w:val="00C80511"/>
    <w:rsid w:val="00C805E0"/>
    <w:rsid w:val="00C80655"/>
    <w:rsid w:val="00C81937"/>
    <w:rsid w:val="00C826F5"/>
    <w:rsid w:val="00C82D48"/>
    <w:rsid w:val="00C83740"/>
    <w:rsid w:val="00C84527"/>
    <w:rsid w:val="00C845FF"/>
    <w:rsid w:val="00C84AD1"/>
    <w:rsid w:val="00C853C9"/>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0B9"/>
    <w:rsid w:val="00CA4670"/>
    <w:rsid w:val="00CA5F89"/>
    <w:rsid w:val="00CA6B1A"/>
    <w:rsid w:val="00CA71E2"/>
    <w:rsid w:val="00CA720B"/>
    <w:rsid w:val="00CB1B18"/>
    <w:rsid w:val="00CB20DC"/>
    <w:rsid w:val="00CB23DC"/>
    <w:rsid w:val="00CB2487"/>
    <w:rsid w:val="00CB28E2"/>
    <w:rsid w:val="00CB2F20"/>
    <w:rsid w:val="00CB3395"/>
    <w:rsid w:val="00CB3F63"/>
    <w:rsid w:val="00CB5801"/>
    <w:rsid w:val="00CB6186"/>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886"/>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3DD"/>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03E"/>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065"/>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7704D"/>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ABA"/>
    <w:rsid w:val="00D94F76"/>
    <w:rsid w:val="00D95984"/>
    <w:rsid w:val="00D95C64"/>
    <w:rsid w:val="00D96F8A"/>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AFC"/>
    <w:rsid w:val="00DC3E03"/>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33B"/>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77D"/>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2E4"/>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263"/>
    <w:rsid w:val="00ED236D"/>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4C6F"/>
    <w:rsid w:val="00F053F0"/>
    <w:rsid w:val="00F05807"/>
    <w:rsid w:val="00F05BD3"/>
    <w:rsid w:val="00F06451"/>
    <w:rsid w:val="00F07052"/>
    <w:rsid w:val="00F0706C"/>
    <w:rsid w:val="00F111B6"/>
    <w:rsid w:val="00F11EBE"/>
    <w:rsid w:val="00F12293"/>
    <w:rsid w:val="00F12BA8"/>
    <w:rsid w:val="00F12D7A"/>
    <w:rsid w:val="00F130D0"/>
    <w:rsid w:val="00F13A07"/>
    <w:rsid w:val="00F13AC6"/>
    <w:rsid w:val="00F14933"/>
    <w:rsid w:val="00F1516A"/>
    <w:rsid w:val="00F15483"/>
    <w:rsid w:val="00F15EE5"/>
    <w:rsid w:val="00F16E19"/>
    <w:rsid w:val="00F171F9"/>
    <w:rsid w:val="00F1737C"/>
    <w:rsid w:val="00F173AA"/>
    <w:rsid w:val="00F20DA4"/>
    <w:rsid w:val="00F22A26"/>
    <w:rsid w:val="00F2361E"/>
    <w:rsid w:val="00F24072"/>
    <w:rsid w:val="00F26380"/>
    <w:rsid w:val="00F26432"/>
    <w:rsid w:val="00F3197A"/>
    <w:rsid w:val="00F32139"/>
    <w:rsid w:val="00F33CF0"/>
    <w:rsid w:val="00F33D56"/>
    <w:rsid w:val="00F34E08"/>
    <w:rsid w:val="00F40BE0"/>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634"/>
    <w:rsid w:val="00F5580D"/>
    <w:rsid w:val="00F566B7"/>
    <w:rsid w:val="00F56EA1"/>
    <w:rsid w:val="00F606D5"/>
    <w:rsid w:val="00F611B3"/>
    <w:rsid w:val="00F6196E"/>
    <w:rsid w:val="00F61CCC"/>
    <w:rsid w:val="00F624DD"/>
    <w:rsid w:val="00F629C0"/>
    <w:rsid w:val="00F62FD6"/>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6C48"/>
    <w:rsid w:val="00F87DFB"/>
    <w:rsid w:val="00F90376"/>
    <w:rsid w:val="00F908D5"/>
    <w:rsid w:val="00F912A0"/>
    <w:rsid w:val="00F913B9"/>
    <w:rsid w:val="00F91B14"/>
    <w:rsid w:val="00F93C74"/>
    <w:rsid w:val="00F93DCC"/>
    <w:rsid w:val="00F93EA6"/>
    <w:rsid w:val="00F9435D"/>
    <w:rsid w:val="00F95DBC"/>
    <w:rsid w:val="00F966F9"/>
    <w:rsid w:val="00F96F61"/>
    <w:rsid w:val="00F97198"/>
    <w:rsid w:val="00F9752F"/>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A61"/>
    <w:rsid w:val="00FB7CF0"/>
    <w:rsid w:val="00FC0042"/>
    <w:rsid w:val="00FC1E67"/>
    <w:rsid w:val="00FC2A13"/>
    <w:rsid w:val="00FC4284"/>
    <w:rsid w:val="00FC4576"/>
    <w:rsid w:val="00FC494C"/>
    <w:rsid w:val="00FC49D0"/>
    <w:rsid w:val="00FC5FF5"/>
    <w:rsid w:val="00FC6285"/>
    <w:rsid w:val="00FC78FB"/>
    <w:rsid w:val="00FC7DBC"/>
    <w:rsid w:val="00FD076A"/>
    <w:rsid w:val="00FD0AA0"/>
    <w:rsid w:val="00FD171F"/>
    <w:rsid w:val="00FD1D5A"/>
    <w:rsid w:val="00FD4B85"/>
    <w:rsid w:val="00FD5059"/>
    <w:rsid w:val="00FD5085"/>
    <w:rsid w:val="00FD554D"/>
    <w:rsid w:val="00FD5BCC"/>
    <w:rsid w:val="00FD5EB4"/>
    <w:rsid w:val="00FD5EB8"/>
    <w:rsid w:val="00FD61B7"/>
    <w:rsid w:val="00FD6C2D"/>
    <w:rsid w:val="00FD7B23"/>
    <w:rsid w:val="00FE2A48"/>
    <w:rsid w:val="00FE2DEF"/>
    <w:rsid w:val="00FE323C"/>
    <w:rsid w:val="00FE3A27"/>
    <w:rsid w:val="00FE48A6"/>
    <w:rsid w:val="00FE4FB2"/>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4F71"/>
    <w:rsid w:val="00FF50E9"/>
    <w:rsid w:val="00FF5806"/>
    <w:rsid w:val="00FF61B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link w:val="Footer"/>
    <w:uiPriority w:val="99"/>
    <w:rsid w:val="000379D0"/>
    <w:rPr>
      <w:rFonts w:cs="Times New Roman"/>
      <w:color w:val="008080"/>
      <w:sz w:val="24"/>
    </w:rPr>
  </w:style>
  <w:style w:type="character" w:styleId="PageNumber">
    <w:name w:val="page number"/>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uiPriority w:val="99"/>
    <w:rsid w:val="004766C9"/>
    <w:rPr>
      <w:rFonts w:cs="Times New Roman"/>
    </w:rPr>
  </w:style>
  <w:style w:type="character" w:styleId="CommentReference">
    <w:name w:val="annotation reference"/>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link w:val="CommentSubject"/>
    <w:uiPriority w:val="99"/>
    <w:rsid w:val="0046111A"/>
    <w:rPr>
      <w:rFonts w:cs="Times New Roman"/>
      <w:b/>
      <w:bCs/>
      <w:color w:val="008080"/>
      <w:sz w:val="20"/>
    </w:rPr>
  </w:style>
  <w:style w:type="character" w:styleId="Hyperlink">
    <w:name w:val="Hyperlink"/>
    <w:uiPriority w:val="99"/>
    <w:rsid w:val="00750E3A"/>
    <w:rPr>
      <w:rFonts w:cs="Times New Roman"/>
      <w:color w:val="0000FF"/>
      <w:u w:val="single"/>
    </w:rPr>
  </w:style>
  <w:style w:type="character" w:styleId="FollowedHyperlink">
    <w:name w:val="FollowedHyperlink"/>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236345">
      <w:bodyDiv w:val="1"/>
      <w:marLeft w:val="0"/>
      <w:marRight w:val="0"/>
      <w:marTop w:val="0"/>
      <w:marBottom w:val="0"/>
      <w:divBdr>
        <w:top w:val="none" w:sz="0" w:space="0" w:color="auto"/>
        <w:left w:val="none" w:sz="0" w:space="0" w:color="auto"/>
        <w:bottom w:val="none" w:sz="0" w:space="0" w:color="auto"/>
        <w:right w:val="none" w:sz="0" w:space="0" w:color="auto"/>
      </w:divBdr>
    </w:div>
    <w:div w:id="825514425">
      <w:bodyDiv w:val="1"/>
      <w:marLeft w:val="0"/>
      <w:marRight w:val="0"/>
      <w:marTop w:val="0"/>
      <w:marBottom w:val="0"/>
      <w:divBdr>
        <w:top w:val="none" w:sz="0" w:space="0" w:color="auto"/>
        <w:left w:val="none" w:sz="0" w:space="0" w:color="auto"/>
        <w:bottom w:val="none" w:sz="0" w:space="0" w:color="auto"/>
        <w:right w:val="none" w:sz="0" w:space="0" w:color="auto"/>
      </w:divBdr>
    </w:div>
    <w:div w:id="889390146">
      <w:bodyDiv w:val="1"/>
      <w:marLeft w:val="0"/>
      <w:marRight w:val="0"/>
      <w:marTop w:val="0"/>
      <w:marBottom w:val="0"/>
      <w:divBdr>
        <w:top w:val="none" w:sz="0" w:space="0" w:color="auto"/>
        <w:left w:val="none" w:sz="0" w:space="0" w:color="auto"/>
        <w:bottom w:val="none" w:sz="0" w:space="0" w:color="auto"/>
        <w:right w:val="none" w:sz="0" w:space="0" w:color="auto"/>
      </w:divBdr>
    </w:div>
    <w:div w:id="922683458">
      <w:bodyDiv w:val="1"/>
      <w:marLeft w:val="0"/>
      <w:marRight w:val="0"/>
      <w:marTop w:val="0"/>
      <w:marBottom w:val="0"/>
      <w:divBdr>
        <w:top w:val="none" w:sz="0" w:space="0" w:color="auto"/>
        <w:left w:val="none" w:sz="0" w:space="0" w:color="auto"/>
        <w:bottom w:val="none" w:sz="0" w:space="0" w:color="auto"/>
        <w:right w:val="none" w:sz="0" w:space="0" w:color="auto"/>
      </w:divBdr>
    </w:div>
    <w:div w:id="1065571929">
      <w:bodyDiv w:val="1"/>
      <w:marLeft w:val="0"/>
      <w:marRight w:val="0"/>
      <w:marTop w:val="0"/>
      <w:marBottom w:val="0"/>
      <w:divBdr>
        <w:top w:val="none" w:sz="0" w:space="0" w:color="auto"/>
        <w:left w:val="none" w:sz="0" w:space="0" w:color="auto"/>
        <w:bottom w:val="none" w:sz="0" w:space="0" w:color="auto"/>
        <w:right w:val="none" w:sz="0" w:space="0" w:color="auto"/>
      </w:divBdr>
    </w:div>
    <w:div w:id="1329361915">
      <w:bodyDiv w:val="1"/>
      <w:marLeft w:val="0"/>
      <w:marRight w:val="0"/>
      <w:marTop w:val="0"/>
      <w:marBottom w:val="0"/>
      <w:divBdr>
        <w:top w:val="none" w:sz="0" w:space="0" w:color="auto"/>
        <w:left w:val="none" w:sz="0" w:space="0" w:color="auto"/>
        <w:bottom w:val="none" w:sz="0" w:space="0" w:color="auto"/>
        <w:right w:val="none" w:sz="0" w:space="0" w:color="auto"/>
      </w:divBdr>
    </w:div>
    <w:div w:id="1826894050">
      <w:bodyDiv w:val="1"/>
      <w:marLeft w:val="0"/>
      <w:marRight w:val="0"/>
      <w:marTop w:val="0"/>
      <w:marBottom w:val="0"/>
      <w:divBdr>
        <w:top w:val="none" w:sz="0" w:space="0" w:color="auto"/>
        <w:left w:val="none" w:sz="0" w:space="0" w:color="auto"/>
        <w:bottom w:val="none" w:sz="0" w:space="0" w:color="auto"/>
        <w:right w:val="none" w:sz="0" w:space="0" w:color="auto"/>
      </w:divBdr>
    </w:div>
    <w:div w:id="207823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5336</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2012-06-27T14:57:00Z</cp:lastPrinted>
  <dcterms:created xsi:type="dcterms:W3CDTF">2012-08-06T13:45:00Z</dcterms:created>
  <dcterms:modified xsi:type="dcterms:W3CDTF">2012-08-06T13:45:00Z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