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0035BB">
        <w:rPr>
          <w:caps/>
          <w:color w:val="auto"/>
        </w:rPr>
        <w:t>XXXXXXXXXXXXXX</w:t>
      </w:r>
      <w:r w:rsidR="00B7391D">
        <w:rPr>
          <w:caps/>
          <w:color w:val="auto"/>
        </w:rPr>
        <w:t xml:space="preserve">                                                            </w:t>
      </w:r>
      <w:r w:rsidR="00CF2800">
        <w:rPr>
          <w:caps/>
          <w:color w:val="auto"/>
        </w:rPr>
        <w:t xml:space="preserve"> </w:t>
      </w:r>
      <w:r w:rsidR="004C70E6">
        <w:rPr>
          <w:caps/>
          <w:color w:val="auto"/>
        </w:rPr>
        <w:t xml:space="preserve">   </w:t>
      </w:r>
      <w:r w:rsidRPr="00F64312">
        <w:rPr>
          <w:caps/>
          <w:color w:val="auto"/>
        </w:rPr>
        <w:t>BRANCH OF SERVICE</w:t>
      </w:r>
      <w:r w:rsidRPr="00776E0E">
        <w:rPr>
          <w:caps/>
          <w:color w:val="auto"/>
        </w:rPr>
        <w:t xml:space="preserve">:  </w:t>
      </w:r>
      <w:r w:rsidR="00DF70F4" w:rsidRPr="00776E0E">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240B2A">
        <w:rPr>
          <w:caps/>
          <w:color w:val="auto"/>
        </w:rPr>
        <w:t>PD1100</w:t>
      </w:r>
      <w:r w:rsidR="00710614" w:rsidRPr="00240B2A">
        <w:rPr>
          <w:caps/>
          <w:color w:val="auto"/>
        </w:rPr>
        <w:t>716</w:t>
      </w:r>
      <w:r w:rsidR="004C70E6">
        <w:rPr>
          <w:color w:val="auto"/>
        </w:rPr>
        <w:t xml:space="preserve">                                                                  </w:t>
      </w:r>
      <w:r w:rsidR="0018208F" w:rsidRPr="00F64312">
        <w:rPr>
          <w:color w:val="auto"/>
        </w:rPr>
        <w:t>SE</w:t>
      </w:r>
      <w:r w:rsidRPr="00F64312">
        <w:rPr>
          <w:color w:val="auto"/>
        </w:rPr>
        <w:t>PARATION DATE:  200</w:t>
      </w:r>
      <w:r w:rsidR="00710614">
        <w:rPr>
          <w:color w:val="auto"/>
        </w:rPr>
        <w:t>40505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B3F05">
        <w:rPr>
          <w:caps/>
          <w:color w:val="auto"/>
        </w:rPr>
        <w:t>0809</w:t>
      </w:r>
      <w:r w:rsidR="00E82B9F">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BB3F05">
        <w:rPr>
          <w:color w:val="auto"/>
        </w:rPr>
        <w:t>an active</w:t>
      </w:r>
      <w:r w:rsidR="00CC2719" w:rsidRPr="00BB3F05">
        <w:rPr>
          <w:color w:val="auto"/>
        </w:rPr>
        <w:t xml:space="preserve"> drilling</w:t>
      </w:r>
      <w:r w:rsidR="0021565F" w:rsidRPr="00BB3F05">
        <w:rPr>
          <w:color w:val="auto"/>
        </w:rPr>
        <w:t xml:space="preserve"> </w:t>
      </w:r>
      <w:r w:rsidR="00463478" w:rsidRPr="00BB3F05">
        <w:rPr>
          <w:color w:val="auto"/>
        </w:rPr>
        <w:t xml:space="preserve">National </w:t>
      </w:r>
      <w:r w:rsidRPr="00BB3F05">
        <w:rPr>
          <w:color w:val="auto"/>
        </w:rPr>
        <w:t>Guard</w:t>
      </w:r>
      <w:r w:rsidR="0021565F" w:rsidRPr="00BB3F05">
        <w:rPr>
          <w:color w:val="auto"/>
        </w:rPr>
        <w:t xml:space="preserve"> </w:t>
      </w:r>
      <w:r w:rsidR="00CC2719" w:rsidRPr="00BB3F05">
        <w:rPr>
          <w:color w:val="auto"/>
        </w:rPr>
        <w:t>M</w:t>
      </w:r>
      <w:r w:rsidR="005F02BF" w:rsidRPr="00BB3F05">
        <w:rPr>
          <w:color w:val="auto"/>
        </w:rPr>
        <w:t>SG</w:t>
      </w:r>
      <w:r w:rsidR="00332E8C" w:rsidRPr="00BB3F05">
        <w:rPr>
          <w:color w:val="auto"/>
        </w:rPr>
        <w:t>T</w:t>
      </w:r>
      <w:r w:rsidR="0017172C" w:rsidRPr="00BB3F05">
        <w:rPr>
          <w:color w:val="auto"/>
        </w:rPr>
        <w:t>/E-</w:t>
      </w:r>
      <w:r w:rsidR="00CC2719" w:rsidRPr="00BB3F05">
        <w:rPr>
          <w:color w:val="auto"/>
        </w:rPr>
        <w:t>8</w:t>
      </w:r>
      <w:r w:rsidRPr="00BB3F05">
        <w:rPr>
          <w:color w:val="auto"/>
        </w:rPr>
        <w:t xml:space="preserve"> (</w:t>
      </w:r>
      <w:r w:rsidR="00CC2719" w:rsidRPr="00BB3F05">
        <w:rPr>
          <w:color w:val="auto"/>
        </w:rPr>
        <w:t>63Z50</w:t>
      </w:r>
      <w:r w:rsidR="002B3D31">
        <w:rPr>
          <w:color w:val="auto"/>
        </w:rPr>
        <w:t>/</w:t>
      </w:r>
      <w:r w:rsidR="00CC2719" w:rsidRPr="00BB3F05">
        <w:rPr>
          <w:color w:val="auto"/>
        </w:rPr>
        <w:t>Maintenance Management Supervisor</w:t>
      </w:r>
      <w:r w:rsidR="00A70270" w:rsidRPr="00BB3F05">
        <w:rPr>
          <w:color w:val="auto"/>
        </w:rPr>
        <w:t>)</w:t>
      </w:r>
      <w:r w:rsidR="00565636" w:rsidRPr="00BB3F05">
        <w:rPr>
          <w:color w:val="auto"/>
        </w:rPr>
        <w:t>,</w:t>
      </w:r>
      <w:r w:rsidR="00A70270" w:rsidRPr="00BB3F05">
        <w:rPr>
          <w:color w:val="auto"/>
        </w:rPr>
        <w:t xml:space="preserve"> </w:t>
      </w:r>
      <w:r w:rsidRPr="00BB3F05">
        <w:rPr>
          <w:color w:val="auto"/>
        </w:rPr>
        <w:t xml:space="preserve">medically separated for </w:t>
      </w:r>
      <w:r w:rsidR="00CC2719" w:rsidRPr="00BB3F05">
        <w:rPr>
          <w:color w:val="auto"/>
        </w:rPr>
        <w:t>bilateral knee osteoarthritis.</w:t>
      </w:r>
      <w:r w:rsidR="006D5E1E" w:rsidRPr="00BB3F05">
        <w:rPr>
          <w:color w:val="auto"/>
          <w:szCs w:val="24"/>
        </w:rPr>
        <w:t xml:space="preserve">  </w:t>
      </w:r>
      <w:r w:rsidR="00CC2719" w:rsidRPr="00BB3F05">
        <w:rPr>
          <w:color w:val="auto"/>
          <w:szCs w:val="24"/>
        </w:rPr>
        <w:t xml:space="preserve">The right knee condition resulted from </w:t>
      </w:r>
      <w:r w:rsidR="0087734A" w:rsidRPr="00BB3F05">
        <w:rPr>
          <w:color w:val="auto"/>
          <w:szCs w:val="24"/>
        </w:rPr>
        <w:t xml:space="preserve">an </w:t>
      </w:r>
      <w:r w:rsidR="00CC2719" w:rsidRPr="00BB3F05">
        <w:rPr>
          <w:color w:val="auto"/>
          <w:szCs w:val="24"/>
        </w:rPr>
        <w:t xml:space="preserve">injury in 2002 and required </w:t>
      </w:r>
      <w:r w:rsidR="00C65198" w:rsidRPr="00BB3F05">
        <w:rPr>
          <w:color w:val="auto"/>
          <w:szCs w:val="24"/>
        </w:rPr>
        <w:t xml:space="preserve">multiple </w:t>
      </w:r>
      <w:r w:rsidR="00CC2719" w:rsidRPr="00BB3F05">
        <w:rPr>
          <w:color w:val="auto"/>
          <w:szCs w:val="24"/>
        </w:rPr>
        <w:t>arthroscopic surger</w:t>
      </w:r>
      <w:r w:rsidR="00C65198" w:rsidRPr="00BB3F05">
        <w:rPr>
          <w:color w:val="auto"/>
          <w:szCs w:val="24"/>
        </w:rPr>
        <w:t>ies</w:t>
      </w:r>
      <w:r w:rsidR="00CC2719" w:rsidRPr="00BB3F05">
        <w:rPr>
          <w:color w:val="auto"/>
          <w:szCs w:val="24"/>
        </w:rPr>
        <w:t xml:space="preserve">.  The left knee condition was not a result of injury and was not associated with a surgical indication.  </w:t>
      </w:r>
      <w:r w:rsidR="00895FCB" w:rsidRPr="00BB3F05">
        <w:rPr>
          <w:color w:val="auto"/>
          <w:szCs w:val="24"/>
        </w:rPr>
        <w:t>He did not respond adequately to operative and rehabilitative treatment and was unable t</w:t>
      </w:r>
      <w:r w:rsidR="00895FCB" w:rsidRPr="00BB3F05">
        <w:rPr>
          <w:color w:val="auto"/>
        </w:rPr>
        <w:t xml:space="preserve">o meet the physical requirements of his Military Occupational Specialty (MOS) or satisfy physical fitness standards.  </w:t>
      </w:r>
      <w:r w:rsidR="009C12A1" w:rsidRPr="00BB3F05">
        <w:rPr>
          <w:color w:val="auto"/>
        </w:rPr>
        <w:t xml:space="preserve">He </w:t>
      </w:r>
      <w:r w:rsidR="00F566B7" w:rsidRPr="00BB3F05">
        <w:rPr>
          <w:color w:val="auto"/>
        </w:rPr>
        <w:t>was issued a permanent L</w:t>
      </w:r>
      <w:r w:rsidR="00015272" w:rsidRPr="00BB3F05">
        <w:rPr>
          <w:color w:val="auto"/>
        </w:rPr>
        <w:t>4/H3</w:t>
      </w:r>
      <w:r w:rsidR="00F566B7" w:rsidRPr="00BB3F05">
        <w:rPr>
          <w:color w:val="auto"/>
        </w:rPr>
        <w:t xml:space="preserve"> profile</w:t>
      </w:r>
      <w:r w:rsidR="00252A84" w:rsidRPr="00BB3F05">
        <w:rPr>
          <w:color w:val="auto"/>
        </w:rPr>
        <w:t xml:space="preserve"> </w:t>
      </w:r>
      <w:r w:rsidR="00F566B7" w:rsidRPr="00BB3F05">
        <w:rPr>
          <w:color w:val="auto"/>
        </w:rPr>
        <w:t>and</w:t>
      </w:r>
      <w:r w:rsidR="009C12A1" w:rsidRPr="00BB3F05">
        <w:rPr>
          <w:color w:val="auto"/>
        </w:rPr>
        <w:t xml:space="preserve"> </w:t>
      </w:r>
      <w:r w:rsidR="00F566B7" w:rsidRPr="00BB3F05">
        <w:rPr>
          <w:color w:val="auto"/>
        </w:rPr>
        <w:t>referred for a Medical Evaluation Board (MEB).</w:t>
      </w:r>
      <w:r w:rsidR="006D5E1E" w:rsidRPr="00BB3F05">
        <w:rPr>
          <w:color w:val="auto"/>
        </w:rPr>
        <w:t xml:space="preserve">  </w:t>
      </w:r>
      <w:r w:rsidR="009F44A2" w:rsidRPr="00BB3F05">
        <w:rPr>
          <w:color w:val="auto"/>
        </w:rPr>
        <w:t xml:space="preserve">The MEB forwarded </w:t>
      </w:r>
      <w:r w:rsidR="00166B74" w:rsidRPr="00BB3F05">
        <w:rPr>
          <w:color w:val="auto"/>
        </w:rPr>
        <w:t>bilateral osteoarthritis of knees, right much greater than left, and right patellar chondromalacia</w:t>
      </w:r>
      <w:r w:rsidR="009F44A2" w:rsidRPr="00BB3F05">
        <w:rPr>
          <w:color w:val="auto"/>
        </w:rPr>
        <w:t xml:space="preserve"> to the Physical Evaluation Board (PEB) as medically unacceptable IAW AR 40-501.</w:t>
      </w:r>
      <w:r w:rsidR="000B3FBD" w:rsidRPr="00BB3F05">
        <w:rPr>
          <w:color w:val="auto"/>
        </w:rPr>
        <w:t xml:space="preserve">  Two other conditions</w:t>
      </w:r>
      <w:r w:rsidR="00071F0D" w:rsidRPr="00BB3F05">
        <w:rPr>
          <w:color w:val="auto"/>
        </w:rPr>
        <w:t>, identified</w:t>
      </w:r>
      <w:r w:rsidR="00071F0D" w:rsidRPr="000B3FBD">
        <w:rPr>
          <w:color w:val="auto"/>
        </w:rPr>
        <w:t xml:space="preserve"> in the rating chart below, were also identified and forwarded by the MEB</w:t>
      </w:r>
      <w:r w:rsidR="00F566B7" w:rsidRPr="000B3FBD">
        <w:rPr>
          <w:color w:val="auto"/>
        </w:rPr>
        <w:t xml:space="preserve">.  </w:t>
      </w:r>
      <w:r w:rsidRPr="00F64312">
        <w:rPr>
          <w:color w:val="auto"/>
        </w:rPr>
        <w:t xml:space="preserve">The PEB adjudicated the </w:t>
      </w:r>
      <w:r w:rsidR="000B3FBD">
        <w:rPr>
          <w:color w:val="auto"/>
        </w:rPr>
        <w:t>bilateral knee osteoarthritis condition</w:t>
      </w:r>
      <w:r w:rsidR="008530E3" w:rsidRPr="00F64312">
        <w:rPr>
          <w:color w:val="auto"/>
        </w:rPr>
        <w:t xml:space="preserve"> as unfitting, rated </w:t>
      </w:r>
      <w:r w:rsidR="000B3FBD">
        <w:rPr>
          <w:color w:val="auto"/>
        </w:rPr>
        <w:t>10</w:t>
      </w:r>
      <w:r w:rsidRPr="000B3FBD">
        <w:rPr>
          <w:color w:val="auto"/>
        </w:rPr>
        <w:t>%</w:t>
      </w:r>
      <w:r w:rsidRPr="00F64312">
        <w:rPr>
          <w:color w:val="auto"/>
        </w:rPr>
        <w:t xml:space="preserve"> </w:t>
      </w:r>
      <w:r w:rsidR="00E46D90" w:rsidRPr="00F64312">
        <w:rPr>
          <w:color w:val="auto"/>
        </w:rPr>
        <w:t xml:space="preserve">with </w:t>
      </w:r>
      <w:r w:rsidR="00006EFD" w:rsidRPr="006C4461">
        <w:rPr>
          <w:color w:val="auto"/>
        </w:rPr>
        <w:t>likely</w:t>
      </w:r>
      <w:r w:rsidR="00006EFD">
        <w:rPr>
          <w:color w:val="auto"/>
        </w:rPr>
        <w:t xml:space="preserve"> </w:t>
      </w:r>
      <w:r w:rsidR="00E46D90" w:rsidRPr="00F64312">
        <w:rPr>
          <w:color w:val="auto"/>
        </w:rPr>
        <w:t xml:space="preserve">application of </w:t>
      </w:r>
      <w:r w:rsidR="00E46D90" w:rsidRPr="00B7391D">
        <w:rPr>
          <w:color w:val="auto"/>
        </w:rPr>
        <w:t xml:space="preserve">the </w:t>
      </w:r>
      <w:r w:rsidR="0065689C" w:rsidRPr="00B7391D">
        <w:rPr>
          <w:color w:val="auto"/>
          <w:szCs w:val="24"/>
        </w:rPr>
        <w:t xml:space="preserve">US Army Physical Disability Agency (USAPDA) </w:t>
      </w:r>
      <w:r w:rsidR="0065689C" w:rsidRPr="006C4461">
        <w:rPr>
          <w:color w:val="auto"/>
          <w:szCs w:val="24"/>
        </w:rPr>
        <w:t>pain policy</w:t>
      </w:r>
      <w:r w:rsidR="00BF72CA" w:rsidRPr="00F64312">
        <w:rPr>
          <w:color w:val="auto"/>
        </w:rPr>
        <w:t>.</w:t>
      </w:r>
      <w:r w:rsidR="00165C7B" w:rsidRPr="00F64312">
        <w:rPr>
          <w:color w:val="auto"/>
        </w:rPr>
        <w:t xml:space="preserve">  </w:t>
      </w:r>
      <w:r w:rsidR="00380601" w:rsidRPr="006823F2">
        <w:rPr>
          <w:color w:val="auto"/>
        </w:rPr>
        <w:t>The remaining conditions were determined to be not unfitting</w:t>
      </w:r>
      <w:r w:rsidR="00DF70F4" w:rsidRPr="006823F2">
        <w:rPr>
          <w:color w:val="auto"/>
        </w:rPr>
        <w:t>.</w:t>
      </w:r>
      <w:r w:rsidR="001726BA" w:rsidRPr="00F64312">
        <w:rPr>
          <w:color w:val="auto"/>
        </w:rPr>
        <w:t xml:space="preserve">  </w:t>
      </w:r>
      <w:r w:rsidRPr="006823F2">
        <w:rPr>
          <w:color w:val="auto"/>
        </w:rPr>
        <w:t xml:space="preserve">The CI made no appeals, and was medically separated with </w:t>
      </w:r>
      <w:r w:rsidR="006823F2">
        <w:rPr>
          <w:color w:val="auto"/>
        </w:rPr>
        <w:t>a 10</w:t>
      </w:r>
      <w:r w:rsidR="0066684A" w:rsidRPr="006823F2">
        <w:rPr>
          <w:color w:val="auto"/>
        </w:rPr>
        <w:t xml:space="preserve">% </w:t>
      </w:r>
      <w:r w:rsidRPr="006823F2">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175515">
        <w:rPr>
          <w:color w:val="auto"/>
        </w:rPr>
        <w:t>“I am now rated at 30% by the Veterans Administration for service connected disabilities.</w:t>
      </w:r>
      <w:r w:rsidR="00432A63">
        <w:rPr>
          <w:color w:val="auto"/>
        </w:rPr>
        <w:t xml:space="preserve"> </w:t>
      </w:r>
      <w:r w:rsidR="00175515">
        <w:rPr>
          <w:color w:val="auto"/>
        </w:rPr>
        <w:t xml:space="preserve"> I have service </w:t>
      </w:r>
      <w:r w:rsidR="00175515" w:rsidRPr="00BB3F05">
        <w:rPr>
          <w:color w:val="auto"/>
        </w:rPr>
        <w:t>connected Asbestosis and was just recently tested for home use of oxygen.  I score a 92 and would have been declared unemployable if I had scored 88 or less.  My condition is degenerative and my breathing is expected to get worse.  My MOS was 63Z and I worked on brakes and clutches during my military service.  Because of my medical discharge I also lost my full time job as a Military Technician.  My condition has continued to deteriorate to the point where I am no longer able to work as a mechanic, which I have trained for since the age of 17.  I have had three surgeries on my right knee and have been told that I must have a total knee replacement at the age of 55.  After my third knee surgery on my right knee I experienced DVT which I have been told will probably recur on subsequent surgeries.  I am currently 53.  I sustained my injury while attending Warrant Officer Candidate School at Fort Rucker, Alabama.  I was given severance pay and I have been repaying the severance pay every month since my discharge in May 2004.  l am not expected to make full repayment until 2018.  In addition, the high blood pressure that was listed as under control has gotten worse.  I was getting migraine headaches which led to a CT scan that revealed that I had a stroke.  The migraine headaches were determined to be caused by my sleep apnea.  I now sleep with a CPAP and my headaches have been reduced.”</w:t>
      </w:r>
      <w:r w:rsidR="00165C7B" w:rsidRPr="00F64312">
        <w:rPr>
          <w:color w:val="auto"/>
        </w:rPr>
        <w:t xml:space="preserve"> </w:t>
      </w:r>
      <w:r w:rsidR="00B7391D">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The ratings for unfitting conditions will be reviewed in all cases</w:t>
      </w:r>
      <w:r w:rsidRPr="00375057">
        <w:rPr>
          <w:color w:val="auto"/>
        </w:rPr>
        <w:t xml:space="preserve">.  </w:t>
      </w:r>
      <w:r w:rsidRPr="00BB3F05">
        <w:rPr>
          <w:color w:val="auto"/>
        </w:rPr>
        <w:t xml:space="preserve">The </w:t>
      </w:r>
      <w:r w:rsidR="00175515" w:rsidRPr="00BB3F05">
        <w:rPr>
          <w:color w:val="auto"/>
        </w:rPr>
        <w:t>high blood pressure condition</w:t>
      </w:r>
      <w:r w:rsidR="00175515" w:rsidRPr="00375057">
        <w:rPr>
          <w:color w:val="auto"/>
        </w:rPr>
        <w:t>,</w:t>
      </w:r>
      <w:r w:rsidRPr="00375057">
        <w:rPr>
          <w:color w:val="auto"/>
        </w:rPr>
        <w:t xml:space="preserve"> as requested for consideration</w:t>
      </w:r>
      <w:r w:rsidR="00175515" w:rsidRPr="00375057">
        <w:rPr>
          <w:color w:val="auto"/>
        </w:rPr>
        <w:t>,</w:t>
      </w:r>
      <w:r w:rsidRPr="00375057">
        <w:rPr>
          <w:color w:val="auto"/>
        </w:rPr>
        <w:t xml:space="preserve"> meet</w:t>
      </w:r>
      <w:r w:rsidR="00175515" w:rsidRPr="00375057">
        <w:rPr>
          <w:color w:val="auto"/>
        </w:rPr>
        <w:t>s</w:t>
      </w:r>
      <w:r w:rsidRPr="00375057">
        <w:rPr>
          <w:color w:val="auto"/>
        </w:rPr>
        <w:t xml:space="preserve"> the criteria prescribed in</w:t>
      </w:r>
      <w:r w:rsidR="00175515" w:rsidRPr="00375057">
        <w:rPr>
          <w:color w:val="auto"/>
        </w:rPr>
        <w:t xml:space="preserve"> DoDI 6040.44 for Board purview,</w:t>
      </w:r>
      <w:r w:rsidRPr="00375057">
        <w:rPr>
          <w:color w:val="auto"/>
        </w:rPr>
        <w:t xml:space="preserve"> </w:t>
      </w:r>
      <w:r w:rsidRPr="00375057">
        <w:rPr>
          <w:color w:val="auto"/>
        </w:rPr>
        <w:lastRenderedPageBreak/>
        <w:t>and</w:t>
      </w:r>
      <w:r w:rsidR="00175515" w:rsidRPr="00375057">
        <w:rPr>
          <w:color w:val="auto"/>
        </w:rPr>
        <w:t xml:space="preserve"> is</w:t>
      </w:r>
      <w:r w:rsidRPr="00375057">
        <w:rPr>
          <w:color w:val="auto"/>
        </w:rPr>
        <w:t xml:space="preserve"> addressed below, in addition to a review of the ratings for the unfitting </w:t>
      </w:r>
      <w:r w:rsidR="00375057" w:rsidRPr="00BB3F05">
        <w:rPr>
          <w:color w:val="auto"/>
        </w:rPr>
        <w:t xml:space="preserve">knee </w:t>
      </w:r>
      <w:r w:rsidRPr="00BB3F05">
        <w:rPr>
          <w:color w:val="auto"/>
        </w:rPr>
        <w:t>conditions.</w:t>
      </w:r>
      <w:r w:rsidRPr="00375057">
        <w:rPr>
          <w:color w:val="auto"/>
        </w:rPr>
        <w:t xml:space="preserve">  The </w:t>
      </w:r>
      <w:r w:rsidR="00375057" w:rsidRPr="00375057">
        <w:rPr>
          <w:color w:val="auto"/>
        </w:rPr>
        <w:t xml:space="preserve">asbestosis, </w:t>
      </w:r>
      <w:r w:rsidR="002B3D31">
        <w:rPr>
          <w:color w:val="auto"/>
        </w:rPr>
        <w:t>deep vein thrombosis (</w:t>
      </w:r>
      <w:r w:rsidR="00BB3F05">
        <w:rPr>
          <w:color w:val="auto"/>
        </w:rPr>
        <w:t>DVT</w:t>
      </w:r>
      <w:r w:rsidR="002B3D31">
        <w:rPr>
          <w:color w:val="auto"/>
        </w:rPr>
        <w:t>)</w:t>
      </w:r>
      <w:r w:rsidR="00BB3F05">
        <w:rPr>
          <w:color w:val="auto"/>
        </w:rPr>
        <w:t xml:space="preserve">, </w:t>
      </w:r>
      <w:r w:rsidR="00375057" w:rsidRPr="00375057">
        <w:rPr>
          <w:color w:val="auto"/>
        </w:rPr>
        <w:t>m</w:t>
      </w:r>
      <w:r w:rsidR="00375057">
        <w:rPr>
          <w:color w:val="auto"/>
        </w:rPr>
        <w:t>igraine headache and sleep apne</w:t>
      </w:r>
      <w:r w:rsidR="00375057" w:rsidRPr="00375057">
        <w:rPr>
          <w:color w:val="auto"/>
        </w:rPr>
        <w:t>a</w:t>
      </w:r>
      <w:r w:rsidRPr="00375057">
        <w:rPr>
          <w:color w:val="auto"/>
        </w:rPr>
        <w:t xml:space="preserve"> conditions are not within the Board’s purview.</w:t>
      </w:r>
      <w:r w:rsidR="00375057" w:rsidRPr="00375057">
        <w:rPr>
          <w:color w:val="auto"/>
        </w:rPr>
        <w:t xml:space="preserve"> </w:t>
      </w:r>
      <w:r w:rsidRPr="00375057">
        <w:rPr>
          <w:color w:val="auto"/>
        </w:rPr>
        <w:t xml:space="preserve"> Any conditions or contention not requested in this application, or otherwise outside the Board’s defined scope of review, remain eligible for future 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CF2800"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C93C3D" w:rsidRDefault="00F90376" w:rsidP="00F90376">
      <w:pPr>
        <w:jc w:val="both"/>
        <w:rPr>
          <w:color w:val="auto"/>
        </w:rPr>
      </w:pPr>
    </w:p>
    <w:tbl>
      <w:tblPr>
        <w:tblStyle w:val="TableGrid"/>
        <w:tblW w:w="9369" w:type="dxa"/>
        <w:jc w:val="center"/>
        <w:tblInd w:w="9" w:type="dxa"/>
        <w:tblLayout w:type="fixed"/>
        <w:tblLook w:val="00A0"/>
      </w:tblPr>
      <w:tblGrid>
        <w:gridCol w:w="2345"/>
        <w:gridCol w:w="904"/>
        <w:gridCol w:w="720"/>
        <w:gridCol w:w="2876"/>
        <w:gridCol w:w="814"/>
        <w:gridCol w:w="720"/>
        <w:gridCol w:w="990"/>
      </w:tblGrid>
      <w:tr w:rsidR="00F90376" w:rsidRPr="00C93C3D"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C93C3D" w:rsidRDefault="00F90376" w:rsidP="008A4B0F">
            <w:pPr>
              <w:spacing w:line="180" w:lineRule="exact"/>
              <w:contextualSpacing/>
              <w:rPr>
                <w:rFonts w:cs="Calibri"/>
                <w:b/>
                <w:color w:val="auto"/>
                <w:sz w:val="18"/>
              </w:rPr>
            </w:pPr>
            <w:r w:rsidRPr="00C93C3D">
              <w:rPr>
                <w:b/>
                <w:color w:val="auto"/>
                <w:sz w:val="18"/>
              </w:rPr>
              <w:t>Service PEB – Dated 200</w:t>
            </w:r>
            <w:r w:rsidR="008A4B0F" w:rsidRPr="00C93C3D">
              <w:rPr>
                <w:b/>
                <w:color w:val="auto"/>
                <w:sz w:val="18"/>
              </w:rPr>
              <w:t>40308</w:t>
            </w:r>
          </w:p>
        </w:tc>
        <w:tc>
          <w:tcPr>
            <w:tcW w:w="5400" w:type="dxa"/>
            <w:gridSpan w:val="4"/>
            <w:tcBorders>
              <w:left w:val="thinThickThinSmallGap" w:sz="24" w:space="0" w:color="auto"/>
            </w:tcBorders>
            <w:shd w:val="clear" w:color="auto" w:fill="D9D9D9"/>
            <w:vAlign w:val="center"/>
          </w:tcPr>
          <w:p w:rsidR="00F90376" w:rsidRPr="00C93C3D" w:rsidRDefault="00F90376" w:rsidP="008A4B0F">
            <w:pPr>
              <w:spacing w:line="180" w:lineRule="exact"/>
              <w:contextualSpacing/>
              <w:rPr>
                <w:rFonts w:cs="Calibri"/>
                <w:b/>
                <w:color w:val="auto"/>
                <w:sz w:val="18"/>
              </w:rPr>
            </w:pPr>
            <w:r w:rsidRPr="00C93C3D">
              <w:rPr>
                <w:b/>
                <w:color w:val="auto"/>
                <w:sz w:val="18"/>
              </w:rPr>
              <w:t>VA (</w:t>
            </w:r>
            <w:r w:rsidR="008A4B0F" w:rsidRPr="00C93C3D">
              <w:rPr>
                <w:b/>
                <w:color w:val="auto"/>
                <w:sz w:val="18"/>
              </w:rPr>
              <w:t>4</w:t>
            </w:r>
            <w:r w:rsidRPr="00C93C3D">
              <w:rPr>
                <w:b/>
                <w:color w:val="auto"/>
                <w:sz w:val="18"/>
              </w:rPr>
              <w:t xml:space="preserve"> Mos. Post-Separation) – All Effective Date 200</w:t>
            </w:r>
            <w:r w:rsidR="008A4B0F" w:rsidRPr="00C93C3D">
              <w:rPr>
                <w:b/>
                <w:color w:val="auto"/>
                <w:sz w:val="18"/>
              </w:rPr>
              <w:t>40508</w:t>
            </w:r>
          </w:p>
        </w:tc>
      </w:tr>
      <w:tr w:rsidR="00F90376" w:rsidRPr="00C93C3D" w:rsidTr="007F253E">
        <w:trPr>
          <w:trHeight w:val="97"/>
          <w:jc w:val="center"/>
        </w:trPr>
        <w:tc>
          <w:tcPr>
            <w:tcW w:w="2345" w:type="dxa"/>
            <w:tcBorders>
              <w:bottom w:val="single" w:sz="4" w:space="0" w:color="000000"/>
              <w:right w:val="single" w:sz="4" w:space="0" w:color="auto"/>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Condition</w:t>
            </w:r>
          </w:p>
        </w:tc>
        <w:tc>
          <w:tcPr>
            <w:tcW w:w="904" w:type="dxa"/>
            <w:tcBorders>
              <w:left w:val="single" w:sz="4" w:space="0" w:color="auto"/>
              <w:bottom w:val="single" w:sz="4" w:space="0" w:color="000000"/>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Rating</w:t>
            </w:r>
          </w:p>
        </w:tc>
        <w:tc>
          <w:tcPr>
            <w:tcW w:w="2876" w:type="dxa"/>
            <w:tcBorders>
              <w:left w:val="thinThickThinSmallGap" w:sz="24" w:space="0" w:color="auto"/>
              <w:bottom w:val="single" w:sz="4" w:space="0" w:color="000000"/>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Condition</w:t>
            </w:r>
          </w:p>
        </w:tc>
        <w:tc>
          <w:tcPr>
            <w:tcW w:w="814" w:type="dxa"/>
            <w:tcBorders>
              <w:bottom w:val="single" w:sz="4" w:space="0" w:color="000000"/>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Code</w:t>
            </w:r>
          </w:p>
        </w:tc>
        <w:tc>
          <w:tcPr>
            <w:tcW w:w="720" w:type="dxa"/>
            <w:tcBorders>
              <w:bottom w:val="single" w:sz="4" w:space="0" w:color="000000"/>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Rating</w:t>
            </w:r>
          </w:p>
        </w:tc>
        <w:tc>
          <w:tcPr>
            <w:tcW w:w="990" w:type="dxa"/>
            <w:tcBorders>
              <w:bottom w:val="single" w:sz="4" w:space="0" w:color="000000"/>
            </w:tcBorders>
            <w:shd w:val="clear" w:color="auto" w:fill="D9D9D9"/>
            <w:vAlign w:val="center"/>
          </w:tcPr>
          <w:p w:rsidR="00F90376" w:rsidRPr="00C93C3D" w:rsidRDefault="00F90376" w:rsidP="006B690F">
            <w:pPr>
              <w:spacing w:line="180" w:lineRule="exact"/>
              <w:contextualSpacing/>
              <w:rPr>
                <w:rFonts w:cs="Calibri"/>
                <w:b/>
                <w:color w:val="auto"/>
                <w:sz w:val="18"/>
              </w:rPr>
            </w:pPr>
            <w:r w:rsidRPr="00C93C3D">
              <w:rPr>
                <w:b/>
                <w:color w:val="auto"/>
                <w:sz w:val="18"/>
              </w:rPr>
              <w:t>Exam</w:t>
            </w:r>
          </w:p>
        </w:tc>
      </w:tr>
      <w:tr w:rsidR="00240B2A" w:rsidRPr="00C93C3D" w:rsidTr="007F253E">
        <w:trPr>
          <w:trHeight w:val="118"/>
          <w:jc w:val="center"/>
        </w:trPr>
        <w:tc>
          <w:tcPr>
            <w:tcW w:w="2345" w:type="dxa"/>
            <w:vMerge w:val="restart"/>
            <w:tcBorders>
              <w:right w:val="single" w:sz="4" w:space="0" w:color="auto"/>
            </w:tcBorders>
            <w:shd w:val="clear" w:color="auto" w:fill="FFFFFF"/>
            <w:vAlign w:val="center"/>
          </w:tcPr>
          <w:p w:rsidR="00240B2A" w:rsidRPr="00C93C3D" w:rsidRDefault="007F253E" w:rsidP="006B690F">
            <w:pPr>
              <w:spacing w:line="180" w:lineRule="exact"/>
              <w:contextualSpacing/>
              <w:jc w:val="left"/>
              <w:rPr>
                <w:rFonts w:cs="Calibri"/>
                <w:color w:val="auto"/>
                <w:sz w:val="18"/>
              </w:rPr>
            </w:pPr>
            <w:r w:rsidRPr="00C93C3D">
              <w:rPr>
                <w:rFonts w:cs="Calibri"/>
                <w:color w:val="auto"/>
                <w:sz w:val="18"/>
              </w:rPr>
              <w:t>Bilateral Knee Osteoa</w:t>
            </w:r>
            <w:r w:rsidR="00240B2A" w:rsidRPr="00C93C3D">
              <w:rPr>
                <w:rFonts w:cs="Calibri"/>
                <w:color w:val="auto"/>
                <w:sz w:val="18"/>
              </w:rPr>
              <w:t>rthritis</w:t>
            </w:r>
          </w:p>
        </w:tc>
        <w:tc>
          <w:tcPr>
            <w:tcW w:w="904" w:type="dxa"/>
            <w:vMerge w:val="restart"/>
            <w:tcBorders>
              <w:left w:val="single" w:sz="4" w:space="0" w:color="auto"/>
            </w:tcBorders>
            <w:shd w:val="clear" w:color="auto" w:fill="FFFFFF"/>
            <w:vAlign w:val="center"/>
          </w:tcPr>
          <w:p w:rsidR="00240B2A" w:rsidRPr="00C93C3D" w:rsidRDefault="00240B2A" w:rsidP="006B690F">
            <w:pPr>
              <w:spacing w:line="180" w:lineRule="exact"/>
              <w:contextualSpacing/>
              <w:rPr>
                <w:rFonts w:cs="Calibri"/>
                <w:color w:val="auto"/>
                <w:sz w:val="18"/>
              </w:rPr>
            </w:pPr>
            <w:r w:rsidRPr="00C93C3D">
              <w:rPr>
                <w:rFonts w:cs="Calibri"/>
                <w:color w:val="auto"/>
                <w:sz w:val="18"/>
              </w:rPr>
              <w:t>5003</w:t>
            </w:r>
          </w:p>
        </w:tc>
        <w:tc>
          <w:tcPr>
            <w:tcW w:w="720" w:type="dxa"/>
            <w:vMerge w:val="restart"/>
            <w:tcBorders>
              <w:right w:val="thinThickThinSmallGap" w:sz="24" w:space="0" w:color="auto"/>
            </w:tcBorders>
            <w:shd w:val="clear" w:color="auto" w:fill="FFFFFF"/>
            <w:vAlign w:val="center"/>
          </w:tcPr>
          <w:p w:rsidR="00240B2A" w:rsidRPr="00C93C3D" w:rsidRDefault="00240B2A" w:rsidP="006B690F">
            <w:pPr>
              <w:spacing w:line="180" w:lineRule="exact"/>
              <w:rPr>
                <w:rFonts w:cs="Calibri"/>
                <w:color w:val="auto"/>
                <w:sz w:val="18"/>
              </w:rPr>
            </w:pPr>
            <w:r w:rsidRPr="00C93C3D">
              <w:rPr>
                <w:rFonts w:cs="Calibri"/>
                <w:color w:val="auto"/>
                <w:sz w:val="18"/>
              </w:rPr>
              <w:t>10%</w:t>
            </w:r>
          </w:p>
        </w:tc>
        <w:tc>
          <w:tcPr>
            <w:tcW w:w="2876" w:type="dxa"/>
            <w:tcBorders>
              <w:left w:val="thinThickThinSmallGap" w:sz="24" w:space="0" w:color="auto"/>
            </w:tcBorders>
            <w:shd w:val="clear" w:color="auto" w:fill="FFFFFF"/>
            <w:vAlign w:val="center"/>
          </w:tcPr>
          <w:p w:rsidR="00240B2A" w:rsidRPr="00C93C3D" w:rsidRDefault="00240B2A" w:rsidP="0017172C">
            <w:pPr>
              <w:spacing w:line="180" w:lineRule="exact"/>
              <w:contextualSpacing/>
              <w:jc w:val="left"/>
              <w:rPr>
                <w:rFonts w:cs="Calibri"/>
                <w:color w:val="auto"/>
                <w:sz w:val="18"/>
              </w:rPr>
            </w:pPr>
            <w:r w:rsidRPr="00C93C3D">
              <w:rPr>
                <w:rFonts w:cs="Calibri"/>
                <w:color w:val="auto"/>
                <w:sz w:val="18"/>
              </w:rPr>
              <w:t xml:space="preserve">Right Knee </w:t>
            </w:r>
            <w:r w:rsidR="007F253E" w:rsidRPr="00C93C3D">
              <w:rPr>
                <w:rFonts w:cs="Calibri"/>
                <w:color w:val="auto"/>
                <w:sz w:val="18"/>
              </w:rPr>
              <w:t xml:space="preserve">Post-Traumatic </w:t>
            </w:r>
            <w:r w:rsidRPr="00C93C3D">
              <w:rPr>
                <w:rFonts w:cs="Calibri"/>
                <w:color w:val="auto"/>
                <w:sz w:val="18"/>
              </w:rPr>
              <w:t>Arthritis</w:t>
            </w:r>
          </w:p>
        </w:tc>
        <w:tc>
          <w:tcPr>
            <w:tcW w:w="814" w:type="dxa"/>
            <w:shd w:val="clear" w:color="auto" w:fill="FFFFFF"/>
            <w:vAlign w:val="center"/>
          </w:tcPr>
          <w:p w:rsidR="00240B2A" w:rsidRPr="00C93C3D" w:rsidRDefault="007F253E" w:rsidP="0017172C">
            <w:pPr>
              <w:spacing w:line="180" w:lineRule="exact"/>
              <w:contextualSpacing/>
              <w:rPr>
                <w:rFonts w:cs="Calibri"/>
                <w:color w:val="auto"/>
                <w:sz w:val="18"/>
              </w:rPr>
            </w:pPr>
            <w:r w:rsidRPr="00C93C3D">
              <w:rPr>
                <w:rFonts w:cs="Calibri"/>
                <w:color w:val="auto"/>
                <w:sz w:val="18"/>
              </w:rPr>
              <w:t>5010</w:t>
            </w:r>
          </w:p>
        </w:tc>
        <w:tc>
          <w:tcPr>
            <w:tcW w:w="720" w:type="dxa"/>
            <w:shd w:val="clear" w:color="auto" w:fill="FFFFFF"/>
            <w:vAlign w:val="center"/>
          </w:tcPr>
          <w:p w:rsidR="00240B2A" w:rsidRPr="00C93C3D" w:rsidRDefault="00240B2A" w:rsidP="0017172C">
            <w:pPr>
              <w:spacing w:line="180" w:lineRule="exact"/>
              <w:contextualSpacing/>
              <w:rPr>
                <w:rFonts w:cs="Calibri"/>
                <w:color w:val="auto"/>
                <w:sz w:val="18"/>
              </w:rPr>
            </w:pPr>
            <w:r w:rsidRPr="00C93C3D">
              <w:rPr>
                <w:rFonts w:cs="Calibri"/>
                <w:color w:val="auto"/>
                <w:sz w:val="18"/>
              </w:rPr>
              <w:t>20%</w:t>
            </w:r>
          </w:p>
        </w:tc>
        <w:tc>
          <w:tcPr>
            <w:tcW w:w="990" w:type="dxa"/>
            <w:shd w:val="clear" w:color="auto" w:fill="FFFFFF"/>
            <w:vAlign w:val="center"/>
          </w:tcPr>
          <w:p w:rsidR="00240B2A" w:rsidRPr="00C93C3D" w:rsidRDefault="00240B2A" w:rsidP="008A4B0F">
            <w:pPr>
              <w:spacing w:line="180" w:lineRule="exact"/>
              <w:contextualSpacing/>
              <w:rPr>
                <w:rFonts w:cs="Calibri"/>
                <w:color w:val="auto"/>
                <w:sz w:val="18"/>
              </w:rPr>
            </w:pPr>
            <w:r w:rsidRPr="00C93C3D">
              <w:rPr>
                <w:color w:val="auto"/>
                <w:sz w:val="18"/>
              </w:rPr>
              <w:t>200</w:t>
            </w:r>
            <w:r w:rsidR="008A4B0F" w:rsidRPr="00C93C3D">
              <w:rPr>
                <w:color w:val="auto"/>
                <w:sz w:val="18"/>
              </w:rPr>
              <w:t>40923</w:t>
            </w:r>
          </w:p>
        </w:tc>
      </w:tr>
      <w:tr w:rsidR="00240B2A" w:rsidRPr="00C93C3D" w:rsidTr="007F253E">
        <w:trPr>
          <w:trHeight w:val="118"/>
          <w:jc w:val="center"/>
        </w:trPr>
        <w:tc>
          <w:tcPr>
            <w:tcW w:w="2345" w:type="dxa"/>
            <w:vMerge/>
            <w:tcBorders>
              <w:right w:val="single" w:sz="4" w:space="0" w:color="auto"/>
            </w:tcBorders>
            <w:shd w:val="clear" w:color="auto" w:fill="FFFFFF"/>
            <w:vAlign w:val="center"/>
          </w:tcPr>
          <w:p w:rsidR="00240B2A" w:rsidRPr="00C93C3D" w:rsidRDefault="00240B2A" w:rsidP="006B690F">
            <w:pPr>
              <w:spacing w:line="180" w:lineRule="exact"/>
              <w:contextualSpacing/>
              <w:jc w:val="left"/>
              <w:rPr>
                <w:color w:val="auto"/>
                <w:sz w:val="18"/>
              </w:rPr>
            </w:pPr>
          </w:p>
        </w:tc>
        <w:tc>
          <w:tcPr>
            <w:tcW w:w="904" w:type="dxa"/>
            <w:vMerge/>
            <w:tcBorders>
              <w:left w:val="single" w:sz="4" w:space="0" w:color="auto"/>
            </w:tcBorders>
            <w:shd w:val="clear" w:color="auto" w:fill="FFFFFF"/>
            <w:vAlign w:val="center"/>
          </w:tcPr>
          <w:p w:rsidR="00240B2A" w:rsidRPr="00C93C3D" w:rsidRDefault="00240B2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240B2A" w:rsidRPr="00C93C3D" w:rsidRDefault="00240B2A" w:rsidP="006B690F">
            <w:pPr>
              <w:spacing w:line="180" w:lineRule="exact"/>
              <w:rPr>
                <w:color w:val="auto"/>
                <w:sz w:val="18"/>
              </w:rPr>
            </w:pPr>
          </w:p>
        </w:tc>
        <w:tc>
          <w:tcPr>
            <w:tcW w:w="2876" w:type="dxa"/>
            <w:tcBorders>
              <w:left w:val="thinThickThinSmallGap" w:sz="24" w:space="0" w:color="auto"/>
            </w:tcBorders>
            <w:shd w:val="clear" w:color="auto" w:fill="FFFFFF"/>
            <w:vAlign w:val="center"/>
          </w:tcPr>
          <w:p w:rsidR="00240B2A" w:rsidRPr="00C93C3D" w:rsidRDefault="00240B2A" w:rsidP="0017172C">
            <w:pPr>
              <w:spacing w:line="180" w:lineRule="exact"/>
              <w:contextualSpacing/>
              <w:jc w:val="left"/>
              <w:rPr>
                <w:color w:val="auto"/>
                <w:sz w:val="18"/>
              </w:rPr>
            </w:pPr>
            <w:r w:rsidRPr="00C93C3D">
              <w:rPr>
                <w:color w:val="auto"/>
                <w:sz w:val="18"/>
              </w:rPr>
              <w:t xml:space="preserve">Left Knee </w:t>
            </w:r>
            <w:r w:rsidR="007F253E" w:rsidRPr="00C93C3D">
              <w:rPr>
                <w:color w:val="auto"/>
                <w:sz w:val="18"/>
              </w:rPr>
              <w:t xml:space="preserve">Degenerative </w:t>
            </w:r>
            <w:r w:rsidRPr="00C93C3D">
              <w:rPr>
                <w:color w:val="auto"/>
                <w:sz w:val="18"/>
              </w:rPr>
              <w:t>Arthritis</w:t>
            </w:r>
          </w:p>
        </w:tc>
        <w:tc>
          <w:tcPr>
            <w:tcW w:w="814" w:type="dxa"/>
            <w:shd w:val="clear" w:color="auto" w:fill="FFFFFF"/>
            <w:vAlign w:val="center"/>
          </w:tcPr>
          <w:p w:rsidR="00240B2A" w:rsidRPr="00C93C3D" w:rsidRDefault="007F253E" w:rsidP="0017172C">
            <w:pPr>
              <w:spacing w:line="180" w:lineRule="exact"/>
              <w:contextualSpacing/>
              <w:rPr>
                <w:color w:val="auto"/>
                <w:sz w:val="18"/>
              </w:rPr>
            </w:pPr>
            <w:r w:rsidRPr="00C93C3D">
              <w:rPr>
                <w:color w:val="auto"/>
                <w:sz w:val="18"/>
              </w:rPr>
              <w:t>5010</w:t>
            </w:r>
          </w:p>
        </w:tc>
        <w:tc>
          <w:tcPr>
            <w:tcW w:w="720" w:type="dxa"/>
            <w:shd w:val="clear" w:color="auto" w:fill="FFFFFF"/>
            <w:vAlign w:val="center"/>
          </w:tcPr>
          <w:p w:rsidR="00240B2A" w:rsidRPr="00C93C3D" w:rsidRDefault="00240B2A" w:rsidP="0017172C">
            <w:pPr>
              <w:spacing w:line="180" w:lineRule="exact"/>
              <w:contextualSpacing/>
              <w:rPr>
                <w:color w:val="auto"/>
                <w:sz w:val="18"/>
              </w:rPr>
            </w:pPr>
            <w:r w:rsidRPr="00C93C3D">
              <w:rPr>
                <w:color w:val="auto"/>
                <w:sz w:val="18"/>
              </w:rPr>
              <w:t>0%</w:t>
            </w:r>
          </w:p>
        </w:tc>
        <w:tc>
          <w:tcPr>
            <w:tcW w:w="990" w:type="dxa"/>
            <w:shd w:val="clear" w:color="auto" w:fill="FFFFFF"/>
            <w:vAlign w:val="center"/>
          </w:tcPr>
          <w:p w:rsidR="00240B2A" w:rsidRPr="00C93C3D" w:rsidRDefault="008A4B0F" w:rsidP="0017172C">
            <w:pPr>
              <w:spacing w:line="180" w:lineRule="exact"/>
              <w:contextualSpacing/>
              <w:rPr>
                <w:color w:val="auto"/>
                <w:sz w:val="18"/>
                <w:highlight w:val="yellow"/>
              </w:rPr>
            </w:pPr>
            <w:r w:rsidRPr="00C93C3D">
              <w:rPr>
                <w:color w:val="auto"/>
                <w:sz w:val="18"/>
              </w:rPr>
              <w:t>20040923</w:t>
            </w:r>
          </w:p>
        </w:tc>
      </w:tr>
      <w:tr w:rsidR="00240B2A" w:rsidRPr="00C93C3D" w:rsidTr="007F253E">
        <w:trPr>
          <w:trHeight w:val="118"/>
          <w:jc w:val="center"/>
        </w:trPr>
        <w:tc>
          <w:tcPr>
            <w:tcW w:w="2345" w:type="dxa"/>
            <w:tcBorders>
              <w:right w:val="single" w:sz="4" w:space="0" w:color="auto"/>
            </w:tcBorders>
            <w:shd w:val="clear" w:color="auto" w:fill="FFFFFF"/>
            <w:vAlign w:val="center"/>
          </w:tcPr>
          <w:p w:rsidR="00240B2A" w:rsidRPr="00C93C3D" w:rsidRDefault="00240B2A" w:rsidP="006B690F">
            <w:pPr>
              <w:spacing w:line="180" w:lineRule="exact"/>
              <w:contextualSpacing/>
              <w:jc w:val="left"/>
              <w:rPr>
                <w:color w:val="auto"/>
                <w:sz w:val="18"/>
              </w:rPr>
            </w:pPr>
            <w:r w:rsidRPr="00C93C3D">
              <w:rPr>
                <w:color w:val="auto"/>
                <w:sz w:val="18"/>
              </w:rPr>
              <w:t>Hypertension</w:t>
            </w:r>
          </w:p>
        </w:tc>
        <w:tc>
          <w:tcPr>
            <w:tcW w:w="1624" w:type="dxa"/>
            <w:gridSpan w:val="2"/>
            <w:tcBorders>
              <w:left w:val="single" w:sz="4" w:space="0" w:color="auto"/>
              <w:right w:val="thinThickThinSmallGap" w:sz="24" w:space="0" w:color="auto"/>
            </w:tcBorders>
            <w:shd w:val="clear" w:color="auto" w:fill="FFFFFF"/>
            <w:vAlign w:val="center"/>
          </w:tcPr>
          <w:p w:rsidR="00240B2A" w:rsidRPr="00C93C3D" w:rsidRDefault="00240B2A" w:rsidP="006B690F">
            <w:pPr>
              <w:spacing w:line="180" w:lineRule="exact"/>
              <w:rPr>
                <w:color w:val="auto"/>
                <w:sz w:val="18"/>
              </w:rPr>
            </w:pPr>
            <w:r w:rsidRPr="00C93C3D">
              <w:rPr>
                <w:color w:val="auto"/>
                <w:sz w:val="18"/>
              </w:rPr>
              <w:t>Not Unfitting</w:t>
            </w:r>
          </w:p>
        </w:tc>
        <w:tc>
          <w:tcPr>
            <w:tcW w:w="4410" w:type="dxa"/>
            <w:gridSpan w:val="3"/>
            <w:tcBorders>
              <w:left w:val="thinThickThinSmallGap" w:sz="24" w:space="0" w:color="auto"/>
            </w:tcBorders>
            <w:shd w:val="clear" w:color="auto" w:fill="FFFFFF"/>
            <w:vAlign w:val="center"/>
          </w:tcPr>
          <w:p w:rsidR="00240B2A" w:rsidRPr="00C93C3D" w:rsidRDefault="00240B2A" w:rsidP="0017172C">
            <w:pPr>
              <w:spacing w:line="180" w:lineRule="exact"/>
              <w:contextualSpacing/>
              <w:rPr>
                <w:color w:val="auto"/>
                <w:sz w:val="18"/>
              </w:rPr>
            </w:pPr>
            <w:r w:rsidRPr="00C93C3D">
              <w:rPr>
                <w:color w:val="auto"/>
                <w:sz w:val="18"/>
              </w:rPr>
              <w:t>NO VA ENTRY</w:t>
            </w:r>
          </w:p>
        </w:tc>
        <w:tc>
          <w:tcPr>
            <w:tcW w:w="990" w:type="dxa"/>
            <w:shd w:val="clear" w:color="auto" w:fill="FFFFFF"/>
            <w:vAlign w:val="center"/>
          </w:tcPr>
          <w:p w:rsidR="00240B2A" w:rsidRPr="00C93C3D" w:rsidRDefault="00240B2A" w:rsidP="0017172C">
            <w:pPr>
              <w:spacing w:line="180" w:lineRule="exact"/>
              <w:contextualSpacing/>
              <w:rPr>
                <w:color w:val="auto"/>
                <w:sz w:val="18"/>
                <w:highlight w:val="yellow"/>
              </w:rPr>
            </w:pPr>
          </w:p>
        </w:tc>
      </w:tr>
      <w:tr w:rsidR="00240B2A" w:rsidRPr="00C93C3D" w:rsidTr="007F253E">
        <w:trPr>
          <w:trHeight w:val="118"/>
          <w:jc w:val="center"/>
        </w:trPr>
        <w:tc>
          <w:tcPr>
            <w:tcW w:w="2345" w:type="dxa"/>
            <w:tcBorders>
              <w:right w:val="single" w:sz="4" w:space="0" w:color="auto"/>
            </w:tcBorders>
            <w:shd w:val="clear" w:color="auto" w:fill="FFFFFF"/>
            <w:vAlign w:val="center"/>
          </w:tcPr>
          <w:p w:rsidR="00240B2A" w:rsidRPr="00C93C3D" w:rsidRDefault="00240B2A" w:rsidP="006B690F">
            <w:pPr>
              <w:spacing w:line="180" w:lineRule="exact"/>
              <w:contextualSpacing/>
              <w:jc w:val="left"/>
              <w:rPr>
                <w:color w:val="auto"/>
                <w:sz w:val="18"/>
              </w:rPr>
            </w:pPr>
            <w:r w:rsidRPr="00C93C3D">
              <w:rPr>
                <w:color w:val="auto"/>
                <w:sz w:val="18"/>
              </w:rPr>
              <w:t>Hearing Loss</w:t>
            </w:r>
          </w:p>
        </w:tc>
        <w:tc>
          <w:tcPr>
            <w:tcW w:w="1624" w:type="dxa"/>
            <w:gridSpan w:val="2"/>
            <w:tcBorders>
              <w:left w:val="single" w:sz="4" w:space="0" w:color="auto"/>
              <w:right w:val="thinThickThinSmallGap" w:sz="24" w:space="0" w:color="auto"/>
            </w:tcBorders>
            <w:shd w:val="clear" w:color="auto" w:fill="FFFFFF"/>
            <w:vAlign w:val="center"/>
          </w:tcPr>
          <w:p w:rsidR="00240B2A" w:rsidRPr="00C93C3D" w:rsidRDefault="00240B2A" w:rsidP="006B690F">
            <w:pPr>
              <w:spacing w:line="180" w:lineRule="exact"/>
              <w:rPr>
                <w:color w:val="auto"/>
                <w:sz w:val="18"/>
              </w:rPr>
            </w:pPr>
            <w:r w:rsidRPr="00C93C3D">
              <w:rPr>
                <w:color w:val="auto"/>
                <w:sz w:val="18"/>
              </w:rPr>
              <w:t>Not Unfitting</w:t>
            </w:r>
          </w:p>
        </w:tc>
        <w:tc>
          <w:tcPr>
            <w:tcW w:w="4410" w:type="dxa"/>
            <w:gridSpan w:val="3"/>
            <w:tcBorders>
              <w:left w:val="thinThickThinSmallGap" w:sz="24" w:space="0" w:color="auto"/>
            </w:tcBorders>
            <w:shd w:val="clear" w:color="auto" w:fill="FFFFFF"/>
            <w:vAlign w:val="center"/>
          </w:tcPr>
          <w:p w:rsidR="00240B2A" w:rsidRPr="00C93C3D" w:rsidRDefault="00240B2A" w:rsidP="0017172C">
            <w:pPr>
              <w:spacing w:line="180" w:lineRule="exact"/>
              <w:contextualSpacing/>
              <w:rPr>
                <w:color w:val="auto"/>
                <w:sz w:val="18"/>
              </w:rPr>
            </w:pPr>
            <w:r w:rsidRPr="00C93C3D">
              <w:rPr>
                <w:color w:val="auto"/>
                <w:sz w:val="18"/>
              </w:rPr>
              <w:t>NO VA ENTRY</w:t>
            </w:r>
          </w:p>
        </w:tc>
        <w:tc>
          <w:tcPr>
            <w:tcW w:w="990" w:type="dxa"/>
            <w:shd w:val="clear" w:color="auto" w:fill="FFFFFF"/>
            <w:vAlign w:val="center"/>
          </w:tcPr>
          <w:p w:rsidR="00240B2A" w:rsidRPr="00C93C3D" w:rsidRDefault="00240B2A" w:rsidP="0017172C">
            <w:pPr>
              <w:spacing w:line="180" w:lineRule="exact"/>
              <w:contextualSpacing/>
              <w:rPr>
                <w:color w:val="auto"/>
                <w:sz w:val="18"/>
                <w:highlight w:val="yellow"/>
              </w:rPr>
            </w:pPr>
          </w:p>
        </w:tc>
      </w:tr>
      <w:tr w:rsidR="00F90376" w:rsidRPr="00C93C3D"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C93C3D" w:rsidRDefault="00905EA6" w:rsidP="006B690F">
            <w:pPr>
              <w:spacing w:line="180" w:lineRule="exact"/>
              <w:contextualSpacing/>
              <w:rPr>
                <w:rFonts w:cs="Calibri"/>
                <w:color w:val="auto"/>
                <w:sz w:val="18"/>
              </w:rPr>
            </w:pPr>
            <w:r w:rsidRPr="00C93C3D">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C93C3D" w:rsidRDefault="00F90376" w:rsidP="00240B2A">
            <w:pPr>
              <w:spacing w:line="180" w:lineRule="exact"/>
              <w:contextualSpacing/>
              <w:rPr>
                <w:rFonts w:cs="Calibri"/>
                <w:color w:val="auto"/>
                <w:sz w:val="18"/>
              </w:rPr>
            </w:pPr>
            <w:r w:rsidRPr="00C93C3D">
              <w:rPr>
                <w:color w:val="auto"/>
                <w:sz w:val="18"/>
              </w:rPr>
              <w:t xml:space="preserve">0% X </w:t>
            </w:r>
            <w:r w:rsidR="00240B2A" w:rsidRPr="00C93C3D">
              <w:rPr>
                <w:color w:val="auto"/>
                <w:sz w:val="18"/>
              </w:rPr>
              <w:t>0</w:t>
            </w:r>
            <w:r w:rsidRPr="00C93C3D">
              <w:rPr>
                <w:color w:val="auto"/>
                <w:sz w:val="18"/>
              </w:rPr>
              <w:t xml:space="preserve"> </w:t>
            </w:r>
            <w:r w:rsidR="00ED7820" w:rsidRPr="00C93C3D">
              <w:rPr>
                <w:color w:val="auto"/>
                <w:sz w:val="18"/>
              </w:rPr>
              <w:t>/ Not Service-</w:t>
            </w:r>
            <w:r w:rsidRPr="00C93C3D">
              <w:rPr>
                <w:color w:val="auto"/>
                <w:sz w:val="18"/>
              </w:rPr>
              <w:t xml:space="preserve">Connected x </w:t>
            </w:r>
            <w:r w:rsidR="00240B2A" w:rsidRPr="00C93C3D">
              <w:rPr>
                <w:color w:val="auto"/>
                <w:sz w:val="18"/>
              </w:rPr>
              <w:t>0</w:t>
            </w:r>
          </w:p>
        </w:tc>
        <w:tc>
          <w:tcPr>
            <w:tcW w:w="990" w:type="dxa"/>
            <w:shd w:val="clear" w:color="auto" w:fill="FFFFFF"/>
            <w:vAlign w:val="center"/>
          </w:tcPr>
          <w:p w:rsidR="00F90376" w:rsidRPr="00C93C3D" w:rsidRDefault="008A4B0F" w:rsidP="0017172C">
            <w:pPr>
              <w:spacing w:line="180" w:lineRule="exact"/>
              <w:contextualSpacing/>
              <w:rPr>
                <w:rFonts w:cs="Calibri"/>
                <w:color w:val="auto"/>
                <w:sz w:val="18"/>
              </w:rPr>
            </w:pPr>
            <w:r w:rsidRPr="00C93C3D">
              <w:rPr>
                <w:color w:val="auto"/>
                <w:sz w:val="18"/>
              </w:rPr>
              <w:t>20040923</w:t>
            </w:r>
          </w:p>
        </w:tc>
      </w:tr>
      <w:tr w:rsidR="00F90376" w:rsidRPr="00C93C3D" w:rsidTr="00AC5522">
        <w:trPr>
          <w:trHeight w:val="124"/>
          <w:jc w:val="center"/>
        </w:trPr>
        <w:tc>
          <w:tcPr>
            <w:tcW w:w="3969" w:type="dxa"/>
            <w:gridSpan w:val="3"/>
            <w:tcBorders>
              <w:right w:val="thinThickThinSmallGap" w:sz="24" w:space="0" w:color="auto"/>
            </w:tcBorders>
            <w:shd w:val="clear" w:color="auto" w:fill="D9D9D9"/>
          </w:tcPr>
          <w:p w:rsidR="00F90376" w:rsidRPr="00C93C3D" w:rsidRDefault="00F90376" w:rsidP="006B690F">
            <w:pPr>
              <w:spacing w:line="180" w:lineRule="exact"/>
              <w:contextualSpacing/>
              <w:rPr>
                <w:rFonts w:cs="Calibri"/>
                <w:b/>
                <w:color w:val="auto"/>
                <w:sz w:val="18"/>
              </w:rPr>
            </w:pPr>
            <w:r w:rsidRPr="00C93C3D">
              <w:rPr>
                <w:b/>
                <w:color w:val="auto"/>
                <w:sz w:val="18"/>
              </w:rPr>
              <w:t xml:space="preserve">Combined:  </w:t>
            </w:r>
            <w:r w:rsidR="00250C57" w:rsidRPr="00C93C3D">
              <w:rPr>
                <w:b/>
                <w:color w:val="auto"/>
                <w:sz w:val="18"/>
              </w:rPr>
              <w:t>10</w:t>
            </w:r>
            <w:r w:rsidRPr="00C93C3D">
              <w:rPr>
                <w:b/>
                <w:color w:val="auto"/>
                <w:sz w:val="18"/>
              </w:rPr>
              <w:t>%</w:t>
            </w:r>
          </w:p>
        </w:tc>
        <w:tc>
          <w:tcPr>
            <w:tcW w:w="5400" w:type="dxa"/>
            <w:gridSpan w:val="4"/>
            <w:tcBorders>
              <w:left w:val="thinThickThinSmallGap" w:sz="24" w:space="0" w:color="auto"/>
            </w:tcBorders>
            <w:shd w:val="clear" w:color="auto" w:fill="D9D9D9"/>
          </w:tcPr>
          <w:p w:rsidR="00F90376" w:rsidRPr="00C93C3D" w:rsidRDefault="00F90376" w:rsidP="00240B2A">
            <w:pPr>
              <w:spacing w:line="180" w:lineRule="exact"/>
              <w:contextualSpacing/>
              <w:rPr>
                <w:rFonts w:cs="Calibri"/>
                <w:b/>
                <w:color w:val="auto"/>
                <w:sz w:val="18"/>
              </w:rPr>
            </w:pPr>
            <w:r w:rsidRPr="00C93C3D">
              <w:rPr>
                <w:b/>
                <w:color w:val="auto"/>
                <w:sz w:val="18"/>
              </w:rPr>
              <w:t xml:space="preserve">Combined:  </w:t>
            </w:r>
            <w:r w:rsidR="00240B2A" w:rsidRPr="00C93C3D">
              <w:rPr>
                <w:b/>
                <w:color w:val="auto"/>
                <w:sz w:val="18"/>
              </w:rPr>
              <w:t>20</w:t>
            </w:r>
            <w:r w:rsidRPr="00C93C3D">
              <w:rPr>
                <w:b/>
                <w:color w:val="auto"/>
                <w:sz w:val="18"/>
              </w:rPr>
              <w:t>%</w:t>
            </w:r>
          </w:p>
        </w:tc>
      </w:tr>
    </w:tbl>
    <w:p w:rsidR="00175515" w:rsidRPr="00C93C3D" w:rsidRDefault="00175515" w:rsidP="00E82B9F">
      <w:pPr>
        <w:pBdr>
          <w:bottom w:val="single" w:sz="12" w:space="1" w:color="auto"/>
        </w:pBdr>
        <w:tabs>
          <w:tab w:val="left" w:pos="288"/>
          <w:tab w:val="left" w:pos="4752"/>
        </w:tabs>
        <w:spacing w:line="180" w:lineRule="exact"/>
        <w:jc w:val="both"/>
        <w:rPr>
          <w:color w:val="auto"/>
          <w:szCs w:val="24"/>
        </w:rPr>
      </w:pPr>
      <w:r w:rsidRPr="00C93C3D">
        <w:rPr>
          <w:color w:val="auto"/>
          <w:sz w:val="18"/>
          <w:szCs w:val="18"/>
        </w:rPr>
        <w:t>* VARD dated 20110222 add</w:t>
      </w:r>
      <w:r w:rsidR="005F5D61" w:rsidRPr="00C93C3D">
        <w:rPr>
          <w:color w:val="auto"/>
          <w:sz w:val="18"/>
          <w:szCs w:val="18"/>
        </w:rPr>
        <w:t>ed</w:t>
      </w:r>
      <w:r w:rsidRPr="00C93C3D">
        <w:rPr>
          <w:color w:val="auto"/>
          <w:sz w:val="18"/>
          <w:szCs w:val="18"/>
        </w:rPr>
        <w:t xml:space="preserve"> Asbestosis coded 6833 rated @ 10% effective 20090513; combined raised to 30%.</w:t>
      </w:r>
      <w:r w:rsidR="00CF2800" w:rsidRPr="00C93C3D">
        <w:rPr>
          <w:color w:val="auto"/>
          <w:sz w:val="18"/>
          <w:szCs w:val="18"/>
        </w:rPr>
        <w:t xml:space="preserve">  </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EB2D01" w:rsidRPr="00EB2D01">
        <w:rPr>
          <w:color w:val="auto"/>
        </w:rPr>
        <w:t xml:space="preserve">The Board acknowledges the sentiment expressed in the CI’s application regarding the significant impairment with which his service-incurred condition continues to burden him.  The Board wishes to clarify that it is subject to the same laws for disability entitlements as those under which the </w:t>
      </w:r>
      <w:r w:rsidR="002B3D31">
        <w:rPr>
          <w:color w:val="auto"/>
        </w:rPr>
        <w:t xml:space="preserve">Disability Evaluation System (DES) operates.  The </w:t>
      </w:r>
      <w:r w:rsidR="00EB2D01" w:rsidRPr="00EB2D01">
        <w:rPr>
          <w:color w:val="auto"/>
        </w:rPr>
        <w:t>DES has neither the role nor the authority to compensate service members for anticipated future severity or potential complications of conditions resulting in medical separation.  That role and authority is granted by Congress to the Department of Veteran</w:t>
      </w:r>
      <w:r w:rsidR="002B3D31">
        <w:rPr>
          <w:color w:val="auto"/>
        </w:rPr>
        <w:t>s’</w:t>
      </w:r>
      <w:r w:rsidR="00EB2D01" w:rsidRPr="00EB2D01">
        <w:rPr>
          <w:color w:val="auto"/>
        </w:rPr>
        <w:t xml:space="preserve"> Affairs (DVA), operating under a different set of laws (Title 38, United States Code).  The Board evaluates </w:t>
      </w:r>
      <w:r w:rsidR="002B3D31">
        <w:rPr>
          <w:color w:val="auto"/>
        </w:rPr>
        <w:t>D</w:t>
      </w:r>
      <w:r w:rsidR="00EB2D01" w:rsidRPr="00EB2D01">
        <w:rPr>
          <w:color w:val="auto"/>
        </w:rPr>
        <w:t>VA evidence proximal to separation in arriving at its recommendations, but its authority resides</w:t>
      </w:r>
      <w:r w:rsidR="002B3D31">
        <w:rPr>
          <w:color w:val="auto"/>
        </w:rPr>
        <w:t xml:space="preserve"> in evaluating the fairness of </w:t>
      </w:r>
      <w:r w:rsidR="00EB2D01" w:rsidRPr="00EB2D01">
        <w:rPr>
          <w:color w:val="auto"/>
        </w:rPr>
        <w:t>DES fitness decisions and rating determinations for disability at the time of separation.  The Board further acknowledges the CI’s contention for ratings for other conditions documented at the time of separation, and notes that its recommendations in that regard must comply with t</w:t>
      </w:r>
      <w:r w:rsidR="002B3D31">
        <w:rPr>
          <w:color w:val="auto"/>
        </w:rPr>
        <w:t xml:space="preserve">he same governance.  While the </w:t>
      </w:r>
      <w:r w:rsidR="00EB2D01" w:rsidRPr="00EB2D01">
        <w:rPr>
          <w:color w:val="auto"/>
        </w:rPr>
        <w:t xml:space="preserve">DES considers all of the service member's medical conditions, compensation can only be offered for those medical conditions that cut  short a service member’s career, and then only to the degree of severity present at the time of final disposition.  The DVA, however, is </w:t>
      </w:r>
      <w:r w:rsidR="002B3D31">
        <w:rPr>
          <w:color w:val="auto"/>
        </w:rPr>
        <w:t>empowered to compensate service-</w:t>
      </w:r>
      <w:r w:rsidR="00EB2D01" w:rsidRPr="00EB2D01">
        <w:rPr>
          <w:color w:val="auto"/>
        </w:rPr>
        <w:t xml:space="preserve">connected conditions and to periodically re-evaluate said conditions for the purpose of adjusting the </w:t>
      </w:r>
      <w:r w:rsidR="002B3D31">
        <w:rPr>
          <w:color w:val="auto"/>
        </w:rPr>
        <w:t>V</w:t>
      </w:r>
      <w:r w:rsidR="00EB2D01" w:rsidRPr="00EB2D01">
        <w:rPr>
          <w:color w:val="auto"/>
        </w:rPr>
        <w:t xml:space="preserve">eteran’s disability rating should </w:t>
      </w:r>
      <w:r w:rsidR="002B3D31">
        <w:rPr>
          <w:color w:val="auto"/>
        </w:rPr>
        <w:t xml:space="preserve">the </w:t>
      </w:r>
      <w:r w:rsidR="00EB2D01" w:rsidRPr="00EB2D01">
        <w:rPr>
          <w:color w:val="auto"/>
        </w:rPr>
        <w:t>degree of impairment vary over time.</w:t>
      </w:r>
      <w:r w:rsidR="00C93C3D">
        <w:rPr>
          <w:color w:val="auto"/>
        </w:rPr>
        <w:t xml:space="preserve">  </w:t>
      </w:r>
    </w:p>
    <w:p w:rsidR="00AD2379" w:rsidRPr="00FF3E59" w:rsidRDefault="00AD2379" w:rsidP="00B22D42">
      <w:pPr>
        <w:jc w:val="both"/>
        <w:rPr>
          <w:color w:val="auto"/>
        </w:rPr>
      </w:pPr>
    </w:p>
    <w:p w:rsidR="0069687C" w:rsidRPr="00C93C3D" w:rsidRDefault="00EB2D01" w:rsidP="004B4FE3">
      <w:pPr>
        <w:tabs>
          <w:tab w:val="left" w:pos="288"/>
          <w:tab w:val="left" w:pos="4752"/>
        </w:tabs>
        <w:jc w:val="both"/>
        <w:rPr>
          <w:color w:val="auto"/>
          <w:szCs w:val="24"/>
        </w:rPr>
      </w:pPr>
      <w:r w:rsidRPr="00FF3E59">
        <w:rPr>
          <w:color w:val="auto"/>
          <w:u w:val="single"/>
        </w:rPr>
        <w:t>Bilateral Knee Osteoarthritis Condition</w:t>
      </w:r>
      <w:r w:rsidR="00AD2379" w:rsidRPr="00FF3E59">
        <w:rPr>
          <w:color w:val="auto"/>
        </w:rPr>
        <w:t xml:space="preserve">. </w:t>
      </w:r>
      <w:r w:rsidR="00385708" w:rsidRPr="00FF3E59">
        <w:rPr>
          <w:color w:val="auto"/>
        </w:rPr>
        <w:t xml:space="preserve"> </w:t>
      </w:r>
      <w:r w:rsidR="004C70E6" w:rsidRPr="00FF3E59">
        <w:rPr>
          <w:color w:val="auto"/>
          <w:szCs w:val="24"/>
        </w:rPr>
        <w:t>The PEB combined right knee and left knee osteoarthritis as the single unfitting and solely rated condition, coded 5003.  Although this approach complies with the USAPDA pain policy and AR</w:t>
      </w:r>
      <w:r w:rsidR="004C70E6" w:rsidRPr="004C70E6">
        <w:rPr>
          <w:color w:val="auto"/>
          <w:szCs w:val="24"/>
        </w:rPr>
        <w:t xml:space="preserve"> 635.40 (B.24 f.)</w:t>
      </w:r>
      <w:r w:rsidR="00C81E0C">
        <w:rPr>
          <w:color w:val="auto"/>
          <w:szCs w:val="24"/>
        </w:rPr>
        <w:t>,</w:t>
      </w:r>
      <w:r w:rsidR="004C70E6" w:rsidRPr="004C70E6">
        <w:rPr>
          <w:color w:val="auto"/>
          <w:szCs w:val="24"/>
        </w:rPr>
        <w:t xml:space="preserve"> the Board must apply separate codes and ratings in its recommendations, if compensable ratings for each condition are achieved IAW VASRD §4.71a.</w:t>
      </w:r>
      <w:r w:rsidR="002B3D31">
        <w:rPr>
          <w:color w:val="auto"/>
          <w:szCs w:val="24"/>
        </w:rPr>
        <w:t xml:space="preserve"> </w:t>
      </w:r>
      <w:r w:rsidR="004C70E6" w:rsidRPr="004C70E6">
        <w:rPr>
          <w:color w:val="auto"/>
          <w:szCs w:val="24"/>
        </w:rPr>
        <w:t xml:space="preserve"> If the Board judges that two or more separate ratings are warranted in such cases</w:t>
      </w:r>
      <w:r w:rsidR="002B3D31">
        <w:rPr>
          <w:color w:val="auto"/>
          <w:szCs w:val="24"/>
        </w:rPr>
        <w:t>;</w:t>
      </w:r>
      <w:r w:rsidR="004C70E6" w:rsidRPr="004C70E6">
        <w:rPr>
          <w:color w:val="auto"/>
          <w:szCs w:val="24"/>
        </w:rPr>
        <w:t xml:space="preserve"> however, it must satisfy the requirement that each </w:t>
      </w:r>
      <w:r w:rsidR="002B3D31">
        <w:rPr>
          <w:color w:val="auto"/>
          <w:szCs w:val="24"/>
        </w:rPr>
        <w:t>“</w:t>
      </w:r>
      <w:r w:rsidR="004C70E6" w:rsidRPr="004C70E6">
        <w:rPr>
          <w:color w:val="auto"/>
          <w:szCs w:val="24"/>
        </w:rPr>
        <w:t>unbundled</w:t>
      </w:r>
      <w:r w:rsidR="002B3D31">
        <w:rPr>
          <w:color w:val="auto"/>
          <w:szCs w:val="24"/>
        </w:rPr>
        <w:t>”</w:t>
      </w:r>
      <w:r w:rsidR="004C70E6" w:rsidRPr="004C70E6">
        <w:rPr>
          <w:color w:val="auto"/>
          <w:szCs w:val="24"/>
        </w:rPr>
        <w:t xml:space="preserve"> condition was unfitting in and of itself.  Not uncommonly</w:t>
      </w:r>
      <w:r w:rsidR="002B3D31">
        <w:rPr>
          <w:color w:val="auto"/>
          <w:szCs w:val="24"/>
        </w:rPr>
        <w:t>,</w:t>
      </w:r>
      <w:r w:rsidR="004C70E6" w:rsidRPr="004C70E6">
        <w:rPr>
          <w:color w:val="auto"/>
          <w:szCs w:val="24"/>
        </w:rPr>
        <w:t xml:space="preserve"> this approach by the PEB reflects its judgment that the constellation of conditions was unfitting</w:t>
      </w:r>
      <w:r w:rsidR="00C81E0C">
        <w:rPr>
          <w:color w:val="auto"/>
          <w:szCs w:val="24"/>
        </w:rPr>
        <w:t>,</w:t>
      </w:r>
      <w:r w:rsidR="004C70E6" w:rsidRPr="004C70E6">
        <w:rPr>
          <w:color w:val="auto"/>
          <w:szCs w:val="24"/>
        </w:rPr>
        <w:t xml:space="preserve"> and that there was no need for separate fitness adjudications, not a judgment that each condition was independently unfitting. Thus the Board m</w:t>
      </w:r>
      <w:r w:rsidR="00C81E0C">
        <w:rPr>
          <w:color w:val="auto"/>
          <w:szCs w:val="24"/>
        </w:rPr>
        <w:t>ay</w:t>
      </w:r>
      <w:r w:rsidR="004C70E6" w:rsidRPr="004C70E6">
        <w:rPr>
          <w:color w:val="auto"/>
          <w:szCs w:val="24"/>
        </w:rPr>
        <w:t xml:space="preserve"> exercise the prerogative of separate fitness recommendations in this circumstance, with the caveat that its recommendations may not produce a lower combined rating than that of the PEB.  </w:t>
      </w:r>
      <w:r w:rsidR="00385708" w:rsidRPr="00CF2800">
        <w:rPr>
          <w:color w:val="auto"/>
        </w:rPr>
        <w:t>The</w:t>
      </w:r>
      <w:r w:rsidR="00385708" w:rsidRPr="007F253E">
        <w:rPr>
          <w:color w:val="auto"/>
        </w:rPr>
        <w:t xml:space="preserve"> narrative summary (NARSUM) </w:t>
      </w:r>
      <w:r w:rsidR="00521D21">
        <w:rPr>
          <w:color w:val="auto"/>
        </w:rPr>
        <w:t>reports</w:t>
      </w:r>
      <w:r w:rsidR="00DE7444">
        <w:rPr>
          <w:color w:val="auto"/>
        </w:rPr>
        <w:t xml:space="preserve"> a history of</w:t>
      </w:r>
      <w:r w:rsidR="00385708" w:rsidRPr="007F253E">
        <w:rPr>
          <w:color w:val="auto"/>
        </w:rPr>
        <w:t xml:space="preserve"> </w:t>
      </w:r>
      <w:r w:rsidR="007F253E">
        <w:rPr>
          <w:color w:val="auto"/>
        </w:rPr>
        <w:t xml:space="preserve">a right knee injury in April 2002 that led to the need for arthroscopic repair of </w:t>
      </w:r>
      <w:r w:rsidR="007F253E" w:rsidRPr="00BB3F05">
        <w:rPr>
          <w:color w:val="auto"/>
        </w:rPr>
        <w:t xml:space="preserve">a meniscal tear in August </w:t>
      </w:r>
      <w:r w:rsidR="007F253E" w:rsidRPr="00BB3F05">
        <w:rPr>
          <w:color w:val="auto"/>
        </w:rPr>
        <w:lastRenderedPageBreak/>
        <w:t xml:space="preserve">2002.  Two additional arthroscopies were performed due to re-injury over the next </w:t>
      </w:r>
      <w:r w:rsidR="002B3D31">
        <w:rPr>
          <w:color w:val="auto"/>
        </w:rPr>
        <w:t xml:space="preserve">6 </w:t>
      </w:r>
      <w:r w:rsidR="007F253E" w:rsidRPr="00BB3F05">
        <w:rPr>
          <w:color w:val="auto"/>
        </w:rPr>
        <w:t>months</w:t>
      </w:r>
      <w:r w:rsidR="00521D21" w:rsidRPr="00BB3F05">
        <w:rPr>
          <w:color w:val="auto"/>
        </w:rPr>
        <w:t>.</w:t>
      </w:r>
      <w:r w:rsidR="00DE7444" w:rsidRPr="00BB3F05">
        <w:rPr>
          <w:color w:val="auto"/>
        </w:rPr>
        <w:t xml:space="preserve">  </w:t>
      </w:r>
      <w:r w:rsidR="00F83B9A" w:rsidRPr="00BB3F05">
        <w:rPr>
          <w:color w:val="auto"/>
        </w:rPr>
        <w:t xml:space="preserve">However, </w:t>
      </w:r>
      <w:r w:rsidR="00CF2800">
        <w:rPr>
          <w:color w:val="auto"/>
        </w:rPr>
        <w:t>t</w:t>
      </w:r>
      <w:r w:rsidR="00F83B9A" w:rsidRPr="00BB3F05">
        <w:rPr>
          <w:color w:val="auto"/>
        </w:rPr>
        <w:t>he</w:t>
      </w:r>
      <w:r w:rsidR="00DE7444" w:rsidRPr="00BB3F05">
        <w:rPr>
          <w:color w:val="auto"/>
        </w:rPr>
        <w:t xml:space="preserve"> </w:t>
      </w:r>
      <w:r w:rsidR="00CF2800">
        <w:rPr>
          <w:color w:val="auto"/>
        </w:rPr>
        <w:t xml:space="preserve">CI </w:t>
      </w:r>
      <w:r w:rsidR="00DE7444" w:rsidRPr="00BB3F05">
        <w:rPr>
          <w:color w:val="auto"/>
        </w:rPr>
        <w:t xml:space="preserve">continued to have pain in </w:t>
      </w:r>
      <w:r w:rsidR="009925ED" w:rsidRPr="00BB3F05">
        <w:rPr>
          <w:color w:val="auto"/>
        </w:rPr>
        <w:t>the right knee on a daily basis</w:t>
      </w:r>
      <w:r w:rsidR="009925ED">
        <w:rPr>
          <w:color w:val="auto"/>
        </w:rPr>
        <w:t xml:space="preserve">, and was told that knee replacement surgery would </w:t>
      </w:r>
      <w:r w:rsidR="00C81E0C">
        <w:rPr>
          <w:color w:val="auto"/>
        </w:rPr>
        <w:t xml:space="preserve">have to </w:t>
      </w:r>
      <w:r w:rsidR="009925ED">
        <w:rPr>
          <w:color w:val="auto"/>
        </w:rPr>
        <w:t>be considered in the future.</w:t>
      </w:r>
      <w:r w:rsidR="00DE7444">
        <w:rPr>
          <w:color w:val="auto"/>
        </w:rPr>
        <w:t xml:space="preserve">  </w:t>
      </w:r>
      <w:r w:rsidR="0024416A">
        <w:rPr>
          <w:color w:val="auto"/>
        </w:rPr>
        <w:t>Although he was able to perform activities of daily living, he</w:t>
      </w:r>
      <w:r w:rsidR="00DE7444">
        <w:rPr>
          <w:color w:val="auto"/>
        </w:rPr>
        <w:t xml:space="preserve"> was unable to run or walk more than a quarter mile.  Standing longer than a </w:t>
      </w:r>
      <w:r w:rsidR="002B3D31">
        <w:rPr>
          <w:color w:val="auto"/>
        </w:rPr>
        <w:t>1/2</w:t>
      </w:r>
      <w:r w:rsidR="00DE7444">
        <w:rPr>
          <w:color w:val="auto"/>
        </w:rPr>
        <w:t xml:space="preserve"> hour or driving longer than </w:t>
      </w:r>
      <w:r w:rsidR="002B3D31">
        <w:rPr>
          <w:color w:val="auto"/>
        </w:rPr>
        <w:t>an</w:t>
      </w:r>
      <w:r w:rsidR="00DE7444">
        <w:rPr>
          <w:color w:val="auto"/>
        </w:rPr>
        <w:t xml:space="preserve"> hour exacerbated his pain.  He </w:t>
      </w:r>
      <w:r w:rsidR="00C81E0C">
        <w:rPr>
          <w:color w:val="auto"/>
        </w:rPr>
        <w:t xml:space="preserve">had also </w:t>
      </w:r>
      <w:r w:rsidR="00DE7444" w:rsidRPr="00BB3F05">
        <w:rPr>
          <w:color w:val="auto"/>
        </w:rPr>
        <w:t>experienced locking of</w:t>
      </w:r>
      <w:r w:rsidR="00DE7444">
        <w:rPr>
          <w:color w:val="auto"/>
        </w:rPr>
        <w:t xml:space="preserve"> his </w:t>
      </w:r>
      <w:r w:rsidR="00CF2800">
        <w:rPr>
          <w:color w:val="auto"/>
        </w:rPr>
        <w:t xml:space="preserve">right </w:t>
      </w:r>
      <w:r w:rsidR="00DE7444">
        <w:rPr>
          <w:color w:val="auto"/>
        </w:rPr>
        <w:t xml:space="preserve">leg when swimming.  He occasionally awakened at night with his </w:t>
      </w:r>
      <w:r w:rsidR="00CF2800">
        <w:rPr>
          <w:color w:val="auto"/>
        </w:rPr>
        <w:t xml:space="preserve">right </w:t>
      </w:r>
      <w:r w:rsidR="00DE7444">
        <w:rPr>
          <w:color w:val="auto"/>
        </w:rPr>
        <w:t xml:space="preserve">knee locked.  Although </w:t>
      </w:r>
      <w:r w:rsidR="005F5D61">
        <w:rPr>
          <w:color w:val="auto"/>
        </w:rPr>
        <w:t xml:space="preserve">the NARSUM noted </w:t>
      </w:r>
      <w:r w:rsidR="00DE7444">
        <w:rPr>
          <w:color w:val="auto"/>
        </w:rPr>
        <w:t>“arthritis in the left knee as well</w:t>
      </w:r>
      <w:r w:rsidR="005F5D61">
        <w:rPr>
          <w:color w:val="auto"/>
        </w:rPr>
        <w:t>,</w:t>
      </w:r>
      <w:r w:rsidR="00DE7444">
        <w:rPr>
          <w:color w:val="auto"/>
        </w:rPr>
        <w:t xml:space="preserve">” </w:t>
      </w:r>
      <w:r w:rsidR="005F5D61">
        <w:rPr>
          <w:color w:val="auto"/>
        </w:rPr>
        <w:t xml:space="preserve">specific </w:t>
      </w:r>
      <w:r w:rsidR="00F83B9A">
        <w:rPr>
          <w:color w:val="auto"/>
        </w:rPr>
        <w:t xml:space="preserve">left </w:t>
      </w:r>
      <w:r w:rsidR="00DE7444">
        <w:rPr>
          <w:color w:val="auto"/>
        </w:rPr>
        <w:t>knee symptoms were not de</w:t>
      </w:r>
      <w:r w:rsidR="00CF2800">
        <w:rPr>
          <w:color w:val="auto"/>
        </w:rPr>
        <w:t>tailed</w:t>
      </w:r>
      <w:r w:rsidR="00DE7444">
        <w:rPr>
          <w:color w:val="auto"/>
        </w:rPr>
        <w:t>.</w:t>
      </w:r>
      <w:r w:rsidR="004B4FE3">
        <w:rPr>
          <w:color w:val="auto"/>
        </w:rPr>
        <w:t xml:space="preserve">  </w:t>
      </w:r>
      <w:r w:rsidR="0069687C" w:rsidRPr="00F64312">
        <w:rPr>
          <w:color w:val="auto"/>
          <w:szCs w:val="24"/>
        </w:rPr>
        <w:t xml:space="preserve">There were </w:t>
      </w:r>
      <w:r w:rsidR="0024416A">
        <w:rPr>
          <w:color w:val="auto"/>
          <w:szCs w:val="24"/>
        </w:rPr>
        <w:t>two</w:t>
      </w:r>
      <w:r w:rsidR="002B3D31">
        <w:rPr>
          <w:color w:val="auto"/>
          <w:szCs w:val="24"/>
        </w:rPr>
        <w:t xml:space="preserve"> goniometric range-of-</w:t>
      </w:r>
      <w:r w:rsidR="0069687C" w:rsidRPr="00F64312">
        <w:rPr>
          <w:color w:val="auto"/>
          <w:szCs w:val="24"/>
        </w:rPr>
        <w:t>motion (ROM) evaluations in evidence, with documentation of additional ratable criteria, which the Board weighed in arrivi</w:t>
      </w:r>
      <w:r w:rsidR="00F56398">
        <w:rPr>
          <w:color w:val="auto"/>
          <w:szCs w:val="24"/>
        </w:rPr>
        <w:t>ng at its rating recommendation,</w:t>
      </w:r>
      <w:r w:rsidR="0069687C" w:rsidRPr="00F64312">
        <w:rPr>
          <w:color w:val="auto"/>
          <w:szCs w:val="24"/>
        </w:rPr>
        <w:t xml:space="preserve"> as summarized in the chart below.</w:t>
      </w:r>
      <w:r w:rsidR="00165C7B" w:rsidRPr="00F64312">
        <w:rPr>
          <w:color w:val="auto"/>
          <w:szCs w:val="24"/>
        </w:rPr>
        <w:t xml:space="preserve">  </w:t>
      </w:r>
    </w:p>
    <w:p w:rsidR="00C9220C" w:rsidRPr="00C93C3D" w:rsidRDefault="00C9220C" w:rsidP="0069687C">
      <w:pPr>
        <w:jc w:val="both"/>
        <w:rPr>
          <w:color w:val="auto"/>
          <w:szCs w:val="24"/>
        </w:rPr>
      </w:pPr>
    </w:p>
    <w:tbl>
      <w:tblPr>
        <w:tblW w:w="9303" w:type="dxa"/>
        <w:jc w:val="center"/>
        <w:tblInd w:w="-1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9"/>
        <w:gridCol w:w="1773"/>
        <w:gridCol w:w="2070"/>
        <w:gridCol w:w="1620"/>
        <w:gridCol w:w="1951"/>
      </w:tblGrid>
      <w:tr w:rsidR="004A46C6" w:rsidRPr="00C93C3D" w:rsidTr="00314CAE">
        <w:trPr>
          <w:trHeight w:val="467"/>
          <w:jc w:val="center"/>
        </w:trPr>
        <w:tc>
          <w:tcPr>
            <w:tcW w:w="188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4A46C6" w:rsidRPr="00C93C3D" w:rsidRDefault="004A46C6" w:rsidP="00C01DA4">
            <w:pPr>
              <w:spacing w:line="200" w:lineRule="exact"/>
              <w:rPr>
                <w:rFonts w:asciiTheme="majorHAnsi" w:eastAsia="Calibri" w:hAnsiTheme="majorHAnsi" w:cstheme="majorHAnsi"/>
                <w:color w:val="auto"/>
                <w:sz w:val="20"/>
              </w:rPr>
            </w:pPr>
            <w:r w:rsidRPr="00C93C3D">
              <w:rPr>
                <w:rFonts w:asciiTheme="majorHAnsi" w:hAnsiTheme="majorHAnsi" w:cstheme="majorHAnsi"/>
                <w:color w:val="auto"/>
                <w:sz w:val="20"/>
              </w:rPr>
              <w:t>Knee ROM</w:t>
            </w:r>
          </w:p>
        </w:tc>
        <w:tc>
          <w:tcPr>
            <w:tcW w:w="384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46C6" w:rsidRPr="00C93C3D" w:rsidRDefault="00260856" w:rsidP="00980453">
            <w:pPr>
              <w:spacing w:line="200" w:lineRule="exact"/>
              <w:contextualSpacing/>
              <w:rPr>
                <w:rFonts w:asciiTheme="majorHAnsi" w:eastAsia="Calibri" w:hAnsiTheme="majorHAnsi" w:cstheme="majorHAnsi"/>
                <w:color w:val="auto"/>
                <w:sz w:val="20"/>
              </w:rPr>
            </w:pPr>
            <w:r w:rsidRPr="00C93C3D">
              <w:rPr>
                <w:rFonts w:asciiTheme="majorHAnsi" w:eastAsia="Calibri" w:hAnsiTheme="majorHAnsi" w:cstheme="majorHAnsi"/>
                <w:color w:val="auto"/>
                <w:sz w:val="20"/>
              </w:rPr>
              <w:t>MEB/</w:t>
            </w:r>
            <w:r w:rsidR="004A46C6" w:rsidRPr="00C93C3D">
              <w:rPr>
                <w:rFonts w:asciiTheme="majorHAnsi" w:eastAsia="Calibri" w:hAnsiTheme="majorHAnsi" w:cstheme="majorHAnsi"/>
                <w:color w:val="auto"/>
                <w:sz w:val="20"/>
              </w:rPr>
              <w:t>PT ~</w:t>
            </w:r>
            <w:r w:rsidR="000D387E" w:rsidRPr="00C93C3D">
              <w:rPr>
                <w:rFonts w:asciiTheme="majorHAnsi" w:eastAsia="Calibri" w:hAnsiTheme="majorHAnsi" w:cstheme="majorHAnsi"/>
                <w:color w:val="auto"/>
                <w:sz w:val="20"/>
              </w:rPr>
              <w:t>3</w:t>
            </w:r>
            <w:r w:rsidR="004A46C6" w:rsidRPr="00C93C3D">
              <w:rPr>
                <w:rFonts w:asciiTheme="majorHAnsi" w:eastAsia="Calibri" w:hAnsiTheme="majorHAnsi" w:cstheme="majorHAnsi"/>
                <w:color w:val="auto"/>
                <w:sz w:val="20"/>
              </w:rPr>
              <w:t xml:space="preserve"> Mo. Pre-Sep</w:t>
            </w:r>
          </w:p>
        </w:tc>
        <w:tc>
          <w:tcPr>
            <w:tcW w:w="357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46C6" w:rsidRPr="00C93C3D" w:rsidRDefault="004A46C6" w:rsidP="00980453">
            <w:pPr>
              <w:spacing w:line="200" w:lineRule="exact"/>
              <w:contextualSpacing/>
              <w:rPr>
                <w:rFonts w:asciiTheme="majorHAnsi" w:eastAsia="Calibri" w:hAnsiTheme="majorHAnsi" w:cstheme="majorHAnsi"/>
                <w:color w:val="auto"/>
                <w:sz w:val="20"/>
              </w:rPr>
            </w:pPr>
            <w:r w:rsidRPr="00C93C3D">
              <w:rPr>
                <w:rFonts w:asciiTheme="majorHAnsi" w:eastAsia="Calibri" w:hAnsiTheme="majorHAnsi" w:cstheme="majorHAnsi"/>
                <w:color w:val="auto"/>
                <w:sz w:val="20"/>
              </w:rPr>
              <w:t>VA</w:t>
            </w:r>
            <w:r w:rsidRPr="00C93C3D">
              <w:rPr>
                <w:rFonts w:asciiTheme="majorHAnsi" w:eastAsiaTheme="minorHAnsi" w:hAnsiTheme="majorHAnsi" w:cstheme="majorHAnsi"/>
                <w:color w:val="auto"/>
                <w:sz w:val="20"/>
              </w:rPr>
              <w:t xml:space="preserve"> C&amp;P </w:t>
            </w:r>
            <w:r w:rsidRPr="00C93C3D">
              <w:rPr>
                <w:rFonts w:asciiTheme="majorHAnsi" w:eastAsia="Calibri" w:hAnsiTheme="majorHAnsi" w:cstheme="majorHAnsi"/>
                <w:color w:val="auto"/>
                <w:sz w:val="20"/>
              </w:rPr>
              <w:t>~</w:t>
            </w:r>
            <w:r w:rsidR="000E79BF" w:rsidRPr="00C93C3D">
              <w:rPr>
                <w:rFonts w:asciiTheme="majorHAnsi" w:eastAsia="Calibri" w:hAnsiTheme="majorHAnsi" w:cstheme="majorHAnsi"/>
                <w:color w:val="auto"/>
                <w:sz w:val="20"/>
              </w:rPr>
              <w:t>5</w:t>
            </w:r>
            <w:r w:rsidRPr="00C93C3D">
              <w:rPr>
                <w:rFonts w:asciiTheme="majorHAnsi" w:eastAsia="Calibri" w:hAnsiTheme="majorHAnsi" w:cstheme="majorHAnsi"/>
                <w:color w:val="auto"/>
                <w:sz w:val="20"/>
              </w:rPr>
              <w:t xml:space="preserve"> Mo. Post-Sep</w:t>
            </w:r>
          </w:p>
        </w:tc>
      </w:tr>
      <w:tr w:rsidR="004A46C6" w:rsidRPr="00C93C3D" w:rsidTr="00314CAE">
        <w:trPr>
          <w:trHeight w:val="467"/>
          <w:jc w:val="center"/>
        </w:trPr>
        <w:tc>
          <w:tcPr>
            <w:tcW w:w="1889"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4A46C6" w:rsidRPr="00C93C3D" w:rsidRDefault="004A46C6" w:rsidP="00C01DA4">
            <w:pPr>
              <w:spacing w:line="200" w:lineRule="exact"/>
              <w:rPr>
                <w:rFonts w:asciiTheme="majorHAnsi" w:eastAsia="Calibri" w:hAnsiTheme="majorHAnsi" w:cstheme="majorHAnsi"/>
                <w:color w:val="auto"/>
                <w:sz w:val="20"/>
              </w:rPr>
            </w:pPr>
          </w:p>
        </w:tc>
        <w:tc>
          <w:tcPr>
            <w:tcW w:w="17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46C6" w:rsidRPr="00C93C3D" w:rsidRDefault="004A46C6" w:rsidP="00C01DA4">
            <w:pPr>
              <w:spacing w:line="200" w:lineRule="exact"/>
              <w:rPr>
                <w:rFonts w:asciiTheme="majorHAnsi" w:eastAsia="Calibri" w:hAnsiTheme="majorHAnsi" w:cstheme="majorHAnsi"/>
                <w:color w:val="auto"/>
                <w:sz w:val="20"/>
              </w:rPr>
            </w:pPr>
            <w:r w:rsidRPr="00C93C3D">
              <w:rPr>
                <w:rFonts w:asciiTheme="majorHAnsi" w:eastAsia="Calibri" w:hAnsiTheme="majorHAnsi" w:cstheme="majorHAnsi"/>
                <w:color w:val="auto"/>
                <w:sz w:val="20"/>
              </w:rPr>
              <w:t>Left</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46C6" w:rsidRPr="00C93C3D" w:rsidRDefault="004A46C6" w:rsidP="00C01DA4">
            <w:pPr>
              <w:spacing w:line="200" w:lineRule="exact"/>
              <w:rPr>
                <w:rFonts w:asciiTheme="majorHAnsi" w:eastAsia="Calibri" w:hAnsiTheme="majorHAnsi" w:cstheme="majorHAnsi"/>
                <w:color w:val="auto"/>
                <w:sz w:val="20"/>
              </w:rPr>
            </w:pPr>
            <w:r w:rsidRPr="00C93C3D">
              <w:rPr>
                <w:rFonts w:asciiTheme="majorHAnsi" w:eastAsia="Calibri" w:hAnsiTheme="majorHAnsi" w:cstheme="majorHAnsi"/>
                <w:color w:val="auto"/>
                <w:sz w:val="20"/>
              </w:rPr>
              <w:t>Right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A46C6" w:rsidRPr="00C93C3D" w:rsidRDefault="004A46C6" w:rsidP="00C01DA4">
            <w:pPr>
              <w:spacing w:line="200" w:lineRule="exact"/>
              <w:rPr>
                <w:rFonts w:asciiTheme="majorHAnsi" w:eastAsia="Calibri" w:hAnsiTheme="majorHAnsi" w:cstheme="majorHAnsi"/>
                <w:color w:val="auto"/>
                <w:sz w:val="20"/>
              </w:rPr>
            </w:pPr>
            <w:r w:rsidRPr="00C93C3D">
              <w:rPr>
                <w:rFonts w:asciiTheme="majorHAnsi" w:eastAsia="Calibri" w:hAnsiTheme="majorHAnsi" w:cstheme="majorHAnsi"/>
                <w:color w:val="auto"/>
                <w:sz w:val="20"/>
              </w:rPr>
              <w:t>Left</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46C6" w:rsidRPr="00C93C3D" w:rsidRDefault="004A46C6" w:rsidP="00C01DA4">
            <w:pPr>
              <w:spacing w:line="200" w:lineRule="exact"/>
              <w:rPr>
                <w:rFonts w:asciiTheme="majorHAnsi" w:eastAsia="Calibri" w:hAnsiTheme="majorHAnsi" w:cstheme="majorHAnsi"/>
                <w:color w:val="auto"/>
                <w:sz w:val="20"/>
              </w:rPr>
            </w:pPr>
            <w:r w:rsidRPr="00C93C3D">
              <w:rPr>
                <w:rFonts w:asciiTheme="majorHAnsi" w:eastAsia="Calibri" w:hAnsiTheme="majorHAnsi" w:cstheme="majorHAnsi"/>
                <w:color w:val="auto"/>
                <w:sz w:val="20"/>
              </w:rPr>
              <w:t>Right</w:t>
            </w:r>
          </w:p>
        </w:tc>
      </w:tr>
      <w:tr w:rsidR="004A46C6" w:rsidRPr="00C93C3D" w:rsidTr="00314CAE">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FF22BD" w:rsidP="00FF22BD">
            <w:pPr>
              <w:spacing w:line="220" w:lineRule="exact"/>
              <w:contextualSpacing/>
              <w:rPr>
                <w:rFonts w:asciiTheme="majorHAnsi" w:hAnsiTheme="majorHAnsi" w:cstheme="majorHAnsi"/>
                <w:color w:val="auto"/>
                <w:sz w:val="20"/>
              </w:rPr>
            </w:pPr>
            <w:r w:rsidRPr="00C93C3D">
              <w:rPr>
                <w:rFonts w:asciiTheme="majorHAnsi" w:hAnsiTheme="majorHAnsi" w:cstheme="majorHAnsi"/>
                <w:color w:val="auto"/>
                <w:sz w:val="20"/>
              </w:rPr>
              <w:t>Flexion (140⁰ Norm)</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4A46C6" w:rsidP="006C4461">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130⁰, 131</w:t>
            </w:r>
            <w:r w:rsidR="000D387E" w:rsidRPr="00C93C3D">
              <w:rPr>
                <w:rFonts w:asciiTheme="majorHAnsi" w:eastAsia="Calibri" w:hAnsiTheme="majorHAnsi" w:cstheme="majorHAnsi"/>
                <w:color w:val="auto"/>
                <w:sz w:val="20"/>
              </w:rPr>
              <w:t>⁰</w:t>
            </w:r>
            <w:r w:rsidRPr="00C93C3D">
              <w:rPr>
                <w:rFonts w:asciiTheme="majorHAnsi" w:eastAsia="Calibri" w:hAnsiTheme="majorHAnsi" w:cstheme="majorHAnsi"/>
                <w:color w:val="auto"/>
                <w:sz w:val="20"/>
              </w:rPr>
              <w:t>, 130</w:t>
            </w:r>
            <w:r w:rsidR="000D387E" w:rsidRPr="00C93C3D">
              <w:rPr>
                <w:rFonts w:asciiTheme="majorHAnsi" w:eastAsia="Calibri" w:hAnsiTheme="majorHAnsi" w:cstheme="majorHAnsi"/>
                <w:color w:val="auto"/>
                <w:sz w:val="20"/>
              </w:rPr>
              <w:t>⁰</w:t>
            </w:r>
          </w:p>
        </w:tc>
        <w:tc>
          <w:tcPr>
            <w:tcW w:w="2070"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4A46C6" w:rsidP="006C4461">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120⁰, 121⁰, 123⁰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F112E6" w:rsidP="00C01DA4">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140</w:t>
            </w:r>
            <w:r w:rsidR="004A46C6" w:rsidRPr="00C93C3D">
              <w:rPr>
                <w:rFonts w:asciiTheme="majorHAnsi" w:eastAsia="Calibri" w:hAnsiTheme="majorHAnsi" w:cstheme="majorHAnsi"/>
                <w:color w:val="auto"/>
                <w:sz w:val="20"/>
              </w:rPr>
              <w:t>⁰</w:t>
            </w:r>
          </w:p>
        </w:tc>
        <w:tc>
          <w:tcPr>
            <w:tcW w:w="1951"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F112E6" w:rsidP="00C01DA4">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140</w:t>
            </w:r>
            <w:r w:rsidR="004A46C6" w:rsidRPr="00C93C3D">
              <w:rPr>
                <w:rFonts w:asciiTheme="majorHAnsi" w:eastAsia="Calibri" w:hAnsiTheme="majorHAnsi" w:cstheme="majorHAnsi"/>
                <w:color w:val="auto"/>
                <w:sz w:val="20"/>
              </w:rPr>
              <w:t>⁰</w:t>
            </w:r>
          </w:p>
        </w:tc>
      </w:tr>
      <w:tr w:rsidR="004A46C6" w:rsidRPr="00C93C3D" w:rsidTr="00314CAE">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4A46C6" w:rsidP="00FF22BD">
            <w:pPr>
              <w:spacing w:line="220" w:lineRule="exact"/>
              <w:contextualSpacing/>
              <w:rPr>
                <w:rFonts w:asciiTheme="majorHAnsi" w:hAnsiTheme="majorHAnsi" w:cstheme="majorHAnsi"/>
                <w:color w:val="auto"/>
                <w:sz w:val="20"/>
              </w:rPr>
            </w:pPr>
            <w:r w:rsidRPr="00C93C3D">
              <w:rPr>
                <w:rFonts w:asciiTheme="majorHAnsi" w:hAnsiTheme="majorHAnsi" w:cstheme="majorHAnsi"/>
                <w:color w:val="auto"/>
                <w:sz w:val="20"/>
              </w:rPr>
              <w:t>Extension (0⁰</w:t>
            </w:r>
            <w:r w:rsidR="00FF22BD" w:rsidRPr="00C93C3D">
              <w:rPr>
                <w:rFonts w:asciiTheme="majorHAnsi" w:hAnsiTheme="majorHAnsi" w:cstheme="majorHAnsi"/>
                <w:color w:val="auto"/>
                <w:sz w:val="20"/>
              </w:rPr>
              <w:t xml:space="preserve"> Norm</w:t>
            </w:r>
            <w:r w:rsidRPr="00C93C3D">
              <w:rPr>
                <w:rFonts w:asciiTheme="majorHAnsi" w:hAnsiTheme="majorHAnsi" w:cstheme="majorHAnsi"/>
                <w:color w:val="auto"/>
                <w:sz w:val="20"/>
              </w:rPr>
              <w:t>)</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4A46C6" w:rsidP="00C01DA4">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-2⁰, -2⁰, -2⁰</w:t>
            </w:r>
          </w:p>
        </w:tc>
        <w:tc>
          <w:tcPr>
            <w:tcW w:w="2070"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4A46C6" w:rsidP="006C4461">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-17⁰,-18⁰, -17⁰</w:t>
            </w:r>
            <w:r w:rsidR="00D944B5" w:rsidRPr="00C93C3D">
              <w:rPr>
                <w:rFonts w:asciiTheme="majorHAnsi" w:eastAsia="Calibri" w:hAnsiTheme="majorHAnsi" w:cstheme="majorHAnsi"/>
                <w:color w:val="auto"/>
                <w:sz w:val="20"/>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F112E6" w:rsidP="00C01DA4">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0</w:t>
            </w:r>
            <w:r w:rsidR="004A46C6" w:rsidRPr="00C93C3D">
              <w:rPr>
                <w:rFonts w:asciiTheme="majorHAnsi" w:eastAsia="Calibri" w:hAnsiTheme="majorHAnsi" w:cstheme="majorHAnsi"/>
                <w:color w:val="auto"/>
                <w:sz w:val="20"/>
              </w:rPr>
              <w:t>⁰</w:t>
            </w:r>
          </w:p>
        </w:tc>
        <w:tc>
          <w:tcPr>
            <w:tcW w:w="1951"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6C4461" w:rsidP="00C01DA4">
            <w:pPr>
              <w:spacing w:line="200" w:lineRule="exact"/>
              <w:rPr>
                <w:rFonts w:asciiTheme="majorHAnsi" w:eastAsia="Calibri" w:hAnsiTheme="majorHAnsi" w:cstheme="majorHAnsi"/>
                <w:color w:val="auto"/>
                <w:sz w:val="20"/>
                <w:highlight w:val="yellow"/>
              </w:rPr>
            </w:pPr>
            <w:r w:rsidRPr="00C93C3D">
              <w:rPr>
                <w:rFonts w:asciiTheme="majorHAnsi" w:eastAsia="Calibri" w:hAnsiTheme="majorHAnsi" w:cstheme="majorHAnsi"/>
                <w:color w:val="auto"/>
                <w:sz w:val="20"/>
              </w:rPr>
              <w:t>-3</w:t>
            </w:r>
            <w:r w:rsidR="004A46C6" w:rsidRPr="00C93C3D">
              <w:rPr>
                <w:rFonts w:asciiTheme="majorHAnsi" w:eastAsia="Calibri" w:hAnsiTheme="majorHAnsi" w:cstheme="majorHAnsi"/>
                <w:color w:val="auto"/>
                <w:sz w:val="20"/>
              </w:rPr>
              <w:t>⁰</w:t>
            </w:r>
          </w:p>
        </w:tc>
      </w:tr>
      <w:tr w:rsidR="004A46C6" w:rsidRPr="00C93C3D" w:rsidTr="00314CAE">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4A46C6" w:rsidP="00C01DA4">
            <w:pPr>
              <w:tabs>
                <w:tab w:val="left" w:pos="288"/>
                <w:tab w:val="left" w:pos="4752"/>
              </w:tabs>
              <w:spacing w:line="200" w:lineRule="exact"/>
              <w:rPr>
                <w:rFonts w:asciiTheme="majorHAnsi" w:eastAsiaTheme="minorHAnsi" w:hAnsiTheme="majorHAnsi" w:cstheme="majorHAnsi"/>
                <w:color w:val="auto"/>
                <w:sz w:val="20"/>
              </w:rPr>
            </w:pPr>
            <w:r w:rsidRPr="00C93C3D">
              <w:rPr>
                <w:rFonts w:asciiTheme="majorHAnsi" w:eastAsiaTheme="minorHAnsi" w:hAnsiTheme="majorHAnsi" w:cstheme="majorHAnsi"/>
                <w:color w:val="auto"/>
                <w:sz w:val="20"/>
              </w:rPr>
              <w:t>Comment</w:t>
            </w:r>
          </w:p>
        </w:tc>
        <w:tc>
          <w:tcPr>
            <w:tcW w:w="1773"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5843C9" w:rsidP="00C01DA4">
            <w:pPr>
              <w:spacing w:line="200" w:lineRule="exact"/>
              <w:contextualSpacing/>
              <w:rPr>
                <w:rFonts w:asciiTheme="majorHAnsi" w:eastAsia="Calibri" w:hAnsiTheme="majorHAnsi" w:cstheme="majorHAnsi"/>
                <w:color w:val="auto"/>
                <w:sz w:val="20"/>
                <w:highlight w:val="lightGray"/>
              </w:rPr>
            </w:pPr>
            <w:r w:rsidRPr="00C93C3D">
              <w:rPr>
                <w:rFonts w:asciiTheme="majorHAnsi" w:eastAsia="Calibri" w:hAnsiTheme="majorHAnsi" w:cstheme="majorHAnsi"/>
                <w:color w:val="auto"/>
                <w:sz w:val="20"/>
              </w:rPr>
              <w:t>Crepitus</w:t>
            </w:r>
          </w:p>
        </w:tc>
        <w:tc>
          <w:tcPr>
            <w:tcW w:w="2070"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24416A" w:rsidP="00C01DA4">
            <w:pPr>
              <w:spacing w:line="200" w:lineRule="exact"/>
              <w:contextualSpacing/>
              <w:rPr>
                <w:rFonts w:asciiTheme="majorHAnsi" w:eastAsia="Calibri" w:hAnsiTheme="majorHAnsi" w:cstheme="majorHAnsi"/>
                <w:color w:val="auto"/>
                <w:sz w:val="20"/>
                <w:highlight w:val="lightGray"/>
              </w:rPr>
            </w:pPr>
            <w:r w:rsidRPr="00C93C3D">
              <w:rPr>
                <w:rFonts w:asciiTheme="majorHAnsi" w:eastAsia="Calibri" w:hAnsiTheme="majorHAnsi" w:cstheme="majorHAnsi"/>
                <w:color w:val="auto"/>
                <w:sz w:val="20"/>
              </w:rPr>
              <w:t>Motion limited by pain</w:t>
            </w:r>
          </w:p>
        </w:tc>
        <w:tc>
          <w:tcPr>
            <w:tcW w:w="1620"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DE0342" w:rsidP="00C01DA4">
            <w:pPr>
              <w:spacing w:line="200" w:lineRule="exact"/>
              <w:contextualSpacing/>
              <w:rPr>
                <w:rFonts w:asciiTheme="majorHAnsi" w:eastAsia="Calibri" w:hAnsiTheme="majorHAnsi" w:cstheme="majorHAnsi"/>
                <w:color w:val="auto"/>
                <w:sz w:val="20"/>
                <w:highlight w:val="lightGray"/>
              </w:rPr>
            </w:pPr>
            <w:r w:rsidRPr="00C93C3D">
              <w:rPr>
                <w:rFonts w:asciiTheme="majorHAnsi" w:eastAsia="Calibri" w:hAnsiTheme="majorHAnsi" w:cstheme="majorHAnsi"/>
                <w:color w:val="auto"/>
                <w:sz w:val="20"/>
              </w:rPr>
              <w:t>Intermittent pain</w:t>
            </w:r>
            <w:r w:rsidR="00363E21" w:rsidRPr="00C93C3D">
              <w:rPr>
                <w:rFonts w:asciiTheme="majorHAnsi" w:eastAsia="Calibri" w:hAnsiTheme="majorHAnsi" w:cstheme="majorHAnsi"/>
                <w:color w:val="auto"/>
                <w:sz w:val="20"/>
              </w:rPr>
              <w:t xml:space="preserve"> by history</w:t>
            </w:r>
          </w:p>
        </w:tc>
        <w:tc>
          <w:tcPr>
            <w:tcW w:w="1951"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0E79BF" w:rsidP="00C01DA4">
            <w:pPr>
              <w:spacing w:line="200" w:lineRule="exact"/>
              <w:contextualSpacing/>
              <w:rPr>
                <w:rFonts w:asciiTheme="majorHAnsi" w:eastAsia="Calibri" w:hAnsiTheme="majorHAnsi" w:cstheme="majorHAnsi"/>
                <w:color w:val="auto"/>
                <w:sz w:val="20"/>
              </w:rPr>
            </w:pPr>
            <w:r w:rsidRPr="00C93C3D">
              <w:rPr>
                <w:rFonts w:asciiTheme="majorHAnsi" w:eastAsia="Calibri" w:hAnsiTheme="majorHAnsi" w:cstheme="majorHAnsi"/>
                <w:color w:val="auto"/>
                <w:sz w:val="20"/>
              </w:rPr>
              <w:t>“Lurching” to right</w:t>
            </w:r>
            <w:r w:rsidR="00314CAE" w:rsidRPr="00C93C3D">
              <w:rPr>
                <w:rFonts w:asciiTheme="majorHAnsi" w:eastAsia="Calibri" w:hAnsiTheme="majorHAnsi" w:cstheme="majorHAnsi"/>
                <w:color w:val="auto"/>
                <w:sz w:val="20"/>
              </w:rPr>
              <w:t xml:space="preserve"> increased on repetition</w:t>
            </w:r>
            <w:r w:rsidR="00791A14" w:rsidRPr="00C93C3D">
              <w:rPr>
                <w:rFonts w:asciiTheme="majorHAnsi" w:eastAsia="Calibri" w:hAnsiTheme="majorHAnsi" w:cstheme="majorHAnsi"/>
                <w:color w:val="auto"/>
                <w:sz w:val="20"/>
              </w:rPr>
              <w:t xml:space="preserve"> (</w:t>
            </w:r>
            <w:r w:rsidR="00791A14" w:rsidRPr="00C93C3D">
              <w:rPr>
                <w:rFonts w:asciiTheme="majorHAnsi" w:eastAsia="Calibri" w:hAnsiTheme="majorHAnsi" w:cstheme="majorHAnsi"/>
                <w:i/>
                <w:color w:val="auto"/>
                <w:sz w:val="20"/>
              </w:rPr>
              <w:t>see text</w:t>
            </w:r>
            <w:r w:rsidR="00791A14" w:rsidRPr="00C93C3D">
              <w:rPr>
                <w:rFonts w:asciiTheme="majorHAnsi" w:eastAsia="Calibri" w:hAnsiTheme="majorHAnsi" w:cstheme="majorHAnsi"/>
                <w:color w:val="auto"/>
                <w:sz w:val="20"/>
              </w:rPr>
              <w:t>)</w:t>
            </w:r>
          </w:p>
        </w:tc>
      </w:tr>
      <w:tr w:rsidR="004A46C6" w:rsidRPr="00C93C3D" w:rsidTr="00314CAE">
        <w:trPr>
          <w:jc w:val="center"/>
        </w:trPr>
        <w:tc>
          <w:tcPr>
            <w:tcW w:w="1889"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4A46C6" w:rsidP="00C01DA4">
            <w:pPr>
              <w:tabs>
                <w:tab w:val="left" w:pos="288"/>
                <w:tab w:val="left" w:pos="4752"/>
              </w:tabs>
              <w:spacing w:line="200" w:lineRule="exact"/>
              <w:rPr>
                <w:rFonts w:asciiTheme="majorHAnsi" w:eastAsiaTheme="minorHAnsi" w:hAnsiTheme="majorHAnsi" w:cstheme="majorHAnsi"/>
                <w:color w:val="auto"/>
                <w:sz w:val="20"/>
              </w:rPr>
            </w:pPr>
            <w:r w:rsidRPr="00C93C3D">
              <w:rPr>
                <w:rFonts w:asciiTheme="majorHAnsi" w:eastAsiaTheme="minorHAnsi" w:hAnsiTheme="majorHAnsi" w:cstheme="majorHAnsi"/>
                <w:color w:val="auto"/>
                <w:sz w:val="20"/>
              </w:rPr>
              <w:t>§4.71a Rating</w:t>
            </w:r>
          </w:p>
        </w:tc>
        <w:tc>
          <w:tcPr>
            <w:tcW w:w="1773"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006EFD" w:rsidP="00C01DA4">
            <w:pPr>
              <w:spacing w:line="200" w:lineRule="exact"/>
              <w:contextualSpacing/>
              <w:rPr>
                <w:rFonts w:asciiTheme="majorHAnsi" w:eastAsia="Calibri" w:hAnsiTheme="majorHAnsi" w:cstheme="majorHAnsi"/>
                <w:color w:val="auto"/>
                <w:sz w:val="20"/>
                <w:highlight w:val="lightGray"/>
              </w:rPr>
            </w:pPr>
            <w:r w:rsidRPr="00C93C3D">
              <w:rPr>
                <w:rFonts w:asciiTheme="majorHAnsi" w:eastAsia="Calibri" w:hAnsiTheme="majorHAnsi" w:cstheme="majorHAnsi"/>
                <w:color w:val="auto"/>
                <w:sz w:val="20"/>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A17B3E" w:rsidP="00C01DA4">
            <w:pPr>
              <w:spacing w:line="200" w:lineRule="exact"/>
              <w:contextualSpacing/>
              <w:rPr>
                <w:rFonts w:asciiTheme="majorHAnsi" w:eastAsia="Calibri" w:hAnsiTheme="majorHAnsi" w:cstheme="majorHAnsi"/>
                <w:color w:val="auto"/>
                <w:sz w:val="20"/>
                <w:highlight w:val="lightGray"/>
              </w:rPr>
            </w:pPr>
            <w:r w:rsidRPr="00C93C3D">
              <w:rPr>
                <w:rFonts w:asciiTheme="majorHAnsi" w:eastAsia="Calibri" w:hAnsiTheme="majorHAnsi" w:cstheme="majorHAnsi"/>
                <w:color w:val="auto"/>
                <w:sz w:val="20"/>
              </w:rPr>
              <w:t>2</w:t>
            </w:r>
            <w:r w:rsidR="000E79BF" w:rsidRPr="00C93C3D">
              <w:rPr>
                <w:rFonts w:asciiTheme="majorHAnsi" w:eastAsia="Calibri" w:hAnsiTheme="majorHAnsi" w:cstheme="majorHAnsi"/>
                <w:color w:val="auto"/>
                <w:sz w:val="20"/>
              </w:rPr>
              <w:t>0</w:t>
            </w:r>
            <w:r w:rsidR="004A46C6" w:rsidRPr="00C93C3D">
              <w:rPr>
                <w:rFonts w:asciiTheme="majorHAnsi" w:eastAsia="Calibri" w:hAnsiTheme="majorHAnsi" w:cstheme="majorHAnsi"/>
                <w:color w:val="auto"/>
                <w:sz w:val="20"/>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4A46C6" w:rsidRPr="00C93C3D" w:rsidRDefault="00DE0342" w:rsidP="00C01DA4">
            <w:pPr>
              <w:spacing w:line="200" w:lineRule="exact"/>
              <w:contextualSpacing/>
              <w:rPr>
                <w:rFonts w:asciiTheme="majorHAnsi" w:eastAsia="Calibri" w:hAnsiTheme="majorHAnsi" w:cstheme="majorHAnsi"/>
                <w:color w:val="auto"/>
                <w:sz w:val="20"/>
                <w:highlight w:val="lightGray"/>
              </w:rPr>
            </w:pPr>
            <w:r w:rsidRPr="00C93C3D">
              <w:rPr>
                <w:rFonts w:asciiTheme="majorHAnsi" w:eastAsia="Calibri" w:hAnsiTheme="majorHAnsi" w:cstheme="majorHAnsi"/>
                <w:color w:val="auto"/>
                <w:sz w:val="20"/>
              </w:rPr>
              <w:t>0</w:t>
            </w:r>
            <w:r w:rsidR="004A46C6" w:rsidRPr="00C93C3D">
              <w:rPr>
                <w:rFonts w:asciiTheme="majorHAnsi" w:eastAsia="Calibri" w:hAnsiTheme="majorHAnsi" w:cstheme="majorHAnsi"/>
                <w:color w:val="auto"/>
                <w:sz w:val="20"/>
              </w:rPr>
              <w:t>%</w:t>
            </w:r>
          </w:p>
        </w:tc>
        <w:tc>
          <w:tcPr>
            <w:tcW w:w="1951" w:type="dxa"/>
            <w:tcBorders>
              <w:top w:val="single" w:sz="4" w:space="0" w:color="000000"/>
              <w:left w:val="single" w:sz="4" w:space="0" w:color="000000"/>
              <w:bottom w:val="single" w:sz="4" w:space="0" w:color="000000"/>
              <w:right w:val="single" w:sz="4" w:space="0" w:color="000000"/>
            </w:tcBorders>
            <w:vAlign w:val="center"/>
          </w:tcPr>
          <w:p w:rsidR="004A46C6" w:rsidRPr="00C93C3D" w:rsidRDefault="00791A14" w:rsidP="00C01DA4">
            <w:pPr>
              <w:spacing w:line="200" w:lineRule="exact"/>
              <w:contextualSpacing/>
              <w:rPr>
                <w:rFonts w:asciiTheme="majorHAnsi" w:eastAsia="Calibri" w:hAnsiTheme="majorHAnsi" w:cstheme="majorHAnsi"/>
                <w:color w:val="auto"/>
                <w:sz w:val="20"/>
              </w:rPr>
            </w:pPr>
            <w:r w:rsidRPr="00C93C3D">
              <w:rPr>
                <w:rFonts w:asciiTheme="majorHAnsi" w:eastAsia="Calibri" w:hAnsiTheme="majorHAnsi" w:cstheme="majorHAnsi"/>
                <w:color w:val="auto"/>
                <w:sz w:val="20"/>
              </w:rPr>
              <w:t>20%</w:t>
            </w:r>
            <w:r w:rsidR="00006EFD" w:rsidRPr="00C93C3D">
              <w:rPr>
                <w:rFonts w:asciiTheme="majorHAnsi" w:eastAsia="Calibri" w:hAnsiTheme="majorHAnsi" w:cstheme="majorHAnsi"/>
                <w:color w:val="auto"/>
                <w:sz w:val="20"/>
              </w:rPr>
              <w:t xml:space="preserve"> (VA 20%)</w:t>
            </w:r>
          </w:p>
        </w:tc>
      </w:tr>
    </w:tbl>
    <w:p w:rsidR="004A46C6" w:rsidRPr="004C70E6" w:rsidRDefault="00FF22BD" w:rsidP="0069687C">
      <w:pPr>
        <w:jc w:val="both"/>
        <w:rPr>
          <w:color w:val="auto"/>
          <w:sz w:val="20"/>
        </w:rPr>
      </w:pPr>
      <w:r w:rsidRPr="00C93C3D">
        <w:rPr>
          <w:color w:val="auto"/>
          <w:sz w:val="18"/>
          <w:szCs w:val="18"/>
        </w:rPr>
        <w:t xml:space="preserve"> </w:t>
      </w:r>
      <w:r w:rsidR="00D944B5" w:rsidRPr="00C93C3D">
        <w:rPr>
          <w:color w:val="auto"/>
          <w:sz w:val="20"/>
        </w:rPr>
        <w:t>*The PEB received clarification that a minus value refers to limitation of exten</w:t>
      </w:r>
      <w:r w:rsidR="00D944B5" w:rsidRPr="004C70E6">
        <w:rPr>
          <w:color w:val="auto"/>
          <w:sz w:val="20"/>
        </w:rPr>
        <w:t>sion</w:t>
      </w:r>
      <w:r w:rsidR="00C81E0C">
        <w:rPr>
          <w:color w:val="auto"/>
          <w:sz w:val="20"/>
        </w:rPr>
        <w:t>.</w:t>
      </w:r>
    </w:p>
    <w:p w:rsidR="00980453" w:rsidRPr="00CF2800" w:rsidRDefault="00980453" w:rsidP="0069687C">
      <w:pPr>
        <w:jc w:val="both"/>
        <w:rPr>
          <w:color w:val="auto"/>
          <w:szCs w:val="24"/>
        </w:rPr>
      </w:pPr>
    </w:p>
    <w:p w:rsidR="00CF0280" w:rsidRPr="00F64312" w:rsidRDefault="00A63A05" w:rsidP="00CF0280">
      <w:pPr>
        <w:jc w:val="both"/>
        <w:rPr>
          <w:color w:val="auto"/>
          <w:szCs w:val="24"/>
        </w:rPr>
      </w:pPr>
      <w:r w:rsidRPr="00CF2800">
        <w:rPr>
          <w:color w:val="auto"/>
          <w:szCs w:val="24"/>
        </w:rPr>
        <w:t xml:space="preserve">An outpatient exam </w:t>
      </w:r>
      <w:r w:rsidR="002B3D31">
        <w:rPr>
          <w:color w:val="auto"/>
          <w:szCs w:val="24"/>
        </w:rPr>
        <w:t xml:space="preserve">performed </w:t>
      </w:r>
      <w:r w:rsidRPr="00CF2800">
        <w:rPr>
          <w:color w:val="auto"/>
          <w:szCs w:val="24"/>
        </w:rPr>
        <w:t>on 14 October 2003</w:t>
      </w:r>
      <w:r w:rsidR="002B3D31">
        <w:rPr>
          <w:color w:val="auto"/>
          <w:szCs w:val="24"/>
        </w:rPr>
        <w:t xml:space="preserve">, 7 </w:t>
      </w:r>
      <w:r w:rsidRPr="00CF2800">
        <w:rPr>
          <w:color w:val="auto"/>
          <w:szCs w:val="24"/>
        </w:rPr>
        <w:t>months prior to separation</w:t>
      </w:r>
      <w:r w:rsidR="002B3D31">
        <w:rPr>
          <w:color w:val="auto"/>
          <w:szCs w:val="24"/>
        </w:rPr>
        <w:t>,</w:t>
      </w:r>
      <w:r>
        <w:rPr>
          <w:color w:val="auto"/>
          <w:szCs w:val="24"/>
        </w:rPr>
        <w:t xml:space="preserve"> documented right knee flexion of 120</w:t>
      </w:r>
      <w:r w:rsidRPr="00A63A05">
        <w:rPr>
          <w:color w:val="auto"/>
          <w:szCs w:val="24"/>
        </w:rPr>
        <w:t>⁰</w:t>
      </w:r>
      <w:r>
        <w:rPr>
          <w:color w:val="auto"/>
          <w:szCs w:val="24"/>
        </w:rPr>
        <w:t xml:space="preserve"> and extension limited by 10</w:t>
      </w:r>
      <w:r w:rsidRPr="00A63A05">
        <w:rPr>
          <w:color w:val="auto"/>
          <w:szCs w:val="24"/>
        </w:rPr>
        <w:t>⁰</w:t>
      </w:r>
      <w:r>
        <w:rPr>
          <w:color w:val="auto"/>
          <w:szCs w:val="24"/>
        </w:rPr>
        <w:t xml:space="preserve">.  </w:t>
      </w:r>
      <w:r w:rsidR="009925ED">
        <w:rPr>
          <w:color w:val="auto"/>
          <w:szCs w:val="24"/>
        </w:rPr>
        <w:t xml:space="preserve">The MEB examiner stated the CI suffered from pain in both knees since April 2002, and that the right knee was worse than the left.  </w:t>
      </w:r>
      <w:r w:rsidR="00FF731B">
        <w:rPr>
          <w:color w:val="auto"/>
          <w:szCs w:val="24"/>
        </w:rPr>
        <w:t>The e</w:t>
      </w:r>
      <w:r w:rsidR="005843C9">
        <w:rPr>
          <w:color w:val="auto"/>
          <w:szCs w:val="24"/>
        </w:rPr>
        <w:t xml:space="preserve">xamination </w:t>
      </w:r>
      <w:r w:rsidR="002B3D31">
        <w:rPr>
          <w:color w:val="auto"/>
          <w:szCs w:val="24"/>
        </w:rPr>
        <w:t xml:space="preserve">performed </w:t>
      </w:r>
      <w:r w:rsidR="00FF731B">
        <w:rPr>
          <w:color w:val="auto"/>
          <w:szCs w:val="24"/>
        </w:rPr>
        <w:t xml:space="preserve">on </w:t>
      </w:r>
      <w:r w:rsidR="002B3D31">
        <w:rPr>
          <w:color w:val="auto"/>
          <w:szCs w:val="24"/>
        </w:rPr>
        <w:t xml:space="preserve">17 November 2003, 3 </w:t>
      </w:r>
      <w:r>
        <w:rPr>
          <w:color w:val="auto"/>
          <w:szCs w:val="24"/>
        </w:rPr>
        <w:t>months prior to separation</w:t>
      </w:r>
      <w:r w:rsidR="002B3D31">
        <w:rPr>
          <w:color w:val="auto"/>
          <w:szCs w:val="24"/>
        </w:rPr>
        <w:t>,</w:t>
      </w:r>
      <w:r>
        <w:rPr>
          <w:color w:val="auto"/>
          <w:szCs w:val="24"/>
        </w:rPr>
        <w:t xml:space="preserve"> </w:t>
      </w:r>
      <w:r w:rsidR="005843C9">
        <w:rPr>
          <w:color w:val="auto"/>
          <w:szCs w:val="24"/>
        </w:rPr>
        <w:t>showed tenderness of the right knee and bilateral crepitus.</w:t>
      </w:r>
      <w:r w:rsidR="004B4FE3">
        <w:rPr>
          <w:color w:val="auto"/>
          <w:szCs w:val="24"/>
        </w:rPr>
        <w:t xml:space="preserve">  </w:t>
      </w:r>
      <w:r w:rsidR="006F7209">
        <w:rPr>
          <w:color w:val="auto"/>
          <w:szCs w:val="24"/>
        </w:rPr>
        <w:t>T</w:t>
      </w:r>
      <w:r w:rsidR="006F7209" w:rsidRPr="00F64312">
        <w:rPr>
          <w:color w:val="auto"/>
          <w:szCs w:val="24"/>
        </w:rPr>
        <w:t xml:space="preserve">he </w:t>
      </w:r>
      <w:r w:rsidR="006F7209">
        <w:rPr>
          <w:color w:val="auto"/>
          <w:szCs w:val="24"/>
        </w:rPr>
        <w:t>NARSUM</w:t>
      </w:r>
      <w:r w:rsidR="006F7209" w:rsidRPr="00F64312">
        <w:rPr>
          <w:color w:val="auto"/>
          <w:szCs w:val="24"/>
        </w:rPr>
        <w:t xml:space="preserve"> </w:t>
      </w:r>
      <w:r w:rsidR="006F7209">
        <w:rPr>
          <w:color w:val="auto"/>
          <w:szCs w:val="24"/>
        </w:rPr>
        <w:t xml:space="preserve">physical </w:t>
      </w:r>
      <w:r w:rsidR="006F7209" w:rsidRPr="00F64312">
        <w:rPr>
          <w:color w:val="auto"/>
          <w:szCs w:val="24"/>
        </w:rPr>
        <w:t>exam</w:t>
      </w:r>
      <w:r w:rsidR="00CF2800">
        <w:rPr>
          <w:color w:val="auto"/>
          <w:szCs w:val="24"/>
        </w:rPr>
        <w:t xml:space="preserve"> </w:t>
      </w:r>
      <w:r w:rsidR="002B3D31">
        <w:rPr>
          <w:color w:val="auto"/>
          <w:szCs w:val="24"/>
        </w:rPr>
        <w:t xml:space="preserve">performed </w:t>
      </w:r>
      <w:r w:rsidR="00CF2800">
        <w:rPr>
          <w:color w:val="auto"/>
          <w:szCs w:val="24"/>
        </w:rPr>
        <w:t xml:space="preserve">on </w:t>
      </w:r>
      <w:r w:rsidR="006F7209">
        <w:rPr>
          <w:color w:val="auto"/>
          <w:szCs w:val="24"/>
        </w:rPr>
        <w:t xml:space="preserve">15 January </w:t>
      </w:r>
      <w:r w:rsidR="00B31C44">
        <w:rPr>
          <w:color w:val="auto"/>
          <w:szCs w:val="24"/>
        </w:rPr>
        <w:t>2004,</w:t>
      </w:r>
      <w:r w:rsidR="002B3D31">
        <w:rPr>
          <w:color w:val="auto"/>
          <w:szCs w:val="24"/>
        </w:rPr>
        <w:t xml:space="preserve"> 4</w:t>
      </w:r>
      <w:r w:rsidR="006F7209">
        <w:rPr>
          <w:color w:val="auto"/>
          <w:szCs w:val="24"/>
        </w:rPr>
        <w:t xml:space="preserve"> months prior to separation</w:t>
      </w:r>
      <w:r w:rsidR="002B3D31">
        <w:rPr>
          <w:color w:val="auto"/>
          <w:szCs w:val="24"/>
        </w:rPr>
        <w:t>,</w:t>
      </w:r>
      <w:r w:rsidR="006F7209">
        <w:rPr>
          <w:color w:val="auto"/>
          <w:szCs w:val="24"/>
        </w:rPr>
        <w:t xml:space="preserve"> noted no effusion or joint line tenderness of the right knee.  There was no muscular atrophy and strength was normal.  The examination was silent regarding the left knee.  X-rays showed bilateral arthritic changes.</w:t>
      </w:r>
      <w:r w:rsidR="009E5045">
        <w:rPr>
          <w:color w:val="auto"/>
          <w:szCs w:val="24"/>
        </w:rPr>
        <w:t xml:space="preserve">  The MEB physical therapist annotate</w:t>
      </w:r>
      <w:r w:rsidR="00CF2800">
        <w:rPr>
          <w:color w:val="auto"/>
          <w:szCs w:val="24"/>
        </w:rPr>
        <w:t>d</w:t>
      </w:r>
      <w:r w:rsidR="009E5045">
        <w:rPr>
          <w:color w:val="auto"/>
          <w:szCs w:val="24"/>
        </w:rPr>
        <w:t xml:space="preserve"> that the left knee condition was “significant only for pain.”</w:t>
      </w:r>
      <w:r w:rsidR="004B4FE3">
        <w:rPr>
          <w:color w:val="auto"/>
          <w:szCs w:val="24"/>
        </w:rPr>
        <w:t xml:space="preserve">  </w:t>
      </w:r>
      <w:r w:rsidR="006F7209">
        <w:rPr>
          <w:color w:val="auto"/>
          <w:szCs w:val="24"/>
        </w:rPr>
        <w:t xml:space="preserve">Post-operative orthopedic clinic notes on 26 </w:t>
      </w:r>
      <w:r w:rsidR="002B3D31">
        <w:rPr>
          <w:color w:val="auto"/>
          <w:szCs w:val="24"/>
        </w:rPr>
        <w:t>February 2003 and 11 April 2003, a</w:t>
      </w:r>
      <w:r w:rsidR="006F7209">
        <w:rPr>
          <w:color w:val="auto"/>
          <w:szCs w:val="24"/>
        </w:rPr>
        <w:t xml:space="preserve"> year prior to separation</w:t>
      </w:r>
      <w:r w:rsidR="002B3D31">
        <w:rPr>
          <w:color w:val="auto"/>
          <w:szCs w:val="24"/>
        </w:rPr>
        <w:t>,</w:t>
      </w:r>
      <w:r w:rsidR="006F7209">
        <w:rPr>
          <w:color w:val="auto"/>
          <w:szCs w:val="24"/>
        </w:rPr>
        <w:t xml:space="preserve"> indicated that knee locking and pain could be due to patellar chondromalacia.</w:t>
      </w:r>
      <w:r w:rsidR="004B4FE3">
        <w:rPr>
          <w:color w:val="auto"/>
          <w:szCs w:val="24"/>
        </w:rPr>
        <w:t xml:space="preserve">  </w:t>
      </w:r>
      <w:r w:rsidR="00CF0280" w:rsidRPr="00F64312">
        <w:rPr>
          <w:color w:val="auto"/>
          <w:szCs w:val="24"/>
        </w:rPr>
        <w:t>At the VA Compensation and Pension (C&amp;P) exam</w:t>
      </w:r>
      <w:r w:rsidR="002B3D31">
        <w:rPr>
          <w:color w:val="auto"/>
          <w:szCs w:val="24"/>
        </w:rPr>
        <w:t>, performed 5</w:t>
      </w:r>
      <w:r w:rsidR="00FF747E">
        <w:rPr>
          <w:color w:val="auto"/>
          <w:szCs w:val="24"/>
        </w:rPr>
        <w:t xml:space="preserve"> months </w:t>
      </w:r>
      <w:r w:rsidR="00ED7820" w:rsidRPr="00FF747E">
        <w:rPr>
          <w:color w:val="auto"/>
          <w:szCs w:val="24"/>
        </w:rPr>
        <w:t>after</w:t>
      </w:r>
      <w:r w:rsidR="00ED7820">
        <w:rPr>
          <w:color w:val="auto"/>
          <w:szCs w:val="24"/>
        </w:rPr>
        <w:t xml:space="preserve"> separation</w:t>
      </w:r>
      <w:r w:rsidR="00CF0280" w:rsidRPr="00F64312">
        <w:rPr>
          <w:color w:val="auto"/>
          <w:szCs w:val="24"/>
        </w:rPr>
        <w:t xml:space="preserve">, the </w:t>
      </w:r>
      <w:r w:rsidR="00FF747E">
        <w:rPr>
          <w:color w:val="auto"/>
          <w:szCs w:val="24"/>
        </w:rPr>
        <w:t>CI reported pain in the left knee on an intermittent basis</w:t>
      </w:r>
      <w:r w:rsidR="00DE0342">
        <w:rPr>
          <w:color w:val="auto"/>
          <w:szCs w:val="24"/>
        </w:rPr>
        <w:t xml:space="preserve"> without loss of motion, and confirmed that l</w:t>
      </w:r>
      <w:r w:rsidR="00FF747E">
        <w:rPr>
          <w:color w:val="auto"/>
          <w:szCs w:val="24"/>
        </w:rPr>
        <w:t>eft knee surgery was never performed.</w:t>
      </w:r>
      <w:r w:rsidR="00C50E14">
        <w:rPr>
          <w:color w:val="auto"/>
          <w:szCs w:val="24"/>
        </w:rPr>
        <w:t xml:space="preserve">  The right </w:t>
      </w:r>
      <w:r w:rsidR="00C50E14" w:rsidRPr="004B4FE3">
        <w:rPr>
          <w:color w:val="auto"/>
          <w:szCs w:val="24"/>
        </w:rPr>
        <w:t xml:space="preserve">knee would develop swelling after prolonged standing or walking, and would sometimes catch or lock.  He was not </w:t>
      </w:r>
      <w:r w:rsidR="00A92097" w:rsidRPr="004B4FE3">
        <w:rPr>
          <w:color w:val="auto"/>
          <w:szCs w:val="24"/>
        </w:rPr>
        <w:t xml:space="preserve">using </w:t>
      </w:r>
      <w:r w:rsidR="00C50E14" w:rsidRPr="004B4FE3">
        <w:rPr>
          <w:color w:val="auto"/>
          <w:szCs w:val="24"/>
        </w:rPr>
        <w:t>crutches or a cane.  Examination revealed a gait with “a lurch to the right.”  The right knee was unable to extend completely during ambulation.</w:t>
      </w:r>
      <w:r w:rsidR="00C50E14">
        <w:rPr>
          <w:color w:val="auto"/>
          <w:szCs w:val="24"/>
        </w:rPr>
        <w:t xml:space="preserve">  </w:t>
      </w:r>
      <w:r w:rsidR="002D77C0">
        <w:rPr>
          <w:color w:val="auto"/>
          <w:szCs w:val="24"/>
        </w:rPr>
        <w:t xml:space="preserve">There was no effusion, tenderness or signs of instability of either knee. </w:t>
      </w:r>
      <w:r w:rsidR="00725BD1">
        <w:rPr>
          <w:color w:val="auto"/>
          <w:szCs w:val="24"/>
        </w:rPr>
        <w:t xml:space="preserve"> The CI was observed to walk 30 yards doing ten repetitions as fast as he could</w:t>
      </w:r>
      <w:r w:rsidR="00CF2800">
        <w:rPr>
          <w:color w:val="auto"/>
          <w:szCs w:val="24"/>
        </w:rPr>
        <w:t xml:space="preserve"> and d</w:t>
      </w:r>
      <w:r w:rsidR="00725BD1">
        <w:rPr>
          <w:color w:val="auto"/>
          <w:szCs w:val="24"/>
        </w:rPr>
        <w:t xml:space="preserve">uring the last four repetitions, he lost between </w:t>
      </w:r>
      <w:r w:rsidR="002B3D31">
        <w:rPr>
          <w:color w:val="auto"/>
          <w:szCs w:val="24"/>
        </w:rPr>
        <w:t>1/2</w:t>
      </w:r>
      <w:r w:rsidR="00725BD1">
        <w:rPr>
          <w:color w:val="auto"/>
          <w:szCs w:val="24"/>
        </w:rPr>
        <w:t xml:space="preserve"> to </w:t>
      </w:r>
      <w:r w:rsidR="002B3D31">
        <w:rPr>
          <w:color w:val="auto"/>
          <w:szCs w:val="24"/>
        </w:rPr>
        <w:t>a</w:t>
      </w:r>
      <w:r w:rsidR="00725BD1">
        <w:rPr>
          <w:color w:val="auto"/>
          <w:szCs w:val="24"/>
        </w:rPr>
        <w:t xml:space="preserve"> second in time, and there was a slight increase in the “lurching.”</w:t>
      </w:r>
      <w:r w:rsidR="002F3D6B">
        <w:rPr>
          <w:color w:val="auto"/>
          <w:szCs w:val="24"/>
        </w:rPr>
        <w:t xml:space="preserve">  </w:t>
      </w:r>
      <w:r w:rsidR="00C807D4" w:rsidRPr="007D04DD">
        <w:rPr>
          <w:rFonts w:cs="Times New Roman"/>
          <w:color w:val="auto"/>
        </w:rPr>
        <w:t xml:space="preserve">The </w:t>
      </w:r>
      <w:r w:rsidR="00C807D4">
        <w:rPr>
          <w:rFonts w:cs="Times New Roman"/>
          <w:color w:val="auto"/>
        </w:rPr>
        <w:t xml:space="preserve">VA rated this exam as a </w:t>
      </w:r>
      <w:r w:rsidR="00C807D4" w:rsidRPr="007D04DD">
        <w:rPr>
          <w:rFonts w:cs="Times New Roman"/>
          <w:color w:val="auto"/>
        </w:rPr>
        <w:t>left knee 0% rating due to lack of evidence of painful or limited motion</w:t>
      </w:r>
      <w:r w:rsidR="00C807D4">
        <w:rPr>
          <w:rFonts w:cs="Times New Roman"/>
          <w:color w:val="auto"/>
        </w:rPr>
        <w:t>, and right knee 20% with consideration of DeLuca (additional pain and fatigability/coordination on repetition)</w:t>
      </w:r>
      <w:r w:rsidR="00C807D4" w:rsidRPr="007D04DD">
        <w:rPr>
          <w:rFonts w:cs="Times New Roman"/>
          <w:color w:val="auto"/>
        </w:rPr>
        <w:t>.</w:t>
      </w:r>
      <w:r w:rsidR="00C807D4">
        <w:rPr>
          <w:rFonts w:cs="Times New Roman"/>
          <w:color w:val="auto"/>
        </w:rPr>
        <w:t xml:space="preserve">  </w:t>
      </w:r>
    </w:p>
    <w:p w:rsidR="00CF0280" w:rsidRPr="00F64312" w:rsidRDefault="00CF0280" w:rsidP="0069687C">
      <w:pPr>
        <w:jc w:val="both"/>
        <w:rPr>
          <w:color w:val="auto"/>
          <w:szCs w:val="24"/>
        </w:rPr>
      </w:pPr>
    </w:p>
    <w:p w:rsidR="00EA0702" w:rsidRPr="00F64312" w:rsidRDefault="00AD2379" w:rsidP="00EA0702">
      <w:pPr>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7F1A86" w:rsidRPr="007F1A86">
        <w:rPr>
          <w:rFonts w:cs="Times New Roman"/>
          <w:color w:val="auto"/>
        </w:rPr>
        <w:t xml:space="preserve">The PEB </w:t>
      </w:r>
      <w:r w:rsidR="007F1A86" w:rsidRPr="006C4461">
        <w:rPr>
          <w:rFonts w:cs="Times New Roman"/>
          <w:color w:val="auto"/>
        </w:rPr>
        <w:t>cited the physical exam as being non-contributory to the</w:t>
      </w:r>
      <w:r w:rsidR="00006EFD" w:rsidRPr="006C4461">
        <w:rPr>
          <w:rFonts w:cs="Times New Roman"/>
          <w:color w:val="auto"/>
        </w:rPr>
        <w:t>ir</w:t>
      </w:r>
      <w:r w:rsidR="007F1A86" w:rsidRPr="006C4461">
        <w:rPr>
          <w:rFonts w:cs="Times New Roman"/>
          <w:color w:val="auto"/>
        </w:rPr>
        <w:t xml:space="preserve"> </w:t>
      </w:r>
      <w:r w:rsidR="00915A1E" w:rsidRPr="006C4461">
        <w:rPr>
          <w:rFonts w:cs="Times New Roman"/>
          <w:color w:val="auto"/>
        </w:rPr>
        <w:t>10</w:t>
      </w:r>
      <w:r w:rsidR="00915A1E" w:rsidRPr="001D55CE">
        <w:rPr>
          <w:rFonts w:cs="Times New Roman"/>
          <w:color w:val="auto"/>
        </w:rPr>
        <w:t xml:space="preserve">% </w:t>
      </w:r>
      <w:r w:rsidR="007F1A86" w:rsidRPr="001D55CE">
        <w:rPr>
          <w:rFonts w:cs="Times New Roman"/>
          <w:color w:val="auto"/>
        </w:rPr>
        <w:t>rating</w:t>
      </w:r>
      <w:r w:rsidR="00EA0702" w:rsidRPr="001D55CE">
        <w:rPr>
          <w:rFonts w:cs="Times New Roman"/>
          <w:color w:val="auto"/>
        </w:rPr>
        <w:t>, reflecting likely application of the USAPDA pain policy</w:t>
      </w:r>
      <w:r w:rsidR="007F1A86" w:rsidRPr="001D55CE">
        <w:rPr>
          <w:rFonts w:cs="Times New Roman"/>
          <w:color w:val="auto"/>
        </w:rPr>
        <w:t xml:space="preserve">.  </w:t>
      </w:r>
      <w:r w:rsidR="00915A1E" w:rsidRPr="001D55CE">
        <w:rPr>
          <w:rFonts w:cs="Times New Roman"/>
          <w:color w:val="auto"/>
        </w:rPr>
        <w:t>The VA rate</w:t>
      </w:r>
      <w:r w:rsidR="00915A1E">
        <w:rPr>
          <w:rFonts w:cs="Times New Roman"/>
          <w:color w:val="auto"/>
        </w:rPr>
        <w:t xml:space="preserve">d each knee separately under the 5010 code (post-traumatic arthritis).  </w:t>
      </w:r>
      <w:r w:rsidR="00363E21" w:rsidRPr="00FF3E59">
        <w:rPr>
          <w:rFonts w:cs="Times New Roman"/>
          <w:color w:val="auto"/>
        </w:rPr>
        <w:t xml:space="preserve">The </w:t>
      </w:r>
      <w:r w:rsidR="0039223A" w:rsidRPr="00FF3E59">
        <w:rPr>
          <w:rFonts w:cs="Times New Roman"/>
          <w:color w:val="auto"/>
        </w:rPr>
        <w:t xml:space="preserve">Board further considered that </w:t>
      </w:r>
      <w:r w:rsidR="00314CAE" w:rsidRPr="00FF3E59">
        <w:rPr>
          <w:rFonts w:cs="Times New Roman"/>
          <w:color w:val="auto"/>
        </w:rPr>
        <w:t xml:space="preserve">there appeared to be some post-separation improvement as </w:t>
      </w:r>
      <w:r w:rsidR="0039223A" w:rsidRPr="00FF3E59">
        <w:rPr>
          <w:rFonts w:cs="Times New Roman"/>
          <w:color w:val="auto"/>
        </w:rPr>
        <w:t xml:space="preserve">the </w:t>
      </w:r>
      <w:r w:rsidR="00363E21" w:rsidRPr="00FF3E59">
        <w:rPr>
          <w:rFonts w:cs="Times New Roman"/>
          <w:color w:val="auto"/>
        </w:rPr>
        <w:t xml:space="preserve">ROM exam showed </w:t>
      </w:r>
      <w:r w:rsidR="00C807D4" w:rsidRPr="00FF3E59">
        <w:rPr>
          <w:rFonts w:cs="Times New Roman"/>
          <w:color w:val="auto"/>
        </w:rPr>
        <w:t>pain-limited f</w:t>
      </w:r>
      <w:r w:rsidR="00363E21" w:rsidRPr="00FF3E59">
        <w:rPr>
          <w:rFonts w:cs="Times New Roman"/>
          <w:color w:val="auto"/>
        </w:rPr>
        <w:t xml:space="preserve">lexion </w:t>
      </w:r>
      <w:r w:rsidR="00314CAE" w:rsidRPr="00FF3E59">
        <w:rPr>
          <w:rFonts w:cs="Times New Roman"/>
          <w:color w:val="auto"/>
        </w:rPr>
        <w:t xml:space="preserve">and extension </w:t>
      </w:r>
      <w:r w:rsidR="00363E21" w:rsidRPr="00FF3E59">
        <w:rPr>
          <w:rFonts w:cs="Times New Roman"/>
          <w:color w:val="auto"/>
        </w:rPr>
        <w:t xml:space="preserve">of each </w:t>
      </w:r>
      <w:r w:rsidR="00363E21" w:rsidRPr="00FF3E59">
        <w:rPr>
          <w:rFonts w:cs="Times New Roman"/>
          <w:color w:val="auto"/>
        </w:rPr>
        <w:lastRenderedPageBreak/>
        <w:t xml:space="preserve">knee, while the VA exam showed </w:t>
      </w:r>
      <w:r w:rsidR="00314CAE" w:rsidRPr="00FF3E59">
        <w:rPr>
          <w:rFonts w:cs="Times New Roman"/>
          <w:color w:val="auto"/>
        </w:rPr>
        <w:t xml:space="preserve">increased ROMs with minimal pain-limited extension of the right knee and </w:t>
      </w:r>
      <w:r w:rsidR="00363E21" w:rsidRPr="00FF3E59">
        <w:rPr>
          <w:rFonts w:cs="Times New Roman"/>
          <w:color w:val="auto"/>
        </w:rPr>
        <w:t xml:space="preserve">normal </w:t>
      </w:r>
      <w:r w:rsidR="00314CAE" w:rsidRPr="00FF3E59">
        <w:rPr>
          <w:rFonts w:cs="Times New Roman"/>
          <w:color w:val="auto"/>
        </w:rPr>
        <w:t>(pain-free) ROM of the left knee</w:t>
      </w:r>
      <w:r w:rsidR="00363E21" w:rsidRPr="00FF3E59">
        <w:rPr>
          <w:rFonts w:cs="Times New Roman"/>
          <w:color w:val="auto"/>
        </w:rPr>
        <w:t xml:space="preserve">.  </w:t>
      </w:r>
      <w:r w:rsidR="00314CAE" w:rsidRPr="00FF3E59">
        <w:rPr>
          <w:rFonts w:cs="Times New Roman"/>
          <w:color w:val="auto"/>
        </w:rPr>
        <w:t xml:space="preserve">Board members agreed that the </w:t>
      </w:r>
      <w:r w:rsidR="002B3D31">
        <w:rPr>
          <w:rFonts w:cs="Times New Roman"/>
          <w:color w:val="auto"/>
        </w:rPr>
        <w:t xml:space="preserve">service </w:t>
      </w:r>
      <w:r w:rsidR="00314CAE" w:rsidRPr="00FF3E59">
        <w:rPr>
          <w:rFonts w:cs="Times New Roman"/>
          <w:color w:val="auto"/>
        </w:rPr>
        <w:t>exam was closer to the date of separation, provided greater detail and internal consistency, and was therefore assigned higher probative value for rating at separation.</w:t>
      </w:r>
      <w:r w:rsidR="00FF3E59">
        <w:rPr>
          <w:rFonts w:cs="Times New Roman"/>
          <w:color w:val="auto"/>
        </w:rPr>
        <w:t xml:space="preserve">  </w:t>
      </w:r>
      <w:r w:rsidR="00314CAE" w:rsidRPr="00FF3E59">
        <w:rPr>
          <w:rFonts w:cs="Times New Roman"/>
          <w:color w:val="auto"/>
        </w:rPr>
        <w:t xml:space="preserve">Regarding the right knee osteoarthritis, there was a preponderance of evidence that it was unfitting.  </w:t>
      </w:r>
      <w:r w:rsidR="000F215C" w:rsidRPr="00FF3E59">
        <w:rPr>
          <w:rFonts w:cs="Times New Roman"/>
          <w:color w:val="auto"/>
        </w:rPr>
        <w:t xml:space="preserve">This </w:t>
      </w:r>
      <w:r w:rsidR="001D55CE" w:rsidRPr="00FF3E59">
        <w:rPr>
          <w:rFonts w:cs="Times New Roman"/>
          <w:color w:val="auto"/>
        </w:rPr>
        <w:t xml:space="preserve">service </w:t>
      </w:r>
      <w:r w:rsidR="000F215C" w:rsidRPr="00FF3E59">
        <w:rPr>
          <w:rFonts w:cs="Times New Roman"/>
          <w:color w:val="auto"/>
        </w:rPr>
        <w:t xml:space="preserve">exam </w:t>
      </w:r>
      <w:r w:rsidR="00BF774D" w:rsidRPr="00FF3E59">
        <w:rPr>
          <w:rFonts w:cs="Times New Roman"/>
          <w:color w:val="auto"/>
        </w:rPr>
        <w:t>indicate</w:t>
      </w:r>
      <w:r w:rsidR="001D55CE" w:rsidRPr="00FF3E59">
        <w:rPr>
          <w:rFonts w:cs="Times New Roman"/>
          <w:color w:val="auto"/>
        </w:rPr>
        <w:t>d</w:t>
      </w:r>
      <w:r w:rsidR="00BF774D" w:rsidRPr="00FF3E59">
        <w:rPr>
          <w:rFonts w:cs="Times New Roman"/>
          <w:color w:val="auto"/>
        </w:rPr>
        <w:t xml:space="preserve"> the CI had a limitation of extension of the right knee </w:t>
      </w:r>
      <w:r w:rsidR="00260856" w:rsidRPr="00FF3E59">
        <w:rPr>
          <w:rFonts w:cs="Times New Roman"/>
          <w:color w:val="auto"/>
        </w:rPr>
        <w:t xml:space="preserve">of </w:t>
      </w:r>
      <w:r w:rsidR="007D491F" w:rsidRPr="00FF3E59">
        <w:rPr>
          <w:rFonts w:cs="Times New Roman"/>
          <w:color w:val="auto"/>
        </w:rPr>
        <w:t xml:space="preserve">at least </w:t>
      </w:r>
      <w:r w:rsidR="00BF774D" w:rsidRPr="00FF3E59">
        <w:rPr>
          <w:rFonts w:cs="Times New Roman"/>
          <w:color w:val="auto"/>
        </w:rPr>
        <w:t>15⁰</w:t>
      </w:r>
      <w:r w:rsidR="001579BC" w:rsidRPr="00FF3E59">
        <w:rPr>
          <w:rFonts w:cs="Times New Roman"/>
          <w:color w:val="auto"/>
        </w:rPr>
        <w:t>, which</w:t>
      </w:r>
      <w:r w:rsidR="00BF774D" w:rsidRPr="00FF3E59">
        <w:rPr>
          <w:rFonts w:cs="Times New Roman"/>
          <w:color w:val="auto"/>
        </w:rPr>
        <w:t xml:space="preserve"> supports a 20% rating under the 5261 code.</w:t>
      </w:r>
      <w:r w:rsidR="004B4FE3" w:rsidRPr="00FF3E59">
        <w:rPr>
          <w:rFonts w:cs="Times New Roman"/>
          <w:color w:val="auto"/>
        </w:rPr>
        <w:t xml:space="preserve">  </w:t>
      </w:r>
      <w:r w:rsidR="00CB61E5" w:rsidRPr="00FF3E59">
        <w:rPr>
          <w:rFonts w:cs="Times New Roman"/>
          <w:color w:val="auto"/>
        </w:rPr>
        <w:t>T</w:t>
      </w:r>
      <w:r w:rsidR="007F1A86" w:rsidRPr="00FF3E59">
        <w:rPr>
          <w:rFonts w:cs="Times New Roman"/>
          <w:color w:val="auto"/>
        </w:rPr>
        <w:t xml:space="preserve">he Board also </w:t>
      </w:r>
      <w:r w:rsidR="001D55CE" w:rsidRPr="00FF3E59">
        <w:rPr>
          <w:rFonts w:cs="Times New Roman"/>
          <w:color w:val="auto"/>
        </w:rPr>
        <w:t xml:space="preserve">considered </w:t>
      </w:r>
      <w:r w:rsidR="007F1A86" w:rsidRPr="00FF3E59">
        <w:rPr>
          <w:rFonts w:cs="Times New Roman"/>
          <w:color w:val="auto"/>
        </w:rPr>
        <w:t xml:space="preserve">rating </w:t>
      </w:r>
      <w:r w:rsidR="002F519F" w:rsidRPr="00FF3E59">
        <w:rPr>
          <w:rFonts w:cs="Times New Roman"/>
          <w:color w:val="auto"/>
        </w:rPr>
        <w:t xml:space="preserve">the right knee </w:t>
      </w:r>
      <w:r w:rsidR="007F1A86" w:rsidRPr="00FF3E59">
        <w:rPr>
          <w:rFonts w:cs="Times New Roman"/>
          <w:color w:val="auto"/>
        </w:rPr>
        <w:t>under the 5258 code (</w:t>
      </w:r>
      <w:r w:rsidR="00C807D4" w:rsidRPr="00FF3E59">
        <w:rPr>
          <w:rFonts w:cs="Times New Roman"/>
          <w:color w:val="auto"/>
        </w:rPr>
        <w:t>dislocated semilunar cartilage)</w:t>
      </w:r>
      <w:r w:rsidR="002B3D31">
        <w:rPr>
          <w:rFonts w:cs="Times New Roman"/>
          <w:color w:val="auto"/>
        </w:rPr>
        <w:t>;</w:t>
      </w:r>
      <w:r w:rsidR="007F1A86" w:rsidRPr="00FF3E59">
        <w:rPr>
          <w:rFonts w:cs="Times New Roman"/>
          <w:color w:val="auto"/>
        </w:rPr>
        <w:t xml:space="preserve"> </w:t>
      </w:r>
      <w:r w:rsidR="00C807D4" w:rsidRPr="00FF3E59">
        <w:rPr>
          <w:rFonts w:cs="Times New Roman"/>
          <w:color w:val="auto"/>
        </w:rPr>
        <w:t>h</w:t>
      </w:r>
      <w:r w:rsidR="007F1A86" w:rsidRPr="00FF3E59">
        <w:rPr>
          <w:rFonts w:cs="Times New Roman"/>
          <w:color w:val="auto"/>
        </w:rPr>
        <w:t xml:space="preserve">owever, </w:t>
      </w:r>
      <w:r w:rsidR="00CB61E5" w:rsidRPr="00FF3E59">
        <w:rPr>
          <w:rFonts w:cs="Times New Roman"/>
          <w:color w:val="auto"/>
        </w:rPr>
        <w:t xml:space="preserve">meniscal </w:t>
      </w:r>
      <w:r w:rsidR="00C807D4" w:rsidRPr="00FF3E59">
        <w:rPr>
          <w:rFonts w:cs="Times New Roman"/>
          <w:color w:val="auto"/>
        </w:rPr>
        <w:t xml:space="preserve">coding includes painful motion so dual coding </w:t>
      </w:r>
      <w:r w:rsidR="001D55CE" w:rsidRPr="00FF3E59">
        <w:rPr>
          <w:rFonts w:cs="Times New Roman"/>
          <w:color w:val="auto"/>
        </w:rPr>
        <w:t xml:space="preserve">with 5261 </w:t>
      </w:r>
      <w:r w:rsidR="00C807D4" w:rsidRPr="00FF3E59">
        <w:rPr>
          <w:rFonts w:cs="Times New Roman"/>
          <w:color w:val="auto"/>
        </w:rPr>
        <w:t>was not supported</w:t>
      </w:r>
      <w:r w:rsidR="001D55CE" w:rsidRPr="00FF3E59">
        <w:rPr>
          <w:rFonts w:cs="Times New Roman"/>
          <w:color w:val="auto"/>
        </w:rPr>
        <w:t xml:space="preserve">, and alternate meniscal coding would not rate higher than 20% and was less well supported by the record.  </w:t>
      </w:r>
      <w:r w:rsidR="00EA0702" w:rsidRPr="00FF3E59">
        <w:rPr>
          <w:rFonts w:eastAsia="Calibri" w:cs="Times New Roman"/>
          <w:color w:val="auto"/>
          <w:szCs w:val="24"/>
        </w:rPr>
        <w:t xml:space="preserve">After due deliberation, considering all of the evidence and mindful of VASRD §4.3 (reasonable doubt), the Board recommends a disability rating of 20% for the </w:t>
      </w:r>
      <w:r w:rsidR="00844840" w:rsidRPr="00FF3E59">
        <w:rPr>
          <w:rFonts w:eastAsia="Calibri" w:cs="Times New Roman"/>
          <w:color w:val="auto"/>
          <w:szCs w:val="24"/>
        </w:rPr>
        <w:t>right knee osteoarthritis</w:t>
      </w:r>
      <w:r w:rsidR="00E32912" w:rsidRPr="00FF3E59">
        <w:rPr>
          <w:rFonts w:eastAsia="Calibri" w:cs="Times New Roman"/>
          <w:color w:val="auto"/>
          <w:szCs w:val="24"/>
        </w:rPr>
        <w:t xml:space="preserve"> condition, coded 5010-5261.</w:t>
      </w:r>
      <w:r w:rsidR="00EA0702" w:rsidRPr="00F64312">
        <w:rPr>
          <w:rFonts w:eastAsia="Calibri" w:cs="Times New Roman"/>
          <w:color w:val="auto"/>
          <w:szCs w:val="24"/>
        </w:rPr>
        <w:t xml:space="preserve"> </w:t>
      </w:r>
      <w:r w:rsidR="001D55CE">
        <w:rPr>
          <w:rFonts w:eastAsia="Calibri" w:cs="Times New Roman"/>
          <w:color w:val="auto"/>
          <w:szCs w:val="24"/>
        </w:rPr>
        <w:t xml:space="preserve"> </w:t>
      </w:r>
    </w:p>
    <w:p w:rsidR="00B632B1" w:rsidRDefault="00B632B1" w:rsidP="004267D5">
      <w:pPr>
        <w:tabs>
          <w:tab w:val="left" w:pos="288"/>
          <w:tab w:val="left" w:pos="4752"/>
        </w:tabs>
        <w:jc w:val="both"/>
        <w:rPr>
          <w:rFonts w:cs="Times New Roman"/>
          <w:color w:val="auto"/>
          <w:sz w:val="20"/>
        </w:rPr>
      </w:pPr>
    </w:p>
    <w:p w:rsidR="005F2A7E" w:rsidRPr="004267D5" w:rsidRDefault="00187BC6" w:rsidP="005F2A7E">
      <w:pPr>
        <w:tabs>
          <w:tab w:val="left" w:pos="288"/>
          <w:tab w:val="left" w:pos="4752"/>
        </w:tabs>
        <w:jc w:val="both"/>
        <w:rPr>
          <w:rFonts w:cs="Times New Roman"/>
          <w:color w:val="auto"/>
        </w:rPr>
      </w:pPr>
      <w:r w:rsidRPr="004C70E6">
        <w:rPr>
          <w:rFonts w:cs="Times New Roman"/>
          <w:color w:val="auto"/>
        </w:rPr>
        <w:t>Next, t</w:t>
      </w:r>
      <w:r w:rsidR="004267D5" w:rsidRPr="004C70E6">
        <w:rPr>
          <w:rFonts w:cs="Times New Roman"/>
          <w:color w:val="auto"/>
        </w:rPr>
        <w:t xml:space="preserve">he Board turned its attention to the left knee.  </w:t>
      </w:r>
      <w:r w:rsidR="004B4FE3" w:rsidRPr="004C70E6">
        <w:rPr>
          <w:color w:val="auto"/>
          <w:szCs w:val="24"/>
        </w:rPr>
        <w:t>As previously elaborated, the Board must first consider whether left knee osteoarthritis remains separately unfitting, having de-coupled it from a combined PEB adjudication.  In analyzing the intrinsic impairment for appropriately coding and rating the left knee condition, the Board is left with a questionable basis for arguing that left knee arthritis was indeed independently unfitting.</w:t>
      </w:r>
      <w:r w:rsidR="00EA0702" w:rsidRPr="004C70E6">
        <w:rPr>
          <w:color w:val="auto"/>
          <w:szCs w:val="24"/>
        </w:rPr>
        <w:t xml:space="preserve"> </w:t>
      </w:r>
      <w:r w:rsidR="004B4FE3" w:rsidRPr="004C70E6">
        <w:rPr>
          <w:color w:val="auto"/>
          <w:szCs w:val="24"/>
        </w:rPr>
        <w:t xml:space="preserve"> </w:t>
      </w:r>
      <w:r w:rsidR="004267D5" w:rsidRPr="004C70E6">
        <w:rPr>
          <w:rFonts w:cs="Times New Roman"/>
          <w:color w:val="auto"/>
        </w:rPr>
        <w:t xml:space="preserve">There was little information </w:t>
      </w:r>
      <w:r w:rsidR="00626063" w:rsidRPr="004C70E6">
        <w:rPr>
          <w:rFonts w:cs="Times New Roman"/>
          <w:color w:val="auto"/>
        </w:rPr>
        <w:t xml:space="preserve">about the left knee </w:t>
      </w:r>
      <w:r w:rsidR="004267D5" w:rsidRPr="004C70E6">
        <w:rPr>
          <w:rFonts w:cs="Times New Roman"/>
          <w:color w:val="auto"/>
        </w:rPr>
        <w:t xml:space="preserve">in the clinical record, and neither the NARSUM </w:t>
      </w:r>
      <w:r w:rsidR="00626063" w:rsidRPr="004C70E6">
        <w:rPr>
          <w:rFonts w:cs="Times New Roman"/>
          <w:color w:val="auto"/>
        </w:rPr>
        <w:t>n</w:t>
      </w:r>
      <w:r w:rsidR="004267D5" w:rsidRPr="004C70E6">
        <w:rPr>
          <w:rFonts w:cs="Times New Roman"/>
          <w:color w:val="auto"/>
        </w:rPr>
        <w:t xml:space="preserve">or </w:t>
      </w:r>
      <w:r w:rsidR="00626063" w:rsidRPr="004C70E6">
        <w:rPr>
          <w:rFonts w:cs="Times New Roman"/>
          <w:color w:val="auto"/>
        </w:rPr>
        <w:t xml:space="preserve">the </w:t>
      </w:r>
      <w:r w:rsidR="004267D5" w:rsidRPr="004C70E6">
        <w:rPr>
          <w:rFonts w:cs="Times New Roman"/>
          <w:color w:val="auto"/>
        </w:rPr>
        <w:t xml:space="preserve">C&amp;P examiners </w:t>
      </w:r>
      <w:r w:rsidR="00626063" w:rsidRPr="004C70E6">
        <w:rPr>
          <w:rFonts w:cs="Times New Roman"/>
          <w:color w:val="auto"/>
        </w:rPr>
        <w:t>provided much detail about it.</w:t>
      </w:r>
      <w:r w:rsidR="004267D5" w:rsidRPr="004C70E6">
        <w:rPr>
          <w:rFonts w:cs="Times New Roman"/>
          <w:color w:val="auto"/>
        </w:rPr>
        <w:t xml:space="preserve"> </w:t>
      </w:r>
      <w:r w:rsidR="00626063" w:rsidRPr="004C70E6">
        <w:rPr>
          <w:rFonts w:cs="Times New Roman"/>
          <w:color w:val="auto"/>
        </w:rPr>
        <w:t xml:space="preserve"> It is clear that the pain was intermittent and much less problematic than the right knee.</w:t>
      </w:r>
      <w:r w:rsidR="00D03F00" w:rsidRPr="004C70E6">
        <w:rPr>
          <w:rFonts w:cs="Times New Roman"/>
          <w:color w:val="auto"/>
        </w:rPr>
        <w:t xml:space="preserve">  </w:t>
      </w:r>
      <w:r w:rsidR="00DB0A64" w:rsidRPr="004C70E6">
        <w:rPr>
          <w:rFonts w:cs="Times New Roman"/>
          <w:color w:val="auto"/>
        </w:rPr>
        <w:t>Although there</w:t>
      </w:r>
      <w:r w:rsidR="00D03F00" w:rsidRPr="004C70E6">
        <w:rPr>
          <w:rFonts w:cs="Times New Roman"/>
          <w:color w:val="auto"/>
        </w:rPr>
        <w:t xml:space="preserve"> was </w:t>
      </w:r>
      <w:r w:rsidR="002B3D31">
        <w:rPr>
          <w:rFonts w:cs="Times New Roman"/>
          <w:color w:val="auto"/>
        </w:rPr>
        <w:t>X</w:t>
      </w:r>
      <w:r w:rsidR="00D03F00" w:rsidRPr="004C70E6">
        <w:rPr>
          <w:rFonts w:cs="Times New Roman"/>
          <w:color w:val="auto"/>
        </w:rPr>
        <w:t xml:space="preserve">-ray evidence of </w:t>
      </w:r>
      <w:r w:rsidR="00DB0A64" w:rsidRPr="004C70E6">
        <w:rPr>
          <w:rFonts w:cs="Times New Roman"/>
          <w:color w:val="auto"/>
        </w:rPr>
        <w:t xml:space="preserve">left knee </w:t>
      </w:r>
      <w:r w:rsidR="00D03F00" w:rsidRPr="004C70E6">
        <w:rPr>
          <w:rFonts w:cs="Times New Roman"/>
          <w:color w:val="auto"/>
        </w:rPr>
        <w:t>arthritis</w:t>
      </w:r>
      <w:r w:rsidR="00DB0A64" w:rsidRPr="004C70E6">
        <w:rPr>
          <w:rFonts w:cs="Times New Roman"/>
          <w:color w:val="auto"/>
        </w:rPr>
        <w:t>,</w:t>
      </w:r>
      <w:r w:rsidR="00D03F00" w:rsidRPr="004C70E6">
        <w:rPr>
          <w:rFonts w:cs="Times New Roman"/>
          <w:color w:val="auto"/>
        </w:rPr>
        <w:t xml:space="preserve"> </w:t>
      </w:r>
      <w:r w:rsidR="00DB0A64" w:rsidRPr="004C70E6">
        <w:rPr>
          <w:rFonts w:cs="Times New Roman"/>
          <w:color w:val="auto"/>
        </w:rPr>
        <w:t>e</w:t>
      </w:r>
      <w:r w:rsidR="00D03F00" w:rsidRPr="004C70E6">
        <w:rPr>
          <w:rFonts w:cs="Times New Roman"/>
          <w:color w:val="auto"/>
        </w:rPr>
        <w:t>xaminers were silent about any objective evidence of left knee pain</w:t>
      </w:r>
      <w:r w:rsidR="00DB0A64" w:rsidRPr="004C70E6">
        <w:rPr>
          <w:rFonts w:cs="Times New Roman"/>
          <w:color w:val="auto"/>
        </w:rPr>
        <w:t>.  The</w:t>
      </w:r>
      <w:r w:rsidR="00D03F00" w:rsidRPr="004C70E6">
        <w:rPr>
          <w:rFonts w:cs="Times New Roman"/>
          <w:color w:val="auto"/>
        </w:rPr>
        <w:t xml:space="preserve"> VA examiner did report</w:t>
      </w:r>
      <w:r w:rsidR="00DB0A64" w:rsidRPr="004C70E6">
        <w:rPr>
          <w:rFonts w:cs="Times New Roman"/>
          <w:color w:val="auto"/>
        </w:rPr>
        <w:t xml:space="preserve"> the absence of tenderness, while the</w:t>
      </w:r>
      <w:r w:rsidR="00626063" w:rsidRPr="004C70E6">
        <w:rPr>
          <w:rFonts w:cs="Times New Roman"/>
          <w:color w:val="auto"/>
        </w:rPr>
        <w:t xml:space="preserve"> MEB examiner annotate</w:t>
      </w:r>
      <w:r w:rsidR="00DB0A64" w:rsidRPr="004C70E6">
        <w:rPr>
          <w:rFonts w:cs="Times New Roman"/>
          <w:color w:val="auto"/>
        </w:rPr>
        <w:t>d</w:t>
      </w:r>
      <w:r w:rsidR="00626063" w:rsidRPr="004C70E6">
        <w:rPr>
          <w:rFonts w:cs="Times New Roman"/>
          <w:color w:val="auto"/>
        </w:rPr>
        <w:t xml:space="preserve"> bilateral crepitus,</w:t>
      </w:r>
      <w:r w:rsidRPr="004C70E6">
        <w:rPr>
          <w:rFonts w:cs="Times New Roman"/>
          <w:color w:val="auto"/>
        </w:rPr>
        <w:t xml:space="preserve"> but </w:t>
      </w:r>
      <w:r w:rsidR="00DB0A64" w:rsidRPr="004C70E6">
        <w:rPr>
          <w:rFonts w:cs="Times New Roman"/>
          <w:color w:val="auto"/>
        </w:rPr>
        <w:t>did not mention if there was</w:t>
      </w:r>
      <w:r w:rsidRPr="004C70E6">
        <w:rPr>
          <w:rFonts w:cs="Times New Roman"/>
          <w:color w:val="auto"/>
        </w:rPr>
        <w:t xml:space="preserve"> associated </w:t>
      </w:r>
      <w:r w:rsidR="00553849" w:rsidRPr="004C70E6">
        <w:rPr>
          <w:rFonts w:cs="Times New Roman"/>
          <w:color w:val="auto"/>
        </w:rPr>
        <w:t xml:space="preserve">pain.  </w:t>
      </w:r>
      <w:r w:rsidR="009E5045" w:rsidRPr="004C70E6">
        <w:rPr>
          <w:rFonts w:cs="Times New Roman"/>
          <w:color w:val="auto"/>
        </w:rPr>
        <w:t>The MEB physical therapist however did report pain, and ROM measurements document</w:t>
      </w:r>
      <w:r w:rsidR="000F215C" w:rsidRPr="004C70E6">
        <w:rPr>
          <w:rFonts w:cs="Times New Roman"/>
          <w:color w:val="auto"/>
        </w:rPr>
        <w:t>ed</w:t>
      </w:r>
      <w:r w:rsidR="009E5045" w:rsidRPr="004C70E6">
        <w:rPr>
          <w:rFonts w:cs="Times New Roman"/>
          <w:color w:val="auto"/>
        </w:rPr>
        <w:t xml:space="preserve"> </w:t>
      </w:r>
      <w:r w:rsidR="00C81E0C">
        <w:rPr>
          <w:rFonts w:cs="Times New Roman"/>
          <w:color w:val="auto"/>
        </w:rPr>
        <w:t xml:space="preserve">slightly </w:t>
      </w:r>
      <w:r w:rsidR="009E5045" w:rsidRPr="004C70E6">
        <w:rPr>
          <w:rFonts w:cs="Times New Roman"/>
          <w:color w:val="auto"/>
        </w:rPr>
        <w:t xml:space="preserve">diminished flexion.  </w:t>
      </w:r>
      <w:r w:rsidR="004F5145" w:rsidRPr="004C70E6">
        <w:rPr>
          <w:rFonts w:cs="Times New Roman"/>
          <w:color w:val="auto"/>
        </w:rPr>
        <w:t>The VA assigned a 0% rating based on normal ROM and lack of evidence of painful motion</w:t>
      </w:r>
      <w:r w:rsidR="009E5045" w:rsidRPr="004C70E6">
        <w:rPr>
          <w:rFonts w:cs="Times New Roman"/>
          <w:color w:val="auto"/>
        </w:rPr>
        <w:t xml:space="preserve"> at the C&amp;P exam</w:t>
      </w:r>
      <w:r w:rsidR="004F5145" w:rsidRPr="004C70E6">
        <w:rPr>
          <w:rFonts w:cs="Times New Roman"/>
          <w:color w:val="auto"/>
        </w:rPr>
        <w:t xml:space="preserve">.  </w:t>
      </w:r>
      <w:r w:rsidR="00EA0702" w:rsidRPr="004C70E6">
        <w:rPr>
          <w:color w:val="auto"/>
          <w:szCs w:val="24"/>
        </w:rPr>
        <w:t xml:space="preserve">After due deliberation, the </w:t>
      </w:r>
      <w:r w:rsidR="00EA0702" w:rsidRPr="00FF3E59">
        <w:rPr>
          <w:color w:val="auto"/>
          <w:szCs w:val="24"/>
        </w:rPr>
        <w:t xml:space="preserve">Board </w:t>
      </w:r>
      <w:r w:rsidR="00314CAE" w:rsidRPr="00FF3E59">
        <w:rPr>
          <w:color w:val="auto"/>
          <w:szCs w:val="24"/>
        </w:rPr>
        <w:t xml:space="preserve">majority </w:t>
      </w:r>
      <w:r w:rsidR="00EA0702" w:rsidRPr="00FF3E59">
        <w:rPr>
          <w:color w:val="auto"/>
          <w:szCs w:val="24"/>
        </w:rPr>
        <w:t>agreed</w:t>
      </w:r>
      <w:r w:rsidR="00EA0702" w:rsidRPr="004C70E6">
        <w:rPr>
          <w:color w:val="auto"/>
          <w:szCs w:val="24"/>
        </w:rPr>
        <w:t xml:space="preserve"> that evidence does not support a conclusion that left knee arthritis, as an isolated condition, would have rendered the CI incapable of continued service within his MOS and accordingly cannot recommend a separate rating for it.</w:t>
      </w:r>
      <w:r w:rsidR="001D55CE">
        <w:rPr>
          <w:color w:val="auto"/>
          <w:szCs w:val="24"/>
        </w:rPr>
        <w:t xml:space="preserve">  </w:t>
      </w:r>
    </w:p>
    <w:p w:rsidR="007F1A86" w:rsidRDefault="007F1A86" w:rsidP="00241B01">
      <w:pPr>
        <w:jc w:val="both"/>
        <w:rPr>
          <w:rFonts w:eastAsia="Calibri" w:cs="Times New Roman"/>
          <w:color w:val="auto"/>
          <w:szCs w:val="24"/>
        </w:rPr>
      </w:pPr>
    </w:p>
    <w:p w:rsidR="003863E9" w:rsidRPr="00792790"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375057">
        <w:rPr>
          <w:rFonts w:eastAsia="Calibri" w:cs="Times New Roman"/>
          <w:color w:val="auto"/>
          <w:szCs w:val="24"/>
        </w:rPr>
        <w:t xml:space="preserve">as </w:t>
      </w:r>
      <w:r w:rsidR="00375057" w:rsidRPr="005F2A7E">
        <w:rPr>
          <w:rFonts w:eastAsia="Calibri" w:cs="Times New Roman"/>
          <w:color w:val="auto"/>
          <w:szCs w:val="24"/>
        </w:rPr>
        <w:t>hypertension</w:t>
      </w:r>
      <w:r w:rsidR="003863E9" w:rsidRPr="005F2A7E">
        <w:rPr>
          <w:rFonts w:eastAsia="Calibri" w:cs="Times New Roman"/>
          <w:color w:val="auto"/>
          <w:szCs w:val="24"/>
        </w:rPr>
        <w:t>.</w:t>
      </w:r>
      <w:r w:rsidR="003863E9" w:rsidRPr="00792790">
        <w:rPr>
          <w:rFonts w:eastAsia="Calibri" w:cs="Times New Roman"/>
          <w:color w:val="auto"/>
          <w:szCs w:val="24"/>
        </w:rPr>
        <w:t xml:space="preserve">   The Board’s first charge with respect to th</w:t>
      </w:r>
      <w:r w:rsidR="00375057">
        <w:rPr>
          <w:rFonts w:eastAsia="Calibri" w:cs="Times New Roman"/>
          <w:color w:val="auto"/>
          <w:szCs w:val="24"/>
        </w:rPr>
        <w:t>is</w:t>
      </w:r>
      <w:r w:rsidR="003863E9" w:rsidRPr="00792790">
        <w:rPr>
          <w:rFonts w:eastAsia="Calibri" w:cs="Times New Roman"/>
          <w:color w:val="auto"/>
          <w:szCs w:val="24"/>
        </w:rPr>
        <w:t xml:space="preserve"> condition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375057">
        <w:rPr>
          <w:rFonts w:eastAsia="Calibri" w:cs="Times New Roman"/>
          <w:color w:val="auto"/>
          <w:szCs w:val="24"/>
        </w:rPr>
        <w:t>This condition was not</w:t>
      </w:r>
      <w:r w:rsidR="003863E9" w:rsidRPr="00244791">
        <w:rPr>
          <w:color w:val="000000"/>
        </w:rPr>
        <w:t xml:space="preserve"> </w:t>
      </w:r>
      <w:r w:rsidR="00375057">
        <w:rPr>
          <w:color w:val="000000"/>
        </w:rPr>
        <w:t>profiled,</w:t>
      </w:r>
      <w:r w:rsidR="003863E9">
        <w:rPr>
          <w:color w:val="000000"/>
        </w:rPr>
        <w:t xml:space="preserve"> </w:t>
      </w:r>
      <w:r w:rsidR="003863E9" w:rsidRPr="00244791">
        <w:rPr>
          <w:color w:val="000000"/>
        </w:rPr>
        <w:t>implicated in the commander’s statement</w:t>
      </w:r>
      <w:r w:rsidR="00375057">
        <w:rPr>
          <w:color w:val="000000"/>
        </w:rPr>
        <w:t xml:space="preserve"> or</w:t>
      </w:r>
      <w:r w:rsidR="003863E9">
        <w:rPr>
          <w:color w:val="000000"/>
        </w:rPr>
        <w:t xml:space="preserv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375057">
        <w:rPr>
          <w:color w:val="000000"/>
        </w:rPr>
        <w:t>It was</w:t>
      </w:r>
      <w:r w:rsidR="003863E9" w:rsidRPr="001F29F9">
        <w:rPr>
          <w:color w:val="000000"/>
        </w:rPr>
        <w:t xml:space="preserv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 xml:space="preserve">There was no indication from the record that </w:t>
      </w:r>
      <w:r w:rsidR="00375057">
        <w:rPr>
          <w:color w:val="000000"/>
        </w:rPr>
        <w:t>this condition</w:t>
      </w:r>
      <w:r w:rsidR="003863E9" w:rsidRPr="001F29F9">
        <w:rPr>
          <w:color w:val="000000"/>
        </w:rPr>
        <w:t xml:space="preserve"> significantly interfered with satisfactory duty performance.</w:t>
      </w:r>
      <w:r w:rsidR="00375057">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contended </w:t>
      </w:r>
      <w:r w:rsidR="00375057">
        <w:rPr>
          <w:rFonts w:eastAsia="Calibri" w:cs="Times New Roman"/>
          <w:color w:val="auto"/>
          <w:szCs w:val="24"/>
        </w:rPr>
        <w:t xml:space="preserve">hypertension </w:t>
      </w:r>
      <w:r w:rsidR="003863E9" w:rsidRPr="00792790">
        <w:rPr>
          <w:rFonts w:eastAsia="Calibri" w:cs="Times New Roman"/>
          <w:color w:val="auto"/>
          <w:szCs w:val="24"/>
        </w:rPr>
        <w:t>condition and therefore no additional disability ratings can be recommended.</w:t>
      </w:r>
      <w:r w:rsidR="001D55CE">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241B01" w:rsidRPr="00F64312">
        <w:rPr>
          <w:rFonts w:eastAsia="Calibri" w:cs="Times New Roman"/>
          <w:color w:val="auto"/>
          <w:szCs w:val="24"/>
        </w:rPr>
        <w:t xml:space="preserve">As discussed above, PEB reliance on </w:t>
      </w:r>
      <w:r w:rsidR="00241B01" w:rsidRPr="008778F7">
        <w:rPr>
          <w:rFonts w:eastAsia="Calibri" w:cs="Times New Roman"/>
          <w:color w:val="auto"/>
          <w:szCs w:val="24"/>
        </w:rPr>
        <w:t>the USAPDA pain policy</w:t>
      </w:r>
      <w:r w:rsidR="00241B01" w:rsidRPr="00F64312">
        <w:rPr>
          <w:rFonts w:eastAsia="Calibri" w:cs="Times New Roman"/>
          <w:color w:val="auto"/>
          <w:szCs w:val="24"/>
        </w:rPr>
        <w:t xml:space="preserve"> for rating </w:t>
      </w:r>
      <w:r w:rsidR="008778F7" w:rsidRPr="00FF3E59">
        <w:rPr>
          <w:rFonts w:eastAsia="Calibri" w:cs="Times New Roman"/>
          <w:color w:val="auto"/>
          <w:szCs w:val="24"/>
        </w:rPr>
        <w:t>bilateral knee arthritis</w:t>
      </w:r>
      <w:r w:rsidR="00241B01" w:rsidRPr="00FF3E59">
        <w:rPr>
          <w:rFonts w:eastAsia="Calibri" w:cs="Times New Roman"/>
          <w:color w:val="auto"/>
          <w:szCs w:val="24"/>
        </w:rPr>
        <w:t xml:space="preserve"> was </w:t>
      </w:r>
      <w:r w:rsidR="00C81E0C">
        <w:rPr>
          <w:rFonts w:eastAsia="Calibri" w:cs="Times New Roman"/>
          <w:color w:val="auto"/>
          <w:szCs w:val="24"/>
        </w:rPr>
        <w:t xml:space="preserve">likely </w:t>
      </w:r>
      <w:r w:rsidR="00241B01" w:rsidRPr="00FF3E59">
        <w:rPr>
          <w:rFonts w:eastAsia="Calibri" w:cs="Times New Roman"/>
          <w:color w:val="auto"/>
          <w:szCs w:val="24"/>
        </w:rPr>
        <w:t>operant in this case and the condition was adjudicated independently of that policy by the Board.</w:t>
      </w:r>
      <w:r w:rsidR="00E32912" w:rsidRPr="00FF3E59">
        <w:rPr>
          <w:rFonts w:eastAsia="Calibri" w:cs="Times New Roman"/>
          <w:color w:val="auto"/>
          <w:szCs w:val="24"/>
        </w:rPr>
        <w:t xml:space="preserve">  </w:t>
      </w:r>
      <w:r w:rsidR="001D55CE" w:rsidRPr="00FF3E59">
        <w:rPr>
          <w:color w:val="auto"/>
          <w:szCs w:val="24"/>
        </w:rPr>
        <w:t xml:space="preserve">In the </w:t>
      </w:r>
      <w:r w:rsidR="001D55CE" w:rsidRPr="00FF3E59">
        <w:rPr>
          <w:color w:val="auto"/>
          <w:szCs w:val="24"/>
        </w:rPr>
        <w:lastRenderedPageBreak/>
        <w:t xml:space="preserve">matter of the </w:t>
      </w:r>
      <w:r w:rsidR="002B3D31">
        <w:rPr>
          <w:color w:val="auto"/>
          <w:szCs w:val="24"/>
        </w:rPr>
        <w:t>b</w:t>
      </w:r>
      <w:r w:rsidR="001D55CE" w:rsidRPr="00FF3E59">
        <w:rPr>
          <w:color w:val="auto"/>
          <w:szCs w:val="24"/>
        </w:rPr>
        <w:t xml:space="preserve">ilateral </w:t>
      </w:r>
      <w:r w:rsidR="002B3D31">
        <w:rPr>
          <w:color w:val="auto"/>
          <w:szCs w:val="24"/>
        </w:rPr>
        <w:t>k</w:t>
      </w:r>
      <w:r w:rsidR="001D55CE" w:rsidRPr="00FF3E59">
        <w:rPr>
          <w:color w:val="auto"/>
          <w:szCs w:val="24"/>
        </w:rPr>
        <w:t xml:space="preserve">nee </w:t>
      </w:r>
      <w:r w:rsidR="002B3D31">
        <w:rPr>
          <w:color w:val="auto"/>
          <w:szCs w:val="24"/>
        </w:rPr>
        <w:t>o</w:t>
      </w:r>
      <w:r w:rsidR="001D55CE" w:rsidRPr="00FF3E59">
        <w:rPr>
          <w:color w:val="auto"/>
          <w:szCs w:val="24"/>
        </w:rPr>
        <w:t>steoarthritis condition, the Board unanimously recommends that it be adjudicated for two separate conditions</w:t>
      </w:r>
      <w:r w:rsidR="00C81E0C">
        <w:rPr>
          <w:color w:val="auto"/>
          <w:szCs w:val="24"/>
        </w:rPr>
        <w:t>.</w:t>
      </w:r>
      <w:r w:rsidR="001D55CE" w:rsidRPr="00FF3E59">
        <w:rPr>
          <w:color w:val="auto"/>
          <w:szCs w:val="24"/>
        </w:rPr>
        <w:t xml:space="preserve">  </w:t>
      </w:r>
      <w:r w:rsidR="00241B01" w:rsidRPr="00FF3E59">
        <w:rPr>
          <w:rFonts w:eastAsia="Calibri" w:cs="Times New Roman"/>
          <w:color w:val="auto"/>
          <w:szCs w:val="24"/>
        </w:rPr>
        <w:t xml:space="preserve">In the matter of the </w:t>
      </w:r>
      <w:r w:rsidR="008778F7" w:rsidRPr="00FF3E59">
        <w:rPr>
          <w:rFonts w:eastAsia="Calibri" w:cs="Times New Roman"/>
          <w:color w:val="auto"/>
          <w:szCs w:val="24"/>
        </w:rPr>
        <w:t xml:space="preserve">right knee </w:t>
      </w:r>
      <w:r w:rsidR="00E32912" w:rsidRPr="00FF3E59">
        <w:rPr>
          <w:rFonts w:eastAsia="Calibri" w:cs="Times New Roman"/>
          <w:color w:val="auto"/>
          <w:szCs w:val="24"/>
        </w:rPr>
        <w:t>osteo</w:t>
      </w:r>
      <w:r w:rsidR="008778F7" w:rsidRPr="00FF3E59">
        <w:rPr>
          <w:rFonts w:eastAsia="Calibri" w:cs="Times New Roman"/>
          <w:color w:val="auto"/>
          <w:szCs w:val="24"/>
        </w:rPr>
        <w:t>arthritis</w:t>
      </w:r>
      <w:r w:rsidR="00241B01" w:rsidRPr="00FF3E59">
        <w:rPr>
          <w:rFonts w:eastAsia="Calibri" w:cs="Times New Roman"/>
          <w:color w:val="auto"/>
          <w:szCs w:val="24"/>
        </w:rPr>
        <w:t xml:space="preserve"> condition, the Board unanimously recommends a disability rating of </w:t>
      </w:r>
      <w:r w:rsidR="008778F7" w:rsidRPr="00FF3E59">
        <w:rPr>
          <w:rFonts w:eastAsia="Calibri" w:cs="Times New Roman"/>
          <w:color w:val="auto"/>
          <w:szCs w:val="24"/>
        </w:rPr>
        <w:t>20</w:t>
      </w:r>
      <w:r w:rsidR="00B04540" w:rsidRPr="00FF3E59">
        <w:rPr>
          <w:rFonts w:eastAsia="Calibri" w:cs="Times New Roman"/>
          <w:color w:val="auto"/>
          <w:szCs w:val="24"/>
        </w:rPr>
        <w:t>%</w:t>
      </w:r>
      <w:r w:rsidR="00241B01" w:rsidRPr="00FF3E59">
        <w:rPr>
          <w:rFonts w:eastAsia="Calibri" w:cs="Times New Roman"/>
          <w:color w:val="auto"/>
          <w:szCs w:val="24"/>
        </w:rPr>
        <w:t xml:space="preserve">, coded </w:t>
      </w:r>
      <w:r w:rsidR="00D13861" w:rsidRPr="00FF3E59">
        <w:rPr>
          <w:rFonts w:eastAsia="Calibri" w:cs="Times New Roman"/>
          <w:color w:val="auto"/>
          <w:szCs w:val="24"/>
        </w:rPr>
        <w:t>5010-</w:t>
      </w:r>
      <w:r w:rsidR="008778F7" w:rsidRPr="00FF3E59">
        <w:rPr>
          <w:rFonts w:eastAsia="Calibri" w:cs="Times New Roman"/>
          <w:color w:val="auto"/>
          <w:szCs w:val="24"/>
        </w:rPr>
        <w:t>5261</w:t>
      </w:r>
      <w:r w:rsidR="00E32912" w:rsidRPr="00FF3E59">
        <w:rPr>
          <w:rFonts w:eastAsia="Calibri" w:cs="Times New Roman"/>
          <w:color w:val="auto"/>
          <w:szCs w:val="24"/>
        </w:rPr>
        <w:t xml:space="preserve">.  </w:t>
      </w:r>
      <w:r w:rsidR="00E32912" w:rsidRPr="00FF3E59">
        <w:rPr>
          <w:color w:val="auto"/>
          <w:szCs w:val="24"/>
        </w:rPr>
        <w:t>In the matter of the left knee osteoarthritis condition, the Board by a vote of 2:1 agrees that it cannot recommend a finding of unfit for additional disability rating.</w:t>
      </w:r>
      <w:r w:rsidR="006D713F" w:rsidRPr="00FF3E59">
        <w:rPr>
          <w:color w:val="auto"/>
          <w:szCs w:val="24"/>
        </w:rPr>
        <w:t xml:space="preserve"> </w:t>
      </w:r>
      <w:r w:rsidR="00E32912" w:rsidRPr="00FF3E59">
        <w:rPr>
          <w:color w:val="auto"/>
          <w:szCs w:val="24"/>
        </w:rPr>
        <w:t xml:space="preserve"> The single voter for dissent (who recommended a</w:t>
      </w:r>
      <w:r w:rsidR="001D55CE" w:rsidRPr="00FF3E59">
        <w:rPr>
          <w:color w:val="auto"/>
          <w:szCs w:val="24"/>
        </w:rPr>
        <w:t xml:space="preserve">n unfit determination and </w:t>
      </w:r>
      <w:r w:rsidR="00E32912" w:rsidRPr="00FF3E59">
        <w:rPr>
          <w:color w:val="auto"/>
          <w:szCs w:val="24"/>
        </w:rPr>
        <w:t xml:space="preserve">10% rating </w:t>
      </w:r>
      <w:r w:rsidR="006D713F" w:rsidRPr="00FF3E59">
        <w:rPr>
          <w:color w:val="auto"/>
          <w:szCs w:val="24"/>
        </w:rPr>
        <w:t>coded</w:t>
      </w:r>
      <w:r w:rsidR="00E32912" w:rsidRPr="00FF3E59">
        <w:rPr>
          <w:color w:val="auto"/>
          <w:szCs w:val="24"/>
        </w:rPr>
        <w:t xml:space="preserve"> </w:t>
      </w:r>
      <w:r w:rsidR="006D713F" w:rsidRPr="00FF3E59">
        <w:rPr>
          <w:color w:val="auto"/>
          <w:szCs w:val="24"/>
        </w:rPr>
        <w:t>5099-</w:t>
      </w:r>
      <w:r w:rsidR="00E32912" w:rsidRPr="00FF3E59">
        <w:rPr>
          <w:color w:val="auto"/>
          <w:szCs w:val="24"/>
        </w:rPr>
        <w:t>5003)</w:t>
      </w:r>
      <w:r w:rsidR="006D713F" w:rsidRPr="00FF3E59">
        <w:rPr>
          <w:color w:val="auto"/>
          <w:szCs w:val="24"/>
        </w:rPr>
        <w:t xml:space="preserve"> </w:t>
      </w:r>
      <w:r w:rsidR="00F92A1B" w:rsidRPr="00FF3E59">
        <w:rPr>
          <w:color w:val="auto"/>
          <w:szCs w:val="24"/>
        </w:rPr>
        <w:t>submitted the addended minority opinion</w:t>
      </w:r>
      <w:r w:rsidR="00E32912" w:rsidRPr="00FF3E59">
        <w:rPr>
          <w:color w:val="auto"/>
          <w:szCs w:val="24"/>
        </w:rPr>
        <w:t>.</w:t>
      </w:r>
      <w:r w:rsidR="006D713F" w:rsidRPr="00F92A1B">
        <w:rPr>
          <w:color w:val="auto"/>
          <w:szCs w:val="24"/>
        </w:rPr>
        <w:t xml:space="preserve">  </w:t>
      </w:r>
      <w:r w:rsidR="00560F12" w:rsidRPr="00F92A1B">
        <w:rPr>
          <w:rFonts w:eastAsia="Calibri" w:cs="Times New Roman"/>
          <w:color w:val="auto"/>
          <w:szCs w:val="24"/>
        </w:rPr>
        <w:t xml:space="preserve">In the matter of the contended </w:t>
      </w:r>
      <w:r w:rsidR="008778F7" w:rsidRPr="00F92A1B">
        <w:rPr>
          <w:rFonts w:eastAsia="Calibri" w:cs="Times New Roman"/>
          <w:color w:val="auto"/>
          <w:szCs w:val="24"/>
        </w:rPr>
        <w:t>hypertension</w:t>
      </w:r>
      <w:r w:rsidR="00560F12" w:rsidRPr="00F92A1B">
        <w:rPr>
          <w:rFonts w:eastAsia="Calibri" w:cs="Times New Roman"/>
          <w:color w:val="auto"/>
          <w:szCs w:val="24"/>
        </w:rPr>
        <w:t xml:space="preserve"> condition, the Board unanimously </w:t>
      </w:r>
      <w:r w:rsidR="00417BED" w:rsidRPr="006D713F">
        <w:rPr>
          <w:rFonts w:eastAsia="Calibri" w:cs="Times New Roman"/>
          <w:color w:val="auto"/>
          <w:szCs w:val="24"/>
        </w:rPr>
        <w:t>recommends</w:t>
      </w:r>
      <w:r w:rsidR="00417BED" w:rsidRPr="00F64312">
        <w:rPr>
          <w:rFonts w:eastAsia="Calibri" w:cs="Times New Roman"/>
          <w:color w:val="auto"/>
          <w:szCs w:val="24"/>
        </w:rPr>
        <w:t xml:space="preserve"> no change from the PEB determination as not unfitting.</w:t>
      </w:r>
      <w:r w:rsidR="006D713F">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Default="00AD2379" w:rsidP="006364ED">
      <w:pPr>
        <w:jc w:val="left"/>
        <w:rPr>
          <w:color w:val="auto"/>
          <w:highlight w:val="magenta"/>
        </w:rPr>
      </w:pPr>
    </w:p>
    <w:p w:rsidR="00B31C44" w:rsidRPr="00F64312" w:rsidRDefault="00B31C44" w:rsidP="006364ED">
      <w:pPr>
        <w:jc w:val="left"/>
        <w:rPr>
          <w:color w:val="auto"/>
          <w:highlight w:val="magenta"/>
        </w:rPr>
      </w:pPr>
    </w:p>
    <w:p w:rsidR="00015CE1" w:rsidRPr="00C93C3D" w:rsidRDefault="00AD2379" w:rsidP="00015CE1">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015CE1" w:rsidRPr="00F64312">
        <w:rPr>
          <w:rFonts w:eastAsia="Calibri" w:cs="Times New Roman"/>
          <w:color w:val="auto"/>
          <w:szCs w:val="24"/>
        </w:rPr>
        <w:t xml:space="preserve">The Board recommends that the CI’s prior determination be </w:t>
      </w:r>
      <w:r w:rsidR="00015CE1" w:rsidRPr="00F92A1B">
        <w:rPr>
          <w:rFonts w:eastAsia="Calibri" w:cs="Times New Roman"/>
          <w:color w:val="auto"/>
          <w:szCs w:val="24"/>
        </w:rPr>
        <w:t xml:space="preserve">modified </w:t>
      </w:r>
      <w:r w:rsidR="00015CE1" w:rsidRPr="004C70E6">
        <w:rPr>
          <w:rFonts w:eastAsia="Calibri" w:cs="Times New Roman"/>
          <w:color w:val="auto"/>
          <w:szCs w:val="24"/>
        </w:rPr>
        <w:t xml:space="preserve">as follows, effective as of the date of his prior medical separation:  </w:t>
      </w:r>
    </w:p>
    <w:p w:rsidR="00AD2379" w:rsidRPr="00C93C3D"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22"/>
        <w:gridCol w:w="1476"/>
        <w:gridCol w:w="1026"/>
      </w:tblGrid>
      <w:tr w:rsidR="00071071" w:rsidRPr="00C93C3D" w:rsidTr="00015CE1">
        <w:trPr>
          <w:trHeight w:val="233"/>
          <w:jc w:val="center"/>
        </w:trPr>
        <w:tc>
          <w:tcPr>
            <w:tcW w:w="6822" w:type="dxa"/>
            <w:tcBorders>
              <w:right w:val="single" w:sz="4" w:space="0" w:color="auto"/>
            </w:tcBorders>
            <w:shd w:val="clear" w:color="auto" w:fill="D9D9D9"/>
            <w:vAlign w:val="center"/>
          </w:tcPr>
          <w:p w:rsidR="00071071" w:rsidRPr="00C93C3D" w:rsidRDefault="00071071" w:rsidP="006B690F">
            <w:pPr>
              <w:tabs>
                <w:tab w:val="left" w:pos="288"/>
                <w:tab w:val="left" w:pos="4752"/>
              </w:tabs>
              <w:rPr>
                <w:b/>
                <w:color w:val="auto"/>
              </w:rPr>
            </w:pPr>
            <w:r w:rsidRPr="00C93C3D">
              <w:rPr>
                <w:b/>
                <w:color w:val="auto"/>
              </w:rPr>
              <w:t>UNFITTING CONDITION</w:t>
            </w:r>
          </w:p>
        </w:tc>
        <w:tc>
          <w:tcPr>
            <w:tcW w:w="1476" w:type="dxa"/>
            <w:tcBorders>
              <w:left w:val="single" w:sz="4" w:space="0" w:color="auto"/>
            </w:tcBorders>
            <w:shd w:val="clear" w:color="auto" w:fill="D9D9D9"/>
            <w:vAlign w:val="center"/>
          </w:tcPr>
          <w:p w:rsidR="00071071" w:rsidRPr="00C93C3D" w:rsidRDefault="00071071" w:rsidP="006B690F">
            <w:pPr>
              <w:tabs>
                <w:tab w:val="left" w:pos="288"/>
                <w:tab w:val="left" w:pos="4752"/>
              </w:tabs>
              <w:rPr>
                <w:b/>
                <w:color w:val="auto"/>
              </w:rPr>
            </w:pPr>
            <w:r w:rsidRPr="00C93C3D">
              <w:rPr>
                <w:b/>
                <w:color w:val="auto"/>
              </w:rPr>
              <w:t>VASRD CODE</w:t>
            </w:r>
          </w:p>
        </w:tc>
        <w:tc>
          <w:tcPr>
            <w:tcW w:w="1026" w:type="dxa"/>
            <w:shd w:val="clear" w:color="auto" w:fill="D9D9D9"/>
            <w:vAlign w:val="center"/>
          </w:tcPr>
          <w:p w:rsidR="00071071" w:rsidRPr="00C93C3D" w:rsidRDefault="00071071" w:rsidP="006B690F">
            <w:pPr>
              <w:tabs>
                <w:tab w:val="left" w:pos="288"/>
                <w:tab w:val="left" w:pos="4752"/>
              </w:tabs>
              <w:rPr>
                <w:b/>
                <w:color w:val="auto"/>
              </w:rPr>
            </w:pPr>
            <w:r w:rsidRPr="00C93C3D">
              <w:rPr>
                <w:b/>
                <w:color w:val="auto"/>
              </w:rPr>
              <w:t>RATING</w:t>
            </w:r>
          </w:p>
        </w:tc>
      </w:tr>
      <w:tr w:rsidR="00071071" w:rsidRPr="00C93C3D" w:rsidTr="00015CE1">
        <w:trPr>
          <w:jc w:val="center"/>
        </w:trPr>
        <w:tc>
          <w:tcPr>
            <w:tcW w:w="6822" w:type="dxa"/>
            <w:tcBorders>
              <w:right w:val="single" w:sz="4" w:space="0" w:color="auto"/>
            </w:tcBorders>
            <w:vAlign w:val="center"/>
          </w:tcPr>
          <w:p w:rsidR="00071071" w:rsidRPr="00C93C3D" w:rsidRDefault="00CC3ABC" w:rsidP="006B690F">
            <w:pPr>
              <w:tabs>
                <w:tab w:val="left" w:pos="288"/>
                <w:tab w:val="left" w:pos="4752"/>
              </w:tabs>
              <w:jc w:val="left"/>
              <w:rPr>
                <w:color w:val="auto"/>
              </w:rPr>
            </w:pPr>
            <w:r w:rsidRPr="00C93C3D">
              <w:rPr>
                <w:color w:val="auto"/>
              </w:rPr>
              <w:t>Right Knee Osteoarthritis</w:t>
            </w:r>
          </w:p>
        </w:tc>
        <w:tc>
          <w:tcPr>
            <w:tcW w:w="1476" w:type="dxa"/>
            <w:tcBorders>
              <w:left w:val="single" w:sz="4" w:space="0" w:color="auto"/>
            </w:tcBorders>
            <w:vAlign w:val="center"/>
          </w:tcPr>
          <w:p w:rsidR="00071071" w:rsidRPr="00C93C3D" w:rsidRDefault="000F215C" w:rsidP="000F215C">
            <w:pPr>
              <w:tabs>
                <w:tab w:val="left" w:pos="288"/>
                <w:tab w:val="left" w:pos="4752"/>
              </w:tabs>
              <w:rPr>
                <w:color w:val="auto"/>
                <w:highlight w:val="lightGray"/>
              </w:rPr>
            </w:pPr>
            <w:r w:rsidRPr="00C93C3D">
              <w:rPr>
                <w:color w:val="auto"/>
              </w:rPr>
              <w:t>5010-</w:t>
            </w:r>
            <w:r w:rsidR="00CC3ABC" w:rsidRPr="00C93C3D">
              <w:rPr>
                <w:color w:val="auto"/>
              </w:rPr>
              <w:t>5261</w:t>
            </w:r>
          </w:p>
        </w:tc>
        <w:tc>
          <w:tcPr>
            <w:tcW w:w="1026" w:type="dxa"/>
            <w:vAlign w:val="center"/>
          </w:tcPr>
          <w:p w:rsidR="00071071" w:rsidRPr="00C93C3D" w:rsidRDefault="000F215C" w:rsidP="00CC3ABC">
            <w:pPr>
              <w:tabs>
                <w:tab w:val="left" w:pos="288"/>
                <w:tab w:val="left" w:pos="4752"/>
              </w:tabs>
              <w:rPr>
                <w:color w:val="auto"/>
              </w:rPr>
            </w:pPr>
            <w:r w:rsidRPr="00C93C3D">
              <w:rPr>
                <w:color w:val="auto"/>
              </w:rPr>
              <w:t>20%</w:t>
            </w:r>
          </w:p>
        </w:tc>
      </w:tr>
      <w:tr w:rsidR="006D713F" w:rsidRPr="00C93C3D" w:rsidTr="00015CE1">
        <w:trPr>
          <w:jc w:val="center"/>
        </w:trPr>
        <w:tc>
          <w:tcPr>
            <w:tcW w:w="6822" w:type="dxa"/>
            <w:tcBorders>
              <w:right w:val="single" w:sz="4" w:space="0" w:color="auto"/>
            </w:tcBorders>
            <w:vAlign w:val="center"/>
          </w:tcPr>
          <w:p w:rsidR="006D713F" w:rsidRPr="00C93C3D" w:rsidRDefault="006D713F" w:rsidP="006B690F">
            <w:pPr>
              <w:tabs>
                <w:tab w:val="left" w:pos="288"/>
                <w:tab w:val="left" w:pos="4752"/>
              </w:tabs>
              <w:jc w:val="left"/>
              <w:rPr>
                <w:color w:val="auto"/>
              </w:rPr>
            </w:pPr>
            <w:r w:rsidRPr="00C93C3D">
              <w:rPr>
                <w:color w:val="auto"/>
              </w:rPr>
              <w:t>Left Knee Osteoarthritis</w:t>
            </w:r>
          </w:p>
        </w:tc>
        <w:tc>
          <w:tcPr>
            <w:tcW w:w="2502" w:type="dxa"/>
            <w:gridSpan w:val="2"/>
            <w:tcBorders>
              <w:left w:val="single" w:sz="4" w:space="0" w:color="auto"/>
            </w:tcBorders>
            <w:vAlign w:val="center"/>
          </w:tcPr>
          <w:p w:rsidR="006D713F" w:rsidRPr="00C93C3D" w:rsidRDefault="006D713F" w:rsidP="006B690F">
            <w:pPr>
              <w:tabs>
                <w:tab w:val="left" w:pos="288"/>
                <w:tab w:val="left" w:pos="4752"/>
              </w:tabs>
              <w:rPr>
                <w:color w:val="auto"/>
              </w:rPr>
            </w:pPr>
            <w:r w:rsidRPr="00C93C3D">
              <w:rPr>
                <w:color w:val="auto"/>
              </w:rPr>
              <w:t>Not Unfitting</w:t>
            </w:r>
          </w:p>
        </w:tc>
      </w:tr>
      <w:tr w:rsidR="00071071" w:rsidRPr="00C93C3D" w:rsidTr="00015CE1">
        <w:tblPrEx>
          <w:tblLook w:val="0000"/>
        </w:tblPrEx>
        <w:trPr>
          <w:gridBefore w:val="1"/>
          <w:wBefore w:w="6822" w:type="dxa"/>
          <w:trHeight w:val="152"/>
          <w:jc w:val="center"/>
        </w:trPr>
        <w:tc>
          <w:tcPr>
            <w:tcW w:w="1476" w:type="dxa"/>
            <w:tcBorders>
              <w:left w:val="single" w:sz="4" w:space="0" w:color="auto"/>
            </w:tcBorders>
            <w:shd w:val="clear" w:color="auto" w:fill="D9D9D9"/>
            <w:vAlign w:val="center"/>
          </w:tcPr>
          <w:p w:rsidR="00071071" w:rsidRPr="00C93C3D" w:rsidRDefault="00071071" w:rsidP="006D713F">
            <w:pPr>
              <w:tabs>
                <w:tab w:val="left" w:pos="288"/>
                <w:tab w:val="left" w:pos="4752"/>
              </w:tabs>
              <w:rPr>
                <w:b/>
                <w:color w:val="auto"/>
              </w:rPr>
            </w:pPr>
            <w:r w:rsidRPr="00C93C3D">
              <w:rPr>
                <w:b/>
                <w:color w:val="auto"/>
              </w:rPr>
              <w:t>COMBINED</w:t>
            </w:r>
          </w:p>
        </w:tc>
        <w:tc>
          <w:tcPr>
            <w:tcW w:w="1026" w:type="dxa"/>
            <w:shd w:val="clear" w:color="auto" w:fill="D9D9D9"/>
            <w:vAlign w:val="center"/>
          </w:tcPr>
          <w:p w:rsidR="00071071" w:rsidRPr="00C93C3D" w:rsidRDefault="006D713F" w:rsidP="006B690F">
            <w:pPr>
              <w:tabs>
                <w:tab w:val="left" w:pos="288"/>
                <w:tab w:val="left" w:pos="4752"/>
              </w:tabs>
              <w:rPr>
                <w:b/>
                <w:color w:val="auto"/>
              </w:rPr>
            </w:pPr>
            <w:r w:rsidRPr="00C93C3D">
              <w:rPr>
                <w:b/>
                <w:color w:val="auto"/>
              </w:rPr>
              <w:t>2</w:t>
            </w:r>
            <w:r w:rsidR="00CC3ABC" w:rsidRPr="00C93C3D">
              <w:rPr>
                <w:b/>
                <w:color w:val="auto"/>
              </w:rPr>
              <w:t>0</w:t>
            </w:r>
            <w:r w:rsidR="00071071" w:rsidRPr="00C93C3D">
              <w:rPr>
                <w:b/>
                <w:color w:val="auto"/>
              </w:rPr>
              <w:t>%</w:t>
            </w:r>
          </w:p>
        </w:tc>
      </w:tr>
    </w:tbl>
    <w:p w:rsidR="00AD2379" w:rsidRPr="00C93C3D" w:rsidRDefault="00AD2379" w:rsidP="006B690F">
      <w:pPr>
        <w:pBdr>
          <w:bottom w:val="single" w:sz="12" w:space="1" w:color="auto"/>
        </w:pBdr>
        <w:tabs>
          <w:tab w:val="left" w:pos="288"/>
          <w:tab w:val="left" w:pos="4752"/>
        </w:tabs>
        <w:jc w:val="both"/>
        <w:rPr>
          <w:color w:val="auto"/>
        </w:rPr>
      </w:pPr>
    </w:p>
    <w:p w:rsidR="00AD2379" w:rsidRPr="00C93C3D" w:rsidRDefault="00AD2379" w:rsidP="006B690F">
      <w:pPr>
        <w:jc w:val="both"/>
        <w:rPr>
          <w:color w:val="auto"/>
        </w:rPr>
      </w:pPr>
    </w:p>
    <w:p w:rsidR="00AD2379" w:rsidRPr="004C70E6" w:rsidRDefault="00AD2379" w:rsidP="006B690F">
      <w:pPr>
        <w:tabs>
          <w:tab w:val="left" w:pos="288"/>
          <w:tab w:val="left" w:pos="4752"/>
        </w:tabs>
        <w:jc w:val="both"/>
        <w:rPr>
          <w:color w:val="auto"/>
        </w:rPr>
      </w:pPr>
      <w:r w:rsidRPr="004C70E6">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710614">
        <w:rPr>
          <w:color w:val="auto"/>
        </w:rPr>
        <w:t>dated 20</w:t>
      </w:r>
      <w:r w:rsidR="00710614" w:rsidRPr="00710614">
        <w:rPr>
          <w:color w:val="auto"/>
        </w:rPr>
        <w:t>110830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035BB">
        <w:rPr>
          <w:color w:val="auto"/>
        </w:rPr>
        <w:t>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C93C3D" w:rsidRDefault="00C93C3D" w:rsidP="00BC7416">
      <w:pPr>
        <w:jc w:val="both"/>
        <w:rPr>
          <w:color w:val="000000"/>
          <w:szCs w:val="24"/>
          <w:u w:val="single"/>
        </w:rPr>
      </w:pPr>
    </w:p>
    <w:p w:rsidR="00C93C3D" w:rsidRDefault="00C93C3D">
      <w:pPr>
        <w:spacing w:line="240" w:lineRule="auto"/>
        <w:jc w:val="left"/>
        <w:rPr>
          <w:color w:val="000000"/>
          <w:szCs w:val="24"/>
          <w:u w:val="single"/>
        </w:rPr>
      </w:pPr>
      <w:r>
        <w:rPr>
          <w:color w:val="000000"/>
          <w:szCs w:val="24"/>
          <w:u w:val="single"/>
        </w:rPr>
        <w:br w:type="page"/>
      </w:r>
    </w:p>
    <w:p w:rsidR="00C93C3D" w:rsidRDefault="00BC7416" w:rsidP="00BC7416">
      <w:pPr>
        <w:jc w:val="both"/>
        <w:rPr>
          <w:color w:val="000000"/>
          <w:szCs w:val="24"/>
        </w:rPr>
      </w:pPr>
      <w:r>
        <w:rPr>
          <w:color w:val="000000"/>
          <w:szCs w:val="24"/>
          <w:u w:val="single"/>
        </w:rPr>
        <w:lastRenderedPageBreak/>
        <w:t>MINORITY OPINION</w:t>
      </w:r>
      <w:r w:rsidRPr="000C05A7">
        <w:rPr>
          <w:color w:val="000000"/>
          <w:szCs w:val="24"/>
        </w:rPr>
        <w:t>:</w:t>
      </w:r>
      <w:r w:rsidR="002B3D31">
        <w:rPr>
          <w:color w:val="000000"/>
          <w:szCs w:val="24"/>
        </w:rPr>
        <w:t xml:space="preserve">  The action officer</w:t>
      </w:r>
      <w:r>
        <w:rPr>
          <w:color w:val="000000"/>
          <w:szCs w:val="24"/>
        </w:rPr>
        <w:t xml:space="preserve"> recommends that </w:t>
      </w:r>
      <w:r w:rsidRPr="00E82B9F">
        <w:rPr>
          <w:color w:val="000000"/>
          <w:szCs w:val="24"/>
        </w:rPr>
        <w:t>the left knee</w:t>
      </w:r>
      <w:r>
        <w:rPr>
          <w:color w:val="000000"/>
          <w:szCs w:val="24"/>
        </w:rPr>
        <w:t xml:space="preserve"> osteoarthritis be </w:t>
      </w:r>
      <w:r w:rsidR="0013679C">
        <w:rPr>
          <w:color w:val="000000"/>
          <w:szCs w:val="24"/>
        </w:rPr>
        <w:t>confirmed as</w:t>
      </w:r>
      <w:r>
        <w:rPr>
          <w:color w:val="000000"/>
          <w:szCs w:val="24"/>
        </w:rPr>
        <w:t xml:space="preserve"> unfitting, </w:t>
      </w:r>
      <w:r w:rsidR="0013679C">
        <w:rPr>
          <w:color w:val="000000"/>
          <w:szCs w:val="24"/>
        </w:rPr>
        <w:t xml:space="preserve">following unbundling, awarded </w:t>
      </w:r>
      <w:r w:rsidR="00C93C3D">
        <w:rPr>
          <w:color w:val="000000"/>
          <w:szCs w:val="24"/>
        </w:rPr>
        <w:t xml:space="preserve">a </w:t>
      </w:r>
      <w:r>
        <w:rPr>
          <w:color w:val="000000"/>
          <w:szCs w:val="24"/>
        </w:rPr>
        <w:t>10%</w:t>
      </w:r>
      <w:r w:rsidR="0013679C">
        <w:rPr>
          <w:color w:val="000000"/>
          <w:szCs w:val="24"/>
        </w:rPr>
        <w:t xml:space="preserve"> rating</w:t>
      </w:r>
      <w:r w:rsidR="000624DA">
        <w:rPr>
          <w:color w:val="000000"/>
          <w:szCs w:val="24"/>
        </w:rPr>
        <w:t xml:space="preserve"> and combined with the right knee 20% rating (combined 30% with BLF)</w:t>
      </w:r>
      <w:r>
        <w:rPr>
          <w:color w:val="000000"/>
          <w:szCs w:val="24"/>
        </w:rPr>
        <w:t xml:space="preserve">.  </w:t>
      </w:r>
    </w:p>
    <w:p w:rsidR="00C93C3D" w:rsidRDefault="00C93C3D" w:rsidP="00BC7416">
      <w:pPr>
        <w:jc w:val="both"/>
        <w:rPr>
          <w:color w:val="000000"/>
          <w:szCs w:val="24"/>
        </w:rPr>
      </w:pPr>
    </w:p>
    <w:p w:rsidR="00ED1853" w:rsidRDefault="002B3D31" w:rsidP="00ED1853">
      <w:pPr>
        <w:jc w:val="both"/>
        <w:rPr>
          <w:color w:val="000000"/>
          <w:szCs w:val="24"/>
        </w:rPr>
      </w:pPr>
      <w:r>
        <w:rPr>
          <w:color w:val="auto"/>
          <w:szCs w:val="24"/>
        </w:rPr>
        <w:t xml:space="preserve">As detailed </w:t>
      </w:r>
      <w:r w:rsidR="0013679C">
        <w:rPr>
          <w:color w:val="auto"/>
          <w:szCs w:val="24"/>
        </w:rPr>
        <w:t>above, t</w:t>
      </w:r>
      <w:r w:rsidR="0013679C" w:rsidRPr="00FF3E59">
        <w:rPr>
          <w:color w:val="auto"/>
          <w:szCs w:val="24"/>
        </w:rPr>
        <w:t xml:space="preserve">he PEB combined right knee </w:t>
      </w:r>
      <w:r w:rsidR="007A0664" w:rsidRPr="00FF3E59">
        <w:rPr>
          <w:color w:val="auto"/>
          <w:szCs w:val="24"/>
        </w:rPr>
        <w:t xml:space="preserve">osteoarthritis </w:t>
      </w:r>
      <w:r w:rsidR="0013679C" w:rsidRPr="00FF3E59">
        <w:rPr>
          <w:color w:val="auto"/>
          <w:szCs w:val="24"/>
        </w:rPr>
        <w:t>and left knee osteoarthritis as the single unfitting condition, coded 5003</w:t>
      </w:r>
      <w:r w:rsidR="0013679C">
        <w:rPr>
          <w:color w:val="auto"/>
          <w:szCs w:val="24"/>
        </w:rPr>
        <w:t xml:space="preserve"> and rated at 10% IAW</w:t>
      </w:r>
      <w:r w:rsidR="0013679C" w:rsidRPr="00FF3E59">
        <w:rPr>
          <w:color w:val="auto"/>
          <w:szCs w:val="24"/>
        </w:rPr>
        <w:t xml:space="preserve"> the USAPDA pain policy and AR</w:t>
      </w:r>
      <w:r w:rsidR="0013679C" w:rsidRPr="004C70E6">
        <w:rPr>
          <w:color w:val="auto"/>
          <w:szCs w:val="24"/>
        </w:rPr>
        <w:t xml:space="preserve"> 635.40 (B.24 f.)</w:t>
      </w:r>
      <w:r w:rsidR="0013679C">
        <w:rPr>
          <w:color w:val="auto"/>
          <w:szCs w:val="24"/>
        </w:rPr>
        <w:t xml:space="preserve">.  </w:t>
      </w:r>
      <w:r w:rsidR="00ED1853">
        <w:rPr>
          <w:color w:val="auto"/>
          <w:szCs w:val="24"/>
        </w:rPr>
        <w:t>T</w:t>
      </w:r>
      <w:r w:rsidR="00ED1853" w:rsidRPr="004C70E6">
        <w:rPr>
          <w:color w:val="auto"/>
          <w:szCs w:val="24"/>
        </w:rPr>
        <w:t xml:space="preserve">he Board </w:t>
      </w:r>
      <w:r w:rsidR="00ED1853">
        <w:rPr>
          <w:color w:val="auto"/>
          <w:szCs w:val="24"/>
        </w:rPr>
        <w:t xml:space="preserve">unanimously agreed that </w:t>
      </w:r>
      <w:r w:rsidR="00ED1853">
        <w:rPr>
          <w:color w:val="000000"/>
          <w:szCs w:val="24"/>
        </w:rPr>
        <w:t xml:space="preserve">absent the Army-specific policy and IAW VASRD-only rating, the right knee condition was separately rated at 20%.  </w:t>
      </w:r>
    </w:p>
    <w:p w:rsidR="00ED1853" w:rsidRDefault="00ED1853" w:rsidP="00BC7416">
      <w:pPr>
        <w:jc w:val="both"/>
        <w:rPr>
          <w:color w:val="auto"/>
          <w:szCs w:val="24"/>
        </w:rPr>
      </w:pPr>
    </w:p>
    <w:p w:rsidR="00772B2F" w:rsidRDefault="00ED1853" w:rsidP="00BC7416">
      <w:pPr>
        <w:jc w:val="both"/>
        <w:rPr>
          <w:color w:val="auto"/>
          <w:szCs w:val="24"/>
        </w:rPr>
      </w:pPr>
      <w:r>
        <w:rPr>
          <w:color w:val="auto"/>
          <w:szCs w:val="24"/>
        </w:rPr>
        <w:t>When unbundling a PEB-adjudicated multi-joint (bilateral knees)</w:t>
      </w:r>
      <w:r w:rsidR="008464B0">
        <w:rPr>
          <w:color w:val="auto"/>
          <w:szCs w:val="24"/>
        </w:rPr>
        <w:t xml:space="preserve"> condition</w:t>
      </w:r>
      <w:r>
        <w:rPr>
          <w:color w:val="auto"/>
          <w:szCs w:val="24"/>
        </w:rPr>
        <w:t xml:space="preserve">, the default </w:t>
      </w:r>
      <w:r w:rsidR="008464B0">
        <w:rPr>
          <w:color w:val="auto"/>
          <w:szCs w:val="24"/>
        </w:rPr>
        <w:t xml:space="preserve">Board position </w:t>
      </w:r>
      <w:r>
        <w:rPr>
          <w:color w:val="auto"/>
          <w:szCs w:val="24"/>
        </w:rPr>
        <w:t xml:space="preserve">is that all joints included in the PEB </w:t>
      </w:r>
      <w:r w:rsidR="00E82B9F">
        <w:rPr>
          <w:color w:val="auto"/>
          <w:szCs w:val="24"/>
        </w:rPr>
        <w:t>rating</w:t>
      </w:r>
      <w:r>
        <w:rPr>
          <w:color w:val="auto"/>
          <w:szCs w:val="24"/>
        </w:rPr>
        <w:t xml:space="preserve"> adjudication are unfit, unless the preponderance of the evidence indicates that there was no reasonable basis for the PEB to include the joint as unfitting.  </w:t>
      </w:r>
      <w:r w:rsidR="008464B0">
        <w:rPr>
          <w:color w:val="000000"/>
          <w:szCs w:val="24"/>
        </w:rPr>
        <w:t xml:space="preserve">To recommend that the PEB’s adjudication should be unbundled, yet maintain the left knee was not unfit requires a preponderance of evidence.  </w:t>
      </w:r>
    </w:p>
    <w:p w:rsidR="00772B2F" w:rsidRDefault="00772B2F" w:rsidP="00BC7416">
      <w:pPr>
        <w:jc w:val="both"/>
        <w:rPr>
          <w:color w:val="auto"/>
          <w:szCs w:val="24"/>
        </w:rPr>
      </w:pPr>
    </w:p>
    <w:p w:rsidR="007A0664" w:rsidRDefault="00772B2F" w:rsidP="00BE628F">
      <w:pPr>
        <w:jc w:val="both"/>
        <w:rPr>
          <w:color w:val="auto"/>
          <w:szCs w:val="24"/>
        </w:rPr>
      </w:pPr>
      <w:r>
        <w:rPr>
          <w:color w:val="auto"/>
          <w:szCs w:val="24"/>
        </w:rPr>
        <w:t xml:space="preserve">Given the evidence of record, it was very reasonable for the PEB to consider the </w:t>
      </w:r>
      <w:r w:rsidR="008464B0">
        <w:rPr>
          <w:color w:val="auto"/>
          <w:szCs w:val="24"/>
        </w:rPr>
        <w:t>left</w:t>
      </w:r>
      <w:r>
        <w:rPr>
          <w:color w:val="auto"/>
          <w:szCs w:val="24"/>
        </w:rPr>
        <w:t xml:space="preserve"> knee as unfitting in combination</w:t>
      </w:r>
      <w:r w:rsidR="007A0664">
        <w:rPr>
          <w:color w:val="auto"/>
          <w:szCs w:val="24"/>
        </w:rPr>
        <w:t xml:space="preserve"> with the more severe </w:t>
      </w:r>
      <w:r w:rsidR="008464B0">
        <w:rPr>
          <w:color w:val="auto"/>
          <w:szCs w:val="24"/>
        </w:rPr>
        <w:t>right</w:t>
      </w:r>
      <w:r w:rsidR="007A0664">
        <w:rPr>
          <w:color w:val="auto"/>
          <w:szCs w:val="24"/>
        </w:rPr>
        <w:t xml:space="preserve"> knee</w:t>
      </w:r>
      <w:r>
        <w:rPr>
          <w:color w:val="auto"/>
          <w:szCs w:val="24"/>
        </w:rPr>
        <w:t xml:space="preserve">.  </w:t>
      </w:r>
      <w:r w:rsidR="007A0664">
        <w:rPr>
          <w:color w:val="auto"/>
          <w:szCs w:val="24"/>
        </w:rPr>
        <w:t>The PEB disability description went to the effort of detailing the trauma/non-trauma history of each knee</w:t>
      </w:r>
      <w:r w:rsidR="00BE628F">
        <w:rPr>
          <w:color w:val="auto"/>
          <w:szCs w:val="24"/>
        </w:rPr>
        <w:t xml:space="preserve">: </w:t>
      </w:r>
      <w:r w:rsidR="007A0664">
        <w:rPr>
          <w:color w:val="auto"/>
          <w:szCs w:val="24"/>
        </w:rPr>
        <w:t xml:space="preserve"> “</w:t>
      </w:r>
      <w:r w:rsidR="00B31C44">
        <w:rPr>
          <w:color w:val="auto"/>
          <w:szCs w:val="24"/>
        </w:rPr>
        <w:t>b</w:t>
      </w:r>
      <w:r w:rsidR="00BE628F" w:rsidRPr="00BE628F">
        <w:rPr>
          <w:color w:val="auto"/>
          <w:szCs w:val="24"/>
        </w:rPr>
        <w:t>ilateral knee osteoarthritis, with the medical record supporting an injury</w:t>
      </w:r>
      <w:r w:rsidR="00BE628F">
        <w:rPr>
          <w:color w:val="auto"/>
          <w:szCs w:val="24"/>
        </w:rPr>
        <w:t xml:space="preserve"> </w:t>
      </w:r>
      <w:r w:rsidR="00BE628F" w:rsidRPr="00BE628F">
        <w:rPr>
          <w:color w:val="auto"/>
          <w:szCs w:val="24"/>
        </w:rPr>
        <w:t xml:space="preserve">to the right knee but no injury to the left. </w:t>
      </w:r>
      <w:r w:rsidR="00E82B9F">
        <w:rPr>
          <w:color w:val="auto"/>
          <w:szCs w:val="24"/>
        </w:rPr>
        <w:t xml:space="preserve"> </w:t>
      </w:r>
      <w:r w:rsidR="00BE628F" w:rsidRPr="00BE628F">
        <w:rPr>
          <w:color w:val="auto"/>
          <w:szCs w:val="24"/>
        </w:rPr>
        <w:t>Physical exam is</w:t>
      </w:r>
      <w:r w:rsidR="00BE628F">
        <w:rPr>
          <w:color w:val="auto"/>
          <w:szCs w:val="24"/>
        </w:rPr>
        <w:t xml:space="preserve"> </w:t>
      </w:r>
      <w:r w:rsidR="00BE628F" w:rsidRPr="00BE628F">
        <w:rPr>
          <w:color w:val="auto"/>
          <w:szCs w:val="24"/>
        </w:rPr>
        <w:t xml:space="preserve">non-contributory to the rating. </w:t>
      </w:r>
      <w:r w:rsidR="00E82B9F">
        <w:rPr>
          <w:color w:val="auto"/>
          <w:szCs w:val="24"/>
        </w:rPr>
        <w:t xml:space="preserve"> </w:t>
      </w:r>
      <w:r w:rsidR="00BE628F" w:rsidRPr="00BE628F">
        <w:rPr>
          <w:color w:val="auto"/>
          <w:szCs w:val="24"/>
        </w:rPr>
        <w:t>Radiographs support the diagnosis.</w:t>
      </w:r>
      <w:r w:rsidR="00BE628F">
        <w:rPr>
          <w:color w:val="auto"/>
          <w:szCs w:val="24"/>
        </w:rPr>
        <w:t>”</w:t>
      </w:r>
      <w:r w:rsidR="007A0664">
        <w:rPr>
          <w:color w:val="auto"/>
          <w:szCs w:val="24"/>
        </w:rPr>
        <w:t xml:space="preserve">  </w:t>
      </w:r>
      <w:r w:rsidR="00BE628F">
        <w:rPr>
          <w:color w:val="auto"/>
          <w:szCs w:val="24"/>
        </w:rPr>
        <w:t xml:space="preserve">The profile listed bilateral knees as limiting duty, the MEB listed bilateral knees as not meeting standards, and the dynamics of walking and standing require both knees with a limitation on one side requiring additional compensation from the opposite paired knee.  </w:t>
      </w:r>
    </w:p>
    <w:p w:rsidR="00772B2F" w:rsidRDefault="00772B2F" w:rsidP="00BC7416">
      <w:pPr>
        <w:jc w:val="both"/>
        <w:rPr>
          <w:color w:val="auto"/>
          <w:szCs w:val="24"/>
        </w:rPr>
      </w:pPr>
    </w:p>
    <w:p w:rsidR="0013679C" w:rsidRDefault="00ED1853" w:rsidP="008464B0">
      <w:pPr>
        <w:jc w:val="both"/>
        <w:rPr>
          <w:color w:val="000000"/>
          <w:szCs w:val="24"/>
        </w:rPr>
      </w:pPr>
      <w:r>
        <w:rPr>
          <w:color w:val="000000"/>
          <w:szCs w:val="24"/>
        </w:rPr>
        <w:t>T</w:t>
      </w:r>
      <w:r w:rsidR="0013679C">
        <w:rPr>
          <w:color w:val="auto"/>
          <w:szCs w:val="24"/>
        </w:rPr>
        <w:t xml:space="preserve">he right knee condition was </w:t>
      </w:r>
      <w:r w:rsidR="0013679C">
        <w:rPr>
          <w:color w:val="000000"/>
          <w:szCs w:val="24"/>
        </w:rPr>
        <w:t xml:space="preserve">clearly emphasized </w:t>
      </w:r>
      <w:r w:rsidR="00BE628F">
        <w:rPr>
          <w:color w:val="000000"/>
          <w:szCs w:val="24"/>
        </w:rPr>
        <w:t xml:space="preserve">in the record </w:t>
      </w:r>
      <w:r w:rsidR="0013679C">
        <w:rPr>
          <w:color w:val="000000"/>
          <w:szCs w:val="24"/>
        </w:rPr>
        <w:t xml:space="preserve">as more severe than the left knee and was </w:t>
      </w:r>
      <w:r w:rsidR="00BE628F">
        <w:rPr>
          <w:color w:val="000000"/>
          <w:szCs w:val="24"/>
        </w:rPr>
        <w:t xml:space="preserve">afforded more detailed exams </w:t>
      </w:r>
      <w:r w:rsidR="008464B0">
        <w:rPr>
          <w:color w:val="000000"/>
          <w:szCs w:val="24"/>
        </w:rPr>
        <w:t xml:space="preserve">and had a </w:t>
      </w:r>
      <w:r w:rsidR="00BE628F">
        <w:rPr>
          <w:color w:val="000000"/>
          <w:szCs w:val="24"/>
        </w:rPr>
        <w:t xml:space="preserve">longer profile restriction history.  However, the Board majority applied an evidentiary standard to the fit/unfit determination that would require the </w:t>
      </w:r>
      <w:r w:rsidR="008464B0">
        <w:rPr>
          <w:color w:val="000000"/>
          <w:szCs w:val="24"/>
        </w:rPr>
        <w:t>left</w:t>
      </w:r>
      <w:r w:rsidR="00BE628F">
        <w:rPr>
          <w:color w:val="000000"/>
          <w:szCs w:val="24"/>
        </w:rPr>
        <w:t xml:space="preserve"> knee condition to be “separately unfitting.”  IAW </w:t>
      </w:r>
      <w:r w:rsidR="00BE628F" w:rsidRPr="00BE628F">
        <w:rPr>
          <w:color w:val="000000"/>
          <w:szCs w:val="24"/>
        </w:rPr>
        <w:t>DoDI 1332.38</w:t>
      </w:r>
      <w:r w:rsidR="00E82B9F">
        <w:rPr>
          <w:color w:val="000000"/>
          <w:szCs w:val="24"/>
        </w:rPr>
        <w:t xml:space="preserve">, </w:t>
      </w:r>
      <w:r w:rsidR="00BE628F">
        <w:rPr>
          <w:color w:val="000000"/>
          <w:szCs w:val="24"/>
        </w:rPr>
        <w:t>medical conditions can be unfitting due to combined effect and do not need to be unfitting “</w:t>
      </w:r>
      <w:r w:rsidR="00BE628F" w:rsidRPr="004C70E6">
        <w:rPr>
          <w:color w:val="auto"/>
          <w:szCs w:val="24"/>
        </w:rPr>
        <w:t>as an isolated condition</w:t>
      </w:r>
      <w:r w:rsidR="008464B0">
        <w:rPr>
          <w:color w:val="auto"/>
          <w:szCs w:val="24"/>
        </w:rPr>
        <w:t>.</w:t>
      </w:r>
      <w:r w:rsidR="00BE628F">
        <w:rPr>
          <w:color w:val="auto"/>
          <w:szCs w:val="24"/>
        </w:rPr>
        <w:t xml:space="preserve">”  The record supports that </w:t>
      </w:r>
      <w:r w:rsidR="0013679C" w:rsidRPr="004C70E6">
        <w:rPr>
          <w:color w:val="auto"/>
          <w:szCs w:val="24"/>
        </w:rPr>
        <w:t xml:space="preserve">the PEB </w:t>
      </w:r>
      <w:r w:rsidR="008464B0">
        <w:rPr>
          <w:color w:val="auto"/>
          <w:szCs w:val="24"/>
        </w:rPr>
        <w:t>fairly judg</w:t>
      </w:r>
      <w:r w:rsidR="0013679C" w:rsidRPr="004C70E6">
        <w:rPr>
          <w:color w:val="auto"/>
          <w:szCs w:val="24"/>
        </w:rPr>
        <w:t>e</w:t>
      </w:r>
      <w:r w:rsidR="008464B0">
        <w:rPr>
          <w:color w:val="auto"/>
          <w:szCs w:val="24"/>
        </w:rPr>
        <w:t>d</w:t>
      </w:r>
      <w:r w:rsidR="0013679C" w:rsidRPr="004C70E6">
        <w:rPr>
          <w:color w:val="auto"/>
          <w:szCs w:val="24"/>
        </w:rPr>
        <w:t xml:space="preserve"> that the constellation of </w:t>
      </w:r>
      <w:r w:rsidR="008464B0">
        <w:rPr>
          <w:color w:val="auto"/>
          <w:szCs w:val="24"/>
        </w:rPr>
        <w:t xml:space="preserve">left and right knee </w:t>
      </w:r>
      <w:r w:rsidR="0013679C" w:rsidRPr="004C70E6">
        <w:rPr>
          <w:color w:val="auto"/>
          <w:szCs w:val="24"/>
        </w:rPr>
        <w:t>conditions was unfitting</w:t>
      </w:r>
      <w:r w:rsidR="00E82B9F">
        <w:rPr>
          <w:color w:val="auto"/>
          <w:szCs w:val="24"/>
        </w:rPr>
        <w:t xml:space="preserve">, </w:t>
      </w:r>
      <w:r w:rsidR="008464B0">
        <w:rPr>
          <w:color w:val="auto"/>
          <w:szCs w:val="24"/>
        </w:rPr>
        <w:t xml:space="preserve">and there was not a preponderance of the evidence to indicate that the PEB did not intend for the left knee to be considered unfitting.  </w:t>
      </w:r>
      <w:r w:rsidR="00E82B9F">
        <w:rPr>
          <w:color w:val="auto"/>
          <w:szCs w:val="24"/>
        </w:rPr>
        <w:t>Reasonable do</w:t>
      </w:r>
      <w:r w:rsidR="000624DA">
        <w:rPr>
          <w:color w:val="auto"/>
          <w:szCs w:val="24"/>
        </w:rPr>
        <w:t>ubt, although applied to rating-</w:t>
      </w:r>
      <w:r w:rsidR="00E82B9F">
        <w:rPr>
          <w:color w:val="auto"/>
          <w:szCs w:val="24"/>
        </w:rPr>
        <w:t xml:space="preserve">level determinations, is not sufficient to consider an unbundled condition as “not unfitting.”  </w:t>
      </w:r>
    </w:p>
    <w:p w:rsidR="0013679C" w:rsidRDefault="0013679C" w:rsidP="00BC7416">
      <w:pPr>
        <w:jc w:val="both"/>
        <w:rPr>
          <w:color w:val="000000"/>
          <w:szCs w:val="24"/>
        </w:rPr>
      </w:pPr>
    </w:p>
    <w:p w:rsidR="00BC7416" w:rsidRDefault="00BC7416" w:rsidP="00BC7416">
      <w:pPr>
        <w:jc w:val="both"/>
        <w:rPr>
          <w:color w:val="000000"/>
          <w:szCs w:val="24"/>
        </w:rPr>
      </w:pPr>
      <w:r>
        <w:rPr>
          <w:color w:val="000000"/>
          <w:szCs w:val="24"/>
        </w:rPr>
        <w:t xml:space="preserve">Once established as unfitting, the </w:t>
      </w:r>
      <w:r w:rsidR="00C93C3D">
        <w:rPr>
          <w:color w:val="000000"/>
          <w:szCs w:val="24"/>
        </w:rPr>
        <w:t xml:space="preserve">left knee </w:t>
      </w:r>
      <w:r w:rsidR="00E82B9F">
        <w:rPr>
          <w:color w:val="000000"/>
          <w:szCs w:val="24"/>
        </w:rPr>
        <w:t xml:space="preserve">10% </w:t>
      </w:r>
      <w:r>
        <w:rPr>
          <w:color w:val="000000"/>
          <w:szCs w:val="24"/>
        </w:rPr>
        <w:t xml:space="preserve">rating is </w:t>
      </w:r>
      <w:r w:rsidR="00C93C3D">
        <w:rPr>
          <w:color w:val="000000"/>
          <w:szCs w:val="24"/>
        </w:rPr>
        <w:t>clearly</w:t>
      </w:r>
      <w:r>
        <w:rPr>
          <w:color w:val="000000"/>
          <w:szCs w:val="24"/>
        </w:rPr>
        <w:t xml:space="preserve"> supported.  Pain</w:t>
      </w:r>
      <w:r w:rsidR="00C93C3D">
        <w:rPr>
          <w:color w:val="000000"/>
          <w:szCs w:val="24"/>
        </w:rPr>
        <w:t xml:space="preserve">-limited </w:t>
      </w:r>
      <w:r>
        <w:rPr>
          <w:color w:val="000000"/>
          <w:szCs w:val="24"/>
        </w:rPr>
        <w:t>motion</w:t>
      </w:r>
      <w:r w:rsidR="000624DA">
        <w:rPr>
          <w:color w:val="000000"/>
          <w:szCs w:val="24"/>
        </w:rPr>
        <w:t>,</w:t>
      </w:r>
      <w:r>
        <w:rPr>
          <w:color w:val="000000"/>
          <w:szCs w:val="24"/>
        </w:rPr>
        <w:t xml:space="preserve"> </w:t>
      </w:r>
      <w:r w:rsidR="00C93C3D">
        <w:rPr>
          <w:color w:val="000000"/>
          <w:szCs w:val="24"/>
        </w:rPr>
        <w:t xml:space="preserve">crepitus </w:t>
      </w:r>
      <w:r w:rsidR="000624DA">
        <w:rPr>
          <w:color w:val="000000"/>
          <w:szCs w:val="24"/>
        </w:rPr>
        <w:t>and</w:t>
      </w:r>
      <w:r>
        <w:rPr>
          <w:color w:val="000000"/>
          <w:szCs w:val="24"/>
        </w:rPr>
        <w:t xml:space="preserve"> radiographic evidence of osteoarthritis</w:t>
      </w:r>
      <w:r w:rsidR="00B31C44">
        <w:rPr>
          <w:color w:val="000000"/>
          <w:szCs w:val="24"/>
        </w:rPr>
        <w:t xml:space="preserve"> were documented on s</w:t>
      </w:r>
      <w:r w:rsidR="000624DA">
        <w:rPr>
          <w:color w:val="000000"/>
          <w:szCs w:val="24"/>
        </w:rPr>
        <w:t>ervice exam and records</w:t>
      </w:r>
      <w:r>
        <w:rPr>
          <w:color w:val="000000"/>
          <w:szCs w:val="24"/>
        </w:rPr>
        <w:t xml:space="preserve">.  Under the 5003 code and IAW </w:t>
      </w:r>
      <w:r w:rsidRPr="00AB708F">
        <w:rPr>
          <w:color w:val="auto"/>
          <w:szCs w:val="24"/>
        </w:rPr>
        <w:t>§</w:t>
      </w:r>
      <w:r>
        <w:rPr>
          <w:color w:val="000000"/>
          <w:szCs w:val="24"/>
        </w:rPr>
        <w:t xml:space="preserve">4.71a this constellation of findings </w:t>
      </w:r>
      <w:r w:rsidR="0013679C">
        <w:rPr>
          <w:color w:val="000000"/>
          <w:szCs w:val="24"/>
        </w:rPr>
        <w:t>from the higher probative value exam justifies</w:t>
      </w:r>
      <w:r>
        <w:rPr>
          <w:color w:val="000000"/>
          <w:szCs w:val="24"/>
        </w:rPr>
        <w:t xml:space="preserve"> a 10% rating.  </w:t>
      </w:r>
    </w:p>
    <w:p w:rsidR="00BC7416" w:rsidRDefault="00BC7416" w:rsidP="00BC7416">
      <w:pPr>
        <w:jc w:val="both"/>
        <w:rPr>
          <w:color w:val="000000"/>
          <w:szCs w:val="24"/>
        </w:rPr>
      </w:pPr>
    </w:p>
    <w:p w:rsidR="00BC7416" w:rsidRPr="00EA675A" w:rsidRDefault="00BC7416" w:rsidP="00BC7416">
      <w:pPr>
        <w:jc w:val="both"/>
        <w:rPr>
          <w:rFonts w:eastAsia="Calibri" w:cs="Times New Roman"/>
          <w:color w:val="auto"/>
          <w:szCs w:val="24"/>
        </w:rPr>
      </w:pPr>
      <w:r>
        <w:rPr>
          <w:color w:val="000000"/>
          <w:szCs w:val="24"/>
          <w:u w:val="single"/>
        </w:rPr>
        <w:t>RECOMMENDATION</w:t>
      </w:r>
      <w:r>
        <w:rPr>
          <w:color w:val="000000"/>
          <w:szCs w:val="24"/>
        </w:rPr>
        <w:t xml:space="preserve">:  The </w:t>
      </w:r>
      <w:r w:rsidR="00B31C44">
        <w:rPr>
          <w:color w:val="000000"/>
          <w:szCs w:val="24"/>
        </w:rPr>
        <w:t>action officer</w:t>
      </w:r>
      <w:r>
        <w:rPr>
          <w:color w:val="000000"/>
          <w:szCs w:val="24"/>
        </w:rPr>
        <w:t xml:space="preserve"> </w:t>
      </w:r>
      <w:r w:rsidR="00E82B9F">
        <w:rPr>
          <w:color w:val="000000"/>
          <w:szCs w:val="24"/>
        </w:rPr>
        <w:t xml:space="preserve">strongly </w:t>
      </w:r>
      <w:r>
        <w:rPr>
          <w:color w:val="000000"/>
          <w:szCs w:val="24"/>
        </w:rPr>
        <w:t xml:space="preserve">recommends that </w:t>
      </w:r>
      <w:r w:rsidRPr="00EA675A">
        <w:rPr>
          <w:color w:val="000000"/>
          <w:szCs w:val="24"/>
        </w:rPr>
        <w:t xml:space="preserve">the CI’s prior determination be modified as follows and that the discharge with severance pay be </w:t>
      </w:r>
      <w:proofErr w:type="spellStart"/>
      <w:r w:rsidRPr="00EA675A">
        <w:rPr>
          <w:color w:val="000000"/>
          <w:szCs w:val="24"/>
        </w:rPr>
        <w:t>recharacterized</w:t>
      </w:r>
      <w:proofErr w:type="spellEnd"/>
      <w:r w:rsidRPr="00EA675A">
        <w:rPr>
          <w:color w:val="000000"/>
          <w:szCs w:val="24"/>
        </w:rPr>
        <w:t xml:space="preserve"> to reflect permanent disability retirement, effective as of the date of h</w:t>
      </w:r>
      <w:r>
        <w:rPr>
          <w:color w:val="000000"/>
          <w:szCs w:val="24"/>
        </w:rPr>
        <w:t>is</w:t>
      </w:r>
      <w:r w:rsidRPr="00EA675A">
        <w:rPr>
          <w:color w:val="000000"/>
          <w:szCs w:val="24"/>
        </w:rPr>
        <w:t xml:space="preserve"> prior medical separation.</w:t>
      </w:r>
      <w:r w:rsidRPr="00EA675A">
        <w:rPr>
          <w:rFonts w:eastAsia="Calibri" w:cs="Times New Roman"/>
          <w:color w:val="auto"/>
          <w:szCs w:val="24"/>
        </w:rPr>
        <w:t xml:space="preserve">  </w:t>
      </w:r>
    </w:p>
    <w:p w:rsidR="00BC7416" w:rsidRPr="00C93C3D" w:rsidRDefault="00BC7416" w:rsidP="00BC7416">
      <w:pPr>
        <w:jc w:val="left"/>
        <w:rPr>
          <w:color w:val="auto"/>
          <w:szCs w:val="24"/>
        </w:rPr>
      </w:pPr>
    </w:p>
    <w:tbl>
      <w:tblPr>
        <w:tblW w:w="0" w:type="auto"/>
        <w:jc w:val="center"/>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7"/>
        <w:gridCol w:w="774"/>
        <w:gridCol w:w="1710"/>
        <w:gridCol w:w="1170"/>
      </w:tblGrid>
      <w:tr w:rsidR="00BC7416" w:rsidRPr="00C93C3D" w:rsidTr="00C93C3D">
        <w:trPr>
          <w:trHeight w:val="233"/>
          <w:jc w:val="center"/>
        </w:trPr>
        <w:tc>
          <w:tcPr>
            <w:tcW w:w="5571" w:type="dxa"/>
            <w:gridSpan w:val="2"/>
            <w:shd w:val="clear" w:color="auto" w:fill="D9D9D9"/>
            <w:vAlign w:val="center"/>
          </w:tcPr>
          <w:p w:rsidR="00BC7416" w:rsidRPr="00C93C3D" w:rsidRDefault="00BC7416" w:rsidP="00C93C3D">
            <w:pPr>
              <w:tabs>
                <w:tab w:val="left" w:pos="288"/>
                <w:tab w:val="left" w:pos="4752"/>
              </w:tabs>
              <w:rPr>
                <w:b/>
                <w:color w:val="auto"/>
                <w:szCs w:val="24"/>
              </w:rPr>
            </w:pPr>
            <w:r w:rsidRPr="00C93C3D">
              <w:rPr>
                <w:b/>
                <w:color w:val="auto"/>
                <w:szCs w:val="24"/>
              </w:rPr>
              <w:t>UNFITTING CONDITION</w:t>
            </w:r>
          </w:p>
        </w:tc>
        <w:tc>
          <w:tcPr>
            <w:tcW w:w="1710" w:type="dxa"/>
            <w:shd w:val="clear" w:color="auto" w:fill="D9D9D9"/>
            <w:vAlign w:val="center"/>
          </w:tcPr>
          <w:p w:rsidR="00BC7416" w:rsidRPr="00C93C3D" w:rsidRDefault="00BC7416" w:rsidP="00C93C3D">
            <w:pPr>
              <w:tabs>
                <w:tab w:val="left" w:pos="288"/>
                <w:tab w:val="left" w:pos="4752"/>
              </w:tabs>
              <w:rPr>
                <w:b/>
                <w:color w:val="auto"/>
                <w:szCs w:val="24"/>
              </w:rPr>
            </w:pPr>
            <w:r w:rsidRPr="00C93C3D">
              <w:rPr>
                <w:b/>
                <w:color w:val="auto"/>
                <w:szCs w:val="24"/>
              </w:rPr>
              <w:t>VASRD CODE</w:t>
            </w:r>
          </w:p>
        </w:tc>
        <w:tc>
          <w:tcPr>
            <w:tcW w:w="1170" w:type="dxa"/>
            <w:shd w:val="clear" w:color="auto" w:fill="D9D9D9"/>
            <w:vAlign w:val="center"/>
          </w:tcPr>
          <w:p w:rsidR="00BC7416" w:rsidRPr="00C93C3D" w:rsidRDefault="00BC7416" w:rsidP="00C93C3D">
            <w:pPr>
              <w:tabs>
                <w:tab w:val="left" w:pos="288"/>
                <w:tab w:val="left" w:pos="4752"/>
              </w:tabs>
              <w:rPr>
                <w:b/>
                <w:color w:val="auto"/>
                <w:szCs w:val="24"/>
              </w:rPr>
            </w:pPr>
            <w:r w:rsidRPr="00C93C3D">
              <w:rPr>
                <w:b/>
                <w:color w:val="auto"/>
                <w:szCs w:val="24"/>
              </w:rPr>
              <w:t>RATING</w:t>
            </w:r>
          </w:p>
        </w:tc>
      </w:tr>
      <w:tr w:rsidR="00BC7416" w:rsidRPr="00C93C3D" w:rsidTr="00C93C3D">
        <w:trPr>
          <w:jc w:val="center"/>
        </w:trPr>
        <w:tc>
          <w:tcPr>
            <w:tcW w:w="5571" w:type="dxa"/>
            <w:gridSpan w:val="2"/>
            <w:vAlign w:val="center"/>
          </w:tcPr>
          <w:p w:rsidR="00BC7416" w:rsidRPr="00C93C3D" w:rsidRDefault="00BC7416" w:rsidP="00C93C3D">
            <w:pPr>
              <w:tabs>
                <w:tab w:val="left" w:pos="288"/>
                <w:tab w:val="left" w:pos="4752"/>
              </w:tabs>
              <w:jc w:val="left"/>
              <w:rPr>
                <w:color w:val="auto"/>
                <w:szCs w:val="24"/>
              </w:rPr>
            </w:pPr>
            <w:r w:rsidRPr="00C93C3D">
              <w:rPr>
                <w:color w:val="auto"/>
                <w:szCs w:val="24"/>
              </w:rPr>
              <w:t>Right Knee Osteoarthritis</w:t>
            </w:r>
          </w:p>
        </w:tc>
        <w:tc>
          <w:tcPr>
            <w:tcW w:w="1710" w:type="dxa"/>
            <w:vAlign w:val="center"/>
          </w:tcPr>
          <w:p w:rsidR="00BC7416" w:rsidRPr="00C93C3D" w:rsidRDefault="00BC7416" w:rsidP="00C93C3D">
            <w:pPr>
              <w:tabs>
                <w:tab w:val="left" w:pos="288"/>
                <w:tab w:val="left" w:pos="4752"/>
              </w:tabs>
              <w:rPr>
                <w:color w:val="auto"/>
                <w:szCs w:val="24"/>
              </w:rPr>
            </w:pPr>
            <w:r w:rsidRPr="00C93C3D">
              <w:rPr>
                <w:color w:val="auto"/>
                <w:szCs w:val="24"/>
              </w:rPr>
              <w:t>5010-5261</w:t>
            </w:r>
          </w:p>
        </w:tc>
        <w:tc>
          <w:tcPr>
            <w:tcW w:w="1170" w:type="dxa"/>
            <w:vAlign w:val="center"/>
          </w:tcPr>
          <w:p w:rsidR="00BC7416" w:rsidRPr="00C93C3D" w:rsidRDefault="00BC7416" w:rsidP="00C93C3D">
            <w:pPr>
              <w:tabs>
                <w:tab w:val="left" w:pos="288"/>
                <w:tab w:val="left" w:pos="4752"/>
              </w:tabs>
              <w:rPr>
                <w:color w:val="auto"/>
                <w:szCs w:val="24"/>
              </w:rPr>
            </w:pPr>
            <w:r w:rsidRPr="00C93C3D">
              <w:rPr>
                <w:color w:val="auto"/>
                <w:szCs w:val="24"/>
              </w:rPr>
              <w:t>20%</w:t>
            </w:r>
          </w:p>
        </w:tc>
      </w:tr>
      <w:tr w:rsidR="00BC7416" w:rsidRPr="00C93C3D" w:rsidTr="00C93C3D">
        <w:trPr>
          <w:jc w:val="center"/>
        </w:trPr>
        <w:tc>
          <w:tcPr>
            <w:tcW w:w="5571" w:type="dxa"/>
            <w:gridSpan w:val="2"/>
            <w:vAlign w:val="center"/>
          </w:tcPr>
          <w:p w:rsidR="00BC7416" w:rsidRPr="00C93C3D" w:rsidRDefault="00BC7416" w:rsidP="00C93C3D">
            <w:pPr>
              <w:tabs>
                <w:tab w:val="left" w:pos="288"/>
                <w:tab w:val="left" w:pos="4752"/>
              </w:tabs>
              <w:jc w:val="left"/>
              <w:rPr>
                <w:color w:val="auto"/>
                <w:szCs w:val="24"/>
              </w:rPr>
            </w:pPr>
            <w:r w:rsidRPr="00C93C3D">
              <w:rPr>
                <w:color w:val="auto"/>
                <w:szCs w:val="24"/>
              </w:rPr>
              <w:t>Left Knee Osteoarthritis</w:t>
            </w:r>
          </w:p>
        </w:tc>
        <w:tc>
          <w:tcPr>
            <w:tcW w:w="1710" w:type="dxa"/>
            <w:vAlign w:val="center"/>
          </w:tcPr>
          <w:p w:rsidR="00BC7416" w:rsidRPr="00C93C3D" w:rsidRDefault="00BC7416" w:rsidP="00C93C3D">
            <w:pPr>
              <w:tabs>
                <w:tab w:val="left" w:pos="288"/>
                <w:tab w:val="left" w:pos="4752"/>
              </w:tabs>
              <w:rPr>
                <w:color w:val="auto"/>
                <w:szCs w:val="24"/>
              </w:rPr>
            </w:pPr>
            <w:r w:rsidRPr="00C93C3D">
              <w:rPr>
                <w:color w:val="auto"/>
                <w:szCs w:val="24"/>
              </w:rPr>
              <w:t>5099-5003</w:t>
            </w:r>
          </w:p>
        </w:tc>
        <w:tc>
          <w:tcPr>
            <w:tcW w:w="1170" w:type="dxa"/>
            <w:vAlign w:val="center"/>
          </w:tcPr>
          <w:p w:rsidR="00BC7416" w:rsidRPr="00C93C3D" w:rsidRDefault="00BC7416" w:rsidP="00C93C3D">
            <w:pPr>
              <w:tabs>
                <w:tab w:val="left" w:pos="288"/>
                <w:tab w:val="left" w:pos="4752"/>
              </w:tabs>
              <w:rPr>
                <w:color w:val="auto"/>
                <w:szCs w:val="24"/>
              </w:rPr>
            </w:pPr>
            <w:r w:rsidRPr="00C93C3D">
              <w:rPr>
                <w:color w:val="auto"/>
                <w:szCs w:val="24"/>
              </w:rPr>
              <w:t>10%</w:t>
            </w:r>
          </w:p>
        </w:tc>
      </w:tr>
      <w:tr w:rsidR="00BC7416" w:rsidRPr="00C93C3D" w:rsidTr="00C93C3D">
        <w:tblPrEx>
          <w:tblLook w:val="0000"/>
        </w:tblPrEx>
        <w:trPr>
          <w:gridBefore w:val="1"/>
          <w:wBefore w:w="4797" w:type="dxa"/>
          <w:trHeight w:val="152"/>
          <w:jc w:val="center"/>
        </w:trPr>
        <w:tc>
          <w:tcPr>
            <w:tcW w:w="2484" w:type="dxa"/>
            <w:gridSpan w:val="2"/>
            <w:tcBorders>
              <w:top w:val="single" w:sz="4" w:space="0" w:color="auto"/>
              <w:left w:val="single" w:sz="4" w:space="0" w:color="auto"/>
              <w:bottom w:val="single" w:sz="4" w:space="0" w:color="auto"/>
            </w:tcBorders>
            <w:shd w:val="clear" w:color="auto" w:fill="D9D9D9" w:themeFill="background1" w:themeFillShade="D9"/>
          </w:tcPr>
          <w:p w:rsidR="00BC7416" w:rsidRPr="00C93C3D" w:rsidRDefault="00BC7416" w:rsidP="00C93C3D">
            <w:pPr>
              <w:tabs>
                <w:tab w:val="left" w:pos="288"/>
                <w:tab w:val="left" w:pos="4752"/>
              </w:tabs>
              <w:rPr>
                <w:b/>
                <w:color w:val="auto"/>
                <w:szCs w:val="24"/>
              </w:rPr>
            </w:pPr>
            <w:r w:rsidRPr="00C93C3D">
              <w:rPr>
                <w:b/>
                <w:color w:val="auto"/>
                <w:szCs w:val="24"/>
              </w:rPr>
              <w:t>COMBINED (w/ BLF)</w:t>
            </w:r>
          </w:p>
        </w:tc>
        <w:tc>
          <w:tcPr>
            <w:tcW w:w="1170" w:type="dxa"/>
            <w:tcBorders>
              <w:bottom w:val="single" w:sz="4" w:space="0" w:color="000000"/>
            </w:tcBorders>
            <w:shd w:val="clear" w:color="auto" w:fill="D9D9D9"/>
            <w:vAlign w:val="center"/>
          </w:tcPr>
          <w:p w:rsidR="00BC7416" w:rsidRPr="00C93C3D" w:rsidRDefault="00BC7416" w:rsidP="00C93C3D">
            <w:pPr>
              <w:tabs>
                <w:tab w:val="left" w:pos="288"/>
                <w:tab w:val="left" w:pos="4752"/>
              </w:tabs>
              <w:rPr>
                <w:b/>
                <w:color w:val="auto"/>
                <w:szCs w:val="24"/>
              </w:rPr>
            </w:pPr>
            <w:r w:rsidRPr="00C93C3D">
              <w:rPr>
                <w:b/>
                <w:color w:val="auto"/>
                <w:szCs w:val="24"/>
              </w:rPr>
              <w:t>30%</w:t>
            </w:r>
          </w:p>
        </w:tc>
      </w:tr>
    </w:tbl>
    <w:p w:rsidR="000035BB" w:rsidRDefault="000035BB" w:rsidP="00E82B9F">
      <w:pPr>
        <w:tabs>
          <w:tab w:val="left" w:pos="0"/>
          <w:tab w:val="left" w:pos="4320"/>
        </w:tabs>
        <w:jc w:val="both"/>
        <w:rPr>
          <w:color w:val="auto"/>
        </w:rPr>
      </w:pPr>
    </w:p>
    <w:p w:rsidR="000035BB" w:rsidRDefault="000035BB">
      <w:pPr>
        <w:spacing w:line="240" w:lineRule="auto"/>
        <w:jc w:val="left"/>
        <w:rPr>
          <w:color w:val="auto"/>
        </w:rPr>
      </w:pPr>
      <w:r>
        <w:rPr>
          <w:color w:val="auto"/>
        </w:rPr>
        <w:br w:type="page"/>
      </w:r>
    </w:p>
    <w:p w:rsidR="000035BB" w:rsidRDefault="000035BB" w:rsidP="000035BB">
      <w:pPr>
        <w:sectPr w:rsidR="000035BB">
          <w:pgSz w:w="12240" w:h="15840"/>
          <w:pgMar w:top="2160" w:right="1440" w:bottom="1440" w:left="1440" w:header="720" w:footer="720" w:gutter="0"/>
          <w:cols w:space="720"/>
        </w:sectPr>
      </w:pPr>
    </w:p>
    <w:p w:rsidR="000035BB" w:rsidRDefault="000035BB" w:rsidP="000035BB">
      <w:pPr>
        <w:pStyle w:val="Header"/>
        <w:tabs>
          <w:tab w:val="left" w:pos="720"/>
        </w:tabs>
        <w:jc w:val="left"/>
      </w:pPr>
      <w:r>
        <w:lastRenderedPageBreak/>
        <w:t>SFMR-RB</w:t>
      </w:r>
      <w:r>
        <w:tab/>
      </w:r>
      <w:r>
        <w:tab/>
      </w:r>
      <w:r>
        <w:tab/>
      </w:r>
      <w:r>
        <w:tab/>
      </w:r>
      <w:r>
        <w:tab/>
      </w:r>
      <w:r>
        <w:tab/>
      </w:r>
      <w:r>
        <w:tab/>
      </w:r>
      <w:r>
        <w:tab/>
      </w:r>
      <w:r>
        <w:tab/>
      </w:r>
    </w:p>
    <w:p w:rsidR="000035BB" w:rsidRDefault="000035BB" w:rsidP="000035BB">
      <w:pPr>
        <w:pStyle w:val="Header"/>
        <w:tabs>
          <w:tab w:val="left" w:pos="720"/>
        </w:tabs>
        <w:jc w:val="left"/>
      </w:pPr>
    </w:p>
    <w:p w:rsidR="000035BB" w:rsidRDefault="000035BB" w:rsidP="000035BB">
      <w:pPr>
        <w:jc w:val="left"/>
      </w:pPr>
    </w:p>
    <w:p w:rsidR="000035BB" w:rsidRDefault="000035BB" w:rsidP="000035BB">
      <w:pPr>
        <w:jc w:val="left"/>
      </w:pPr>
      <w:r>
        <w:t xml:space="preserve">MEMORANDUM FOR Commander, US Army Physical Disability Agency </w:t>
      </w:r>
    </w:p>
    <w:p w:rsidR="000035BB" w:rsidRDefault="000035BB" w:rsidP="000035BB">
      <w:pPr>
        <w:jc w:val="left"/>
      </w:pPr>
      <w:r>
        <w:t xml:space="preserve">(TAPD-ZB </w:t>
      </w:r>
      <w:proofErr w:type="gramStart"/>
      <w:r>
        <w:t>/  )</w:t>
      </w:r>
      <w:proofErr w:type="gramEnd"/>
      <w:r>
        <w:t>, 2900 Crystal Drive, Suite 300, Arlington, VA  22202</w:t>
      </w:r>
    </w:p>
    <w:p w:rsidR="000035BB" w:rsidRDefault="000035BB" w:rsidP="000035BB">
      <w:pPr>
        <w:jc w:val="left"/>
      </w:pPr>
    </w:p>
    <w:p w:rsidR="000035BB" w:rsidRDefault="000035BB" w:rsidP="000035BB">
      <w:pPr>
        <w:ind w:right="-180"/>
        <w:jc w:val="left"/>
      </w:pPr>
      <w:r>
        <w:t xml:space="preserve">SUBJECT:  Department of Defense Physical Disability Board of Review Recommendation </w:t>
      </w:r>
    </w:p>
    <w:p w:rsidR="000035BB" w:rsidRDefault="000035BB" w:rsidP="000035BB">
      <w:pPr>
        <w:pStyle w:val="Header"/>
        <w:tabs>
          <w:tab w:val="left" w:pos="720"/>
        </w:tabs>
        <w:jc w:val="left"/>
      </w:pPr>
      <w:proofErr w:type="gramStart"/>
      <w:r>
        <w:t>for</w:t>
      </w:r>
      <w:proofErr w:type="gramEnd"/>
      <w:r>
        <w:t xml:space="preserve"> XXXXXXXXXXXXXXXXXXXXXX, AR20120015365 (PD201100716)</w:t>
      </w:r>
    </w:p>
    <w:p w:rsidR="000035BB" w:rsidRDefault="000035BB" w:rsidP="000035BB">
      <w:pPr>
        <w:pStyle w:val="Header"/>
        <w:tabs>
          <w:tab w:val="left" w:pos="720"/>
        </w:tabs>
        <w:jc w:val="left"/>
      </w:pPr>
    </w:p>
    <w:p w:rsidR="000035BB" w:rsidRDefault="000035BB" w:rsidP="000035BB">
      <w:pPr>
        <w:jc w:val="left"/>
      </w:pPr>
    </w:p>
    <w:p w:rsidR="000035BB" w:rsidRDefault="000035BB" w:rsidP="000035B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0035BB" w:rsidRDefault="000035BB" w:rsidP="000035BB">
      <w:pPr>
        <w:jc w:val="left"/>
      </w:pPr>
    </w:p>
    <w:p w:rsidR="000035BB" w:rsidRDefault="000035BB" w:rsidP="000035BB">
      <w:pPr>
        <w:jc w:val="left"/>
      </w:pPr>
      <w:r>
        <w:t xml:space="preserve">2.  I direct that all the Department of the Army records of the individual concerned be corrected accordingly no later than 120 days from the date of this memorandum.   </w:t>
      </w:r>
    </w:p>
    <w:p w:rsidR="000035BB" w:rsidRDefault="000035BB" w:rsidP="000035BB">
      <w:pPr>
        <w:jc w:val="left"/>
      </w:pPr>
    </w:p>
    <w:p w:rsidR="000035BB" w:rsidRDefault="000035BB" w:rsidP="000035B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035BB" w:rsidRDefault="000035BB" w:rsidP="000035BB">
      <w:pPr>
        <w:jc w:val="left"/>
      </w:pPr>
    </w:p>
    <w:p w:rsidR="000035BB" w:rsidRDefault="000035BB" w:rsidP="000035BB">
      <w:pPr>
        <w:jc w:val="left"/>
      </w:pPr>
      <w:r>
        <w:t xml:space="preserve"> BY ORDER OF THE SECRETARY OF THE ARMY:</w:t>
      </w:r>
    </w:p>
    <w:p w:rsidR="000035BB" w:rsidRDefault="000035BB" w:rsidP="000035BB">
      <w:pPr>
        <w:jc w:val="left"/>
      </w:pPr>
    </w:p>
    <w:p w:rsidR="000035BB" w:rsidRDefault="000035BB" w:rsidP="000035BB">
      <w:pPr>
        <w:jc w:val="left"/>
      </w:pPr>
    </w:p>
    <w:p w:rsidR="000035BB" w:rsidRDefault="000035BB" w:rsidP="000035BB">
      <w:pPr>
        <w:pStyle w:val="Header"/>
        <w:tabs>
          <w:tab w:val="left" w:pos="720"/>
        </w:tabs>
        <w:jc w:val="left"/>
      </w:pPr>
    </w:p>
    <w:p w:rsidR="000035BB" w:rsidRDefault="000035BB" w:rsidP="000035BB">
      <w:pPr>
        <w:jc w:val="left"/>
      </w:pPr>
    </w:p>
    <w:p w:rsidR="000035BB" w:rsidRDefault="000035BB" w:rsidP="000035BB">
      <w:pPr>
        <w:jc w:val="left"/>
      </w:pPr>
      <w:bookmarkStart w:id="0" w:name="OLE_LINK4"/>
      <w:bookmarkStart w:id="1" w:name="OLE_LINK3"/>
      <w:r>
        <w:t>Encl</w:t>
      </w:r>
      <w:r>
        <w:tab/>
      </w:r>
      <w:r>
        <w:tab/>
      </w:r>
      <w:r>
        <w:tab/>
      </w:r>
      <w:r>
        <w:tab/>
      </w:r>
      <w:r>
        <w:tab/>
      </w:r>
      <w:r>
        <w:tab/>
        <w:t xml:space="preserve">     XXXXXXXXXXXXXXXXXXXXX</w:t>
      </w:r>
    </w:p>
    <w:p w:rsidR="000035BB" w:rsidRDefault="000035BB" w:rsidP="000035BB">
      <w:pPr>
        <w:jc w:val="left"/>
      </w:pPr>
      <w:r>
        <w:tab/>
      </w:r>
      <w:r>
        <w:tab/>
      </w:r>
      <w:r>
        <w:tab/>
      </w:r>
      <w:r>
        <w:tab/>
      </w:r>
      <w:r>
        <w:tab/>
      </w:r>
      <w:r>
        <w:tab/>
        <w:t xml:space="preserve">     Deputy Assistant Secretary</w:t>
      </w:r>
    </w:p>
    <w:p w:rsidR="000035BB" w:rsidRDefault="000035BB" w:rsidP="000035BB">
      <w:pPr>
        <w:jc w:val="left"/>
      </w:pPr>
      <w:r>
        <w:tab/>
      </w:r>
      <w:r>
        <w:tab/>
      </w:r>
      <w:r>
        <w:tab/>
      </w:r>
      <w:r>
        <w:tab/>
      </w:r>
      <w:r>
        <w:tab/>
      </w:r>
      <w:r>
        <w:tab/>
        <w:t xml:space="preserve">         (Army Review Boards)</w:t>
      </w:r>
      <w:bookmarkEnd w:id="0"/>
      <w:bookmarkEnd w:id="1"/>
    </w:p>
    <w:p w:rsidR="000035BB" w:rsidRDefault="000035BB" w:rsidP="000035BB">
      <w:pPr>
        <w:jc w:val="left"/>
      </w:pPr>
    </w:p>
    <w:p w:rsidR="000035BB" w:rsidRDefault="000035BB" w:rsidP="000035BB">
      <w:pPr>
        <w:jc w:val="left"/>
      </w:pPr>
      <w:r>
        <w:t xml:space="preserve">CF: </w:t>
      </w:r>
    </w:p>
    <w:p w:rsidR="000035BB" w:rsidRDefault="000035BB" w:rsidP="000035BB">
      <w:pPr>
        <w:jc w:val="left"/>
      </w:pPr>
      <w:r>
        <w:t xml:space="preserve">(  ) </w:t>
      </w:r>
      <w:proofErr w:type="spellStart"/>
      <w:proofErr w:type="gramStart"/>
      <w:r>
        <w:t>DoD</w:t>
      </w:r>
      <w:proofErr w:type="spellEnd"/>
      <w:proofErr w:type="gramEnd"/>
      <w:r>
        <w:t xml:space="preserve"> PDBR</w:t>
      </w:r>
    </w:p>
    <w:p w:rsidR="000035BB" w:rsidRDefault="000035BB" w:rsidP="000035BB">
      <w:pPr>
        <w:jc w:val="left"/>
      </w:pPr>
      <w:r>
        <w:t>(  ) DVA</w:t>
      </w:r>
    </w:p>
    <w:p w:rsidR="00FF3E59" w:rsidRDefault="00FF3E59" w:rsidP="000035BB">
      <w:pPr>
        <w:tabs>
          <w:tab w:val="left" w:pos="0"/>
          <w:tab w:val="left" w:pos="4320"/>
        </w:tabs>
        <w:jc w:val="left"/>
        <w:rPr>
          <w:color w:val="auto"/>
        </w:rPr>
      </w:pPr>
    </w:p>
    <w:sectPr w:rsidR="00FF3E5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49" w:rsidRDefault="00DA7449">
      <w:r>
        <w:separator/>
      </w:r>
    </w:p>
  </w:endnote>
  <w:endnote w:type="continuationSeparator" w:id="0">
    <w:p w:rsidR="00DA7449" w:rsidRDefault="00DA74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A4" w:rsidRPr="00374247" w:rsidRDefault="00C01DA4" w:rsidP="00726F84">
    <w:pPr>
      <w:pStyle w:val="Footer"/>
      <w:ind w:firstLine="4320"/>
      <w:rPr>
        <w:color w:val="auto"/>
      </w:rPr>
    </w:pPr>
    <w:r w:rsidRPr="00374247">
      <w:rPr>
        <w:color w:val="auto"/>
      </w:rPr>
      <w:t xml:space="preserve">   </w:t>
    </w:r>
    <w:fldSimple w:instr=" PAGE   \* MERGEFORMAT ">
      <w:r w:rsidR="000035BB" w:rsidRPr="000035BB">
        <w:rPr>
          <w:noProof/>
          <w:color w:val="auto"/>
        </w:rPr>
        <w:t>7</w:t>
      </w:r>
    </w:fldSimple>
    <w:r w:rsidRPr="00374247">
      <w:rPr>
        <w:color w:val="auto"/>
      </w:rPr>
      <w:t xml:space="preserve">                                                           </w:t>
    </w:r>
    <w:r w:rsidR="00B7391D">
      <w:rPr>
        <w:color w:val="auto"/>
      </w:rPr>
      <w:t>PD11</w:t>
    </w:r>
    <w:r w:rsidRPr="00710614">
      <w:rPr>
        <w:color w:val="auto"/>
      </w:rPr>
      <w:t>00716</w:t>
    </w:r>
  </w:p>
  <w:p w:rsidR="00C01DA4" w:rsidRPr="00684CE6" w:rsidRDefault="00C01DA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49" w:rsidRDefault="00DA7449">
      <w:r>
        <w:separator/>
      </w:r>
    </w:p>
  </w:footnote>
  <w:footnote w:type="continuationSeparator" w:id="0">
    <w:p w:rsidR="00DA7449" w:rsidRDefault="00DA7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0ECF"/>
    <w:rsid w:val="00001EFC"/>
    <w:rsid w:val="000024F5"/>
    <w:rsid w:val="000035BB"/>
    <w:rsid w:val="00004053"/>
    <w:rsid w:val="000059FA"/>
    <w:rsid w:val="00006186"/>
    <w:rsid w:val="00006EFD"/>
    <w:rsid w:val="00006F87"/>
    <w:rsid w:val="00007107"/>
    <w:rsid w:val="000074CC"/>
    <w:rsid w:val="00007BCC"/>
    <w:rsid w:val="00010ABA"/>
    <w:rsid w:val="00010AF0"/>
    <w:rsid w:val="00010B0F"/>
    <w:rsid w:val="00012428"/>
    <w:rsid w:val="00012733"/>
    <w:rsid w:val="0001281C"/>
    <w:rsid w:val="00013417"/>
    <w:rsid w:val="000145C2"/>
    <w:rsid w:val="0001473F"/>
    <w:rsid w:val="00014A47"/>
    <w:rsid w:val="00014A9E"/>
    <w:rsid w:val="00015272"/>
    <w:rsid w:val="00015CE1"/>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24DA"/>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7C37"/>
    <w:rsid w:val="000A2BCE"/>
    <w:rsid w:val="000A31E2"/>
    <w:rsid w:val="000A33C8"/>
    <w:rsid w:val="000A41E3"/>
    <w:rsid w:val="000A4AB4"/>
    <w:rsid w:val="000A4BBA"/>
    <w:rsid w:val="000A5071"/>
    <w:rsid w:val="000B0AD2"/>
    <w:rsid w:val="000B1022"/>
    <w:rsid w:val="000B1C9E"/>
    <w:rsid w:val="000B1DD1"/>
    <w:rsid w:val="000B2FB8"/>
    <w:rsid w:val="000B3927"/>
    <w:rsid w:val="000B3FBD"/>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1F4B"/>
    <w:rsid w:val="000D21C7"/>
    <w:rsid w:val="000D248A"/>
    <w:rsid w:val="000D2C82"/>
    <w:rsid w:val="000D2CFD"/>
    <w:rsid w:val="000D35D8"/>
    <w:rsid w:val="000D387E"/>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E79BF"/>
    <w:rsid w:val="000F02BE"/>
    <w:rsid w:val="000F0928"/>
    <w:rsid w:val="000F0B3D"/>
    <w:rsid w:val="000F1E65"/>
    <w:rsid w:val="000F215C"/>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34E"/>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679C"/>
    <w:rsid w:val="001374C7"/>
    <w:rsid w:val="00140FA4"/>
    <w:rsid w:val="00141BC9"/>
    <w:rsid w:val="001420E6"/>
    <w:rsid w:val="001421FD"/>
    <w:rsid w:val="001425C8"/>
    <w:rsid w:val="00142EBA"/>
    <w:rsid w:val="00143AC7"/>
    <w:rsid w:val="00143B79"/>
    <w:rsid w:val="00145965"/>
    <w:rsid w:val="0014767E"/>
    <w:rsid w:val="00150B8A"/>
    <w:rsid w:val="00150DCB"/>
    <w:rsid w:val="00151906"/>
    <w:rsid w:val="00151912"/>
    <w:rsid w:val="00152420"/>
    <w:rsid w:val="00153740"/>
    <w:rsid w:val="001537D8"/>
    <w:rsid w:val="00153D88"/>
    <w:rsid w:val="001541C5"/>
    <w:rsid w:val="001554E4"/>
    <w:rsid w:val="0015623F"/>
    <w:rsid w:val="00156585"/>
    <w:rsid w:val="00156BA9"/>
    <w:rsid w:val="001579BC"/>
    <w:rsid w:val="00161642"/>
    <w:rsid w:val="00161761"/>
    <w:rsid w:val="00164413"/>
    <w:rsid w:val="001657BE"/>
    <w:rsid w:val="00165C7B"/>
    <w:rsid w:val="00166182"/>
    <w:rsid w:val="00166B74"/>
    <w:rsid w:val="0017038B"/>
    <w:rsid w:val="00170C94"/>
    <w:rsid w:val="0017139A"/>
    <w:rsid w:val="0017172C"/>
    <w:rsid w:val="001724C8"/>
    <w:rsid w:val="001726BA"/>
    <w:rsid w:val="001732C4"/>
    <w:rsid w:val="001745DD"/>
    <w:rsid w:val="00174FDE"/>
    <w:rsid w:val="00174FE3"/>
    <w:rsid w:val="00175515"/>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87BC6"/>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05B"/>
    <w:rsid w:val="001C545A"/>
    <w:rsid w:val="001C5BDA"/>
    <w:rsid w:val="001C5CFC"/>
    <w:rsid w:val="001C68B2"/>
    <w:rsid w:val="001C7231"/>
    <w:rsid w:val="001C7418"/>
    <w:rsid w:val="001C7EBE"/>
    <w:rsid w:val="001D0051"/>
    <w:rsid w:val="001D1362"/>
    <w:rsid w:val="001D150B"/>
    <w:rsid w:val="001D169A"/>
    <w:rsid w:val="001D2224"/>
    <w:rsid w:val="001D31AA"/>
    <w:rsid w:val="001D37B9"/>
    <w:rsid w:val="001D3DC0"/>
    <w:rsid w:val="001D4F88"/>
    <w:rsid w:val="001D55CE"/>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6E0"/>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71F"/>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CFF"/>
    <w:rsid w:val="002374C9"/>
    <w:rsid w:val="00240B2A"/>
    <w:rsid w:val="0024162D"/>
    <w:rsid w:val="0024174E"/>
    <w:rsid w:val="00241B01"/>
    <w:rsid w:val="00241ECD"/>
    <w:rsid w:val="00242238"/>
    <w:rsid w:val="0024227D"/>
    <w:rsid w:val="00242D14"/>
    <w:rsid w:val="002432F4"/>
    <w:rsid w:val="0024416A"/>
    <w:rsid w:val="0024501A"/>
    <w:rsid w:val="00246860"/>
    <w:rsid w:val="002468D9"/>
    <w:rsid w:val="00246995"/>
    <w:rsid w:val="00246DFF"/>
    <w:rsid w:val="00246E89"/>
    <w:rsid w:val="00250C57"/>
    <w:rsid w:val="0025183C"/>
    <w:rsid w:val="00251FED"/>
    <w:rsid w:val="00252351"/>
    <w:rsid w:val="002528EC"/>
    <w:rsid w:val="00252A84"/>
    <w:rsid w:val="00253EAA"/>
    <w:rsid w:val="00255049"/>
    <w:rsid w:val="00257538"/>
    <w:rsid w:val="00257AFF"/>
    <w:rsid w:val="00257DE5"/>
    <w:rsid w:val="00257F00"/>
    <w:rsid w:val="00260531"/>
    <w:rsid w:val="00260856"/>
    <w:rsid w:val="00260B9A"/>
    <w:rsid w:val="00261B7E"/>
    <w:rsid w:val="00262EA5"/>
    <w:rsid w:val="0026318D"/>
    <w:rsid w:val="00264148"/>
    <w:rsid w:val="00265C30"/>
    <w:rsid w:val="002660AF"/>
    <w:rsid w:val="00270864"/>
    <w:rsid w:val="002712F7"/>
    <w:rsid w:val="0027159C"/>
    <w:rsid w:val="002722F2"/>
    <w:rsid w:val="00274549"/>
    <w:rsid w:val="00274E46"/>
    <w:rsid w:val="002752AE"/>
    <w:rsid w:val="00275AFD"/>
    <w:rsid w:val="002769AF"/>
    <w:rsid w:val="00276C86"/>
    <w:rsid w:val="00276DEC"/>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3D31"/>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D77C0"/>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55A"/>
    <w:rsid w:val="002F08D1"/>
    <w:rsid w:val="002F0D6A"/>
    <w:rsid w:val="002F0E28"/>
    <w:rsid w:val="002F195B"/>
    <w:rsid w:val="002F1A64"/>
    <w:rsid w:val="002F287E"/>
    <w:rsid w:val="002F2981"/>
    <w:rsid w:val="002F2D63"/>
    <w:rsid w:val="002F3D6B"/>
    <w:rsid w:val="002F478B"/>
    <w:rsid w:val="002F519F"/>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4CAE"/>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2E8C"/>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3E21"/>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8C9"/>
    <w:rsid w:val="00374EA1"/>
    <w:rsid w:val="00375057"/>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684"/>
    <w:rsid w:val="00387E95"/>
    <w:rsid w:val="00390092"/>
    <w:rsid w:val="00390CFA"/>
    <w:rsid w:val="00391858"/>
    <w:rsid w:val="0039223A"/>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1EB1"/>
    <w:rsid w:val="003B2143"/>
    <w:rsid w:val="003B227A"/>
    <w:rsid w:val="003B3A77"/>
    <w:rsid w:val="003B4319"/>
    <w:rsid w:val="003B5854"/>
    <w:rsid w:val="003B6764"/>
    <w:rsid w:val="003B7A8B"/>
    <w:rsid w:val="003C1BA1"/>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DC4"/>
    <w:rsid w:val="004101B2"/>
    <w:rsid w:val="004123D7"/>
    <w:rsid w:val="00412658"/>
    <w:rsid w:val="004129DA"/>
    <w:rsid w:val="00415EA4"/>
    <w:rsid w:val="0041604B"/>
    <w:rsid w:val="004172DB"/>
    <w:rsid w:val="004174F0"/>
    <w:rsid w:val="00417999"/>
    <w:rsid w:val="00417B7C"/>
    <w:rsid w:val="00417BED"/>
    <w:rsid w:val="00420A1D"/>
    <w:rsid w:val="00420B1E"/>
    <w:rsid w:val="004211FD"/>
    <w:rsid w:val="00421485"/>
    <w:rsid w:val="004216DA"/>
    <w:rsid w:val="00421DEA"/>
    <w:rsid w:val="00422B75"/>
    <w:rsid w:val="00424458"/>
    <w:rsid w:val="00424612"/>
    <w:rsid w:val="0042528C"/>
    <w:rsid w:val="00425672"/>
    <w:rsid w:val="00425A6A"/>
    <w:rsid w:val="004267D5"/>
    <w:rsid w:val="00426A23"/>
    <w:rsid w:val="00427C7F"/>
    <w:rsid w:val="00427F54"/>
    <w:rsid w:val="004306E0"/>
    <w:rsid w:val="004316FD"/>
    <w:rsid w:val="00432A6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C49"/>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5DC4"/>
    <w:rsid w:val="00466CED"/>
    <w:rsid w:val="00466EB5"/>
    <w:rsid w:val="00467592"/>
    <w:rsid w:val="00467690"/>
    <w:rsid w:val="00467A14"/>
    <w:rsid w:val="004705E8"/>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46C6"/>
    <w:rsid w:val="004A712D"/>
    <w:rsid w:val="004A7C03"/>
    <w:rsid w:val="004B03F3"/>
    <w:rsid w:val="004B0CC9"/>
    <w:rsid w:val="004B1C61"/>
    <w:rsid w:val="004B2536"/>
    <w:rsid w:val="004B46D7"/>
    <w:rsid w:val="004B478D"/>
    <w:rsid w:val="004B4FE3"/>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0E6"/>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145"/>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1C78"/>
    <w:rsid w:val="00521D21"/>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3849"/>
    <w:rsid w:val="00555259"/>
    <w:rsid w:val="00555C66"/>
    <w:rsid w:val="005569EF"/>
    <w:rsid w:val="00556BDE"/>
    <w:rsid w:val="0055777F"/>
    <w:rsid w:val="0056056C"/>
    <w:rsid w:val="00560D57"/>
    <w:rsid w:val="00560F12"/>
    <w:rsid w:val="00562922"/>
    <w:rsid w:val="00562A94"/>
    <w:rsid w:val="00563FAD"/>
    <w:rsid w:val="00565636"/>
    <w:rsid w:val="005665F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BFD"/>
    <w:rsid w:val="00583379"/>
    <w:rsid w:val="0058417C"/>
    <w:rsid w:val="005843C9"/>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2BF"/>
    <w:rsid w:val="005F097E"/>
    <w:rsid w:val="005F1115"/>
    <w:rsid w:val="005F1AB6"/>
    <w:rsid w:val="005F27F2"/>
    <w:rsid w:val="005F2A7E"/>
    <w:rsid w:val="005F2B27"/>
    <w:rsid w:val="005F3567"/>
    <w:rsid w:val="005F3AFE"/>
    <w:rsid w:val="005F424D"/>
    <w:rsid w:val="005F5342"/>
    <w:rsid w:val="005F55F5"/>
    <w:rsid w:val="005F5B74"/>
    <w:rsid w:val="005F5D61"/>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0CAF"/>
    <w:rsid w:val="006211D0"/>
    <w:rsid w:val="00621595"/>
    <w:rsid w:val="0062359D"/>
    <w:rsid w:val="006235F5"/>
    <w:rsid w:val="00623634"/>
    <w:rsid w:val="00624D0C"/>
    <w:rsid w:val="00626063"/>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6BEA"/>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1A55"/>
    <w:rsid w:val="006823F2"/>
    <w:rsid w:val="00682486"/>
    <w:rsid w:val="006833A7"/>
    <w:rsid w:val="00684CE6"/>
    <w:rsid w:val="00684E2B"/>
    <w:rsid w:val="006857A0"/>
    <w:rsid w:val="006870CE"/>
    <w:rsid w:val="00687C7E"/>
    <w:rsid w:val="00687D3D"/>
    <w:rsid w:val="00690569"/>
    <w:rsid w:val="00690982"/>
    <w:rsid w:val="00690FDA"/>
    <w:rsid w:val="00691E61"/>
    <w:rsid w:val="00692180"/>
    <w:rsid w:val="006937C6"/>
    <w:rsid w:val="00693C5E"/>
    <w:rsid w:val="00693CEE"/>
    <w:rsid w:val="006940B1"/>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4461"/>
    <w:rsid w:val="006C6AB1"/>
    <w:rsid w:val="006C6E6B"/>
    <w:rsid w:val="006C714C"/>
    <w:rsid w:val="006C73D4"/>
    <w:rsid w:val="006D145F"/>
    <w:rsid w:val="006D2000"/>
    <w:rsid w:val="006D2D39"/>
    <w:rsid w:val="006D2F31"/>
    <w:rsid w:val="006D4250"/>
    <w:rsid w:val="006D4E0E"/>
    <w:rsid w:val="006D5861"/>
    <w:rsid w:val="006D5CE2"/>
    <w:rsid w:val="006D5E1E"/>
    <w:rsid w:val="006D713F"/>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AC2"/>
    <w:rsid w:val="006F2B5B"/>
    <w:rsid w:val="006F45A0"/>
    <w:rsid w:val="006F4F06"/>
    <w:rsid w:val="006F5A4E"/>
    <w:rsid w:val="006F5D37"/>
    <w:rsid w:val="006F6005"/>
    <w:rsid w:val="006F674E"/>
    <w:rsid w:val="006F6BDE"/>
    <w:rsid w:val="006F7209"/>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614"/>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5BD1"/>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A7C"/>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2B2F"/>
    <w:rsid w:val="00773AF7"/>
    <w:rsid w:val="00773C45"/>
    <w:rsid w:val="00774FFD"/>
    <w:rsid w:val="00776E0E"/>
    <w:rsid w:val="00780378"/>
    <w:rsid w:val="0078085E"/>
    <w:rsid w:val="00781BD4"/>
    <w:rsid w:val="00782562"/>
    <w:rsid w:val="007828B4"/>
    <w:rsid w:val="00782C11"/>
    <w:rsid w:val="00782CC1"/>
    <w:rsid w:val="00784832"/>
    <w:rsid w:val="00784EA0"/>
    <w:rsid w:val="00785C75"/>
    <w:rsid w:val="00785D77"/>
    <w:rsid w:val="00786111"/>
    <w:rsid w:val="00790963"/>
    <w:rsid w:val="0079150B"/>
    <w:rsid w:val="0079154B"/>
    <w:rsid w:val="00791A14"/>
    <w:rsid w:val="00791EED"/>
    <w:rsid w:val="00791F1E"/>
    <w:rsid w:val="007927BE"/>
    <w:rsid w:val="007935B8"/>
    <w:rsid w:val="00794ADE"/>
    <w:rsid w:val="00794F3D"/>
    <w:rsid w:val="00795CE9"/>
    <w:rsid w:val="00796045"/>
    <w:rsid w:val="007968AC"/>
    <w:rsid w:val="007969AB"/>
    <w:rsid w:val="007973D8"/>
    <w:rsid w:val="00797801"/>
    <w:rsid w:val="007A0664"/>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04DD"/>
    <w:rsid w:val="007D136C"/>
    <w:rsid w:val="007D1FCE"/>
    <w:rsid w:val="007D21AC"/>
    <w:rsid w:val="007D24B0"/>
    <w:rsid w:val="007D3882"/>
    <w:rsid w:val="007D39E4"/>
    <w:rsid w:val="007D3FE7"/>
    <w:rsid w:val="007D491F"/>
    <w:rsid w:val="007D4CFC"/>
    <w:rsid w:val="007D568A"/>
    <w:rsid w:val="007D574E"/>
    <w:rsid w:val="007D57C0"/>
    <w:rsid w:val="007D5AEC"/>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86"/>
    <w:rsid w:val="007F1AFD"/>
    <w:rsid w:val="007F253E"/>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0"/>
    <w:rsid w:val="00844842"/>
    <w:rsid w:val="0084493E"/>
    <w:rsid w:val="00844A53"/>
    <w:rsid w:val="00844B99"/>
    <w:rsid w:val="00844DD0"/>
    <w:rsid w:val="008455C8"/>
    <w:rsid w:val="00846407"/>
    <w:rsid w:val="008464B0"/>
    <w:rsid w:val="00846F3A"/>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376"/>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734A"/>
    <w:rsid w:val="008778F7"/>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C59"/>
    <w:rsid w:val="008A1CC3"/>
    <w:rsid w:val="008A29D8"/>
    <w:rsid w:val="008A39D7"/>
    <w:rsid w:val="008A4B0F"/>
    <w:rsid w:val="008A55DE"/>
    <w:rsid w:val="008A5705"/>
    <w:rsid w:val="008A5C34"/>
    <w:rsid w:val="008A63A9"/>
    <w:rsid w:val="008A7073"/>
    <w:rsid w:val="008A79F0"/>
    <w:rsid w:val="008A7F7E"/>
    <w:rsid w:val="008B04DB"/>
    <w:rsid w:val="008B09B4"/>
    <w:rsid w:val="008B1124"/>
    <w:rsid w:val="008B1B11"/>
    <w:rsid w:val="008B1DF4"/>
    <w:rsid w:val="008B27FD"/>
    <w:rsid w:val="008B2A25"/>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A1E"/>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86B"/>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453"/>
    <w:rsid w:val="009809B8"/>
    <w:rsid w:val="00981086"/>
    <w:rsid w:val="009818AF"/>
    <w:rsid w:val="00981B1C"/>
    <w:rsid w:val="0098222D"/>
    <w:rsid w:val="009842F3"/>
    <w:rsid w:val="00984B1A"/>
    <w:rsid w:val="00984EBF"/>
    <w:rsid w:val="00985099"/>
    <w:rsid w:val="00985D32"/>
    <w:rsid w:val="00986514"/>
    <w:rsid w:val="00986FCC"/>
    <w:rsid w:val="00990FD6"/>
    <w:rsid w:val="009925ED"/>
    <w:rsid w:val="00992BF4"/>
    <w:rsid w:val="009935C3"/>
    <w:rsid w:val="0099421F"/>
    <w:rsid w:val="00994D33"/>
    <w:rsid w:val="00994FC8"/>
    <w:rsid w:val="009A0346"/>
    <w:rsid w:val="009A0DE3"/>
    <w:rsid w:val="009A1643"/>
    <w:rsid w:val="009A215A"/>
    <w:rsid w:val="009A26B9"/>
    <w:rsid w:val="009A49D3"/>
    <w:rsid w:val="009A4F1B"/>
    <w:rsid w:val="009A59E2"/>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7A5A"/>
    <w:rsid w:val="009E09D0"/>
    <w:rsid w:val="009E0C9F"/>
    <w:rsid w:val="009E1181"/>
    <w:rsid w:val="009E1283"/>
    <w:rsid w:val="009E3A7F"/>
    <w:rsid w:val="009E4C9B"/>
    <w:rsid w:val="009E4DFC"/>
    <w:rsid w:val="009E5045"/>
    <w:rsid w:val="009E5789"/>
    <w:rsid w:val="009E57B1"/>
    <w:rsid w:val="009E6379"/>
    <w:rsid w:val="009F020F"/>
    <w:rsid w:val="009F077E"/>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DF1"/>
    <w:rsid w:val="00A130E8"/>
    <w:rsid w:val="00A15B6B"/>
    <w:rsid w:val="00A15EB4"/>
    <w:rsid w:val="00A16172"/>
    <w:rsid w:val="00A16876"/>
    <w:rsid w:val="00A17B3E"/>
    <w:rsid w:val="00A200AA"/>
    <w:rsid w:val="00A20558"/>
    <w:rsid w:val="00A211DD"/>
    <w:rsid w:val="00A2186F"/>
    <w:rsid w:val="00A2202E"/>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23"/>
    <w:rsid w:val="00A47CF1"/>
    <w:rsid w:val="00A50418"/>
    <w:rsid w:val="00A5088C"/>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A05"/>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CCA"/>
    <w:rsid w:val="00A756C4"/>
    <w:rsid w:val="00A7592B"/>
    <w:rsid w:val="00A75ED7"/>
    <w:rsid w:val="00A76094"/>
    <w:rsid w:val="00A768E2"/>
    <w:rsid w:val="00A82C52"/>
    <w:rsid w:val="00A838E8"/>
    <w:rsid w:val="00A83C15"/>
    <w:rsid w:val="00A84EC4"/>
    <w:rsid w:val="00A86530"/>
    <w:rsid w:val="00A86CB6"/>
    <w:rsid w:val="00A90D55"/>
    <w:rsid w:val="00A91E6C"/>
    <w:rsid w:val="00A92097"/>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2959"/>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40"/>
    <w:rsid w:val="00B04562"/>
    <w:rsid w:val="00B0472F"/>
    <w:rsid w:val="00B050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1C44"/>
    <w:rsid w:val="00B32179"/>
    <w:rsid w:val="00B32341"/>
    <w:rsid w:val="00B32685"/>
    <w:rsid w:val="00B32C2B"/>
    <w:rsid w:val="00B33007"/>
    <w:rsid w:val="00B331A9"/>
    <w:rsid w:val="00B33498"/>
    <w:rsid w:val="00B33598"/>
    <w:rsid w:val="00B3575C"/>
    <w:rsid w:val="00B36569"/>
    <w:rsid w:val="00B370BB"/>
    <w:rsid w:val="00B37345"/>
    <w:rsid w:val="00B37F53"/>
    <w:rsid w:val="00B40A05"/>
    <w:rsid w:val="00B40A3E"/>
    <w:rsid w:val="00B412DB"/>
    <w:rsid w:val="00B427BB"/>
    <w:rsid w:val="00B42CF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2B1"/>
    <w:rsid w:val="00B643A6"/>
    <w:rsid w:val="00B64DD6"/>
    <w:rsid w:val="00B64F78"/>
    <w:rsid w:val="00B66505"/>
    <w:rsid w:val="00B6710C"/>
    <w:rsid w:val="00B67E84"/>
    <w:rsid w:val="00B72076"/>
    <w:rsid w:val="00B72303"/>
    <w:rsid w:val="00B727A9"/>
    <w:rsid w:val="00B72C72"/>
    <w:rsid w:val="00B72D6F"/>
    <w:rsid w:val="00B72ED9"/>
    <w:rsid w:val="00B731E4"/>
    <w:rsid w:val="00B7391D"/>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1A6"/>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3F05"/>
    <w:rsid w:val="00BB45B5"/>
    <w:rsid w:val="00BB4DDE"/>
    <w:rsid w:val="00BB6064"/>
    <w:rsid w:val="00BB65CE"/>
    <w:rsid w:val="00BB7012"/>
    <w:rsid w:val="00BC08E4"/>
    <w:rsid w:val="00BC09D1"/>
    <w:rsid w:val="00BC1CF3"/>
    <w:rsid w:val="00BC2BE0"/>
    <w:rsid w:val="00BC3573"/>
    <w:rsid w:val="00BC5860"/>
    <w:rsid w:val="00BC60A5"/>
    <w:rsid w:val="00BC7416"/>
    <w:rsid w:val="00BC7F82"/>
    <w:rsid w:val="00BD1844"/>
    <w:rsid w:val="00BD2017"/>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28F"/>
    <w:rsid w:val="00BE6365"/>
    <w:rsid w:val="00BF01B7"/>
    <w:rsid w:val="00BF0B7F"/>
    <w:rsid w:val="00BF0E94"/>
    <w:rsid w:val="00BF23D5"/>
    <w:rsid w:val="00BF2988"/>
    <w:rsid w:val="00BF3FB9"/>
    <w:rsid w:val="00BF4012"/>
    <w:rsid w:val="00BF4225"/>
    <w:rsid w:val="00BF4720"/>
    <w:rsid w:val="00BF4F49"/>
    <w:rsid w:val="00BF5329"/>
    <w:rsid w:val="00BF53FC"/>
    <w:rsid w:val="00BF6759"/>
    <w:rsid w:val="00BF70A6"/>
    <w:rsid w:val="00BF72CA"/>
    <w:rsid w:val="00BF774D"/>
    <w:rsid w:val="00BF7B4F"/>
    <w:rsid w:val="00BF7B63"/>
    <w:rsid w:val="00BF7F3C"/>
    <w:rsid w:val="00C005D4"/>
    <w:rsid w:val="00C00671"/>
    <w:rsid w:val="00C01DA4"/>
    <w:rsid w:val="00C0359D"/>
    <w:rsid w:val="00C038EC"/>
    <w:rsid w:val="00C03C21"/>
    <w:rsid w:val="00C043BB"/>
    <w:rsid w:val="00C048EC"/>
    <w:rsid w:val="00C05C6D"/>
    <w:rsid w:val="00C0671A"/>
    <w:rsid w:val="00C072D7"/>
    <w:rsid w:val="00C10156"/>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0E14"/>
    <w:rsid w:val="00C51962"/>
    <w:rsid w:val="00C53531"/>
    <w:rsid w:val="00C5377C"/>
    <w:rsid w:val="00C53E8A"/>
    <w:rsid w:val="00C54DF3"/>
    <w:rsid w:val="00C560A7"/>
    <w:rsid w:val="00C566C9"/>
    <w:rsid w:val="00C56FC8"/>
    <w:rsid w:val="00C60F23"/>
    <w:rsid w:val="00C6170B"/>
    <w:rsid w:val="00C62EB2"/>
    <w:rsid w:val="00C63431"/>
    <w:rsid w:val="00C64C87"/>
    <w:rsid w:val="00C65198"/>
    <w:rsid w:val="00C65414"/>
    <w:rsid w:val="00C6590A"/>
    <w:rsid w:val="00C65BE0"/>
    <w:rsid w:val="00C665FE"/>
    <w:rsid w:val="00C71BEC"/>
    <w:rsid w:val="00C73942"/>
    <w:rsid w:val="00C73A83"/>
    <w:rsid w:val="00C74D3A"/>
    <w:rsid w:val="00C75F3D"/>
    <w:rsid w:val="00C80511"/>
    <w:rsid w:val="00C80655"/>
    <w:rsid w:val="00C807D4"/>
    <w:rsid w:val="00C81937"/>
    <w:rsid w:val="00C81E0C"/>
    <w:rsid w:val="00C826F5"/>
    <w:rsid w:val="00C83740"/>
    <w:rsid w:val="00C84527"/>
    <w:rsid w:val="00C845FF"/>
    <w:rsid w:val="00C84AD1"/>
    <w:rsid w:val="00C85579"/>
    <w:rsid w:val="00C8590C"/>
    <w:rsid w:val="00C862F1"/>
    <w:rsid w:val="00C863E5"/>
    <w:rsid w:val="00C87BE6"/>
    <w:rsid w:val="00C87F76"/>
    <w:rsid w:val="00C910DE"/>
    <w:rsid w:val="00C9220C"/>
    <w:rsid w:val="00C931FC"/>
    <w:rsid w:val="00C932C5"/>
    <w:rsid w:val="00C93C3D"/>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1E5"/>
    <w:rsid w:val="00CB758D"/>
    <w:rsid w:val="00CB7A3E"/>
    <w:rsid w:val="00CB7FF7"/>
    <w:rsid w:val="00CC0D0E"/>
    <w:rsid w:val="00CC1253"/>
    <w:rsid w:val="00CC19B3"/>
    <w:rsid w:val="00CC2044"/>
    <w:rsid w:val="00CC2719"/>
    <w:rsid w:val="00CC39D2"/>
    <w:rsid w:val="00CC3ABC"/>
    <w:rsid w:val="00CC55D6"/>
    <w:rsid w:val="00CC59B4"/>
    <w:rsid w:val="00CC61D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7B03"/>
    <w:rsid w:val="00CF0280"/>
    <w:rsid w:val="00CF095C"/>
    <w:rsid w:val="00CF158D"/>
    <w:rsid w:val="00CF2166"/>
    <w:rsid w:val="00CF2800"/>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3F00"/>
    <w:rsid w:val="00D05669"/>
    <w:rsid w:val="00D061EB"/>
    <w:rsid w:val="00D06952"/>
    <w:rsid w:val="00D07A72"/>
    <w:rsid w:val="00D10577"/>
    <w:rsid w:val="00D12405"/>
    <w:rsid w:val="00D12A4E"/>
    <w:rsid w:val="00D1323B"/>
    <w:rsid w:val="00D13861"/>
    <w:rsid w:val="00D14BAE"/>
    <w:rsid w:val="00D14BFC"/>
    <w:rsid w:val="00D15107"/>
    <w:rsid w:val="00D1648B"/>
    <w:rsid w:val="00D16819"/>
    <w:rsid w:val="00D17DD9"/>
    <w:rsid w:val="00D20AC0"/>
    <w:rsid w:val="00D229E7"/>
    <w:rsid w:val="00D2321B"/>
    <w:rsid w:val="00D23350"/>
    <w:rsid w:val="00D237E7"/>
    <w:rsid w:val="00D23DE4"/>
    <w:rsid w:val="00D24170"/>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4B5"/>
    <w:rsid w:val="00D94F76"/>
    <w:rsid w:val="00D95984"/>
    <w:rsid w:val="00D95C64"/>
    <w:rsid w:val="00D9706F"/>
    <w:rsid w:val="00D972D4"/>
    <w:rsid w:val="00DA0614"/>
    <w:rsid w:val="00DA0FE3"/>
    <w:rsid w:val="00DA15D0"/>
    <w:rsid w:val="00DA195B"/>
    <w:rsid w:val="00DA27F3"/>
    <w:rsid w:val="00DA2D1E"/>
    <w:rsid w:val="00DA3EC8"/>
    <w:rsid w:val="00DA40C1"/>
    <w:rsid w:val="00DA5564"/>
    <w:rsid w:val="00DA6B55"/>
    <w:rsid w:val="00DA6B97"/>
    <w:rsid w:val="00DA6CEE"/>
    <w:rsid w:val="00DA7449"/>
    <w:rsid w:val="00DA7997"/>
    <w:rsid w:val="00DB0015"/>
    <w:rsid w:val="00DB0359"/>
    <w:rsid w:val="00DB07BF"/>
    <w:rsid w:val="00DB0A64"/>
    <w:rsid w:val="00DB0ABB"/>
    <w:rsid w:val="00DB1D01"/>
    <w:rsid w:val="00DB226C"/>
    <w:rsid w:val="00DB2AAD"/>
    <w:rsid w:val="00DB44E2"/>
    <w:rsid w:val="00DB4A6D"/>
    <w:rsid w:val="00DB5941"/>
    <w:rsid w:val="00DB626D"/>
    <w:rsid w:val="00DB6365"/>
    <w:rsid w:val="00DB756C"/>
    <w:rsid w:val="00DC07B7"/>
    <w:rsid w:val="00DC0BF1"/>
    <w:rsid w:val="00DC11B7"/>
    <w:rsid w:val="00DC1607"/>
    <w:rsid w:val="00DC17F2"/>
    <w:rsid w:val="00DC21EE"/>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342"/>
    <w:rsid w:val="00DE0C67"/>
    <w:rsid w:val="00DE1551"/>
    <w:rsid w:val="00DE3555"/>
    <w:rsid w:val="00DE3AAD"/>
    <w:rsid w:val="00DE598A"/>
    <w:rsid w:val="00DE5A80"/>
    <w:rsid w:val="00DE5EB5"/>
    <w:rsid w:val="00DE6952"/>
    <w:rsid w:val="00DE6FBE"/>
    <w:rsid w:val="00DE7444"/>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2912"/>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2B9F"/>
    <w:rsid w:val="00E83187"/>
    <w:rsid w:val="00E831E9"/>
    <w:rsid w:val="00E84DDA"/>
    <w:rsid w:val="00E8608F"/>
    <w:rsid w:val="00E86C1D"/>
    <w:rsid w:val="00E90703"/>
    <w:rsid w:val="00E90A62"/>
    <w:rsid w:val="00E9265E"/>
    <w:rsid w:val="00E956DB"/>
    <w:rsid w:val="00E957D7"/>
    <w:rsid w:val="00E9763D"/>
    <w:rsid w:val="00EA00A4"/>
    <w:rsid w:val="00EA0702"/>
    <w:rsid w:val="00EA0A7E"/>
    <w:rsid w:val="00EA1177"/>
    <w:rsid w:val="00EA118B"/>
    <w:rsid w:val="00EA11B6"/>
    <w:rsid w:val="00EA2181"/>
    <w:rsid w:val="00EA2DD8"/>
    <w:rsid w:val="00EA30FC"/>
    <w:rsid w:val="00EA4475"/>
    <w:rsid w:val="00EA52FE"/>
    <w:rsid w:val="00EA681F"/>
    <w:rsid w:val="00EB04C6"/>
    <w:rsid w:val="00EB06A6"/>
    <w:rsid w:val="00EB29EA"/>
    <w:rsid w:val="00EB2D01"/>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1853"/>
    <w:rsid w:val="00ED2874"/>
    <w:rsid w:val="00ED290C"/>
    <w:rsid w:val="00ED2A6C"/>
    <w:rsid w:val="00ED4773"/>
    <w:rsid w:val="00ED4FF0"/>
    <w:rsid w:val="00ED5284"/>
    <w:rsid w:val="00ED53B5"/>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2E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2D67"/>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2C96"/>
    <w:rsid w:val="00F43AD6"/>
    <w:rsid w:val="00F43D6C"/>
    <w:rsid w:val="00F46964"/>
    <w:rsid w:val="00F46F9A"/>
    <w:rsid w:val="00F470FD"/>
    <w:rsid w:val="00F50F30"/>
    <w:rsid w:val="00F5126A"/>
    <w:rsid w:val="00F5126E"/>
    <w:rsid w:val="00F516EF"/>
    <w:rsid w:val="00F51755"/>
    <w:rsid w:val="00F531D9"/>
    <w:rsid w:val="00F54D8E"/>
    <w:rsid w:val="00F5580D"/>
    <w:rsid w:val="00F56398"/>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3B9A"/>
    <w:rsid w:val="00F853AE"/>
    <w:rsid w:val="00F90376"/>
    <w:rsid w:val="00F908D5"/>
    <w:rsid w:val="00F912A0"/>
    <w:rsid w:val="00F913B9"/>
    <w:rsid w:val="00F91B14"/>
    <w:rsid w:val="00F92A1B"/>
    <w:rsid w:val="00F92CB5"/>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B7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0B4"/>
    <w:rsid w:val="00FC2A13"/>
    <w:rsid w:val="00FC4284"/>
    <w:rsid w:val="00FC4576"/>
    <w:rsid w:val="00FC494C"/>
    <w:rsid w:val="00FC5FF5"/>
    <w:rsid w:val="00FC6285"/>
    <w:rsid w:val="00FC78FB"/>
    <w:rsid w:val="00FC7DBC"/>
    <w:rsid w:val="00FD076A"/>
    <w:rsid w:val="00FD0AA0"/>
    <w:rsid w:val="00FD1D5A"/>
    <w:rsid w:val="00FD2E3F"/>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0A9"/>
    <w:rsid w:val="00FE6469"/>
    <w:rsid w:val="00FE7C22"/>
    <w:rsid w:val="00FE7C6D"/>
    <w:rsid w:val="00FE7EB9"/>
    <w:rsid w:val="00FF05D0"/>
    <w:rsid w:val="00FF06CE"/>
    <w:rsid w:val="00FF0D57"/>
    <w:rsid w:val="00FF0DC2"/>
    <w:rsid w:val="00FF0FF7"/>
    <w:rsid w:val="00FF1022"/>
    <w:rsid w:val="00FF10A2"/>
    <w:rsid w:val="00FF1438"/>
    <w:rsid w:val="00FF22BD"/>
    <w:rsid w:val="00FF28D3"/>
    <w:rsid w:val="00FF3A38"/>
    <w:rsid w:val="00FF3C25"/>
    <w:rsid w:val="00FF3E59"/>
    <w:rsid w:val="00FF4129"/>
    <w:rsid w:val="00FF44F7"/>
    <w:rsid w:val="00FF4C90"/>
    <w:rsid w:val="00FF5806"/>
    <w:rsid w:val="00FF61BD"/>
    <w:rsid w:val="00FF731B"/>
    <w:rsid w:val="00FF747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37132977">
      <w:bodyDiv w:val="1"/>
      <w:marLeft w:val="0"/>
      <w:marRight w:val="0"/>
      <w:marTop w:val="0"/>
      <w:marBottom w:val="0"/>
      <w:divBdr>
        <w:top w:val="none" w:sz="0" w:space="0" w:color="auto"/>
        <w:left w:val="none" w:sz="0" w:space="0" w:color="auto"/>
        <w:bottom w:val="none" w:sz="0" w:space="0" w:color="auto"/>
        <w:right w:val="none" w:sz="0" w:space="0" w:color="auto"/>
      </w:divBdr>
    </w:div>
    <w:div w:id="498540533">
      <w:bodyDiv w:val="1"/>
      <w:marLeft w:val="0"/>
      <w:marRight w:val="0"/>
      <w:marTop w:val="0"/>
      <w:marBottom w:val="0"/>
      <w:divBdr>
        <w:top w:val="none" w:sz="0" w:space="0" w:color="auto"/>
        <w:left w:val="none" w:sz="0" w:space="0" w:color="auto"/>
        <w:bottom w:val="none" w:sz="0" w:space="0" w:color="auto"/>
        <w:right w:val="none" w:sz="0" w:space="0" w:color="auto"/>
      </w:divBdr>
    </w:div>
    <w:div w:id="690449253">
      <w:bodyDiv w:val="1"/>
      <w:marLeft w:val="0"/>
      <w:marRight w:val="0"/>
      <w:marTop w:val="0"/>
      <w:marBottom w:val="0"/>
      <w:divBdr>
        <w:top w:val="none" w:sz="0" w:space="0" w:color="auto"/>
        <w:left w:val="none" w:sz="0" w:space="0" w:color="auto"/>
        <w:bottom w:val="none" w:sz="0" w:space="0" w:color="auto"/>
        <w:right w:val="none" w:sz="0" w:space="0" w:color="auto"/>
      </w:divBdr>
    </w:div>
    <w:div w:id="808591976">
      <w:bodyDiv w:val="1"/>
      <w:marLeft w:val="0"/>
      <w:marRight w:val="0"/>
      <w:marTop w:val="0"/>
      <w:marBottom w:val="0"/>
      <w:divBdr>
        <w:top w:val="none" w:sz="0" w:space="0" w:color="auto"/>
        <w:left w:val="none" w:sz="0" w:space="0" w:color="auto"/>
        <w:bottom w:val="none" w:sz="0" w:space="0" w:color="auto"/>
        <w:right w:val="none" w:sz="0" w:space="0" w:color="auto"/>
      </w:divBdr>
    </w:div>
    <w:div w:id="950867056">
      <w:bodyDiv w:val="1"/>
      <w:marLeft w:val="0"/>
      <w:marRight w:val="0"/>
      <w:marTop w:val="0"/>
      <w:marBottom w:val="0"/>
      <w:divBdr>
        <w:top w:val="none" w:sz="0" w:space="0" w:color="auto"/>
        <w:left w:val="none" w:sz="0" w:space="0" w:color="auto"/>
        <w:bottom w:val="none" w:sz="0" w:space="0" w:color="auto"/>
        <w:right w:val="none" w:sz="0" w:space="0" w:color="auto"/>
      </w:divBdr>
    </w:div>
    <w:div w:id="1167984044">
      <w:bodyDiv w:val="1"/>
      <w:marLeft w:val="0"/>
      <w:marRight w:val="0"/>
      <w:marTop w:val="0"/>
      <w:marBottom w:val="0"/>
      <w:divBdr>
        <w:top w:val="none" w:sz="0" w:space="0" w:color="auto"/>
        <w:left w:val="none" w:sz="0" w:space="0" w:color="auto"/>
        <w:bottom w:val="none" w:sz="0" w:space="0" w:color="auto"/>
        <w:right w:val="none" w:sz="0" w:space="0" w:color="auto"/>
      </w:divBdr>
    </w:div>
    <w:div w:id="166797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2012-09-28T17:52:00Z</dcterms:created>
  <dcterms:modified xsi:type="dcterms:W3CDTF">2012-09-28T17:52:00Z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