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5D06CA" w:rsidRDefault="00F629C0" w:rsidP="00BD7D37">
      <w:pPr>
        <w:tabs>
          <w:tab w:val="left" w:pos="288"/>
          <w:tab w:val="right" w:pos="9360"/>
        </w:tabs>
        <w:jc w:val="both"/>
        <w:rPr>
          <w:caps/>
          <w:color w:val="000000" w:themeColor="text1"/>
        </w:rPr>
      </w:pPr>
      <w:r w:rsidRPr="001F29F9">
        <w:rPr>
          <w:caps/>
          <w:color w:val="000000" w:themeColor="text1"/>
        </w:rPr>
        <w:t xml:space="preserve">NAME:  </w:t>
      </w:r>
      <w:r w:rsidR="0012169A">
        <w:rPr>
          <w:caps/>
          <w:color w:val="000000" w:themeColor="text1"/>
        </w:rPr>
        <w:t>XXXXXXXX</w:t>
      </w:r>
      <w:r w:rsidR="004216DA" w:rsidRPr="005D06CA">
        <w:rPr>
          <w:caps/>
          <w:color w:val="000000" w:themeColor="text1"/>
        </w:rPr>
        <w:t xml:space="preserve">            </w:t>
      </w:r>
      <w:r w:rsidR="00BD7D37">
        <w:rPr>
          <w:caps/>
          <w:color w:val="000000" w:themeColor="text1"/>
        </w:rPr>
        <w:tab/>
      </w:r>
      <w:r w:rsidRPr="005D06CA">
        <w:rPr>
          <w:caps/>
          <w:color w:val="000000" w:themeColor="text1"/>
        </w:rPr>
        <w:t xml:space="preserve">BRANCH OF SERVICE: </w:t>
      </w:r>
      <w:r w:rsidR="004C24C5" w:rsidRPr="005D06CA">
        <w:rPr>
          <w:caps/>
          <w:color w:val="000000" w:themeColor="text1"/>
        </w:rPr>
        <w:t xml:space="preserve"> </w:t>
      </w:r>
      <w:r w:rsidR="00332DE3" w:rsidRPr="005D06CA">
        <w:rPr>
          <w:caps/>
          <w:color w:val="000000" w:themeColor="text1"/>
        </w:rPr>
        <w:t>air force</w:t>
      </w:r>
    </w:p>
    <w:p w:rsidR="00DE3AAD" w:rsidRPr="005D06CA" w:rsidRDefault="00012733" w:rsidP="00BD7D37">
      <w:pPr>
        <w:tabs>
          <w:tab w:val="left" w:pos="288"/>
          <w:tab w:val="right" w:pos="9360"/>
        </w:tabs>
        <w:jc w:val="both"/>
        <w:rPr>
          <w:caps/>
          <w:color w:val="000000" w:themeColor="text1"/>
        </w:rPr>
      </w:pPr>
      <w:r w:rsidRPr="005D06CA">
        <w:rPr>
          <w:caps/>
          <w:color w:val="000000" w:themeColor="text1"/>
        </w:rPr>
        <w:t>C</w:t>
      </w:r>
      <w:r w:rsidR="00DE3AAD" w:rsidRPr="005D06CA">
        <w:rPr>
          <w:caps/>
          <w:color w:val="000000" w:themeColor="text1"/>
        </w:rPr>
        <w:t>ASE NUMBER:  PD</w:t>
      </w:r>
      <w:r w:rsidR="008F58E1" w:rsidRPr="005D06CA">
        <w:rPr>
          <w:caps/>
          <w:color w:val="000000" w:themeColor="text1"/>
        </w:rPr>
        <w:t>11</w:t>
      </w:r>
      <w:r w:rsidR="00DE3AAD" w:rsidRPr="005D06CA">
        <w:rPr>
          <w:caps/>
          <w:color w:val="000000" w:themeColor="text1"/>
        </w:rPr>
        <w:t>00</w:t>
      </w:r>
      <w:r w:rsidR="00844E9A" w:rsidRPr="005D06CA">
        <w:rPr>
          <w:caps/>
          <w:color w:val="000000" w:themeColor="text1"/>
        </w:rPr>
        <w:t>711</w:t>
      </w:r>
      <w:r w:rsidR="00DE3AAD" w:rsidRPr="005D06CA">
        <w:rPr>
          <w:color w:val="000000" w:themeColor="text1"/>
        </w:rPr>
        <w:t xml:space="preserve"> </w:t>
      </w:r>
      <w:r w:rsidR="00DE3AAD" w:rsidRPr="005D06CA">
        <w:rPr>
          <w:color w:val="000000" w:themeColor="text1"/>
        </w:rPr>
        <w:tab/>
        <w:t xml:space="preserve">         </w:t>
      </w:r>
      <w:r w:rsidR="009F1533" w:rsidRPr="005D06CA">
        <w:rPr>
          <w:color w:val="000000" w:themeColor="text1"/>
        </w:rPr>
        <w:t xml:space="preserve">                 </w:t>
      </w:r>
      <w:r w:rsidR="00DE3AAD" w:rsidRPr="005D06CA">
        <w:rPr>
          <w:color w:val="000000" w:themeColor="text1"/>
        </w:rPr>
        <w:t>SEPARATION DATE:  200</w:t>
      </w:r>
      <w:r w:rsidR="00844E9A" w:rsidRPr="005D06CA">
        <w:rPr>
          <w:color w:val="000000" w:themeColor="text1"/>
        </w:rPr>
        <w:t>70817</w:t>
      </w:r>
    </w:p>
    <w:p w:rsidR="003B2143" w:rsidRPr="005D06CA" w:rsidRDefault="004F3639" w:rsidP="00BF0E94">
      <w:pPr>
        <w:tabs>
          <w:tab w:val="left" w:pos="288"/>
          <w:tab w:val="left" w:pos="5130"/>
        </w:tabs>
        <w:jc w:val="both"/>
        <w:rPr>
          <w:color w:val="000000" w:themeColor="text1"/>
        </w:rPr>
      </w:pPr>
      <w:r w:rsidRPr="005D06CA">
        <w:rPr>
          <w:caps/>
          <w:color w:val="000000" w:themeColor="text1"/>
        </w:rPr>
        <w:t>BOARD DATE:  201</w:t>
      </w:r>
      <w:r w:rsidR="009F1533" w:rsidRPr="005D06CA">
        <w:rPr>
          <w:caps/>
          <w:color w:val="000000" w:themeColor="text1"/>
        </w:rPr>
        <w:t>2</w:t>
      </w:r>
      <w:r w:rsidR="00F7640B" w:rsidRPr="005D06CA">
        <w:rPr>
          <w:caps/>
          <w:color w:val="000000" w:themeColor="text1"/>
        </w:rPr>
        <w:t>0222</w:t>
      </w:r>
    </w:p>
    <w:p w:rsidR="000D79B7" w:rsidRPr="005D06CA" w:rsidRDefault="000D79B7" w:rsidP="000D79B7">
      <w:pPr>
        <w:pBdr>
          <w:bottom w:val="single" w:sz="12" w:space="1" w:color="auto"/>
        </w:pBdr>
        <w:tabs>
          <w:tab w:val="left" w:pos="288"/>
          <w:tab w:val="left" w:pos="4752"/>
        </w:tabs>
        <w:jc w:val="both"/>
        <w:rPr>
          <w:color w:val="000000" w:themeColor="text1"/>
        </w:rPr>
      </w:pPr>
    </w:p>
    <w:p w:rsidR="000D79B7" w:rsidRPr="005D06CA" w:rsidRDefault="000D79B7" w:rsidP="000D79B7">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5D06CA">
        <w:rPr>
          <w:color w:val="000000" w:themeColor="text1"/>
          <w:u w:val="single"/>
        </w:rPr>
        <w:t>SUMMARY OF CASE</w:t>
      </w:r>
      <w:r w:rsidRPr="005D06CA">
        <w:rPr>
          <w:color w:val="000000" w:themeColor="text1"/>
        </w:rPr>
        <w:t xml:space="preserve">:  </w:t>
      </w:r>
      <w:r w:rsidR="009759C2" w:rsidRPr="005D06CA">
        <w:rPr>
          <w:color w:val="000000" w:themeColor="text1"/>
        </w:rPr>
        <w:t>Data extracted from the available evidence of record reflects that this covered individual (CI)</w:t>
      </w:r>
      <w:r w:rsidR="00570754" w:rsidRPr="005D06CA">
        <w:rPr>
          <w:color w:val="000000" w:themeColor="text1"/>
        </w:rPr>
        <w:t xml:space="preserve"> </w:t>
      </w:r>
      <w:r w:rsidR="002C6E5B" w:rsidRPr="005D06CA">
        <w:rPr>
          <w:color w:val="000000" w:themeColor="text1"/>
          <w:szCs w:val="24"/>
        </w:rPr>
        <w:t xml:space="preserve">was </w:t>
      </w:r>
      <w:r w:rsidR="00E322F7" w:rsidRPr="005D06CA">
        <w:rPr>
          <w:color w:val="000000" w:themeColor="text1"/>
          <w:szCs w:val="24"/>
        </w:rPr>
        <w:t>an active duty</w:t>
      </w:r>
      <w:r w:rsidR="006D4E0E" w:rsidRPr="005D06CA">
        <w:rPr>
          <w:color w:val="000000" w:themeColor="text1"/>
          <w:szCs w:val="24"/>
        </w:rPr>
        <w:t xml:space="preserve"> </w:t>
      </w:r>
      <w:r w:rsidR="00844E9A" w:rsidRPr="005D06CA">
        <w:rPr>
          <w:color w:val="000000" w:themeColor="text1"/>
          <w:szCs w:val="24"/>
        </w:rPr>
        <w:t>T</w:t>
      </w:r>
      <w:r w:rsidR="00661BA2" w:rsidRPr="005D06CA">
        <w:rPr>
          <w:color w:val="000000" w:themeColor="text1"/>
          <w:szCs w:val="24"/>
        </w:rPr>
        <w:t>S</w:t>
      </w:r>
      <w:r w:rsidR="009F1533" w:rsidRPr="005D06CA">
        <w:rPr>
          <w:color w:val="000000" w:themeColor="text1"/>
          <w:szCs w:val="24"/>
        </w:rPr>
        <w:t>gt</w:t>
      </w:r>
      <w:r w:rsidR="00661BA2" w:rsidRPr="005D06CA">
        <w:rPr>
          <w:color w:val="000000" w:themeColor="text1"/>
          <w:szCs w:val="24"/>
        </w:rPr>
        <w:t>/E-</w:t>
      </w:r>
      <w:r w:rsidR="00844E9A" w:rsidRPr="005D06CA">
        <w:rPr>
          <w:color w:val="000000" w:themeColor="text1"/>
          <w:szCs w:val="24"/>
        </w:rPr>
        <w:t>6</w:t>
      </w:r>
      <w:r w:rsidR="00705C40" w:rsidRPr="005D06CA">
        <w:rPr>
          <w:color w:val="000000" w:themeColor="text1"/>
          <w:szCs w:val="24"/>
        </w:rPr>
        <w:t xml:space="preserve"> (</w:t>
      </w:r>
      <w:r w:rsidR="00844E9A" w:rsidRPr="005D06CA">
        <w:rPr>
          <w:color w:val="000000" w:themeColor="text1"/>
          <w:szCs w:val="24"/>
        </w:rPr>
        <w:t>2A671B</w:t>
      </w:r>
      <w:r w:rsidR="00C75F3D" w:rsidRPr="005D06CA">
        <w:rPr>
          <w:color w:val="000000" w:themeColor="text1"/>
          <w:szCs w:val="24"/>
        </w:rPr>
        <w:t xml:space="preserve">, </w:t>
      </w:r>
      <w:r w:rsidR="009F1533" w:rsidRPr="005D06CA">
        <w:rPr>
          <w:color w:val="000000" w:themeColor="text1"/>
          <w:szCs w:val="24"/>
        </w:rPr>
        <w:t>Aerospace Pro</w:t>
      </w:r>
      <w:r w:rsidR="00844E9A" w:rsidRPr="005D06CA">
        <w:rPr>
          <w:color w:val="000000" w:themeColor="text1"/>
          <w:szCs w:val="24"/>
        </w:rPr>
        <w:t xml:space="preserve">pulsion Craftsman, Turboprop and </w:t>
      </w:r>
      <w:proofErr w:type="spellStart"/>
      <w:r w:rsidR="00844E9A" w:rsidRPr="005D06CA">
        <w:rPr>
          <w:color w:val="000000" w:themeColor="text1"/>
          <w:szCs w:val="24"/>
        </w:rPr>
        <w:t>Turboshaft</w:t>
      </w:r>
      <w:proofErr w:type="spellEnd"/>
      <w:r w:rsidR="00E322F7" w:rsidRPr="005D06CA">
        <w:rPr>
          <w:color w:val="000000" w:themeColor="text1"/>
          <w:szCs w:val="24"/>
        </w:rPr>
        <w:t>)</w:t>
      </w:r>
      <w:r w:rsidR="00C75F3D" w:rsidRPr="005D06CA">
        <w:rPr>
          <w:color w:val="000000" w:themeColor="text1"/>
          <w:szCs w:val="24"/>
        </w:rPr>
        <w:t xml:space="preserve">, </w:t>
      </w:r>
      <w:r w:rsidR="002C6E5B" w:rsidRPr="005D06CA">
        <w:rPr>
          <w:color w:val="000000" w:themeColor="text1"/>
          <w:szCs w:val="24"/>
        </w:rPr>
        <w:t xml:space="preserve">medically separated for </w:t>
      </w:r>
      <w:r w:rsidR="000C6CA5" w:rsidRPr="005D06CA">
        <w:rPr>
          <w:color w:val="000000" w:themeColor="text1"/>
          <w:szCs w:val="24"/>
        </w:rPr>
        <w:t>right ear sensorineural hearing loss.</w:t>
      </w:r>
      <w:r w:rsidR="00F70A5F" w:rsidRPr="005D06CA">
        <w:rPr>
          <w:color w:val="000000" w:themeColor="text1"/>
          <w:szCs w:val="24"/>
        </w:rPr>
        <w:t xml:space="preserve">  The CI complained of sudden onset of</w:t>
      </w:r>
      <w:r w:rsidR="009F1533" w:rsidRPr="005D06CA">
        <w:rPr>
          <w:color w:val="000000" w:themeColor="text1"/>
          <w:szCs w:val="24"/>
        </w:rPr>
        <w:t xml:space="preserve"> hearing loss </w:t>
      </w:r>
      <w:r w:rsidR="00BF6BA7" w:rsidRPr="005D06CA">
        <w:rPr>
          <w:color w:val="000000" w:themeColor="text1"/>
          <w:szCs w:val="24"/>
        </w:rPr>
        <w:t xml:space="preserve">and </w:t>
      </w:r>
      <w:r w:rsidR="00117266" w:rsidRPr="005D06CA">
        <w:rPr>
          <w:color w:val="000000" w:themeColor="text1"/>
          <w:szCs w:val="24"/>
        </w:rPr>
        <w:t xml:space="preserve">ringing in his right ear </w:t>
      </w:r>
      <w:r w:rsidR="009F1533" w:rsidRPr="005D06CA">
        <w:rPr>
          <w:color w:val="000000" w:themeColor="text1"/>
          <w:szCs w:val="24"/>
        </w:rPr>
        <w:t xml:space="preserve">while deployed </w:t>
      </w:r>
      <w:r w:rsidR="00F70A5F" w:rsidRPr="005D06CA">
        <w:rPr>
          <w:color w:val="000000" w:themeColor="text1"/>
          <w:szCs w:val="24"/>
        </w:rPr>
        <w:t xml:space="preserve">in 2006.  </w:t>
      </w:r>
      <w:r w:rsidR="00117266" w:rsidRPr="005D06CA">
        <w:rPr>
          <w:color w:val="000000" w:themeColor="text1"/>
          <w:szCs w:val="24"/>
        </w:rPr>
        <w:t xml:space="preserve">Despite </w:t>
      </w:r>
      <w:r w:rsidR="00AC0C1C" w:rsidRPr="005D06CA">
        <w:rPr>
          <w:color w:val="000000" w:themeColor="text1"/>
          <w:szCs w:val="24"/>
        </w:rPr>
        <w:t>t</w:t>
      </w:r>
      <w:r w:rsidR="002E7C25" w:rsidRPr="005D06CA">
        <w:rPr>
          <w:color w:val="000000" w:themeColor="text1"/>
          <w:szCs w:val="24"/>
        </w:rPr>
        <w:t xml:space="preserve">reatment </w:t>
      </w:r>
      <w:r w:rsidR="00117266" w:rsidRPr="005D06CA">
        <w:rPr>
          <w:color w:val="000000" w:themeColor="text1"/>
          <w:szCs w:val="24"/>
        </w:rPr>
        <w:t>of an acute ear infection</w:t>
      </w:r>
      <w:r w:rsidR="00E543AB" w:rsidRPr="005D06CA">
        <w:rPr>
          <w:color w:val="000000" w:themeColor="text1"/>
          <w:szCs w:val="24"/>
        </w:rPr>
        <w:t xml:space="preserve"> and </w:t>
      </w:r>
      <w:proofErr w:type="spellStart"/>
      <w:r w:rsidR="00E543AB" w:rsidRPr="005D06CA">
        <w:rPr>
          <w:color w:val="000000" w:themeColor="text1"/>
          <w:szCs w:val="24"/>
        </w:rPr>
        <w:t>mastoiditis</w:t>
      </w:r>
      <w:proofErr w:type="spellEnd"/>
      <w:r w:rsidR="00117266" w:rsidRPr="005D06CA">
        <w:rPr>
          <w:color w:val="000000" w:themeColor="text1"/>
          <w:szCs w:val="24"/>
        </w:rPr>
        <w:t xml:space="preserve">, </w:t>
      </w:r>
      <w:r w:rsidR="002E7C25" w:rsidRPr="005D06CA">
        <w:rPr>
          <w:color w:val="000000" w:themeColor="text1"/>
          <w:szCs w:val="24"/>
        </w:rPr>
        <w:t xml:space="preserve">he </w:t>
      </w:r>
      <w:r w:rsidR="00117266" w:rsidRPr="005D06CA">
        <w:rPr>
          <w:color w:val="000000" w:themeColor="text1"/>
          <w:szCs w:val="24"/>
        </w:rPr>
        <w:t xml:space="preserve">had a permanent sensorineural hearing loss which is not amenable to hearing aids (augmentation devices).  He </w:t>
      </w:r>
      <w:r w:rsidR="002E7C25" w:rsidRPr="005D06CA">
        <w:rPr>
          <w:color w:val="000000" w:themeColor="text1"/>
          <w:szCs w:val="24"/>
        </w:rPr>
        <w:t>w</w:t>
      </w:r>
      <w:r w:rsidR="00AC0C1C" w:rsidRPr="005D06CA">
        <w:rPr>
          <w:color w:val="000000" w:themeColor="text1"/>
          <w:szCs w:val="24"/>
        </w:rPr>
        <w:t xml:space="preserve">as </w:t>
      </w:r>
      <w:r w:rsidR="00117266" w:rsidRPr="005D06CA">
        <w:rPr>
          <w:color w:val="000000" w:themeColor="text1"/>
          <w:szCs w:val="24"/>
        </w:rPr>
        <w:t xml:space="preserve">restricted from </w:t>
      </w:r>
      <w:proofErr w:type="spellStart"/>
      <w:r w:rsidR="00117266" w:rsidRPr="005D06CA">
        <w:rPr>
          <w:color w:val="000000" w:themeColor="text1"/>
          <w:szCs w:val="24"/>
        </w:rPr>
        <w:t>flightline</w:t>
      </w:r>
      <w:proofErr w:type="spellEnd"/>
      <w:r w:rsidR="00117266" w:rsidRPr="005D06CA">
        <w:rPr>
          <w:color w:val="000000" w:themeColor="text1"/>
          <w:szCs w:val="24"/>
        </w:rPr>
        <w:t xml:space="preserve"> duties and noise exposure and moved into a supervisory position.  He was</w:t>
      </w:r>
      <w:r w:rsidR="00117266">
        <w:rPr>
          <w:color w:val="000000" w:themeColor="text1"/>
          <w:szCs w:val="24"/>
        </w:rPr>
        <w:t xml:space="preserve"> profiled H3 and </w:t>
      </w:r>
      <w:r w:rsidR="00CB3395" w:rsidRPr="001F29F9">
        <w:rPr>
          <w:color w:val="000000" w:themeColor="text1"/>
          <w:szCs w:val="24"/>
        </w:rPr>
        <w:t>underwent a Medical Evaluation Board (MEB)</w:t>
      </w:r>
      <w:r w:rsidR="00AC0C1C" w:rsidRPr="001F29F9">
        <w:rPr>
          <w:color w:val="000000" w:themeColor="text1"/>
          <w:szCs w:val="24"/>
        </w:rPr>
        <w:t>.</w:t>
      </w:r>
      <w:r w:rsidR="000C6CA5">
        <w:rPr>
          <w:color w:val="000000" w:themeColor="text1"/>
          <w:szCs w:val="24"/>
        </w:rPr>
        <w:t xml:space="preserve">  Right ear sensorineural hearing </w:t>
      </w:r>
      <w:r w:rsidR="000C6CA5" w:rsidRPr="000C6CA5">
        <w:rPr>
          <w:color w:val="000000" w:themeColor="text1"/>
          <w:szCs w:val="24"/>
        </w:rPr>
        <w:t xml:space="preserve">loss </w:t>
      </w:r>
      <w:r w:rsidR="000A33C8" w:rsidRPr="000C6CA5">
        <w:rPr>
          <w:color w:val="000000" w:themeColor="text1"/>
          <w:szCs w:val="24"/>
        </w:rPr>
        <w:t>w</w:t>
      </w:r>
      <w:r w:rsidR="000C6CA5" w:rsidRPr="000C6CA5">
        <w:rPr>
          <w:color w:val="000000" w:themeColor="text1"/>
          <w:szCs w:val="24"/>
        </w:rPr>
        <w:t>as</w:t>
      </w:r>
      <w:r w:rsidR="000A33C8" w:rsidRPr="000C6CA5">
        <w:rPr>
          <w:color w:val="000000" w:themeColor="text1"/>
          <w:szCs w:val="24"/>
        </w:rPr>
        <w:t xml:space="preserve"> forwarded to the Physical Evaluation Board (PEB) as medically unacceptable IAW </w:t>
      </w:r>
      <w:r w:rsidR="00376E08" w:rsidRPr="000C6CA5">
        <w:rPr>
          <w:color w:val="000000" w:themeColor="text1"/>
          <w:szCs w:val="24"/>
        </w:rPr>
        <w:t>AFI</w:t>
      </w:r>
      <w:r w:rsidR="00BD7D37">
        <w:rPr>
          <w:color w:val="000000" w:themeColor="text1"/>
          <w:szCs w:val="24"/>
        </w:rPr>
        <w:t> </w:t>
      </w:r>
      <w:r w:rsidR="00376E08" w:rsidRPr="000C6CA5">
        <w:rPr>
          <w:color w:val="000000" w:themeColor="text1"/>
          <w:szCs w:val="24"/>
        </w:rPr>
        <w:t>48-123.</w:t>
      </w:r>
      <w:r w:rsidR="000C6CA5">
        <w:rPr>
          <w:color w:val="000000" w:themeColor="text1"/>
          <w:szCs w:val="24"/>
        </w:rPr>
        <w:t xml:space="preserve">  </w:t>
      </w:r>
      <w:r w:rsidR="001A5E62" w:rsidRPr="001F29F9">
        <w:rPr>
          <w:color w:val="000000" w:themeColor="text1"/>
          <w:szCs w:val="24"/>
        </w:rPr>
        <w:t>No other conditions appeared on the MEB’s submission.  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1A5E62" w:rsidRPr="001F29F9">
        <w:rPr>
          <w:color w:val="000000" w:themeColor="text1"/>
          <w:szCs w:val="24"/>
        </w:rPr>
        <w:t>packet will be discussed below.</w:t>
      </w:r>
      <w:r w:rsidR="000C6CA5">
        <w:rPr>
          <w:color w:val="000000" w:themeColor="text1"/>
          <w:szCs w:val="24"/>
        </w:rPr>
        <w:t xml:space="preserve">  </w:t>
      </w:r>
      <w:r w:rsidR="00842BAA" w:rsidRPr="000C6CA5">
        <w:rPr>
          <w:color w:val="000000" w:themeColor="text1"/>
          <w:szCs w:val="24"/>
        </w:rPr>
        <w:t xml:space="preserve">The PEB adjudicated the </w:t>
      </w:r>
      <w:r w:rsidR="000C6CA5" w:rsidRPr="000C6CA5">
        <w:rPr>
          <w:color w:val="000000" w:themeColor="text1"/>
          <w:szCs w:val="24"/>
        </w:rPr>
        <w:t xml:space="preserve">right ear sensorineural hearing loss </w:t>
      </w:r>
      <w:r w:rsidR="00842BAA" w:rsidRPr="000C6CA5">
        <w:rPr>
          <w:color w:val="000000" w:themeColor="text1"/>
          <w:szCs w:val="24"/>
        </w:rPr>
        <w:t xml:space="preserve">condition as unfitting, rated </w:t>
      </w:r>
      <w:r w:rsidR="000C6CA5" w:rsidRPr="000C6CA5">
        <w:rPr>
          <w:color w:val="000000" w:themeColor="text1"/>
          <w:szCs w:val="24"/>
        </w:rPr>
        <w:t>0</w:t>
      </w:r>
      <w:r w:rsidR="00842BAA" w:rsidRPr="000C6CA5">
        <w:rPr>
          <w:color w:val="000000" w:themeColor="text1"/>
          <w:szCs w:val="24"/>
        </w:rPr>
        <w:t xml:space="preserve">%; with application of Veterans Administration Schedule </w:t>
      </w:r>
      <w:r w:rsidR="000C6CA5" w:rsidRPr="000C6CA5">
        <w:rPr>
          <w:color w:val="000000" w:themeColor="text1"/>
          <w:szCs w:val="24"/>
        </w:rPr>
        <w:t>for Rating Disabilities (VASRD)</w:t>
      </w:r>
      <w:r w:rsidR="00842BAA" w:rsidRPr="000C6CA5">
        <w:rPr>
          <w:color w:val="000000" w:themeColor="text1"/>
          <w:szCs w:val="24"/>
        </w:rPr>
        <w:t>.</w:t>
      </w:r>
      <w:r w:rsidR="000C6CA5">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0C6CA5">
        <w:rPr>
          <w:color w:val="000000" w:themeColor="text1"/>
        </w:rPr>
        <w:t>0</w:t>
      </w:r>
      <w:r w:rsidR="00B20624"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C6CA5">
        <w:rPr>
          <w:color w:val="000000" w:themeColor="text1"/>
        </w:rPr>
        <w:t xml:space="preserve">  The CI states:  “Due to the fact that I was involuntarily separated, yet received a 0% service rating, I would just like to have this MEB/PEB disability rating reviewed for fairness, consistency, and accuracy.”</w:t>
      </w:r>
      <w:r w:rsidR="00F70A5F">
        <w:rPr>
          <w:color w:val="000000" w:themeColor="text1"/>
        </w:rPr>
        <w:t xml:space="preserve"> </w:t>
      </w:r>
      <w:r w:rsidR="009F1533">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3A64BA"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3A64BA" w:rsidRDefault="002151AB" w:rsidP="000D79B7">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3A64BA" w:rsidTr="000D79B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3A64BA" w:rsidRDefault="00B731E4" w:rsidP="000D79B7">
            <w:pPr>
              <w:contextualSpacing/>
              <w:rPr>
                <w:rFonts w:ascii="Calibri" w:hAnsi="Calibri" w:cs="Calibri"/>
                <w:b/>
                <w:color w:val="auto"/>
                <w:sz w:val="18"/>
                <w:szCs w:val="18"/>
              </w:rPr>
            </w:pPr>
            <w:r w:rsidRPr="003A64BA">
              <w:rPr>
                <w:rFonts w:ascii="Calibri" w:hAnsi="Calibri" w:cs="Calibri"/>
                <w:b/>
                <w:color w:val="auto"/>
                <w:sz w:val="18"/>
                <w:szCs w:val="18"/>
              </w:rPr>
              <w:t xml:space="preserve">Service </w:t>
            </w:r>
            <w:r w:rsidR="00F70A5F" w:rsidRPr="003A64BA">
              <w:rPr>
                <w:rFonts w:ascii="Calibri" w:hAnsi="Calibri" w:cs="Calibri"/>
                <w:b/>
                <w:color w:val="auto"/>
                <w:sz w:val="18"/>
                <w:szCs w:val="18"/>
              </w:rPr>
              <w:t>I</w:t>
            </w:r>
            <w:r w:rsidRPr="003A64BA">
              <w:rPr>
                <w:rFonts w:ascii="Calibri" w:hAnsi="Calibri" w:cs="Calibri"/>
                <w:b/>
                <w:color w:val="auto"/>
                <w:sz w:val="18"/>
                <w:szCs w:val="18"/>
              </w:rPr>
              <w:t>PEB – Dated 200</w:t>
            </w:r>
            <w:r w:rsidR="00F70A5F" w:rsidRPr="003A64BA">
              <w:rPr>
                <w:rFonts w:ascii="Calibri" w:hAnsi="Calibri" w:cs="Calibri"/>
                <w:b/>
                <w:color w:val="auto"/>
                <w:sz w:val="18"/>
                <w:szCs w:val="18"/>
              </w:rPr>
              <w:t>70507</w:t>
            </w:r>
          </w:p>
        </w:tc>
        <w:tc>
          <w:tcPr>
            <w:tcW w:w="5220" w:type="dxa"/>
            <w:gridSpan w:val="4"/>
            <w:tcBorders>
              <w:left w:val="thinThickThinSmallGap" w:sz="24" w:space="0" w:color="auto"/>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VA (</w:t>
            </w:r>
            <w:r w:rsidR="00991B8E" w:rsidRPr="003A64BA">
              <w:rPr>
                <w:rFonts w:ascii="Calibri" w:hAnsi="Calibri" w:cs="Calibri"/>
                <w:b/>
                <w:color w:val="auto"/>
                <w:sz w:val="18"/>
                <w:szCs w:val="18"/>
              </w:rPr>
              <w:t>2</w:t>
            </w:r>
            <w:r w:rsidR="0079154B" w:rsidRPr="003A64BA">
              <w:rPr>
                <w:rFonts w:ascii="Calibri" w:hAnsi="Calibri" w:cs="Calibri"/>
                <w:b/>
                <w:color w:val="auto"/>
                <w:sz w:val="18"/>
                <w:szCs w:val="18"/>
              </w:rPr>
              <w:t xml:space="preserve"> </w:t>
            </w:r>
            <w:r w:rsidRPr="003A64BA">
              <w:rPr>
                <w:rFonts w:ascii="Calibri" w:hAnsi="Calibri" w:cs="Calibri"/>
                <w:b/>
                <w:color w:val="auto"/>
                <w:sz w:val="18"/>
                <w:szCs w:val="18"/>
              </w:rPr>
              <w:t xml:space="preserve">Mo. After Separation) – All Effective Date </w:t>
            </w:r>
            <w:r w:rsidR="002D08F3" w:rsidRPr="003A64BA">
              <w:rPr>
                <w:rFonts w:ascii="Calibri" w:hAnsi="Calibri" w:cs="Calibri"/>
                <w:b/>
                <w:color w:val="auto"/>
                <w:sz w:val="18"/>
                <w:szCs w:val="18"/>
              </w:rPr>
              <w:t>200</w:t>
            </w:r>
            <w:r w:rsidR="00991B8E" w:rsidRPr="003A64BA">
              <w:rPr>
                <w:rFonts w:ascii="Calibri" w:hAnsi="Calibri" w:cs="Calibri"/>
                <w:b/>
                <w:color w:val="auto"/>
                <w:sz w:val="18"/>
                <w:szCs w:val="18"/>
              </w:rPr>
              <w:t>70818</w:t>
            </w:r>
          </w:p>
        </w:tc>
      </w:tr>
      <w:tr w:rsidR="002B4E22" w:rsidRPr="003A64BA" w:rsidTr="000D79B7">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3A64BA" w:rsidRDefault="002B4E22" w:rsidP="000D79B7">
            <w:pPr>
              <w:contextualSpacing/>
              <w:rPr>
                <w:rFonts w:ascii="Calibri" w:hAnsi="Calibri" w:cs="Calibri"/>
                <w:b/>
                <w:color w:val="auto"/>
                <w:sz w:val="18"/>
                <w:szCs w:val="18"/>
              </w:rPr>
            </w:pPr>
            <w:r w:rsidRPr="003A64BA">
              <w:rPr>
                <w:rFonts w:ascii="Calibri" w:hAnsi="Calibri" w:cs="Calibri"/>
                <w:b/>
                <w:color w:val="auto"/>
                <w:sz w:val="18"/>
                <w:szCs w:val="18"/>
              </w:rPr>
              <w:t>Exam</w:t>
            </w:r>
          </w:p>
        </w:tc>
      </w:tr>
      <w:tr w:rsidR="000C3181" w:rsidRPr="003A64BA" w:rsidTr="000D79B7">
        <w:trPr>
          <w:trHeight w:val="287"/>
          <w:jc w:val="center"/>
        </w:trPr>
        <w:tc>
          <w:tcPr>
            <w:tcW w:w="2178" w:type="dxa"/>
            <w:vMerge w:val="restart"/>
            <w:tcBorders>
              <w:right w:val="single" w:sz="4" w:space="0" w:color="auto"/>
            </w:tcBorders>
            <w:shd w:val="clear" w:color="auto" w:fill="FFFFFF" w:themeFill="background1"/>
            <w:vAlign w:val="center"/>
          </w:tcPr>
          <w:p w:rsidR="000C3181" w:rsidRPr="003A64BA" w:rsidRDefault="000C3181" w:rsidP="000D79B7">
            <w:pPr>
              <w:spacing w:line="180" w:lineRule="exact"/>
              <w:contextualSpacing/>
              <w:jc w:val="left"/>
              <w:rPr>
                <w:rFonts w:ascii="Calibri" w:eastAsia="Times New Roman" w:hAnsi="Calibri" w:cs="Calibri"/>
                <w:color w:val="auto"/>
                <w:sz w:val="18"/>
                <w:szCs w:val="18"/>
              </w:rPr>
            </w:pPr>
            <w:r w:rsidRPr="003A64BA">
              <w:rPr>
                <w:rFonts w:ascii="Calibri" w:hAnsi="Calibri" w:cs="Calibri"/>
                <w:color w:val="auto"/>
                <w:sz w:val="18"/>
                <w:szCs w:val="18"/>
              </w:rPr>
              <w:t>Sen</w:t>
            </w:r>
            <w:r w:rsidR="001D24CF">
              <w:rPr>
                <w:rFonts w:ascii="Calibri" w:hAnsi="Calibri" w:cs="Calibri"/>
                <w:color w:val="auto"/>
                <w:sz w:val="18"/>
                <w:szCs w:val="18"/>
              </w:rPr>
              <w:t>s</w:t>
            </w:r>
            <w:r w:rsidRPr="003A64BA">
              <w:rPr>
                <w:rFonts w:ascii="Calibri" w:hAnsi="Calibri" w:cs="Calibri"/>
                <w:color w:val="auto"/>
                <w:sz w:val="18"/>
                <w:szCs w:val="18"/>
              </w:rPr>
              <w:t>orineural Hearing Loss</w:t>
            </w:r>
          </w:p>
        </w:tc>
        <w:tc>
          <w:tcPr>
            <w:tcW w:w="1080" w:type="dxa"/>
            <w:vMerge w:val="restart"/>
            <w:tcBorders>
              <w:left w:val="single" w:sz="4" w:space="0" w:color="auto"/>
            </w:tcBorders>
            <w:shd w:val="clear" w:color="auto" w:fill="FFFFFF" w:themeFill="background1"/>
            <w:vAlign w:val="center"/>
          </w:tcPr>
          <w:p w:rsidR="000C3181" w:rsidRPr="003A64BA" w:rsidRDefault="000C3181" w:rsidP="000D79B7">
            <w:pPr>
              <w:spacing w:line="180" w:lineRule="exact"/>
              <w:contextualSpacing/>
              <w:rPr>
                <w:rFonts w:ascii="Calibri" w:eastAsia="Times New Roman" w:hAnsi="Calibri" w:cs="Calibri"/>
                <w:color w:val="auto"/>
                <w:sz w:val="18"/>
                <w:szCs w:val="18"/>
              </w:rPr>
            </w:pPr>
            <w:r w:rsidRPr="003A64BA">
              <w:rPr>
                <w:rFonts w:ascii="Calibri" w:hAnsi="Calibri" w:cs="Calibri"/>
                <w:color w:val="auto"/>
                <w:sz w:val="18"/>
                <w:szCs w:val="18"/>
              </w:rPr>
              <w:t>6100</w:t>
            </w:r>
          </w:p>
        </w:tc>
        <w:tc>
          <w:tcPr>
            <w:tcW w:w="900" w:type="dxa"/>
            <w:vMerge w:val="restart"/>
            <w:tcBorders>
              <w:right w:val="thinThickThinSmallGap" w:sz="24" w:space="0" w:color="auto"/>
            </w:tcBorders>
            <w:shd w:val="clear" w:color="auto" w:fill="FFFFFF" w:themeFill="background1"/>
            <w:vAlign w:val="center"/>
          </w:tcPr>
          <w:p w:rsidR="000C3181" w:rsidRPr="003A64BA" w:rsidRDefault="000C3181" w:rsidP="000D79B7">
            <w:pPr>
              <w:spacing w:line="180" w:lineRule="exact"/>
              <w:rPr>
                <w:rFonts w:ascii="Calibri" w:eastAsia="Times New Roman" w:hAnsi="Calibri" w:cs="Calibri"/>
                <w:color w:val="auto"/>
                <w:sz w:val="18"/>
                <w:szCs w:val="18"/>
              </w:rPr>
            </w:pPr>
            <w:r w:rsidRPr="003A64BA">
              <w:rPr>
                <w:rFonts w:ascii="Calibri" w:hAnsi="Calibri" w:cs="Calibri"/>
                <w:color w:val="auto"/>
                <w:sz w:val="18"/>
                <w:szCs w:val="18"/>
              </w:rPr>
              <w:t>0%</w:t>
            </w:r>
          </w:p>
        </w:tc>
        <w:tc>
          <w:tcPr>
            <w:tcW w:w="2322" w:type="dxa"/>
            <w:tcBorders>
              <w:left w:val="thinThickThinSmallGap" w:sz="24" w:space="0" w:color="auto"/>
            </w:tcBorders>
            <w:shd w:val="clear" w:color="auto" w:fill="FFFFFF" w:themeFill="background1"/>
            <w:vAlign w:val="center"/>
          </w:tcPr>
          <w:p w:rsidR="000C3181" w:rsidRPr="003A64BA" w:rsidRDefault="000C3181" w:rsidP="000D79B7">
            <w:pPr>
              <w:spacing w:line="180" w:lineRule="exact"/>
              <w:contextualSpacing/>
              <w:jc w:val="left"/>
              <w:rPr>
                <w:rFonts w:ascii="Calibri" w:eastAsia="Times New Roman" w:hAnsi="Calibri" w:cs="Calibri"/>
                <w:color w:val="auto"/>
                <w:sz w:val="18"/>
                <w:szCs w:val="18"/>
              </w:rPr>
            </w:pPr>
            <w:r w:rsidRPr="003A64BA">
              <w:rPr>
                <w:rFonts w:ascii="Calibri" w:hAnsi="Calibri" w:cs="Calibri"/>
                <w:color w:val="auto"/>
                <w:sz w:val="18"/>
                <w:szCs w:val="18"/>
              </w:rPr>
              <w:t>Bilateral Hearing Loss</w:t>
            </w:r>
          </w:p>
        </w:tc>
        <w:tc>
          <w:tcPr>
            <w:tcW w:w="1080" w:type="dxa"/>
            <w:shd w:val="clear" w:color="auto" w:fill="FFFFFF" w:themeFill="background1"/>
            <w:vAlign w:val="center"/>
          </w:tcPr>
          <w:p w:rsidR="000C3181" w:rsidRPr="003A64BA" w:rsidRDefault="000C3181" w:rsidP="000D79B7">
            <w:pPr>
              <w:spacing w:line="180" w:lineRule="exact"/>
              <w:contextualSpacing/>
              <w:rPr>
                <w:rFonts w:ascii="Calibri" w:eastAsia="Times New Roman" w:hAnsi="Calibri" w:cs="Calibri"/>
                <w:color w:val="auto"/>
                <w:sz w:val="18"/>
                <w:szCs w:val="18"/>
              </w:rPr>
            </w:pPr>
            <w:r w:rsidRPr="003A64BA">
              <w:rPr>
                <w:rFonts w:ascii="Calibri" w:hAnsi="Calibri" w:cs="Calibri"/>
                <w:color w:val="auto"/>
                <w:sz w:val="18"/>
                <w:szCs w:val="18"/>
              </w:rPr>
              <w:t>6100</w:t>
            </w:r>
          </w:p>
        </w:tc>
        <w:tc>
          <w:tcPr>
            <w:tcW w:w="828" w:type="dxa"/>
            <w:shd w:val="clear" w:color="auto" w:fill="FFFFFF" w:themeFill="background1"/>
            <w:vAlign w:val="center"/>
          </w:tcPr>
          <w:p w:rsidR="000C3181" w:rsidRPr="003A64BA" w:rsidRDefault="000C3181" w:rsidP="000D79B7">
            <w:pPr>
              <w:spacing w:line="180" w:lineRule="exact"/>
              <w:contextualSpacing/>
              <w:rPr>
                <w:rFonts w:ascii="Calibri" w:eastAsia="Times New Roman" w:hAnsi="Calibri" w:cs="Calibri"/>
                <w:color w:val="auto"/>
                <w:sz w:val="18"/>
                <w:szCs w:val="18"/>
              </w:rPr>
            </w:pPr>
            <w:r w:rsidRPr="003A64BA">
              <w:rPr>
                <w:rFonts w:ascii="Calibri" w:hAnsi="Calibri" w:cs="Calibri"/>
                <w:color w:val="auto"/>
                <w:sz w:val="18"/>
                <w:szCs w:val="18"/>
              </w:rPr>
              <w:t>10%*</w:t>
            </w:r>
          </w:p>
        </w:tc>
        <w:tc>
          <w:tcPr>
            <w:tcW w:w="990" w:type="dxa"/>
            <w:shd w:val="clear" w:color="auto" w:fill="FFFFFF" w:themeFill="background1"/>
            <w:vAlign w:val="center"/>
          </w:tcPr>
          <w:p w:rsidR="000C3181" w:rsidRPr="003A64BA" w:rsidRDefault="000C3181" w:rsidP="000D79B7">
            <w:pPr>
              <w:spacing w:line="180" w:lineRule="exact"/>
              <w:contextualSpacing/>
              <w:rPr>
                <w:rFonts w:ascii="Calibri" w:eastAsia="Times New Roman" w:hAnsi="Calibri" w:cs="Calibri"/>
                <w:color w:val="auto"/>
                <w:sz w:val="18"/>
                <w:szCs w:val="18"/>
              </w:rPr>
            </w:pPr>
            <w:r w:rsidRPr="003A64BA">
              <w:rPr>
                <w:rFonts w:ascii="Calibri" w:hAnsi="Calibri" w:cs="Calibri"/>
                <w:color w:val="auto"/>
                <w:sz w:val="18"/>
                <w:szCs w:val="18"/>
              </w:rPr>
              <w:t>20071024</w:t>
            </w:r>
          </w:p>
        </w:tc>
      </w:tr>
      <w:tr w:rsidR="000C3181" w:rsidRPr="003A64BA" w:rsidTr="000D79B7">
        <w:trPr>
          <w:trHeight w:val="287"/>
          <w:jc w:val="center"/>
        </w:trPr>
        <w:tc>
          <w:tcPr>
            <w:tcW w:w="2178" w:type="dxa"/>
            <w:vMerge/>
            <w:tcBorders>
              <w:right w:val="single" w:sz="4" w:space="0" w:color="auto"/>
            </w:tcBorders>
            <w:shd w:val="clear" w:color="auto" w:fill="FFFFFF" w:themeFill="background1"/>
            <w:vAlign w:val="center"/>
          </w:tcPr>
          <w:p w:rsidR="000C3181" w:rsidRPr="003A64BA" w:rsidRDefault="000C3181" w:rsidP="000D79B7">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0C3181" w:rsidRPr="003A64BA" w:rsidRDefault="000C3181" w:rsidP="000D79B7">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0C3181" w:rsidRPr="003A64BA" w:rsidRDefault="000C3181" w:rsidP="000D79B7">
            <w:pPr>
              <w:spacing w:line="180" w:lineRule="exact"/>
              <w:rPr>
                <w:rFonts w:cs="Calibri"/>
                <w:color w:val="auto"/>
                <w:sz w:val="18"/>
                <w:szCs w:val="18"/>
              </w:rPr>
            </w:pPr>
          </w:p>
        </w:tc>
        <w:tc>
          <w:tcPr>
            <w:tcW w:w="2322" w:type="dxa"/>
            <w:tcBorders>
              <w:left w:val="thinThickThinSmallGap" w:sz="24" w:space="0" w:color="auto"/>
            </w:tcBorders>
            <w:shd w:val="clear" w:color="auto" w:fill="FFFFFF" w:themeFill="background1"/>
            <w:vAlign w:val="center"/>
          </w:tcPr>
          <w:p w:rsidR="000C3181" w:rsidRPr="003A64BA" w:rsidRDefault="000C3181" w:rsidP="000D79B7">
            <w:pPr>
              <w:spacing w:line="180" w:lineRule="exact"/>
              <w:contextualSpacing/>
              <w:jc w:val="left"/>
              <w:rPr>
                <w:rFonts w:cs="Calibri"/>
                <w:color w:val="auto"/>
                <w:sz w:val="18"/>
                <w:szCs w:val="18"/>
              </w:rPr>
            </w:pPr>
            <w:r w:rsidRPr="003A64BA">
              <w:rPr>
                <w:rFonts w:cs="Calibri"/>
                <w:color w:val="auto"/>
                <w:sz w:val="18"/>
                <w:szCs w:val="18"/>
              </w:rPr>
              <w:t>Tinnitus</w:t>
            </w:r>
          </w:p>
        </w:tc>
        <w:tc>
          <w:tcPr>
            <w:tcW w:w="1080" w:type="dxa"/>
            <w:shd w:val="clear" w:color="auto" w:fill="FFFFFF" w:themeFill="background1"/>
            <w:vAlign w:val="center"/>
          </w:tcPr>
          <w:p w:rsidR="000C3181" w:rsidRPr="003A64BA" w:rsidRDefault="000C3181" w:rsidP="000D79B7">
            <w:pPr>
              <w:spacing w:line="180" w:lineRule="exact"/>
              <w:contextualSpacing/>
              <w:rPr>
                <w:rFonts w:cs="Calibri"/>
                <w:color w:val="auto"/>
                <w:sz w:val="18"/>
                <w:szCs w:val="18"/>
              </w:rPr>
            </w:pPr>
            <w:r w:rsidRPr="003A64BA">
              <w:rPr>
                <w:rFonts w:cs="Calibri"/>
                <w:color w:val="auto"/>
                <w:sz w:val="18"/>
                <w:szCs w:val="18"/>
              </w:rPr>
              <w:t>6260</w:t>
            </w:r>
          </w:p>
        </w:tc>
        <w:tc>
          <w:tcPr>
            <w:tcW w:w="828" w:type="dxa"/>
            <w:shd w:val="clear" w:color="auto" w:fill="FFFFFF" w:themeFill="background1"/>
            <w:vAlign w:val="center"/>
          </w:tcPr>
          <w:p w:rsidR="000C3181" w:rsidRPr="003A64BA" w:rsidRDefault="000C3181" w:rsidP="000D79B7">
            <w:pPr>
              <w:spacing w:line="180" w:lineRule="exact"/>
              <w:contextualSpacing/>
              <w:rPr>
                <w:rFonts w:cs="Calibri"/>
                <w:color w:val="auto"/>
                <w:sz w:val="18"/>
                <w:szCs w:val="18"/>
              </w:rPr>
            </w:pPr>
            <w:r w:rsidRPr="003A64BA">
              <w:rPr>
                <w:rFonts w:cs="Calibri"/>
                <w:color w:val="auto"/>
                <w:sz w:val="18"/>
                <w:szCs w:val="18"/>
              </w:rPr>
              <w:t>10%</w:t>
            </w:r>
          </w:p>
        </w:tc>
        <w:tc>
          <w:tcPr>
            <w:tcW w:w="990" w:type="dxa"/>
            <w:shd w:val="clear" w:color="auto" w:fill="FFFFFF" w:themeFill="background1"/>
            <w:vAlign w:val="center"/>
          </w:tcPr>
          <w:p w:rsidR="000C3181" w:rsidRPr="003A64BA" w:rsidRDefault="000C3181" w:rsidP="000D79B7">
            <w:pPr>
              <w:spacing w:line="180" w:lineRule="exact"/>
              <w:contextualSpacing/>
              <w:rPr>
                <w:rFonts w:cs="Calibri"/>
                <w:color w:val="auto"/>
                <w:sz w:val="18"/>
                <w:szCs w:val="18"/>
              </w:rPr>
            </w:pPr>
            <w:r w:rsidRPr="003A64BA">
              <w:rPr>
                <w:rFonts w:cs="Calibri"/>
                <w:color w:val="auto"/>
                <w:sz w:val="18"/>
                <w:szCs w:val="18"/>
              </w:rPr>
              <w:t>20071024</w:t>
            </w:r>
          </w:p>
        </w:tc>
      </w:tr>
      <w:tr w:rsidR="00F70A5F" w:rsidRPr="003A64BA" w:rsidTr="000D79B7">
        <w:trPr>
          <w:trHeight w:val="260"/>
          <w:jc w:val="center"/>
        </w:trPr>
        <w:tc>
          <w:tcPr>
            <w:tcW w:w="4158" w:type="dxa"/>
            <w:gridSpan w:val="3"/>
            <w:tcBorders>
              <w:right w:val="thinThickThinSmallGap" w:sz="24" w:space="0" w:color="auto"/>
            </w:tcBorders>
            <w:shd w:val="clear" w:color="auto" w:fill="FFFFFF" w:themeFill="background1"/>
            <w:vAlign w:val="center"/>
          </w:tcPr>
          <w:p w:rsidR="00F70A5F" w:rsidRPr="003A64BA" w:rsidRDefault="000C3181" w:rsidP="000D79B7">
            <w:pPr>
              <w:spacing w:line="180" w:lineRule="exact"/>
              <w:contextualSpacing/>
              <w:rPr>
                <w:rFonts w:ascii="Calibri" w:eastAsia="Times New Roman" w:hAnsi="Calibri" w:cs="Calibri"/>
                <w:color w:val="auto"/>
                <w:sz w:val="18"/>
                <w:szCs w:val="18"/>
              </w:rPr>
            </w:pPr>
            <w:r w:rsidRPr="003A64BA">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F70A5F" w:rsidRPr="003A64BA" w:rsidRDefault="00F70A5F" w:rsidP="000D79B7">
            <w:pPr>
              <w:spacing w:line="180" w:lineRule="exact"/>
              <w:contextualSpacing/>
              <w:rPr>
                <w:rFonts w:ascii="Calibri" w:eastAsia="Times New Roman" w:hAnsi="Calibri" w:cs="Calibri"/>
                <w:color w:val="auto"/>
                <w:sz w:val="18"/>
                <w:szCs w:val="18"/>
              </w:rPr>
            </w:pPr>
            <w:r w:rsidRPr="003A64BA">
              <w:rPr>
                <w:rFonts w:ascii="Calibri" w:hAnsi="Calibri" w:cs="Calibri"/>
                <w:color w:val="auto"/>
                <w:sz w:val="18"/>
                <w:szCs w:val="18"/>
              </w:rPr>
              <w:t xml:space="preserve">0% x </w:t>
            </w:r>
            <w:r w:rsidR="00F84D26" w:rsidRPr="003A64BA">
              <w:rPr>
                <w:rFonts w:ascii="Calibri" w:hAnsi="Calibri" w:cs="Calibri"/>
                <w:color w:val="auto"/>
                <w:sz w:val="18"/>
                <w:szCs w:val="18"/>
              </w:rPr>
              <w:t>1</w:t>
            </w:r>
          </w:p>
        </w:tc>
        <w:tc>
          <w:tcPr>
            <w:tcW w:w="990" w:type="dxa"/>
            <w:shd w:val="clear" w:color="auto" w:fill="FFFFFF" w:themeFill="background1"/>
            <w:vAlign w:val="center"/>
          </w:tcPr>
          <w:p w:rsidR="00F70A5F" w:rsidRPr="003A64BA" w:rsidRDefault="00991B8E" w:rsidP="000D79B7">
            <w:pPr>
              <w:spacing w:line="180" w:lineRule="exact"/>
              <w:contextualSpacing/>
              <w:rPr>
                <w:rFonts w:ascii="Calibri" w:eastAsia="Times New Roman" w:hAnsi="Calibri" w:cs="Calibri"/>
                <w:color w:val="auto"/>
                <w:sz w:val="18"/>
                <w:szCs w:val="18"/>
              </w:rPr>
            </w:pPr>
            <w:r w:rsidRPr="003A64BA">
              <w:rPr>
                <w:rFonts w:ascii="Calibri" w:eastAsia="Times New Roman" w:hAnsi="Calibri" w:cs="Calibri"/>
                <w:color w:val="auto"/>
                <w:sz w:val="18"/>
                <w:szCs w:val="18"/>
              </w:rPr>
              <w:t>20071026</w:t>
            </w:r>
          </w:p>
        </w:tc>
      </w:tr>
      <w:tr w:rsidR="007A65A9" w:rsidRPr="003A64BA" w:rsidTr="000D79B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3A64BA" w:rsidRDefault="007A65A9" w:rsidP="000D79B7">
            <w:pPr>
              <w:contextualSpacing/>
              <w:rPr>
                <w:rFonts w:ascii="Calibri" w:hAnsi="Calibri" w:cs="Calibri"/>
                <w:b/>
                <w:color w:val="auto"/>
                <w:sz w:val="18"/>
                <w:szCs w:val="18"/>
              </w:rPr>
            </w:pPr>
            <w:r w:rsidRPr="003A64BA">
              <w:rPr>
                <w:rFonts w:ascii="Calibri" w:hAnsi="Calibri" w:cs="Calibri"/>
                <w:b/>
                <w:color w:val="auto"/>
                <w:sz w:val="18"/>
                <w:szCs w:val="18"/>
              </w:rPr>
              <w:t xml:space="preserve">Combined: </w:t>
            </w:r>
            <w:r w:rsidR="006458FD" w:rsidRPr="003A64BA">
              <w:rPr>
                <w:rFonts w:ascii="Calibri" w:hAnsi="Calibri" w:cs="Calibri"/>
                <w:b/>
                <w:color w:val="auto"/>
                <w:sz w:val="18"/>
                <w:szCs w:val="18"/>
              </w:rPr>
              <w:t xml:space="preserve"> </w:t>
            </w:r>
            <w:r w:rsidR="00F70A5F" w:rsidRPr="003A64BA">
              <w:rPr>
                <w:rFonts w:ascii="Calibri" w:hAnsi="Calibri" w:cs="Calibri"/>
                <w:b/>
                <w:color w:val="auto"/>
                <w:sz w:val="18"/>
                <w:szCs w:val="18"/>
              </w:rPr>
              <w:t>0</w:t>
            </w:r>
            <w:r w:rsidRPr="003A64BA">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3A64BA" w:rsidRDefault="007A65A9" w:rsidP="000D79B7">
            <w:pPr>
              <w:contextualSpacing/>
              <w:rPr>
                <w:rFonts w:ascii="Calibri" w:hAnsi="Calibri" w:cs="Calibri"/>
                <w:b/>
                <w:color w:val="auto"/>
                <w:sz w:val="18"/>
                <w:szCs w:val="18"/>
              </w:rPr>
            </w:pPr>
            <w:r w:rsidRPr="003A64BA">
              <w:rPr>
                <w:rFonts w:ascii="Calibri" w:hAnsi="Calibri" w:cs="Calibri"/>
                <w:b/>
                <w:color w:val="auto"/>
                <w:sz w:val="18"/>
                <w:szCs w:val="18"/>
              </w:rPr>
              <w:t xml:space="preserve">Combined:  </w:t>
            </w:r>
            <w:r w:rsidR="00991B8E" w:rsidRPr="003A64BA">
              <w:rPr>
                <w:rFonts w:ascii="Calibri" w:hAnsi="Calibri" w:cs="Calibri"/>
                <w:b/>
                <w:color w:val="auto"/>
                <w:sz w:val="18"/>
                <w:szCs w:val="18"/>
              </w:rPr>
              <w:t>2</w:t>
            </w:r>
            <w:r w:rsidR="006F0F9C" w:rsidRPr="003A64BA">
              <w:rPr>
                <w:rFonts w:ascii="Calibri" w:hAnsi="Calibri" w:cs="Calibri"/>
                <w:b/>
                <w:color w:val="auto"/>
                <w:sz w:val="18"/>
                <w:szCs w:val="18"/>
              </w:rPr>
              <w:t>0</w:t>
            </w:r>
            <w:r w:rsidRPr="003A64BA">
              <w:rPr>
                <w:rFonts w:ascii="Calibri" w:hAnsi="Calibri" w:cs="Calibri"/>
                <w:b/>
                <w:color w:val="auto"/>
                <w:sz w:val="18"/>
                <w:szCs w:val="18"/>
              </w:rPr>
              <w:t>%</w:t>
            </w:r>
          </w:p>
        </w:tc>
      </w:tr>
    </w:tbl>
    <w:p w:rsidR="00F1737C" w:rsidRPr="003A64BA" w:rsidRDefault="00A57C35" w:rsidP="00BF0E94">
      <w:pPr>
        <w:pBdr>
          <w:bottom w:val="single" w:sz="12" w:space="1" w:color="auto"/>
        </w:pBdr>
        <w:tabs>
          <w:tab w:val="left" w:pos="288"/>
          <w:tab w:val="left" w:pos="4752"/>
        </w:tabs>
        <w:jc w:val="both"/>
        <w:rPr>
          <w:color w:val="auto"/>
          <w:sz w:val="18"/>
          <w:szCs w:val="18"/>
        </w:rPr>
      </w:pPr>
      <w:r w:rsidRPr="003A64BA">
        <w:rPr>
          <w:color w:val="auto"/>
          <w:sz w:val="18"/>
          <w:szCs w:val="18"/>
        </w:rPr>
        <w:t>* VA rating based on exam most proximate to date of permanent separation.</w:t>
      </w:r>
    </w:p>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0D79B7">
      <w:pPr>
        <w:jc w:val="left"/>
        <w:rPr>
          <w:color w:val="000000" w:themeColor="text1"/>
          <w:szCs w:val="24"/>
          <w:u w:val="single"/>
        </w:rPr>
      </w:pPr>
    </w:p>
    <w:p w:rsidR="009B39D6" w:rsidRPr="005D06CA" w:rsidRDefault="002C6E5B" w:rsidP="009B39D6">
      <w:pPr>
        <w:jc w:val="both"/>
        <w:rPr>
          <w:color w:val="auto"/>
          <w:szCs w:val="24"/>
        </w:rPr>
      </w:pPr>
      <w:r w:rsidRPr="003C25F8">
        <w:rPr>
          <w:color w:val="auto"/>
          <w:szCs w:val="24"/>
          <w:u w:val="single"/>
        </w:rPr>
        <w:t>ANALYSIS SUMMARY</w:t>
      </w:r>
      <w:r w:rsidRPr="003C25F8">
        <w:rPr>
          <w:color w:val="auto"/>
          <w:szCs w:val="24"/>
        </w:rPr>
        <w:t>:</w:t>
      </w:r>
      <w:r w:rsidR="003C25F8" w:rsidRPr="003C25F8">
        <w:rPr>
          <w:color w:val="auto"/>
          <w:szCs w:val="24"/>
        </w:rPr>
        <w:t xml:space="preserve">  </w:t>
      </w:r>
      <w:r w:rsidR="009B39D6">
        <w:rPr>
          <w:color w:val="auto"/>
          <w:szCs w:val="24"/>
        </w:rPr>
        <w:t xml:space="preserve">The Board considered the PEB determination for sensorineural hearing loss right ear as administratively final and </w:t>
      </w:r>
      <w:r w:rsidR="00BD7D37">
        <w:rPr>
          <w:color w:val="auto"/>
          <w:szCs w:val="24"/>
        </w:rPr>
        <w:t>noted the PEB rationale of “y</w:t>
      </w:r>
      <w:r w:rsidR="009B39D6" w:rsidRPr="005D06CA">
        <w:rPr>
          <w:color w:val="auto"/>
          <w:szCs w:val="24"/>
        </w:rPr>
        <w:t xml:space="preserve">ou are unable to work on the </w:t>
      </w:r>
      <w:proofErr w:type="spellStart"/>
      <w:r w:rsidR="009B39D6" w:rsidRPr="005D06CA">
        <w:rPr>
          <w:color w:val="auto"/>
          <w:szCs w:val="24"/>
        </w:rPr>
        <w:t>flightline</w:t>
      </w:r>
      <w:proofErr w:type="spellEnd"/>
      <w:r w:rsidR="009B39D6" w:rsidRPr="005D06CA">
        <w:rPr>
          <w:color w:val="auto"/>
          <w:szCs w:val="24"/>
        </w:rPr>
        <w:t>, which prevents you from performing the full scope of</w:t>
      </w:r>
      <w:r w:rsidR="00F7640B" w:rsidRPr="005D06CA">
        <w:rPr>
          <w:color w:val="auto"/>
          <w:szCs w:val="24"/>
        </w:rPr>
        <w:t xml:space="preserve"> </w:t>
      </w:r>
      <w:r w:rsidR="009B39D6" w:rsidRPr="005D06CA">
        <w:rPr>
          <w:color w:val="auto"/>
          <w:szCs w:val="24"/>
        </w:rPr>
        <w:t>duties of your A</w:t>
      </w:r>
      <w:r w:rsidR="00F7640B" w:rsidRPr="005D06CA">
        <w:rPr>
          <w:color w:val="auto"/>
          <w:szCs w:val="24"/>
        </w:rPr>
        <w:t>F</w:t>
      </w:r>
      <w:r w:rsidR="009B39D6" w:rsidRPr="005D06CA">
        <w:rPr>
          <w:color w:val="auto"/>
          <w:szCs w:val="24"/>
        </w:rPr>
        <w:t xml:space="preserve">SC.”  </w:t>
      </w:r>
    </w:p>
    <w:p w:rsidR="004C60A3" w:rsidRPr="005D06CA" w:rsidRDefault="004C60A3" w:rsidP="00BF0E94">
      <w:pPr>
        <w:jc w:val="left"/>
        <w:rPr>
          <w:color w:val="000000" w:themeColor="text1"/>
          <w:szCs w:val="24"/>
        </w:rPr>
      </w:pPr>
    </w:p>
    <w:p w:rsidR="005D06CA" w:rsidRDefault="005D06CA">
      <w:pPr>
        <w:rPr>
          <w:color w:val="000000" w:themeColor="text1"/>
          <w:szCs w:val="24"/>
          <w:u w:val="single"/>
        </w:rPr>
      </w:pPr>
      <w:r>
        <w:rPr>
          <w:color w:val="000000" w:themeColor="text1"/>
          <w:szCs w:val="24"/>
          <w:u w:val="single"/>
        </w:rPr>
        <w:br w:type="page"/>
      </w:r>
    </w:p>
    <w:p w:rsidR="00271F54" w:rsidRPr="005D06CA" w:rsidRDefault="007C02A7" w:rsidP="00A658F4">
      <w:pPr>
        <w:jc w:val="both"/>
        <w:rPr>
          <w:color w:val="000000" w:themeColor="text1"/>
          <w:szCs w:val="24"/>
        </w:rPr>
      </w:pPr>
      <w:proofErr w:type="gramStart"/>
      <w:r w:rsidRPr="005D06CA">
        <w:rPr>
          <w:color w:val="000000" w:themeColor="text1"/>
          <w:szCs w:val="24"/>
          <w:u w:val="single"/>
        </w:rPr>
        <w:lastRenderedPageBreak/>
        <w:t>Hearing Loss</w:t>
      </w:r>
      <w:r w:rsidR="009F1533" w:rsidRPr="005D06CA">
        <w:rPr>
          <w:color w:val="000000" w:themeColor="text1"/>
          <w:szCs w:val="24"/>
          <w:u w:val="single"/>
        </w:rPr>
        <w:t xml:space="preserve"> (Including Tinnitus)</w:t>
      </w:r>
      <w:r w:rsidRPr="005D06CA">
        <w:rPr>
          <w:color w:val="000000" w:themeColor="text1"/>
          <w:szCs w:val="24"/>
        </w:rPr>
        <w:t>.</w:t>
      </w:r>
      <w:proofErr w:type="gramEnd"/>
      <w:r w:rsidR="00A658F4" w:rsidRPr="005D06CA">
        <w:rPr>
          <w:color w:val="000000" w:themeColor="text1"/>
          <w:szCs w:val="24"/>
        </w:rPr>
        <w:t xml:space="preserve">  </w:t>
      </w:r>
      <w:r w:rsidR="00271F54" w:rsidRPr="005D06CA">
        <w:rPr>
          <w:color w:val="000000" w:themeColor="text1"/>
          <w:szCs w:val="24"/>
        </w:rPr>
        <w:t xml:space="preserve">The </w:t>
      </w:r>
      <w:r w:rsidR="00BD7D37">
        <w:rPr>
          <w:color w:val="000000" w:themeColor="text1"/>
          <w:szCs w:val="24"/>
        </w:rPr>
        <w:t xml:space="preserve">narrative summary </w:t>
      </w:r>
      <w:r w:rsidR="00271F54" w:rsidRPr="005D06CA">
        <w:rPr>
          <w:color w:val="000000" w:themeColor="text1"/>
          <w:szCs w:val="24"/>
        </w:rPr>
        <w:t xml:space="preserve">indicated the CI’s sudden hearing loss and onset of tinnitus were at the same time.  There were two very comprehensive </w:t>
      </w:r>
      <w:proofErr w:type="spellStart"/>
      <w:r w:rsidR="00271F54" w:rsidRPr="005D06CA">
        <w:rPr>
          <w:color w:val="000000" w:themeColor="text1"/>
          <w:szCs w:val="24"/>
        </w:rPr>
        <w:t>audiologic</w:t>
      </w:r>
      <w:proofErr w:type="spellEnd"/>
      <w:r w:rsidR="00271F54" w:rsidRPr="005D06CA">
        <w:rPr>
          <w:color w:val="000000" w:themeColor="text1"/>
          <w:szCs w:val="24"/>
        </w:rPr>
        <w:t xml:space="preserve"> evaluations </w:t>
      </w:r>
      <w:r w:rsidR="00635AF4" w:rsidRPr="005D06CA">
        <w:rPr>
          <w:color w:val="000000" w:themeColor="text1"/>
          <w:szCs w:val="24"/>
        </w:rPr>
        <w:t>including pure tone audiograms and speech discrimination, proximate to separation, which the Board weighed in arriving at its rating recommendation.  These exams are summarized in the chart below.</w:t>
      </w:r>
    </w:p>
    <w:p w:rsidR="00635AF4" w:rsidRPr="005D06CA" w:rsidRDefault="00635AF4" w:rsidP="00A658F4">
      <w:pPr>
        <w:jc w:val="both"/>
        <w:rPr>
          <w:color w:val="000000" w:themeColor="text1"/>
          <w:szCs w:val="2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540"/>
        <w:gridCol w:w="630"/>
        <w:gridCol w:w="648"/>
        <w:gridCol w:w="720"/>
        <w:gridCol w:w="630"/>
        <w:gridCol w:w="630"/>
        <w:gridCol w:w="2862"/>
        <w:gridCol w:w="954"/>
      </w:tblGrid>
      <w:tr w:rsidR="00A658F4" w:rsidRPr="005D06CA" w:rsidTr="00BF6BA7">
        <w:trPr>
          <w:jc w:val="center"/>
        </w:trPr>
        <w:tc>
          <w:tcPr>
            <w:tcW w:w="1494"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 xml:space="preserve">Audiometric Threshold (Hz) </w:t>
            </w:r>
            <w:r w:rsidRPr="005D06CA">
              <w:rPr>
                <w:rFonts w:eastAsia="Calibri" w:cs="Calibri"/>
                <w:color w:val="auto"/>
                <w:sz w:val="18"/>
                <w:szCs w:val="18"/>
              </w:rPr>
              <w:t>→</w:t>
            </w:r>
          </w:p>
        </w:tc>
        <w:tc>
          <w:tcPr>
            <w:tcW w:w="540"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500</w:t>
            </w:r>
          </w:p>
        </w:tc>
        <w:tc>
          <w:tcPr>
            <w:tcW w:w="630"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1000</w:t>
            </w:r>
          </w:p>
        </w:tc>
        <w:tc>
          <w:tcPr>
            <w:tcW w:w="648"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2000</w:t>
            </w:r>
          </w:p>
        </w:tc>
        <w:tc>
          <w:tcPr>
            <w:tcW w:w="720"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3000</w:t>
            </w:r>
          </w:p>
        </w:tc>
        <w:tc>
          <w:tcPr>
            <w:tcW w:w="630"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4000</w:t>
            </w:r>
          </w:p>
        </w:tc>
        <w:tc>
          <w:tcPr>
            <w:tcW w:w="630"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6000</w:t>
            </w:r>
          </w:p>
        </w:tc>
        <w:tc>
          <w:tcPr>
            <w:tcW w:w="2862" w:type="dxa"/>
            <w:shd w:val="clear" w:color="auto" w:fill="D9D9D9"/>
            <w:vAlign w:val="center"/>
          </w:tcPr>
          <w:p w:rsidR="00827998" w:rsidRPr="005D06CA" w:rsidRDefault="00827998" w:rsidP="00A658F4">
            <w:pPr>
              <w:spacing w:line="180" w:lineRule="exact"/>
              <w:contextualSpacing/>
              <w:rPr>
                <w:rFonts w:eastAsia="Calibri"/>
                <w:color w:val="auto"/>
                <w:sz w:val="18"/>
                <w:szCs w:val="18"/>
              </w:rPr>
            </w:pPr>
            <w:r w:rsidRPr="005D06CA">
              <w:rPr>
                <w:rFonts w:eastAsia="Calibri"/>
                <w:color w:val="auto"/>
                <w:sz w:val="18"/>
                <w:szCs w:val="18"/>
              </w:rPr>
              <w:t>Comments</w:t>
            </w:r>
          </w:p>
        </w:tc>
        <w:tc>
          <w:tcPr>
            <w:tcW w:w="954" w:type="dxa"/>
            <w:shd w:val="clear" w:color="auto" w:fill="D9D9D9"/>
          </w:tcPr>
          <w:p w:rsidR="00827998" w:rsidRPr="005D06CA" w:rsidRDefault="006F389D" w:rsidP="00BF6BA7">
            <w:pPr>
              <w:spacing w:line="180" w:lineRule="exact"/>
              <w:contextualSpacing/>
              <w:rPr>
                <w:rFonts w:eastAsia="Calibri"/>
                <w:color w:val="auto"/>
                <w:sz w:val="18"/>
                <w:szCs w:val="18"/>
              </w:rPr>
            </w:pPr>
            <w:r w:rsidRPr="005D06CA">
              <w:rPr>
                <w:bCs/>
                <w:color w:val="auto"/>
                <w:sz w:val="18"/>
                <w:szCs w:val="23"/>
              </w:rPr>
              <w:t>§</w:t>
            </w:r>
            <w:r w:rsidR="00827998" w:rsidRPr="005D06CA">
              <w:rPr>
                <w:bCs/>
                <w:color w:val="auto"/>
                <w:sz w:val="18"/>
                <w:szCs w:val="23"/>
              </w:rPr>
              <w:t>4.85</w:t>
            </w:r>
            <w:r w:rsidR="00BF6BA7" w:rsidRPr="005D06CA">
              <w:rPr>
                <w:bCs/>
                <w:color w:val="auto"/>
                <w:sz w:val="18"/>
                <w:szCs w:val="23"/>
              </w:rPr>
              <w:t>/6</w:t>
            </w:r>
            <w:r w:rsidR="00827998" w:rsidRPr="005D06CA">
              <w:rPr>
                <w:bCs/>
                <w:color w:val="auto"/>
                <w:sz w:val="18"/>
                <w:szCs w:val="23"/>
              </w:rPr>
              <w:t xml:space="preserve"> Rating</w:t>
            </w:r>
          </w:p>
        </w:tc>
      </w:tr>
      <w:tr w:rsidR="00A658F4" w:rsidRPr="005D06CA" w:rsidTr="00BF6BA7">
        <w:trPr>
          <w:jc w:val="center"/>
        </w:trPr>
        <w:tc>
          <w:tcPr>
            <w:tcW w:w="5292" w:type="dxa"/>
            <w:gridSpan w:val="7"/>
            <w:vAlign w:val="center"/>
          </w:tcPr>
          <w:p w:rsidR="00A658F4" w:rsidRPr="005D06CA" w:rsidRDefault="00C755F1" w:rsidP="00A658F4">
            <w:pPr>
              <w:spacing w:line="180" w:lineRule="exact"/>
              <w:contextualSpacing/>
              <w:jc w:val="left"/>
              <w:rPr>
                <w:rFonts w:eastAsia="Calibri"/>
                <w:color w:val="auto"/>
                <w:sz w:val="18"/>
                <w:szCs w:val="18"/>
              </w:rPr>
            </w:pPr>
            <w:r w:rsidRPr="005D06CA">
              <w:rPr>
                <w:color w:val="auto"/>
                <w:sz w:val="18"/>
                <w:szCs w:val="18"/>
              </w:rPr>
              <w:t xml:space="preserve">MEB </w:t>
            </w:r>
            <w:r w:rsidR="00A658F4" w:rsidRPr="005D06CA">
              <w:rPr>
                <w:color w:val="auto"/>
                <w:sz w:val="18"/>
                <w:szCs w:val="18"/>
              </w:rPr>
              <w:t xml:space="preserve">Audio ~9 </w:t>
            </w:r>
            <w:proofErr w:type="spellStart"/>
            <w:r w:rsidR="00A658F4" w:rsidRPr="005D06CA">
              <w:rPr>
                <w:color w:val="auto"/>
                <w:sz w:val="18"/>
                <w:szCs w:val="18"/>
              </w:rPr>
              <w:t>mos</w:t>
            </w:r>
            <w:proofErr w:type="spellEnd"/>
            <w:r w:rsidR="00A658F4" w:rsidRPr="005D06CA">
              <w:rPr>
                <w:color w:val="auto"/>
                <w:sz w:val="18"/>
                <w:szCs w:val="18"/>
              </w:rPr>
              <w:t xml:space="preserve"> Pre-Sep</w:t>
            </w:r>
          </w:p>
        </w:tc>
        <w:tc>
          <w:tcPr>
            <w:tcW w:w="2862" w:type="dxa"/>
            <w:vAlign w:val="center"/>
          </w:tcPr>
          <w:p w:rsidR="00A658F4" w:rsidRPr="005D06CA" w:rsidRDefault="00A658F4" w:rsidP="00C755F1">
            <w:pPr>
              <w:spacing w:line="180" w:lineRule="exact"/>
              <w:contextualSpacing/>
              <w:jc w:val="left"/>
              <w:rPr>
                <w:rFonts w:eastAsia="Calibri"/>
                <w:color w:val="auto"/>
                <w:sz w:val="18"/>
                <w:szCs w:val="18"/>
              </w:rPr>
            </w:pPr>
            <w:proofErr w:type="spellStart"/>
            <w:r w:rsidRPr="005D06CA">
              <w:rPr>
                <w:rFonts w:eastAsia="Calibri"/>
                <w:color w:val="auto"/>
                <w:sz w:val="18"/>
                <w:szCs w:val="18"/>
              </w:rPr>
              <w:t>Ipsilateral</w:t>
            </w:r>
            <w:proofErr w:type="spellEnd"/>
            <w:r w:rsidRPr="005D06CA">
              <w:rPr>
                <w:rFonts w:eastAsia="Calibri"/>
                <w:color w:val="auto"/>
                <w:sz w:val="18"/>
                <w:szCs w:val="18"/>
              </w:rPr>
              <w:t xml:space="preserve"> acoustic reflexes primarily absent with probe right</w:t>
            </w:r>
          </w:p>
        </w:tc>
        <w:tc>
          <w:tcPr>
            <w:tcW w:w="954" w:type="dxa"/>
            <w:vMerge w:val="restart"/>
            <w:vAlign w:val="center"/>
          </w:tcPr>
          <w:p w:rsidR="00A658F4" w:rsidRPr="005D06CA" w:rsidRDefault="00A707A6" w:rsidP="00A707A6">
            <w:pPr>
              <w:spacing w:line="180" w:lineRule="exact"/>
              <w:contextualSpacing/>
              <w:rPr>
                <w:rFonts w:eastAsia="Calibri"/>
                <w:color w:val="auto"/>
                <w:sz w:val="18"/>
                <w:szCs w:val="18"/>
              </w:rPr>
            </w:pPr>
            <w:r w:rsidRPr="005D06CA">
              <w:rPr>
                <w:rFonts w:eastAsia="Calibri"/>
                <w:color w:val="auto"/>
                <w:sz w:val="18"/>
                <w:szCs w:val="18"/>
              </w:rPr>
              <w:t>1</w:t>
            </w:r>
            <w:r w:rsidR="00A658F4" w:rsidRPr="005D06CA">
              <w:rPr>
                <w:rFonts w:eastAsia="Calibri"/>
                <w:color w:val="auto"/>
                <w:sz w:val="18"/>
                <w:szCs w:val="18"/>
              </w:rPr>
              <w:t>0%</w:t>
            </w:r>
          </w:p>
          <w:p w:rsidR="00271F54" w:rsidRPr="005D06CA" w:rsidRDefault="00271F54" w:rsidP="00A707A6">
            <w:pPr>
              <w:spacing w:line="180" w:lineRule="exact"/>
              <w:contextualSpacing/>
              <w:rPr>
                <w:rFonts w:eastAsia="Calibri"/>
                <w:color w:val="auto"/>
                <w:sz w:val="18"/>
                <w:szCs w:val="18"/>
              </w:rPr>
            </w:pPr>
            <w:r w:rsidRPr="005D06CA">
              <w:rPr>
                <w:rFonts w:eastAsia="Calibri"/>
                <w:color w:val="auto"/>
                <w:sz w:val="18"/>
                <w:szCs w:val="18"/>
              </w:rPr>
              <w:t>(PEB 0%)</w:t>
            </w:r>
          </w:p>
        </w:tc>
      </w:tr>
      <w:tr w:rsidR="00C755F1" w:rsidRPr="005D06CA" w:rsidTr="00A707A6">
        <w:trPr>
          <w:jc w:val="center"/>
        </w:trPr>
        <w:tc>
          <w:tcPr>
            <w:tcW w:w="1494" w:type="dxa"/>
            <w:vAlign w:val="center"/>
          </w:tcPr>
          <w:p w:rsidR="00C755F1" w:rsidRPr="005D06CA" w:rsidRDefault="00C755F1" w:rsidP="00A658F4">
            <w:pPr>
              <w:spacing w:line="180" w:lineRule="exact"/>
              <w:contextualSpacing/>
              <w:rPr>
                <w:rFonts w:eastAsia="Calibri"/>
                <w:color w:val="auto"/>
                <w:sz w:val="18"/>
                <w:szCs w:val="18"/>
              </w:rPr>
            </w:pPr>
            <w:r w:rsidRPr="005D06CA">
              <w:rPr>
                <w:rFonts w:eastAsia="Calibri"/>
                <w:color w:val="auto"/>
                <w:sz w:val="18"/>
                <w:szCs w:val="18"/>
              </w:rPr>
              <w:t>Right</w:t>
            </w:r>
          </w:p>
        </w:tc>
        <w:tc>
          <w:tcPr>
            <w:tcW w:w="540" w:type="dxa"/>
            <w:shd w:val="pct15" w:color="auto" w:fill="auto"/>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55</w:t>
            </w:r>
          </w:p>
        </w:tc>
        <w:tc>
          <w:tcPr>
            <w:tcW w:w="630" w:type="dxa"/>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70</w:t>
            </w:r>
          </w:p>
        </w:tc>
        <w:tc>
          <w:tcPr>
            <w:tcW w:w="648" w:type="dxa"/>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80</w:t>
            </w:r>
          </w:p>
        </w:tc>
        <w:tc>
          <w:tcPr>
            <w:tcW w:w="720" w:type="dxa"/>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75</w:t>
            </w:r>
          </w:p>
        </w:tc>
        <w:tc>
          <w:tcPr>
            <w:tcW w:w="630" w:type="dxa"/>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80</w:t>
            </w:r>
          </w:p>
        </w:tc>
        <w:tc>
          <w:tcPr>
            <w:tcW w:w="630" w:type="dxa"/>
            <w:shd w:val="pct15" w:color="auto" w:fill="auto"/>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95</w:t>
            </w:r>
          </w:p>
        </w:tc>
        <w:tc>
          <w:tcPr>
            <w:tcW w:w="2862" w:type="dxa"/>
            <w:vMerge w:val="restart"/>
          </w:tcPr>
          <w:p w:rsidR="00C755F1" w:rsidRPr="005D06CA" w:rsidRDefault="00C755F1" w:rsidP="00A658F4">
            <w:pPr>
              <w:spacing w:line="180" w:lineRule="exact"/>
              <w:contextualSpacing/>
              <w:rPr>
                <w:rFonts w:eastAsia="Calibri"/>
                <w:color w:val="auto"/>
                <w:sz w:val="18"/>
                <w:szCs w:val="18"/>
              </w:rPr>
            </w:pPr>
            <w:r w:rsidRPr="005D06CA">
              <w:rPr>
                <w:rFonts w:eastAsia="Calibri"/>
                <w:color w:val="auto"/>
                <w:sz w:val="18"/>
                <w:szCs w:val="18"/>
              </w:rPr>
              <w:t xml:space="preserve">Average </w:t>
            </w:r>
            <w:r w:rsidR="00F171AF" w:rsidRPr="005D06CA">
              <w:rPr>
                <w:rFonts w:eastAsia="Calibri"/>
                <w:color w:val="auto"/>
                <w:sz w:val="18"/>
                <w:szCs w:val="18"/>
              </w:rPr>
              <w:t>R=76, L=5;</w:t>
            </w:r>
          </w:p>
          <w:p w:rsidR="00C755F1" w:rsidRPr="005D06CA" w:rsidRDefault="00C755F1" w:rsidP="00C755F1">
            <w:pPr>
              <w:spacing w:line="180" w:lineRule="exact"/>
              <w:contextualSpacing/>
              <w:rPr>
                <w:rFonts w:eastAsia="Calibri"/>
                <w:color w:val="auto"/>
                <w:sz w:val="18"/>
                <w:szCs w:val="18"/>
              </w:rPr>
            </w:pPr>
            <w:r w:rsidRPr="005D06CA">
              <w:rPr>
                <w:rFonts w:eastAsia="Calibri"/>
                <w:color w:val="auto"/>
                <w:sz w:val="18"/>
                <w:szCs w:val="18"/>
              </w:rPr>
              <w:t xml:space="preserve">Speech </w:t>
            </w:r>
            <w:proofErr w:type="spellStart"/>
            <w:r w:rsidRPr="005D06CA">
              <w:rPr>
                <w:rFonts w:eastAsia="Calibri"/>
                <w:color w:val="auto"/>
                <w:sz w:val="18"/>
                <w:szCs w:val="18"/>
              </w:rPr>
              <w:t>Descrim</w:t>
            </w:r>
            <w:proofErr w:type="spellEnd"/>
            <w:r w:rsidRPr="005D06CA">
              <w:rPr>
                <w:rFonts w:eastAsia="Calibri"/>
                <w:color w:val="auto"/>
                <w:sz w:val="18"/>
                <w:szCs w:val="18"/>
              </w:rPr>
              <w:t xml:space="preserve">  R=4%, L=100%</w:t>
            </w:r>
          </w:p>
        </w:tc>
        <w:tc>
          <w:tcPr>
            <w:tcW w:w="954" w:type="dxa"/>
            <w:vMerge/>
            <w:vAlign w:val="center"/>
          </w:tcPr>
          <w:p w:rsidR="00C755F1" w:rsidRPr="005D06CA" w:rsidRDefault="00C755F1" w:rsidP="00A658F4">
            <w:pPr>
              <w:spacing w:line="180" w:lineRule="exact"/>
              <w:contextualSpacing/>
              <w:rPr>
                <w:rFonts w:eastAsia="Calibri"/>
                <w:color w:val="auto"/>
                <w:sz w:val="18"/>
                <w:szCs w:val="18"/>
              </w:rPr>
            </w:pPr>
          </w:p>
        </w:tc>
      </w:tr>
      <w:tr w:rsidR="00C755F1" w:rsidRPr="005D06CA" w:rsidTr="00A707A6">
        <w:trPr>
          <w:jc w:val="center"/>
        </w:trPr>
        <w:tc>
          <w:tcPr>
            <w:tcW w:w="1494" w:type="dxa"/>
            <w:vAlign w:val="center"/>
          </w:tcPr>
          <w:p w:rsidR="00C755F1" w:rsidRPr="005D06CA" w:rsidRDefault="00C755F1" w:rsidP="00A658F4">
            <w:pPr>
              <w:tabs>
                <w:tab w:val="left" w:pos="288"/>
                <w:tab w:val="left" w:pos="4752"/>
              </w:tabs>
              <w:spacing w:line="180" w:lineRule="exact"/>
              <w:rPr>
                <w:color w:val="auto"/>
                <w:sz w:val="18"/>
                <w:szCs w:val="18"/>
              </w:rPr>
            </w:pPr>
            <w:r w:rsidRPr="005D06CA">
              <w:rPr>
                <w:color w:val="auto"/>
                <w:sz w:val="18"/>
                <w:szCs w:val="18"/>
              </w:rPr>
              <w:t>Left</w:t>
            </w:r>
          </w:p>
        </w:tc>
        <w:tc>
          <w:tcPr>
            <w:tcW w:w="540" w:type="dxa"/>
            <w:tcBorders>
              <w:bottom w:val="single" w:sz="4" w:space="0" w:color="000000"/>
            </w:tcBorders>
            <w:shd w:val="pct15" w:color="auto" w:fill="auto"/>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5</w:t>
            </w:r>
          </w:p>
        </w:tc>
        <w:tc>
          <w:tcPr>
            <w:tcW w:w="630" w:type="dxa"/>
            <w:tcBorders>
              <w:bottom w:val="single" w:sz="4" w:space="0" w:color="000000"/>
            </w:tcBorders>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5</w:t>
            </w:r>
          </w:p>
        </w:tc>
        <w:tc>
          <w:tcPr>
            <w:tcW w:w="648" w:type="dxa"/>
            <w:tcBorders>
              <w:bottom w:val="single" w:sz="4" w:space="0" w:color="000000"/>
            </w:tcBorders>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5</w:t>
            </w:r>
          </w:p>
        </w:tc>
        <w:tc>
          <w:tcPr>
            <w:tcW w:w="720" w:type="dxa"/>
            <w:tcBorders>
              <w:bottom w:val="single" w:sz="4" w:space="0" w:color="000000"/>
            </w:tcBorders>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5</w:t>
            </w:r>
          </w:p>
        </w:tc>
        <w:tc>
          <w:tcPr>
            <w:tcW w:w="630" w:type="dxa"/>
            <w:tcBorders>
              <w:bottom w:val="single" w:sz="4" w:space="0" w:color="000000"/>
            </w:tcBorders>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5</w:t>
            </w:r>
          </w:p>
        </w:tc>
        <w:tc>
          <w:tcPr>
            <w:tcW w:w="630" w:type="dxa"/>
            <w:tcBorders>
              <w:bottom w:val="single" w:sz="4" w:space="0" w:color="000000"/>
            </w:tcBorders>
            <w:shd w:val="pct15" w:color="auto" w:fill="auto"/>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15</w:t>
            </w:r>
          </w:p>
        </w:tc>
        <w:tc>
          <w:tcPr>
            <w:tcW w:w="2862" w:type="dxa"/>
            <w:vMerge/>
            <w:tcBorders>
              <w:bottom w:val="single" w:sz="4" w:space="0" w:color="000000"/>
            </w:tcBorders>
          </w:tcPr>
          <w:p w:rsidR="00C755F1" w:rsidRPr="005D06CA" w:rsidRDefault="00C755F1" w:rsidP="00A658F4">
            <w:pPr>
              <w:spacing w:line="180" w:lineRule="exact"/>
              <w:contextualSpacing/>
              <w:rPr>
                <w:rFonts w:eastAsia="Calibri"/>
                <w:color w:val="auto"/>
                <w:sz w:val="18"/>
                <w:szCs w:val="18"/>
              </w:rPr>
            </w:pPr>
          </w:p>
        </w:tc>
        <w:tc>
          <w:tcPr>
            <w:tcW w:w="954" w:type="dxa"/>
            <w:vMerge/>
            <w:tcBorders>
              <w:bottom w:val="single" w:sz="4" w:space="0" w:color="000000"/>
            </w:tcBorders>
          </w:tcPr>
          <w:p w:rsidR="00C755F1" w:rsidRPr="005D06CA" w:rsidRDefault="00C755F1" w:rsidP="00A658F4">
            <w:pPr>
              <w:spacing w:line="180" w:lineRule="exact"/>
              <w:contextualSpacing/>
              <w:rPr>
                <w:rFonts w:eastAsia="Calibri"/>
                <w:color w:val="auto"/>
                <w:sz w:val="18"/>
                <w:szCs w:val="18"/>
              </w:rPr>
            </w:pPr>
          </w:p>
        </w:tc>
      </w:tr>
      <w:tr w:rsidR="00A658F4" w:rsidRPr="005D06CA" w:rsidTr="00BF6BA7">
        <w:trPr>
          <w:jc w:val="center"/>
        </w:trPr>
        <w:tc>
          <w:tcPr>
            <w:tcW w:w="5292" w:type="dxa"/>
            <w:gridSpan w:val="7"/>
            <w:vAlign w:val="center"/>
          </w:tcPr>
          <w:p w:rsidR="00A658F4" w:rsidRPr="005D06CA" w:rsidRDefault="00A658F4" w:rsidP="00A658F4">
            <w:pPr>
              <w:spacing w:line="180" w:lineRule="exact"/>
              <w:contextualSpacing/>
              <w:jc w:val="left"/>
              <w:rPr>
                <w:rFonts w:eastAsia="Calibri"/>
                <w:color w:val="auto"/>
                <w:sz w:val="18"/>
                <w:szCs w:val="18"/>
              </w:rPr>
            </w:pPr>
            <w:r w:rsidRPr="005D06CA">
              <w:rPr>
                <w:color w:val="auto"/>
                <w:sz w:val="18"/>
                <w:szCs w:val="18"/>
              </w:rPr>
              <w:t xml:space="preserve">~2 </w:t>
            </w:r>
            <w:proofErr w:type="spellStart"/>
            <w:r w:rsidRPr="005D06CA">
              <w:rPr>
                <w:color w:val="auto"/>
                <w:sz w:val="18"/>
                <w:szCs w:val="18"/>
              </w:rPr>
              <w:t>mos</w:t>
            </w:r>
            <w:proofErr w:type="spellEnd"/>
            <w:r w:rsidRPr="005D06CA">
              <w:rPr>
                <w:color w:val="auto"/>
                <w:sz w:val="18"/>
                <w:szCs w:val="18"/>
              </w:rPr>
              <w:t xml:space="preserve"> Post-Sep</w:t>
            </w:r>
          </w:p>
        </w:tc>
        <w:tc>
          <w:tcPr>
            <w:tcW w:w="2862" w:type="dxa"/>
            <w:vAlign w:val="center"/>
          </w:tcPr>
          <w:p w:rsidR="00A658F4" w:rsidRPr="005D06CA" w:rsidRDefault="00A658F4" w:rsidP="00A658F4">
            <w:pPr>
              <w:spacing w:line="180" w:lineRule="exact"/>
              <w:contextualSpacing/>
              <w:rPr>
                <w:rFonts w:eastAsia="Calibri"/>
                <w:color w:val="auto"/>
                <w:sz w:val="18"/>
                <w:szCs w:val="18"/>
              </w:rPr>
            </w:pPr>
            <w:r w:rsidRPr="005D06CA">
              <w:rPr>
                <w:rFonts w:eastAsia="Calibri"/>
                <w:color w:val="auto"/>
                <w:sz w:val="18"/>
                <w:szCs w:val="18"/>
              </w:rPr>
              <w:t>Tinnitus bilaterally</w:t>
            </w:r>
          </w:p>
        </w:tc>
        <w:tc>
          <w:tcPr>
            <w:tcW w:w="954" w:type="dxa"/>
            <w:vMerge w:val="restart"/>
            <w:vAlign w:val="center"/>
          </w:tcPr>
          <w:p w:rsidR="00A658F4" w:rsidRPr="005D06CA" w:rsidRDefault="007A6505" w:rsidP="00A658F4">
            <w:pPr>
              <w:spacing w:line="180" w:lineRule="exact"/>
              <w:contextualSpacing/>
              <w:rPr>
                <w:rFonts w:eastAsia="Calibri"/>
                <w:color w:val="auto"/>
                <w:sz w:val="18"/>
                <w:szCs w:val="18"/>
              </w:rPr>
            </w:pPr>
            <w:r w:rsidRPr="005D06CA">
              <w:rPr>
                <w:rFonts w:eastAsia="Calibri"/>
                <w:color w:val="auto"/>
                <w:sz w:val="18"/>
                <w:szCs w:val="18"/>
              </w:rPr>
              <w:t>1</w:t>
            </w:r>
            <w:r w:rsidR="00A658F4" w:rsidRPr="005D06CA">
              <w:rPr>
                <w:rFonts w:eastAsia="Calibri"/>
                <w:color w:val="auto"/>
                <w:sz w:val="18"/>
                <w:szCs w:val="18"/>
              </w:rPr>
              <w:t>0%</w:t>
            </w:r>
          </w:p>
        </w:tc>
      </w:tr>
      <w:tr w:rsidR="00C755F1" w:rsidRPr="005D06CA" w:rsidTr="00BF6BA7">
        <w:trPr>
          <w:jc w:val="center"/>
        </w:trPr>
        <w:tc>
          <w:tcPr>
            <w:tcW w:w="1494" w:type="dxa"/>
            <w:vAlign w:val="center"/>
          </w:tcPr>
          <w:p w:rsidR="00C755F1" w:rsidRPr="005D06CA" w:rsidRDefault="00C755F1" w:rsidP="00A658F4">
            <w:pPr>
              <w:tabs>
                <w:tab w:val="left" w:pos="288"/>
                <w:tab w:val="left" w:pos="4752"/>
              </w:tabs>
              <w:spacing w:line="180" w:lineRule="exact"/>
              <w:rPr>
                <w:color w:val="auto"/>
                <w:sz w:val="18"/>
                <w:szCs w:val="18"/>
              </w:rPr>
            </w:pPr>
            <w:r w:rsidRPr="005D06CA">
              <w:rPr>
                <w:color w:val="auto"/>
                <w:sz w:val="18"/>
                <w:szCs w:val="18"/>
              </w:rPr>
              <w:t>Right</w:t>
            </w:r>
          </w:p>
        </w:tc>
        <w:tc>
          <w:tcPr>
            <w:tcW w:w="540" w:type="dxa"/>
            <w:shd w:val="pct15" w:color="auto" w:fill="auto"/>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20</w:t>
            </w:r>
          </w:p>
        </w:tc>
        <w:tc>
          <w:tcPr>
            <w:tcW w:w="630" w:type="dxa"/>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20</w:t>
            </w:r>
          </w:p>
        </w:tc>
        <w:tc>
          <w:tcPr>
            <w:tcW w:w="648" w:type="dxa"/>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65</w:t>
            </w:r>
          </w:p>
        </w:tc>
        <w:tc>
          <w:tcPr>
            <w:tcW w:w="720" w:type="dxa"/>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85</w:t>
            </w:r>
          </w:p>
        </w:tc>
        <w:tc>
          <w:tcPr>
            <w:tcW w:w="630" w:type="dxa"/>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80</w:t>
            </w:r>
          </w:p>
        </w:tc>
        <w:tc>
          <w:tcPr>
            <w:tcW w:w="630" w:type="dxa"/>
            <w:shd w:val="pct15" w:color="auto" w:fill="auto"/>
          </w:tcPr>
          <w:p w:rsidR="00C755F1" w:rsidRPr="005D06CA" w:rsidRDefault="00271F54" w:rsidP="00A707A6">
            <w:pPr>
              <w:spacing w:line="180" w:lineRule="exact"/>
              <w:contextualSpacing/>
              <w:rPr>
                <w:rFonts w:eastAsia="Calibri"/>
                <w:color w:val="auto"/>
                <w:sz w:val="18"/>
                <w:szCs w:val="18"/>
              </w:rPr>
            </w:pPr>
            <w:r w:rsidRPr="005D06CA">
              <w:rPr>
                <w:rFonts w:eastAsia="Calibri"/>
                <w:color w:val="auto"/>
                <w:sz w:val="18"/>
                <w:szCs w:val="18"/>
              </w:rPr>
              <w:t>80</w:t>
            </w:r>
          </w:p>
        </w:tc>
        <w:tc>
          <w:tcPr>
            <w:tcW w:w="2862" w:type="dxa"/>
            <w:vMerge w:val="restart"/>
            <w:vAlign w:val="center"/>
          </w:tcPr>
          <w:p w:rsidR="00F171AF" w:rsidRPr="005D06CA" w:rsidRDefault="00F171AF" w:rsidP="00F171AF">
            <w:pPr>
              <w:spacing w:line="180" w:lineRule="exact"/>
              <w:contextualSpacing/>
              <w:rPr>
                <w:rFonts w:eastAsia="Calibri"/>
                <w:color w:val="auto"/>
                <w:sz w:val="18"/>
                <w:szCs w:val="18"/>
              </w:rPr>
            </w:pPr>
            <w:r w:rsidRPr="005D06CA">
              <w:rPr>
                <w:rFonts w:eastAsia="Calibri"/>
                <w:color w:val="auto"/>
                <w:sz w:val="18"/>
                <w:szCs w:val="18"/>
              </w:rPr>
              <w:t>Average</w:t>
            </w:r>
            <w:r w:rsidR="00A707A6" w:rsidRPr="005D06CA">
              <w:rPr>
                <w:rFonts w:eastAsia="Calibri"/>
                <w:color w:val="auto"/>
                <w:sz w:val="18"/>
                <w:szCs w:val="18"/>
              </w:rPr>
              <w:t xml:space="preserve"> </w:t>
            </w:r>
            <w:proofErr w:type="spellStart"/>
            <w:r w:rsidRPr="005D06CA">
              <w:rPr>
                <w:rFonts w:eastAsia="Calibri"/>
                <w:color w:val="auto"/>
                <w:sz w:val="18"/>
                <w:szCs w:val="18"/>
              </w:rPr>
              <w:t>Avg</w:t>
            </w:r>
            <w:proofErr w:type="spellEnd"/>
            <w:r w:rsidRPr="005D06CA">
              <w:rPr>
                <w:rFonts w:eastAsia="Calibri"/>
                <w:color w:val="auto"/>
                <w:sz w:val="18"/>
                <w:szCs w:val="18"/>
              </w:rPr>
              <w:t xml:space="preserve"> R=63, L=18; </w:t>
            </w:r>
          </w:p>
          <w:p w:rsidR="00C755F1" w:rsidRPr="005D06CA" w:rsidRDefault="00F171AF" w:rsidP="00F171AF">
            <w:pPr>
              <w:spacing w:line="180" w:lineRule="exact"/>
              <w:contextualSpacing/>
              <w:rPr>
                <w:rFonts w:eastAsia="Calibri"/>
                <w:color w:val="auto"/>
                <w:sz w:val="18"/>
                <w:szCs w:val="18"/>
              </w:rPr>
            </w:pPr>
            <w:r w:rsidRPr="005D06CA">
              <w:rPr>
                <w:rFonts w:eastAsia="Calibri"/>
                <w:color w:val="auto"/>
                <w:sz w:val="18"/>
                <w:szCs w:val="18"/>
              </w:rPr>
              <w:t xml:space="preserve">Speech </w:t>
            </w:r>
            <w:proofErr w:type="spellStart"/>
            <w:r w:rsidRPr="005D06CA">
              <w:rPr>
                <w:rFonts w:eastAsia="Calibri"/>
                <w:color w:val="auto"/>
                <w:sz w:val="18"/>
                <w:szCs w:val="18"/>
              </w:rPr>
              <w:t>Descrim</w:t>
            </w:r>
            <w:proofErr w:type="spellEnd"/>
            <w:r w:rsidRPr="005D06CA">
              <w:rPr>
                <w:rFonts w:eastAsia="Calibri"/>
                <w:color w:val="auto"/>
                <w:sz w:val="18"/>
                <w:szCs w:val="18"/>
              </w:rPr>
              <w:t xml:space="preserve">  R=12%, L=92%</w:t>
            </w:r>
          </w:p>
        </w:tc>
        <w:tc>
          <w:tcPr>
            <w:tcW w:w="954" w:type="dxa"/>
            <w:vMerge/>
            <w:vAlign w:val="center"/>
          </w:tcPr>
          <w:p w:rsidR="00C755F1" w:rsidRPr="005D06CA" w:rsidRDefault="00C755F1" w:rsidP="00A658F4">
            <w:pPr>
              <w:spacing w:line="180" w:lineRule="exact"/>
              <w:contextualSpacing/>
              <w:rPr>
                <w:rFonts w:eastAsia="Calibri"/>
                <w:color w:val="auto"/>
                <w:sz w:val="18"/>
                <w:szCs w:val="18"/>
              </w:rPr>
            </w:pPr>
          </w:p>
        </w:tc>
      </w:tr>
      <w:tr w:rsidR="00C755F1" w:rsidRPr="005D06CA" w:rsidTr="00BF6BA7">
        <w:trPr>
          <w:jc w:val="center"/>
        </w:trPr>
        <w:tc>
          <w:tcPr>
            <w:tcW w:w="1494" w:type="dxa"/>
            <w:vAlign w:val="center"/>
          </w:tcPr>
          <w:p w:rsidR="00C755F1" w:rsidRPr="005D06CA" w:rsidRDefault="00C755F1" w:rsidP="00A658F4">
            <w:pPr>
              <w:tabs>
                <w:tab w:val="left" w:pos="288"/>
                <w:tab w:val="left" w:pos="4752"/>
              </w:tabs>
              <w:spacing w:line="180" w:lineRule="exact"/>
              <w:rPr>
                <w:color w:val="auto"/>
                <w:sz w:val="18"/>
                <w:szCs w:val="18"/>
              </w:rPr>
            </w:pPr>
            <w:r w:rsidRPr="005D06CA">
              <w:rPr>
                <w:color w:val="auto"/>
                <w:sz w:val="18"/>
                <w:szCs w:val="18"/>
              </w:rPr>
              <w:t>Left</w:t>
            </w:r>
          </w:p>
        </w:tc>
        <w:tc>
          <w:tcPr>
            <w:tcW w:w="540" w:type="dxa"/>
            <w:shd w:val="pct15" w:color="auto" w:fill="auto"/>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15</w:t>
            </w:r>
          </w:p>
        </w:tc>
        <w:tc>
          <w:tcPr>
            <w:tcW w:w="630" w:type="dxa"/>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20</w:t>
            </w:r>
          </w:p>
        </w:tc>
        <w:tc>
          <w:tcPr>
            <w:tcW w:w="648" w:type="dxa"/>
            <w:vAlign w:val="center"/>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10</w:t>
            </w:r>
          </w:p>
        </w:tc>
        <w:tc>
          <w:tcPr>
            <w:tcW w:w="720" w:type="dxa"/>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10</w:t>
            </w:r>
          </w:p>
        </w:tc>
        <w:tc>
          <w:tcPr>
            <w:tcW w:w="630" w:type="dxa"/>
          </w:tcPr>
          <w:p w:rsidR="00C755F1" w:rsidRPr="005D06CA" w:rsidRDefault="00C755F1" w:rsidP="00A707A6">
            <w:pPr>
              <w:spacing w:line="180" w:lineRule="exact"/>
              <w:contextualSpacing/>
              <w:rPr>
                <w:rFonts w:eastAsia="Calibri"/>
                <w:color w:val="auto"/>
                <w:sz w:val="18"/>
                <w:szCs w:val="18"/>
              </w:rPr>
            </w:pPr>
            <w:r w:rsidRPr="005D06CA">
              <w:rPr>
                <w:rFonts w:eastAsia="Calibri"/>
                <w:color w:val="auto"/>
                <w:sz w:val="18"/>
                <w:szCs w:val="18"/>
              </w:rPr>
              <w:t>30</w:t>
            </w:r>
          </w:p>
        </w:tc>
        <w:tc>
          <w:tcPr>
            <w:tcW w:w="630" w:type="dxa"/>
            <w:shd w:val="pct15" w:color="auto" w:fill="auto"/>
          </w:tcPr>
          <w:p w:rsidR="00C755F1" w:rsidRPr="005D06CA" w:rsidRDefault="00271F54" w:rsidP="00A707A6">
            <w:pPr>
              <w:spacing w:line="180" w:lineRule="exact"/>
              <w:contextualSpacing/>
              <w:rPr>
                <w:rFonts w:eastAsia="Calibri"/>
                <w:color w:val="auto"/>
                <w:sz w:val="18"/>
                <w:szCs w:val="18"/>
              </w:rPr>
            </w:pPr>
            <w:r w:rsidRPr="005D06CA">
              <w:rPr>
                <w:rFonts w:eastAsia="Calibri"/>
                <w:color w:val="auto"/>
                <w:sz w:val="18"/>
                <w:szCs w:val="18"/>
              </w:rPr>
              <w:t>15</w:t>
            </w:r>
          </w:p>
        </w:tc>
        <w:tc>
          <w:tcPr>
            <w:tcW w:w="2862" w:type="dxa"/>
            <w:vMerge/>
          </w:tcPr>
          <w:p w:rsidR="00C755F1" w:rsidRPr="005D06CA" w:rsidRDefault="00C755F1" w:rsidP="00A658F4">
            <w:pPr>
              <w:spacing w:line="180" w:lineRule="exact"/>
              <w:contextualSpacing/>
              <w:rPr>
                <w:rFonts w:eastAsia="Calibri"/>
                <w:color w:val="auto"/>
                <w:sz w:val="18"/>
                <w:szCs w:val="18"/>
              </w:rPr>
            </w:pPr>
          </w:p>
        </w:tc>
        <w:tc>
          <w:tcPr>
            <w:tcW w:w="954" w:type="dxa"/>
            <w:vMerge/>
          </w:tcPr>
          <w:p w:rsidR="00C755F1" w:rsidRPr="005D06CA" w:rsidRDefault="00C755F1" w:rsidP="00A658F4">
            <w:pPr>
              <w:spacing w:line="180" w:lineRule="exact"/>
              <w:contextualSpacing/>
              <w:rPr>
                <w:rFonts w:eastAsia="Calibri"/>
                <w:color w:val="auto"/>
                <w:sz w:val="18"/>
                <w:szCs w:val="18"/>
              </w:rPr>
            </w:pPr>
          </w:p>
        </w:tc>
      </w:tr>
    </w:tbl>
    <w:p w:rsidR="00827998" w:rsidRPr="005D06CA" w:rsidRDefault="00827998" w:rsidP="00BF0E94">
      <w:pPr>
        <w:jc w:val="left"/>
        <w:rPr>
          <w:color w:val="auto"/>
          <w:szCs w:val="24"/>
        </w:rPr>
      </w:pPr>
    </w:p>
    <w:p w:rsidR="00271F54" w:rsidRDefault="00BD7D37" w:rsidP="00271F54">
      <w:pPr>
        <w:jc w:val="both"/>
        <w:rPr>
          <w:color w:val="000000" w:themeColor="text1"/>
          <w:szCs w:val="24"/>
        </w:rPr>
      </w:pPr>
      <w:r>
        <w:rPr>
          <w:color w:val="000000" w:themeColor="text1"/>
          <w:szCs w:val="24"/>
        </w:rPr>
        <w:t xml:space="preserve">The </w:t>
      </w:r>
      <w:proofErr w:type="spellStart"/>
      <w:r>
        <w:rPr>
          <w:color w:val="000000" w:themeColor="text1"/>
          <w:szCs w:val="24"/>
        </w:rPr>
        <w:t>audiologic</w:t>
      </w:r>
      <w:proofErr w:type="spellEnd"/>
      <w:r>
        <w:rPr>
          <w:color w:val="000000" w:themeColor="text1"/>
          <w:szCs w:val="24"/>
        </w:rPr>
        <w:t xml:space="preserve"> exam, nine</w:t>
      </w:r>
      <w:r w:rsidR="00271F54" w:rsidRPr="005D06CA">
        <w:rPr>
          <w:color w:val="000000" w:themeColor="text1"/>
          <w:szCs w:val="24"/>
        </w:rPr>
        <w:t xml:space="preserve"> months pre-separation</w:t>
      </w:r>
      <w:r>
        <w:rPr>
          <w:color w:val="000000" w:themeColor="text1"/>
          <w:szCs w:val="24"/>
        </w:rPr>
        <w:t>,</w:t>
      </w:r>
      <w:r w:rsidR="00271F54" w:rsidRPr="005D06CA">
        <w:rPr>
          <w:color w:val="000000" w:themeColor="text1"/>
          <w:szCs w:val="24"/>
        </w:rPr>
        <w:t xml:space="preserve"> indicated a moderate to profound primarily s</w:t>
      </w:r>
      <w:r w:rsidR="002D51CF">
        <w:rPr>
          <w:color w:val="000000" w:themeColor="text1"/>
          <w:szCs w:val="24"/>
        </w:rPr>
        <w:t>e</w:t>
      </w:r>
      <w:r w:rsidR="00271F54" w:rsidRPr="005D06CA">
        <w:rPr>
          <w:color w:val="000000" w:themeColor="text1"/>
          <w:szCs w:val="24"/>
        </w:rPr>
        <w:t>nsorineural hearing loss in the right ear with normal hearing on the left.  Word recognition scores were poor in his right ear (4%</w:t>
      </w:r>
      <w:r>
        <w:rPr>
          <w:color w:val="000000" w:themeColor="text1"/>
          <w:szCs w:val="24"/>
        </w:rPr>
        <w:t xml:space="preserve">) and excellent in his left ear; and </w:t>
      </w:r>
      <w:proofErr w:type="spellStart"/>
      <w:r w:rsidR="00271F54" w:rsidRPr="005D06CA">
        <w:rPr>
          <w:color w:val="000000" w:themeColor="text1"/>
          <w:szCs w:val="24"/>
        </w:rPr>
        <w:t>Ipsilateral</w:t>
      </w:r>
      <w:proofErr w:type="spellEnd"/>
      <w:r w:rsidR="00271F54" w:rsidRPr="005D06CA">
        <w:rPr>
          <w:color w:val="000000" w:themeColor="text1"/>
          <w:szCs w:val="24"/>
        </w:rPr>
        <w:t xml:space="preserve"> acoustic reflexes were absent with probe right.</w:t>
      </w:r>
      <w:r w:rsidR="00271F54">
        <w:rPr>
          <w:color w:val="000000" w:themeColor="text1"/>
          <w:szCs w:val="24"/>
        </w:rPr>
        <w:t xml:space="preserve">  </w:t>
      </w:r>
    </w:p>
    <w:p w:rsidR="00271F54" w:rsidRDefault="00271F54" w:rsidP="00271F54">
      <w:pPr>
        <w:jc w:val="both"/>
        <w:rPr>
          <w:color w:val="000000" w:themeColor="text1"/>
          <w:szCs w:val="24"/>
        </w:rPr>
      </w:pPr>
    </w:p>
    <w:p w:rsidR="00271F54" w:rsidRDefault="00271F54" w:rsidP="00271F54">
      <w:pPr>
        <w:jc w:val="both"/>
        <w:rPr>
          <w:color w:val="000000" w:themeColor="text1"/>
          <w:szCs w:val="24"/>
        </w:rPr>
      </w:pPr>
      <w:r>
        <w:rPr>
          <w:color w:val="000000" w:themeColor="text1"/>
          <w:szCs w:val="24"/>
        </w:rPr>
        <w:t xml:space="preserve">The VA </w:t>
      </w:r>
      <w:r w:rsidR="00BD7D37">
        <w:rPr>
          <w:color w:val="000000" w:themeColor="text1"/>
          <w:szCs w:val="24"/>
        </w:rPr>
        <w:t>Compensation and Pension (</w:t>
      </w:r>
      <w:r>
        <w:rPr>
          <w:color w:val="000000" w:themeColor="text1"/>
          <w:szCs w:val="24"/>
        </w:rPr>
        <w:t>C&amp;P</w:t>
      </w:r>
      <w:r w:rsidR="00BD7D37">
        <w:rPr>
          <w:color w:val="000000" w:themeColor="text1"/>
          <w:szCs w:val="24"/>
        </w:rPr>
        <w:t>) exam, two</w:t>
      </w:r>
      <w:r>
        <w:rPr>
          <w:color w:val="000000" w:themeColor="text1"/>
          <w:szCs w:val="24"/>
        </w:rPr>
        <w:t xml:space="preserve"> months post-separation, demonstrated </w:t>
      </w:r>
      <w:r w:rsidR="00635AF4">
        <w:rPr>
          <w:color w:val="000000" w:themeColor="text1"/>
          <w:szCs w:val="24"/>
        </w:rPr>
        <w:t xml:space="preserve">slightly less pure tone and speech loss of the right ear and minimally worse left ear values as </w:t>
      </w:r>
      <w:r>
        <w:rPr>
          <w:color w:val="000000" w:themeColor="text1"/>
          <w:szCs w:val="24"/>
        </w:rPr>
        <w:t>charted abov</w:t>
      </w:r>
      <w:r w:rsidR="00BD7D37">
        <w:rPr>
          <w:color w:val="000000" w:themeColor="text1"/>
          <w:szCs w:val="24"/>
        </w:rPr>
        <w:t>e.  The VA examiners indicated t</w:t>
      </w:r>
      <w:r>
        <w:rPr>
          <w:color w:val="000000" w:themeColor="text1"/>
          <w:szCs w:val="24"/>
        </w:rPr>
        <w:t xml:space="preserve">innitus present bilaterally and indicated that </w:t>
      </w:r>
      <w:r w:rsidRPr="00A658F4">
        <w:rPr>
          <w:color w:val="000000" w:themeColor="text1"/>
          <w:szCs w:val="24"/>
        </w:rPr>
        <w:t xml:space="preserve">tinnitus was </w:t>
      </w:r>
      <w:r>
        <w:rPr>
          <w:color w:val="000000" w:themeColor="text1"/>
          <w:szCs w:val="24"/>
        </w:rPr>
        <w:t xml:space="preserve">a </w:t>
      </w:r>
      <w:r w:rsidRPr="00A658F4">
        <w:rPr>
          <w:color w:val="000000" w:themeColor="text1"/>
          <w:szCs w:val="24"/>
        </w:rPr>
        <w:t xml:space="preserve">partial causative factor of hearing loss; speech recognition was </w:t>
      </w:r>
      <w:r w:rsidR="00635AF4">
        <w:rPr>
          <w:color w:val="000000" w:themeColor="text1"/>
          <w:szCs w:val="24"/>
        </w:rPr>
        <w:t xml:space="preserve">14% in the right </w:t>
      </w:r>
      <w:r w:rsidRPr="00A658F4">
        <w:rPr>
          <w:color w:val="000000" w:themeColor="text1"/>
          <w:szCs w:val="24"/>
        </w:rPr>
        <w:t>ear</w:t>
      </w:r>
      <w:r w:rsidR="00635AF4">
        <w:rPr>
          <w:color w:val="000000" w:themeColor="text1"/>
          <w:szCs w:val="24"/>
        </w:rPr>
        <w:t xml:space="preserve"> and 92% in the left.</w:t>
      </w:r>
    </w:p>
    <w:p w:rsidR="00271F54" w:rsidRDefault="00271F54" w:rsidP="00271F54">
      <w:pPr>
        <w:jc w:val="both"/>
        <w:rPr>
          <w:color w:val="000000" w:themeColor="text1"/>
          <w:szCs w:val="24"/>
        </w:rPr>
      </w:pPr>
    </w:p>
    <w:p w:rsidR="00F171AF" w:rsidRPr="005D06CA" w:rsidRDefault="00271F54" w:rsidP="00F171AF">
      <w:pPr>
        <w:jc w:val="both"/>
        <w:rPr>
          <w:color w:val="000000" w:themeColor="text1"/>
          <w:szCs w:val="24"/>
        </w:rPr>
      </w:pPr>
      <w:r>
        <w:rPr>
          <w:color w:val="000000" w:themeColor="text1"/>
          <w:szCs w:val="24"/>
        </w:rPr>
        <w:t xml:space="preserve">Application of </w:t>
      </w:r>
      <w:r w:rsidR="00BD7D37">
        <w:rPr>
          <w:color w:val="000000" w:themeColor="text1"/>
          <w:szCs w:val="24"/>
        </w:rPr>
        <w:t>§4.86 [e</w:t>
      </w:r>
      <w:r w:rsidRPr="00635AF4">
        <w:rPr>
          <w:color w:val="000000" w:themeColor="text1"/>
          <w:szCs w:val="24"/>
        </w:rPr>
        <w:t>xceptional patterns of hearing impairment (a)</w:t>
      </w:r>
      <w:r w:rsidR="00BD7D37">
        <w:rPr>
          <w:color w:val="000000" w:themeColor="text1"/>
          <w:szCs w:val="24"/>
        </w:rPr>
        <w:t>]</w:t>
      </w:r>
      <w:r w:rsidRPr="00635AF4">
        <w:rPr>
          <w:color w:val="000000" w:themeColor="text1"/>
          <w:szCs w:val="24"/>
        </w:rPr>
        <w:t xml:space="preserve"> was appli</w:t>
      </w:r>
      <w:r w:rsidR="00F171AF">
        <w:rPr>
          <w:color w:val="000000" w:themeColor="text1"/>
          <w:szCs w:val="24"/>
        </w:rPr>
        <w:t>cable</w:t>
      </w:r>
      <w:r w:rsidRPr="00635AF4">
        <w:rPr>
          <w:color w:val="000000" w:themeColor="text1"/>
          <w:szCs w:val="24"/>
        </w:rPr>
        <w:t xml:space="preserve"> to </w:t>
      </w:r>
      <w:r w:rsidR="00BD7D37">
        <w:rPr>
          <w:color w:val="000000" w:themeColor="text1"/>
          <w:szCs w:val="24"/>
        </w:rPr>
        <w:t>the s</w:t>
      </w:r>
      <w:r w:rsidR="00635AF4" w:rsidRPr="00635AF4">
        <w:rPr>
          <w:color w:val="000000" w:themeColor="text1"/>
          <w:szCs w:val="24"/>
        </w:rPr>
        <w:t>ervice exam</w:t>
      </w:r>
      <w:r w:rsidR="00635AF4">
        <w:rPr>
          <w:color w:val="000000" w:themeColor="text1"/>
          <w:szCs w:val="24"/>
        </w:rPr>
        <w:t xml:space="preserve"> only.  </w:t>
      </w:r>
      <w:r w:rsidR="00635AF4" w:rsidRPr="00635AF4">
        <w:rPr>
          <w:color w:val="000000" w:themeColor="text1"/>
          <w:szCs w:val="24"/>
        </w:rPr>
        <w:t xml:space="preserve">IAW Tables </w:t>
      </w:r>
      <w:r w:rsidR="00635AF4">
        <w:rPr>
          <w:color w:val="000000" w:themeColor="text1"/>
          <w:szCs w:val="24"/>
        </w:rPr>
        <w:t>VI</w:t>
      </w:r>
      <w:r w:rsidR="00635AF4" w:rsidRPr="00635AF4">
        <w:rPr>
          <w:color w:val="000000" w:themeColor="text1"/>
          <w:szCs w:val="24"/>
        </w:rPr>
        <w:t xml:space="preserve">, </w:t>
      </w:r>
      <w:proofErr w:type="spellStart"/>
      <w:proofErr w:type="gramStart"/>
      <w:r w:rsidR="00635AF4" w:rsidRPr="00635AF4">
        <w:rPr>
          <w:color w:val="000000" w:themeColor="text1"/>
          <w:szCs w:val="24"/>
        </w:rPr>
        <w:t>VIa</w:t>
      </w:r>
      <w:proofErr w:type="spellEnd"/>
      <w:proofErr w:type="gramEnd"/>
      <w:r w:rsidR="00635AF4" w:rsidRPr="00635AF4">
        <w:rPr>
          <w:color w:val="000000" w:themeColor="text1"/>
          <w:szCs w:val="24"/>
        </w:rPr>
        <w:t xml:space="preserve"> and VII</w:t>
      </w:r>
      <w:r w:rsidR="00635AF4">
        <w:rPr>
          <w:color w:val="000000" w:themeColor="text1"/>
          <w:szCs w:val="24"/>
        </w:rPr>
        <w:t xml:space="preserve">, </w:t>
      </w:r>
      <w:r w:rsidR="00635AF4" w:rsidRPr="00635AF4">
        <w:rPr>
          <w:color w:val="000000" w:themeColor="text1"/>
          <w:szCs w:val="24"/>
        </w:rPr>
        <w:t>both exams would rate at 10% for hearing loss</w:t>
      </w:r>
      <w:r w:rsidR="00635AF4">
        <w:rPr>
          <w:color w:val="000000" w:themeColor="text1"/>
          <w:szCs w:val="24"/>
        </w:rPr>
        <w:t xml:space="preserve">.  In </w:t>
      </w:r>
      <w:r w:rsidR="00635AF4" w:rsidRPr="005D06CA">
        <w:rPr>
          <w:color w:val="000000" w:themeColor="text1"/>
          <w:szCs w:val="24"/>
        </w:rPr>
        <w:t xml:space="preserve">addition to the pure tone audiogram deficit, the CI had bilateral tinnitus associated with his hearing loss that </w:t>
      </w:r>
      <w:r w:rsidR="00F7640B" w:rsidRPr="005D06CA">
        <w:rPr>
          <w:color w:val="000000" w:themeColor="text1"/>
          <w:szCs w:val="24"/>
        </w:rPr>
        <w:t>m</w:t>
      </w:r>
      <w:r w:rsidR="00635AF4" w:rsidRPr="005D06CA">
        <w:rPr>
          <w:color w:val="000000" w:themeColor="text1"/>
          <w:szCs w:val="24"/>
        </w:rPr>
        <w:t xml:space="preserve">ore likely than not significantly </w:t>
      </w:r>
      <w:proofErr w:type="spellStart"/>
      <w:r w:rsidR="00635AF4" w:rsidRPr="005D06CA">
        <w:rPr>
          <w:color w:val="000000" w:themeColor="text1"/>
          <w:szCs w:val="24"/>
        </w:rPr>
        <w:t>effected</w:t>
      </w:r>
      <w:proofErr w:type="spellEnd"/>
      <w:r w:rsidR="00635AF4" w:rsidRPr="005D06CA">
        <w:rPr>
          <w:color w:val="000000" w:themeColor="text1"/>
          <w:szCs w:val="24"/>
        </w:rPr>
        <w:t xml:space="preserve"> his hearing and speech recognition</w:t>
      </w:r>
      <w:r w:rsidR="009B39D6" w:rsidRPr="005D06CA">
        <w:rPr>
          <w:color w:val="000000" w:themeColor="text1"/>
          <w:szCs w:val="24"/>
        </w:rPr>
        <w:t xml:space="preserve">.  The VA examiners made a specific link as having the same etiology and being part of the cause of the hearing loss.  The Board considered if the unfit hearing condition included, excluded, or </w:t>
      </w:r>
      <w:r w:rsidR="00F171AF" w:rsidRPr="005D06CA">
        <w:rPr>
          <w:color w:val="000000" w:themeColor="text1"/>
          <w:szCs w:val="24"/>
        </w:rPr>
        <w:t>overlooked</w:t>
      </w:r>
      <w:r w:rsidR="00BD7D37">
        <w:rPr>
          <w:color w:val="000000" w:themeColor="text1"/>
          <w:szCs w:val="24"/>
        </w:rPr>
        <w:t xml:space="preserve"> the CI’s t</w:t>
      </w:r>
      <w:r w:rsidR="009B39D6" w:rsidRPr="005D06CA">
        <w:rPr>
          <w:color w:val="000000" w:themeColor="text1"/>
          <w:szCs w:val="24"/>
        </w:rPr>
        <w:t>innitus.  Tinnitus by itself is not considered unfitting, unless ther</w:t>
      </w:r>
      <w:r w:rsidR="00F171AF" w:rsidRPr="005D06CA">
        <w:rPr>
          <w:color w:val="000000" w:themeColor="text1"/>
          <w:szCs w:val="24"/>
        </w:rPr>
        <w:t>e is a clear tie to performance.  Additionally, the significant speech discrim</w:t>
      </w:r>
      <w:r w:rsidR="002D51CF">
        <w:rPr>
          <w:color w:val="000000" w:themeColor="text1"/>
          <w:szCs w:val="24"/>
        </w:rPr>
        <w:t>in</w:t>
      </w:r>
      <w:r w:rsidR="00F171AF" w:rsidRPr="005D06CA">
        <w:rPr>
          <w:color w:val="000000" w:themeColor="text1"/>
          <w:szCs w:val="24"/>
        </w:rPr>
        <w:t xml:space="preserve">ation </w:t>
      </w:r>
      <w:r w:rsidR="00F7640B" w:rsidRPr="005D06CA">
        <w:rPr>
          <w:color w:val="000000" w:themeColor="text1"/>
          <w:szCs w:val="24"/>
        </w:rPr>
        <w:t xml:space="preserve">deficit </w:t>
      </w:r>
      <w:r w:rsidR="00F171AF" w:rsidRPr="005D06CA">
        <w:rPr>
          <w:color w:val="000000" w:themeColor="text1"/>
          <w:szCs w:val="24"/>
        </w:rPr>
        <w:t xml:space="preserve">very </w:t>
      </w:r>
      <w:r w:rsidR="002D51CF" w:rsidRPr="005D06CA">
        <w:rPr>
          <w:color w:val="000000" w:themeColor="text1"/>
          <w:szCs w:val="24"/>
        </w:rPr>
        <w:t>likely</w:t>
      </w:r>
      <w:r w:rsidR="00F171AF" w:rsidRPr="005D06CA">
        <w:rPr>
          <w:color w:val="000000" w:themeColor="text1"/>
          <w:szCs w:val="24"/>
        </w:rPr>
        <w:t xml:space="preserve"> had contribution from the CI’s tinnitus.  The Board considered if the tinnitus were bundled with the sen</w:t>
      </w:r>
      <w:r w:rsidR="002D51CF">
        <w:rPr>
          <w:color w:val="000000" w:themeColor="text1"/>
          <w:szCs w:val="24"/>
        </w:rPr>
        <w:t>sori</w:t>
      </w:r>
      <w:r w:rsidR="00F171AF" w:rsidRPr="005D06CA">
        <w:rPr>
          <w:color w:val="000000" w:themeColor="text1"/>
          <w:szCs w:val="24"/>
        </w:rPr>
        <w:t xml:space="preserve">neural hearing loss and was therefore able to be unbundled (reasonable doubt), or must meet the threshold (preponderance of the evidence) for an additionally unfitting condition.  There was no evidence of dizziness, vertigo, or surgery near the </w:t>
      </w:r>
      <w:proofErr w:type="spellStart"/>
      <w:r w:rsidR="00F171AF" w:rsidRPr="005D06CA">
        <w:rPr>
          <w:color w:val="000000" w:themeColor="text1"/>
          <w:szCs w:val="24"/>
        </w:rPr>
        <w:t>endolymph</w:t>
      </w:r>
      <w:proofErr w:type="spellEnd"/>
      <w:r w:rsidR="00F171AF" w:rsidRPr="005D06CA">
        <w:rPr>
          <w:color w:val="000000" w:themeColor="text1"/>
          <w:szCs w:val="24"/>
        </w:rPr>
        <w:t xml:space="preserve"> system to consider alternate coding under 6205, </w:t>
      </w:r>
      <w:proofErr w:type="spellStart"/>
      <w:r w:rsidR="00F171AF" w:rsidRPr="005D06CA">
        <w:rPr>
          <w:color w:val="000000" w:themeColor="text1"/>
          <w:szCs w:val="24"/>
        </w:rPr>
        <w:t>Meniere’s</w:t>
      </w:r>
      <w:proofErr w:type="spellEnd"/>
      <w:r w:rsidR="00F171AF" w:rsidRPr="005D06CA">
        <w:rPr>
          <w:color w:val="000000" w:themeColor="text1"/>
          <w:szCs w:val="24"/>
        </w:rPr>
        <w:t xml:space="preserve"> syndrome (</w:t>
      </w:r>
      <w:proofErr w:type="spellStart"/>
      <w:r w:rsidR="00F171AF" w:rsidRPr="005D06CA">
        <w:rPr>
          <w:color w:val="000000" w:themeColor="text1"/>
          <w:szCs w:val="24"/>
        </w:rPr>
        <w:t>endolymphatic</w:t>
      </w:r>
      <w:proofErr w:type="spellEnd"/>
      <w:r w:rsidR="00F171AF" w:rsidRPr="005D06CA">
        <w:rPr>
          <w:color w:val="000000" w:themeColor="text1"/>
          <w:szCs w:val="24"/>
        </w:rPr>
        <w:t xml:space="preserve"> </w:t>
      </w:r>
      <w:proofErr w:type="spellStart"/>
      <w:r w:rsidR="00F171AF" w:rsidRPr="005D06CA">
        <w:rPr>
          <w:color w:val="000000" w:themeColor="text1"/>
          <w:szCs w:val="24"/>
        </w:rPr>
        <w:t>hydrops</w:t>
      </w:r>
      <w:proofErr w:type="spellEnd"/>
      <w:r w:rsidR="00F171AF" w:rsidRPr="005D06CA">
        <w:rPr>
          <w:color w:val="000000" w:themeColor="text1"/>
          <w:szCs w:val="24"/>
        </w:rPr>
        <w:t xml:space="preserve">).  </w:t>
      </w:r>
    </w:p>
    <w:p w:rsidR="009B39D6" w:rsidRPr="005D06CA" w:rsidRDefault="009B39D6" w:rsidP="00635AF4">
      <w:pPr>
        <w:jc w:val="both"/>
        <w:rPr>
          <w:color w:val="000000" w:themeColor="text1"/>
          <w:szCs w:val="24"/>
        </w:rPr>
      </w:pPr>
    </w:p>
    <w:p w:rsidR="00F171AF" w:rsidRDefault="00BD7D37" w:rsidP="00635AF4">
      <w:pPr>
        <w:jc w:val="both"/>
        <w:rPr>
          <w:color w:val="000000" w:themeColor="text1"/>
          <w:szCs w:val="24"/>
        </w:rPr>
      </w:pPr>
      <w:r>
        <w:rPr>
          <w:color w:val="000000" w:themeColor="text1"/>
          <w:szCs w:val="24"/>
        </w:rPr>
        <w:t>The Board adjudged that the t</w:t>
      </w:r>
      <w:r w:rsidR="00F171AF" w:rsidRPr="005D06CA">
        <w:rPr>
          <w:color w:val="000000" w:themeColor="text1"/>
          <w:szCs w:val="24"/>
        </w:rPr>
        <w:t xml:space="preserve">innitus condition was materially connected and worsened the CI right ear hearing condition and should be separately rated.  </w:t>
      </w:r>
      <w:r w:rsidR="00F171AF" w:rsidRPr="005D06CA">
        <w:rPr>
          <w:rFonts w:asciiTheme="minorHAnsi" w:hAnsiTheme="minorHAnsi"/>
          <w:color w:val="auto"/>
          <w:szCs w:val="24"/>
        </w:rPr>
        <w:t>After due deliberation, considering all of the evidence and mindful of VASRD §4.3 (reasonable doubt), the Board recommends separation ratings of 10% coded 6100 and 10% coded 6260 (Tinnitus) for the hearing loss condition.</w:t>
      </w:r>
      <w:r w:rsidR="00F171AF">
        <w:rPr>
          <w:rFonts w:asciiTheme="minorHAnsi" w:hAnsiTheme="minorHAnsi"/>
          <w:color w:val="auto"/>
          <w:szCs w:val="24"/>
        </w:rPr>
        <w:t xml:space="preserve">  </w:t>
      </w:r>
    </w:p>
    <w:p w:rsidR="00635AF4" w:rsidRDefault="00635AF4" w:rsidP="002B24B1">
      <w:pPr>
        <w:tabs>
          <w:tab w:val="left" w:pos="2932"/>
        </w:tabs>
        <w:jc w:val="both"/>
        <w:rPr>
          <w:rFonts w:asciiTheme="minorHAnsi" w:hAnsiTheme="minorHAnsi"/>
          <w:color w:val="auto"/>
          <w:szCs w:val="24"/>
        </w:rPr>
      </w:pPr>
    </w:p>
    <w:p w:rsidR="007C3E5A" w:rsidRPr="001F29F9" w:rsidRDefault="003C247E" w:rsidP="003C247E">
      <w:pPr>
        <w:jc w:val="both"/>
        <w:rPr>
          <w:color w:val="000000" w:themeColor="text1"/>
          <w:szCs w:val="24"/>
        </w:rPr>
      </w:pPr>
      <w:proofErr w:type="gramStart"/>
      <w:r w:rsidRPr="001F29F9">
        <w:rPr>
          <w:color w:val="000000" w:themeColor="text1"/>
          <w:szCs w:val="24"/>
          <w:u w:val="single"/>
        </w:rPr>
        <w:t>Remaining Conditions</w:t>
      </w:r>
      <w:r w:rsidRPr="007C02A7">
        <w:rPr>
          <w:color w:val="000000" w:themeColor="text1"/>
          <w:szCs w:val="24"/>
        </w:rPr>
        <w:t>.</w:t>
      </w:r>
      <w:proofErr w:type="gramEnd"/>
      <w:r w:rsidRPr="007C02A7">
        <w:rPr>
          <w:color w:val="000000" w:themeColor="text1"/>
          <w:szCs w:val="24"/>
        </w:rPr>
        <w:t xml:space="preserve">  Other conditions identified in the DES file were </w:t>
      </w:r>
      <w:r w:rsidR="007C02A7" w:rsidRPr="007C02A7">
        <w:rPr>
          <w:color w:val="000000" w:themeColor="text1"/>
          <w:szCs w:val="24"/>
        </w:rPr>
        <w:t>ingrown toenail and migraine headaches</w:t>
      </w:r>
      <w:r w:rsidRPr="007C02A7">
        <w:rPr>
          <w:color w:val="000000" w:themeColor="text1"/>
          <w:szCs w:val="24"/>
        </w:rPr>
        <w:t xml:space="preserve">.  Several additional non-acute conditions or medical complaints were also documented.  None of these conditions were </w:t>
      </w:r>
      <w:r w:rsidR="000E63B8" w:rsidRPr="007C02A7">
        <w:rPr>
          <w:color w:val="auto"/>
          <w:szCs w:val="24"/>
        </w:rPr>
        <w:t>significantly clinically or occupationally</w:t>
      </w:r>
      <w:r w:rsidR="000E63B8" w:rsidRPr="007C02A7">
        <w:rPr>
          <w:rFonts w:asciiTheme="minorHAnsi" w:hAnsiTheme="minorHAnsi"/>
          <w:color w:val="auto"/>
          <w:szCs w:val="24"/>
        </w:rPr>
        <w:t xml:space="preserve"> active </w:t>
      </w:r>
      <w:r w:rsidRPr="007C02A7">
        <w:rPr>
          <w:color w:val="000000" w:themeColor="text1"/>
          <w:szCs w:val="24"/>
        </w:rPr>
        <w:t>during the MEB period</w:t>
      </w:r>
      <w:r w:rsidR="0080588E" w:rsidRPr="007C02A7">
        <w:rPr>
          <w:color w:val="000000" w:themeColor="text1"/>
          <w:szCs w:val="24"/>
        </w:rPr>
        <w:t>,</w:t>
      </w:r>
      <w:r w:rsidRPr="007C02A7">
        <w:rPr>
          <w:color w:val="000000" w:themeColor="text1"/>
          <w:szCs w:val="24"/>
        </w:rPr>
        <w:t xml:space="preserve"> none carried attached profiles</w:t>
      </w:r>
      <w:r w:rsidR="0080588E" w:rsidRPr="007C02A7">
        <w:rPr>
          <w:color w:val="000000" w:themeColor="text1"/>
          <w:szCs w:val="24"/>
        </w:rPr>
        <w:t>,</w:t>
      </w:r>
      <w:r w:rsidRPr="007C02A7">
        <w:rPr>
          <w:color w:val="000000" w:themeColor="text1"/>
          <w:szCs w:val="24"/>
        </w:rPr>
        <w:t xml:space="preserve"> and none were implicated in the </w:t>
      </w:r>
      <w:r w:rsidR="0080588E" w:rsidRPr="007C02A7">
        <w:rPr>
          <w:color w:val="000000" w:themeColor="text1"/>
          <w:szCs w:val="24"/>
        </w:rPr>
        <w:t>c</w:t>
      </w:r>
      <w:r w:rsidRPr="007C02A7">
        <w:rPr>
          <w:color w:val="000000" w:themeColor="text1"/>
          <w:szCs w:val="24"/>
        </w:rPr>
        <w:t>ommander’s statement.</w:t>
      </w:r>
      <w:r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No other conditions were service connected with a compensable rating by the </w:t>
      </w:r>
      <w:r w:rsidRPr="001F29F9">
        <w:rPr>
          <w:color w:val="000000" w:themeColor="text1"/>
          <w:szCs w:val="24"/>
        </w:rPr>
        <w:lastRenderedPageBreak/>
        <w:t xml:space="preserve">VA within </w:t>
      </w:r>
      <w:r w:rsidR="0080588E" w:rsidRPr="001F29F9">
        <w:rPr>
          <w:color w:val="000000" w:themeColor="text1"/>
          <w:szCs w:val="24"/>
        </w:rPr>
        <w:t>12</w:t>
      </w:r>
      <w:r w:rsidRPr="001F29F9">
        <w:rPr>
          <w:color w:val="000000" w:themeColor="text1"/>
          <w:szCs w:val="24"/>
        </w:rPr>
        <w:t xml:space="preser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A64BA" w:rsidRPr="009F1533" w:rsidRDefault="00C56FC8" w:rsidP="003A64BA">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w:t>
      </w:r>
      <w:r w:rsidRPr="005D06CA">
        <w:rPr>
          <w:rFonts w:eastAsiaTheme="minorHAnsi"/>
          <w:color w:val="000000" w:themeColor="text1"/>
          <w:szCs w:val="24"/>
        </w:rPr>
        <w:t>DoD or Military Department regulations or guidelines relied upon by the PEB will not be considered by the Board to the extent they were inconsistent with the VASRD in effect at the time of the adjudication.</w:t>
      </w:r>
      <w:r w:rsidR="009F1533" w:rsidRPr="005D06CA">
        <w:rPr>
          <w:rFonts w:eastAsiaTheme="minorHAnsi"/>
          <w:color w:val="000000" w:themeColor="text1"/>
          <w:szCs w:val="24"/>
        </w:rPr>
        <w:t xml:space="preserve">  </w:t>
      </w:r>
      <w:r w:rsidR="003A64BA" w:rsidRPr="005D06CA">
        <w:rPr>
          <w:rFonts w:eastAsiaTheme="minorHAnsi"/>
          <w:color w:val="000000" w:themeColor="text1"/>
          <w:szCs w:val="24"/>
        </w:rPr>
        <w:t>In the matter of the hearing loss condition, the Board unanimously recommends a service disability rating of 10%, coded 6100 IAW VASRD §4.</w:t>
      </w:r>
      <w:r w:rsidR="006F389D" w:rsidRPr="005D06CA">
        <w:rPr>
          <w:rFonts w:eastAsiaTheme="minorHAnsi"/>
          <w:color w:val="000000" w:themeColor="text1"/>
          <w:szCs w:val="24"/>
        </w:rPr>
        <w:t>85</w:t>
      </w:r>
      <w:r w:rsidR="003A64BA" w:rsidRPr="005D06CA">
        <w:rPr>
          <w:rFonts w:eastAsiaTheme="minorHAnsi"/>
          <w:color w:val="000000" w:themeColor="text1"/>
          <w:szCs w:val="24"/>
        </w:rPr>
        <w:t xml:space="preserve">.  In the matter of the </w:t>
      </w:r>
      <w:r w:rsidR="006F389D" w:rsidRPr="005D06CA">
        <w:rPr>
          <w:rFonts w:eastAsiaTheme="minorHAnsi"/>
          <w:color w:val="000000" w:themeColor="text1"/>
          <w:szCs w:val="24"/>
        </w:rPr>
        <w:t>tinnitus</w:t>
      </w:r>
      <w:r w:rsidR="003A64BA" w:rsidRPr="005D06CA">
        <w:rPr>
          <w:rFonts w:eastAsiaTheme="minorHAnsi"/>
          <w:color w:val="000000" w:themeColor="text1"/>
          <w:szCs w:val="24"/>
        </w:rPr>
        <w:t xml:space="preserve"> condition, the Board unanimously recommends that it be added as an additionally unfitting condition for separation rating, coded </w:t>
      </w:r>
      <w:r w:rsidR="006F389D" w:rsidRPr="005D06CA">
        <w:rPr>
          <w:rFonts w:eastAsiaTheme="minorHAnsi"/>
          <w:color w:val="000000" w:themeColor="text1"/>
          <w:szCs w:val="24"/>
        </w:rPr>
        <w:t>6260</w:t>
      </w:r>
      <w:r w:rsidR="003A64BA" w:rsidRPr="005D06CA">
        <w:rPr>
          <w:rFonts w:eastAsiaTheme="minorHAnsi"/>
          <w:color w:val="000000" w:themeColor="text1"/>
          <w:szCs w:val="24"/>
        </w:rPr>
        <w:t xml:space="preserve"> and rated </w:t>
      </w:r>
      <w:r w:rsidR="006F389D" w:rsidRPr="005D06CA">
        <w:rPr>
          <w:rFonts w:eastAsiaTheme="minorHAnsi"/>
          <w:color w:val="000000" w:themeColor="text1"/>
          <w:szCs w:val="24"/>
        </w:rPr>
        <w:t>1</w:t>
      </w:r>
      <w:r w:rsidR="003A64BA" w:rsidRPr="005D06CA">
        <w:rPr>
          <w:rFonts w:eastAsiaTheme="minorHAnsi"/>
          <w:color w:val="000000" w:themeColor="text1"/>
          <w:szCs w:val="24"/>
        </w:rPr>
        <w:t>0% IAW VASRD §4.</w:t>
      </w:r>
      <w:r w:rsidR="006F389D" w:rsidRPr="005D06CA">
        <w:rPr>
          <w:rFonts w:eastAsiaTheme="minorHAnsi"/>
          <w:color w:val="000000" w:themeColor="text1"/>
          <w:szCs w:val="24"/>
        </w:rPr>
        <w:t>87</w:t>
      </w:r>
      <w:r w:rsidR="003A64BA" w:rsidRPr="005D06CA">
        <w:rPr>
          <w:rFonts w:eastAsiaTheme="minorHAnsi"/>
          <w:color w:val="000000" w:themeColor="text1"/>
          <w:szCs w:val="24"/>
        </w:rPr>
        <w:t>.</w:t>
      </w:r>
      <w:r w:rsidR="005D06CA" w:rsidRPr="005D06CA">
        <w:rPr>
          <w:rFonts w:eastAsiaTheme="minorHAnsi"/>
          <w:color w:val="000000" w:themeColor="text1"/>
          <w:szCs w:val="24"/>
        </w:rPr>
        <w:t xml:space="preserve">  </w:t>
      </w:r>
      <w:r w:rsidR="003A64BA" w:rsidRPr="005D06CA">
        <w:rPr>
          <w:rFonts w:eastAsiaTheme="minorHAnsi"/>
          <w:color w:val="000000" w:themeColor="text1"/>
          <w:szCs w:val="24"/>
        </w:rPr>
        <w:t>The Board unanimously agrees that there were no other conditions eligible for Board consideration which could be recommended as additionally unfitting for rating at separation.</w:t>
      </w:r>
    </w:p>
    <w:p w:rsidR="003A64BA" w:rsidRPr="001F29F9" w:rsidRDefault="003A64BA" w:rsidP="003A64BA">
      <w:pPr>
        <w:pBdr>
          <w:bottom w:val="single" w:sz="12" w:space="1" w:color="auto"/>
        </w:pBdr>
        <w:tabs>
          <w:tab w:val="left" w:pos="288"/>
          <w:tab w:val="left" w:pos="4752"/>
        </w:tabs>
        <w:jc w:val="both"/>
        <w:rPr>
          <w:color w:val="000000" w:themeColor="text1"/>
        </w:rPr>
      </w:pPr>
    </w:p>
    <w:p w:rsidR="003A64BA" w:rsidRPr="001F29F9" w:rsidRDefault="003A64BA" w:rsidP="003A64BA">
      <w:pPr>
        <w:jc w:val="both"/>
        <w:rPr>
          <w:color w:val="000000" w:themeColor="text1"/>
          <w:szCs w:val="24"/>
        </w:rPr>
      </w:pPr>
    </w:p>
    <w:p w:rsidR="00C56FC8" w:rsidRPr="00F171AF" w:rsidRDefault="00C56FC8" w:rsidP="009F1533">
      <w:pPr>
        <w:jc w:val="left"/>
        <w:rPr>
          <w:color w:val="auto"/>
        </w:rPr>
      </w:pPr>
      <w:r w:rsidRPr="001F29F9">
        <w:rPr>
          <w:color w:val="000000" w:themeColor="text1"/>
          <w:szCs w:val="24"/>
          <w:u w:val="single"/>
        </w:rPr>
        <w:t>RECOMMENDATION</w:t>
      </w:r>
      <w:r w:rsidRPr="001F29F9">
        <w:rPr>
          <w:color w:val="000000" w:themeColor="text1"/>
          <w:szCs w:val="24"/>
        </w:rPr>
        <w:t>:</w:t>
      </w:r>
      <w:r w:rsidR="009F1533">
        <w:rPr>
          <w:color w:val="000000" w:themeColor="text1"/>
        </w:rPr>
        <w:t xml:space="preserve">  </w:t>
      </w:r>
      <w:r w:rsidRPr="001F29F9">
        <w:rPr>
          <w:color w:val="000000" w:themeColor="text1"/>
          <w:szCs w:val="24"/>
        </w:rPr>
        <w:t xml:space="preserve">The Board recommends that the CI’s prior </w:t>
      </w:r>
      <w:r w:rsidRPr="005D06CA">
        <w:rPr>
          <w:color w:val="000000" w:themeColor="text1"/>
          <w:szCs w:val="24"/>
        </w:rPr>
        <w:t>determination be modified as follows, effective as of the date of his</w:t>
      </w:r>
      <w:r w:rsidR="00911B11" w:rsidRPr="005D06CA">
        <w:rPr>
          <w:color w:val="000000" w:themeColor="text1"/>
          <w:szCs w:val="24"/>
        </w:rPr>
        <w:t xml:space="preserve"> prior medical separation:</w:t>
      </w:r>
    </w:p>
    <w:p w:rsidR="00BA6A9C" w:rsidRPr="00F7640B"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7640B" w:rsidTr="000D79B7">
        <w:trPr>
          <w:trHeight w:val="233"/>
          <w:jc w:val="center"/>
        </w:trPr>
        <w:tc>
          <w:tcPr>
            <w:tcW w:w="6282" w:type="dxa"/>
            <w:shd w:val="clear" w:color="auto" w:fill="D9D9D9"/>
            <w:vAlign w:val="center"/>
          </w:tcPr>
          <w:p w:rsidR="00A95BBA" w:rsidRPr="00F7640B" w:rsidRDefault="00A95BBA" w:rsidP="000D79B7">
            <w:pPr>
              <w:tabs>
                <w:tab w:val="left" w:pos="288"/>
                <w:tab w:val="left" w:pos="4752"/>
              </w:tabs>
              <w:rPr>
                <w:b/>
                <w:color w:val="auto"/>
                <w:szCs w:val="24"/>
              </w:rPr>
            </w:pPr>
            <w:r w:rsidRPr="00F7640B">
              <w:rPr>
                <w:b/>
                <w:color w:val="auto"/>
                <w:szCs w:val="24"/>
              </w:rPr>
              <w:t>UNFITTING CONDITION</w:t>
            </w:r>
          </w:p>
        </w:tc>
        <w:tc>
          <w:tcPr>
            <w:tcW w:w="1710" w:type="dxa"/>
            <w:shd w:val="clear" w:color="auto" w:fill="D9D9D9"/>
            <w:vAlign w:val="center"/>
          </w:tcPr>
          <w:p w:rsidR="00A95BBA" w:rsidRPr="00F7640B" w:rsidRDefault="00A95BBA" w:rsidP="000D79B7">
            <w:pPr>
              <w:tabs>
                <w:tab w:val="left" w:pos="288"/>
                <w:tab w:val="left" w:pos="4752"/>
              </w:tabs>
              <w:rPr>
                <w:b/>
                <w:color w:val="auto"/>
                <w:szCs w:val="24"/>
              </w:rPr>
            </w:pPr>
            <w:r w:rsidRPr="00F7640B">
              <w:rPr>
                <w:b/>
                <w:color w:val="auto"/>
                <w:szCs w:val="24"/>
              </w:rPr>
              <w:t>VASRD CODE</w:t>
            </w:r>
          </w:p>
        </w:tc>
        <w:tc>
          <w:tcPr>
            <w:tcW w:w="1170" w:type="dxa"/>
            <w:shd w:val="clear" w:color="auto" w:fill="D9D9D9"/>
            <w:vAlign w:val="center"/>
          </w:tcPr>
          <w:p w:rsidR="00A95BBA" w:rsidRPr="00F7640B" w:rsidRDefault="00A95BBA" w:rsidP="000D79B7">
            <w:pPr>
              <w:tabs>
                <w:tab w:val="left" w:pos="288"/>
                <w:tab w:val="left" w:pos="4752"/>
              </w:tabs>
              <w:rPr>
                <w:b/>
                <w:color w:val="auto"/>
                <w:szCs w:val="24"/>
              </w:rPr>
            </w:pPr>
            <w:r w:rsidRPr="00F7640B">
              <w:rPr>
                <w:b/>
                <w:color w:val="auto"/>
                <w:szCs w:val="24"/>
              </w:rPr>
              <w:t>RATING</w:t>
            </w:r>
          </w:p>
        </w:tc>
      </w:tr>
      <w:tr w:rsidR="00A95BBA" w:rsidRPr="00F7640B" w:rsidTr="000D79B7">
        <w:trPr>
          <w:jc w:val="center"/>
        </w:trPr>
        <w:tc>
          <w:tcPr>
            <w:tcW w:w="6282" w:type="dxa"/>
            <w:vAlign w:val="center"/>
          </w:tcPr>
          <w:p w:rsidR="00A95BBA" w:rsidRPr="00F7640B" w:rsidRDefault="007C02A7" w:rsidP="000D79B7">
            <w:pPr>
              <w:tabs>
                <w:tab w:val="left" w:pos="288"/>
                <w:tab w:val="left" w:pos="4752"/>
              </w:tabs>
              <w:jc w:val="left"/>
              <w:rPr>
                <w:color w:val="auto"/>
                <w:szCs w:val="24"/>
              </w:rPr>
            </w:pPr>
            <w:r w:rsidRPr="00F7640B">
              <w:rPr>
                <w:color w:val="auto"/>
                <w:szCs w:val="24"/>
              </w:rPr>
              <w:t>Sensorineural Hearing Loss</w:t>
            </w:r>
          </w:p>
        </w:tc>
        <w:tc>
          <w:tcPr>
            <w:tcW w:w="1710" w:type="dxa"/>
            <w:vAlign w:val="center"/>
          </w:tcPr>
          <w:p w:rsidR="00A95BBA" w:rsidRPr="00F7640B" w:rsidRDefault="007C02A7" w:rsidP="000D79B7">
            <w:pPr>
              <w:tabs>
                <w:tab w:val="left" w:pos="288"/>
                <w:tab w:val="left" w:pos="4752"/>
              </w:tabs>
              <w:rPr>
                <w:color w:val="auto"/>
                <w:szCs w:val="24"/>
              </w:rPr>
            </w:pPr>
            <w:r w:rsidRPr="00F7640B">
              <w:rPr>
                <w:color w:val="auto"/>
                <w:szCs w:val="24"/>
              </w:rPr>
              <w:t>6100</w:t>
            </w:r>
          </w:p>
        </w:tc>
        <w:tc>
          <w:tcPr>
            <w:tcW w:w="1170" w:type="dxa"/>
            <w:vAlign w:val="center"/>
          </w:tcPr>
          <w:p w:rsidR="00A95BBA" w:rsidRPr="00F7640B" w:rsidRDefault="009F1533" w:rsidP="000D79B7">
            <w:pPr>
              <w:tabs>
                <w:tab w:val="left" w:pos="288"/>
                <w:tab w:val="left" w:pos="4752"/>
              </w:tabs>
              <w:rPr>
                <w:color w:val="auto"/>
                <w:szCs w:val="24"/>
              </w:rPr>
            </w:pPr>
            <w:r w:rsidRPr="00F7640B">
              <w:rPr>
                <w:color w:val="auto"/>
                <w:szCs w:val="24"/>
              </w:rPr>
              <w:t>10</w:t>
            </w:r>
            <w:r w:rsidR="00A95BBA" w:rsidRPr="00F7640B">
              <w:rPr>
                <w:color w:val="auto"/>
                <w:szCs w:val="24"/>
              </w:rPr>
              <w:t>%</w:t>
            </w:r>
          </w:p>
        </w:tc>
      </w:tr>
      <w:tr w:rsidR="009F1533" w:rsidRPr="00F7640B" w:rsidTr="00A658F4">
        <w:trPr>
          <w:trHeight w:val="278"/>
          <w:jc w:val="center"/>
        </w:trPr>
        <w:tc>
          <w:tcPr>
            <w:tcW w:w="6282" w:type="dxa"/>
            <w:vAlign w:val="center"/>
          </w:tcPr>
          <w:p w:rsidR="009F1533" w:rsidRPr="00F7640B" w:rsidRDefault="009F1533" w:rsidP="00A658F4">
            <w:pPr>
              <w:tabs>
                <w:tab w:val="left" w:pos="288"/>
                <w:tab w:val="left" w:pos="4752"/>
              </w:tabs>
              <w:jc w:val="left"/>
              <w:rPr>
                <w:rFonts w:cs="Calibri"/>
                <w:color w:val="auto"/>
                <w:sz w:val="18"/>
                <w:szCs w:val="18"/>
              </w:rPr>
            </w:pPr>
            <w:r w:rsidRPr="00F7640B">
              <w:rPr>
                <w:color w:val="auto"/>
                <w:szCs w:val="24"/>
              </w:rPr>
              <w:t>Tinnitus</w:t>
            </w:r>
            <w:r w:rsidR="00F171AF" w:rsidRPr="00F7640B">
              <w:rPr>
                <w:color w:val="auto"/>
                <w:szCs w:val="24"/>
              </w:rPr>
              <w:t xml:space="preserve"> Connected to Hearing Loss</w:t>
            </w:r>
          </w:p>
        </w:tc>
        <w:tc>
          <w:tcPr>
            <w:tcW w:w="1710" w:type="dxa"/>
            <w:vAlign w:val="center"/>
          </w:tcPr>
          <w:p w:rsidR="009F1533" w:rsidRPr="00F7640B" w:rsidRDefault="009F1533" w:rsidP="00A658F4">
            <w:pPr>
              <w:tabs>
                <w:tab w:val="left" w:pos="288"/>
                <w:tab w:val="left" w:pos="4752"/>
              </w:tabs>
              <w:rPr>
                <w:color w:val="auto"/>
                <w:szCs w:val="24"/>
              </w:rPr>
            </w:pPr>
            <w:r w:rsidRPr="00F7640B">
              <w:rPr>
                <w:color w:val="auto"/>
                <w:szCs w:val="24"/>
              </w:rPr>
              <w:t>6260</w:t>
            </w:r>
          </w:p>
        </w:tc>
        <w:tc>
          <w:tcPr>
            <w:tcW w:w="1170" w:type="dxa"/>
            <w:vAlign w:val="center"/>
          </w:tcPr>
          <w:p w:rsidR="009F1533" w:rsidRPr="00F7640B" w:rsidRDefault="009F1533" w:rsidP="00A658F4">
            <w:pPr>
              <w:tabs>
                <w:tab w:val="left" w:pos="288"/>
                <w:tab w:val="left" w:pos="4752"/>
              </w:tabs>
              <w:rPr>
                <w:color w:val="auto"/>
                <w:szCs w:val="24"/>
              </w:rPr>
            </w:pPr>
            <w:r w:rsidRPr="00F7640B">
              <w:rPr>
                <w:color w:val="auto"/>
                <w:szCs w:val="24"/>
              </w:rPr>
              <w:t>10%</w:t>
            </w:r>
          </w:p>
        </w:tc>
      </w:tr>
      <w:tr w:rsidR="00A95BBA" w:rsidRPr="00F7640B" w:rsidTr="000D79B7">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7640B" w:rsidRDefault="00A95BBA" w:rsidP="000D79B7">
            <w:pPr>
              <w:tabs>
                <w:tab w:val="left" w:pos="288"/>
                <w:tab w:val="left" w:pos="4752"/>
              </w:tabs>
              <w:rPr>
                <w:b/>
                <w:color w:val="auto"/>
                <w:szCs w:val="24"/>
              </w:rPr>
            </w:pPr>
            <w:r w:rsidRPr="00F7640B">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7640B" w:rsidRDefault="009F1533" w:rsidP="000D79B7">
            <w:pPr>
              <w:tabs>
                <w:tab w:val="left" w:pos="288"/>
                <w:tab w:val="left" w:pos="4752"/>
              </w:tabs>
              <w:rPr>
                <w:b/>
                <w:color w:val="auto"/>
                <w:szCs w:val="24"/>
              </w:rPr>
            </w:pPr>
            <w:r w:rsidRPr="00F7640B">
              <w:rPr>
                <w:b/>
                <w:color w:val="auto"/>
                <w:szCs w:val="24"/>
              </w:rPr>
              <w:t>20</w:t>
            </w:r>
            <w:r w:rsidR="00A95BBA" w:rsidRPr="00F7640B">
              <w:rPr>
                <w:b/>
                <w:color w:val="auto"/>
                <w:szCs w:val="24"/>
              </w:rPr>
              <w:t>%</w:t>
            </w:r>
          </w:p>
        </w:tc>
      </w:tr>
    </w:tbl>
    <w:p w:rsidR="005B1D09" w:rsidRPr="001F29F9" w:rsidRDefault="005B1D09" w:rsidP="000D79B7">
      <w:pPr>
        <w:pBdr>
          <w:bottom w:val="single" w:sz="12" w:space="1" w:color="auto"/>
        </w:pBdr>
        <w:tabs>
          <w:tab w:val="left" w:pos="288"/>
          <w:tab w:val="left" w:pos="4752"/>
        </w:tabs>
        <w:jc w:val="both"/>
        <w:rPr>
          <w:color w:val="000000" w:themeColor="text1"/>
        </w:rPr>
      </w:pPr>
    </w:p>
    <w:p w:rsidR="005B1D09" w:rsidRPr="001F29F9" w:rsidRDefault="005B1D09" w:rsidP="009F1533">
      <w:pPr>
        <w:jc w:val="both"/>
        <w:rPr>
          <w:color w:val="000000" w:themeColor="text1"/>
          <w:szCs w:val="24"/>
        </w:rPr>
      </w:pPr>
    </w:p>
    <w:p w:rsidR="00D91DA6" w:rsidRPr="001F29F9" w:rsidRDefault="00FB1725" w:rsidP="000D79B7">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0D79B7">
      <w:pPr>
        <w:tabs>
          <w:tab w:val="left" w:pos="288"/>
          <w:tab w:val="left" w:pos="4752"/>
        </w:tabs>
        <w:jc w:val="both"/>
        <w:rPr>
          <w:color w:val="000000" w:themeColor="text1"/>
        </w:rPr>
      </w:pPr>
    </w:p>
    <w:p w:rsidR="00114F20" w:rsidRPr="001F29F9" w:rsidRDefault="00FB1725" w:rsidP="000D79B7">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04DCC">
        <w:rPr>
          <w:color w:val="000000" w:themeColor="text1"/>
          <w:szCs w:val="24"/>
        </w:rPr>
        <w:t>10821</w:t>
      </w:r>
      <w:r w:rsidR="00BD7D37">
        <w:rPr>
          <w:color w:val="000000" w:themeColor="text1"/>
        </w:rPr>
        <w:t>, w/atchs</w:t>
      </w:r>
    </w:p>
    <w:p w:rsidR="00114F20" w:rsidRPr="001F29F9" w:rsidRDefault="00FB1725" w:rsidP="000D79B7">
      <w:pPr>
        <w:tabs>
          <w:tab w:val="left" w:pos="288"/>
          <w:tab w:val="left" w:pos="4752"/>
        </w:tabs>
        <w:jc w:val="both"/>
        <w:rPr>
          <w:color w:val="000000" w:themeColor="text1"/>
        </w:rPr>
      </w:pPr>
      <w:r w:rsidRPr="001F29F9">
        <w:rPr>
          <w:color w:val="000000" w:themeColor="text1"/>
        </w:rPr>
        <w:t>Exhib</w:t>
      </w:r>
      <w:r w:rsidR="00BD7D37">
        <w:rPr>
          <w:color w:val="000000" w:themeColor="text1"/>
        </w:rPr>
        <w:t>it B.  Service Treatment Record</w:t>
      </w:r>
    </w:p>
    <w:p w:rsidR="00114F20" w:rsidRPr="001F29F9" w:rsidRDefault="00FB1725" w:rsidP="000D79B7">
      <w:pPr>
        <w:tabs>
          <w:tab w:val="left" w:pos="288"/>
          <w:tab w:val="left" w:pos="4752"/>
        </w:tabs>
        <w:jc w:val="both"/>
        <w:rPr>
          <w:color w:val="000000" w:themeColor="text1"/>
        </w:rPr>
      </w:pPr>
      <w:r w:rsidRPr="001F29F9">
        <w:rPr>
          <w:color w:val="000000" w:themeColor="text1"/>
        </w:rPr>
        <w:t>Exhibit C.  Department of Ve</w:t>
      </w:r>
      <w:r w:rsidR="00BD7D37">
        <w:rPr>
          <w:color w:val="000000" w:themeColor="text1"/>
        </w:rPr>
        <w:t>terans Affairs Treatment Record</w:t>
      </w:r>
    </w:p>
    <w:p w:rsidR="00D91DA6" w:rsidRPr="001F29F9" w:rsidRDefault="00D91DA6" w:rsidP="000D79B7">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0C13A3" w:rsidRDefault="000C13A3" w:rsidP="00BF0E94">
      <w:pPr>
        <w:tabs>
          <w:tab w:val="left" w:pos="0"/>
          <w:tab w:val="left" w:pos="4320"/>
        </w:tabs>
        <w:jc w:val="both"/>
        <w:rPr>
          <w:color w:val="000000" w:themeColor="text1"/>
          <w:szCs w:val="24"/>
        </w:rPr>
      </w:pPr>
    </w:p>
    <w:p w:rsidR="00E3077F" w:rsidRPr="001F29F9" w:rsidRDefault="000C13A3" w:rsidP="00BF0E94">
      <w:pPr>
        <w:tabs>
          <w:tab w:val="left" w:pos="0"/>
          <w:tab w:val="left" w:pos="4320"/>
        </w:tabs>
        <w:jc w:val="both"/>
        <w:rPr>
          <w:color w:val="000000" w:themeColor="text1"/>
          <w:szCs w:val="24"/>
        </w:rPr>
      </w:pPr>
      <w:r>
        <w:rPr>
          <w:color w:val="000000" w:themeColor="text1"/>
          <w:szCs w:val="24"/>
        </w:rPr>
        <w:t xml:space="preserve">                                                                                          </w:t>
      </w:r>
      <w:r w:rsidR="008E3C90" w:rsidRPr="001F29F9">
        <w:rPr>
          <w:color w:val="000000" w:themeColor="text1"/>
          <w:szCs w:val="24"/>
        </w:rPr>
        <w:t xml:space="preserve"> </w:t>
      </w:r>
      <w:r w:rsidR="005D06CA">
        <w:rPr>
          <w:color w:val="000000" w:themeColor="text1"/>
          <w:szCs w:val="24"/>
        </w:rPr>
        <w:tab/>
        <w:t xml:space="preserve">      </w:t>
      </w:r>
      <w:r w:rsidR="0012169A">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F171AF">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r>
      <w:r w:rsidR="00F171AF">
        <w:rPr>
          <w:color w:val="000000" w:themeColor="text1"/>
          <w:szCs w:val="24"/>
        </w:rPr>
        <w:tab/>
      </w:r>
      <w:r w:rsidRPr="001F29F9">
        <w:rPr>
          <w:color w:val="000000" w:themeColor="text1"/>
          <w:szCs w:val="24"/>
        </w:rPr>
        <w:t xml:space="preserve">      </w:t>
      </w:r>
      <w:r w:rsidR="00220FA9" w:rsidRPr="001F29F9">
        <w:rPr>
          <w:color w:val="000000" w:themeColor="text1"/>
          <w:szCs w:val="24"/>
        </w:rPr>
        <w:t>P</w:t>
      </w:r>
      <w:r w:rsidR="00E3077F" w:rsidRPr="001F29F9">
        <w:rPr>
          <w:color w:val="000000" w:themeColor="text1"/>
          <w:szCs w:val="24"/>
        </w:rPr>
        <w:t>hysical Disability Board of Review</w:t>
      </w:r>
    </w:p>
    <w:p w:rsidR="0012169A" w:rsidRDefault="0012169A" w:rsidP="0012169A">
      <w:pPr>
        <w:tabs>
          <w:tab w:val="left" w:pos="576"/>
        </w:tabs>
        <w:ind w:right="-1080"/>
        <w:jc w:val="left"/>
        <w:rPr>
          <w:rFonts w:ascii="Times New Roman" w:hAnsi="Times New Roman"/>
          <w:color w:val="auto"/>
        </w:rPr>
      </w:pPr>
    </w:p>
    <w:p w:rsidR="0012169A" w:rsidRDefault="0012169A">
      <w:pPr>
        <w:rPr>
          <w:rFonts w:ascii="Times New Roman" w:hAnsi="Times New Roman"/>
          <w:color w:val="auto"/>
        </w:rPr>
      </w:pPr>
      <w:r>
        <w:rPr>
          <w:rFonts w:ascii="Times New Roman" w:hAnsi="Times New Roman"/>
          <w:color w:val="auto"/>
        </w:rPr>
        <w:br w:type="page"/>
      </w:r>
    </w:p>
    <w:p w:rsidR="0012169A" w:rsidRDefault="0012169A" w:rsidP="0012169A">
      <w:pPr>
        <w:tabs>
          <w:tab w:val="left" w:pos="576"/>
        </w:tabs>
        <w:ind w:right="-1080"/>
        <w:jc w:val="left"/>
        <w:rPr>
          <w:rFonts w:ascii="Times New Roman" w:hAnsi="Times New Roman"/>
          <w:color w:val="auto"/>
        </w:rPr>
      </w:pPr>
      <w:r>
        <w:rPr>
          <w:rFonts w:ascii="Times New Roman" w:hAnsi="Times New Roman"/>
          <w:color w:val="auto"/>
        </w:rPr>
        <w:lastRenderedPageBreak/>
        <w:t>SAF/MRB</w:t>
      </w:r>
    </w:p>
    <w:p w:rsidR="0012169A" w:rsidRDefault="0012169A" w:rsidP="0012169A">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12169A" w:rsidRDefault="0012169A" w:rsidP="0012169A">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12169A" w:rsidRDefault="0012169A" w:rsidP="0012169A">
      <w:pPr>
        <w:tabs>
          <w:tab w:val="left" w:pos="576"/>
        </w:tabs>
        <w:ind w:right="-1080"/>
        <w:jc w:val="left"/>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sz w:val="20"/>
        </w:rPr>
      </w:pP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Dear XXXXXXXXXX</w:t>
      </w:r>
    </w:p>
    <w:p w:rsidR="0012169A" w:rsidRDefault="0012169A" w:rsidP="0012169A">
      <w:pPr>
        <w:tabs>
          <w:tab w:val="left" w:pos="720"/>
        </w:tabs>
        <w:ind w:right="-1080"/>
        <w:jc w:val="left"/>
        <w:rPr>
          <w:rFonts w:ascii="Times New Roman" w:hAnsi="Times New Roman"/>
          <w:color w:val="auto"/>
          <w:sz w:val="20"/>
        </w:rPr>
      </w:pPr>
    </w:p>
    <w:p w:rsidR="0012169A" w:rsidRDefault="0012169A" w:rsidP="0012169A">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§1554a), PDBR Case Number PD-2011-00711.</w:t>
      </w:r>
    </w:p>
    <w:p w:rsidR="0012169A" w:rsidRDefault="0012169A" w:rsidP="0012169A">
      <w:pPr>
        <w:tabs>
          <w:tab w:val="left" w:pos="720"/>
        </w:tabs>
        <w:jc w:val="left"/>
        <w:rPr>
          <w:rFonts w:ascii="Times New Roman" w:hAnsi="Times New Roman"/>
          <w:color w:val="auto"/>
        </w:rPr>
      </w:pPr>
    </w:p>
    <w:p w:rsidR="0012169A" w:rsidRDefault="0012169A" w:rsidP="0012169A">
      <w:pPr>
        <w:tabs>
          <w:tab w:val="left" w:pos="720"/>
        </w:tabs>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12169A" w:rsidRDefault="0012169A" w:rsidP="0012169A">
      <w:pPr>
        <w:tabs>
          <w:tab w:val="left" w:pos="720"/>
        </w:tabs>
        <w:jc w:val="left"/>
        <w:rPr>
          <w:rFonts w:ascii="Times New Roman" w:hAnsi="Times New Roman"/>
          <w:color w:val="auto"/>
        </w:rPr>
      </w:pPr>
    </w:p>
    <w:p w:rsidR="0012169A" w:rsidRDefault="0012169A" w:rsidP="0012169A">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12169A" w:rsidRDefault="0012169A" w:rsidP="0012169A">
      <w:pPr>
        <w:pStyle w:val="BodyText2"/>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ind w:left="5040" w:right="-1080"/>
        <w:jc w:val="left"/>
        <w:rPr>
          <w:rFonts w:ascii="Times New Roman" w:hAnsi="Times New Roman"/>
          <w:color w:val="auto"/>
        </w:rPr>
      </w:pPr>
      <w:r>
        <w:rPr>
          <w:rFonts w:ascii="Times New Roman" w:hAnsi="Times New Roman"/>
          <w:color w:val="auto"/>
        </w:rPr>
        <w:t>XXXXXXXXXXXXXX</w:t>
      </w:r>
    </w:p>
    <w:p w:rsidR="0012169A" w:rsidRDefault="0012169A" w:rsidP="0012169A">
      <w:pPr>
        <w:tabs>
          <w:tab w:val="left" w:pos="720"/>
        </w:tabs>
        <w:ind w:left="5040" w:right="-1080"/>
        <w:jc w:val="left"/>
        <w:rPr>
          <w:rFonts w:ascii="Times New Roman" w:hAnsi="Times New Roman"/>
          <w:color w:val="auto"/>
        </w:rPr>
      </w:pPr>
      <w:r>
        <w:rPr>
          <w:rFonts w:ascii="Times New Roman" w:hAnsi="Times New Roman"/>
          <w:color w:val="auto"/>
        </w:rPr>
        <w:t>Director</w:t>
      </w:r>
    </w:p>
    <w:p w:rsidR="0012169A" w:rsidRDefault="0012169A" w:rsidP="0012169A">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Attachments:</w:t>
      </w: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1.  Directive</w:t>
      </w: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2.  Record of Proceedings</w:t>
      </w:r>
    </w:p>
    <w:p w:rsidR="0012169A" w:rsidRDefault="0012169A" w:rsidP="0012169A">
      <w:pPr>
        <w:tabs>
          <w:tab w:val="left" w:pos="720"/>
        </w:tabs>
        <w:ind w:right="-1080"/>
        <w:jc w:val="left"/>
        <w:rPr>
          <w:rFonts w:ascii="Times New Roman" w:hAnsi="Times New Roman"/>
          <w:color w:val="auto"/>
        </w:rPr>
      </w:pP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cc:</w:t>
      </w: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SAF/MRBR</w:t>
      </w:r>
    </w:p>
    <w:p w:rsidR="0012169A" w:rsidRDefault="0012169A" w:rsidP="0012169A">
      <w:pPr>
        <w:tabs>
          <w:tab w:val="left" w:pos="720"/>
        </w:tabs>
        <w:ind w:right="-1080"/>
        <w:jc w:val="left"/>
        <w:rPr>
          <w:rFonts w:ascii="Times New Roman" w:hAnsi="Times New Roman"/>
          <w:color w:val="auto"/>
        </w:rPr>
      </w:pPr>
      <w:r>
        <w:rPr>
          <w:rFonts w:ascii="Times New Roman" w:hAnsi="Times New Roman"/>
          <w:color w:val="auto"/>
        </w:rPr>
        <w:t>DFAS-IN</w:t>
      </w:r>
    </w:p>
    <w:p w:rsidR="0012169A" w:rsidRDefault="0012169A" w:rsidP="0012169A">
      <w:pPr>
        <w:tabs>
          <w:tab w:val="left" w:pos="6624"/>
        </w:tabs>
        <w:ind w:right="-1080"/>
        <w:jc w:val="left"/>
        <w:rPr>
          <w:rFonts w:ascii="Courier" w:hAnsi="Courier"/>
          <w:color w:val="auto"/>
          <w:u w:val="single"/>
        </w:rPr>
      </w:pPr>
    </w:p>
    <w:p w:rsidR="0012169A" w:rsidRDefault="0012169A" w:rsidP="0012169A">
      <w:pPr>
        <w:jc w:val="left"/>
        <w:rPr>
          <w:color w:val="auto"/>
        </w:rPr>
        <w:sectPr w:rsidR="0012169A">
          <w:footnotePr>
            <w:numRestart w:val="eachSect"/>
          </w:footnotePr>
          <w:pgSz w:w="12240" w:h="15840"/>
          <w:pgMar w:top="1440" w:right="1296" w:bottom="1440" w:left="1440" w:header="720" w:footer="720" w:gutter="0"/>
          <w:cols w:space="720"/>
        </w:sectPr>
      </w:pPr>
    </w:p>
    <w:p w:rsidR="0012169A" w:rsidRDefault="0012169A" w:rsidP="0012169A">
      <w:pPr>
        <w:tabs>
          <w:tab w:val="left" w:pos="6624"/>
        </w:tabs>
        <w:ind w:right="-1080"/>
        <w:jc w:val="left"/>
        <w:rPr>
          <w:color w:val="auto"/>
        </w:rPr>
      </w:pPr>
    </w:p>
    <w:p w:rsidR="0012169A" w:rsidRDefault="0012169A" w:rsidP="0012169A">
      <w:pPr>
        <w:tabs>
          <w:tab w:val="left" w:pos="6624"/>
        </w:tabs>
        <w:ind w:right="-360"/>
        <w:jc w:val="left"/>
        <w:rPr>
          <w:color w:val="000000"/>
        </w:rPr>
      </w:pPr>
    </w:p>
    <w:p w:rsidR="0012169A" w:rsidRDefault="0012169A" w:rsidP="0012169A">
      <w:pPr>
        <w:tabs>
          <w:tab w:val="left" w:pos="720"/>
        </w:tabs>
        <w:ind w:right="-360"/>
        <w:jc w:val="left"/>
        <w:outlineLvl w:val="0"/>
        <w:rPr>
          <w:rFonts w:ascii="Times New Roman" w:hAnsi="Times New Roman"/>
          <w:color w:val="000000"/>
        </w:rPr>
      </w:pPr>
      <w:r>
        <w:rPr>
          <w:rFonts w:ascii="Times New Roman" w:hAnsi="Times New Roman"/>
          <w:color w:val="000000"/>
        </w:rPr>
        <w:t>PDBR PD-2011-00711</w:t>
      </w: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outlineLvl w:val="0"/>
        <w:rPr>
          <w:rFonts w:ascii="Times New Roman" w:hAnsi="Times New Roman"/>
          <w:color w:val="000000"/>
        </w:rPr>
      </w:pPr>
      <w:r>
        <w:rPr>
          <w:rFonts w:ascii="Times New Roman" w:hAnsi="Times New Roman"/>
          <w:color w:val="000000"/>
        </w:rPr>
        <w:t>MEMORANDUM FOR THE CHIEF OF STAFF</w:t>
      </w: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rPr>
          <w:rFonts w:ascii="Times New Roman" w:hAnsi="Times New Roman"/>
          <w:color w:val="000000"/>
        </w:rPr>
      </w:pPr>
      <w:r>
        <w:rPr>
          <w:rFonts w:ascii="Times New Roman" w:hAnsi="Times New Roman"/>
          <w:color w:val="000000"/>
        </w:rPr>
        <w:tab/>
        <w:t xml:space="preserve">The pertinent military records of the Department of the Air Force relating </w:t>
      </w:r>
      <w:proofErr w:type="gramStart"/>
      <w:r>
        <w:rPr>
          <w:rFonts w:ascii="Times New Roman" w:hAnsi="Times New Roman"/>
          <w:color w:val="000000"/>
        </w:rPr>
        <w:t>XXXXXXXXXX,</w:t>
      </w:r>
      <w:proofErr w:type="gramEnd"/>
      <w:r>
        <w:rPr>
          <w:rFonts w:ascii="Times New Roman" w:hAnsi="Times New Roman"/>
          <w:color w:val="000000"/>
        </w:rPr>
        <w:t xml:space="preserve"> be corrected to show that the diagnosis in his finding of unfitness was Sensorineural Hearing Loss, VASRD Code 6100, rated at 10%; and Tinnitus Connected to Hearing Loss, VASRD Code 6260, rated at 10%; with a combined disability rating of 20%.  </w:t>
      </w: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rPr>
          <w:rFonts w:ascii="Times New Roman" w:hAnsi="Times New Roman"/>
          <w:color w:val="000000"/>
        </w:rPr>
      </w:pPr>
    </w:p>
    <w:p w:rsidR="0012169A" w:rsidRDefault="0012169A" w:rsidP="0012169A">
      <w:pPr>
        <w:tabs>
          <w:tab w:val="left" w:pos="720"/>
        </w:tabs>
        <w:ind w:right="-360"/>
        <w:jc w:val="left"/>
        <w:outlineLvl w:val="0"/>
        <w:rPr>
          <w:rFonts w:ascii="Times New Roman" w:hAnsi="Times New Roman"/>
          <w:color w:val="000000"/>
        </w:rPr>
      </w:pPr>
    </w:p>
    <w:p w:rsidR="0012169A" w:rsidRDefault="0012169A" w:rsidP="0012169A">
      <w:pPr>
        <w:tabs>
          <w:tab w:val="left" w:pos="720"/>
        </w:tabs>
        <w:ind w:right="-360"/>
        <w:jc w:val="left"/>
        <w:outlineLvl w:val="0"/>
        <w:rPr>
          <w:rFonts w:ascii="Times New Roman" w:hAnsi="Times New Roman"/>
          <w:color w:val="000000"/>
        </w:rPr>
      </w:pPr>
    </w:p>
    <w:p w:rsidR="0012169A" w:rsidRDefault="0012169A" w:rsidP="0012169A">
      <w:pPr>
        <w:tabs>
          <w:tab w:val="left" w:pos="720"/>
        </w:tabs>
        <w:ind w:right="-360"/>
        <w:jc w:val="left"/>
        <w:outlineLvl w:val="0"/>
        <w:rPr>
          <w:rFonts w:ascii="Times New Roman" w:hAnsi="Times New Roman"/>
          <w:color w:val="000000"/>
        </w:rPr>
      </w:pPr>
      <w:r>
        <w:rPr>
          <w:rFonts w:ascii="Times New Roman" w:hAnsi="Times New Roman"/>
          <w:color w:val="000000"/>
        </w:rPr>
        <w:t xml:space="preserve">                                                                            XXXXXXXXXX</w:t>
      </w:r>
    </w:p>
    <w:p w:rsidR="0012169A" w:rsidRDefault="0012169A" w:rsidP="0012169A">
      <w:pPr>
        <w:tabs>
          <w:tab w:val="left" w:pos="720"/>
        </w:tabs>
        <w:ind w:right="-360"/>
        <w:jc w:val="left"/>
        <w:outlineLvl w:val="0"/>
        <w:rPr>
          <w:rFonts w:ascii="Times New Roman" w:hAnsi="Times New Roman"/>
          <w:color w:val="000000"/>
        </w:rPr>
      </w:pPr>
      <w:r>
        <w:rPr>
          <w:rFonts w:ascii="Times New Roman" w:hAnsi="Times New Roman"/>
          <w:color w:val="000000"/>
        </w:rPr>
        <w:t xml:space="preserve">                                                                            Director</w:t>
      </w:r>
    </w:p>
    <w:p w:rsidR="0012169A" w:rsidRDefault="0012169A" w:rsidP="0012169A">
      <w:pPr>
        <w:tabs>
          <w:tab w:val="left" w:pos="720"/>
        </w:tabs>
        <w:ind w:right="-360"/>
        <w:jc w:val="left"/>
        <w:rPr>
          <w:rFonts w:ascii="Times New Roman" w:hAnsi="Times New Roman"/>
          <w:color w:val="000000"/>
        </w:rPr>
      </w:pPr>
      <w:r>
        <w:rPr>
          <w:rFonts w:ascii="Times New Roman" w:hAnsi="Times New Roman"/>
          <w:color w:val="000000"/>
        </w:rPr>
        <w:t xml:space="preserve">                                                                            Air Force Review Boards Agency</w:t>
      </w:r>
    </w:p>
    <w:p w:rsidR="0012169A" w:rsidRDefault="0012169A" w:rsidP="0012169A">
      <w:pPr>
        <w:tabs>
          <w:tab w:val="left" w:pos="0"/>
          <w:tab w:val="left" w:pos="4320"/>
        </w:tabs>
        <w:jc w:val="left"/>
        <w:rPr>
          <w:color w:val="000000" w:themeColor="text1"/>
          <w:szCs w:val="24"/>
        </w:rPr>
      </w:pPr>
    </w:p>
    <w:sectPr w:rsidR="0012169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7E" w:rsidRDefault="00475A7E">
      <w:r>
        <w:separator/>
      </w:r>
    </w:p>
  </w:endnote>
  <w:endnote w:type="continuationSeparator" w:id="0">
    <w:p w:rsidR="00475A7E" w:rsidRDefault="00475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B39D6" w:rsidRPr="00374247" w:rsidRDefault="009B39D6" w:rsidP="00374247">
        <w:pPr>
          <w:pStyle w:val="Footer"/>
          <w:ind w:firstLine="4320"/>
          <w:rPr>
            <w:color w:val="auto"/>
            <w:szCs w:val="24"/>
          </w:rPr>
        </w:pPr>
        <w:r w:rsidRPr="00374247">
          <w:rPr>
            <w:color w:val="auto"/>
            <w:szCs w:val="24"/>
          </w:rPr>
          <w:t xml:space="preserve">   </w:t>
        </w:r>
        <w:r w:rsidR="00574853" w:rsidRPr="00374247">
          <w:rPr>
            <w:color w:val="auto"/>
            <w:szCs w:val="24"/>
          </w:rPr>
          <w:fldChar w:fldCharType="begin"/>
        </w:r>
        <w:r w:rsidRPr="00374247">
          <w:rPr>
            <w:color w:val="auto"/>
            <w:szCs w:val="24"/>
          </w:rPr>
          <w:instrText xml:space="preserve"> PAGE   \* MERGEFORMAT </w:instrText>
        </w:r>
        <w:r w:rsidR="00574853" w:rsidRPr="00374247">
          <w:rPr>
            <w:color w:val="auto"/>
            <w:szCs w:val="24"/>
          </w:rPr>
          <w:fldChar w:fldCharType="separate"/>
        </w:r>
        <w:r w:rsidR="0012169A" w:rsidRPr="0012169A">
          <w:rPr>
            <w:noProof/>
            <w:color w:val="auto"/>
          </w:rPr>
          <w:t>3</w:t>
        </w:r>
        <w:r w:rsidR="00574853" w:rsidRPr="00374247">
          <w:rPr>
            <w:color w:val="auto"/>
            <w:szCs w:val="24"/>
          </w:rPr>
          <w:fldChar w:fldCharType="end"/>
        </w:r>
        <w:r w:rsidRPr="00374247">
          <w:rPr>
            <w:color w:val="auto"/>
            <w:szCs w:val="24"/>
          </w:rPr>
          <w:t xml:space="preserve">                                                           </w:t>
        </w:r>
        <w:r w:rsidRPr="00F04DCC">
          <w:rPr>
            <w:color w:val="auto"/>
            <w:szCs w:val="24"/>
          </w:rPr>
          <w:t>PD1100</w:t>
        </w:r>
        <w:r>
          <w:rPr>
            <w:color w:val="auto"/>
            <w:szCs w:val="24"/>
          </w:rPr>
          <w:t>711</w:t>
        </w:r>
      </w:p>
    </w:sdtContent>
  </w:sdt>
  <w:p w:rsidR="009B39D6" w:rsidRPr="00684CE6" w:rsidRDefault="009B39D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7E" w:rsidRDefault="00475A7E">
      <w:r>
        <w:separator/>
      </w:r>
    </w:p>
  </w:footnote>
  <w:footnote w:type="continuationSeparator" w:id="0">
    <w:p w:rsidR="00475A7E" w:rsidRDefault="00475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4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57DDE"/>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3A3"/>
    <w:rsid w:val="000C15F8"/>
    <w:rsid w:val="000C1D34"/>
    <w:rsid w:val="000C2362"/>
    <w:rsid w:val="000C2FA8"/>
    <w:rsid w:val="000C3181"/>
    <w:rsid w:val="000C3C13"/>
    <w:rsid w:val="000C4D5F"/>
    <w:rsid w:val="000C53F9"/>
    <w:rsid w:val="000C5813"/>
    <w:rsid w:val="000C6CA5"/>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9B7"/>
    <w:rsid w:val="000D7D55"/>
    <w:rsid w:val="000E0993"/>
    <w:rsid w:val="000E2E50"/>
    <w:rsid w:val="000E37E0"/>
    <w:rsid w:val="000E3F20"/>
    <w:rsid w:val="000E4C25"/>
    <w:rsid w:val="000E4CBF"/>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B02"/>
    <w:rsid w:val="00105C07"/>
    <w:rsid w:val="00106920"/>
    <w:rsid w:val="00106AD8"/>
    <w:rsid w:val="001078DB"/>
    <w:rsid w:val="001079FA"/>
    <w:rsid w:val="00107EC5"/>
    <w:rsid w:val="001103CD"/>
    <w:rsid w:val="00113D2A"/>
    <w:rsid w:val="00114F20"/>
    <w:rsid w:val="0011590B"/>
    <w:rsid w:val="00117266"/>
    <w:rsid w:val="001211AF"/>
    <w:rsid w:val="001215DF"/>
    <w:rsid w:val="0012169A"/>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4CF"/>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D34"/>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1F54"/>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4B1"/>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3C65"/>
    <w:rsid w:val="002D51CF"/>
    <w:rsid w:val="002D5330"/>
    <w:rsid w:val="002D5F57"/>
    <w:rsid w:val="002D73D4"/>
    <w:rsid w:val="002D7787"/>
    <w:rsid w:val="002E1877"/>
    <w:rsid w:val="002E1C31"/>
    <w:rsid w:val="002E2171"/>
    <w:rsid w:val="002E2E0F"/>
    <w:rsid w:val="002E333A"/>
    <w:rsid w:val="002E3474"/>
    <w:rsid w:val="002E400C"/>
    <w:rsid w:val="002E49C3"/>
    <w:rsid w:val="002E5114"/>
    <w:rsid w:val="002E5988"/>
    <w:rsid w:val="002E65E6"/>
    <w:rsid w:val="002E7072"/>
    <w:rsid w:val="002E7570"/>
    <w:rsid w:val="002E764B"/>
    <w:rsid w:val="002E7C25"/>
    <w:rsid w:val="002F026B"/>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4BA"/>
    <w:rsid w:val="003A6A99"/>
    <w:rsid w:val="003A6E60"/>
    <w:rsid w:val="003A76AB"/>
    <w:rsid w:val="003A7FF8"/>
    <w:rsid w:val="003B17AC"/>
    <w:rsid w:val="003B2143"/>
    <w:rsid w:val="003B227A"/>
    <w:rsid w:val="003B3A77"/>
    <w:rsid w:val="003B4319"/>
    <w:rsid w:val="003B5854"/>
    <w:rsid w:val="003B6764"/>
    <w:rsid w:val="003B7A8B"/>
    <w:rsid w:val="003C247E"/>
    <w:rsid w:val="003C25F8"/>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C0C"/>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C7D"/>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5A7E"/>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BD7"/>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2B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853"/>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761"/>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6CA"/>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1CB5"/>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5AF4"/>
    <w:rsid w:val="006364ED"/>
    <w:rsid w:val="00637063"/>
    <w:rsid w:val="0063737C"/>
    <w:rsid w:val="00637BDC"/>
    <w:rsid w:val="00640363"/>
    <w:rsid w:val="00640622"/>
    <w:rsid w:val="006418C9"/>
    <w:rsid w:val="00642BD6"/>
    <w:rsid w:val="00642F68"/>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89D"/>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362"/>
    <w:rsid w:val="00725BC5"/>
    <w:rsid w:val="007260A9"/>
    <w:rsid w:val="00726C1D"/>
    <w:rsid w:val="007272F1"/>
    <w:rsid w:val="00727565"/>
    <w:rsid w:val="0073062D"/>
    <w:rsid w:val="0073093B"/>
    <w:rsid w:val="0073193F"/>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B73"/>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05"/>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2A7"/>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DAB"/>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998"/>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4E9A"/>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5D91"/>
    <w:rsid w:val="00986514"/>
    <w:rsid w:val="00986FCC"/>
    <w:rsid w:val="00990FD6"/>
    <w:rsid w:val="00991B8E"/>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9D6"/>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7DD3"/>
    <w:rsid w:val="009F020F"/>
    <w:rsid w:val="009F1533"/>
    <w:rsid w:val="009F3B63"/>
    <w:rsid w:val="009F43E2"/>
    <w:rsid w:val="009F6292"/>
    <w:rsid w:val="009F7809"/>
    <w:rsid w:val="009F7822"/>
    <w:rsid w:val="009F7AF5"/>
    <w:rsid w:val="00A00613"/>
    <w:rsid w:val="00A006F1"/>
    <w:rsid w:val="00A007A7"/>
    <w:rsid w:val="00A00AD4"/>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8F4"/>
    <w:rsid w:val="00A65C78"/>
    <w:rsid w:val="00A65F67"/>
    <w:rsid w:val="00A660A8"/>
    <w:rsid w:val="00A66A45"/>
    <w:rsid w:val="00A67591"/>
    <w:rsid w:val="00A67911"/>
    <w:rsid w:val="00A67CA6"/>
    <w:rsid w:val="00A707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2DE"/>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35E"/>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D7D37"/>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6BA7"/>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596"/>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9BE"/>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7BB"/>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5F1"/>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E4413"/>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3AB"/>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7DD"/>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C7983"/>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4DCC"/>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AF"/>
    <w:rsid w:val="00F171F9"/>
    <w:rsid w:val="00F1737C"/>
    <w:rsid w:val="00F173AA"/>
    <w:rsid w:val="00F22A26"/>
    <w:rsid w:val="00F24072"/>
    <w:rsid w:val="00F26432"/>
    <w:rsid w:val="00F3197A"/>
    <w:rsid w:val="00F32139"/>
    <w:rsid w:val="00F33CF0"/>
    <w:rsid w:val="00F33D56"/>
    <w:rsid w:val="00F3463A"/>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A5F"/>
    <w:rsid w:val="00F70B44"/>
    <w:rsid w:val="00F71436"/>
    <w:rsid w:val="00F718A8"/>
    <w:rsid w:val="00F7207E"/>
    <w:rsid w:val="00F72183"/>
    <w:rsid w:val="00F75C12"/>
    <w:rsid w:val="00F7640B"/>
    <w:rsid w:val="00F76D01"/>
    <w:rsid w:val="00F80B43"/>
    <w:rsid w:val="00F80C97"/>
    <w:rsid w:val="00F81C35"/>
    <w:rsid w:val="00F82981"/>
    <w:rsid w:val="00F8311F"/>
    <w:rsid w:val="00F83248"/>
    <w:rsid w:val="00F83376"/>
    <w:rsid w:val="00F84D2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unhideWhenUsed/>
    <w:rsid w:val="0012169A"/>
    <w:pPr>
      <w:spacing w:after="120" w:line="480" w:lineRule="auto"/>
      <w:jc w:val="left"/>
    </w:pPr>
    <w:rPr>
      <w:rFonts w:ascii="Courier" w:hAnsi="Courier" w:cs="Times New Roman"/>
    </w:rPr>
  </w:style>
  <w:style w:type="character" w:customStyle="1" w:styleId="BodyText2Char">
    <w:name w:val="Body Text 2 Char"/>
    <w:basedOn w:val="DefaultParagraphFont"/>
    <w:link w:val="BodyText2"/>
    <w:rsid w:val="0012169A"/>
    <w:rPr>
      <w:rFonts w:ascii="Courier" w:hAnsi="Courier" w:cs="Times New Roman"/>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4040178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964725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66C5-B09D-40D6-A239-E9E80E17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2012-05-07T15:37:00Z</dcterms:created>
  <dcterms:modified xsi:type="dcterms:W3CDTF">2012-05-07T15:37:00Z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