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1F29F9" w:rsidRDefault="00AD2379" w:rsidP="00BF0E94">
      <w:pPr>
        <w:tabs>
          <w:tab w:val="left" w:pos="288"/>
          <w:tab w:val="left" w:pos="4752"/>
        </w:tabs>
        <w:rPr>
          <w:color w:val="000000"/>
        </w:rPr>
      </w:pPr>
      <w:r w:rsidRPr="001F29F9">
        <w:rPr>
          <w:color w:val="000000"/>
        </w:rPr>
        <w:t>RECORD OF PROCEEDINGS</w:t>
      </w:r>
    </w:p>
    <w:p w:rsidR="00AD2379" w:rsidRPr="001F29F9" w:rsidRDefault="00AD2379" w:rsidP="00BF0E94">
      <w:pPr>
        <w:tabs>
          <w:tab w:val="left" w:pos="288"/>
          <w:tab w:val="left" w:pos="4752"/>
        </w:tabs>
        <w:rPr>
          <w:color w:val="000000"/>
        </w:rPr>
      </w:pPr>
      <w:r w:rsidRPr="001F29F9">
        <w:rPr>
          <w:color w:val="000000"/>
        </w:rPr>
        <w:t>PHYSICAL DISABILITY BOARD OF REVIEW</w:t>
      </w:r>
    </w:p>
    <w:p w:rsidR="00AD2379" w:rsidRPr="001F29F9" w:rsidRDefault="00AD2379" w:rsidP="00BF0E94">
      <w:pPr>
        <w:tabs>
          <w:tab w:val="left" w:pos="288"/>
          <w:tab w:val="left" w:pos="4752"/>
        </w:tabs>
        <w:jc w:val="both"/>
        <w:rPr>
          <w:caps/>
          <w:color w:val="000000"/>
        </w:rPr>
      </w:pPr>
    </w:p>
    <w:p w:rsidR="0095270D" w:rsidRPr="001F29F9" w:rsidRDefault="0095270D" w:rsidP="0095270D">
      <w:pPr>
        <w:tabs>
          <w:tab w:val="left" w:pos="288"/>
          <w:tab w:val="left" w:pos="4752"/>
          <w:tab w:val="left" w:pos="6390"/>
          <w:tab w:val="left" w:pos="9270"/>
        </w:tabs>
        <w:jc w:val="both"/>
        <w:rPr>
          <w:caps/>
          <w:color w:val="000000" w:themeColor="text1"/>
        </w:rPr>
      </w:pPr>
      <w:r w:rsidRPr="001F29F9">
        <w:rPr>
          <w:caps/>
          <w:color w:val="000000" w:themeColor="text1"/>
        </w:rPr>
        <w:t xml:space="preserve">NAME:  </w:t>
      </w:r>
      <w:r w:rsidR="000851EE">
        <w:rPr>
          <w:caps/>
          <w:color w:val="auto"/>
        </w:rPr>
        <w:t>XXXXXXXXXXXXXXX</w:t>
      </w:r>
      <w:r w:rsidRPr="001F29F9">
        <w:rPr>
          <w:caps/>
          <w:color w:val="000000" w:themeColor="text1"/>
        </w:rPr>
        <w:t xml:space="preserve">              </w:t>
      </w:r>
      <w:r>
        <w:rPr>
          <w:caps/>
          <w:color w:val="000000" w:themeColor="text1"/>
        </w:rPr>
        <w:tab/>
        <w:t xml:space="preserve">                             </w:t>
      </w:r>
      <w:r w:rsidRPr="001F29F9">
        <w:rPr>
          <w:caps/>
          <w:color w:val="000000" w:themeColor="text1"/>
        </w:rPr>
        <w:t>BRANCH OF SERVICE</w:t>
      </w:r>
      <w:r w:rsidRPr="0010060A">
        <w:rPr>
          <w:caps/>
          <w:color w:val="000000" w:themeColor="text1"/>
        </w:rPr>
        <w:t>:  Army</w:t>
      </w:r>
    </w:p>
    <w:p w:rsidR="0095270D" w:rsidRDefault="0095270D" w:rsidP="0095270D">
      <w:pPr>
        <w:tabs>
          <w:tab w:val="left" w:pos="288"/>
          <w:tab w:val="left" w:pos="5130"/>
        </w:tabs>
        <w:jc w:val="both"/>
        <w:rPr>
          <w:color w:val="000000" w:themeColor="text1"/>
        </w:rPr>
      </w:pPr>
      <w:r w:rsidRPr="001F29F9">
        <w:rPr>
          <w:caps/>
          <w:color w:val="000000" w:themeColor="text1"/>
        </w:rPr>
        <w:t>CASE NUMBER:  PD11</w:t>
      </w:r>
      <w:r>
        <w:rPr>
          <w:caps/>
          <w:color w:val="000000" w:themeColor="text1"/>
        </w:rPr>
        <w:t>00</w:t>
      </w:r>
      <w:r w:rsidR="0010060A">
        <w:rPr>
          <w:caps/>
          <w:color w:val="000000" w:themeColor="text1"/>
        </w:rPr>
        <w:t>70</w:t>
      </w:r>
      <w:r w:rsidR="00565636">
        <w:rPr>
          <w:caps/>
          <w:color w:val="000000" w:themeColor="text1"/>
        </w:rPr>
        <w:t>9</w:t>
      </w:r>
      <w:r w:rsidRPr="001F29F9">
        <w:rPr>
          <w:color w:val="000000" w:themeColor="text1"/>
        </w:rPr>
        <w:t xml:space="preserve">                            </w:t>
      </w:r>
      <w:r>
        <w:rPr>
          <w:color w:val="000000" w:themeColor="text1"/>
        </w:rPr>
        <w:tab/>
      </w:r>
      <w:r>
        <w:rPr>
          <w:color w:val="000000" w:themeColor="text1"/>
        </w:rPr>
        <w:tab/>
        <w:t xml:space="preserve">          </w:t>
      </w:r>
      <w:r w:rsidR="000977F6">
        <w:rPr>
          <w:color w:val="000000" w:themeColor="text1"/>
        </w:rPr>
        <w:t xml:space="preserve"> </w:t>
      </w:r>
      <w:r w:rsidRPr="001F29F9">
        <w:rPr>
          <w:color w:val="000000" w:themeColor="text1"/>
        </w:rPr>
        <w:t xml:space="preserve">SEPARATION DATE:  </w:t>
      </w:r>
      <w:r w:rsidR="0010060A" w:rsidRPr="00F64312">
        <w:rPr>
          <w:color w:val="auto"/>
        </w:rPr>
        <w:t>200</w:t>
      </w:r>
      <w:r w:rsidR="0010060A">
        <w:rPr>
          <w:color w:val="auto"/>
        </w:rPr>
        <w:t>90413</w:t>
      </w:r>
    </w:p>
    <w:p w:rsidR="0095270D" w:rsidRDefault="0095270D" w:rsidP="0095270D">
      <w:pPr>
        <w:pBdr>
          <w:bottom w:val="single" w:sz="12" w:space="1" w:color="auto"/>
        </w:pBdr>
        <w:tabs>
          <w:tab w:val="left" w:pos="288"/>
          <w:tab w:val="left" w:pos="4752"/>
        </w:tabs>
        <w:jc w:val="both"/>
        <w:rPr>
          <w:color w:val="000000"/>
        </w:rPr>
      </w:pPr>
      <w:r>
        <w:rPr>
          <w:caps/>
          <w:color w:val="000000"/>
        </w:rPr>
        <w:t>BOARD DATE:  2012</w:t>
      </w:r>
      <w:r w:rsidR="002D5965">
        <w:rPr>
          <w:caps/>
          <w:color w:val="000000"/>
        </w:rPr>
        <w:t>0911</w:t>
      </w:r>
      <w:r w:rsidRPr="001F29F9">
        <w:rPr>
          <w:caps/>
          <w:color w:val="000000"/>
        </w:rPr>
        <w:t xml:space="preserve">         </w:t>
      </w:r>
    </w:p>
    <w:p w:rsidR="001342F0" w:rsidRPr="001F29F9" w:rsidRDefault="001342F0" w:rsidP="0095270D">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331C13" w:rsidRPr="00380BC4" w:rsidRDefault="00AD2379" w:rsidP="00380BC4">
      <w:pPr>
        <w:jc w:val="both"/>
        <w:rPr>
          <w:color w:val="000000"/>
          <w:szCs w:val="24"/>
        </w:rPr>
      </w:pPr>
      <w:r w:rsidRPr="001F29F9">
        <w:rPr>
          <w:color w:val="000000"/>
          <w:u w:val="single"/>
        </w:rPr>
        <w:t>SUMMARY OF CASE</w:t>
      </w:r>
      <w:r w:rsidRPr="001F29F9">
        <w:rPr>
          <w:color w:val="000000"/>
        </w:rPr>
        <w:t xml:space="preserve">: Data extracted from the available evidence of record reflects that this covered individual (CI) was </w:t>
      </w:r>
      <w:r w:rsidR="00A70270">
        <w:rPr>
          <w:color w:val="000000"/>
        </w:rPr>
        <w:t xml:space="preserve">an active duty </w:t>
      </w:r>
      <w:r w:rsidR="00B95375" w:rsidRPr="00C62598">
        <w:rPr>
          <w:color w:val="auto"/>
        </w:rPr>
        <w:t xml:space="preserve">PFC/E-3 (11B, </w:t>
      </w:r>
      <w:r w:rsidR="00B95375">
        <w:rPr>
          <w:color w:val="auto"/>
        </w:rPr>
        <w:t>Infantry</w:t>
      </w:r>
      <w:r w:rsidR="00B95375" w:rsidRPr="00F64312">
        <w:rPr>
          <w:color w:val="auto"/>
        </w:rPr>
        <w:t>)</w:t>
      </w:r>
      <w:r w:rsidR="00B95375">
        <w:rPr>
          <w:color w:val="auto"/>
        </w:rPr>
        <w:t xml:space="preserve"> </w:t>
      </w:r>
      <w:r w:rsidRPr="001F29F9">
        <w:rPr>
          <w:color w:val="000000"/>
        </w:rPr>
        <w:t xml:space="preserve">medically separated for </w:t>
      </w:r>
      <w:r w:rsidR="00BA6A7E">
        <w:rPr>
          <w:color w:val="000000"/>
        </w:rPr>
        <w:t>a thoracolumbar spine condition</w:t>
      </w:r>
      <w:r w:rsidRPr="001F29F9">
        <w:rPr>
          <w:color w:val="000000"/>
        </w:rPr>
        <w:t xml:space="preserve">. </w:t>
      </w:r>
      <w:r w:rsidR="00261B7E">
        <w:rPr>
          <w:color w:val="000000"/>
        </w:rPr>
        <w:t xml:space="preserve"> </w:t>
      </w:r>
      <w:r w:rsidR="00D04E3E">
        <w:rPr>
          <w:color w:val="000000"/>
        </w:rPr>
        <w:t xml:space="preserve">He injured his neck and mid/lower back in combat training in 2004.  The thoracic and lumbar pain persisted and was aggravated during a 2007 deployment to Iraq.  He was </w:t>
      </w:r>
      <w:r w:rsidR="002D5965">
        <w:rPr>
          <w:color w:val="000000"/>
        </w:rPr>
        <w:t xml:space="preserve">subsequently </w:t>
      </w:r>
      <w:r w:rsidR="00D04E3E">
        <w:rPr>
          <w:color w:val="000000"/>
        </w:rPr>
        <w:t xml:space="preserve">diagnosed with multilevel degenerative disc disease </w:t>
      </w:r>
      <w:r w:rsidR="000977F6">
        <w:rPr>
          <w:color w:val="000000"/>
        </w:rPr>
        <w:t xml:space="preserve">(DDD) </w:t>
      </w:r>
      <w:r w:rsidR="00D04E3E">
        <w:rPr>
          <w:color w:val="000000"/>
        </w:rPr>
        <w:t xml:space="preserve">and </w:t>
      </w:r>
      <w:proofErr w:type="gramStart"/>
      <w:r w:rsidR="00D04E3E">
        <w:rPr>
          <w:color w:val="000000"/>
        </w:rPr>
        <w:t>diffuse</w:t>
      </w:r>
      <w:proofErr w:type="gramEnd"/>
      <w:r w:rsidR="00596977">
        <w:rPr>
          <w:color w:val="000000"/>
        </w:rPr>
        <w:t xml:space="preserve"> </w:t>
      </w:r>
      <w:proofErr w:type="spellStart"/>
      <w:r w:rsidR="00596977">
        <w:rPr>
          <w:color w:val="000000"/>
        </w:rPr>
        <w:t>stenosis</w:t>
      </w:r>
      <w:proofErr w:type="spellEnd"/>
      <w:r w:rsidR="00596977">
        <w:rPr>
          <w:color w:val="000000"/>
        </w:rPr>
        <w:t>.</w:t>
      </w:r>
      <w:r w:rsidR="00D04E3E">
        <w:rPr>
          <w:color w:val="000000"/>
        </w:rPr>
        <w:t xml:space="preserve"> </w:t>
      </w:r>
      <w:r w:rsidR="00596977">
        <w:rPr>
          <w:color w:val="000000"/>
        </w:rPr>
        <w:t xml:space="preserve"> S</w:t>
      </w:r>
      <w:r w:rsidR="00D04E3E">
        <w:rPr>
          <w:color w:val="000000"/>
        </w:rPr>
        <w:t>urg</w:t>
      </w:r>
      <w:r w:rsidR="00596977">
        <w:rPr>
          <w:color w:val="000000"/>
        </w:rPr>
        <w:t>ery was not indicated; and, t</w:t>
      </w:r>
      <w:r w:rsidR="00D04E3E">
        <w:rPr>
          <w:color w:val="000000"/>
        </w:rPr>
        <w:t xml:space="preserve">he condition </w:t>
      </w:r>
      <w:r w:rsidR="00B95375" w:rsidRPr="00380BC4">
        <w:rPr>
          <w:color w:val="000000"/>
          <w:szCs w:val="24"/>
        </w:rPr>
        <w:t>could not be</w:t>
      </w:r>
      <w:r w:rsidR="00B95375" w:rsidRPr="00AD0E8D">
        <w:rPr>
          <w:color w:val="000000"/>
          <w:szCs w:val="24"/>
        </w:rPr>
        <w:t xml:space="preserve"> adequately rehabilitated to meet the physical requirements of </w:t>
      </w:r>
      <w:r w:rsidR="00B95375">
        <w:rPr>
          <w:color w:val="000000"/>
          <w:szCs w:val="24"/>
        </w:rPr>
        <w:t>his</w:t>
      </w:r>
      <w:r w:rsidR="00B95375" w:rsidRPr="00AD0E8D">
        <w:rPr>
          <w:color w:val="000000"/>
          <w:szCs w:val="24"/>
        </w:rPr>
        <w:t xml:space="preserve"> Military Occupational Specialty (MOS) or satisfy physical fitness standards.  </w:t>
      </w:r>
      <w:r w:rsidR="00B95375">
        <w:rPr>
          <w:color w:val="000000"/>
          <w:szCs w:val="24"/>
        </w:rPr>
        <w:t>He</w:t>
      </w:r>
      <w:r w:rsidR="00B95375" w:rsidRPr="00AD0E8D">
        <w:rPr>
          <w:color w:val="000000"/>
          <w:szCs w:val="24"/>
        </w:rPr>
        <w:t xml:space="preserve"> was consequently issued a permanent L3 profile and referred for a Medical Evaluation Board (MEB).  The </w:t>
      </w:r>
      <w:r w:rsidR="00596977">
        <w:rPr>
          <w:color w:val="000000"/>
          <w:szCs w:val="24"/>
        </w:rPr>
        <w:t>thoracolumbar spine</w:t>
      </w:r>
      <w:r w:rsidR="00B95375">
        <w:rPr>
          <w:color w:val="000000"/>
          <w:szCs w:val="24"/>
        </w:rPr>
        <w:t xml:space="preserve"> condition was forwarded to </w:t>
      </w:r>
      <w:r w:rsidR="00B95375" w:rsidRPr="00AD0E8D">
        <w:rPr>
          <w:color w:val="000000"/>
          <w:szCs w:val="24"/>
        </w:rPr>
        <w:t xml:space="preserve">the Physical Evaluation Board (PEB) as </w:t>
      </w:r>
      <w:r w:rsidR="00596977">
        <w:rPr>
          <w:color w:val="000000"/>
          <w:szCs w:val="24"/>
        </w:rPr>
        <w:t>separate</w:t>
      </w:r>
      <w:r w:rsidR="00B95375">
        <w:rPr>
          <w:color w:val="000000"/>
          <w:szCs w:val="24"/>
        </w:rPr>
        <w:t xml:space="preserve"> diagnoses </w:t>
      </w:r>
      <w:r w:rsidR="00596977">
        <w:rPr>
          <w:color w:val="000000"/>
          <w:szCs w:val="24"/>
        </w:rPr>
        <w:t xml:space="preserve">for thoracic disc and lumbar disc </w:t>
      </w:r>
      <w:r w:rsidR="00B95375" w:rsidRPr="00C62598">
        <w:rPr>
          <w:color w:val="auto"/>
        </w:rPr>
        <w:t>disease</w:t>
      </w:r>
      <w:r w:rsidR="00596977">
        <w:rPr>
          <w:color w:val="auto"/>
        </w:rPr>
        <w:t>, each judged to be</w:t>
      </w:r>
      <w:r w:rsidR="00B95375" w:rsidRPr="00AD0E8D">
        <w:rPr>
          <w:color w:val="000000"/>
          <w:szCs w:val="24"/>
        </w:rPr>
        <w:t xml:space="preserve"> </w:t>
      </w:r>
      <w:r w:rsidR="00B95375">
        <w:rPr>
          <w:color w:val="000000"/>
          <w:szCs w:val="24"/>
        </w:rPr>
        <w:t xml:space="preserve">medically </w:t>
      </w:r>
      <w:r w:rsidR="00B95375" w:rsidRPr="00AD0E8D">
        <w:rPr>
          <w:color w:val="000000"/>
          <w:szCs w:val="24"/>
        </w:rPr>
        <w:t xml:space="preserve">unacceptable IAW AR 40-501.  </w:t>
      </w:r>
      <w:r w:rsidR="007126DD">
        <w:rPr>
          <w:color w:val="000000"/>
          <w:szCs w:val="24"/>
        </w:rPr>
        <w:t>Three additional conditions (anxiety/mood adjustment disorder, osteoarthritis of the right knee, and chronic headaches) were</w:t>
      </w:r>
      <w:r w:rsidR="00B95375" w:rsidRPr="00AD0E8D">
        <w:rPr>
          <w:color w:val="000000"/>
          <w:szCs w:val="24"/>
        </w:rPr>
        <w:t xml:space="preserve"> </w:t>
      </w:r>
      <w:r w:rsidR="007126DD" w:rsidRPr="00AD0E8D">
        <w:rPr>
          <w:color w:val="000000"/>
          <w:szCs w:val="24"/>
        </w:rPr>
        <w:t xml:space="preserve">forwarded </w:t>
      </w:r>
      <w:r w:rsidR="00B95375" w:rsidRPr="00AD0E8D">
        <w:rPr>
          <w:color w:val="000000"/>
          <w:szCs w:val="24"/>
        </w:rPr>
        <w:t xml:space="preserve">by the MEB and </w:t>
      </w:r>
      <w:r w:rsidR="007126DD">
        <w:rPr>
          <w:color w:val="000000"/>
          <w:szCs w:val="24"/>
        </w:rPr>
        <w:t>judged to meet</w:t>
      </w:r>
      <w:r w:rsidR="00B95375" w:rsidRPr="00AD0E8D">
        <w:rPr>
          <w:color w:val="000000"/>
          <w:szCs w:val="24"/>
        </w:rPr>
        <w:t xml:space="preserve"> retention standards.  The informal PEB </w:t>
      </w:r>
      <w:r w:rsidR="007126DD">
        <w:rPr>
          <w:color w:val="000000"/>
          <w:szCs w:val="24"/>
        </w:rPr>
        <w:t>appropriately combined the thoracic and lumbar diagnoses as a single unfitting condition (spinal stenosis)</w:t>
      </w:r>
      <w:r w:rsidR="00AC0DFA">
        <w:rPr>
          <w:color w:val="000000"/>
          <w:szCs w:val="24"/>
        </w:rPr>
        <w:t>,</w:t>
      </w:r>
      <w:r w:rsidR="00B95375" w:rsidRPr="00AD0E8D">
        <w:rPr>
          <w:color w:val="000000"/>
          <w:szCs w:val="24"/>
        </w:rPr>
        <w:t xml:space="preserve"> </w:t>
      </w:r>
      <w:r w:rsidR="00AC0DFA">
        <w:rPr>
          <w:color w:val="000000"/>
          <w:szCs w:val="24"/>
        </w:rPr>
        <w:t xml:space="preserve">rated 10%, </w:t>
      </w:r>
      <w:r w:rsidR="00AC0DFA">
        <w:rPr>
          <w:color w:val="000000"/>
        </w:rPr>
        <w:t>citing criteria of</w:t>
      </w:r>
      <w:r w:rsidR="00AC0DFA" w:rsidRPr="00726F84">
        <w:rPr>
          <w:color w:val="000000"/>
        </w:rPr>
        <w:t xml:space="preserve"> the </w:t>
      </w:r>
      <w:r w:rsidR="00AC0DFA" w:rsidRPr="009A7578">
        <w:rPr>
          <w:color w:val="000000"/>
        </w:rPr>
        <w:t>Veterans Administration Schedule for Rating Disabilities (VASRD)</w:t>
      </w:r>
      <w:r w:rsidR="00AC0DFA" w:rsidRPr="00726F84">
        <w:rPr>
          <w:color w:val="000000"/>
        </w:rPr>
        <w:t>.</w:t>
      </w:r>
      <w:r w:rsidR="00AC0DFA" w:rsidRPr="001F29F9">
        <w:rPr>
          <w:color w:val="000000"/>
        </w:rPr>
        <w:t xml:space="preserve"> </w:t>
      </w:r>
      <w:r w:rsidR="00AC0DFA">
        <w:rPr>
          <w:color w:val="000000"/>
        </w:rPr>
        <w:t xml:space="preserve"> </w:t>
      </w:r>
      <w:r w:rsidR="00B95375" w:rsidRPr="00AD0E8D">
        <w:rPr>
          <w:color w:val="000000"/>
          <w:szCs w:val="24"/>
        </w:rPr>
        <w:t xml:space="preserve">The </w:t>
      </w:r>
      <w:r w:rsidR="00380BC4">
        <w:rPr>
          <w:color w:val="000000"/>
          <w:szCs w:val="24"/>
        </w:rPr>
        <w:t>remaining</w:t>
      </w:r>
      <w:r w:rsidR="00B95375" w:rsidRPr="00AD0E8D">
        <w:rPr>
          <w:color w:val="000000"/>
          <w:szCs w:val="24"/>
        </w:rPr>
        <w:t xml:space="preserve"> condition</w:t>
      </w:r>
      <w:r w:rsidR="00380BC4">
        <w:rPr>
          <w:color w:val="000000"/>
          <w:szCs w:val="24"/>
        </w:rPr>
        <w:t>s were</w:t>
      </w:r>
      <w:r w:rsidR="00B95375" w:rsidRPr="00AD0E8D">
        <w:rPr>
          <w:color w:val="000000"/>
          <w:szCs w:val="24"/>
        </w:rPr>
        <w:t xml:space="preserve"> determined to be not unfitting.  The CI made no appeals and was medically separated with a 10% disability rating.</w:t>
      </w:r>
    </w:p>
    <w:p w:rsidR="00331C13" w:rsidRPr="001F29F9" w:rsidRDefault="00331C13"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BA6A7E" w:rsidRPr="00BA6A7E" w:rsidRDefault="00AD2379" w:rsidP="00BF0E94">
      <w:pPr>
        <w:tabs>
          <w:tab w:val="left" w:pos="288"/>
          <w:tab w:val="left" w:pos="4752"/>
        </w:tabs>
        <w:jc w:val="both"/>
        <w:rPr>
          <w:color w:val="000000" w:themeColor="text1"/>
        </w:rPr>
      </w:pPr>
      <w:r w:rsidRPr="001F29F9">
        <w:rPr>
          <w:color w:val="000000"/>
          <w:u w:val="single"/>
        </w:rPr>
        <w:t>CI CONTENTION</w:t>
      </w:r>
      <w:r w:rsidRPr="001F29F9">
        <w:rPr>
          <w:color w:val="000000"/>
        </w:rPr>
        <w:t>:</w:t>
      </w:r>
      <w:r w:rsidRPr="00726F84">
        <w:rPr>
          <w:color w:val="000000"/>
        </w:rPr>
        <w:t xml:space="preserve"> </w:t>
      </w:r>
      <w:r w:rsidR="00BA6A7E">
        <w:rPr>
          <w:color w:val="auto"/>
        </w:rPr>
        <w:t>“</w:t>
      </w:r>
      <w:r w:rsidR="00BA6A7E" w:rsidRPr="00DA1D32">
        <w:rPr>
          <w:color w:val="auto"/>
        </w:rPr>
        <w:t>I was medically separated from active duty in the</w:t>
      </w:r>
      <w:r w:rsidR="00BC5959">
        <w:rPr>
          <w:color w:val="auto"/>
        </w:rPr>
        <w:t xml:space="preserve"> US Army for spinal condition, ‘</w:t>
      </w:r>
      <w:r w:rsidR="00BA6A7E" w:rsidRPr="00DA1D32">
        <w:rPr>
          <w:color w:val="auto"/>
        </w:rPr>
        <w:t>Degenerative Changes and Disc Disease of the Thoracic and Lumbar Sp</w:t>
      </w:r>
      <w:r w:rsidR="00BC5959">
        <w:rPr>
          <w:color w:val="auto"/>
        </w:rPr>
        <w:t>ine with Lumbar Dextroscoliosis’</w:t>
      </w:r>
      <w:r w:rsidR="00BA6A7E" w:rsidRPr="00DA1D32">
        <w:rPr>
          <w:color w:val="auto"/>
        </w:rPr>
        <w:t xml:space="preserve"> which causes constant back pain which is constantly at a 7 out of 10 on pain. </w:t>
      </w:r>
      <w:r w:rsidR="00BA6A7E">
        <w:rPr>
          <w:color w:val="auto"/>
        </w:rPr>
        <w:t xml:space="preserve"> </w:t>
      </w:r>
      <w:r w:rsidR="00BA6A7E" w:rsidRPr="00DA1D32">
        <w:rPr>
          <w:color w:val="auto"/>
        </w:rPr>
        <w:t xml:space="preserve">The VA also granted only 10% for this condition. </w:t>
      </w:r>
      <w:r w:rsidR="00BA6A7E">
        <w:rPr>
          <w:color w:val="auto"/>
        </w:rPr>
        <w:t xml:space="preserve">… [CI elaborates his service and medical history, his occupational history, and the current employment and financial consequences of his physical limitations.] … </w:t>
      </w:r>
      <w:r w:rsidR="00BA6A7E" w:rsidRPr="00BA6A7E">
        <w:rPr>
          <w:color w:val="000000" w:themeColor="text1"/>
        </w:rPr>
        <w:t>Also the permanent scar on my right side of neck, I've had ever since 2004 I still have no feeling and have not</w:t>
      </w:r>
      <w:r w:rsidR="00BA6A7E">
        <w:rPr>
          <w:color w:val="000000" w:themeColor="text1"/>
        </w:rPr>
        <w:t xml:space="preserve"> been rated fairly for this injury sustained while performing training in my MOS. … </w:t>
      </w:r>
      <w:r w:rsidR="00BA6A7E" w:rsidRPr="00DA1D32">
        <w:rPr>
          <w:color w:val="auto"/>
        </w:rPr>
        <w:t xml:space="preserve">All I am asking for is a fair and accurate review of my US Army MEB and PDA Review and just decision making. </w:t>
      </w:r>
      <w:r w:rsidR="00BA6A7E">
        <w:rPr>
          <w:color w:val="auto"/>
        </w:rPr>
        <w:t xml:space="preserve"> </w:t>
      </w:r>
      <w:r w:rsidR="00BA6A7E" w:rsidRPr="00DA1D32">
        <w:rPr>
          <w:color w:val="auto"/>
        </w:rPr>
        <w:t>Being separated from the US</w:t>
      </w:r>
      <w:r w:rsidR="00BA6A7E">
        <w:rPr>
          <w:color w:val="auto"/>
        </w:rPr>
        <w:t xml:space="preserve"> </w:t>
      </w:r>
      <w:r w:rsidR="00BA6A7E" w:rsidRPr="00DA1D32">
        <w:rPr>
          <w:color w:val="auto"/>
        </w:rPr>
        <w:t xml:space="preserve">Army and the Infantry had a huge affect </w:t>
      </w:r>
      <w:r w:rsidR="00BA6A7E">
        <w:rPr>
          <w:color w:val="auto"/>
        </w:rPr>
        <w:t>[</w:t>
      </w:r>
      <w:r w:rsidR="00BA6A7E" w:rsidRPr="00E613E9">
        <w:rPr>
          <w:i/>
          <w:color w:val="auto"/>
        </w:rPr>
        <w:t>sic</w:t>
      </w:r>
      <w:r w:rsidR="00BA6A7E">
        <w:rPr>
          <w:color w:val="auto"/>
        </w:rPr>
        <w:t xml:space="preserve">] </w:t>
      </w:r>
      <w:r w:rsidR="00BA6A7E" w:rsidRPr="00DA1D32">
        <w:rPr>
          <w:color w:val="auto"/>
        </w:rPr>
        <w:t>on my life as I was depressed for months after separation as I wanted to make a career out of the Army.</w:t>
      </w:r>
      <w:r w:rsidR="00BA6A7E">
        <w:rPr>
          <w:color w:val="auto"/>
        </w:rPr>
        <w:t xml:space="preserve"> … </w:t>
      </w:r>
      <w:r w:rsidR="00BA6A7E" w:rsidRPr="00DA1D32">
        <w:rPr>
          <w:color w:val="auto"/>
        </w:rPr>
        <w:t>I would also</w:t>
      </w:r>
      <w:r w:rsidR="00BA6A7E">
        <w:rPr>
          <w:color w:val="auto"/>
        </w:rPr>
        <w:t xml:space="preserve"> </w:t>
      </w:r>
      <w:r w:rsidR="00BA6A7E" w:rsidRPr="00DA1D32">
        <w:rPr>
          <w:color w:val="auto"/>
        </w:rPr>
        <w:t xml:space="preserve">like if at all possible </w:t>
      </w:r>
      <w:r w:rsidR="00BA6A7E">
        <w:rPr>
          <w:color w:val="auto"/>
        </w:rPr>
        <w:t>to have my rank credited to SPC/E</w:t>
      </w:r>
      <w:r w:rsidR="00BA6A7E" w:rsidRPr="00DA1D32">
        <w:rPr>
          <w:color w:val="auto"/>
        </w:rPr>
        <w:t>4</w:t>
      </w:r>
      <w:r w:rsidR="00BA6A7E" w:rsidRPr="00C60F43">
        <w:rPr>
          <w:color w:val="auto"/>
        </w:rPr>
        <w:t xml:space="preserve"> as I had no UCMJ or any other disciplinary actions, I am a combat veteran, I served in</w:t>
      </w:r>
      <w:r w:rsidR="00BA6A7E">
        <w:rPr>
          <w:color w:val="auto"/>
        </w:rPr>
        <w:t xml:space="preserve"> </w:t>
      </w:r>
      <w:r w:rsidR="00BA6A7E" w:rsidRPr="00C60F43">
        <w:rPr>
          <w:color w:val="auto"/>
        </w:rPr>
        <w:t>the non-combat assignments the Army forced me into and did my job well even with being treated with disrespect from superiors and being</w:t>
      </w:r>
      <w:r w:rsidR="00BA6A7E">
        <w:rPr>
          <w:color w:val="auto"/>
        </w:rPr>
        <w:t xml:space="preserve"> </w:t>
      </w:r>
      <w:r w:rsidR="00BA6A7E" w:rsidRPr="00C60F43">
        <w:rPr>
          <w:color w:val="auto"/>
        </w:rPr>
        <w:t>"passed over" for waivers and pr</w:t>
      </w:r>
      <w:r w:rsidR="00BA6A7E">
        <w:rPr>
          <w:color w:val="auto"/>
        </w:rPr>
        <w:t xml:space="preserve">omotions due to my conditions.  I </w:t>
      </w:r>
      <w:r w:rsidR="00BA6A7E" w:rsidRPr="00E613E9">
        <w:rPr>
          <w:color w:val="auto"/>
        </w:rPr>
        <w:t>had enough time in service an</w:t>
      </w:r>
      <w:r w:rsidR="00BA6A7E">
        <w:rPr>
          <w:color w:val="auto"/>
        </w:rPr>
        <w:t>d time in grade to become a SGT/E5 as an 11</w:t>
      </w:r>
      <w:r w:rsidR="00BA6A7E" w:rsidRPr="00E613E9">
        <w:rPr>
          <w:color w:val="auto"/>
        </w:rPr>
        <w:t>B</w:t>
      </w:r>
      <w:r w:rsidR="00BA6A7E">
        <w:rPr>
          <w:color w:val="auto"/>
        </w:rPr>
        <w:t xml:space="preserve"> </w:t>
      </w:r>
      <w:r w:rsidR="00BA6A7E" w:rsidRPr="00E613E9">
        <w:rPr>
          <w:color w:val="auto"/>
        </w:rPr>
        <w:t>but was never given t</w:t>
      </w:r>
      <w:r w:rsidR="00BA6A7E">
        <w:rPr>
          <w:color w:val="auto"/>
        </w:rPr>
        <w:t>he chance to be promoted to SPC/E</w:t>
      </w:r>
      <w:r w:rsidR="00BA6A7E" w:rsidRPr="00E613E9">
        <w:rPr>
          <w:color w:val="auto"/>
        </w:rPr>
        <w:t>4 and feel as though my chain of command played favorites and since I was injured they</w:t>
      </w:r>
      <w:r w:rsidR="00BA6A7E">
        <w:rPr>
          <w:color w:val="auto"/>
        </w:rPr>
        <w:t xml:space="preserve"> </w:t>
      </w:r>
      <w:r w:rsidR="00BA6A7E" w:rsidRPr="00E613E9">
        <w:rPr>
          <w:color w:val="auto"/>
        </w:rPr>
        <w:t xml:space="preserve">turned they're </w:t>
      </w:r>
      <w:r w:rsidR="00BA6A7E">
        <w:rPr>
          <w:color w:val="auto"/>
        </w:rPr>
        <w:t>[</w:t>
      </w:r>
      <w:r w:rsidR="00BA6A7E" w:rsidRPr="00E613E9">
        <w:rPr>
          <w:i/>
          <w:color w:val="auto"/>
        </w:rPr>
        <w:t>sic</w:t>
      </w:r>
      <w:r w:rsidR="00BA6A7E">
        <w:rPr>
          <w:color w:val="auto"/>
        </w:rPr>
        <w:t xml:space="preserve">] </w:t>
      </w:r>
      <w:r w:rsidR="00BA6A7E" w:rsidRPr="00E613E9">
        <w:rPr>
          <w:color w:val="auto"/>
        </w:rPr>
        <w:t>back on me numerous times.</w:t>
      </w:r>
      <w:r w:rsidR="00BA6A7E">
        <w:rPr>
          <w:color w:val="auto"/>
        </w:rPr>
        <w:t>”  Other than the neck scar, as noted above, the CI does not make a request for Board consideration of any conditions other than the thoracolumbar spine condition.</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4F61A0" w:rsidRPr="001F29F9" w:rsidRDefault="00F14638" w:rsidP="00BC5959">
      <w:pPr>
        <w:jc w:val="both"/>
        <w:rPr>
          <w:color w:val="000000"/>
        </w:rPr>
      </w:pPr>
      <w:r w:rsidRPr="006A714F">
        <w:rPr>
          <w:color w:val="auto"/>
          <w:u w:val="single"/>
        </w:rPr>
        <w:lastRenderedPageBreak/>
        <w:t>SCOPE OF REVIEW</w:t>
      </w:r>
      <w:r>
        <w:rPr>
          <w:color w:val="auto"/>
        </w:rPr>
        <w:t xml:space="preserve">:  </w:t>
      </w:r>
      <w:r w:rsidR="00BC5959" w:rsidRPr="00BC5959">
        <w:rPr>
          <w:color w:val="auto"/>
        </w:rPr>
        <w:t>The Board wishes to clarify that the scope of its review as defined in Department of Defense Instruction (DoDI) 6040.44 (Enclosure 3, paragraph 5.e.2) is limited to those conditions which were determined by the PEB to be specifically unfitting for continued military service; or, when requested by the CI, those condition(s) “identified but not determined to be unfitting by the PEB</w:t>
      </w:r>
      <w:r w:rsidR="00FF2856">
        <w:rPr>
          <w:color w:val="auto"/>
        </w:rPr>
        <w:t>.</w:t>
      </w:r>
      <w:r w:rsidR="00BC5959" w:rsidRPr="00BC5959">
        <w:rPr>
          <w:color w:val="auto"/>
        </w:rPr>
        <w:t xml:space="preserve">”  The rating for the unfitting </w:t>
      </w:r>
      <w:r w:rsidR="00BC5959">
        <w:rPr>
          <w:color w:val="auto"/>
        </w:rPr>
        <w:t>thoracolumbar spine</w:t>
      </w:r>
      <w:r w:rsidR="00BC5959" w:rsidRPr="00BC5959">
        <w:rPr>
          <w:color w:val="auto"/>
        </w:rPr>
        <w:t xml:space="preserve"> condition is addressed below; but, since they were not requested for review, the </w:t>
      </w:r>
      <w:r w:rsidR="00BC5959">
        <w:rPr>
          <w:color w:val="000000"/>
          <w:szCs w:val="24"/>
        </w:rPr>
        <w:t>anxiety/mood, right knee, and headache</w:t>
      </w:r>
      <w:r w:rsidR="00BC5959" w:rsidRPr="00BC5959">
        <w:rPr>
          <w:color w:val="auto"/>
        </w:rPr>
        <w:t xml:space="preserve"> conditions determined to be not unfitting by the PEB are not within the DoDI 6040.44 defined purview of the Board.  Those, and any other conditions or contention not requested in this application, remain eligible for future consideration by the Army Board for the Correction of Military Records (ABCMR).</w:t>
      </w:r>
    </w:p>
    <w:p w:rsidR="00BC5959" w:rsidRPr="001F29F9" w:rsidRDefault="00BC5959" w:rsidP="00BC5959">
      <w:pPr>
        <w:pBdr>
          <w:bottom w:val="single" w:sz="12" w:space="1" w:color="auto"/>
        </w:pBdr>
        <w:tabs>
          <w:tab w:val="left" w:pos="288"/>
          <w:tab w:val="left" w:pos="4752"/>
        </w:tabs>
        <w:jc w:val="both"/>
        <w:rPr>
          <w:color w:val="000000"/>
        </w:rPr>
      </w:pPr>
    </w:p>
    <w:p w:rsidR="004F61A0" w:rsidRPr="001F29F9" w:rsidRDefault="004F61A0" w:rsidP="004F61A0">
      <w:pPr>
        <w:tabs>
          <w:tab w:val="left" w:pos="288"/>
          <w:tab w:val="left" w:pos="4752"/>
        </w:tabs>
        <w:jc w:val="both"/>
        <w:rPr>
          <w:color w:val="000000"/>
        </w:rPr>
      </w:pPr>
    </w:p>
    <w:p w:rsidR="00AD2379" w:rsidRDefault="00AD2379" w:rsidP="00BF0E94">
      <w:pPr>
        <w:jc w:val="left"/>
        <w:rPr>
          <w:color w:val="000000"/>
        </w:rPr>
      </w:pPr>
      <w:r w:rsidRPr="001F29F9">
        <w:rPr>
          <w:color w:val="000000"/>
          <w:u w:val="single"/>
        </w:rPr>
        <w:t>RATING COMPARISON</w:t>
      </w:r>
      <w:r w:rsidRPr="001F29F9">
        <w:rPr>
          <w:color w:val="000000"/>
        </w:rPr>
        <w:t>:</w:t>
      </w:r>
      <w:r w:rsidRPr="00726F84">
        <w:rPr>
          <w:color w:val="000000"/>
        </w:rPr>
        <w:t xml:space="preserve"> </w:t>
      </w:r>
    </w:p>
    <w:p w:rsidR="003B3B3F" w:rsidRDefault="003B3B3F" w:rsidP="00BF0E94">
      <w:pPr>
        <w:jc w:val="left"/>
        <w:rPr>
          <w:color w:val="000000"/>
        </w:rPr>
      </w:pPr>
    </w:p>
    <w:tbl>
      <w:tblPr>
        <w:tblStyle w:val="TableGrid"/>
        <w:tblW w:w="9369" w:type="dxa"/>
        <w:jc w:val="center"/>
        <w:tblInd w:w="9" w:type="dxa"/>
        <w:tblLayout w:type="fixed"/>
        <w:tblLook w:val="00A0"/>
      </w:tblPr>
      <w:tblGrid>
        <w:gridCol w:w="2523"/>
        <w:gridCol w:w="630"/>
        <w:gridCol w:w="720"/>
        <w:gridCol w:w="2702"/>
        <w:gridCol w:w="447"/>
        <w:gridCol w:w="632"/>
        <w:gridCol w:w="725"/>
        <w:gridCol w:w="990"/>
      </w:tblGrid>
      <w:tr w:rsidR="003B3B3F" w:rsidRPr="00F64312" w:rsidTr="00596977">
        <w:trPr>
          <w:trHeight w:val="170"/>
          <w:jc w:val="center"/>
        </w:trPr>
        <w:tc>
          <w:tcPr>
            <w:tcW w:w="3873" w:type="dxa"/>
            <w:gridSpan w:val="3"/>
            <w:tcBorders>
              <w:right w:val="thinThickThinSmallGap" w:sz="24" w:space="0" w:color="auto"/>
            </w:tcBorders>
            <w:shd w:val="clear" w:color="auto" w:fill="D9D9D9"/>
            <w:vAlign w:val="center"/>
          </w:tcPr>
          <w:p w:rsidR="003B3B3F" w:rsidRPr="00F64312" w:rsidRDefault="003B3B3F" w:rsidP="00925036">
            <w:pPr>
              <w:contextualSpacing/>
              <w:rPr>
                <w:rFonts w:cs="Calibri"/>
                <w:b/>
                <w:color w:val="auto"/>
                <w:sz w:val="18"/>
              </w:rPr>
            </w:pPr>
            <w:r w:rsidRPr="00F64312">
              <w:rPr>
                <w:b/>
                <w:color w:val="auto"/>
                <w:sz w:val="18"/>
              </w:rPr>
              <w:t xml:space="preserve">Service PEB – Dated </w:t>
            </w:r>
            <w:r w:rsidRPr="004142EB">
              <w:rPr>
                <w:b/>
                <w:color w:val="auto"/>
                <w:sz w:val="18"/>
              </w:rPr>
              <w:t>20090128</w:t>
            </w:r>
          </w:p>
        </w:tc>
        <w:tc>
          <w:tcPr>
            <w:tcW w:w="5496" w:type="dxa"/>
            <w:gridSpan w:val="5"/>
            <w:tcBorders>
              <w:left w:val="thinThickThinSmallGap" w:sz="24" w:space="0" w:color="auto"/>
            </w:tcBorders>
            <w:shd w:val="clear" w:color="auto" w:fill="D9D9D9"/>
            <w:vAlign w:val="center"/>
          </w:tcPr>
          <w:p w:rsidR="003B3B3F" w:rsidRPr="00F64312" w:rsidRDefault="003B3B3F" w:rsidP="00925036">
            <w:pPr>
              <w:contextualSpacing/>
              <w:rPr>
                <w:rFonts w:cs="Calibri"/>
                <w:b/>
                <w:color w:val="auto"/>
                <w:sz w:val="18"/>
              </w:rPr>
            </w:pPr>
            <w:r w:rsidRPr="00F64312">
              <w:rPr>
                <w:b/>
                <w:color w:val="auto"/>
                <w:sz w:val="18"/>
              </w:rPr>
              <w:t>VA (</w:t>
            </w:r>
            <w:r>
              <w:rPr>
                <w:b/>
                <w:color w:val="auto"/>
                <w:sz w:val="18"/>
              </w:rPr>
              <w:t>3 Weeks</w:t>
            </w:r>
            <w:r w:rsidRPr="00F64312">
              <w:rPr>
                <w:b/>
                <w:color w:val="auto"/>
                <w:sz w:val="18"/>
              </w:rPr>
              <w:t xml:space="preserve"> </w:t>
            </w:r>
            <w:r>
              <w:rPr>
                <w:b/>
                <w:color w:val="auto"/>
                <w:sz w:val="18"/>
              </w:rPr>
              <w:t>P</w:t>
            </w:r>
            <w:r w:rsidRPr="00C52C7C">
              <w:rPr>
                <w:b/>
                <w:color w:val="auto"/>
                <w:sz w:val="18"/>
              </w:rPr>
              <w:t>re</w:t>
            </w:r>
            <w:r w:rsidRPr="00F64312">
              <w:rPr>
                <w:b/>
                <w:color w:val="auto"/>
                <w:sz w:val="18"/>
              </w:rPr>
              <w:t>-</w:t>
            </w:r>
            <w:r>
              <w:rPr>
                <w:b/>
                <w:color w:val="auto"/>
                <w:sz w:val="18"/>
              </w:rPr>
              <w:t>S</w:t>
            </w:r>
            <w:r w:rsidRPr="00F64312">
              <w:rPr>
                <w:b/>
                <w:color w:val="auto"/>
                <w:sz w:val="18"/>
              </w:rPr>
              <w:t xml:space="preserve">eparation) –Effective </w:t>
            </w:r>
            <w:r w:rsidRPr="00C52C7C">
              <w:rPr>
                <w:b/>
                <w:color w:val="auto"/>
                <w:sz w:val="18"/>
              </w:rPr>
              <w:t>20090414</w:t>
            </w:r>
          </w:p>
        </w:tc>
      </w:tr>
      <w:tr w:rsidR="003B3B3F" w:rsidRPr="00F64312" w:rsidTr="00596977">
        <w:trPr>
          <w:trHeight w:val="197"/>
          <w:jc w:val="center"/>
        </w:trPr>
        <w:tc>
          <w:tcPr>
            <w:tcW w:w="2523" w:type="dxa"/>
            <w:tcBorders>
              <w:bottom w:val="single" w:sz="4" w:space="0" w:color="000000"/>
              <w:right w:val="single" w:sz="4" w:space="0" w:color="auto"/>
            </w:tcBorders>
            <w:shd w:val="clear" w:color="auto" w:fill="D9D9D9"/>
            <w:vAlign w:val="center"/>
          </w:tcPr>
          <w:p w:rsidR="003B3B3F" w:rsidRPr="00F64312" w:rsidRDefault="003B3B3F" w:rsidP="00925036">
            <w:pPr>
              <w:contextualSpacing/>
              <w:rPr>
                <w:rFonts w:cs="Calibri"/>
                <w:b/>
                <w:color w:val="auto"/>
                <w:sz w:val="18"/>
              </w:rPr>
            </w:pPr>
            <w:r w:rsidRPr="00F64312">
              <w:rPr>
                <w:b/>
                <w:color w:val="auto"/>
                <w:sz w:val="18"/>
              </w:rPr>
              <w:t>Condition</w:t>
            </w:r>
          </w:p>
        </w:tc>
        <w:tc>
          <w:tcPr>
            <w:tcW w:w="630" w:type="dxa"/>
            <w:tcBorders>
              <w:left w:val="single" w:sz="4" w:space="0" w:color="auto"/>
              <w:bottom w:val="single" w:sz="4" w:space="0" w:color="000000"/>
            </w:tcBorders>
            <w:shd w:val="clear" w:color="auto" w:fill="D9D9D9"/>
            <w:vAlign w:val="center"/>
          </w:tcPr>
          <w:p w:rsidR="003B3B3F" w:rsidRPr="00F64312" w:rsidRDefault="003B3B3F" w:rsidP="00925036">
            <w:pPr>
              <w:contextualSpacing/>
              <w:rPr>
                <w:rFonts w:cs="Calibri"/>
                <w:b/>
                <w:color w:val="auto"/>
                <w:sz w:val="18"/>
              </w:rPr>
            </w:pPr>
            <w:r w:rsidRPr="00F64312">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3B3B3F" w:rsidRPr="00F64312" w:rsidRDefault="003B3B3F" w:rsidP="00925036">
            <w:pPr>
              <w:contextualSpacing/>
              <w:rPr>
                <w:rFonts w:cs="Calibri"/>
                <w:b/>
                <w:color w:val="auto"/>
                <w:sz w:val="18"/>
              </w:rPr>
            </w:pPr>
            <w:r w:rsidRPr="00F64312">
              <w:rPr>
                <w:b/>
                <w:color w:val="auto"/>
                <w:sz w:val="18"/>
              </w:rPr>
              <w:t>Rating</w:t>
            </w:r>
          </w:p>
        </w:tc>
        <w:tc>
          <w:tcPr>
            <w:tcW w:w="3149" w:type="dxa"/>
            <w:gridSpan w:val="2"/>
            <w:tcBorders>
              <w:left w:val="thinThickThinSmallGap" w:sz="24" w:space="0" w:color="auto"/>
              <w:bottom w:val="single" w:sz="4" w:space="0" w:color="000000"/>
            </w:tcBorders>
            <w:shd w:val="clear" w:color="auto" w:fill="D9D9D9"/>
            <w:vAlign w:val="center"/>
          </w:tcPr>
          <w:p w:rsidR="003B3B3F" w:rsidRPr="00F64312" w:rsidRDefault="003B3B3F" w:rsidP="00925036">
            <w:pPr>
              <w:contextualSpacing/>
              <w:rPr>
                <w:rFonts w:cs="Calibri"/>
                <w:b/>
                <w:color w:val="auto"/>
                <w:sz w:val="18"/>
              </w:rPr>
            </w:pPr>
            <w:r w:rsidRPr="00F64312">
              <w:rPr>
                <w:b/>
                <w:color w:val="auto"/>
                <w:sz w:val="18"/>
              </w:rPr>
              <w:t>Condition</w:t>
            </w:r>
          </w:p>
        </w:tc>
        <w:tc>
          <w:tcPr>
            <w:tcW w:w="632" w:type="dxa"/>
            <w:tcBorders>
              <w:bottom w:val="single" w:sz="4" w:space="0" w:color="000000"/>
            </w:tcBorders>
            <w:shd w:val="clear" w:color="auto" w:fill="D9D9D9"/>
            <w:vAlign w:val="center"/>
          </w:tcPr>
          <w:p w:rsidR="003B3B3F" w:rsidRPr="00F64312" w:rsidRDefault="003B3B3F" w:rsidP="00925036">
            <w:pPr>
              <w:contextualSpacing/>
              <w:rPr>
                <w:rFonts w:cs="Calibri"/>
                <w:b/>
                <w:color w:val="auto"/>
                <w:sz w:val="18"/>
              </w:rPr>
            </w:pPr>
            <w:r w:rsidRPr="00F64312">
              <w:rPr>
                <w:b/>
                <w:color w:val="auto"/>
                <w:sz w:val="18"/>
              </w:rPr>
              <w:t>Code</w:t>
            </w:r>
          </w:p>
        </w:tc>
        <w:tc>
          <w:tcPr>
            <w:tcW w:w="725" w:type="dxa"/>
            <w:tcBorders>
              <w:bottom w:val="single" w:sz="4" w:space="0" w:color="000000"/>
            </w:tcBorders>
            <w:shd w:val="clear" w:color="auto" w:fill="D9D9D9"/>
            <w:vAlign w:val="center"/>
          </w:tcPr>
          <w:p w:rsidR="003B3B3F" w:rsidRPr="00F64312" w:rsidRDefault="003B3B3F" w:rsidP="00925036">
            <w:pPr>
              <w:contextualSpacing/>
              <w:rPr>
                <w:rFonts w:cs="Calibri"/>
                <w:b/>
                <w:color w:val="auto"/>
                <w:sz w:val="18"/>
              </w:rPr>
            </w:pPr>
            <w:r w:rsidRPr="00F64312">
              <w:rPr>
                <w:b/>
                <w:color w:val="auto"/>
                <w:sz w:val="18"/>
              </w:rPr>
              <w:t>Rating</w:t>
            </w:r>
          </w:p>
        </w:tc>
        <w:tc>
          <w:tcPr>
            <w:tcW w:w="990" w:type="dxa"/>
            <w:tcBorders>
              <w:bottom w:val="single" w:sz="4" w:space="0" w:color="000000"/>
            </w:tcBorders>
            <w:shd w:val="clear" w:color="auto" w:fill="D9D9D9"/>
            <w:vAlign w:val="center"/>
          </w:tcPr>
          <w:p w:rsidR="003B3B3F" w:rsidRPr="00F64312" w:rsidRDefault="003B3B3F" w:rsidP="00925036">
            <w:pPr>
              <w:contextualSpacing/>
              <w:rPr>
                <w:rFonts w:cs="Calibri"/>
                <w:b/>
                <w:color w:val="auto"/>
                <w:sz w:val="18"/>
              </w:rPr>
            </w:pPr>
            <w:r w:rsidRPr="00F64312">
              <w:rPr>
                <w:b/>
                <w:color w:val="auto"/>
                <w:sz w:val="18"/>
              </w:rPr>
              <w:t>Exam</w:t>
            </w:r>
          </w:p>
        </w:tc>
      </w:tr>
      <w:tr w:rsidR="003B3B3F" w:rsidRPr="00F64312" w:rsidTr="00596977">
        <w:trPr>
          <w:trHeight w:val="118"/>
          <w:jc w:val="center"/>
        </w:trPr>
        <w:tc>
          <w:tcPr>
            <w:tcW w:w="2523" w:type="dxa"/>
            <w:tcBorders>
              <w:right w:val="single" w:sz="4" w:space="0" w:color="auto"/>
            </w:tcBorders>
            <w:shd w:val="clear" w:color="auto" w:fill="FFFFFF"/>
            <w:vAlign w:val="center"/>
          </w:tcPr>
          <w:p w:rsidR="003B3B3F" w:rsidRPr="00F64312" w:rsidRDefault="003B3B3F" w:rsidP="00925036">
            <w:pPr>
              <w:spacing w:line="220" w:lineRule="exact"/>
              <w:contextualSpacing/>
              <w:jc w:val="left"/>
              <w:rPr>
                <w:rFonts w:cs="Calibri"/>
                <w:color w:val="auto"/>
                <w:sz w:val="18"/>
              </w:rPr>
            </w:pPr>
            <w:r>
              <w:rPr>
                <w:rFonts w:cs="Calibri"/>
                <w:color w:val="auto"/>
                <w:sz w:val="18"/>
              </w:rPr>
              <w:t>Spinal Stenosis</w:t>
            </w:r>
          </w:p>
        </w:tc>
        <w:tc>
          <w:tcPr>
            <w:tcW w:w="630" w:type="dxa"/>
            <w:tcBorders>
              <w:left w:val="single" w:sz="4" w:space="0" w:color="auto"/>
            </w:tcBorders>
            <w:shd w:val="clear" w:color="auto" w:fill="FFFFFF"/>
            <w:vAlign w:val="center"/>
          </w:tcPr>
          <w:p w:rsidR="003B3B3F" w:rsidRPr="00F64312" w:rsidRDefault="003B3B3F" w:rsidP="00925036">
            <w:pPr>
              <w:spacing w:line="220" w:lineRule="exact"/>
              <w:contextualSpacing/>
              <w:rPr>
                <w:rFonts w:cs="Calibri"/>
                <w:color w:val="auto"/>
                <w:sz w:val="18"/>
              </w:rPr>
            </w:pPr>
            <w:r>
              <w:rPr>
                <w:rFonts w:cs="Calibri"/>
                <w:color w:val="auto"/>
                <w:sz w:val="18"/>
              </w:rPr>
              <w:t>5238</w:t>
            </w:r>
          </w:p>
        </w:tc>
        <w:tc>
          <w:tcPr>
            <w:tcW w:w="720" w:type="dxa"/>
            <w:tcBorders>
              <w:right w:val="thinThickThinSmallGap" w:sz="24" w:space="0" w:color="auto"/>
            </w:tcBorders>
            <w:shd w:val="clear" w:color="auto" w:fill="FFFFFF"/>
            <w:vAlign w:val="center"/>
          </w:tcPr>
          <w:p w:rsidR="003B3B3F" w:rsidRPr="00F64312" w:rsidRDefault="003B3B3F" w:rsidP="00925036">
            <w:pPr>
              <w:spacing w:line="220" w:lineRule="exact"/>
              <w:rPr>
                <w:rFonts w:cs="Calibri"/>
                <w:color w:val="auto"/>
                <w:sz w:val="18"/>
              </w:rPr>
            </w:pPr>
            <w:r>
              <w:rPr>
                <w:rFonts w:cs="Calibri"/>
                <w:color w:val="auto"/>
                <w:sz w:val="18"/>
              </w:rPr>
              <w:t>10%</w:t>
            </w:r>
          </w:p>
        </w:tc>
        <w:tc>
          <w:tcPr>
            <w:tcW w:w="3149" w:type="dxa"/>
            <w:gridSpan w:val="2"/>
            <w:tcBorders>
              <w:left w:val="thinThickThinSmallGap" w:sz="24" w:space="0" w:color="auto"/>
            </w:tcBorders>
            <w:shd w:val="clear" w:color="auto" w:fill="FFFFFF"/>
            <w:vAlign w:val="center"/>
          </w:tcPr>
          <w:p w:rsidR="003B3B3F" w:rsidRPr="00F64312" w:rsidRDefault="003B3B3F" w:rsidP="00925036">
            <w:pPr>
              <w:spacing w:line="220" w:lineRule="exact"/>
              <w:contextualSpacing/>
              <w:jc w:val="left"/>
              <w:rPr>
                <w:rFonts w:cs="Calibri"/>
                <w:color w:val="auto"/>
                <w:sz w:val="18"/>
              </w:rPr>
            </w:pPr>
            <w:r>
              <w:rPr>
                <w:rFonts w:cs="Calibri"/>
                <w:color w:val="auto"/>
                <w:sz w:val="18"/>
              </w:rPr>
              <w:t xml:space="preserve">Thoracic/Lumbar DDD, Dextroscoliosis </w:t>
            </w:r>
          </w:p>
        </w:tc>
        <w:tc>
          <w:tcPr>
            <w:tcW w:w="632" w:type="dxa"/>
            <w:shd w:val="clear" w:color="auto" w:fill="FFFFFF"/>
            <w:vAlign w:val="center"/>
          </w:tcPr>
          <w:p w:rsidR="003B3B3F" w:rsidRPr="00F64312" w:rsidRDefault="003B3B3F" w:rsidP="00925036">
            <w:pPr>
              <w:spacing w:line="220" w:lineRule="exact"/>
              <w:contextualSpacing/>
              <w:rPr>
                <w:rFonts w:cs="Calibri"/>
                <w:color w:val="auto"/>
                <w:sz w:val="18"/>
              </w:rPr>
            </w:pPr>
            <w:r>
              <w:rPr>
                <w:rFonts w:cs="Calibri"/>
                <w:color w:val="auto"/>
                <w:sz w:val="18"/>
              </w:rPr>
              <w:t>5243</w:t>
            </w:r>
          </w:p>
        </w:tc>
        <w:tc>
          <w:tcPr>
            <w:tcW w:w="725" w:type="dxa"/>
            <w:tcBorders>
              <w:right w:val="single" w:sz="4" w:space="0" w:color="auto"/>
            </w:tcBorders>
            <w:shd w:val="clear" w:color="auto" w:fill="FFFFFF"/>
            <w:vAlign w:val="center"/>
          </w:tcPr>
          <w:p w:rsidR="003B3B3F" w:rsidRPr="00F64312" w:rsidRDefault="003B3B3F" w:rsidP="00925036">
            <w:pPr>
              <w:spacing w:line="220" w:lineRule="exact"/>
              <w:contextualSpacing/>
              <w:rPr>
                <w:rFonts w:cs="Calibri"/>
                <w:color w:val="auto"/>
                <w:sz w:val="18"/>
              </w:rPr>
            </w:pPr>
            <w:r>
              <w:rPr>
                <w:rFonts w:cs="Calibri"/>
                <w:color w:val="auto"/>
                <w:sz w:val="18"/>
              </w:rPr>
              <w:t>10%</w:t>
            </w:r>
          </w:p>
        </w:tc>
        <w:tc>
          <w:tcPr>
            <w:tcW w:w="990" w:type="dxa"/>
            <w:tcBorders>
              <w:left w:val="single" w:sz="4" w:space="0" w:color="auto"/>
            </w:tcBorders>
            <w:shd w:val="clear" w:color="auto" w:fill="FFFFFF"/>
            <w:vAlign w:val="center"/>
          </w:tcPr>
          <w:p w:rsidR="003B3B3F" w:rsidRPr="00F64312" w:rsidRDefault="003B3B3F" w:rsidP="00925036">
            <w:pPr>
              <w:spacing w:line="220" w:lineRule="exact"/>
              <w:contextualSpacing/>
              <w:rPr>
                <w:rFonts w:cs="Calibri"/>
                <w:color w:val="auto"/>
                <w:sz w:val="18"/>
              </w:rPr>
            </w:pPr>
            <w:r w:rsidRPr="004142EB">
              <w:rPr>
                <w:color w:val="auto"/>
                <w:sz w:val="18"/>
              </w:rPr>
              <w:t>20090305</w:t>
            </w:r>
          </w:p>
        </w:tc>
      </w:tr>
      <w:tr w:rsidR="003B3B3F" w:rsidRPr="00F64312" w:rsidTr="00596977">
        <w:trPr>
          <w:trHeight w:val="118"/>
          <w:jc w:val="center"/>
        </w:trPr>
        <w:tc>
          <w:tcPr>
            <w:tcW w:w="2523" w:type="dxa"/>
            <w:tcBorders>
              <w:right w:val="single" w:sz="4" w:space="0" w:color="auto"/>
            </w:tcBorders>
            <w:shd w:val="clear" w:color="auto" w:fill="FFFFFF"/>
            <w:vAlign w:val="center"/>
          </w:tcPr>
          <w:p w:rsidR="003B3B3F" w:rsidRPr="00F64312" w:rsidRDefault="003B3B3F" w:rsidP="00925036">
            <w:pPr>
              <w:spacing w:line="220" w:lineRule="exact"/>
              <w:contextualSpacing/>
              <w:jc w:val="left"/>
              <w:rPr>
                <w:color w:val="auto"/>
                <w:sz w:val="18"/>
              </w:rPr>
            </w:pPr>
            <w:r>
              <w:rPr>
                <w:color w:val="auto"/>
                <w:sz w:val="18"/>
              </w:rPr>
              <w:t>Anxiety / Adjustment Disorder</w:t>
            </w:r>
          </w:p>
        </w:tc>
        <w:tc>
          <w:tcPr>
            <w:tcW w:w="1350" w:type="dxa"/>
            <w:gridSpan w:val="2"/>
            <w:tcBorders>
              <w:left w:val="single" w:sz="4" w:space="0" w:color="auto"/>
              <w:right w:val="thinThickThinSmallGap" w:sz="24" w:space="0" w:color="auto"/>
            </w:tcBorders>
            <w:shd w:val="clear" w:color="auto" w:fill="FFFFFF"/>
            <w:vAlign w:val="center"/>
          </w:tcPr>
          <w:p w:rsidR="003B3B3F" w:rsidRPr="00F64312" w:rsidRDefault="003B3B3F" w:rsidP="00925036">
            <w:pPr>
              <w:spacing w:line="220" w:lineRule="exact"/>
              <w:rPr>
                <w:color w:val="auto"/>
                <w:sz w:val="18"/>
              </w:rPr>
            </w:pPr>
            <w:r>
              <w:rPr>
                <w:color w:val="auto"/>
                <w:sz w:val="18"/>
              </w:rPr>
              <w:t>Not Unfitting</w:t>
            </w:r>
          </w:p>
        </w:tc>
        <w:tc>
          <w:tcPr>
            <w:tcW w:w="3149" w:type="dxa"/>
            <w:gridSpan w:val="2"/>
            <w:tcBorders>
              <w:left w:val="thinThickThinSmallGap" w:sz="24" w:space="0" w:color="auto"/>
            </w:tcBorders>
            <w:shd w:val="clear" w:color="auto" w:fill="FFFFFF"/>
            <w:vAlign w:val="center"/>
          </w:tcPr>
          <w:p w:rsidR="003B3B3F" w:rsidRPr="00F64312" w:rsidRDefault="003B3B3F" w:rsidP="00925036">
            <w:pPr>
              <w:spacing w:line="220" w:lineRule="exact"/>
              <w:contextualSpacing/>
              <w:jc w:val="left"/>
              <w:rPr>
                <w:color w:val="auto"/>
                <w:sz w:val="18"/>
              </w:rPr>
            </w:pPr>
            <w:r>
              <w:rPr>
                <w:color w:val="auto"/>
                <w:sz w:val="18"/>
              </w:rPr>
              <w:t>Post-Traumatic Stress Disorder</w:t>
            </w:r>
          </w:p>
        </w:tc>
        <w:tc>
          <w:tcPr>
            <w:tcW w:w="632" w:type="dxa"/>
            <w:tcBorders>
              <w:right w:val="single" w:sz="4" w:space="0" w:color="auto"/>
            </w:tcBorders>
            <w:shd w:val="clear" w:color="auto" w:fill="FFFFFF"/>
            <w:vAlign w:val="center"/>
          </w:tcPr>
          <w:p w:rsidR="003B3B3F" w:rsidRPr="00596977" w:rsidRDefault="003B3B3F" w:rsidP="00925036">
            <w:pPr>
              <w:spacing w:line="220" w:lineRule="exact"/>
              <w:contextualSpacing/>
              <w:rPr>
                <w:color w:val="auto"/>
                <w:sz w:val="18"/>
              </w:rPr>
            </w:pPr>
            <w:r w:rsidRPr="00596977">
              <w:rPr>
                <w:color w:val="auto"/>
                <w:sz w:val="18"/>
              </w:rPr>
              <w:t>9411</w:t>
            </w:r>
          </w:p>
        </w:tc>
        <w:tc>
          <w:tcPr>
            <w:tcW w:w="725" w:type="dxa"/>
            <w:tcBorders>
              <w:left w:val="single" w:sz="4" w:space="0" w:color="auto"/>
              <w:right w:val="single" w:sz="4" w:space="0" w:color="auto"/>
            </w:tcBorders>
            <w:shd w:val="clear" w:color="auto" w:fill="FFFFFF"/>
            <w:vAlign w:val="center"/>
          </w:tcPr>
          <w:p w:rsidR="003B3B3F" w:rsidRPr="00596977" w:rsidRDefault="003B3B3F" w:rsidP="00925036">
            <w:pPr>
              <w:spacing w:line="220" w:lineRule="exact"/>
              <w:contextualSpacing/>
              <w:rPr>
                <w:color w:val="auto"/>
                <w:sz w:val="18"/>
              </w:rPr>
            </w:pPr>
            <w:r w:rsidRPr="00596977">
              <w:rPr>
                <w:color w:val="auto"/>
                <w:sz w:val="18"/>
              </w:rPr>
              <w:t>10%</w:t>
            </w:r>
          </w:p>
        </w:tc>
        <w:tc>
          <w:tcPr>
            <w:tcW w:w="990" w:type="dxa"/>
            <w:tcBorders>
              <w:left w:val="single" w:sz="4" w:space="0" w:color="auto"/>
            </w:tcBorders>
            <w:shd w:val="clear" w:color="auto" w:fill="FFFFFF"/>
            <w:vAlign w:val="center"/>
          </w:tcPr>
          <w:p w:rsidR="003B3B3F" w:rsidRPr="00596977" w:rsidRDefault="003B3B3F" w:rsidP="00925036">
            <w:pPr>
              <w:spacing w:line="220" w:lineRule="exact"/>
              <w:contextualSpacing/>
              <w:rPr>
                <w:color w:val="auto"/>
                <w:sz w:val="18"/>
              </w:rPr>
            </w:pPr>
            <w:r w:rsidRPr="00596977">
              <w:rPr>
                <w:color w:val="auto"/>
                <w:sz w:val="18"/>
              </w:rPr>
              <w:t>20090316</w:t>
            </w:r>
          </w:p>
        </w:tc>
      </w:tr>
      <w:tr w:rsidR="00596977" w:rsidRPr="00F64312" w:rsidTr="00596977">
        <w:trPr>
          <w:trHeight w:val="118"/>
          <w:jc w:val="center"/>
        </w:trPr>
        <w:tc>
          <w:tcPr>
            <w:tcW w:w="2523" w:type="dxa"/>
            <w:tcBorders>
              <w:right w:val="single" w:sz="4" w:space="0" w:color="auto"/>
            </w:tcBorders>
            <w:shd w:val="clear" w:color="auto" w:fill="FFFFFF"/>
            <w:vAlign w:val="center"/>
          </w:tcPr>
          <w:p w:rsidR="00596977" w:rsidRPr="00F64312" w:rsidRDefault="00596977" w:rsidP="00925036">
            <w:pPr>
              <w:spacing w:line="220" w:lineRule="exact"/>
              <w:contextualSpacing/>
              <w:jc w:val="left"/>
              <w:rPr>
                <w:color w:val="auto"/>
                <w:sz w:val="18"/>
              </w:rPr>
            </w:pPr>
            <w:r>
              <w:rPr>
                <w:color w:val="auto"/>
                <w:sz w:val="18"/>
              </w:rPr>
              <w:t>Osteoarthritis, Right Knee</w:t>
            </w:r>
          </w:p>
        </w:tc>
        <w:tc>
          <w:tcPr>
            <w:tcW w:w="1350" w:type="dxa"/>
            <w:gridSpan w:val="2"/>
            <w:tcBorders>
              <w:left w:val="single" w:sz="4" w:space="0" w:color="auto"/>
              <w:right w:val="thinThickThinSmallGap" w:sz="24" w:space="0" w:color="auto"/>
            </w:tcBorders>
            <w:shd w:val="clear" w:color="auto" w:fill="FFFFFF"/>
            <w:vAlign w:val="center"/>
          </w:tcPr>
          <w:p w:rsidR="00596977" w:rsidRPr="00F64312" w:rsidRDefault="00596977" w:rsidP="00925036">
            <w:pPr>
              <w:spacing w:line="220" w:lineRule="exact"/>
              <w:rPr>
                <w:color w:val="auto"/>
                <w:sz w:val="18"/>
              </w:rPr>
            </w:pPr>
            <w:r>
              <w:rPr>
                <w:color w:val="auto"/>
                <w:sz w:val="18"/>
              </w:rPr>
              <w:t>Not Unfitting</w:t>
            </w:r>
          </w:p>
        </w:tc>
        <w:tc>
          <w:tcPr>
            <w:tcW w:w="2702" w:type="dxa"/>
            <w:tcBorders>
              <w:left w:val="thinThickThinSmallGap" w:sz="24" w:space="0" w:color="auto"/>
            </w:tcBorders>
            <w:shd w:val="clear" w:color="auto" w:fill="FFFFFF"/>
            <w:vAlign w:val="center"/>
          </w:tcPr>
          <w:p w:rsidR="00596977" w:rsidRPr="00F64312" w:rsidRDefault="00596977" w:rsidP="00925036">
            <w:pPr>
              <w:spacing w:line="220" w:lineRule="exact"/>
              <w:contextualSpacing/>
              <w:jc w:val="left"/>
              <w:rPr>
                <w:color w:val="auto"/>
                <w:sz w:val="18"/>
              </w:rPr>
            </w:pPr>
            <w:r>
              <w:rPr>
                <w:color w:val="auto"/>
                <w:sz w:val="18"/>
              </w:rPr>
              <w:t>PFS, Right Knee</w:t>
            </w:r>
          </w:p>
        </w:tc>
        <w:tc>
          <w:tcPr>
            <w:tcW w:w="1079" w:type="dxa"/>
            <w:gridSpan w:val="2"/>
            <w:tcBorders>
              <w:right w:val="single" w:sz="4" w:space="0" w:color="auto"/>
            </w:tcBorders>
            <w:shd w:val="clear" w:color="auto" w:fill="FFFFFF"/>
            <w:vAlign w:val="center"/>
          </w:tcPr>
          <w:p w:rsidR="00596977" w:rsidRPr="00596977" w:rsidRDefault="00596977" w:rsidP="00925036">
            <w:pPr>
              <w:spacing w:line="220" w:lineRule="exact"/>
              <w:contextualSpacing/>
              <w:rPr>
                <w:color w:val="auto"/>
                <w:sz w:val="18"/>
              </w:rPr>
            </w:pPr>
            <w:r w:rsidRPr="00596977">
              <w:rPr>
                <w:color w:val="auto"/>
                <w:sz w:val="18"/>
              </w:rPr>
              <w:t>5099-5014</w:t>
            </w:r>
          </w:p>
        </w:tc>
        <w:tc>
          <w:tcPr>
            <w:tcW w:w="725" w:type="dxa"/>
            <w:tcBorders>
              <w:right w:val="single" w:sz="4" w:space="0" w:color="auto"/>
            </w:tcBorders>
            <w:shd w:val="clear" w:color="auto" w:fill="FFFFFF"/>
            <w:vAlign w:val="center"/>
          </w:tcPr>
          <w:p w:rsidR="00596977" w:rsidRPr="00596977" w:rsidRDefault="00FF2856" w:rsidP="00FF2856">
            <w:pPr>
              <w:spacing w:line="220" w:lineRule="exact"/>
              <w:contextualSpacing/>
              <w:rPr>
                <w:color w:val="auto"/>
                <w:sz w:val="18"/>
              </w:rPr>
            </w:pPr>
            <w:r>
              <w:rPr>
                <w:color w:val="auto"/>
                <w:sz w:val="18"/>
              </w:rPr>
              <w:t>NSC</w:t>
            </w:r>
          </w:p>
        </w:tc>
        <w:tc>
          <w:tcPr>
            <w:tcW w:w="990" w:type="dxa"/>
            <w:tcBorders>
              <w:left w:val="single" w:sz="4" w:space="0" w:color="auto"/>
            </w:tcBorders>
            <w:shd w:val="clear" w:color="auto" w:fill="FFFFFF"/>
            <w:vAlign w:val="center"/>
          </w:tcPr>
          <w:p w:rsidR="00596977" w:rsidRPr="00596977" w:rsidRDefault="00596977" w:rsidP="00925036">
            <w:pPr>
              <w:spacing w:line="220" w:lineRule="exact"/>
              <w:contextualSpacing/>
              <w:rPr>
                <w:color w:val="auto"/>
                <w:sz w:val="18"/>
              </w:rPr>
            </w:pPr>
            <w:r w:rsidRPr="00596977">
              <w:rPr>
                <w:color w:val="auto"/>
                <w:sz w:val="18"/>
              </w:rPr>
              <w:t>20090305</w:t>
            </w:r>
          </w:p>
        </w:tc>
      </w:tr>
      <w:tr w:rsidR="003B3B3F" w:rsidRPr="00F64312" w:rsidTr="00596977">
        <w:trPr>
          <w:trHeight w:val="118"/>
          <w:jc w:val="center"/>
        </w:trPr>
        <w:tc>
          <w:tcPr>
            <w:tcW w:w="2523" w:type="dxa"/>
            <w:tcBorders>
              <w:right w:val="single" w:sz="4" w:space="0" w:color="auto"/>
            </w:tcBorders>
            <w:shd w:val="clear" w:color="auto" w:fill="FFFFFF"/>
            <w:vAlign w:val="center"/>
          </w:tcPr>
          <w:p w:rsidR="003B3B3F" w:rsidRPr="00F64312" w:rsidRDefault="003B3B3F" w:rsidP="00925036">
            <w:pPr>
              <w:spacing w:line="220" w:lineRule="exact"/>
              <w:contextualSpacing/>
              <w:jc w:val="left"/>
              <w:rPr>
                <w:color w:val="auto"/>
                <w:sz w:val="18"/>
              </w:rPr>
            </w:pPr>
            <w:r>
              <w:rPr>
                <w:color w:val="auto"/>
                <w:sz w:val="18"/>
              </w:rPr>
              <w:t>Chronic Headaches</w:t>
            </w:r>
          </w:p>
        </w:tc>
        <w:tc>
          <w:tcPr>
            <w:tcW w:w="1350" w:type="dxa"/>
            <w:gridSpan w:val="2"/>
            <w:tcBorders>
              <w:left w:val="single" w:sz="4" w:space="0" w:color="auto"/>
              <w:right w:val="thinThickThinSmallGap" w:sz="24" w:space="0" w:color="auto"/>
            </w:tcBorders>
            <w:shd w:val="clear" w:color="auto" w:fill="FFFFFF"/>
            <w:vAlign w:val="center"/>
          </w:tcPr>
          <w:p w:rsidR="003B3B3F" w:rsidRPr="00F64312" w:rsidRDefault="003B3B3F" w:rsidP="00925036">
            <w:pPr>
              <w:spacing w:line="220" w:lineRule="exact"/>
              <w:rPr>
                <w:color w:val="auto"/>
                <w:sz w:val="18"/>
              </w:rPr>
            </w:pPr>
            <w:r>
              <w:rPr>
                <w:color w:val="auto"/>
                <w:sz w:val="18"/>
              </w:rPr>
              <w:t>Not Unfitting</w:t>
            </w:r>
          </w:p>
        </w:tc>
        <w:tc>
          <w:tcPr>
            <w:tcW w:w="3149" w:type="dxa"/>
            <w:gridSpan w:val="2"/>
            <w:tcBorders>
              <w:left w:val="thinThickThinSmallGap" w:sz="24" w:space="0" w:color="auto"/>
            </w:tcBorders>
            <w:shd w:val="clear" w:color="auto" w:fill="FFFFFF"/>
            <w:vAlign w:val="center"/>
          </w:tcPr>
          <w:p w:rsidR="003B3B3F" w:rsidRPr="00F64312" w:rsidRDefault="003B3B3F" w:rsidP="00925036">
            <w:pPr>
              <w:spacing w:line="220" w:lineRule="exact"/>
              <w:contextualSpacing/>
              <w:jc w:val="left"/>
              <w:rPr>
                <w:color w:val="auto"/>
                <w:sz w:val="18"/>
              </w:rPr>
            </w:pPr>
            <w:r>
              <w:rPr>
                <w:color w:val="auto"/>
                <w:sz w:val="18"/>
              </w:rPr>
              <w:t>Cervical Lordosis / Residual Headaches</w:t>
            </w:r>
          </w:p>
        </w:tc>
        <w:tc>
          <w:tcPr>
            <w:tcW w:w="632" w:type="dxa"/>
            <w:tcBorders>
              <w:right w:val="single" w:sz="4" w:space="0" w:color="auto"/>
            </w:tcBorders>
            <w:shd w:val="clear" w:color="auto" w:fill="FFFFFF"/>
            <w:vAlign w:val="center"/>
          </w:tcPr>
          <w:p w:rsidR="003B3B3F" w:rsidRPr="00596977" w:rsidRDefault="003B3B3F" w:rsidP="00925036">
            <w:pPr>
              <w:spacing w:line="220" w:lineRule="exact"/>
              <w:contextualSpacing/>
              <w:rPr>
                <w:color w:val="auto"/>
                <w:sz w:val="18"/>
              </w:rPr>
            </w:pPr>
            <w:r w:rsidRPr="00596977">
              <w:rPr>
                <w:color w:val="auto"/>
                <w:sz w:val="18"/>
              </w:rPr>
              <w:t>5237</w:t>
            </w:r>
          </w:p>
        </w:tc>
        <w:tc>
          <w:tcPr>
            <w:tcW w:w="725" w:type="dxa"/>
            <w:tcBorders>
              <w:left w:val="single" w:sz="4" w:space="0" w:color="auto"/>
              <w:right w:val="single" w:sz="4" w:space="0" w:color="auto"/>
            </w:tcBorders>
            <w:shd w:val="clear" w:color="auto" w:fill="FFFFFF"/>
            <w:vAlign w:val="center"/>
          </w:tcPr>
          <w:p w:rsidR="003B3B3F" w:rsidRPr="00596977" w:rsidRDefault="003B3B3F" w:rsidP="00925036">
            <w:pPr>
              <w:spacing w:line="220" w:lineRule="exact"/>
              <w:contextualSpacing/>
              <w:rPr>
                <w:color w:val="auto"/>
                <w:sz w:val="18"/>
              </w:rPr>
            </w:pPr>
            <w:r w:rsidRPr="00596977">
              <w:rPr>
                <w:color w:val="auto"/>
                <w:sz w:val="18"/>
              </w:rPr>
              <w:t>10%</w:t>
            </w:r>
          </w:p>
        </w:tc>
        <w:tc>
          <w:tcPr>
            <w:tcW w:w="990" w:type="dxa"/>
            <w:tcBorders>
              <w:left w:val="single" w:sz="4" w:space="0" w:color="auto"/>
            </w:tcBorders>
            <w:shd w:val="clear" w:color="auto" w:fill="FFFFFF"/>
            <w:vAlign w:val="center"/>
          </w:tcPr>
          <w:p w:rsidR="003B3B3F" w:rsidRPr="00596977" w:rsidRDefault="003B3B3F" w:rsidP="00925036">
            <w:pPr>
              <w:spacing w:line="220" w:lineRule="exact"/>
              <w:contextualSpacing/>
              <w:rPr>
                <w:color w:val="auto"/>
                <w:sz w:val="18"/>
              </w:rPr>
            </w:pPr>
            <w:r w:rsidRPr="00596977">
              <w:rPr>
                <w:color w:val="auto"/>
                <w:sz w:val="18"/>
              </w:rPr>
              <w:t>20090305</w:t>
            </w:r>
          </w:p>
        </w:tc>
      </w:tr>
      <w:tr w:rsidR="003B3B3F" w:rsidRPr="00F64312" w:rsidTr="00596977">
        <w:trPr>
          <w:trHeight w:val="118"/>
          <w:jc w:val="center"/>
        </w:trPr>
        <w:tc>
          <w:tcPr>
            <w:tcW w:w="3873" w:type="dxa"/>
            <w:gridSpan w:val="3"/>
            <w:vMerge w:val="restart"/>
            <w:tcBorders>
              <w:right w:val="thinThickThinSmallGap" w:sz="24" w:space="0" w:color="auto"/>
            </w:tcBorders>
            <w:shd w:val="clear" w:color="auto" w:fill="FFFFFF"/>
            <w:vAlign w:val="center"/>
          </w:tcPr>
          <w:p w:rsidR="003B3B3F" w:rsidRDefault="003B3B3F" w:rsidP="00925036">
            <w:pPr>
              <w:spacing w:line="220" w:lineRule="exact"/>
              <w:contextualSpacing/>
              <w:rPr>
                <w:color w:val="auto"/>
                <w:sz w:val="18"/>
              </w:rPr>
            </w:pPr>
            <w:r w:rsidRPr="00F64312">
              <w:rPr>
                <w:rFonts w:cs="Calibri"/>
                <w:color w:val="auto"/>
                <w:sz w:val="18"/>
                <w:szCs w:val="18"/>
              </w:rPr>
              <w:t>No Additional MEB/PEB Entries</w:t>
            </w:r>
          </w:p>
        </w:tc>
        <w:tc>
          <w:tcPr>
            <w:tcW w:w="3149" w:type="dxa"/>
            <w:gridSpan w:val="2"/>
            <w:tcBorders>
              <w:left w:val="thinThickThinSmallGap" w:sz="24" w:space="0" w:color="auto"/>
            </w:tcBorders>
            <w:shd w:val="clear" w:color="auto" w:fill="FFFFFF"/>
            <w:vAlign w:val="center"/>
          </w:tcPr>
          <w:p w:rsidR="003B3B3F" w:rsidRDefault="003B3B3F" w:rsidP="00925036">
            <w:pPr>
              <w:spacing w:line="220" w:lineRule="exact"/>
              <w:contextualSpacing/>
              <w:jc w:val="left"/>
              <w:rPr>
                <w:color w:val="auto"/>
                <w:sz w:val="18"/>
              </w:rPr>
            </w:pPr>
            <w:r>
              <w:rPr>
                <w:color w:val="auto"/>
                <w:sz w:val="18"/>
              </w:rPr>
              <w:t>Tinnitus</w:t>
            </w:r>
          </w:p>
        </w:tc>
        <w:tc>
          <w:tcPr>
            <w:tcW w:w="632" w:type="dxa"/>
            <w:shd w:val="clear" w:color="auto" w:fill="FFFFFF"/>
            <w:vAlign w:val="center"/>
          </w:tcPr>
          <w:p w:rsidR="003B3B3F" w:rsidRDefault="003B3B3F" w:rsidP="00925036">
            <w:pPr>
              <w:spacing w:line="220" w:lineRule="exact"/>
              <w:contextualSpacing/>
              <w:rPr>
                <w:color w:val="auto"/>
                <w:sz w:val="18"/>
              </w:rPr>
            </w:pPr>
            <w:r>
              <w:rPr>
                <w:color w:val="auto"/>
                <w:sz w:val="18"/>
              </w:rPr>
              <w:t>6260</w:t>
            </w:r>
          </w:p>
        </w:tc>
        <w:tc>
          <w:tcPr>
            <w:tcW w:w="725" w:type="dxa"/>
            <w:tcBorders>
              <w:right w:val="single" w:sz="4" w:space="0" w:color="auto"/>
            </w:tcBorders>
            <w:shd w:val="clear" w:color="auto" w:fill="FFFFFF"/>
            <w:vAlign w:val="center"/>
          </w:tcPr>
          <w:p w:rsidR="003B3B3F" w:rsidRDefault="003B3B3F" w:rsidP="00925036">
            <w:pPr>
              <w:spacing w:line="220" w:lineRule="exact"/>
              <w:contextualSpacing/>
              <w:rPr>
                <w:color w:val="auto"/>
                <w:sz w:val="18"/>
              </w:rPr>
            </w:pPr>
            <w:r>
              <w:rPr>
                <w:color w:val="auto"/>
                <w:sz w:val="18"/>
              </w:rPr>
              <w:t>10%</w:t>
            </w:r>
          </w:p>
        </w:tc>
        <w:tc>
          <w:tcPr>
            <w:tcW w:w="990" w:type="dxa"/>
            <w:tcBorders>
              <w:left w:val="single" w:sz="4" w:space="0" w:color="auto"/>
            </w:tcBorders>
            <w:shd w:val="clear" w:color="auto" w:fill="FFFFFF"/>
            <w:vAlign w:val="center"/>
          </w:tcPr>
          <w:p w:rsidR="003B3B3F" w:rsidRPr="00C52C7C" w:rsidRDefault="003B3B3F" w:rsidP="00925036">
            <w:pPr>
              <w:spacing w:line="220" w:lineRule="exact"/>
              <w:contextualSpacing/>
              <w:rPr>
                <w:color w:val="auto"/>
                <w:sz w:val="18"/>
              </w:rPr>
            </w:pPr>
            <w:r>
              <w:rPr>
                <w:color w:val="auto"/>
                <w:sz w:val="18"/>
              </w:rPr>
              <w:t>20090319</w:t>
            </w:r>
          </w:p>
        </w:tc>
      </w:tr>
      <w:tr w:rsidR="003B3B3F" w:rsidRPr="00F64312" w:rsidTr="00596977">
        <w:trPr>
          <w:trHeight w:val="172"/>
          <w:jc w:val="center"/>
        </w:trPr>
        <w:tc>
          <w:tcPr>
            <w:tcW w:w="3873" w:type="dxa"/>
            <w:gridSpan w:val="3"/>
            <w:vMerge/>
            <w:tcBorders>
              <w:right w:val="thinThickThinSmallGap" w:sz="24" w:space="0" w:color="auto"/>
            </w:tcBorders>
            <w:shd w:val="clear" w:color="auto" w:fill="FFFFFF"/>
            <w:vAlign w:val="center"/>
          </w:tcPr>
          <w:p w:rsidR="003B3B3F" w:rsidRPr="00F64312" w:rsidRDefault="003B3B3F" w:rsidP="00925036">
            <w:pPr>
              <w:spacing w:line="220" w:lineRule="exact"/>
              <w:contextualSpacing/>
              <w:rPr>
                <w:rFonts w:cs="Calibri"/>
                <w:color w:val="auto"/>
                <w:sz w:val="18"/>
              </w:rPr>
            </w:pPr>
          </w:p>
        </w:tc>
        <w:tc>
          <w:tcPr>
            <w:tcW w:w="4506" w:type="dxa"/>
            <w:gridSpan w:val="4"/>
            <w:tcBorders>
              <w:left w:val="thinThickThinSmallGap" w:sz="24" w:space="0" w:color="auto"/>
            </w:tcBorders>
            <w:shd w:val="clear" w:color="auto" w:fill="FFFFFF"/>
            <w:vAlign w:val="center"/>
          </w:tcPr>
          <w:p w:rsidR="003B3B3F" w:rsidRPr="00F64312" w:rsidRDefault="003B3B3F" w:rsidP="00FF2856">
            <w:pPr>
              <w:spacing w:line="220" w:lineRule="exact"/>
              <w:contextualSpacing/>
              <w:rPr>
                <w:rFonts w:cs="Calibri"/>
                <w:color w:val="auto"/>
                <w:sz w:val="18"/>
              </w:rPr>
            </w:pPr>
            <w:r>
              <w:rPr>
                <w:color w:val="auto"/>
                <w:sz w:val="18"/>
              </w:rPr>
              <w:t>0% X 1</w:t>
            </w:r>
            <w:r w:rsidRPr="00F64312">
              <w:rPr>
                <w:color w:val="auto"/>
                <w:sz w:val="18"/>
              </w:rPr>
              <w:t xml:space="preserve"> </w:t>
            </w:r>
            <w:r w:rsidR="000977F6">
              <w:rPr>
                <w:color w:val="auto"/>
                <w:sz w:val="18"/>
              </w:rPr>
              <w:t>/ Not Service-</w:t>
            </w:r>
            <w:r w:rsidRPr="00F64312">
              <w:rPr>
                <w:color w:val="auto"/>
                <w:sz w:val="18"/>
              </w:rPr>
              <w:t xml:space="preserve">Connected x </w:t>
            </w:r>
            <w:r>
              <w:rPr>
                <w:color w:val="auto"/>
                <w:sz w:val="18"/>
              </w:rPr>
              <w:t>6</w:t>
            </w:r>
          </w:p>
        </w:tc>
        <w:tc>
          <w:tcPr>
            <w:tcW w:w="990" w:type="dxa"/>
            <w:shd w:val="clear" w:color="auto" w:fill="FFFFFF"/>
            <w:vAlign w:val="center"/>
          </w:tcPr>
          <w:p w:rsidR="003B3B3F" w:rsidRPr="00F64312" w:rsidRDefault="003B3B3F" w:rsidP="00925036">
            <w:pPr>
              <w:spacing w:line="220" w:lineRule="exact"/>
              <w:contextualSpacing/>
              <w:rPr>
                <w:rFonts w:cs="Calibri"/>
                <w:color w:val="auto"/>
                <w:sz w:val="18"/>
              </w:rPr>
            </w:pPr>
            <w:r>
              <w:rPr>
                <w:rFonts w:cs="Calibri"/>
                <w:color w:val="auto"/>
                <w:sz w:val="18"/>
              </w:rPr>
              <w:t>20090305</w:t>
            </w:r>
          </w:p>
        </w:tc>
      </w:tr>
      <w:tr w:rsidR="003B3B3F" w:rsidRPr="00F64312" w:rsidTr="00596977">
        <w:trPr>
          <w:trHeight w:val="124"/>
          <w:jc w:val="center"/>
        </w:trPr>
        <w:tc>
          <w:tcPr>
            <w:tcW w:w="3873" w:type="dxa"/>
            <w:gridSpan w:val="3"/>
            <w:tcBorders>
              <w:right w:val="thinThickThinSmallGap" w:sz="24" w:space="0" w:color="auto"/>
            </w:tcBorders>
            <w:shd w:val="clear" w:color="auto" w:fill="D9D9D9"/>
          </w:tcPr>
          <w:p w:rsidR="003B3B3F" w:rsidRPr="00F64312" w:rsidRDefault="003B3B3F" w:rsidP="00925036">
            <w:pPr>
              <w:contextualSpacing/>
              <w:rPr>
                <w:rFonts w:cs="Calibri"/>
                <w:b/>
                <w:color w:val="auto"/>
                <w:sz w:val="18"/>
              </w:rPr>
            </w:pPr>
            <w:r w:rsidRPr="00F64312">
              <w:rPr>
                <w:b/>
                <w:color w:val="auto"/>
                <w:sz w:val="18"/>
              </w:rPr>
              <w:t xml:space="preserve">Combined:  </w:t>
            </w:r>
            <w:r>
              <w:rPr>
                <w:b/>
                <w:color w:val="auto"/>
                <w:sz w:val="18"/>
              </w:rPr>
              <w:t>10</w:t>
            </w:r>
            <w:r w:rsidRPr="00F64312">
              <w:rPr>
                <w:b/>
                <w:color w:val="auto"/>
                <w:sz w:val="18"/>
              </w:rPr>
              <w:t>%</w:t>
            </w:r>
          </w:p>
        </w:tc>
        <w:tc>
          <w:tcPr>
            <w:tcW w:w="5496" w:type="dxa"/>
            <w:gridSpan w:val="5"/>
            <w:tcBorders>
              <w:left w:val="thinThickThinSmallGap" w:sz="24" w:space="0" w:color="auto"/>
            </w:tcBorders>
            <w:shd w:val="clear" w:color="auto" w:fill="D9D9D9"/>
          </w:tcPr>
          <w:p w:rsidR="003B3B3F" w:rsidRPr="00F64312" w:rsidRDefault="003B3B3F" w:rsidP="00925036">
            <w:pPr>
              <w:contextualSpacing/>
              <w:rPr>
                <w:rFonts w:cs="Calibri"/>
                <w:b/>
                <w:color w:val="auto"/>
                <w:sz w:val="18"/>
              </w:rPr>
            </w:pPr>
            <w:r w:rsidRPr="00F64312">
              <w:rPr>
                <w:b/>
                <w:color w:val="auto"/>
                <w:sz w:val="18"/>
              </w:rPr>
              <w:t xml:space="preserve">Combined:  </w:t>
            </w:r>
            <w:r>
              <w:rPr>
                <w:b/>
                <w:color w:val="auto"/>
                <w:sz w:val="18"/>
              </w:rPr>
              <w:t>30</w:t>
            </w:r>
            <w:r w:rsidRPr="00F64312">
              <w:rPr>
                <w:b/>
                <w:color w:val="auto"/>
                <w:sz w:val="18"/>
              </w:rPr>
              <w:t>%</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pPr>
        <w:rPr>
          <w:color w:val="000000"/>
        </w:rPr>
      </w:pPr>
    </w:p>
    <w:p w:rsidR="0077578C" w:rsidRPr="0077578C" w:rsidRDefault="00AD2379" w:rsidP="0077578C">
      <w:pPr>
        <w:jc w:val="both"/>
        <w:rPr>
          <w:rFonts w:eastAsia="Calibri"/>
          <w:color w:val="auto"/>
          <w:szCs w:val="24"/>
        </w:rPr>
      </w:pPr>
      <w:r w:rsidRPr="001F29F9">
        <w:rPr>
          <w:color w:val="000000"/>
          <w:u w:val="single"/>
        </w:rPr>
        <w:t>ANALYSIS SUMMARY</w:t>
      </w:r>
      <w:r w:rsidRPr="001F29F9">
        <w:rPr>
          <w:color w:val="000000"/>
        </w:rPr>
        <w:t>:</w:t>
      </w:r>
      <w:r>
        <w:rPr>
          <w:color w:val="000000"/>
        </w:rPr>
        <w:t xml:space="preserve"> </w:t>
      </w:r>
      <w:r w:rsidR="0077578C">
        <w:rPr>
          <w:color w:val="000000"/>
        </w:rPr>
        <w:t xml:space="preserve"> </w:t>
      </w:r>
      <w:r w:rsidR="0077578C" w:rsidRPr="0077578C">
        <w:rPr>
          <w:rFonts w:eastAsia="Calibri"/>
          <w:color w:val="auto"/>
          <w:szCs w:val="24"/>
        </w:rPr>
        <w:t>The Board acknowledges the sentiment expressed in the CI’s application regarding the significant impairment with which his service-connected condition continue</w:t>
      </w:r>
      <w:r w:rsidR="0077578C">
        <w:rPr>
          <w:rFonts w:eastAsia="Calibri"/>
          <w:color w:val="auto"/>
          <w:szCs w:val="24"/>
        </w:rPr>
        <w:t>s</w:t>
      </w:r>
      <w:r w:rsidR="0077578C" w:rsidRPr="0077578C">
        <w:rPr>
          <w:rFonts w:eastAsia="Calibri"/>
          <w:color w:val="auto"/>
          <w:szCs w:val="24"/>
        </w:rPr>
        <w:t xml:space="preserve"> to burden him.  It is a fact, however, that the </w:t>
      </w:r>
      <w:r w:rsidR="000977F6">
        <w:rPr>
          <w:rFonts w:eastAsia="Calibri"/>
          <w:color w:val="auto"/>
          <w:szCs w:val="24"/>
        </w:rPr>
        <w:t>Disability Evaluation System (</w:t>
      </w:r>
      <w:r w:rsidR="0077578C" w:rsidRPr="0077578C">
        <w:rPr>
          <w:rFonts w:eastAsia="Calibri"/>
          <w:color w:val="auto"/>
          <w:szCs w:val="24"/>
        </w:rPr>
        <w:t>DES) has neither the role nor the authority to compensate service members for anticipated future severity or potential complications of conditions resulting in medical separation.  This role and authority is granted by Congress to the Department of Veteran</w:t>
      </w:r>
      <w:r w:rsidR="000977F6">
        <w:rPr>
          <w:rFonts w:eastAsia="Calibri"/>
          <w:color w:val="auto"/>
          <w:szCs w:val="24"/>
        </w:rPr>
        <w:t>s’</w:t>
      </w:r>
      <w:r w:rsidR="0077578C" w:rsidRPr="0077578C">
        <w:rPr>
          <w:rFonts w:eastAsia="Calibri"/>
          <w:color w:val="auto"/>
          <w:szCs w:val="24"/>
        </w:rPr>
        <w:t xml:space="preserve"> Affairs (DVA).  The DVA, operating under a different set of laws (Title 38, United States Code), is </w:t>
      </w:r>
      <w:r w:rsidR="000977F6">
        <w:rPr>
          <w:rFonts w:eastAsia="Calibri"/>
          <w:color w:val="auto"/>
          <w:szCs w:val="24"/>
        </w:rPr>
        <w:t>empowered to compensate service-</w:t>
      </w:r>
      <w:r w:rsidR="0077578C" w:rsidRPr="0077578C">
        <w:rPr>
          <w:rFonts w:eastAsia="Calibri"/>
          <w:color w:val="auto"/>
          <w:szCs w:val="24"/>
        </w:rPr>
        <w:t xml:space="preserve">connected conditions and to periodically re-evaluate said conditions for the purpose of adjusting the </w:t>
      </w:r>
      <w:r w:rsidR="000977F6">
        <w:rPr>
          <w:rFonts w:eastAsia="Calibri"/>
          <w:color w:val="auto"/>
          <w:szCs w:val="24"/>
        </w:rPr>
        <w:t>V</w:t>
      </w:r>
      <w:r w:rsidR="0077578C" w:rsidRPr="0077578C">
        <w:rPr>
          <w:rFonts w:eastAsia="Calibri"/>
          <w:color w:val="auto"/>
          <w:szCs w:val="24"/>
        </w:rPr>
        <w:t xml:space="preserve">eteran’s disability rating should </w:t>
      </w:r>
      <w:r w:rsidR="000977F6">
        <w:rPr>
          <w:rFonts w:eastAsia="Calibri"/>
          <w:color w:val="auto"/>
          <w:szCs w:val="24"/>
        </w:rPr>
        <w:t>the</w:t>
      </w:r>
      <w:r w:rsidR="0077578C" w:rsidRPr="0077578C">
        <w:rPr>
          <w:rFonts w:eastAsia="Calibri"/>
          <w:color w:val="auto"/>
          <w:szCs w:val="24"/>
        </w:rPr>
        <w:t xml:space="preserve"> degree of impairment vary over time.  The Board utilizes </w:t>
      </w:r>
      <w:r w:rsidR="000977F6">
        <w:rPr>
          <w:rFonts w:eastAsia="Calibri"/>
          <w:color w:val="auto"/>
          <w:szCs w:val="24"/>
        </w:rPr>
        <w:t>D</w:t>
      </w:r>
      <w:r w:rsidR="0077578C" w:rsidRPr="0077578C">
        <w:rPr>
          <w:rFonts w:eastAsia="Calibri"/>
          <w:color w:val="auto"/>
          <w:szCs w:val="24"/>
        </w:rPr>
        <w:t>VA evidence proximate to separation in arriving at its recommendations; and, DoDI 6040.44 de</w:t>
      </w:r>
      <w:r w:rsidR="000977F6">
        <w:rPr>
          <w:rFonts w:eastAsia="Calibri"/>
          <w:color w:val="auto"/>
          <w:szCs w:val="24"/>
        </w:rPr>
        <w:t>fines a 12-</w:t>
      </w:r>
      <w:r w:rsidR="0077578C" w:rsidRPr="0077578C">
        <w:rPr>
          <w:rFonts w:eastAsia="Calibri"/>
          <w:color w:val="auto"/>
          <w:szCs w:val="24"/>
        </w:rPr>
        <w:t>month interval for special consideration to post-separation evidence.  The Board’s authority as defined in DoDI 6044.40, however, resides</w:t>
      </w:r>
      <w:r w:rsidR="000977F6">
        <w:rPr>
          <w:rFonts w:eastAsia="Calibri"/>
          <w:color w:val="auto"/>
          <w:szCs w:val="24"/>
        </w:rPr>
        <w:t xml:space="preserve"> in evaluating the fairness of </w:t>
      </w:r>
      <w:r w:rsidR="0077578C" w:rsidRPr="0077578C">
        <w:rPr>
          <w:rFonts w:eastAsia="Calibri"/>
          <w:color w:val="auto"/>
          <w:szCs w:val="24"/>
        </w:rPr>
        <w:t>DES rating determinations for the disability existing at the time of separation.  Post-separation evidence therefore is probative only to the extent that it reasonably reflects the disability at the time of separation.</w:t>
      </w:r>
      <w:r w:rsidR="0077578C">
        <w:rPr>
          <w:rFonts w:eastAsia="Calibri"/>
          <w:color w:val="auto"/>
          <w:szCs w:val="24"/>
        </w:rPr>
        <w:t xml:space="preserve">  </w:t>
      </w:r>
      <w:r w:rsidR="0077578C" w:rsidRPr="0077578C">
        <w:rPr>
          <w:rFonts w:eastAsia="Calibri"/>
          <w:color w:val="auto"/>
          <w:szCs w:val="24"/>
        </w:rPr>
        <w:t xml:space="preserve">The Board </w:t>
      </w:r>
      <w:r w:rsidR="0077578C">
        <w:rPr>
          <w:rFonts w:eastAsia="Calibri"/>
          <w:color w:val="auto"/>
          <w:szCs w:val="24"/>
        </w:rPr>
        <w:t xml:space="preserve">further </w:t>
      </w:r>
      <w:r w:rsidR="0077578C" w:rsidRPr="0077578C">
        <w:rPr>
          <w:rFonts w:eastAsia="Calibri"/>
          <w:color w:val="auto"/>
          <w:szCs w:val="24"/>
        </w:rPr>
        <w:t>acknowl</w:t>
      </w:r>
      <w:r w:rsidR="0077578C">
        <w:rPr>
          <w:rFonts w:eastAsia="Calibri"/>
          <w:color w:val="auto"/>
          <w:szCs w:val="24"/>
        </w:rPr>
        <w:t xml:space="preserve">edges the CI’s </w:t>
      </w:r>
      <w:r w:rsidR="0077578C" w:rsidRPr="0077578C">
        <w:rPr>
          <w:rFonts w:eastAsia="Calibri"/>
          <w:color w:val="auto"/>
          <w:szCs w:val="24"/>
        </w:rPr>
        <w:t>contention that he was unjustly passed over for promotion.  It is noted for the record that the Board has neither the jurisdiction nor authority to scrutinize, render opinions, or offer remedy in reference to actions of this nature.  That jurisdiction and authority resides with the ABCMR.</w:t>
      </w:r>
    </w:p>
    <w:p w:rsidR="0077578C" w:rsidRDefault="0077578C" w:rsidP="00B22D42">
      <w:pPr>
        <w:jc w:val="both"/>
        <w:rPr>
          <w:color w:val="000000"/>
          <w:u w:val="single"/>
        </w:rPr>
      </w:pPr>
    </w:p>
    <w:p w:rsidR="0069687C" w:rsidRPr="00E8268E" w:rsidRDefault="00BC5959" w:rsidP="0069687C">
      <w:pPr>
        <w:jc w:val="both"/>
        <w:rPr>
          <w:color w:val="000000"/>
        </w:rPr>
      </w:pPr>
      <w:proofErr w:type="gramStart"/>
      <w:r>
        <w:rPr>
          <w:color w:val="000000"/>
          <w:u w:val="single"/>
        </w:rPr>
        <w:t>Thoracolumbar Spine</w:t>
      </w:r>
      <w:r w:rsidR="00AD2379" w:rsidRPr="009A7578">
        <w:rPr>
          <w:color w:val="000000"/>
          <w:u w:val="single"/>
        </w:rPr>
        <w:t xml:space="preserve"> Condition</w:t>
      </w:r>
      <w:r w:rsidR="00AD2379" w:rsidRPr="009A7578">
        <w:rPr>
          <w:color w:val="000000"/>
        </w:rPr>
        <w:t>.</w:t>
      </w:r>
      <w:proofErr w:type="gramEnd"/>
      <w:r w:rsidR="00AD2379" w:rsidRPr="009A7578">
        <w:rPr>
          <w:color w:val="000000"/>
        </w:rPr>
        <w:t xml:space="preserve"> </w:t>
      </w:r>
      <w:r w:rsidR="00385708">
        <w:rPr>
          <w:color w:val="000000"/>
        </w:rPr>
        <w:t xml:space="preserve"> </w:t>
      </w:r>
      <w:r w:rsidR="00A71449">
        <w:rPr>
          <w:color w:val="000000"/>
        </w:rPr>
        <w:t xml:space="preserve">The CI suffered blunt neck trauma during combatant training in Korea in September 2004.  </w:t>
      </w:r>
      <w:r w:rsidR="00D90DE8">
        <w:rPr>
          <w:color w:val="000000"/>
        </w:rPr>
        <w:t xml:space="preserve">He was initially treated for the cervical injury (which included a hematoma requiring incision), but developed mid-to-lower back pain in the aftermath.  The latter persisted, and was managed with conservative measures and temporary profiles.  </w:t>
      </w:r>
      <w:r w:rsidR="00835803">
        <w:rPr>
          <w:color w:val="000000"/>
        </w:rPr>
        <w:t xml:space="preserve">The thoracolumbar pain was greatly exacerbated by the load-bearing demands of a 2007 deployment to Iraq, and </w:t>
      </w:r>
      <w:r w:rsidR="004E2B58">
        <w:rPr>
          <w:color w:val="000000"/>
        </w:rPr>
        <w:t xml:space="preserve">the CI </w:t>
      </w:r>
      <w:r w:rsidR="00835803">
        <w:rPr>
          <w:color w:val="000000"/>
        </w:rPr>
        <w:t xml:space="preserve">was referred to orthopedics after redeployment.  Imaging </w:t>
      </w:r>
      <w:r w:rsidR="00835803">
        <w:rPr>
          <w:color w:val="000000"/>
        </w:rPr>
        <w:lastRenderedPageBreak/>
        <w:t xml:space="preserve">revealed </w:t>
      </w:r>
      <w:r w:rsidR="00097E3A">
        <w:rPr>
          <w:color w:val="000000"/>
        </w:rPr>
        <w:t xml:space="preserve">canal stenosis “likely developmental” throughout its length, degenerative facet changes from T11 to L5, and non-encroaching disc bulges at T11/12, </w:t>
      </w:r>
      <w:r w:rsidR="002F339D">
        <w:rPr>
          <w:color w:val="000000"/>
        </w:rPr>
        <w:t>T12/L1, and L4/5.  Surgery was not recommended, and the pain did not respond adequately to epidural injection</w:t>
      </w:r>
      <w:r w:rsidR="00251AB0">
        <w:rPr>
          <w:color w:val="000000"/>
        </w:rPr>
        <w:t>, physical therapy (PT),</w:t>
      </w:r>
      <w:r w:rsidR="002F339D">
        <w:rPr>
          <w:color w:val="000000"/>
        </w:rPr>
        <w:t xml:space="preserve"> and </w:t>
      </w:r>
      <w:r w:rsidR="00251AB0">
        <w:rPr>
          <w:color w:val="000000"/>
        </w:rPr>
        <w:t>medication trials</w:t>
      </w:r>
      <w:r w:rsidR="002F339D">
        <w:rPr>
          <w:color w:val="000000"/>
        </w:rPr>
        <w:t xml:space="preserve">.  </w:t>
      </w:r>
      <w:r w:rsidR="00592C7B">
        <w:rPr>
          <w:color w:val="000000"/>
        </w:rPr>
        <w:t xml:space="preserve">The </w:t>
      </w:r>
      <w:r w:rsidR="00704463">
        <w:rPr>
          <w:color w:val="000000"/>
        </w:rPr>
        <w:t>narrative summary (NARSUM)</w:t>
      </w:r>
      <w:r w:rsidR="00592C7B">
        <w:rPr>
          <w:color w:val="000000"/>
        </w:rPr>
        <w:t xml:space="preserve"> noted constant pain rated 8/10, “easily aggravated to a 10/10 with accompanying spasms and radiculopathy posteriorly and bilaterally to his knees.”  The </w:t>
      </w:r>
      <w:r w:rsidR="001073EF">
        <w:rPr>
          <w:color w:val="000000"/>
        </w:rPr>
        <w:t xml:space="preserve">MEB spine </w:t>
      </w:r>
      <w:r w:rsidR="00592C7B">
        <w:rPr>
          <w:color w:val="000000"/>
        </w:rPr>
        <w:t xml:space="preserve">exam findings are noted below, and </w:t>
      </w:r>
      <w:r w:rsidR="001073EF">
        <w:rPr>
          <w:color w:val="000000"/>
        </w:rPr>
        <w:t xml:space="preserve">the </w:t>
      </w:r>
      <w:r w:rsidR="00592C7B">
        <w:rPr>
          <w:color w:val="000000"/>
        </w:rPr>
        <w:t xml:space="preserve">neurologic </w:t>
      </w:r>
      <w:r w:rsidR="001073EF">
        <w:rPr>
          <w:color w:val="000000"/>
        </w:rPr>
        <w:t>exam was</w:t>
      </w:r>
      <w:r w:rsidR="00592C7B">
        <w:rPr>
          <w:color w:val="000000"/>
        </w:rPr>
        <w:t xml:space="preserve"> normal.  </w:t>
      </w:r>
      <w:r w:rsidR="001073EF">
        <w:rPr>
          <w:color w:val="000000"/>
        </w:rPr>
        <w:t xml:space="preserve">At the </w:t>
      </w:r>
      <w:r w:rsidR="00704463">
        <w:rPr>
          <w:color w:val="000000"/>
          <w:szCs w:val="24"/>
        </w:rPr>
        <w:t xml:space="preserve">VA </w:t>
      </w:r>
      <w:r w:rsidR="00704463" w:rsidRPr="00CF0280">
        <w:rPr>
          <w:color w:val="000000"/>
          <w:szCs w:val="24"/>
        </w:rPr>
        <w:t>Compensation and Pension (C&amp;P)</w:t>
      </w:r>
      <w:r w:rsidR="00704463">
        <w:rPr>
          <w:color w:val="000000"/>
          <w:szCs w:val="24"/>
        </w:rPr>
        <w:t xml:space="preserve"> </w:t>
      </w:r>
      <w:r w:rsidR="00704463" w:rsidRPr="001073EF">
        <w:rPr>
          <w:color w:val="000000"/>
          <w:szCs w:val="24"/>
        </w:rPr>
        <w:t xml:space="preserve">exam </w:t>
      </w:r>
      <w:r w:rsidR="000977F6">
        <w:rPr>
          <w:color w:val="000000"/>
          <w:szCs w:val="24"/>
        </w:rPr>
        <w:t xml:space="preserve">performed 3 </w:t>
      </w:r>
      <w:r w:rsidR="001073EF" w:rsidRPr="001073EF">
        <w:rPr>
          <w:color w:val="000000"/>
          <w:szCs w:val="24"/>
        </w:rPr>
        <w:t>weeks</w:t>
      </w:r>
      <w:r w:rsidR="00704463" w:rsidRPr="001073EF">
        <w:rPr>
          <w:color w:val="000000"/>
          <w:szCs w:val="24"/>
        </w:rPr>
        <w:t xml:space="preserve"> pr</w:t>
      </w:r>
      <w:r w:rsidR="000977F6">
        <w:rPr>
          <w:color w:val="000000"/>
          <w:szCs w:val="24"/>
        </w:rPr>
        <w:t xml:space="preserve">ior to </w:t>
      </w:r>
      <w:r w:rsidR="00704463" w:rsidRPr="00704463">
        <w:rPr>
          <w:color w:val="000000"/>
          <w:szCs w:val="24"/>
        </w:rPr>
        <w:t>separation</w:t>
      </w:r>
      <w:r w:rsidR="001073EF">
        <w:rPr>
          <w:color w:val="000000"/>
          <w:szCs w:val="24"/>
        </w:rPr>
        <w:t xml:space="preserve">, the examiner did not elaborate the severity or physical limitations associated with the thoracolumbar condition; but, noted that it was “responding adequately” to an anti-inflammatory and muscle relaxant.  In addition to the findings below, the VA neurologic findings and gait were normal.  The </w:t>
      </w:r>
      <w:r w:rsidR="00E8268E">
        <w:rPr>
          <w:color w:val="000000"/>
          <w:szCs w:val="24"/>
        </w:rPr>
        <w:t xml:space="preserve">VA examiner commented on “mild scoliotic changes” which was an anatomic observation, not </w:t>
      </w:r>
      <w:r w:rsidR="002D5965">
        <w:rPr>
          <w:color w:val="000000"/>
          <w:szCs w:val="24"/>
        </w:rPr>
        <w:t xml:space="preserve">a </w:t>
      </w:r>
      <w:r w:rsidR="00E8268E">
        <w:rPr>
          <w:color w:val="000000"/>
          <w:szCs w:val="24"/>
        </w:rPr>
        <w:t>ratable contour abnormality due to spasm.  The</w:t>
      </w:r>
      <w:r w:rsidR="000977F6">
        <w:rPr>
          <w:color w:val="000000"/>
          <w:szCs w:val="24"/>
        </w:rPr>
        <w:t xml:space="preserve"> goniometric range-of-</w:t>
      </w:r>
      <w:r w:rsidR="0069687C" w:rsidRPr="00B652C3">
        <w:rPr>
          <w:color w:val="000000"/>
          <w:szCs w:val="24"/>
        </w:rPr>
        <w:t>motion (ROM) evaluations in evidence</w:t>
      </w:r>
      <w:r w:rsidR="00E8268E" w:rsidRPr="00E8268E">
        <w:rPr>
          <w:color w:val="000000"/>
          <w:szCs w:val="24"/>
        </w:rPr>
        <w:t xml:space="preserve"> </w:t>
      </w:r>
      <w:r w:rsidR="00E8268E" w:rsidRPr="00B652C3">
        <w:rPr>
          <w:color w:val="000000"/>
          <w:szCs w:val="24"/>
        </w:rPr>
        <w:t xml:space="preserve">which the Board weighed in arriving </w:t>
      </w:r>
      <w:r w:rsidR="00E8268E">
        <w:rPr>
          <w:color w:val="000000"/>
          <w:szCs w:val="24"/>
        </w:rPr>
        <w:t>at its rating recommendation</w:t>
      </w:r>
      <w:r w:rsidR="0069687C" w:rsidRPr="00B652C3">
        <w:rPr>
          <w:color w:val="000000"/>
          <w:szCs w:val="24"/>
        </w:rPr>
        <w:t xml:space="preserve">, with documentation of additional ratable criteria, </w:t>
      </w:r>
      <w:r w:rsidR="00E8268E">
        <w:rPr>
          <w:color w:val="000000"/>
          <w:szCs w:val="24"/>
        </w:rPr>
        <w:t>are</w:t>
      </w:r>
      <w:r w:rsidR="0069687C" w:rsidRPr="00B652C3">
        <w:rPr>
          <w:color w:val="000000"/>
          <w:szCs w:val="24"/>
        </w:rPr>
        <w:t xml:space="preserve"> summarized in the chart below.</w:t>
      </w:r>
    </w:p>
    <w:p w:rsidR="00D04E3E" w:rsidRPr="00D04E3E" w:rsidRDefault="00D04E3E" w:rsidP="00D04E3E">
      <w:pPr>
        <w:tabs>
          <w:tab w:val="left" w:pos="288"/>
          <w:tab w:val="left" w:pos="4752"/>
        </w:tabs>
        <w:jc w:val="left"/>
        <w:rPr>
          <w:rFonts w:cs="Times New Roman"/>
          <w:color w:val="auto"/>
        </w:rPr>
      </w:pPr>
    </w:p>
    <w:tbl>
      <w:tblPr>
        <w:tblW w:w="7892" w:type="dxa"/>
        <w:jc w:val="center"/>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46"/>
        <w:gridCol w:w="3139"/>
        <w:gridCol w:w="2607"/>
      </w:tblGrid>
      <w:tr w:rsidR="00D04E3E" w:rsidRPr="00D04E3E" w:rsidTr="00A71449">
        <w:trPr>
          <w:jc w:val="center"/>
        </w:trPr>
        <w:tc>
          <w:tcPr>
            <w:tcW w:w="2146" w:type="dxa"/>
            <w:shd w:val="clear" w:color="auto" w:fill="D9D9D9"/>
            <w:vAlign w:val="center"/>
          </w:tcPr>
          <w:p w:rsidR="00D04E3E" w:rsidRPr="00D04E3E" w:rsidRDefault="00D04E3E" w:rsidP="00D04E3E">
            <w:pPr>
              <w:contextualSpacing/>
              <w:rPr>
                <w:rFonts w:cs="Times New Roman"/>
                <w:color w:val="auto"/>
                <w:sz w:val="22"/>
              </w:rPr>
            </w:pPr>
            <w:r w:rsidRPr="00D04E3E">
              <w:rPr>
                <w:rFonts w:cs="Times New Roman"/>
                <w:color w:val="auto"/>
                <w:sz w:val="22"/>
              </w:rPr>
              <w:t>Thoracolumbar ROM</w:t>
            </w:r>
          </w:p>
        </w:tc>
        <w:tc>
          <w:tcPr>
            <w:tcW w:w="3139" w:type="dxa"/>
            <w:shd w:val="clear" w:color="auto" w:fill="D9D9D9"/>
            <w:vAlign w:val="center"/>
          </w:tcPr>
          <w:p w:rsidR="00D04E3E" w:rsidRPr="00D04E3E" w:rsidRDefault="00D04E3E" w:rsidP="00D04E3E">
            <w:pPr>
              <w:contextualSpacing/>
              <w:rPr>
                <w:rFonts w:cs="Times New Roman"/>
                <w:color w:val="auto"/>
                <w:sz w:val="22"/>
              </w:rPr>
            </w:pPr>
            <w:r w:rsidRPr="00D04E3E">
              <w:rPr>
                <w:rFonts w:cs="Times New Roman"/>
                <w:color w:val="auto"/>
                <w:sz w:val="22"/>
              </w:rPr>
              <w:t xml:space="preserve">MEB </w:t>
            </w:r>
            <w:r>
              <w:rPr>
                <w:rFonts w:cs="Times New Roman"/>
                <w:color w:val="auto"/>
                <w:sz w:val="22"/>
              </w:rPr>
              <w:t>PT ~4</w:t>
            </w:r>
            <w:r w:rsidRPr="00D04E3E">
              <w:rPr>
                <w:rFonts w:cs="Times New Roman"/>
                <w:color w:val="auto"/>
                <w:sz w:val="22"/>
              </w:rPr>
              <w:t xml:space="preserve"> Mo. Pre-Sep</w:t>
            </w:r>
          </w:p>
        </w:tc>
        <w:tc>
          <w:tcPr>
            <w:tcW w:w="2607" w:type="dxa"/>
            <w:shd w:val="clear" w:color="auto" w:fill="D9D9D9"/>
            <w:vAlign w:val="center"/>
          </w:tcPr>
          <w:p w:rsidR="00D04E3E" w:rsidRPr="00D04E3E" w:rsidRDefault="00D04E3E" w:rsidP="00D04E3E">
            <w:pPr>
              <w:contextualSpacing/>
              <w:rPr>
                <w:rFonts w:cs="Times New Roman"/>
                <w:color w:val="auto"/>
                <w:sz w:val="22"/>
              </w:rPr>
            </w:pPr>
            <w:r w:rsidRPr="00D04E3E">
              <w:rPr>
                <w:rFonts w:cs="Times New Roman"/>
                <w:color w:val="auto"/>
                <w:sz w:val="22"/>
              </w:rPr>
              <w:t>VA C&amp;P ~3 Wk. Pre-Sep</w:t>
            </w:r>
          </w:p>
        </w:tc>
      </w:tr>
      <w:tr w:rsidR="00D04E3E" w:rsidRPr="00D04E3E" w:rsidTr="00A71449">
        <w:trPr>
          <w:jc w:val="center"/>
        </w:trPr>
        <w:tc>
          <w:tcPr>
            <w:tcW w:w="2146" w:type="dxa"/>
            <w:vAlign w:val="center"/>
          </w:tcPr>
          <w:p w:rsidR="00D04E3E" w:rsidRPr="00D04E3E" w:rsidRDefault="00D04E3E" w:rsidP="00D04E3E">
            <w:pPr>
              <w:contextualSpacing/>
              <w:rPr>
                <w:rFonts w:cs="Times New Roman"/>
                <w:color w:val="auto"/>
                <w:sz w:val="22"/>
              </w:rPr>
            </w:pPr>
            <w:r w:rsidRPr="00D04E3E">
              <w:rPr>
                <w:rFonts w:cs="Times New Roman"/>
                <w:color w:val="auto"/>
                <w:sz w:val="22"/>
              </w:rPr>
              <w:t>Flexion (90⁰ Normal)</w:t>
            </w:r>
          </w:p>
        </w:tc>
        <w:tc>
          <w:tcPr>
            <w:tcW w:w="3139" w:type="dxa"/>
            <w:vAlign w:val="center"/>
          </w:tcPr>
          <w:p w:rsidR="00D04E3E" w:rsidRPr="00D04E3E" w:rsidRDefault="00D04E3E" w:rsidP="00D04E3E">
            <w:pPr>
              <w:contextualSpacing/>
              <w:rPr>
                <w:rFonts w:cs="Times New Roman"/>
                <w:color w:val="auto"/>
                <w:sz w:val="22"/>
              </w:rPr>
            </w:pPr>
            <w:r>
              <w:rPr>
                <w:rFonts w:cs="Times New Roman"/>
                <w:color w:val="auto"/>
                <w:sz w:val="22"/>
              </w:rPr>
              <w:t>45</w:t>
            </w:r>
            <w:r w:rsidRPr="00D04E3E">
              <w:rPr>
                <w:rFonts w:cs="Times New Roman"/>
                <w:color w:val="auto"/>
                <w:sz w:val="22"/>
              </w:rPr>
              <w:t>⁰</w:t>
            </w:r>
            <w:r>
              <w:rPr>
                <w:rFonts w:cs="Times New Roman"/>
                <w:color w:val="auto"/>
                <w:sz w:val="22"/>
              </w:rPr>
              <w:t>/30⁰*</w:t>
            </w:r>
          </w:p>
        </w:tc>
        <w:tc>
          <w:tcPr>
            <w:tcW w:w="2607" w:type="dxa"/>
            <w:vAlign w:val="center"/>
          </w:tcPr>
          <w:p w:rsidR="00D04E3E" w:rsidRPr="00D04E3E" w:rsidRDefault="00A71449" w:rsidP="00D04E3E">
            <w:pPr>
              <w:contextualSpacing/>
              <w:rPr>
                <w:rFonts w:cs="Times New Roman"/>
                <w:color w:val="auto"/>
                <w:sz w:val="22"/>
              </w:rPr>
            </w:pPr>
            <w:r>
              <w:rPr>
                <w:rFonts w:cs="Times New Roman"/>
                <w:color w:val="auto"/>
                <w:sz w:val="22"/>
              </w:rPr>
              <w:t>90⁰</w:t>
            </w:r>
          </w:p>
        </w:tc>
      </w:tr>
      <w:tr w:rsidR="00D04E3E" w:rsidRPr="00D04E3E" w:rsidTr="00A71449">
        <w:trPr>
          <w:jc w:val="center"/>
        </w:trPr>
        <w:tc>
          <w:tcPr>
            <w:tcW w:w="2146" w:type="dxa"/>
            <w:vAlign w:val="center"/>
          </w:tcPr>
          <w:p w:rsidR="00D04E3E" w:rsidRPr="00D04E3E" w:rsidRDefault="00D04E3E" w:rsidP="00D04E3E">
            <w:pPr>
              <w:contextualSpacing/>
              <w:rPr>
                <w:rFonts w:cs="Times New Roman"/>
                <w:color w:val="auto"/>
                <w:sz w:val="22"/>
              </w:rPr>
            </w:pPr>
            <w:r w:rsidRPr="00D04E3E">
              <w:rPr>
                <w:rFonts w:cs="Times New Roman"/>
                <w:color w:val="auto"/>
                <w:sz w:val="22"/>
              </w:rPr>
              <w:t>Combined (240⁰)</w:t>
            </w:r>
          </w:p>
        </w:tc>
        <w:tc>
          <w:tcPr>
            <w:tcW w:w="3139" w:type="dxa"/>
            <w:vAlign w:val="center"/>
          </w:tcPr>
          <w:p w:rsidR="00D04E3E" w:rsidRPr="00D04E3E" w:rsidRDefault="000D3255" w:rsidP="00D04E3E">
            <w:pPr>
              <w:contextualSpacing/>
              <w:rPr>
                <w:rFonts w:cs="Times New Roman"/>
                <w:color w:val="auto"/>
                <w:sz w:val="22"/>
              </w:rPr>
            </w:pPr>
            <w:r>
              <w:rPr>
                <w:rFonts w:cs="Times New Roman"/>
                <w:color w:val="auto"/>
                <w:sz w:val="22"/>
              </w:rPr>
              <w:t>160</w:t>
            </w:r>
            <w:r w:rsidR="00D04E3E" w:rsidRPr="00D04E3E">
              <w:rPr>
                <w:rFonts w:cs="Times New Roman"/>
                <w:color w:val="auto"/>
                <w:sz w:val="22"/>
              </w:rPr>
              <w:t>⁰</w:t>
            </w:r>
            <w:r>
              <w:rPr>
                <w:rFonts w:cs="Times New Roman"/>
                <w:color w:val="auto"/>
                <w:sz w:val="22"/>
              </w:rPr>
              <w:t>/</w:t>
            </w:r>
            <w:r w:rsidR="00A71449">
              <w:rPr>
                <w:rFonts w:cs="Times New Roman"/>
                <w:color w:val="auto"/>
                <w:sz w:val="22"/>
              </w:rPr>
              <w:t>150⁰*</w:t>
            </w:r>
          </w:p>
        </w:tc>
        <w:tc>
          <w:tcPr>
            <w:tcW w:w="2607" w:type="dxa"/>
            <w:vAlign w:val="center"/>
          </w:tcPr>
          <w:p w:rsidR="00D04E3E" w:rsidRPr="00D04E3E" w:rsidRDefault="00A71449" w:rsidP="00D04E3E">
            <w:pPr>
              <w:contextualSpacing/>
              <w:rPr>
                <w:rFonts w:cs="Times New Roman"/>
                <w:color w:val="auto"/>
                <w:sz w:val="22"/>
              </w:rPr>
            </w:pPr>
            <w:r>
              <w:rPr>
                <w:rFonts w:cs="Times New Roman"/>
                <w:color w:val="auto"/>
                <w:sz w:val="22"/>
              </w:rPr>
              <w:t>27</w:t>
            </w:r>
            <w:r w:rsidR="00D04E3E" w:rsidRPr="00D04E3E">
              <w:rPr>
                <w:rFonts w:cs="Times New Roman"/>
                <w:color w:val="auto"/>
                <w:sz w:val="22"/>
              </w:rPr>
              <w:t>0⁰</w:t>
            </w:r>
          </w:p>
        </w:tc>
      </w:tr>
      <w:tr w:rsidR="00D04E3E" w:rsidRPr="00D04E3E" w:rsidTr="00A71449">
        <w:trPr>
          <w:trHeight w:val="58"/>
          <w:jc w:val="center"/>
        </w:trPr>
        <w:tc>
          <w:tcPr>
            <w:tcW w:w="2146" w:type="dxa"/>
            <w:vAlign w:val="center"/>
          </w:tcPr>
          <w:p w:rsidR="00D04E3E" w:rsidRPr="00D04E3E" w:rsidRDefault="00D04E3E" w:rsidP="00D04E3E">
            <w:pPr>
              <w:tabs>
                <w:tab w:val="left" w:pos="288"/>
                <w:tab w:val="left" w:pos="4752"/>
              </w:tabs>
              <w:rPr>
                <w:rFonts w:cs="Times New Roman"/>
                <w:color w:val="auto"/>
                <w:sz w:val="22"/>
              </w:rPr>
            </w:pPr>
            <w:r w:rsidRPr="00D04E3E">
              <w:rPr>
                <w:rFonts w:cs="Times New Roman"/>
                <w:color w:val="auto"/>
                <w:sz w:val="22"/>
              </w:rPr>
              <w:t>Comments</w:t>
            </w:r>
          </w:p>
        </w:tc>
        <w:tc>
          <w:tcPr>
            <w:tcW w:w="3139" w:type="dxa"/>
            <w:vAlign w:val="center"/>
          </w:tcPr>
          <w:p w:rsidR="00D04E3E" w:rsidRPr="00D04E3E" w:rsidRDefault="00A71449" w:rsidP="00D04E3E">
            <w:pPr>
              <w:tabs>
                <w:tab w:val="left" w:pos="288"/>
                <w:tab w:val="left" w:pos="4752"/>
              </w:tabs>
              <w:rPr>
                <w:rFonts w:cs="Times New Roman"/>
                <w:color w:val="auto"/>
                <w:sz w:val="22"/>
              </w:rPr>
            </w:pPr>
            <w:r>
              <w:rPr>
                <w:rFonts w:cs="Times New Roman"/>
                <w:color w:val="auto"/>
                <w:sz w:val="22"/>
              </w:rPr>
              <w:t>Tenderness, spasm, normal gait</w:t>
            </w:r>
            <w:r w:rsidR="00D04E3E" w:rsidRPr="00D04E3E">
              <w:rPr>
                <w:rFonts w:cs="Times New Roman"/>
                <w:color w:val="auto"/>
                <w:sz w:val="22"/>
              </w:rPr>
              <w:t>.</w:t>
            </w:r>
          </w:p>
        </w:tc>
        <w:tc>
          <w:tcPr>
            <w:tcW w:w="2607" w:type="dxa"/>
            <w:vAlign w:val="center"/>
          </w:tcPr>
          <w:p w:rsidR="00D04E3E" w:rsidRPr="00D04E3E" w:rsidRDefault="00A71449" w:rsidP="00D04E3E">
            <w:pPr>
              <w:tabs>
                <w:tab w:val="left" w:pos="288"/>
                <w:tab w:val="left" w:pos="4752"/>
              </w:tabs>
              <w:rPr>
                <w:rFonts w:cs="Times New Roman"/>
                <w:color w:val="auto"/>
                <w:sz w:val="22"/>
              </w:rPr>
            </w:pPr>
            <w:r>
              <w:rPr>
                <w:color w:val="auto"/>
                <w:sz w:val="22"/>
              </w:rPr>
              <w:t>Painful motion; no spasm</w:t>
            </w:r>
            <w:r w:rsidR="00D04E3E" w:rsidRPr="00D04E3E">
              <w:rPr>
                <w:rFonts w:cs="Times New Roman"/>
                <w:color w:val="auto"/>
                <w:sz w:val="22"/>
              </w:rPr>
              <w:t>.</w:t>
            </w:r>
          </w:p>
        </w:tc>
      </w:tr>
      <w:tr w:rsidR="00D04E3E" w:rsidRPr="00D04E3E" w:rsidTr="00A71449">
        <w:trPr>
          <w:trHeight w:val="70"/>
          <w:jc w:val="center"/>
        </w:trPr>
        <w:tc>
          <w:tcPr>
            <w:tcW w:w="2146" w:type="dxa"/>
            <w:vAlign w:val="center"/>
          </w:tcPr>
          <w:p w:rsidR="00D04E3E" w:rsidRPr="00D04E3E" w:rsidRDefault="00D04E3E" w:rsidP="00D04E3E">
            <w:pPr>
              <w:tabs>
                <w:tab w:val="left" w:pos="288"/>
                <w:tab w:val="left" w:pos="4752"/>
              </w:tabs>
              <w:rPr>
                <w:rFonts w:cs="Times New Roman"/>
                <w:color w:val="auto"/>
                <w:sz w:val="22"/>
              </w:rPr>
            </w:pPr>
            <w:r w:rsidRPr="00D04E3E">
              <w:rPr>
                <w:rFonts w:cs="Times New Roman"/>
                <w:color w:val="auto"/>
                <w:sz w:val="22"/>
              </w:rPr>
              <w:t>§4.71a Rating</w:t>
            </w:r>
          </w:p>
        </w:tc>
        <w:tc>
          <w:tcPr>
            <w:tcW w:w="3139" w:type="dxa"/>
            <w:vAlign w:val="center"/>
          </w:tcPr>
          <w:p w:rsidR="00D04E3E" w:rsidRPr="00D04E3E" w:rsidRDefault="00D04E3E" w:rsidP="00D04E3E">
            <w:pPr>
              <w:tabs>
                <w:tab w:val="left" w:pos="288"/>
                <w:tab w:val="left" w:pos="4752"/>
              </w:tabs>
              <w:rPr>
                <w:rFonts w:cs="Times New Roman"/>
                <w:color w:val="auto"/>
                <w:sz w:val="22"/>
              </w:rPr>
            </w:pPr>
            <w:r w:rsidRPr="00D04E3E">
              <w:rPr>
                <w:rFonts w:cs="Times New Roman"/>
                <w:color w:val="auto"/>
                <w:sz w:val="22"/>
              </w:rPr>
              <w:t>20%</w:t>
            </w:r>
            <w:r w:rsidR="00A71449">
              <w:rPr>
                <w:rFonts w:cs="Times New Roman"/>
                <w:color w:val="auto"/>
                <w:sz w:val="22"/>
              </w:rPr>
              <w:t>/40%* (based on flexion)</w:t>
            </w:r>
          </w:p>
        </w:tc>
        <w:tc>
          <w:tcPr>
            <w:tcW w:w="2607" w:type="dxa"/>
            <w:vAlign w:val="center"/>
          </w:tcPr>
          <w:p w:rsidR="00D04E3E" w:rsidRPr="00D04E3E" w:rsidRDefault="00A71449" w:rsidP="00D04E3E">
            <w:pPr>
              <w:tabs>
                <w:tab w:val="left" w:pos="288"/>
                <w:tab w:val="left" w:pos="4752"/>
              </w:tabs>
              <w:rPr>
                <w:rFonts w:cs="Times New Roman"/>
                <w:color w:val="auto"/>
                <w:sz w:val="22"/>
              </w:rPr>
            </w:pPr>
            <w:r>
              <w:rPr>
                <w:rFonts w:cs="Times New Roman"/>
                <w:color w:val="auto"/>
                <w:sz w:val="22"/>
              </w:rPr>
              <w:t>1</w:t>
            </w:r>
            <w:r w:rsidR="00D04E3E" w:rsidRPr="00D04E3E">
              <w:rPr>
                <w:rFonts w:cs="Times New Roman"/>
                <w:color w:val="auto"/>
                <w:sz w:val="22"/>
              </w:rPr>
              <w:t>0%</w:t>
            </w:r>
          </w:p>
        </w:tc>
      </w:tr>
    </w:tbl>
    <w:p w:rsidR="00D04E3E" w:rsidRPr="00D04E3E" w:rsidRDefault="00D04E3E" w:rsidP="00D04E3E">
      <w:pPr>
        <w:tabs>
          <w:tab w:val="left" w:pos="288"/>
          <w:tab w:val="left" w:pos="4752"/>
        </w:tabs>
        <w:jc w:val="left"/>
        <w:rPr>
          <w:rFonts w:cs="Times New Roman"/>
          <w:color w:val="auto"/>
          <w:sz w:val="22"/>
          <w:szCs w:val="22"/>
        </w:rPr>
      </w:pPr>
      <w:r w:rsidRPr="00D04E3E">
        <w:rPr>
          <w:rFonts w:cs="Times New Roman"/>
          <w:color w:val="auto"/>
          <w:sz w:val="22"/>
          <w:szCs w:val="22"/>
        </w:rPr>
        <w:t xml:space="preserve">                                      </w:t>
      </w:r>
      <w:r>
        <w:rPr>
          <w:rFonts w:cs="Times New Roman"/>
          <w:color w:val="auto"/>
          <w:sz w:val="22"/>
          <w:szCs w:val="22"/>
        </w:rPr>
        <w:t xml:space="preserve">           </w:t>
      </w:r>
      <w:r w:rsidRPr="00D04E3E">
        <w:rPr>
          <w:rFonts w:cs="Times New Roman"/>
          <w:color w:val="auto"/>
          <w:sz w:val="22"/>
          <w:szCs w:val="22"/>
        </w:rPr>
        <w:t xml:space="preserve"> * </w:t>
      </w:r>
      <w:r w:rsidR="000D3255">
        <w:rPr>
          <w:rFonts w:cs="Times New Roman"/>
          <w:color w:val="auto"/>
          <w:sz w:val="22"/>
          <w:szCs w:val="22"/>
        </w:rPr>
        <w:t>Baseline/3 Repetitions (DeLuca deduction)</w:t>
      </w:r>
      <w:r w:rsidRPr="00D04E3E">
        <w:rPr>
          <w:rFonts w:cs="Times New Roman"/>
          <w:color w:val="auto"/>
          <w:sz w:val="22"/>
          <w:szCs w:val="22"/>
        </w:rPr>
        <w:t>.</w:t>
      </w:r>
    </w:p>
    <w:p w:rsidR="00D04E3E" w:rsidRPr="00D04E3E" w:rsidRDefault="00D04E3E" w:rsidP="00D04E3E">
      <w:pPr>
        <w:tabs>
          <w:tab w:val="left" w:pos="288"/>
          <w:tab w:val="left" w:pos="4752"/>
        </w:tabs>
        <w:jc w:val="left"/>
        <w:rPr>
          <w:rFonts w:cs="Times New Roman"/>
          <w:color w:val="auto"/>
          <w:sz w:val="22"/>
          <w:szCs w:val="22"/>
        </w:rPr>
      </w:pPr>
    </w:p>
    <w:p w:rsidR="00241B01" w:rsidRDefault="00AD2379" w:rsidP="00FD1D1E">
      <w:pPr>
        <w:tabs>
          <w:tab w:val="left" w:pos="288"/>
          <w:tab w:val="left" w:pos="4752"/>
        </w:tabs>
        <w:spacing w:after="120"/>
        <w:jc w:val="both"/>
        <w:rPr>
          <w:rFonts w:cs="Times New Roman"/>
          <w:color w:val="auto"/>
        </w:rPr>
      </w:pPr>
      <w:r w:rsidRPr="009A7578">
        <w:rPr>
          <w:rFonts w:cs="Times New Roman"/>
          <w:color w:val="auto"/>
        </w:rPr>
        <w:t>The Board directs attenti</w:t>
      </w:r>
      <w:r w:rsidR="00782CC1">
        <w:rPr>
          <w:rFonts w:cs="Times New Roman"/>
          <w:color w:val="auto"/>
        </w:rPr>
        <w:t>on to its rating recommendation</w:t>
      </w:r>
      <w:r w:rsidRPr="009A7578">
        <w:rPr>
          <w:rFonts w:cs="Times New Roman"/>
          <w:color w:val="auto"/>
        </w:rPr>
        <w:t xml:space="preserve"> </w:t>
      </w:r>
      <w:r w:rsidR="00B13A51">
        <w:rPr>
          <w:rFonts w:cs="Times New Roman"/>
          <w:color w:val="auto"/>
        </w:rPr>
        <w:t>based on the above evidence</w:t>
      </w:r>
      <w:r w:rsidRPr="009A7578">
        <w:rPr>
          <w:rFonts w:cs="Times New Roman"/>
          <w:color w:val="auto"/>
        </w:rPr>
        <w:t xml:space="preserve">. </w:t>
      </w:r>
      <w:r w:rsidR="00192392">
        <w:rPr>
          <w:rFonts w:cs="Times New Roman"/>
          <w:color w:val="auto"/>
        </w:rPr>
        <w:t xml:space="preserve"> </w:t>
      </w:r>
      <w:r w:rsidR="00B52260">
        <w:rPr>
          <w:rFonts w:cs="Times New Roman"/>
          <w:color w:val="auto"/>
        </w:rPr>
        <w:t xml:space="preserve">The PEB’s consolidation of the thoracic and lumbar segments into a single rating is IAW VASRD §4.71a direction.  </w:t>
      </w:r>
      <w:r w:rsidR="00FD1D1E">
        <w:rPr>
          <w:rFonts w:cs="Times New Roman"/>
          <w:color w:val="auto"/>
        </w:rPr>
        <w:t>The PEB’s DA Form 199 rating rationale is excerpted below.</w:t>
      </w:r>
    </w:p>
    <w:p w:rsidR="00E8268E" w:rsidRPr="00FD1D1E" w:rsidRDefault="000977F6" w:rsidP="00FD1D1E">
      <w:pPr>
        <w:spacing w:after="120" w:line="200" w:lineRule="exact"/>
        <w:ind w:left="720" w:right="720"/>
        <w:jc w:val="both"/>
        <w:rPr>
          <w:rFonts w:eastAsia="Calibri" w:cs="Times New Roman"/>
          <w:color w:val="auto"/>
          <w:sz w:val="20"/>
        </w:rPr>
      </w:pPr>
      <w:r>
        <w:rPr>
          <w:rFonts w:eastAsia="Calibri" w:cs="Times New Roman"/>
          <w:color w:val="auto"/>
          <w:sz w:val="20"/>
        </w:rPr>
        <w:t>ROM</w:t>
      </w:r>
      <w:r w:rsidR="004E2B58">
        <w:rPr>
          <w:rFonts w:eastAsia="Calibri" w:cs="Times New Roman"/>
          <w:color w:val="auto"/>
          <w:sz w:val="20"/>
        </w:rPr>
        <w:t xml:space="preserve"> exam i</w:t>
      </w:r>
      <w:r w:rsidR="00E8268E" w:rsidRPr="00FD1D1E">
        <w:rPr>
          <w:rFonts w:eastAsia="Calibri" w:cs="Times New Roman"/>
          <w:color w:val="auto"/>
          <w:sz w:val="20"/>
        </w:rPr>
        <w:t xml:space="preserve">ndicated 30 degrees forward range of motion and </w:t>
      </w:r>
      <w:r w:rsidR="00FD1D1E" w:rsidRPr="00FD1D1E">
        <w:rPr>
          <w:rFonts w:eastAsia="Calibri" w:cs="Times New Roman"/>
          <w:color w:val="auto"/>
          <w:sz w:val="20"/>
        </w:rPr>
        <w:t xml:space="preserve">150 </w:t>
      </w:r>
      <w:r w:rsidR="00E8268E" w:rsidRPr="00FD1D1E">
        <w:rPr>
          <w:rFonts w:eastAsia="Calibri" w:cs="Times New Roman"/>
          <w:color w:val="auto"/>
          <w:sz w:val="20"/>
        </w:rPr>
        <w:t xml:space="preserve">degrees combined range of motion with the combined </w:t>
      </w:r>
      <w:r>
        <w:rPr>
          <w:rFonts w:eastAsia="Calibri" w:cs="Times New Roman"/>
          <w:color w:val="auto"/>
          <w:sz w:val="20"/>
        </w:rPr>
        <w:t>ROM</w:t>
      </w:r>
      <w:r w:rsidR="00E8268E" w:rsidRPr="00FD1D1E">
        <w:rPr>
          <w:rFonts w:eastAsia="Calibri" w:cs="Times New Roman"/>
          <w:color w:val="auto"/>
          <w:sz w:val="20"/>
        </w:rPr>
        <w:t xml:space="preserve"> deemed to best represent the Soldier’s capabilities.  </w:t>
      </w:r>
      <w:proofErr w:type="gramStart"/>
      <w:r w:rsidR="00E8268E" w:rsidRPr="00FD1D1E">
        <w:rPr>
          <w:rFonts w:eastAsia="Calibri" w:cs="Times New Roman"/>
          <w:color w:val="auto"/>
          <w:sz w:val="20"/>
        </w:rPr>
        <w:t xml:space="preserve">Rated for a combined </w:t>
      </w:r>
      <w:r>
        <w:rPr>
          <w:rFonts w:eastAsia="Calibri" w:cs="Times New Roman"/>
          <w:color w:val="auto"/>
          <w:sz w:val="20"/>
        </w:rPr>
        <w:t>ROM</w:t>
      </w:r>
      <w:r w:rsidR="00E8268E" w:rsidRPr="00FD1D1E">
        <w:rPr>
          <w:rFonts w:eastAsia="Calibri" w:cs="Times New Roman"/>
          <w:color w:val="auto"/>
          <w:sz w:val="20"/>
        </w:rPr>
        <w:t xml:space="preserve"> of 150⁰.</w:t>
      </w:r>
      <w:proofErr w:type="gramEnd"/>
      <w:r w:rsidR="00E8268E" w:rsidRPr="00FD1D1E">
        <w:rPr>
          <w:rFonts w:eastAsia="Calibri" w:cs="Times New Roman"/>
          <w:color w:val="auto"/>
          <w:sz w:val="20"/>
        </w:rPr>
        <w:t xml:space="preserve">  </w:t>
      </w:r>
    </w:p>
    <w:p w:rsidR="005452F7" w:rsidRPr="00285274" w:rsidRDefault="00FD1D1E" w:rsidP="00792790">
      <w:pPr>
        <w:jc w:val="both"/>
        <w:rPr>
          <w:color w:val="000000"/>
          <w:szCs w:val="24"/>
        </w:rPr>
      </w:pPr>
      <w:r>
        <w:rPr>
          <w:rFonts w:eastAsia="Calibri" w:cs="Times New Roman"/>
          <w:color w:val="auto"/>
          <w:szCs w:val="24"/>
        </w:rPr>
        <w:t>The §4.71a general spine formula, in its descrip</w:t>
      </w:r>
      <w:r w:rsidR="000977F6">
        <w:rPr>
          <w:rFonts w:eastAsia="Calibri" w:cs="Times New Roman"/>
          <w:color w:val="auto"/>
          <w:szCs w:val="24"/>
        </w:rPr>
        <w:t>tion for a 40% rating, states “f</w:t>
      </w:r>
      <w:r w:rsidRPr="00FD1D1E">
        <w:rPr>
          <w:rFonts w:eastAsia="Calibri" w:cs="Times New Roman"/>
          <w:color w:val="auto"/>
          <w:szCs w:val="24"/>
        </w:rPr>
        <w:t>or, forward flexion of the thoracolumbar spine 30 degrees or less</w:t>
      </w:r>
      <w:r w:rsidR="004E2B58">
        <w:rPr>
          <w:rFonts w:eastAsia="Calibri" w:cs="Times New Roman"/>
          <w:color w:val="auto"/>
          <w:szCs w:val="24"/>
        </w:rPr>
        <w:t>.</w:t>
      </w:r>
      <w:r>
        <w:rPr>
          <w:rFonts w:eastAsia="Calibri" w:cs="Times New Roman"/>
          <w:color w:val="auto"/>
          <w:szCs w:val="24"/>
        </w:rPr>
        <w:t xml:space="preserve">”  The operant word </w:t>
      </w:r>
      <w:r w:rsidR="000977F6">
        <w:rPr>
          <w:rFonts w:eastAsia="Calibri" w:cs="Times New Roman"/>
          <w:color w:val="auto"/>
          <w:szCs w:val="24"/>
        </w:rPr>
        <w:t>“</w:t>
      </w:r>
      <w:r>
        <w:rPr>
          <w:rFonts w:eastAsia="Calibri" w:cs="Times New Roman"/>
          <w:color w:val="auto"/>
          <w:szCs w:val="24"/>
        </w:rPr>
        <w:t>or</w:t>
      </w:r>
      <w:r w:rsidR="000977F6">
        <w:rPr>
          <w:rFonts w:eastAsia="Calibri" w:cs="Times New Roman"/>
          <w:color w:val="auto"/>
          <w:szCs w:val="24"/>
        </w:rPr>
        <w:t>”</w:t>
      </w:r>
      <w:r>
        <w:rPr>
          <w:rFonts w:eastAsia="Calibri" w:cs="Times New Roman"/>
          <w:color w:val="auto"/>
          <w:szCs w:val="24"/>
        </w:rPr>
        <w:t xml:space="preserve"> </w:t>
      </w:r>
      <w:r w:rsidR="002118DB">
        <w:rPr>
          <w:rFonts w:eastAsia="Calibri" w:cs="Times New Roman"/>
          <w:color w:val="auto"/>
          <w:szCs w:val="24"/>
        </w:rPr>
        <w:t xml:space="preserve">specifies that this criterion, in and of itself, will support that rating.  The Board, therefore, must strongly consider whether this constitutes an imperative recommendation for a 40% rating.  It is true that flexion and extension were significantly more painful than all other planes of motion.  Outpatient orthopedic notes repeatedly note “abnormal” flexion and extension, but “normal” bilateral flexion and rotation. </w:t>
      </w:r>
      <w:r w:rsidR="001342F0">
        <w:rPr>
          <w:rFonts w:eastAsia="Calibri" w:cs="Times New Roman"/>
          <w:color w:val="auto"/>
          <w:szCs w:val="24"/>
        </w:rPr>
        <w:t xml:space="preserve"> </w:t>
      </w:r>
      <w:r w:rsidR="002118DB">
        <w:rPr>
          <w:rFonts w:eastAsia="Calibri" w:cs="Times New Roman"/>
          <w:color w:val="auto"/>
          <w:szCs w:val="24"/>
        </w:rPr>
        <w:t xml:space="preserve">It does not follow, however, that combined ROM </w:t>
      </w:r>
      <w:r w:rsidR="000977F6">
        <w:rPr>
          <w:rFonts w:eastAsia="Calibri" w:cs="Times New Roman"/>
          <w:color w:val="auto"/>
          <w:szCs w:val="24"/>
        </w:rPr>
        <w:t>“</w:t>
      </w:r>
      <w:r w:rsidR="002118DB">
        <w:rPr>
          <w:rFonts w:eastAsia="Calibri" w:cs="Times New Roman"/>
          <w:color w:val="auto"/>
          <w:szCs w:val="24"/>
        </w:rPr>
        <w:t>best represents</w:t>
      </w:r>
      <w:r w:rsidR="000977F6">
        <w:rPr>
          <w:rFonts w:eastAsia="Calibri" w:cs="Times New Roman"/>
          <w:color w:val="auto"/>
          <w:szCs w:val="24"/>
        </w:rPr>
        <w:t>”</w:t>
      </w:r>
      <w:r w:rsidR="002118DB">
        <w:rPr>
          <w:rFonts w:eastAsia="Calibri" w:cs="Times New Roman"/>
          <w:color w:val="auto"/>
          <w:szCs w:val="24"/>
        </w:rPr>
        <w:t xml:space="preserve"> the CI’s capabilities.  It should be considered, </w:t>
      </w:r>
      <w:r w:rsidR="00405537">
        <w:rPr>
          <w:rFonts w:eastAsia="Calibri" w:cs="Times New Roman"/>
          <w:color w:val="auto"/>
          <w:szCs w:val="24"/>
        </w:rPr>
        <w:t>moreover</w:t>
      </w:r>
      <w:r w:rsidR="002118DB">
        <w:rPr>
          <w:rFonts w:eastAsia="Calibri" w:cs="Times New Roman"/>
          <w:color w:val="auto"/>
          <w:szCs w:val="24"/>
        </w:rPr>
        <w:t xml:space="preserve">, that the DeLuca factor must be applied to rate for </w:t>
      </w:r>
      <w:r w:rsidR="004E2B58">
        <w:rPr>
          <w:rFonts w:eastAsia="Calibri" w:cs="Times New Roman"/>
          <w:color w:val="auto"/>
          <w:szCs w:val="24"/>
        </w:rPr>
        <w:t xml:space="preserve">a </w:t>
      </w:r>
      <w:r w:rsidR="002118DB">
        <w:rPr>
          <w:rFonts w:eastAsia="Calibri" w:cs="Times New Roman"/>
          <w:color w:val="auto"/>
          <w:szCs w:val="24"/>
        </w:rPr>
        <w:t>30</w:t>
      </w:r>
      <w:r w:rsidR="004E2B58">
        <w:rPr>
          <w:rFonts w:eastAsia="Calibri" w:cs="Times New Roman"/>
          <w:color w:val="auto"/>
          <w:szCs w:val="24"/>
        </w:rPr>
        <w:t xml:space="preserve"> degree</w:t>
      </w:r>
      <w:r w:rsidR="002118DB">
        <w:rPr>
          <w:rFonts w:eastAsia="Calibri" w:cs="Times New Roman"/>
          <w:color w:val="auto"/>
          <w:szCs w:val="24"/>
        </w:rPr>
        <w:t xml:space="preserve"> flexion</w:t>
      </w:r>
      <w:r w:rsidR="00251AB0">
        <w:rPr>
          <w:rFonts w:eastAsia="Calibri" w:cs="Times New Roman"/>
          <w:color w:val="auto"/>
          <w:szCs w:val="24"/>
        </w:rPr>
        <w:t xml:space="preserve">; and, even that is the exact cut-off between 20% and 40% ratings.  </w:t>
      </w:r>
      <w:r w:rsidR="004E2B58">
        <w:rPr>
          <w:rFonts w:eastAsia="Calibri" w:cs="Times New Roman"/>
          <w:color w:val="auto"/>
          <w:szCs w:val="24"/>
        </w:rPr>
        <w:t>Board m</w:t>
      </w:r>
      <w:r w:rsidR="00251AB0">
        <w:rPr>
          <w:rFonts w:eastAsia="Calibri" w:cs="Times New Roman"/>
          <w:color w:val="auto"/>
          <w:szCs w:val="24"/>
        </w:rPr>
        <w:t xml:space="preserve">embers did concur that if the MEB PT evidence was conceded as predominantly probative, then the unequivocal §4.71a rating language and the DeLuca imperative would </w:t>
      </w:r>
      <w:r w:rsidR="00405537">
        <w:rPr>
          <w:rFonts w:eastAsia="Calibri" w:cs="Times New Roman"/>
          <w:color w:val="auto"/>
          <w:szCs w:val="24"/>
        </w:rPr>
        <w:t>warrant</w:t>
      </w:r>
      <w:r w:rsidR="00251AB0">
        <w:rPr>
          <w:rFonts w:eastAsia="Calibri" w:cs="Times New Roman"/>
          <w:color w:val="auto"/>
          <w:szCs w:val="24"/>
        </w:rPr>
        <w:t xml:space="preserve"> a 40% rating recommendation from the Board.  </w:t>
      </w:r>
      <w:r w:rsidR="003D1F9E">
        <w:rPr>
          <w:rFonts w:eastAsia="Calibri" w:cs="Times New Roman"/>
          <w:color w:val="auto"/>
          <w:szCs w:val="24"/>
        </w:rPr>
        <w:t>Deliberation</w:t>
      </w:r>
      <w:r w:rsidR="00251AB0">
        <w:rPr>
          <w:rFonts w:eastAsia="Calibri" w:cs="Times New Roman"/>
          <w:color w:val="auto"/>
          <w:szCs w:val="24"/>
        </w:rPr>
        <w:t xml:space="preserve"> ensued</w:t>
      </w:r>
      <w:r w:rsidR="000977F6">
        <w:rPr>
          <w:rFonts w:eastAsia="Calibri" w:cs="Times New Roman"/>
          <w:color w:val="auto"/>
          <w:szCs w:val="24"/>
        </w:rPr>
        <w:t>;</w:t>
      </w:r>
      <w:r w:rsidR="00251AB0">
        <w:rPr>
          <w:rFonts w:eastAsia="Calibri" w:cs="Times New Roman"/>
          <w:color w:val="auto"/>
          <w:szCs w:val="24"/>
        </w:rPr>
        <w:t xml:space="preserve"> however, as to whether the MEB</w:t>
      </w:r>
      <w:r w:rsidR="00405537">
        <w:rPr>
          <w:rFonts w:eastAsia="Calibri" w:cs="Times New Roman"/>
          <w:color w:val="auto"/>
          <w:szCs w:val="24"/>
        </w:rPr>
        <w:t>’s PT or VA’s C&amp;P evaluation</w:t>
      </w:r>
      <w:r w:rsidR="00251AB0">
        <w:rPr>
          <w:rFonts w:eastAsia="Calibri" w:cs="Times New Roman"/>
          <w:color w:val="auto"/>
          <w:szCs w:val="24"/>
        </w:rPr>
        <w:t xml:space="preserve"> should be assigned the predominant probative value in this case.  Corroborative entries from the outpatient e</w:t>
      </w:r>
      <w:r w:rsidR="003D1F9E">
        <w:rPr>
          <w:rFonts w:eastAsia="Calibri" w:cs="Times New Roman"/>
          <w:color w:val="auto"/>
          <w:szCs w:val="24"/>
        </w:rPr>
        <w:t>vidence were</w:t>
      </w:r>
      <w:r w:rsidR="00251AB0">
        <w:rPr>
          <w:rFonts w:eastAsia="Calibri" w:cs="Times New Roman"/>
          <w:color w:val="auto"/>
          <w:szCs w:val="24"/>
        </w:rPr>
        <w:t xml:space="preserve"> not specific enough regarding the degree of ROM limitation for flexion</w:t>
      </w:r>
      <w:r w:rsidR="003D1F9E">
        <w:rPr>
          <w:rFonts w:eastAsia="Calibri" w:cs="Times New Roman"/>
          <w:color w:val="auto"/>
          <w:szCs w:val="24"/>
        </w:rPr>
        <w:t xml:space="preserve"> to avoid speculation, although they do not reflect an overall severity of disability reasonably characterized as 40%.  </w:t>
      </w:r>
      <w:r w:rsidR="00F7466B" w:rsidRPr="00F7466B">
        <w:rPr>
          <w:rFonts w:eastAsia="Calibri" w:cs="Times New Roman"/>
          <w:color w:val="auto"/>
          <w:szCs w:val="24"/>
        </w:rPr>
        <w:t xml:space="preserve">The Board also notes that the VA physician ROM measurements may be considered more authoritative than those of the MEB physical therapist; but this, too, is subject to the examiner’s experience and other speculative variables.  </w:t>
      </w:r>
      <w:r w:rsidR="003D1F9E" w:rsidRPr="00F7466B">
        <w:rPr>
          <w:rFonts w:eastAsia="Calibri" w:cs="Times New Roman"/>
          <w:color w:val="auto"/>
          <w:szCs w:val="24"/>
        </w:rPr>
        <w:t>Of most import</w:t>
      </w:r>
      <w:r w:rsidR="000977F6">
        <w:rPr>
          <w:rFonts w:eastAsia="Calibri" w:cs="Times New Roman"/>
          <w:color w:val="auto"/>
          <w:szCs w:val="24"/>
        </w:rPr>
        <w:t>;</w:t>
      </w:r>
      <w:r w:rsidR="003D1F9E" w:rsidRPr="00F7466B">
        <w:rPr>
          <w:rFonts w:eastAsia="Calibri" w:cs="Times New Roman"/>
          <w:color w:val="auto"/>
          <w:szCs w:val="24"/>
        </w:rPr>
        <w:t xml:space="preserve"> however, is the close temporal alignment of the C&amp;P evidence with the date of separation; the latter being the Board’s ra</w:t>
      </w:r>
      <w:r w:rsidR="003D1F9E">
        <w:rPr>
          <w:rFonts w:eastAsia="Calibri" w:cs="Times New Roman"/>
          <w:color w:val="auto"/>
          <w:szCs w:val="24"/>
        </w:rPr>
        <w:t xml:space="preserve">ting benchmark.  </w:t>
      </w:r>
      <w:r w:rsidR="00CE09F9">
        <w:rPr>
          <w:rFonts w:eastAsia="Calibri" w:cs="Times New Roman"/>
          <w:color w:val="auto"/>
          <w:szCs w:val="24"/>
        </w:rPr>
        <w:t xml:space="preserve">After considerable deliberation, and with due deference to VASRD §4.3 (reasonable doubt), members </w:t>
      </w:r>
      <w:r w:rsidR="00CE09F9">
        <w:rPr>
          <w:rFonts w:eastAsia="Calibri" w:cs="Times New Roman"/>
          <w:color w:val="auto"/>
          <w:szCs w:val="24"/>
        </w:rPr>
        <w:lastRenderedPageBreak/>
        <w:t>agreed that the VA evidence was the more probative; and, that the single MEB PT measurement of 30</w:t>
      </w:r>
      <w:r w:rsidR="004E2B58">
        <w:rPr>
          <w:rFonts w:eastAsia="Calibri" w:cs="Times New Roman"/>
          <w:color w:val="auto"/>
          <w:szCs w:val="24"/>
        </w:rPr>
        <w:t xml:space="preserve"> degree</w:t>
      </w:r>
      <w:r w:rsidR="00CE09F9">
        <w:rPr>
          <w:rFonts w:eastAsia="Calibri" w:cs="Times New Roman"/>
          <w:color w:val="auto"/>
          <w:szCs w:val="24"/>
        </w:rPr>
        <w:t xml:space="preserve"> flexion </w:t>
      </w:r>
      <w:r w:rsidR="00405537">
        <w:rPr>
          <w:rFonts w:eastAsia="Calibri" w:cs="Times New Roman"/>
          <w:color w:val="auto"/>
          <w:szCs w:val="24"/>
        </w:rPr>
        <w:t xml:space="preserve">(after repetitions) </w:t>
      </w:r>
      <w:r w:rsidR="00CE09F9">
        <w:rPr>
          <w:rFonts w:eastAsia="Calibri" w:cs="Times New Roman"/>
          <w:color w:val="auto"/>
          <w:szCs w:val="24"/>
        </w:rPr>
        <w:t xml:space="preserve">was not sufficient to provide the sole basis for a 40% </w:t>
      </w:r>
      <w:r w:rsidR="004E2B58">
        <w:rPr>
          <w:rFonts w:eastAsia="Calibri" w:cs="Times New Roman"/>
          <w:color w:val="auto"/>
          <w:szCs w:val="24"/>
        </w:rPr>
        <w:t xml:space="preserve">rating </w:t>
      </w:r>
      <w:r w:rsidR="00CE09F9">
        <w:rPr>
          <w:rFonts w:eastAsia="Calibri" w:cs="Times New Roman"/>
          <w:color w:val="auto"/>
          <w:szCs w:val="24"/>
        </w:rPr>
        <w:t xml:space="preserve">recommendation.  </w:t>
      </w:r>
      <w:r w:rsidR="00285274" w:rsidRPr="00491733">
        <w:rPr>
          <w:color w:val="000000"/>
          <w:szCs w:val="24"/>
        </w:rPr>
        <w:t>There was no evidence of ratable peripheral nerve impairment or documentation of incapacitating episodes in this case which would provide for additional or higher rating.</w:t>
      </w:r>
      <w:r w:rsidR="00285274">
        <w:rPr>
          <w:color w:val="000000"/>
          <w:szCs w:val="24"/>
        </w:rPr>
        <w:t xml:space="preserve">  </w:t>
      </w:r>
      <w:r w:rsidR="00CE09F9">
        <w:rPr>
          <w:rFonts w:eastAsia="Calibri" w:cs="Times New Roman"/>
          <w:color w:val="auto"/>
          <w:szCs w:val="24"/>
        </w:rPr>
        <w:t xml:space="preserve">Considering the totality of the evidence, </w:t>
      </w:r>
      <w:r w:rsidR="00CE09F9" w:rsidRPr="00626902">
        <w:rPr>
          <w:rFonts w:eastAsia="Calibri" w:cs="Times New Roman"/>
          <w:color w:val="auto"/>
          <w:szCs w:val="24"/>
        </w:rPr>
        <w:t xml:space="preserve">the Board concluded that there was insufficient cause to recommend a change in the PEB adjudication </w:t>
      </w:r>
      <w:r w:rsidR="00CE09F9">
        <w:rPr>
          <w:rFonts w:eastAsia="Calibri" w:cs="Times New Roman"/>
          <w:color w:val="auto"/>
          <w:szCs w:val="24"/>
        </w:rPr>
        <w:t>of</w:t>
      </w:r>
      <w:r w:rsidR="00CE09F9" w:rsidRPr="00626902">
        <w:rPr>
          <w:rFonts w:eastAsia="Calibri" w:cs="Times New Roman"/>
          <w:color w:val="auto"/>
          <w:szCs w:val="24"/>
        </w:rPr>
        <w:t xml:space="preserve"> the </w:t>
      </w:r>
      <w:r w:rsidR="00B52260">
        <w:rPr>
          <w:rFonts w:eastAsia="Calibri" w:cs="Times New Roman"/>
          <w:color w:val="auto"/>
          <w:szCs w:val="24"/>
        </w:rPr>
        <w:t>thoracolumbar spine</w:t>
      </w:r>
      <w:r w:rsidR="00CE09F9" w:rsidRPr="00626902">
        <w:rPr>
          <w:rFonts w:eastAsia="Calibri" w:cs="Times New Roman"/>
          <w:color w:val="auto"/>
          <w:szCs w:val="24"/>
        </w:rPr>
        <w:t xml:space="preserve"> condition.</w:t>
      </w:r>
      <w:r w:rsidR="00B52260">
        <w:rPr>
          <w:rFonts w:eastAsia="Calibri" w:cs="Times New Roman"/>
          <w:color w:val="auto"/>
          <w:szCs w:val="24"/>
        </w:rPr>
        <w:t xml:space="preserve">  </w:t>
      </w:r>
    </w:p>
    <w:p w:rsidR="000977F6" w:rsidRDefault="000977F6" w:rsidP="006C3C98">
      <w:pPr>
        <w:jc w:val="both"/>
        <w:rPr>
          <w:color w:val="000000"/>
        </w:rPr>
      </w:pPr>
    </w:p>
    <w:p w:rsidR="00991A20" w:rsidRDefault="00991A20" w:rsidP="006C3C98">
      <w:pPr>
        <w:jc w:val="both"/>
        <w:rPr>
          <w:color w:val="000000"/>
        </w:rPr>
      </w:pPr>
    </w:p>
    <w:p w:rsidR="006C3C98" w:rsidRPr="00560F12" w:rsidRDefault="00AD2379" w:rsidP="006C3C98">
      <w:pPr>
        <w:jc w:val="both"/>
        <w:rPr>
          <w:rFonts w:eastAsia="Calibri" w:cs="Times New Roman"/>
          <w:color w:val="auto"/>
          <w:szCs w:val="24"/>
        </w:rPr>
      </w:pPr>
      <w:r w:rsidRPr="001F29F9">
        <w:rPr>
          <w:color w:val="000000"/>
          <w:u w:val="single"/>
        </w:rPr>
        <w:t>BOARD FINDINGS</w:t>
      </w:r>
      <w:r w:rsidRPr="001F29F9">
        <w:rPr>
          <w:color w:val="000000"/>
        </w:rPr>
        <w:t xml:space="preserve">:  </w:t>
      </w:r>
      <w:r w:rsidRPr="00D8352E">
        <w:rPr>
          <w:color w:val="000000"/>
        </w:rPr>
        <w:t xml:space="preserve">IAW </w:t>
      </w:r>
      <w:proofErr w:type="spellStart"/>
      <w:r w:rsidRPr="00D8352E">
        <w:rPr>
          <w:color w:val="000000"/>
        </w:rPr>
        <w:t>DoDI</w:t>
      </w:r>
      <w:proofErr w:type="spellEnd"/>
      <w:r w:rsidRPr="00D8352E">
        <w:rPr>
          <w:color w:val="000000"/>
        </w:rPr>
        <w:t xml:space="preserve"> 6040.44, provisions of DoD or Military Department regulations or guidelines relied upon by the PEB will not be considered by the Board to the extent they were inconsistent with the VASRD in effect at the time of the adjudication</w:t>
      </w:r>
      <w:r w:rsidRPr="00D8352E">
        <w:rPr>
          <w:rFonts w:cs="Times New Roman"/>
          <w:color w:val="auto"/>
        </w:rPr>
        <w:t xml:space="preserve">. </w:t>
      </w:r>
      <w:r w:rsidR="008734E7">
        <w:rPr>
          <w:rFonts w:cs="Times New Roman"/>
          <w:color w:val="auto"/>
        </w:rPr>
        <w:t xml:space="preserve"> </w:t>
      </w:r>
      <w:r w:rsidRPr="00D8352E">
        <w:rPr>
          <w:rFonts w:cs="Times New Roman"/>
          <w:color w:val="auto"/>
        </w:rPr>
        <w:t xml:space="preserve">The Board did not surmise from </w:t>
      </w:r>
      <w:r w:rsidRPr="00F710E6">
        <w:rPr>
          <w:rFonts w:cs="Times New Roman"/>
          <w:color w:val="auto"/>
        </w:rPr>
        <w:t>the record or PEB ruling in this case that any prerogatives outside the VASRD were exercised.</w:t>
      </w:r>
      <w:r w:rsidR="008734E7" w:rsidRPr="00F710E6">
        <w:rPr>
          <w:rFonts w:cs="Times New Roman"/>
          <w:color w:val="auto"/>
        </w:rPr>
        <w:t xml:space="preserve"> </w:t>
      </w:r>
      <w:r w:rsidRPr="00F710E6">
        <w:rPr>
          <w:rFonts w:cs="Times New Roman"/>
          <w:color w:val="auto"/>
        </w:rPr>
        <w:t xml:space="preserve"> </w:t>
      </w:r>
      <w:r w:rsidR="00B52260" w:rsidRPr="00F710E6">
        <w:rPr>
          <w:rFonts w:eastAsia="Calibri" w:cs="Times New Roman"/>
          <w:color w:val="auto"/>
          <w:szCs w:val="24"/>
        </w:rPr>
        <w:t>In the matter of the thoracolumbar spine condition and IAW VASRD §4.71a, the Board unanimously recommends no change</w:t>
      </w:r>
      <w:r w:rsidR="00B52260" w:rsidRPr="00560F12">
        <w:rPr>
          <w:rFonts w:eastAsia="Calibri" w:cs="Times New Roman"/>
          <w:color w:val="auto"/>
          <w:szCs w:val="24"/>
        </w:rPr>
        <w:t xml:space="preserve"> in the PEB adjudication.  </w:t>
      </w:r>
      <w:r w:rsidR="00285274" w:rsidRPr="003471C5">
        <w:rPr>
          <w:rFonts w:eastAsia="Calibri" w:cs="Times New Roman"/>
          <w:color w:val="auto"/>
          <w:szCs w:val="24"/>
        </w:rPr>
        <w:t>There were no other conditions within the Board’s scope of review for consideration.</w:t>
      </w:r>
      <w:r w:rsidR="006C3C98">
        <w:rPr>
          <w:rFonts w:eastAsia="Calibri" w:cs="Times New Roman"/>
          <w:color w:val="auto"/>
          <w:szCs w:val="24"/>
        </w:rPr>
        <w:tab/>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565636" w:rsidRPr="00F710E6" w:rsidRDefault="00AD2379" w:rsidP="00F710E6">
      <w:pPr>
        <w:jc w:val="left"/>
        <w:rPr>
          <w:color w:val="000000"/>
        </w:rPr>
      </w:pPr>
      <w:r w:rsidRPr="009A7578">
        <w:rPr>
          <w:color w:val="000000"/>
          <w:u w:val="single"/>
        </w:rPr>
        <w:t>RECOMMENDATION</w:t>
      </w:r>
      <w:r w:rsidRPr="009A7578">
        <w:rPr>
          <w:color w:val="000000"/>
        </w:rPr>
        <w:t>: The</w:t>
      </w:r>
      <w:r w:rsidRPr="001F29F9">
        <w:rPr>
          <w:color w:val="000000"/>
        </w:rPr>
        <w:t xml:space="preserve"> Board, therefore, recommends that there be no recharacterization of the CI’s disability and separation determination, as follows:</w:t>
      </w:r>
    </w:p>
    <w:p w:rsidR="00AD2379" w:rsidRPr="001F29F9" w:rsidRDefault="00AD2379" w:rsidP="00B22D42">
      <w:pPr>
        <w:jc w:val="both"/>
        <w:rPr>
          <w:color w:val="000000"/>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0D5DBE" w:rsidTr="00C42AED">
        <w:trPr>
          <w:trHeight w:val="233"/>
          <w:jc w:val="center"/>
        </w:trPr>
        <w:tc>
          <w:tcPr>
            <w:tcW w:w="6768"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UNFITTING CONDITION</w:t>
            </w:r>
          </w:p>
        </w:tc>
        <w:tc>
          <w:tcPr>
            <w:tcW w:w="1530"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VASRD CODE</w:t>
            </w:r>
          </w:p>
        </w:tc>
        <w:tc>
          <w:tcPr>
            <w:tcW w:w="1026"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RATING</w:t>
            </w:r>
          </w:p>
        </w:tc>
      </w:tr>
      <w:tr w:rsidR="00AD2379" w:rsidRPr="000D5DBE" w:rsidTr="00C42AED">
        <w:trPr>
          <w:jc w:val="center"/>
        </w:trPr>
        <w:tc>
          <w:tcPr>
            <w:tcW w:w="6768" w:type="dxa"/>
            <w:vAlign w:val="center"/>
          </w:tcPr>
          <w:p w:rsidR="00AD2379" w:rsidRPr="000D5DBE" w:rsidRDefault="00285274" w:rsidP="00BF0E94">
            <w:pPr>
              <w:tabs>
                <w:tab w:val="left" w:pos="288"/>
                <w:tab w:val="left" w:pos="4752"/>
              </w:tabs>
              <w:jc w:val="left"/>
              <w:rPr>
                <w:color w:val="000000"/>
              </w:rPr>
            </w:pPr>
            <w:r>
              <w:rPr>
                <w:color w:val="000000"/>
              </w:rPr>
              <w:t>Spinal Stenosis</w:t>
            </w:r>
          </w:p>
        </w:tc>
        <w:tc>
          <w:tcPr>
            <w:tcW w:w="1530" w:type="dxa"/>
            <w:vAlign w:val="center"/>
          </w:tcPr>
          <w:p w:rsidR="00AD2379" w:rsidRPr="000D5DBE" w:rsidRDefault="00285274" w:rsidP="00BF0E94">
            <w:pPr>
              <w:tabs>
                <w:tab w:val="left" w:pos="288"/>
                <w:tab w:val="left" w:pos="4752"/>
              </w:tabs>
              <w:rPr>
                <w:color w:val="000000"/>
              </w:rPr>
            </w:pPr>
            <w:r>
              <w:rPr>
                <w:color w:val="000000"/>
              </w:rPr>
              <w:t>5238</w:t>
            </w:r>
          </w:p>
        </w:tc>
        <w:tc>
          <w:tcPr>
            <w:tcW w:w="1026" w:type="dxa"/>
            <w:vAlign w:val="center"/>
          </w:tcPr>
          <w:p w:rsidR="00AD2379" w:rsidRPr="00F710E6" w:rsidRDefault="00285274" w:rsidP="00BF0E94">
            <w:pPr>
              <w:tabs>
                <w:tab w:val="left" w:pos="288"/>
                <w:tab w:val="left" w:pos="4752"/>
              </w:tabs>
              <w:rPr>
                <w:color w:val="000000"/>
              </w:rPr>
            </w:pPr>
            <w:r w:rsidRPr="00F710E6">
              <w:rPr>
                <w:color w:val="000000"/>
              </w:rPr>
              <w:t>1</w:t>
            </w:r>
            <w:r w:rsidR="00AD2379" w:rsidRPr="00F710E6">
              <w:rPr>
                <w:color w:val="000000"/>
              </w:rPr>
              <w:t>0%</w:t>
            </w:r>
          </w:p>
        </w:tc>
      </w:tr>
      <w:tr w:rsidR="00AD2379" w:rsidRPr="000D5DBE" w:rsidTr="00C42AED">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COMBINED</w:t>
            </w:r>
          </w:p>
        </w:tc>
        <w:tc>
          <w:tcPr>
            <w:tcW w:w="1026" w:type="dxa"/>
            <w:shd w:val="clear" w:color="auto" w:fill="D9D9D9"/>
            <w:vAlign w:val="center"/>
          </w:tcPr>
          <w:p w:rsidR="00AD2379" w:rsidRPr="00F710E6" w:rsidRDefault="00285274" w:rsidP="00BF0E94">
            <w:pPr>
              <w:tabs>
                <w:tab w:val="left" w:pos="288"/>
                <w:tab w:val="left" w:pos="4752"/>
              </w:tabs>
              <w:rPr>
                <w:b/>
                <w:color w:val="000000"/>
              </w:rPr>
            </w:pPr>
            <w:r w:rsidRPr="00F710E6">
              <w:rPr>
                <w:b/>
                <w:color w:val="000000"/>
              </w:rPr>
              <w:t>1</w:t>
            </w:r>
            <w:r w:rsidR="00AD2379" w:rsidRPr="00F710E6">
              <w:rPr>
                <w:b/>
                <w:color w:val="000000"/>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rPr>
          <w:color w:val="000000"/>
        </w:rPr>
      </w:pPr>
    </w:p>
    <w:p w:rsidR="00AD2379" w:rsidRDefault="00AD2379" w:rsidP="00BF0E94">
      <w:pPr>
        <w:tabs>
          <w:tab w:val="left" w:pos="288"/>
          <w:tab w:val="left" w:pos="4752"/>
        </w:tabs>
        <w:jc w:val="both"/>
        <w:rPr>
          <w:color w:val="000000"/>
        </w:rPr>
      </w:pPr>
      <w:r w:rsidRPr="001F29F9">
        <w:rPr>
          <w:color w:val="000000"/>
        </w:rPr>
        <w:t>The following documentary evidence was considered:</w:t>
      </w:r>
    </w:p>
    <w:p w:rsidR="005144A7" w:rsidRPr="001F29F9" w:rsidRDefault="005144A7" w:rsidP="00BF0E94">
      <w:pPr>
        <w:tabs>
          <w:tab w:val="left" w:pos="288"/>
          <w:tab w:val="left" w:pos="4752"/>
        </w:tabs>
        <w:jc w:val="both"/>
        <w:rPr>
          <w:color w:val="000000"/>
        </w:rPr>
      </w:pPr>
    </w:p>
    <w:p w:rsidR="00AD2379" w:rsidRPr="001F29F9" w:rsidRDefault="00AD2379" w:rsidP="005144A7">
      <w:pPr>
        <w:tabs>
          <w:tab w:val="left" w:pos="288"/>
          <w:tab w:val="left" w:pos="4752"/>
        </w:tabs>
        <w:jc w:val="both"/>
        <w:rPr>
          <w:color w:val="000000"/>
        </w:rPr>
      </w:pPr>
      <w:r w:rsidRPr="001F29F9">
        <w:rPr>
          <w:color w:val="000000"/>
        </w:rPr>
        <w:t xml:space="preserve">Exhibit A.  DD Form </w:t>
      </w:r>
      <w:proofErr w:type="gramStart"/>
      <w:r w:rsidRPr="001F29F9">
        <w:rPr>
          <w:color w:val="000000"/>
        </w:rPr>
        <w:t>294,</w:t>
      </w:r>
      <w:proofErr w:type="gramEnd"/>
      <w:r w:rsidRPr="001F29F9">
        <w:rPr>
          <w:color w:val="000000"/>
        </w:rPr>
        <w:t xml:space="preserve"> dated </w:t>
      </w:r>
      <w:r w:rsidR="00B95375" w:rsidRPr="00C52C7C">
        <w:rPr>
          <w:color w:val="auto"/>
        </w:rPr>
        <w:t>20</w:t>
      </w:r>
      <w:r w:rsidR="00B95375">
        <w:rPr>
          <w:color w:val="auto"/>
        </w:rPr>
        <w:t>110809</w:t>
      </w:r>
      <w:r w:rsidRPr="001F29F9">
        <w:rPr>
          <w:color w:val="000000"/>
        </w:rPr>
        <w:t>, w/</w:t>
      </w:r>
      <w:proofErr w:type="spellStart"/>
      <w:r w:rsidRPr="001F29F9">
        <w:rPr>
          <w:color w:val="000000"/>
        </w:rPr>
        <w:t>atchs</w:t>
      </w:r>
      <w:proofErr w:type="spellEnd"/>
      <w:r w:rsidRPr="001F29F9">
        <w:rPr>
          <w:color w:val="000000"/>
        </w:rPr>
        <w:t>.</w:t>
      </w:r>
    </w:p>
    <w:p w:rsidR="00AD2379" w:rsidRPr="001F29F9" w:rsidRDefault="00AD2379" w:rsidP="005144A7">
      <w:pPr>
        <w:tabs>
          <w:tab w:val="left" w:pos="288"/>
          <w:tab w:val="left" w:pos="4752"/>
        </w:tabs>
        <w:jc w:val="both"/>
        <w:rPr>
          <w:color w:val="000000"/>
        </w:rPr>
      </w:pPr>
      <w:r w:rsidRPr="001F29F9">
        <w:rPr>
          <w:color w:val="000000"/>
        </w:rPr>
        <w:t>Exhibit B.  Service Treatment Record.</w:t>
      </w:r>
    </w:p>
    <w:p w:rsidR="00AD2379" w:rsidRPr="001F29F9" w:rsidRDefault="00AD2379" w:rsidP="005144A7">
      <w:pPr>
        <w:tabs>
          <w:tab w:val="left" w:pos="288"/>
          <w:tab w:val="left" w:pos="4752"/>
        </w:tabs>
        <w:jc w:val="both"/>
        <w:rPr>
          <w:color w:val="000000"/>
        </w:rPr>
      </w:pPr>
      <w:r w:rsidRPr="001F29F9">
        <w:rPr>
          <w:color w:val="000000"/>
        </w:rPr>
        <w:t xml:space="preserve">Exhibit C.  </w:t>
      </w:r>
      <w:proofErr w:type="gramStart"/>
      <w:r w:rsidRPr="001F29F9">
        <w:rPr>
          <w:color w:val="000000"/>
        </w:rPr>
        <w:t>Department of Veterans</w:t>
      </w:r>
      <w:r w:rsidR="00831842">
        <w:rPr>
          <w:color w:val="000000"/>
        </w:rPr>
        <w:t>’</w:t>
      </w:r>
      <w:r w:rsidRPr="001F29F9">
        <w:rPr>
          <w:color w:val="000000"/>
        </w:rPr>
        <w:t xml:space="preserve"> Affairs Treatment Record.</w:t>
      </w:r>
      <w:proofErr w:type="gramEnd"/>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0"/>
          <w:tab w:val="left" w:pos="4320"/>
        </w:tabs>
        <w:jc w:val="both"/>
        <w:rPr>
          <w:color w:val="000000"/>
        </w:rPr>
      </w:pPr>
      <w:r w:rsidRPr="001F29F9">
        <w:rPr>
          <w:color w:val="000000"/>
        </w:rPr>
        <w:tab/>
        <w:t xml:space="preserve">           </w:t>
      </w:r>
      <w:r w:rsidR="000851EE">
        <w:rPr>
          <w:color w:val="000000"/>
        </w:rPr>
        <w:t>XXXXXXXXXXXXXXXXXXXX</w:t>
      </w:r>
    </w:p>
    <w:p w:rsidR="00AD2379" w:rsidRPr="001F29F9" w:rsidRDefault="00AD2379" w:rsidP="00BF0E94">
      <w:pPr>
        <w:tabs>
          <w:tab w:val="left" w:pos="0"/>
          <w:tab w:val="left" w:pos="4320"/>
        </w:tabs>
        <w:jc w:val="both"/>
        <w:rPr>
          <w:color w:val="000000"/>
        </w:rPr>
      </w:pPr>
      <w:r w:rsidRPr="001F29F9">
        <w:rPr>
          <w:color w:val="000000"/>
        </w:rPr>
        <w:tab/>
        <w:t xml:space="preserve">           President</w:t>
      </w:r>
    </w:p>
    <w:p w:rsidR="000851EE" w:rsidRDefault="00AD2379" w:rsidP="005A3695">
      <w:pPr>
        <w:tabs>
          <w:tab w:val="left" w:pos="0"/>
          <w:tab w:val="left" w:pos="4320"/>
        </w:tabs>
        <w:jc w:val="both"/>
        <w:rPr>
          <w:color w:val="000000"/>
        </w:rPr>
      </w:pPr>
      <w:r w:rsidRPr="001F29F9">
        <w:rPr>
          <w:color w:val="000000"/>
        </w:rPr>
        <w:tab/>
        <w:t xml:space="preserve">           Physical Disability Board of Review</w:t>
      </w:r>
    </w:p>
    <w:p w:rsidR="000851EE" w:rsidRDefault="000851EE">
      <w:pPr>
        <w:spacing w:line="240" w:lineRule="auto"/>
        <w:jc w:val="left"/>
        <w:rPr>
          <w:color w:val="000000"/>
        </w:rPr>
      </w:pPr>
      <w:r>
        <w:rPr>
          <w:color w:val="000000"/>
        </w:rPr>
        <w:br w:type="page"/>
      </w:r>
    </w:p>
    <w:p w:rsidR="000851EE" w:rsidRDefault="000851EE" w:rsidP="000851EE">
      <w:pPr>
        <w:sectPr w:rsidR="000851EE">
          <w:pgSz w:w="12240" w:h="15840"/>
          <w:pgMar w:top="2160" w:right="1440" w:bottom="1440" w:left="1440" w:header="720" w:footer="720" w:gutter="0"/>
          <w:cols w:space="720"/>
        </w:sectPr>
      </w:pPr>
    </w:p>
    <w:p w:rsidR="000851EE" w:rsidRDefault="000851EE" w:rsidP="000851EE">
      <w:pPr>
        <w:pStyle w:val="Header"/>
        <w:tabs>
          <w:tab w:val="left" w:pos="720"/>
        </w:tabs>
        <w:jc w:val="left"/>
      </w:pPr>
      <w:r>
        <w:lastRenderedPageBreak/>
        <w:t>SFMR-RB</w:t>
      </w:r>
      <w:r>
        <w:tab/>
      </w:r>
      <w:r>
        <w:tab/>
      </w:r>
      <w:r>
        <w:tab/>
      </w:r>
      <w:r>
        <w:tab/>
      </w:r>
      <w:r>
        <w:tab/>
      </w:r>
      <w:r>
        <w:tab/>
      </w:r>
      <w:r>
        <w:tab/>
      </w:r>
      <w:r>
        <w:tab/>
      </w:r>
      <w:r>
        <w:tab/>
      </w:r>
    </w:p>
    <w:p w:rsidR="000851EE" w:rsidRDefault="000851EE" w:rsidP="000851EE">
      <w:pPr>
        <w:pStyle w:val="Header"/>
        <w:tabs>
          <w:tab w:val="left" w:pos="720"/>
        </w:tabs>
        <w:jc w:val="left"/>
      </w:pPr>
    </w:p>
    <w:p w:rsidR="000851EE" w:rsidRDefault="000851EE" w:rsidP="000851EE">
      <w:pPr>
        <w:jc w:val="left"/>
      </w:pPr>
    </w:p>
    <w:p w:rsidR="000851EE" w:rsidRDefault="000851EE" w:rsidP="000851EE">
      <w:pPr>
        <w:jc w:val="left"/>
      </w:pPr>
      <w:r>
        <w:t xml:space="preserve">MEMORANDUM FOR Commander, US Army Physical Disability Agency </w:t>
      </w:r>
    </w:p>
    <w:p w:rsidR="000851EE" w:rsidRDefault="000851EE" w:rsidP="000851EE">
      <w:pPr>
        <w:jc w:val="left"/>
      </w:pPr>
      <w:r>
        <w:t xml:space="preserve">(TAPD-ZB </w:t>
      </w:r>
      <w:proofErr w:type="gramStart"/>
      <w:r>
        <w:t>/  )</w:t>
      </w:r>
      <w:proofErr w:type="gramEnd"/>
      <w:r>
        <w:t>, 2900 Crystal Drive, Suite 300, Arlington, VA 22202</w:t>
      </w:r>
    </w:p>
    <w:p w:rsidR="000851EE" w:rsidRDefault="000851EE" w:rsidP="000851EE">
      <w:pPr>
        <w:jc w:val="left"/>
      </w:pPr>
    </w:p>
    <w:p w:rsidR="000851EE" w:rsidRDefault="000851EE" w:rsidP="000851EE">
      <w:pPr>
        <w:ind w:right="-180"/>
        <w:jc w:val="left"/>
      </w:pPr>
      <w:r>
        <w:t xml:space="preserve">SUBJECT:  Department of Defense Physical Disability Board of Review Recommendation for </w:t>
      </w:r>
      <w:r w:rsidR="000605C3">
        <w:t>XXXXXXXXXXXXXXXXX</w:t>
      </w:r>
      <w:r>
        <w:t>, AR20120016896 (PD201100709)</w:t>
      </w:r>
    </w:p>
    <w:p w:rsidR="000851EE" w:rsidRDefault="000851EE" w:rsidP="000851EE">
      <w:pPr>
        <w:pStyle w:val="Header"/>
        <w:tabs>
          <w:tab w:val="left" w:pos="720"/>
        </w:tabs>
        <w:jc w:val="left"/>
      </w:pPr>
    </w:p>
    <w:p w:rsidR="000851EE" w:rsidRDefault="000851EE" w:rsidP="000851EE">
      <w:pPr>
        <w:jc w:val="left"/>
      </w:pPr>
    </w:p>
    <w:p w:rsidR="000851EE" w:rsidRDefault="000851EE" w:rsidP="000851EE">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0851EE" w:rsidRDefault="000851EE" w:rsidP="000851EE">
      <w:pPr>
        <w:jc w:val="left"/>
      </w:pPr>
      <w:r>
        <w:t>This decision is final.  The individual concerned, counsel (if any), and any Members of Congress who have shown interest in this application have been notified of this decision by mail.</w:t>
      </w:r>
    </w:p>
    <w:p w:rsidR="000851EE" w:rsidRDefault="000851EE" w:rsidP="000851EE">
      <w:pPr>
        <w:jc w:val="left"/>
      </w:pPr>
    </w:p>
    <w:p w:rsidR="000851EE" w:rsidRDefault="000851EE" w:rsidP="000851EE">
      <w:pPr>
        <w:jc w:val="left"/>
      </w:pPr>
      <w:r>
        <w:t xml:space="preserve"> BY ORDER OF THE SECRETARY OF THE ARMY:</w:t>
      </w:r>
    </w:p>
    <w:p w:rsidR="000851EE" w:rsidRDefault="000851EE" w:rsidP="000851EE">
      <w:pPr>
        <w:jc w:val="left"/>
      </w:pPr>
    </w:p>
    <w:p w:rsidR="000851EE" w:rsidRDefault="000851EE" w:rsidP="000851EE">
      <w:pPr>
        <w:jc w:val="left"/>
      </w:pPr>
    </w:p>
    <w:p w:rsidR="000851EE" w:rsidRDefault="000851EE" w:rsidP="000851EE">
      <w:pPr>
        <w:pStyle w:val="Header"/>
        <w:tabs>
          <w:tab w:val="left" w:pos="720"/>
        </w:tabs>
        <w:jc w:val="left"/>
      </w:pPr>
    </w:p>
    <w:p w:rsidR="000851EE" w:rsidRDefault="000851EE" w:rsidP="000851EE">
      <w:pPr>
        <w:jc w:val="left"/>
      </w:pPr>
    </w:p>
    <w:p w:rsidR="000851EE" w:rsidRDefault="000851EE" w:rsidP="000851EE">
      <w:pPr>
        <w:jc w:val="left"/>
      </w:pPr>
      <w:bookmarkStart w:id="0" w:name="OLE_LINK4"/>
      <w:bookmarkStart w:id="1" w:name="OLE_LINK3"/>
      <w:r>
        <w:t>Encl</w:t>
      </w:r>
      <w:r>
        <w:tab/>
      </w:r>
      <w:r>
        <w:tab/>
      </w:r>
      <w:r>
        <w:tab/>
      </w:r>
      <w:r>
        <w:tab/>
      </w:r>
      <w:r>
        <w:tab/>
      </w:r>
      <w:r>
        <w:tab/>
        <w:t xml:space="preserve">     </w:t>
      </w:r>
      <w:r w:rsidR="000605C3">
        <w:t>XXXXXXXXXXXXXXXXX</w:t>
      </w:r>
    </w:p>
    <w:p w:rsidR="000851EE" w:rsidRDefault="000851EE" w:rsidP="000851EE">
      <w:pPr>
        <w:jc w:val="left"/>
      </w:pPr>
      <w:r>
        <w:tab/>
      </w:r>
      <w:r>
        <w:tab/>
      </w:r>
      <w:r>
        <w:tab/>
      </w:r>
      <w:r>
        <w:tab/>
      </w:r>
      <w:r>
        <w:tab/>
      </w:r>
      <w:r>
        <w:tab/>
        <w:t xml:space="preserve">     Deputy Assistant Secretary</w:t>
      </w:r>
    </w:p>
    <w:p w:rsidR="000851EE" w:rsidRDefault="000851EE" w:rsidP="000851EE">
      <w:pPr>
        <w:jc w:val="left"/>
      </w:pPr>
      <w:r>
        <w:tab/>
      </w:r>
      <w:r>
        <w:tab/>
      </w:r>
      <w:r>
        <w:tab/>
      </w:r>
      <w:r>
        <w:tab/>
      </w:r>
      <w:r>
        <w:tab/>
      </w:r>
      <w:r>
        <w:tab/>
        <w:t xml:space="preserve">         (Army Review Boards)</w:t>
      </w:r>
      <w:bookmarkEnd w:id="0"/>
      <w:bookmarkEnd w:id="1"/>
    </w:p>
    <w:p w:rsidR="000851EE" w:rsidRDefault="000851EE" w:rsidP="000851EE">
      <w:pPr>
        <w:jc w:val="left"/>
      </w:pPr>
    </w:p>
    <w:p w:rsidR="000851EE" w:rsidRDefault="000851EE" w:rsidP="000851EE">
      <w:pPr>
        <w:jc w:val="left"/>
      </w:pPr>
      <w:r>
        <w:t xml:space="preserve">CF: </w:t>
      </w:r>
    </w:p>
    <w:p w:rsidR="000851EE" w:rsidRDefault="000851EE" w:rsidP="000851EE">
      <w:pPr>
        <w:jc w:val="left"/>
      </w:pPr>
      <w:r>
        <w:t xml:space="preserve">(  ) </w:t>
      </w:r>
      <w:proofErr w:type="spellStart"/>
      <w:proofErr w:type="gramStart"/>
      <w:r>
        <w:t>DoD</w:t>
      </w:r>
      <w:proofErr w:type="spellEnd"/>
      <w:proofErr w:type="gramEnd"/>
      <w:r>
        <w:t xml:space="preserve"> PDBR</w:t>
      </w:r>
    </w:p>
    <w:p w:rsidR="000851EE" w:rsidRDefault="000851EE" w:rsidP="000851EE">
      <w:pPr>
        <w:jc w:val="left"/>
      </w:pPr>
      <w:r>
        <w:t>(  ) DVA</w:t>
      </w:r>
    </w:p>
    <w:p w:rsidR="000851EE" w:rsidRDefault="000851EE" w:rsidP="000851EE">
      <w:pPr>
        <w:jc w:val="left"/>
      </w:pPr>
    </w:p>
    <w:p w:rsidR="003B3B3F" w:rsidRPr="006235F5" w:rsidRDefault="003B3B3F" w:rsidP="000851EE">
      <w:pPr>
        <w:tabs>
          <w:tab w:val="left" w:pos="0"/>
          <w:tab w:val="left" w:pos="4320"/>
        </w:tabs>
        <w:jc w:val="left"/>
        <w:rPr>
          <w:rFonts w:eastAsia="Calibri" w:cs="Times New Roman"/>
          <w:color w:val="auto"/>
          <w:szCs w:val="24"/>
        </w:rPr>
      </w:pPr>
    </w:p>
    <w:sectPr w:rsidR="003B3B3F" w:rsidRPr="006235F5"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985" w:rsidRDefault="00F53985">
      <w:r>
        <w:separator/>
      </w:r>
    </w:p>
  </w:endnote>
  <w:endnote w:type="continuationSeparator" w:id="0">
    <w:p w:rsidR="00F53985" w:rsidRDefault="00F539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79" w:rsidRPr="00374247" w:rsidRDefault="00AD2379" w:rsidP="00726F84">
    <w:pPr>
      <w:pStyle w:val="Footer"/>
      <w:ind w:firstLine="4320"/>
      <w:rPr>
        <w:color w:val="auto"/>
      </w:rPr>
    </w:pPr>
    <w:r w:rsidRPr="00374247">
      <w:rPr>
        <w:color w:val="auto"/>
      </w:rPr>
      <w:t xml:space="preserve">   </w:t>
    </w:r>
    <w:fldSimple w:instr=" PAGE   \* MERGEFORMAT ">
      <w:r w:rsidR="000851EE" w:rsidRPr="000851EE">
        <w:rPr>
          <w:noProof/>
          <w:color w:val="auto"/>
        </w:rPr>
        <w:t>5</w:t>
      </w:r>
    </w:fldSimple>
    <w:r w:rsidRPr="00374247">
      <w:rPr>
        <w:color w:val="auto"/>
      </w:rPr>
      <w:t xml:space="preserve">                                                           </w:t>
    </w:r>
    <w:r w:rsidRPr="001D64F3">
      <w:rPr>
        <w:color w:val="auto"/>
      </w:rPr>
      <w:t>PD1</w:t>
    </w:r>
    <w:r w:rsidRPr="009369A6">
      <w:rPr>
        <w:color w:val="auto"/>
      </w:rPr>
      <w:t>100</w:t>
    </w:r>
    <w:r w:rsidR="0010060A">
      <w:rPr>
        <w:color w:val="auto"/>
      </w:rPr>
      <w:t>709</w:t>
    </w:r>
  </w:p>
  <w:p w:rsidR="00AD2379" w:rsidRPr="00684CE6" w:rsidRDefault="00AD237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985" w:rsidRDefault="00F53985">
      <w:r>
        <w:separator/>
      </w:r>
    </w:p>
  </w:footnote>
  <w:footnote w:type="continuationSeparator" w:id="0">
    <w:p w:rsidR="00F53985" w:rsidRDefault="00F539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24F5"/>
    <w:rsid w:val="000059FA"/>
    <w:rsid w:val="00006186"/>
    <w:rsid w:val="00006F87"/>
    <w:rsid w:val="00007107"/>
    <w:rsid w:val="00007BCC"/>
    <w:rsid w:val="00010ABA"/>
    <w:rsid w:val="00010AF0"/>
    <w:rsid w:val="00010B0F"/>
    <w:rsid w:val="00012428"/>
    <w:rsid w:val="00012733"/>
    <w:rsid w:val="00013417"/>
    <w:rsid w:val="000145C2"/>
    <w:rsid w:val="0001473F"/>
    <w:rsid w:val="00014A47"/>
    <w:rsid w:val="00014A9E"/>
    <w:rsid w:val="00017778"/>
    <w:rsid w:val="00020941"/>
    <w:rsid w:val="00021361"/>
    <w:rsid w:val="00022CF3"/>
    <w:rsid w:val="00023913"/>
    <w:rsid w:val="00023D43"/>
    <w:rsid w:val="00024002"/>
    <w:rsid w:val="00024DE7"/>
    <w:rsid w:val="00026092"/>
    <w:rsid w:val="0002667F"/>
    <w:rsid w:val="00030776"/>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1F89"/>
    <w:rsid w:val="00052234"/>
    <w:rsid w:val="00053D7C"/>
    <w:rsid w:val="000575C5"/>
    <w:rsid w:val="000577C9"/>
    <w:rsid w:val="000605C3"/>
    <w:rsid w:val="00060C18"/>
    <w:rsid w:val="00060FFD"/>
    <w:rsid w:val="00061D69"/>
    <w:rsid w:val="0006431E"/>
    <w:rsid w:val="000652EA"/>
    <w:rsid w:val="00065E21"/>
    <w:rsid w:val="000673ED"/>
    <w:rsid w:val="00067854"/>
    <w:rsid w:val="00070DED"/>
    <w:rsid w:val="00071071"/>
    <w:rsid w:val="00072433"/>
    <w:rsid w:val="00072B3E"/>
    <w:rsid w:val="0007488B"/>
    <w:rsid w:val="00075702"/>
    <w:rsid w:val="00075A0C"/>
    <w:rsid w:val="000775C2"/>
    <w:rsid w:val="00077835"/>
    <w:rsid w:val="000801EF"/>
    <w:rsid w:val="000806AD"/>
    <w:rsid w:val="00080BDF"/>
    <w:rsid w:val="00080C57"/>
    <w:rsid w:val="00082482"/>
    <w:rsid w:val="00082CA0"/>
    <w:rsid w:val="00083F73"/>
    <w:rsid w:val="00084CF2"/>
    <w:rsid w:val="000851EE"/>
    <w:rsid w:val="00085D7B"/>
    <w:rsid w:val="0008708B"/>
    <w:rsid w:val="00092619"/>
    <w:rsid w:val="00092C66"/>
    <w:rsid w:val="00092CC9"/>
    <w:rsid w:val="000949DD"/>
    <w:rsid w:val="00094E4F"/>
    <w:rsid w:val="000977F6"/>
    <w:rsid w:val="00097B9B"/>
    <w:rsid w:val="00097E3A"/>
    <w:rsid w:val="000A25D8"/>
    <w:rsid w:val="000A2BCE"/>
    <w:rsid w:val="000A30E7"/>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AA1"/>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8E3"/>
    <w:rsid w:val="000D2CFD"/>
    <w:rsid w:val="000D3255"/>
    <w:rsid w:val="000D35D8"/>
    <w:rsid w:val="000D43F9"/>
    <w:rsid w:val="000D4717"/>
    <w:rsid w:val="000D5DBE"/>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2F2B"/>
    <w:rsid w:val="000F427B"/>
    <w:rsid w:val="000F43D0"/>
    <w:rsid w:val="000F4F18"/>
    <w:rsid w:val="000F688E"/>
    <w:rsid w:val="000F7181"/>
    <w:rsid w:val="000F7581"/>
    <w:rsid w:val="000F7C8B"/>
    <w:rsid w:val="0010060A"/>
    <w:rsid w:val="001007CE"/>
    <w:rsid w:val="001008C1"/>
    <w:rsid w:val="001023DB"/>
    <w:rsid w:val="00102B8D"/>
    <w:rsid w:val="001031F4"/>
    <w:rsid w:val="00103948"/>
    <w:rsid w:val="00103CCF"/>
    <w:rsid w:val="0010417F"/>
    <w:rsid w:val="001042D2"/>
    <w:rsid w:val="0010530E"/>
    <w:rsid w:val="001058BF"/>
    <w:rsid w:val="00105C07"/>
    <w:rsid w:val="00106920"/>
    <w:rsid w:val="00106AD8"/>
    <w:rsid w:val="001073EF"/>
    <w:rsid w:val="001078DB"/>
    <w:rsid w:val="001079FA"/>
    <w:rsid w:val="00107EC5"/>
    <w:rsid w:val="001103CD"/>
    <w:rsid w:val="00111D3F"/>
    <w:rsid w:val="00113D2A"/>
    <w:rsid w:val="00114F20"/>
    <w:rsid w:val="0011590B"/>
    <w:rsid w:val="0011733D"/>
    <w:rsid w:val="001211AF"/>
    <w:rsid w:val="001215DF"/>
    <w:rsid w:val="001219DF"/>
    <w:rsid w:val="0012220B"/>
    <w:rsid w:val="00122ABE"/>
    <w:rsid w:val="001231DC"/>
    <w:rsid w:val="0012453A"/>
    <w:rsid w:val="0012489B"/>
    <w:rsid w:val="001272AE"/>
    <w:rsid w:val="00130756"/>
    <w:rsid w:val="001315DD"/>
    <w:rsid w:val="001342F0"/>
    <w:rsid w:val="0013525F"/>
    <w:rsid w:val="00135385"/>
    <w:rsid w:val="00136204"/>
    <w:rsid w:val="001364D1"/>
    <w:rsid w:val="001374C7"/>
    <w:rsid w:val="00140FA4"/>
    <w:rsid w:val="00141BC9"/>
    <w:rsid w:val="001421FD"/>
    <w:rsid w:val="001425C8"/>
    <w:rsid w:val="00142EBA"/>
    <w:rsid w:val="00143AC7"/>
    <w:rsid w:val="00143B79"/>
    <w:rsid w:val="00145965"/>
    <w:rsid w:val="00150B8A"/>
    <w:rsid w:val="00150DCB"/>
    <w:rsid w:val="00151912"/>
    <w:rsid w:val="00152466"/>
    <w:rsid w:val="00153740"/>
    <w:rsid w:val="001537D8"/>
    <w:rsid w:val="00153D88"/>
    <w:rsid w:val="001541C5"/>
    <w:rsid w:val="001554E4"/>
    <w:rsid w:val="0015623F"/>
    <w:rsid w:val="00156585"/>
    <w:rsid w:val="00156BA9"/>
    <w:rsid w:val="00161642"/>
    <w:rsid w:val="00161761"/>
    <w:rsid w:val="00164413"/>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978A3"/>
    <w:rsid w:val="001A025E"/>
    <w:rsid w:val="001A08CD"/>
    <w:rsid w:val="001A0A1E"/>
    <w:rsid w:val="001A2182"/>
    <w:rsid w:val="001A323E"/>
    <w:rsid w:val="001A3A20"/>
    <w:rsid w:val="001A5320"/>
    <w:rsid w:val="001A5E62"/>
    <w:rsid w:val="001A6848"/>
    <w:rsid w:val="001A7538"/>
    <w:rsid w:val="001B06FB"/>
    <w:rsid w:val="001B0B1A"/>
    <w:rsid w:val="001B20E6"/>
    <w:rsid w:val="001B4C0B"/>
    <w:rsid w:val="001B4D12"/>
    <w:rsid w:val="001B4EC2"/>
    <w:rsid w:val="001B5B59"/>
    <w:rsid w:val="001B60E0"/>
    <w:rsid w:val="001B6235"/>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4989"/>
    <w:rsid w:val="001E635C"/>
    <w:rsid w:val="001E6A77"/>
    <w:rsid w:val="001F0297"/>
    <w:rsid w:val="001F0A22"/>
    <w:rsid w:val="001F29F9"/>
    <w:rsid w:val="001F6E0B"/>
    <w:rsid w:val="00200AA0"/>
    <w:rsid w:val="00202325"/>
    <w:rsid w:val="00202459"/>
    <w:rsid w:val="00202736"/>
    <w:rsid w:val="00202D1C"/>
    <w:rsid w:val="00203652"/>
    <w:rsid w:val="00204562"/>
    <w:rsid w:val="00205B4F"/>
    <w:rsid w:val="002060B6"/>
    <w:rsid w:val="002066B5"/>
    <w:rsid w:val="00210EAC"/>
    <w:rsid w:val="00211612"/>
    <w:rsid w:val="002118DB"/>
    <w:rsid w:val="002119B6"/>
    <w:rsid w:val="00212389"/>
    <w:rsid w:val="002129C1"/>
    <w:rsid w:val="00212B40"/>
    <w:rsid w:val="00213BD0"/>
    <w:rsid w:val="00214DBA"/>
    <w:rsid w:val="002151AB"/>
    <w:rsid w:val="0021548C"/>
    <w:rsid w:val="00215C4C"/>
    <w:rsid w:val="00215ED6"/>
    <w:rsid w:val="00216049"/>
    <w:rsid w:val="002163FA"/>
    <w:rsid w:val="00216C14"/>
    <w:rsid w:val="00217606"/>
    <w:rsid w:val="002178AE"/>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6860"/>
    <w:rsid w:val="002468D9"/>
    <w:rsid w:val="00246995"/>
    <w:rsid w:val="00246DFF"/>
    <w:rsid w:val="00246E89"/>
    <w:rsid w:val="0025183C"/>
    <w:rsid w:val="00251AB0"/>
    <w:rsid w:val="00252351"/>
    <w:rsid w:val="002528EC"/>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1871"/>
    <w:rsid w:val="002722F2"/>
    <w:rsid w:val="00274549"/>
    <w:rsid w:val="00274E46"/>
    <w:rsid w:val="002752AE"/>
    <w:rsid w:val="00275AFD"/>
    <w:rsid w:val="002769AF"/>
    <w:rsid w:val="00276C86"/>
    <w:rsid w:val="00276FD0"/>
    <w:rsid w:val="00277217"/>
    <w:rsid w:val="002810A4"/>
    <w:rsid w:val="0028261C"/>
    <w:rsid w:val="00282DB6"/>
    <w:rsid w:val="002833E3"/>
    <w:rsid w:val="00284A26"/>
    <w:rsid w:val="00285095"/>
    <w:rsid w:val="00285274"/>
    <w:rsid w:val="00287006"/>
    <w:rsid w:val="00287122"/>
    <w:rsid w:val="0029030A"/>
    <w:rsid w:val="00292397"/>
    <w:rsid w:val="00292AB2"/>
    <w:rsid w:val="00292B82"/>
    <w:rsid w:val="00293DB6"/>
    <w:rsid w:val="00293FE8"/>
    <w:rsid w:val="00294437"/>
    <w:rsid w:val="00295929"/>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965"/>
    <w:rsid w:val="002D5F57"/>
    <w:rsid w:val="002D73D4"/>
    <w:rsid w:val="002D7787"/>
    <w:rsid w:val="002D7DF2"/>
    <w:rsid w:val="002E058C"/>
    <w:rsid w:val="002E0AF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287E"/>
    <w:rsid w:val="002F2981"/>
    <w:rsid w:val="002F2D63"/>
    <w:rsid w:val="002F339D"/>
    <w:rsid w:val="002F6AD8"/>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1683A"/>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1C13"/>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1C5"/>
    <w:rsid w:val="00347D0D"/>
    <w:rsid w:val="00351498"/>
    <w:rsid w:val="00352B22"/>
    <w:rsid w:val="00352CBF"/>
    <w:rsid w:val="00354547"/>
    <w:rsid w:val="003549F5"/>
    <w:rsid w:val="003554B7"/>
    <w:rsid w:val="00355ACB"/>
    <w:rsid w:val="003567DE"/>
    <w:rsid w:val="003574F3"/>
    <w:rsid w:val="00357831"/>
    <w:rsid w:val="003604A5"/>
    <w:rsid w:val="0036114B"/>
    <w:rsid w:val="003618B6"/>
    <w:rsid w:val="0036199A"/>
    <w:rsid w:val="003620C8"/>
    <w:rsid w:val="00363087"/>
    <w:rsid w:val="00363112"/>
    <w:rsid w:val="0036319E"/>
    <w:rsid w:val="003632A4"/>
    <w:rsid w:val="00363362"/>
    <w:rsid w:val="0036392A"/>
    <w:rsid w:val="00364CAB"/>
    <w:rsid w:val="00365384"/>
    <w:rsid w:val="00365767"/>
    <w:rsid w:val="003659C0"/>
    <w:rsid w:val="003660DF"/>
    <w:rsid w:val="003674A9"/>
    <w:rsid w:val="00367D4F"/>
    <w:rsid w:val="00370743"/>
    <w:rsid w:val="00370EF5"/>
    <w:rsid w:val="0037135B"/>
    <w:rsid w:val="003718CD"/>
    <w:rsid w:val="00372251"/>
    <w:rsid w:val="00373F64"/>
    <w:rsid w:val="00374247"/>
    <w:rsid w:val="0037475E"/>
    <w:rsid w:val="00374EA1"/>
    <w:rsid w:val="0037520D"/>
    <w:rsid w:val="00375724"/>
    <w:rsid w:val="00375809"/>
    <w:rsid w:val="00375CF1"/>
    <w:rsid w:val="0037628C"/>
    <w:rsid w:val="00376A07"/>
    <w:rsid w:val="00376B81"/>
    <w:rsid w:val="00376E08"/>
    <w:rsid w:val="00377BD2"/>
    <w:rsid w:val="00380601"/>
    <w:rsid w:val="00380BC4"/>
    <w:rsid w:val="00380FD4"/>
    <w:rsid w:val="00381E16"/>
    <w:rsid w:val="003821E1"/>
    <w:rsid w:val="003840F6"/>
    <w:rsid w:val="00384866"/>
    <w:rsid w:val="003851BA"/>
    <w:rsid w:val="00385708"/>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6FCD"/>
    <w:rsid w:val="003A76AB"/>
    <w:rsid w:val="003A7FF8"/>
    <w:rsid w:val="003B17AC"/>
    <w:rsid w:val="003B2143"/>
    <w:rsid w:val="003B227A"/>
    <w:rsid w:val="003B2284"/>
    <w:rsid w:val="003B3A77"/>
    <w:rsid w:val="003B3B3F"/>
    <w:rsid w:val="003B4319"/>
    <w:rsid w:val="003B5854"/>
    <w:rsid w:val="003B6764"/>
    <w:rsid w:val="003B7A8B"/>
    <w:rsid w:val="003C07BF"/>
    <w:rsid w:val="003C247E"/>
    <w:rsid w:val="003C294B"/>
    <w:rsid w:val="003C34DF"/>
    <w:rsid w:val="003C5046"/>
    <w:rsid w:val="003C53E8"/>
    <w:rsid w:val="003C5B54"/>
    <w:rsid w:val="003C6068"/>
    <w:rsid w:val="003C7AEC"/>
    <w:rsid w:val="003D10A6"/>
    <w:rsid w:val="003D1F9E"/>
    <w:rsid w:val="003D2BA3"/>
    <w:rsid w:val="003D316B"/>
    <w:rsid w:val="003D371E"/>
    <w:rsid w:val="003D3C22"/>
    <w:rsid w:val="003D56A0"/>
    <w:rsid w:val="003D609F"/>
    <w:rsid w:val="003D69F5"/>
    <w:rsid w:val="003D7089"/>
    <w:rsid w:val="003D7DDB"/>
    <w:rsid w:val="003E024F"/>
    <w:rsid w:val="003E02C7"/>
    <w:rsid w:val="003E0543"/>
    <w:rsid w:val="003E061D"/>
    <w:rsid w:val="003E0B5A"/>
    <w:rsid w:val="003E1682"/>
    <w:rsid w:val="003E2EC6"/>
    <w:rsid w:val="003E31E3"/>
    <w:rsid w:val="003E3E93"/>
    <w:rsid w:val="003E46D1"/>
    <w:rsid w:val="003E4FD7"/>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537"/>
    <w:rsid w:val="00405BCF"/>
    <w:rsid w:val="004068E0"/>
    <w:rsid w:val="00406CC5"/>
    <w:rsid w:val="00406FCA"/>
    <w:rsid w:val="0040717F"/>
    <w:rsid w:val="004074A4"/>
    <w:rsid w:val="004101B2"/>
    <w:rsid w:val="00411129"/>
    <w:rsid w:val="004123D7"/>
    <w:rsid w:val="00412658"/>
    <w:rsid w:val="004129DA"/>
    <w:rsid w:val="00415EA4"/>
    <w:rsid w:val="0041604B"/>
    <w:rsid w:val="004172DB"/>
    <w:rsid w:val="004174F0"/>
    <w:rsid w:val="00417819"/>
    <w:rsid w:val="0041792D"/>
    <w:rsid w:val="00417999"/>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694"/>
    <w:rsid w:val="00434860"/>
    <w:rsid w:val="00434BBD"/>
    <w:rsid w:val="0043503A"/>
    <w:rsid w:val="00437B8A"/>
    <w:rsid w:val="00437D18"/>
    <w:rsid w:val="00437D77"/>
    <w:rsid w:val="00440698"/>
    <w:rsid w:val="00441D9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13A3"/>
    <w:rsid w:val="00462F68"/>
    <w:rsid w:val="00463478"/>
    <w:rsid w:val="0046369B"/>
    <w:rsid w:val="004640E9"/>
    <w:rsid w:val="004647EB"/>
    <w:rsid w:val="00466BBA"/>
    <w:rsid w:val="00466CED"/>
    <w:rsid w:val="00466EB5"/>
    <w:rsid w:val="00467592"/>
    <w:rsid w:val="00467690"/>
    <w:rsid w:val="00467A14"/>
    <w:rsid w:val="004718E7"/>
    <w:rsid w:val="00472289"/>
    <w:rsid w:val="00472535"/>
    <w:rsid w:val="004761CC"/>
    <w:rsid w:val="00476229"/>
    <w:rsid w:val="004766C9"/>
    <w:rsid w:val="00480811"/>
    <w:rsid w:val="00480D4A"/>
    <w:rsid w:val="00481DA1"/>
    <w:rsid w:val="00482B19"/>
    <w:rsid w:val="00483A2B"/>
    <w:rsid w:val="00484212"/>
    <w:rsid w:val="004848C3"/>
    <w:rsid w:val="00484BA9"/>
    <w:rsid w:val="0048599A"/>
    <w:rsid w:val="00486818"/>
    <w:rsid w:val="0049255F"/>
    <w:rsid w:val="0049445D"/>
    <w:rsid w:val="00494D39"/>
    <w:rsid w:val="00495350"/>
    <w:rsid w:val="00495AD7"/>
    <w:rsid w:val="00495E3C"/>
    <w:rsid w:val="00496041"/>
    <w:rsid w:val="00497156"/>
    <w:rsid w:val="004A0BFF"/>
    <w:rsid w:val="004A0C79"/>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2BE5"/>
    <w:rsid w:val="004D362B"/>
    <w:rsid w:val="004D3C7F"/>
    <w:rsid w:val="004D42CB"/>
    <w:rsid w:val="004D4A0C"/>
    <w:rsid w:val="004D55D3"/>
    <w:rsid w:val="004D5D82"/>
    <w:rsid w:val="004D6E90"/>
    <w:rsid w:val="004D6F2B"/>
    <w:rsid w:val="004E0248"/>
    <w:rsid w:val="004E21A3"/>
    <w:rsid w:val="004E2B58"/>
    <w:rsid w:val="004E32EA"/>
    <w:rsid w:val="004E3517"/>
    <w:rsid w:val="004E3656"/>
    <w:rsid w:val="004E6866"/>
    <w:rsid w:val="004F0C58"/>
    <w:rsid w:val="004F10EB"/>
    <w:rsid w:val="004F2B85"/>
    <w:rsid w:val="004F3222"/>
    <w:rsid w:val="004F3639"/>
    <w:rsid w:val="004F3BFA"/>
    <w:rsid w:val="004F4E3C"/>
    <w:rsid w:val="004F5A1A"/>
    <w:rsid w:val="004F61A0"/>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220B"/>
    <w:rsid w:val="00512253"/>
    <w:rsid w:val="00512484"/>
    <w:rsid w:val="00514449"/>
    <w:rsid w:val="005144A7"/>
    <w:rsid w:val="00515419"/>
    <w:rsid w:val="005157BD"/>
    <w:rsid w:val="005214A3"/>
    <w:rsid w:val="005222E7"/>
    <w:rsid w:val="00523488"/>
    <w:rsid w:val="00523A8B"/>
    <w:rsid w:val="00523E04"/>
    <w:rsid w:val="00524D3A"/>
    <w:rsid w:val="00525003"/>
    <w:rsid w:val="0052590B"/>
    <w:rsid w:val="0052592B"/>
    <w:rsid w:val="00525C7A"/>
    <w:rsid w:val="0052650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022"/>
    <w:rsid w:val="00542B34"/>
    <w:rsid w:val="00542C9A"/>
    <w:rsid w:val="005436C2"/>
    <w:rsid w:val="005442D4"/>
    <w:rsid w:val="005452F7"/>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0F1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76718"/>
    <w:rsid w:val="0058039C"/>
    <w:rsid w:val="00580A63"/>
    <w:rsid w:val="005830B1"/>
    <w:rsid w:val="00583379"/>
    <w:rsid w:val="0058417C"/>
    <w:rsid w:val="005854F9"/>
    <w:rsid w:val="00586EC6"/>
    <w:rsid w:val="00587DDE"/>
    <w:rsid w:val="00592C7B"/>
    <w:rsid w:val="00593043"/>
    <w:rsid w:val="00595B60"/>
    <w:rsid w:val="00595B63"/>
    <w:rsid w:val="00595BF0"/>
    <w:rsid w:val="00596977"/>
    <w:rsid w:val="00597E16"/>
    <w:rsid w:val="005A0B1D"/>
    <w:rsid w:val="005A1846"/>
    <w:rsid w:val="005A258C"/>
    <w:rsid w:val="005A3560"/>
    <w:rsid w:val="005A3695"/>
    <w:rsid w:val="005A464E"/>
    <w:rsid w:val="005A62FC"/>
    <w:rsid w:val="005A6C99"/>
    <w:rsid w:val="005A7D5D"/>
    <w:rsid w:val="005B0040"/>
    <w:rsid w:val="005B011A"/>
    <w:rsid w:val="005B0283"/>
    <w:rsid w:val="005B1ADA"/>
    <w:rsid w:val="005B1D09"/>
    <w:rsid w:val="005B1D8F"/>
    <w:rsid w:val="005B1E94"/>
    <w:rsid w:val="005B25C5"/>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1D67"/>
    <w:rsid w:val="005E224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4F57"/>
    <w:rsid w:val="005F5342"/>
    <w:rsid w:val="005F55F5"/>
    <w:rsid w:val="005F5EC1"/>
    <w:rsid w:val="005F67A9"/>
    <w:rsid w:val="005F6B6D"/>
    <w:rsid w:val="005F73CA"/>
    <w:rsid w:val="006002FE"/>
    <w:rsid w:val="006008F8"/>
    <w:rsid w:val="006030D3"/>
    <w:rsid w:val="006036C2"/>
    <w:rsid w:val="00605AAB"/>
    <w:rsid w:val="00606BEB"/>
    <w:rsid w:val="00607AC8"/>
    <w:rsid w:val="0061010C"/>
    <w:rsid w:val="0061014A"/>
    <w:rsid w:val="0061054B"/>
    <w:rsid w:val="006110FB"/>
    <w:rsid w:val="006114BB"/>
    <w:rsid w:val="00611E57"/>
    <w:rsid w:val="00612FB0"/>
    <w:rsid w:val="0061356D"/>
    <w:rsid w:val="00613E26"/>
    <w:rsid w:val="00615641"/>
    <w:rsid w:val="00615A66"/>
    <w:rsid w:val="00616959"/>
    <w:rsid w:val="0062036E"/>
    <w:rsid w:val="006211D0"/>
    <w:rsid w:val="00621595"/>
    <w:rsid w:val="0062359D"/>
    <w:rsid w:val="006235F5"/>
    <w:rsid w:val="00623634"/>
    <w:rsid w:val="00624740"/>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C60"/>
    <w:rsid w:val="00662F08"/>
    <w:rsid w:val="00663589"/>
    <w:rsid w:val="00664296"/>
    <w:rsid w:val="00664427"/>
    <w:rsid w:val="00664840"/>
    <w:rsid w:val="006649CD"/>
    <w:rsid w:val="00665D75"/>
    <w:rsid w:val="00667A96"/>
    <w:rsid w:val="006708E3"/>
    <w:rsid w:val="00670DDC"/>
    <w:rsid w:val="00671389"/>
    <w:rsid w:val="00671EB4"/>
    <w:rsid w:val="00673CDC"/>
    <w:rsid w:val="0067443B"/>
    <w:rsid w:val="006770AA"/>
    <w:rsid w:val="00680450"/>
    <w:rsid w:val="0068098E"/>
    <w:rsid w:val="006810BD"/>
    <w:rsid w:val="00682486"/>
    <w:rsid w:val="006833A7"/>
    <w:rsid w:val="00684CE6"/>
    <w:rsid w:val="00684E2B"/>
    <w:rsid w:val="006857A0"/>
    <w:rsid w:val="006870CE"/>
    <w:rsid w:val="00687C7E"/>
    <w:rsid w:val="00687D3D"/>
    <w:rsid w:val="00690569"/>
    <w:rsid w:val="00690FDA"/>
    <w:rsid w:val="00691E61"/>
    <w:rsid w:val="00692180"/>
    <w:rsid w:val="006937C6"/>
    <w:rsid w:val="00693C1B"/>
    <w:rsid w:val="00693C5E"/>
    <w:rsid w:val="00693CEE"/>
    <w:rsid w:val="00694EEA"/>
    <w:rsid w:val="006955B4"/>
    <w:rsid w:val="00695DEF"/>
    <w:rsid w:val="00696476"/>
    <w:rsid w:val="006965DA"/>
    <w:rsid w:val="0069687C"/>
    <w:rsid w:val="00696C74"/>
    <w:rsid w:val="00697C9B"/>
    <w:rsid w:val="006A10FA"/>
    <w:rsid w:val="006A12E0"/>
    <w:rsid w:val="006A3D6C"/>
    <w:rsid w:val="006A40E6"/>
    <w:rsid w:val="006A516B"/>
    <w:rsid w:val="006A5362"/>
    <w:rsid w:val="006A543A"/>
    <w:rsid w:val="006A5C07"/>
    <w:rsid w:val="006A714F"/>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B7BE0"/>
    <w:rsid w:val="006C1D6E"/>
    <w:rsid w:val="006C2EF6"/>
    <w:rsid w:val="006C3A68"/>
    <w:rsid w:val="006C3B08"/>
    <w:rsid w:val="006C3C98"/>
    <w:rsid w:val="006C6AB1"/>
    <w:rsid w:val="006C6E6B"/>
    <w:rsid w:val="006C714C"/>
    <w:rsid w:val="006C72AC"/>
    <w:rsid w:val="006C73D4"/>
    <w:rsid w:val="006D145F"/>
    <w:rsid w:val="006D2000"/>
    <w:rsid w:val="006D2D39"/>
    <w:rsid w:val="006D2F31"/>
    <w:rsid w:val="006D4250"/>
    <w:rsid w:val="006D4E0E"/>
    <w:rsid w:val="006D5861"/>
    <w:rsid w:val="006D5CE2"/>
    <w:rsid w:val="006D7854"/>
    <w:rsid w:val="006E06D1"/>
    <w:rsid w:val="006E122E"/>
    <w:rsid w:val="006E1313"/>
    <w:rsid w:val="006E154E"/>
    <w:rsid w:val="006E2DC8"/>
    <w:rsid w:val="006E58CB"/>
    <w:rsid w:val="006E6B68"/>
    <w:rsid w:val="006E7356"/>
    <w:rsid w:val="006E77C8"/>
    <w:rsid w:val="006E7AFC"/>
    <w:rsid w:val="006F0F9C"/>
    <w:rsid w:val="006F149D"/>
    <w:rsid w:val="006F1A46"/>
    <w:rsid w:val="006F45A0"/>
    <w:rsid w:val="006F4F06"/>
    <w:rsid w:val="006F5A4E"/>
    <w:rsid w:val="006F5D37"/>
    <w:rsid w:val="006F6005"/>
    <w:rsid w:val="007005EA"/>
    <w:rsid w:val="0070220D"/>
    <w:rsid w:val="00703B6C"/>
    <w:rsid w:val="00703BB0"/>
    <w:rsid w:val="00704463"/>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26DD"/>
    <w:rsid w:val="007165CE"/>
    <w:rsid w:val="00716D85"/>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CAE"/>
    <w:rsid w:val="00763F95"/>
    <w:rsid w:val="007651ED"/>
    <w:rsid w:val="00766C87"/>
    <w:rsid w:val="00771043"/>
    <w:rsid w:val="0077272B"/>
    <w:rsid w:val="00773AF7"/>
    <w:rsid w:val="00773C45"/>
    <w:rsid w:val="00774FFD"/>
    <w:rsid w:val="0077578C"/>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90"/>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4B72"/>
    <w:rsid w:val="007A5AD1"/>
    <w:rsid w:val="007A5B7B"/>
    <w:rsid w:val="007A65A9"/>
    <w:rsid w:val="007A78B6"/>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3271"/>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7BD"/>
    <w:rsid w:val="00813C51"/>
    <w:rsid w:val="008165D5"/>
    <w:rsid w:val="00816CCB"/>
    <w:rsid w:val="00817572"/>
    <w:rsid w:val="00817713"/>
    <w:rsid w:val="008208C3"/>
    <w:rsid w:val="008220F1"/>
    <w:rsid w:val="0082242D"/>
    <w:rsid w:val="0082340B"/>
    <w:rsid w:val="00823D6A"/>
    <w:rsid w:val="00827B29"/>
    <w:rsid w:val="00827DB6"/>
    <w:rsid w:val="008304B2"/>
    <w:rsid w:val="00830999"/>
    <w:rsid w:val="00830D5E"/>
    <w:rsid w:val="00830F69"/>
    <w:rsid w:val="00831842"/>
    <w:rsid w:val="00831940"/>
    <w:rsid w:val="008324D9"/>
    <w:rsid w:val="00833170"/>
    <w:rsid w:val="00833418"/>
    <w:rsid w:val="0083387F"/>
    <w:rsid w:val="00834458"/>
    <w:rsid w:val="00834AEA"/>
    <w:rsid w:val="00835803"/>
    <w:rsid w:val="00835841"/>
    <w:rsid w:val="00835BF8"/>
    <w:rsid w:val="00835FB7"/>
    <w:rsid w:val="00837465"/>
    <w:rsid w:val="0084002E"/>
    <w:rsid w:val="00840159"/>
    <w:rsid w:val="00840621"/>
    <w:rsid w:val="00840DCC"/>
    <w:rsid w:val="00841243"/>
    <w:rsid w:val="00841457"/>
    <w:rsid w:val="0084297D"/>
    <w:rsid w:val="00842BAA"/>
    <w:rsid w:val="00842D8F"/>
    <w:rsid w:val="0084374E"/>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485F"/>
    <w:rsid w:val="00856428"/>
    <w:rsid w:val="00856AC7"/>
    <w:rsid w:val="00856FA4"/>
    <w:rsid w:val="00857B4F"/>
    <w:rsid w:val="00860869"/>
    <w:rsid w:val="00860E60"/>
    <w:rsid w:val="0086102A"/>
    <w:rsid w:val="0086162B"/>
    <w:rsid w:val="00861710"/>
    <w:rsid w:val="00861D5C"/>
    <w:rsid w:val="00861E7C"/>
    <w:rsid w:val="008626C2"/>
    <w:rsid w:val="0086429C"/>
    <w:rsid w:val="00865207"/>
    <w:rsid w:val="008656A7"/>
    <w:rsid w:val="00865FA3"/>
    <w:rsid w:val="00866231"/>
    <w:rsid w:val="00867CC2"/>
    <w:rsid w:val="00871262"/>
    <w:rsid w:val="0087170E"/>
    <w:rsid w:val="00871D4E"/>
    <w:rsid w:val="00871E7B"/>
    <w:rsid w:val="008721BB"/>
    <w:rsid w:val="008734E7"/>
    <w:rsid w:val="00874EB8"/>
    <w:rsid w:val="0087566D"/>
    <w:rsid w:val="00875B50"/>
    <w:rsid w:val="00875B51"/>
    <w:rsid w:val="00875F2D"/>
    <w:rsid w:val="008762E7"/>
    <w:rsid w:val="008764DC"/>
    <w:rsid w:val="00880476"/>
    <w:rsid w:val="00881C17"/>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4D03"/>
    <w:rsid w:val="008B515D"/>
    <w:rsid w:val="008B5D31"/>
    <w:rsid w:val="008B6705"/>
    <w:rsid w:val="008C22F3"/>
    <w:rsid w:val="008C3223"/>
    <w:rsid w:val="008C3FD0"/>
    <w:rsid w:val="008C4F01"/>
    <w:rsid w:val="008C5152"/>
    <w:rsid w:val="008C710E"/>
    <w:rsid w:val="008D1484"/>
    <w:rsid w:val="008D29E7"/>
    <w:rsid w:val="008D2FBA"/>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2E41"/>
    <w:rsid w:val="008F30F4"/>
    <w:rsid w:val="008F58E1"/>
    <w:rsid w:val="008F6E05"/>
    <w:rsid w:val="008F6FC8"/>
    <w:rsid w:val="009001FA"/>
    <w:rsid w:val="0090045D"/>
    <w:rsid w:val="00900906"/>
    <w:rsid w:val="00900D8F"/>
    <w:rsid w:val="00901229"/>
    <w:rsid w:val="009014E3"/>
    <w:rsid w:val="009020ED"/>
    <w:rsid w:val="009026E8"/>
    <w:rsid w:val="00902FDD"/>
    <w:rsid w:val="0090583D"/>
    <w:rsid w:val="00905EEF"/>
    <w:rsid w:val="00906EB7"/>
    <w:rsid w:val="0090720E"/>
    <w:rsid w:val="00907FE6"/>
    <w:rsid w:val="009102BF"/>
    <w:rsid w:val="00911490"/>
    <w:rsid w:val="009115F2"/>
    <w:rsid w:val="00911B11"/>
    <w:rsid w:val="00914ADB"/>
    <w:rsid w:val="00915196"/>
    <w:rsid w:val="00917182"/>
    <w:rsid w:val="00920251"/>
    <w:rsid w:val="00920259"/>
    <w:rsid w:val="00921CFD"/>
    <w:rsid w:val="009228D1"/>
    <w:rsid w:val="00923B25"/>
    <w:rsid w:val="0092402E"/>
    <w:rsid w:val="009259BA"/>
    <w:rsid w:val="00926C0A"/>
    <w:rsid w:val="00926FCB"/>
    <w:rsid w:val="009303BB"/>
    <w:rsid w:val="0093108A"/>
    <w:rsid w:val="009319EF"/>
    <w:rsid w:val="00931B6D"/>
    <w:rsid w:val="0093311A"/>
    <w:rsid w:val="009346D0"/>
    <w:rsid w:val="009369A6"/>
    <w:rsid w:val="00936E38"/>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0F"/>
    <w:rsid w:val="00955E45"/>
    <w:rsid w:val="009569B1"/>
    <w:rsid w:val="009576BC"/>
    <w:rsid w:val="00957899"/>
    <w:rsid w:val="00957927"/>
    <w:rsid w:val="00960357"/>
    <w:rsid w:val="0096091B"/>
    <w:rsid w:val="00960ED5"/>
    <w:rsid w:val="0096168C"/>
    <w:rsid w:val="00961840"/>
    <w:rsid w:val="009625E3"/>
    <w:rsid w:val="00962F2D"/>
    <w:rsid w:val="00963A7A"/>
    <w:rsid w:val="009672CD"/>
    <w:rsid w:val="00971810"/>
    <w:rsid w:val="00972996"/>
    <w:rsid w:val="009730B4"/>
    <w:rsid w:val="0097320E"/>
    <w:rsid w:val="009732B8"/>
    <w:rsid w:val="009735C3"/>
    <w:rsid w:val="0097438A"/>
    <w:rsid w:val="00974647"/>
    <w:rsid w:val="0097514A"/>
    <w:rsid w:val="00975746"/>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8733B"/>
    <w:rsid w:val="00990FD6"/>
    <w:rsid w:val="00991A20"/>
    <w:rsid w:val="009935C3"/>
    <w:rsid w:val="0099421F"/>
    <w:rsid w:val="00994D33"/>
    <w:rsid w:val="00994FC8"/>
    <w:rsid w:val="009A0346"/>
    <w:rsid w:val="009A0DE3"/>
    <w:rsid w:val="009A1643"/>
    <w:rsid w:val="009A215A"/>
    <w:rsid w:val="009A26B9"/>
    <w:rsid w:val="009A49D3"/>
    <w:rsid w:val="009A4F1B"/>
    <w:rsid w:val="009A55E4"/>
    <w:rsid w:val="009A66C5"/>
    <w:rsid w:val="009A66E7"/>
    <w:rsid w:val="009A7578"/>
    <w:rsid w:val="009A79BA"/>
    <w:rsid w:val="009B10F9"/>
    <w:rsid w:val="009B14D1"/>
    <w:rsid w:val="009B1534"/>
    <w:rsid w:val="009B4963"/>
    <w:rsid w:val="009B4A3B"/>
    <w:rsid w:val="009B557B"/>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97C"/>
    <w:rsid w:val="009D3652"/>
    <w:rsid w:val="009D37CA"/>
    <w:rsid w:val="009D4229"/>
    <w:rsid w:val="009D4268"/>
    <w:rsid w:val="009D5DE9"/>
    <w:rsid w:val="009D6ADF"/>
    <w:rsid w:val="009E09D0"/>
    <w:rsid w:val="009E1181"/>
    <w:rsid w:val="009E1283"/>
    <w:rsid w:val="009E3A7F"/>
    <w:rsid w:val="009E4C9B"/>
    <w:rsid w:val="009E4DFC"/>
    <w:rsid w:val="009E5789"/>
    <w:rsid w:val="009E57B1"/>
    <w:rsid w:val="009E6379"/>
    <w:rsid w:val="009F020F"/>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58BA"/>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270"/>
    <w:rsid w:val="00A70E7B"/>
    <w:rsid w:val="00A71449"/>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CB6"/>
    <w:rsid w:val="00A90D55"/>
    <w:rsid w:val="00A91E6C"/>
    <w:rsid w:val="00A9225E"/>
    <w:rsid w:val="00A944D8"/>
    <w:rsid w:val="00A959E7"/>
    <w:rsid w:val="00A95BBA"/>
    <w:rsid w:val="00A961EE"/>
    <w:rsid w:val="00A96559"/>
    <w:rsid w:val="00A969F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A8A"/>
    <w:rsid w:val="00AB1754"/>
    <w:rsid w:val="00AB1F8D"/>
    <w:rsid w:val="00AB27DD"/>
    <w:rsid w:val="00AB3E9E"/>
    <w:rsid w:val="00AB4BA4"/>
    <w:rsid w:val="00AB592E"/>
    <w:rsid w:val="00AC0C1C"/>
    <w:rsid w:val="00AC0DFA"/>
    <w:rsid w:val="00AC1305"/>
    <w:rsid w:val="00AC25DD"/>
    <w:rsid w:val="00AC37BE"/>
    <w:rsid w:val="00AC3870"/>
    <w:rsid w:val="00AC439D"/>
    <w:rsid w:val="00AC4BA1"/>
    <w:rsid w:val="00AC62CC"/>
    <w:rsid w:val="00AC64D6"/>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6CA3"/>
    <w:rsid w:val="00AD7F8F"/>
    <w:rsid w:val="00AE0BF9"/>
    <w:rsid w:val="00AE1273"/>
    <w:rsid w:val="00AE18C5"/>
    <w:rsid w:val="00AE2540"/>
    <w:rsid w:val="00AE2CF4"/>
    <w:rsid w:val="00AE2D29"/>
    <w:rsid w:val="00AE2F15"/>
    <w:rsid w:val="00AE4624"/>
    <w:rsid w:val="00AE4B1D"/>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4562"/>
    <w:rsid w:val="00B0472F"/>
    <w:rsid w:val="00B06930"/>
    <w:rsid w:val="00B0773A"/>
    <w:rsid w:val="00B07955"/>
    <w:rsid w:val="00B1176B"/>
    <w:rsid w:val="00B11858"/>
    <w:rsid w:val="00B13A39"/>
    <w:rsid w:val="00B13A51"/>
    <w:rsid w:val="00B140B8"/>
    <w:rsid w:val="00B144AE"/>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1F5"/>
    <w:rsid w:val="00B50227"/>
    <w:rsid w:val="00B50510"/>
    <w:rsid w:val="00B505E9"/>
    <w:rsid w:val="00B52260"/>
    <w:rsid w:val="00B522CD"/>
    <w:rsid w:val="00B55143"/>
    <w:rsid w:val="00B553B2"/>
    <w:rsid w:val="00B555C8"/>
    <w:rsid w:val="00B55620"/>
    <w:rsid w:val="00B55917"/>
    <w:rsid w:val="00B55D87"/>
    <w:rsid w:val="00B55FB5"/>
    <w:rsid w:val="00B5646A"/>
    <w:rsid w:val="00B56F3D"/>
    <w:rsid w:val="00B57921"/>
    <w:rsid w:val="00B57E78"/>
    <w:rsid w:val="00B57EB8"/>
    <w:rsid w:val="00B609F6"/>
    <w:rsid w:val="00B60E75"/>
    <w:rsid w:val="00B63EAE"/>
    <w:rsid w:val="00B643A6"/>
    <w:rsid w:val="00B64DD6"/>
    <w:rsid w:val="00B66505"/>
    <w:rsid w:val="00B6710C"/>
    <w:rsid w:val="00B67D22"/>
    <w:rsid w:val="00B67E84"/>
    <w:rsid w:val="00B72076"/>
    <w:rsid w:val="00B72303"/>
    <w:rsid w:val="00B727A9"/>
    <w:rsid w:val="00B72C72"/>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375"/>
    <w:rsid w:val="00B955D5"/>
    <w:rsid w:val="00B95833"/>
    <w:rsid w:val="00B96610"/>
    <w:rsid w:val="00BA1824"/>
    <w:rsid w:val="00BA2D98"/>
    <w:rsid w:val="00BA2F0C"/>
    <w:rsid w:val="00BA30D1"/>
    <w:rsid w:val="00BA30E1"/>
    <w:rsid w:val="00BA38FA"/>
    <w:rsid w:val="00BA4609"/>
    <w:rsid w:val="00BA5BE2"/>
    <w:rsid w:val="00BA60FC"/>
    <w:rsid w:val="00BA6A7E"/>
    <w:rsid w:val="00BA6A9C"/>
    <w:rsid w:val="00BA7F46"/>
    <w:rsid w:val="00BB0388"/>
    <w:rsid w:val="00BB0A0A"/>
    <w:rsid w:val="00BB133C"/>
    <w:rsid w:val="00BB1F04"/>
    <w:rsid w:val="00BB41E5"/>
    <w:rsid w:val="00BB45B5"/>
    <w:rsid w:val="00BB4B8C"/>
    <w:rsid w:val="00BB4C6A"/>
    <w:rsid w:val="00BB4DDE"/>
    <w:rsid w:val="00BB5F68"/>
    <w:rsid w:val="00BB6064"/>
    <w:rsid w:val="00BB65CE"/>
    <w:rsid w:val="00BB7012"/>
    <w:rsid w:val="00BC09D1"/>
    <w:rsid w:val="00BC10C6"/>
    <w:rsid w:val="00BC1CF3"/>
    <w:rsid w:val="00BC2BE0"/>
    <w:rsid w:val="00BC3573"/>
    <w:rsid w:val="00BC3797"/>
    <w:rsid w:val="00BC5860"/>
    <w:rsid w:val="00BC5959"/>
    <w:rsid w:val="00BC7F82"/>
    <w:rsid w:val="00BD1844"/>
    <w:rsid w:val="00BD212B"/>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7D4"/>
    <w:rsid w:val="00BE6365"/>
    <w:rsid w:val="00BF01B7"/>
    <w:rsid w:val="00BF0B7F"/>
    <w:rsid w:val="00BF0E94"/>
    <w:rsid w:val="00BF2988"/>
    <w:rsid w:val="00BF3FB9"/>
    <w:rsid w:val="00BF4012"/>
    <w:rsid w:val="00BF4225"/>
    <w:rsid w:val="00BF4720"/>
    <w:rsid w:val="00BF4F49"/>
    <w:rsid w:val="00BF6759"/>
    <w:rsid w:val="00BF70A6"/>
    <w:rsid w:val="00BF7B4F"/>
    <w:rsid w:val="00BF7B63"/>
    <w:rsid w:val="00BF7F3C"/>
    <w:rsid w:val="00C005D4"/>
    <w:rsid w:val="00C00671"/>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1E80"/>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770E2"/>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68D0"/>
    <w:rsid w:val="00CB758D"/>
    <w:rsid w:val="00CB7A3E"/>
    <w:rsid w:val="00CB7FF7"/>
    <w:rsid w:val="00CC0D0E"/>
    <w:rsid w:val="00CC1253"/>
    <w:rsid w:val="00CC19B3"/>
    <w:rsid w:val="00CC2044"/>
    <w:rsid w:val="00CC39D2"/>
    <w:rsid w:val="00CC4474"/>
    <w:rsid w:val="00CC55D6"/>
    <w:rsid w:val="00CC59B4"/>
    <w:rsid w:val="00CC69EC"/>
    <w:rsid w:val="00CC78A2"/>
    <w:rsid w:val="00CC7DF8"/>
    <w:rsid w:val="00CD15BE"/>
    <w:rsid w:val="00CD1EF2"/>
    <w:rsid w:val="00CD2165"/>
    <w:rsid w:val="00CD32BD"/>
    <w:rsid w:val="00CD34C7"/>
    <w:rsid w:val="00CD5653"/>
    <w:rsid w:val="00CD5E6D"/>
    <w:rsid w:val="00CD63C8"/>
    <w:rsid w:val="00CD76F8"/>
    <w:rsid w:val="00CD78A5"/>
    <w:rsid w:val="00CE02E8"/>
    <w:rsid w:val="00CE069E"/>
    <w:rsid w:val="00CE09F9"/>
    <w:rsid w:val="00CE0DE0"/>
    <w:rsid w:val="00CE2B1F"/>
    <w:rsid w:val="00CE2CC2"/>
    <w:rsid w:val="00CE3722"/>
    <w:rsid w:val="00CF0280"/>
    <w:rsid w:val="00CF158D"/>
    <w:rsid w:val="00CF2166"/>
    <w:rsid w:val="00CF4340"/>
    <w:rsid w:val="00CF4394"/>
    <w:rsid w:val="00CF48B4"/>
    <w:rsid w:val="00CF5C12"/>
    <w:rsid w:val="00CF72A3"/>
    <w:rsid w:val="00CF7B72"/>
    <w:rsid w:val="00CF7FC0"/>
    <w:rsid w:val="00D000A9"/>
    <w:rsid w:val="00D00384"/>
    <w:rsid w:val="00D005DB"/>
    <w:rsid w:val="00D0064E"/>
    <w:rsid w:val="00D00981"/>
    <w:rsid w:val="00D02596"/>
    <w:rsid w:val="00D027B8"/>
    <w:rsid w:val="00D0280D"/>
    <w:rsid w:val="00D02AEF"/>
    <w:rsid w:val="00D03EC9"/>
    <w:rsid w:val="00D04E3E"/>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15F"/>
    <w:rsid w:val="00D26873"/>
    <w:rsid w:val="00D27C99"/>
    <w:rsid w:val="00D30912"/>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46D9B"/>
    <w:rsid w:val="00D5062C"/>
    <w:rsid w:val="00D50C8C"/>
    <w:rsid w:val="00D52097"/>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7D2"/>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2FF"/>
    <w:rsid w:val="00D8545C"/>
    <w:rsid w:val="00D86AB5"/>
    <w:rsid w:val="00D86E57"/>
    <w:rsid w:val="00D876AD"/>
    <w:rsid w:val="00D87788"/>
    <w:rsid w:val="00D877C8"/>
    <w:rsid w:val="00D904A6"/>
    <w:rsid w:val="00D90DE8"/>
    <w:rsid w:val="00D91040"/>
    <w:rsid w:val="00D910C2"/>
    <w:rsid w:val="00D9168C"/>
    <w:rsid w:val="00D9189B"/>
    <w:rsid w:val="00D91D6B"/>
    <w:rsid w:val="00D91DA6"/>
    <w:rsid w:val="00D921A0"/>
    <w:rsid w:val="00D93A41"/>
    <w:rsid w:val="00D93B9A"/>
    <w:rsid w:val="00D94F76"/>
    <w:rsid w:val="00D95984"/>
    <w:rsid w:val="00D95C64"/>
    <w:rsid w:val="00D9706F"/>
    <w:rsid w:val="00D972D4"/>
    <w:rsid w:val="00DA0EE2"/>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1CE"/>
    <w:rsid w:val="00DC1607"/>
    <w:rsid w:val="00DC17F2"/>
    <w:rsid w:val="00DC4001"/>
    <w:rsid w:val="00DC41C3"/>
    <w:rsid w:val="00DC4A3C"/>
    <w:rsid w:val="00DC4FA4"/>
    <w:rsid w:val="00DC5028"/>
    <w:rsid w:val="00DC5B37"/>
    <w:rsid w:val="00DD286D"/>
    <w:rsid w:val="00DD2CAF"/>
    <w:rsid w:val="00DD3593"/>
    <w:rsid w:val="00DD44EA"/>
    <w:rsid w:val="00DD462A"/>
    <w:rsid w:val="00DD64E0"/>
    <w:rsid w:val="00DD6FC2"/>
    <w:rsid w:val="00DD775C"/>
    <w:rsid w:val="00DD7BE0"/>
    <w:rsid w:val="00DE0C67"/>
    <w:rsid w:val="00DE24C0"/>
    <w:rsid w:val="00DE3555"/>
    <w:rsid w:val="00DE3AAD"/>
    <w:rsid w:val="00DE598A"/>
    <w:rsid w:val="00DE5A80"/>
    <w:rsid w:val="00DE6952"/>
    <w:rsid w:val="00DE6FBE"/>
    <w:rsid w:val="00DE7A7D"/>
    <w:rsid w:val="00DE7E74"/>
    <w:rsid w:val="00DF071B"/>
    <w:rsid w:val="00DF50BF"/>
    <w:rsid w:val="00DF5C84"/>
    <w:rsid w:val="00DF5D3A"/>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64F0"/>
    <w:rsid w:val="00E46EF3"/>
    <w:rsid w:val="00E47370"/>
    <w:rsid w:val="00E473E9"/>
    <w:rsid w:val="00E47B47"/>
    <w:rsid w:val="00E50BEB"/>
    <w:rsid w:val="00E51DE0"/>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049"/>
    <w:rsid w:val="00E74437"/>
    <w:rsid w:val="00E7443D"/>
    <w:rsid w:val="00E75ACE"/>
    <w:rsid w:val="00E771AF"/>
    <w:rsid w:val="00E80386"/>
    <w:rsid w:val="00E809C3"/>
    <w:rsid w:val="00E814D4"/>
    <w:rsid w:val="00E814DB"/>
    <w:rsid w:val="00E81A1A"/>
    <w:rsid w:val="00E81C3E"/>
    <w:rsid w:val="00E81E62"/>
    <w:rsid w:val="00E82359"/>
    <w:rsid w:val="00E8268E"/>
    <w:rsid w:val="00E82B6D"/>
    <w:rsid w:val="00E83187"/>
    <w:rsid w:val="00E831E9"/>
    <w:rsid w:val="00E84DDA"/>
    <w:rsid w:val="00E8608F"/>
    <w:rsid w:val="00E86C1D"/>
    <w:rsid w:val="00E90703"/>
    <w:rsid w:val="00E90A62"/>
    <w:rsid w:val="00E91CB8"/>
    <w:rsid w:val="00E9265E"/>
    <w:rsid w:val="00E956DB"/>
    <w:rsid w:val="00E957D7"/>
    <w:rsid w:val="00E9763D"/>
    <w:rsid w:val="00E97E4C"/>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C0E65"/>
    <w:rsid w:val="00EC1251"/>
    <w:rsid w:val="00EC2938"/>
    <w:rsid w:val="00EC337D"/>
    <w:rsid w:val="00EC38EF"/>
    <w:rsid w:val="00EC50C9"/>
    <w:rsid w:val="00EC58B4"/>
    <w:rsid w:val="00EC5BB2"/>
    <w:rsid w:val="00EC75AF"/>
    <w:rsid w:val="00ED05B1"/>
    <w:rsid w:val="00ED0BCD"/>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2C8"/>
    <w:rsid w:val="00F06451"/>
    <w:rsid w:val="00F07052"/>
    <w:rsid w:val="00F0706C"/>
    <w:rsid w:val="00F111B6"/>
    <w:rsid w:val="00F11EBE"/>
    <w:rsid w:val="00F12293"/>
    <w:rsid w:val="00F12BA8"/>
    <w:rsid w:val="00F12D7A"/>
    <w:rsid w:val="00F130D0"/>
    <w:rsid w:val="00F13793"/>
    <w:rsid w:val="00F13AC6"/>
    <w:rsid w:val="00F14638"/>
    <w:rsid w:val="00F14933"/>
    <w:rsid w:val="00F1516A"/>
    <w:rsid w:val="00F15EE5"/>
    <w:rsid w:val="00F171F9"/>
    <w:rsid w:val="00F1737C"/>
    <w:rsid w:val="00F173AA"/>
    <w:rsid w:val="00F22A26"/>
    <w:rsid w:val="00F23D45"/>
    <w:rsid w:val="00F24072"/>
    <w:rsid w:val="00F26432"/>
    <w:rsid w:val="00F3197A"/>
    <w:rsid w:val="00F32139"/>
    <w:rsid w:val="00F33CF0"/>
    <w:rsid w:val="00F33D56"/>
    <w:rsid w:val="00F34E08"/>
    <w:rsid w:val="00F41399"/>
    <w:rsid w:val="00F41D91"/>
    <w:rsid w:val="00F41F52"/>
    <w:rsid w:val="00F41FA1"/>
    <w:rsid w:val="00F42363"/>
    <w:rsid w:val="00F427C4"/>
    <w:rsid w:val="00F43D6C"/>
    <w:rsid w:val="00F4418C"/>
    <w:rsid w:val="00F46964"/>
    <w:rsid w:val="00F46F9A"/>
    <w:rsid w:val="00F470FD"/>
    <w:rsid w:val="00F50F30"/>
    <w:rsid w:val="00F5126A"/>
    <w:rsid w:val="00F5126E"/>
    <w:rsid w:val="00F516EF"/>
    <w:rsid w:val="00F51755"/>
    <w:rsid w:val="00F531D9"/>
    <w:rsid w:val="00F53985"/>
    <w:rsid w:val="00F54D8E"/>
    <w:rsid w:val="00F5580D"/>
    <w:rsid w:val="00F566B7"/>
    <w:rsid w:val="00F56EA1"/>
    <w:rsid w:val="00F606D5"/>
    <w:rsid w:val="00F61176"/>
    <w:rsid w:val="00F611B3"/>
    <w:rsid w:val="00F6196E"/>
    <w:rsid w:val="00F61CCC"/>
    <w:rsid w:val="00F624DD"/>
    <w:rsid w:val="00F629C0"/>
    <w:rsid w:val="00F63FC7"/>
    <w:rsid w:val="00F65E1F"/>
    <w:rsid w:val="00F65ED5"/>
    <w:rsid w:val="00F6608B"/>
    <w:rsid w:val="00F6636A"/>
    <w:rsid w:val="00F667C5"/>
    <w:rsid w:val="00F67E31"/>
    <w:rsid w:val="00F70B44"/>
    <w:rsid w:val="00F710E6"/>
    <w:rsid w:val="00F71436"/>
    <w:rsid w:val="00F718A8"/>
    <w:rsid w:val="00F7207E"/>
    <w:rsid w:val="00F72183"/>
    <w:rsid w:val="00F72DEB"/>
    <w:rsid w:val="00F74399"/>
    <w:rsid w:val="00F7466B"/>
    <w:rsid w:val="00F75C12"/>
    <w:rsid w:val="00F764AF"/>
    <w:rsid w:val="00F76D01"/>
    <w:rsid w:val="00F80B43"/>
    <w:rsid w:val="00F80C97"/>
    <w:rsid w:val="00F81C35"/>
    <w:rsid w:val="00F82981"/>
    <w:rsid w:val="00F8311F"/>
    <w:rsid w:val="00F83248"/>
    <w:rsid w:val="00F83376"/>
    <w:rsid w:val="00F853AE"/>
    <w:rsid w:val="00F908D5"/>
    <w:rsid w:val="00F912A0"/>
    <w:rsid w:val="00F913B9"/>
    <w:rsid w:val="00F93C74"/>
    <w:rsid w:val="00F93DCC"/>
    <w:rsid w:val="00F9435D"/>
    <w:rsid w:val="00F966F9"/>
    <w:rsid w:val="00F96F61"/>
    <w:rsid w:val="00F97740"/>
    <w:rsid w:val="00FA0C8F"/>
    <w:rsid w:val="00FA1592"/>
    <w:rsid w:val="00FA24F2"/>
    <w:rsid w:val="00FA2B96"/>
    <w:rsid w:val="00FA2DEF"/>
    <w:rsid w:val="00FA2F7B"/>
    <w:rsid w:val="00FA36CC"/>
    <w:rsid w:val="00FA3C90"/>
    <w:rsid w:val="00FA3C97"/>
    <w:rsid w:val="00FA3D30"/>
    <w:rsid w:val="00FA4B49"/>
    <w:rsid w:val="00FA54F8"/>
    <w:rsid w:val="00FA63AB"/>
    <w:rsid w:val="00FA6CA9"/>
    <w:rsid w:val="00FA78C8"/>
    <w:rsid w:val="00FA7A2F"/>
    <w:rsid w:val="00FB00AD"/>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88"/>
    <w:rsid w:val="00FD0AA0"/>
    <w:rsid w:val="00FD1D1E"/>
    <w:rsid w:val="00FD1D5A"/>
    <w:rsid w:val="00FD4B85"/>
    <w:rsid w:val="00FD5059"/>
    <w:rsid w:val="00FD554D"/>
    <w:rsid w:val="00FD5BCC"/>
    <w:rsid w:val="00FD5EB8"/>
    <w:rsid w:val="00FD6C2D"/>
    <w:rsid w:val="00FD7B23"/>
    <w:rsid w:val="00FE1A5F"/>
    <w:rsid w:val="00FE2A48"/>
    <w:rsid w:val="00FE2DEF"/>
    <w:rsid w:val="00FE323C"/>
    <w:rsid w:val="00FE3A27"/>
    <w:rsid w:val="00FE48A6"/>
    <w:rsid w:val="00FE5D0A"/>
    <w:rsid w:val="00FE6469"/>
    <w:rsid w:val="00FE7C22"/>
    <w:rsid w:val="00FE7C6D"/>
    <w:rsid w:val="00FE7EB9"/>
    <w:rsid w:val="00FF05D0"/>
    <w:rsid w:val="00FF06CE"/>
    <w:rsid w:val="00FF0DC2"/>
    <w:rsid w:val="00FF0FF7"/>
    <w:rsid w:val="00FF1022"/>
    <w:rsid w:val="00FF10A2"/>
    <w:rsid w:val="00FF12FC"/>
    <w:rsid w:val="00FF1438"/>
    <w:rsid w:val="00FF2856"/>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9152075">
      <w:bodyDiv w:val="1"/>
      <w:marLeft w:val="0"/>
      <w:marRight w:val="0"/>
      <w:marTop w:val="0"/>
      <w:marBottom w:val="0"/>
      <w:divBdr>
        <w:top w:val="none" w:sz="0" w:space="0" w:color="auto"/>
        <w:left w:val="none" w:sz="0" w:space="0" w:color="auto"/>
        <w:bottom w:val="none" w:sz="0" w:space="0" w:color="auto"/>
        <w:right w:val="none" w:sz="0" w:space="0" w:color="auto"/>
      </w:divBdr>
    </w:div>
    <w:div w:id="194393624">
      <w:bodyDiv w:val="1"/>
      <w:marLeft w:val="0"/>
      <w:marRight w:val="0"/>
      <w:marTop w:val="0"/>
      <w:marBottom w:val="0"/>
      <w:divBdr>
        <w:top w:val="none" w:sz="0" w:space="0" w:color="auto"/>
        <w:left w:val="none" w:sz="0" w:space="0" w:color="auto"/>
        <w:bottom w:val="none" w:sz="0" w:space="0" w:color="auto"/>
        <w:right w:val="none" w:sz="0" w:space="0" w:color="auto"/>
      </w:divBdr>
    </w:div>
    <w:div w:id="1547795934">
      <w:bodyDiv w:val="1"/>
      <w:marLeft w:val="0"/>
      <w:marRight w:val="0"/>
      <w:marTop w:val="0"/>
      <w:marBottom w:val="0"/>
      <w:divBdr>
        <w:top w:val="none" w:sz="0" w:space="0" w:color="auto"/>
        <w:left w:val="none" w:sz="0" w:space="0" w:color="auto"/>
        <w:bottom w:val="none" w:sz="0" w:space="0" w:color="auto"/>
        <w:right w:val="none" w:sz="0" w:space="0" w:color="auto"/>
      </w:divBdr>
    </w:div>
    <w:div w:id="172297165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8B0E8-1F2A-48DA-8625-98298834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2100</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dcterms:created xsi:type="dcterms:W3CDTF">2012-10-09T17:34:00Z</dcterms:created>
  <dcterms:modified xsi:type="dcterms:W3CDTF">2012-10-09T17:34:00Z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