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AD40DF">
        <w:rPr>
          <w:caps/>
          <w:color w:val="auto"/>
        </w:rPr>
        <w:t xml:space="preserve">  </w:t>
      </w:r>
      <w:r w:rsidR="00714BFA">
        <w:rPr>
          <w:caps/>
          <w:color w:val="auto"/>
        </w:rPr>
        <w:t>xxxxxxxxxxxx</w:t>
      </w:r>
      <w:r w:rsidR="00AD40DF">
        <w:rPr>
          <w:caps/>
          <w:color w:val="auto"/>
        </w:rPr>
        <w:t xml:space="preserve">                                        </w:t>
      </w:r>
      <w:r w:rsidR="00571D95">
        <w:rPr>
          <w:caps/>
          <w:color w:val="auto"/>
        </w:rPr>
        <w:t xml:space="preserve">                                   </w:t>
      </w:r>
      <w:r w:rsidRPr="00F64312">
        <w:rPr>
          <w:caps/>
          <w:color w:val="auto"/>
        </w:rPr>
        <w:t>BRANCH OF SERVICE:</w:t>
      </w:r>
      <w:r w:rsidR="00571D95">
        <w:rPr>
          <w:caps/>
          <w:color w:val="auto"/>
        </w:rPr>
        <w:t xml:space="preserve">  ARMY</w:t>
      </w:r>
    </w:p>
    <w:p w:rsidR="00AD40DF" w:rsidRDefault="0095270D" w:rsidP="00DD5558">
      <w:pPr>
        <w:tabs>
          <w:tab w:val="right" w:pos="9360"/>
        </w:tabs>
        <w:jc w:val="both"/>
        <w:rPr>
          <w:color w:val="auto"/>
        </w:rPr>
      </w:pPr>
      <w:r w:rsidRPr="00F64312">
        <w:rPr>
          <w:caps/>
          <w:color w:val="auto"/>
        </w:rPr>
        <w:t>CASE NUMBER:  PD</w:t>
      </w:r>
      <w:r w:rsidR="000B7711">
        <w:rPr>
          <w:caps/>
          <w:color w:val="auto"/>
        </w:rPr>
        <w:t>11</w:t>
      </w:r>
      <w:r w:rsidR="00AD40DF">
        <w:rPr>
          <w:caps/>
          <w:color w:val="auto"/>
        </w:rPr>
        <w:t>00704</w:t>
      </w:r>
      <w:r w:rsidR="00AD40DF">
        <w:rPr>
          <w:color w:val="auto"/>
        </w:rPr>
        <w:t xml:space="preserve">                                 </w:t>
      </w:r>
      <w:r w:rsidR="00571D95">
        <w:rPr>
          <w:color w:val="auto"/>
        </w:rPr>
        <w:t xml:space="preserve">                </w:t>
      </w:r>
      <w:r w:rsidR="00AD40DF">
        <w:rPr>
          <w:color w:val="auto"/>
        </w:rPr>
        <w:t xml:space="preserve">DATE PLACEMENT ON TDRL: </w:t>
      </w:r>
      <w:r w:rsidR="00571D95">
        <w:rPr>
          <w:color w:val="auto"/>
        </w:rPr>
        <w:t xml:space="preserve"> 20030717</w:t>
      </w:r>
    </w:p>
    <w:p w:rsidR="00AD40DF" w:rsidRDefault="00AD40DF" w:rsidP="00AD40DF">
      <w:pPr>
        <w:tabs>
          <w:tab w:val="right" w:pos="9360"/>
        </w:tabs>
        <w:jc w:val="both"/>
        <w:rPr>
          <w:color w:val="auto"/>
        </w:rPr>
      </w:pPr>
      <w:r>
        <w:rPr>
          <w:color w:val="auto"/>
        </w:rPr>
        <w:t>BOARD DATE: 2012</w:t>
      </w:r>
      <w:r w:rsidR="0055493C">
        <w:rPr>
          <w:color w:val="auto"/>
        </w:rPr>
        <w:t>0622</w:t>
      </w:r>
      <w:r>
        <w:rPr>
          <w:color w:val="auto"/>
        </w:rPr>
        <w:tab/>
      </w:r>
      <w:r w:rsidR="00CE3E46">
        <w:rPr>
          <w:color w:val="auto"/>
        </w:rPr>
        <w:t xml:space="preserve"> </w:t>
      </w:r>
      <w:r w:rsidR="00571D95">
        <w:rPr>
          <w:color w:val="auto"/>
        </w:rPr>
        <w:t xml:space="preserve">                                          </w:t>
      </w:r>
      <w:r>
        <w:rPr>
          <w:color w:val="auto"/>
        </w:rPr>
        <w:t xml:space="preserve">DATE OF PERMANENT </w:t>
      </w:r>
      <w:r w:rsidR="0018208F" w:rsidRPr="00F64312">
        <w:rPr>
          <w:color w:val="auto"/>
        </w:rPr>
        <w:t>SE</w:t>
      </w:r>
      <w:r w:rsidR="0095270D" w:rsidRPr="00F64312">
        <w:rPr>
          <w:color w:val="auto"/>
        </w:rPr>
        <w:t xml:space="preserve">PARATION:  </w:t>
      </w:r>
      <w:r>
        <w:rPr>
          <w:color w:val="auto"/>
        </w:rPr>
        <w:t>20040928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671679">
      <w:pPr>
        <w:tabs>
          <w:tab w:val="left" w:pos="288"/>
          <w:tab w:val="left" w:pos="4752"/>
        </w:tabs>
        <w:jc w:val="both"/>
        <w:rPr>
          <w:color w:val="auto"/>
        </w:rPr>
      </w:pPr>
      <w:r w:rsidRPr="00F64312">
        <w:rPr>
          <w:color w:val="auto"/>
          <w:u w:val="single"/>
        </w:rPr>
        <w:t>SUMMARY OF CASE</w:t>
      </w:r>
      <w:r w:rsidRPr="00F64312">
        <w:rPr>
          <w:color w:val="auto"/>
        </w:rPr>
        <w:t>:</w:t>
      </w:r>
      <w:r w:rsidR="002142C2">
        <w:rPr>
          <w:color w:val="auto"/>
        </w:rPr>
        <w:t xml:space="preserve">  </w:t>
      </w:r>
      <w:r w:rsidR="00AD40DF" w:rsidRPr="001F29F9">
        <w:rPr>
          <w:color w:val="000000" w:themeColor="text1"/>
        </w:rPr>
        <w:t xml:space="preserve">Data extracted from the available evidence of record reflects that this covered individual (CI) </w:t>
      </w:r>
      <w:r w:rsidR="00AD40DF" w:rsidRPr="001F29F9">
        <w:rPr>
          <w:color w:val="000000" w:themeColor="text1"/>
          <w:szCs w:val="24"/>
        </w:rPr>
        <w:t>was a National Guard</w:t>
      </w:r>
      <w:r w:rsidR="00AD40DF">
        <w:rPr>
          <w:color w:val="000000" w:themeColor="text1"/>
          <w:szCs w:val="24"/>
        </w:rPr>
        <w:t xml:space="preserve"> </w:t>
      </w:r>
      <w:r w:rsidR="00AD40DF" w:rsidRPr="001F29F9">
        <w:rPr>
          <w:color w:val="000000" w:themeColor="text1"/>
          <w:szCs w:val="24"/>
        </w:rPr>
        <w:t>SGT/E-5 (</w:t>
      </w:r>
      <w:r w:rsidR="00AD40DF">
        <w:rPr>
          <w:color w:val="000000" w:themeColor="text1"/>
          <w:szCs w:val="24"/>
        </w:rPr>
        <w:t>13B</w:t>
      </w:r>
      <w:r w:rsidR="00AD40DF" w:rsidRPr="001F29F9">
        <w:rPr>
          <w:color w:val="000000" w:themeColor="text1"/>
          <w:szCs w:val="24"/>
        </w:rPr>
        <w:t xml:space="preserve">, </w:t>
      </w:r>
      <w:r w:rsidR="00AD40DF">
        <w:rPr>
          <w:color w:val="000000" w:themeColor="text1"/>
          <w:szCs w:val="24"/>
        </w:rPr>
        <w:t>Cannon Crewmember</w:t>
      </w:r>
      <w:r w:rsidR="00AD40DF" w:rsidRPr="001F29F9">
        <w:rPr>
          <w:color w:val="000000" w:themeColor="text1"/>
          <w:szCs w:val="24"/>
        </w:rPr>
        <w:t>), medically separated for</w:t>
      </w:r>
      <w:r w:rsidR="00AD40DF">
        <w:rPr>
          <w:color w:val="000000" w:themeColor="text1"/>
          <w:szCs w:val="24"/>
        </w:rPr>
        <w:t xml:space="preserve"> chronic pain, left shoulder, with mild acromioclavicular arthritis with rotator cuff tendonitis</w:t>
      </w:r>
      <w:r w:rsidR="00AD40DF" w:rsidRPr="002142C2">
        <w:rPr>
          <w:color w:val="000000" w:themeColor="text1"/>
          <w:szCs w:val="24"/>
        </w:rPr>
        <w:t>.</w:t>
      </w:r>
      <w:r w:rsidR="00AD40DF">
        <w:rPr>
          <w:color w:val="000000" w:themeColor="text1"/>
          <w:szCs w:val="24"/>
        </w:rPr>
        <w:t xml:space="preserve">  </w:t>
      </w:r>
      <w:r w:rsidR="002142C2" w:rsidRPr="002142C2">
        <w:rPr>
          <w:color w:val="000000" w:themeColor="text1"/>
          <w:szCs w:val="24"/>
        </w:rPr>
        <w:t xml:space="preserve">The CI did not improve adequately with treatment to meet the physical requirements of his Military Occupational Specialty (MOS) or satisfy physical fitness standards.  </w:t>
      </w:r>
      <w:r w:rsidR="00AD40DF" w:rsidRPr="001F29F9">
        <w:rPr>
          <w:color w:val="000000" w:themeColor="text1"/>
          <w:szCs w:val="24"/>
        </w:rPr>
        <w:t xml:space="preserve">He was issued a </w:t>
      </w:r>
      <w:r w:rsidR="00AD40DF" w:rsidRPr="00CD3739">
        <w:rPr>
          <w:color w:val="000000" w:themeColor="text1"/>
          <w:szCs w:val="24"/>
        </w:rPr>
        <w:t>permanent U3 profile</w:t>
      </w:r>
      <w:r w:rsidR="00AD40DF">
        <w:rPr>
          <w:color w:val="000000" w:themeColor="text1"/>
          <w:szCs w:val="24"/>
        </w:rPr>
        <w:t xml:space="preserve"> </w:t>
      </w:r>
      <w:r w:rsidR="00AD40DF" w:rsidRPr="001F29F9">
        <w:rPr>
          <w:color w:val="000000" w:themeColor="text1"/>
          <w:szCs w:val="24"/>
        </w:rPr>
        <w:t>and</w:t>
      </w:r>
      <w:r w:rsidR="002142C2" w:rsidRPr="002142C2">
        <w:rPr>
          <w:color w:val="000000" w:themeColor="text1"/>
          <w:szCs w:val="24"/>
        </w:rPr>
        <w:t xml:space="preserve"> referred for a Medical Evaluation Board (MEB).</w:t>
      </w:r>
      <w:r w:rsidR="00671679">
        <w:rPr>
          <w:color w:val="000000" w:themeColor="text1"/>
          <w:szCs w:val="24"/>
        </w:rPr>
        <w:t xml:space="preserve">  </w:t>
      </w:r>
      <w:r w:rsidR="00AD40DF">
        <w:rPr>
          <w:color w:val="000000" w:themeColor="text1"/>
          <w:szCs w:val="24"/>
        </w:rPr>
        <w:t>Chronic regional pain syndrome due to nerve stretch injury of the cervical spine was</w:t>
      </w:r>
      <w:r w:rsidR="00AD40DF" w:rsidRPr="001F29F9">
        <w:rPr>
          <w:color w:val="000000" w:themeColor="text1"/>
          <w:szCs w:val="24"/>
        </w:rPr>
        <w:t xml:space="preserve"> forwarded to the Physical Evaluation Board (PEB) as medically unacceptable IAW </w:t>
      </w:r>
      <w:r w:rsidR="00AD40DF" w:rsidRPr="00CD3739">
        <w:rPr>
          <w:color w:val="000000" w:themeColor="text1"/>
          <w:szCs w:val="24"/>
        </w:rPr>
        <w:t>AR 40-501</w:t>
      </w:r>
      <w:r w:rsidR="00AD40DF" w:rsidRPr="001F29F9">
        <w:rPr>
          <w:color w:val="000000" w:themeColor="text1"/>
          <w:szCs w:val="24"/>
        </w:rPr>
        <w:t>.</w:t>
      </w:r>
      <w:r w:rsidR="00AD40DF">
        <w:rPr>
          <w:color w:val="000000" w:themeColor="text1"/>
          <w:szCs w:val="24"/>
        </w:rPr>
        <w:t xml:space="preserve">  </w:t>
      </w:r>
      <w:r w:rsidR="00AD40DF" w:rsidRPr="001F29F9">
        <w:rPr>
          <w:color w:val="000000" w:themeColor="text1"/>
          <w:szCs w:val="24"/>
        </w:rPr>
        <w:t>No other conditions appeared on the MEB’s submission.  The PEB</w:t>
      </w:r>
      <w:r w:rsidR="000B7711">
        <w:rPr>
          <w:color w:val="000000" w:themeColor="text1"/>
          <w:szCs w:val="24"/>
        </w:rPr>
        <w:t xml:space="preserve"> </w:t>
      </w:r>
      <w:r w:rsidR="00AD40DF" w:rsidRPr="001F29F9">
        <w:rPr>
          <w:color w:val="000000" w:themeColor="text1"/>
          <w:szCs w:val="24"/>
        </w:rPr>
        <w:t xml:space="preserve">adjudicated the </w:t>
      </w:r>
      <w:r w:rsidR="00AD40DF">
        <w:rPr>
          <w:color w:val="000000" w:themeColor="text1"/>
          <w:szCs w:val="24"/>
        </w:rPr>
        <w:t xml:space="preserve">chronic left arm and neck pain </w:t>
      </w:r>
      <w:r w:rsidR="00AD40DF" w:rsidRPr="001F29F9">
        <w:rPr>
          <w:color w:val="000000" w:themeColor="text1"/>
          <w:szCs w:val="24"/>
        </w:rPr>
        <w:t>as unfitting</w:t>
      </w:r>
      <w:r w:rsidR="00AD40DF">
        <w:rPr>
          <w:color w:val="000000" w:themeColor="text1"/>
          <w:szCs w:val="24"/>
        </w:rPr>
        <w:t>, rated 40%, with application of the Veterans Admin</w:t>
      </w:r>
      <w:r w:rsidR="00376EA5">
        <w:rPr>
          <w:color w:val="000000" w:themeColor="text1"/>
          <w:szCs w:val="24"/>
        </w:rPr>
        <w:t>i</w:t>
      </w:r>
      <w:r w:rsidR="00AD40DF">
        <w:rPr>
          <w:color w:val="000000" w:themeColor="text1"/>
          <w:szCs w:val="24"/>
        </w:rPr>
        <w:t>stration Schedule for Rating Disability (VASRD)</w:t>
      </w:r>
      <w:r w:rsidR="002142C2">
        <w:rPr>
          <w:color w:val="000000" w:themeColor="text1"/>
          <w:szCs w:val="24"/>
        </w:rPr>
        <w:t xml:space="preserve"> and placed the CI </w:t>
      </w:r>
      <w:r w:rsidR="00AD40DF" w:rsidRPr="001F29F9">
        <w:rPr>
          <w:color w:val="000000" w:themeColor="text1"/>
          <w:szCs w:val="24"/>
        </w:rPr>
        <w:t xml:space="preserve">on </w:t>
      </w:r>
      <w:r w:rsidR="002142C2">
        <w:rPr>
          <w:color w:val="000000" w:themeColor="text1"/>
          <w:szCs w:val="24"/>
        </w:rPr>
        <w:t xml:space="preserve">the </w:t>
      </w:r>
      <w:r w:rsidR="00AD40DF" w:rsidRPr="001F29F9">
        <w:rPr>
          <w:color w:val="000000" w:themeColor="text1"/>
          <w:szCs w:val="24"/>
        </w:rPr>
        <w:t>Temporary Disability Retired List (TDRL)</w:t>
      </w:r>
      <w:r w:rsidR="002142C2">
        <w:rPr>
          <w:color w:val="000000" w:themeColor="text1"/>
          <w:szCs w:val="24"/>
        </w:rPr>
        <w:t xml:space="preserve">.  TDRL evaluation </w:t>
      </w:r>
      <w:r w:rsidR="00FD55AA">
        <w:rPr>
          <w:color w:val="000000" w:themeColor="text1"/>
          <w:szCs w:val="24"/>
        </w:rPr>
        <w:t>a</w:t>
      </w:r>
      <w:r w:rsidR="002142C2">
        <w:rPr>
          <w:color w:val="000000" w:themeColor="text1"/>
          <w:szCs w:val="24"/>
        </w:rPr>
        <w:t xml:space="preserve"> year later resulted in change of diagnosis to </w:t>
      </w:r>
      <w:r w:rsidR="00671679">
        <w:rPr>
          <w:color w:val="000000" w:themeColor="text1"/>
          <w:szCs w:val="24"/>
        </w:rPr>
        <w:t>chronic pain, left shoulder, with mild acromioclavicular arthritis with rotator cuff tendonitis</w:t>
      </w:r>
      <w:r w:rsidR="00671679" w:rsidRPr="002142C2">
        <w:rPr>
          <w:color w:val="000000" w:themeColor="text1"/>
          <w:szCs w:val="24"/>
        </w:rPr>
        <w:t>.</w:t>
      </w:r>
      <w:r w:rsidR="00671679">
        <w:rPr>
          <w:color w:val="000000" w:themeColor="text1"/>
          <w:szCs w:val="24"/>
        </w:rPr>
        <w:t xml:space="preserve">  </w:t>
      </w:r>
      <w:r w:rsidR="00671679" w:rsidRPr="00671679">
        <w:rPr>
          <w:color w:val="000000" w:themeColor="text1"/>
          <w:szCs w:val="24"/>
        </w:rPr>
        <w:t xml:space="preserve">The PEB adjudicated the </w:t>
      </w:r>
      <w:r w:rsidR="00671679">
        <w:rPr>
          <w:color w:val="000000" w:themeColor="text1"/>
          <w:szCs w:val="24"/>
        </w:rPr>
        <w:t xml:space="preserve">chronic pain, left shoulder, with mild acromioclavicular arthritis with rotator cuff tendonitis as </w:t>
      </w:r>
      <w:r w:rsidR="00671679" w:rsidRPr="00671679">
        <w:rPr>
          <w:color w:val="000000" w:themeColor="text1"/>
          <w:szCs w:val="24"/>
        </w:rPr>
        <w:t xml:space="preserve">unfitting, rated 20% with application of the US Army Physical Disability Agency (USAPDA) pain policy.  </w:t>
      </w:r>
      <w:r w:rsidR="0066684A" w:rsidRPr="00671679">
        <w:rPr>
          <w:color w:val="000000" w:themeColor="text1"/>
          <w:szCs w:val="24"/>
        </w:rPr>
        <w:t>The CI appealed to the USAPDA</w:t>
      </w:r>
      <w:r w:rsidR="00671679" w:rsidRPr="00671679">
        <w:rPr>
          <w:color w:val="000000" w:themeColor="text1"/>
          <w:szCs w:val="24"/>
        </w:rPr>
        <w:t xml:space="preserve"> </w:t>
      </w:r>
      <w:r w:rsidR="00ED7820" w:rsidRPr="00671679">
        <w:rPr>
          <w:color w:val="000000" w:themeColor="text1"/>
          <w:szCs w:val="24"/>
        </w:rPr>
        <w:t xml:space="preserve">which affirmed the </w:t>
      </w:r>
      <w:r w:rsidR="0066684A" w:rsidRPr="00671679">
        <w:rPr>
          <w:color w:val="000000" w:themeColor="text1"/>
          <w:szCs w:val="24"/>
        </w:rPr>
        <w:t xml:space="preserve">PEB findings; and was then medically separated with a </w:t>
      </w:r>
      <w:r w:rsidR="00671679" w:rsidRPr="00671679">
        <w:rPr>
          <w:color w:val="000000" w:themeColor="text1"/>
          <w:szCs w:val="24"/>
        </w:rPr>
        <w:t>20</w:t>
      </w:r>
      <w:r w:rsidR="0066684A" w:rsidRPr="00671679">
        <w:rPr>
          <w:color w:val="000000" w:themeColor="text1"/>
          <w:szCs w:val="24"/>
        </w:rPr>
        <w:t xml:space="preserve">% disability rating.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616B7">
        <w:rPr>
          <w:color w:val="auto"/>
        </w:rPr>
        <w:t xml:space="preserve"> </w:t>
      </w:r>
      <w:r w:rsidR="00AD40DF" w:rsidRPr="00AD40DF">
        <w:rPr>
          <w:color w:val="000000"/>
          <w:szCs w:val="24"/>
        </w:rPr>
        <w:t xml:space="preserve">“I </w:t>
      </w:r>
      <w:r w:rsidR="00AD40DF" w:rsidRPr="00CE3E46">
        <w:rPr>
          <w:color w:val="000000"/>
          <w:szCs w:val="24"/>
        </w:rPr>
        <w:t>have continued to lose function of my left arm and have lost grip strength in the left hand, along with tremors in the left arm, and I’m still unable to move left shoulder and still have chronic neck pain</w:t>
      </w:r>
      <w:r w:rsidR="006616B7">
        <w:rPr>
          <w:color w:val="000000"/>
          <w:szCs w:val="24"/>
        </w:rPr>
        <w:t>.</w:t>
      </w:r>
      <w:r w:rsidR="00C134A1">
        <w:rPr>
          <w:color w:val="000000"/>
          <w:szCs w:val="24"/>
        </w:rPr>
        <w:t xml:space="preserve">  I</w:t>
      </w:r>
      <w:r w:rsidR="006616B7">
        <w:rPr>
          <w:color w:val="000000"/>
          <w:szCs w:val="24"/>
        </w:rPr>
        <w:t xml:space="preserve"> have included V.A. Determination letters, to include 30% for Asthma, 10% for Tinnitus and 10% for Degenerative joint disease of the left knee.  The V.A. has denied by my application for service connection for the original claim on my neck, shoulder left arm and hand.  I feel that I was treated unfairly and I haven’t been able to appeal, being that I don’t have any additional evidence except for what I have in my VA medical records.</w:t>
      </w:r>
      <w:r w:rsidR="00AD40DF" w:rsidRPr="00AD40DF">
        <w:rPr>
          <w:color w:val="000000"/>
          <w:szCs w:val="24"/>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2142C2"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B7711">
        <w:rPr>
          <w:color w:val="auto"/>
        </w:rPr>
        <w:t>.</w:t>
      </w:r>
      <w:r w:rsidRPr="00C566C9">
        <w:rPr>
          <w:color w:val="auto"/>
        </w:rPr>
        <w:t>”</w:t>
      </w:r>
      <w:r>
        <w:rPr>
          <w:color w:val="auto"/>
        </w:rPr>
        <w:t xml:space="preserve">  </w:t>
      </w:r>
      <w:r w:rsidRPr="009239C0">
        <w:rPr>
          <w:color w:val="auto"/>
        </w:rPr>
        <w:t>The ratings for unfitting conditions will be reviewed in all cases.</w:t>
      </w:r>
      <w:r w:rsidR="002142C2">
        <w:rPr>
          <w:color w:val="auto"/>
        </w:rPr>
        <w:t xml:space="preserve">  </w:t>
      </w:r>
      <w:r w:rsidRPr="002142C2">
        <w:rPr>
          <w:color w:val="auto"/>
        </w:rPr>
        <w:t>The remaining conditions listed on the DA Form 294 are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2142C2">
        <w:rPr>
          <w:color w:val="auto"/>
        </w:rPr>
        <w:t>the Army Board for the Correction of Military Records (BCMR)</w:t>
      </w:r>
      <w:r w:rsidR="002142C2" w:rsidRPr="002142C2">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0B63CF" w:rsidRPr="00F64312" w:rsidRDefault="000B63CF" w:rsidP="00DD5558">
      <w:pPr>
        <w:jc w:val="both"/>
        <w:rPr>
          <w:color w:val="auto"/>
        </w:rPr>
      </w:pPr>
    </w:p>
    <w:p w:rsidR="000B7711" w:rsidRDefault="000B7711" w:rsidP="000B7711">
      <w:pPr>
        <w:spacing w:line="240" w:lineRule="auto"/>
        <w:jc w:val="left"/>
        <w:rPr>
          <w:color w:val="auto"/>
        </w:rPr>
      </w:pPr>
    </w:p>
    <w:p w:rsidR="000B7711" w:rsidRDefault="000B7711" w:rsidP="000B7711">
      <w:pPr>
        <w:spacing w:line="240" w:lineRule="auto"/>
        <w:jc w:val="left"/>
        <w:rPr>
          <w:color w:val="auto"/>
        </w:rPr>
      </w:pPr>
    </w:p>
    <w:p w:rsidR="000B7711" w:rsidRDefault="000B7711" w:rsidP="000B7711">
      <w:pPr>
        <w:spacing w:line="240" w:lineRule="auto"/>
        <w:jc w:val="left"/>
        <w:rPr>
          <w:color w:val="auto"/>
        </w:rPr>
      </w:pPr>
    </w:p>
    <w:p w:rsidR="000B7711" w:rsidRDefault="000B7711" w:rsidP="000B7711">
      <w:pPr>
        <w:spacing w:line="240" w:lineRule="auto"/>
        <w:jc w:val="left"/>
        <w:rPr>
          <w:color w:val="auto"/>
        </w:rPr>
      </w:pPr>
    </w:p>
    <w:p w:rsidR="000B7711" w:rsidRDefault="000B7711" w:rsidP="000B7711">
      <w:pPr>
        <w:spacing w:line="240" w:lineRule="auto"/>
        <w:jc w:val="left"/>
        <w:rPr>
          <w:color w:val="auto"/>
        </w:rPr>
      </w:pPr>
    </w:p>
    <w:p w:rsidR="00AD2379" w:rsidRDefault="00AD2379" w:rsidP="000B7711">
      <w:pPr>
        <w:spacing w:line="240" w:lineRule="auto"/>
        <w:jc w:val="left"/>
        <w:rPr>
          <w:color w:val="auto"/>
        </w:rPr>
      </w:pPr>
      <w:r w:rsidRPr="00F64312">
        <w:rPr>
          <w:color w:val="auto"/>
          <w:u w:val="single"/>
        </w:rPr>
        <w:t>RATING COMPARISON</w:t>
      </w:r>
      <w:r w:rsidR="00571D95">
        <w:rPr>
          <w:color w:val="auto"/>
        </w:rPr>
        <w:t>:</w:t>
      </w:r>
    </w:p>
    <w:p w:rsidR="00AD40DF" w:rsidRPr="00EE33F1" w:rsidRDefault="00AD40DF" w:rsidP="00AD40DF">
      <w:pPr>
        <w:tabs>
          <w:tab w:val="left" w:pos="288"/>
          <w:tab w:val="left" w:pos="4752"/>
        </w:tabs>
        <w:jc w:val="both"/>
        <w:rPr>
          <w:b/>
          <w:color w:val="000000" w:themeColor="text1"/>
          <w:szCs w:val="18"/>
          <w:u w:val="single"/>
        </w:rPr>
      </w:pPr>
    </w:p>
    <w:tbl>
      <w:tblPr>
        <w:tblStyle w:val="TableGrid"/>
        <w:tblpPr w:leftFromText="187" w:rightFromText="187" w:vertAnchor="text" w:tblpXSpec="center" w:tblpY="1"/>
        <w:tblOverlap w:val="never"/>
        <w:tblW w:w="9918" w:type="dxa"/>
        <w:tblLayout w:type="fixed"/>
        <w:tblLook w:val="04A0"/>
      </w:tblPr>
      <w:tblGrid>
        <w:gridCol w:w="1710"/>
        <w:gridCol w:w="1080"/>
        <w:gridCol w:w="1080"/>
        <w:gridCol w:w="720"/>
        <w:gridCol w:w="2250"/>
        <w:gridCol w:w="1080"/>
        <w:gridCol w:w="810"/>
        <w:gridCol w:w="1188"/>
      </w:tblGrid>
      <w:tr w:rsidR="00AD40DF" w:rsidRPr="001F29F9" w:rsidTr="00376EA5">
        <w:trPr>
          <w:trHeight w:val="233"/>
        </w:trPr>
        <w:tc>
          <w:tcPr>
            <w:tcW w:w="4590" w:type="dxa"/>
            <w:gridSpan w:val="4"/>
            <w:tcBorders>
              <w:righ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Final Service PEB – Dated 200</w:t>
            </w:r>
            <w:r>
              <w:rPr>
                <w:b/>
                <w:color w:val="000000" w:themeColor="text1"/>
                <w:sz w:val="18"/>
                <w:szCs w:val="18"/>
              </w:rPr>
              <w:t>40622</w:t>
            </w:r>
          </w:p>
        </w:tc>
        <w:tc>
          <w:tcPr>
            <w:tcW w:w="5328" w:type="dxa"/>
            <w:gridSpan w:val="4"/>
            <w:tcBorders>
              <w:lef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C340A0">
              <w:rPr>
                <w:rFonts w:cs="Calibri"/>
                <w:b/>
                <w:color w:val="000000" w:themeColor="text1"/>
                <w:sz w:val="18"/>
                <w:szCs w:val="18"/>
              </w:rPr>
              <w:t>VA (5 Mo. Pre Separation)</w:t>
            </w:r>
            <w:r w:rsidRPr="001F29F9">
              <w:rPr>
                <w:rFonts w:cs="Calibri"/>
                <w:b/>
                <w:color w:val="000000" w:themeColor="text1"/>
                <w:sz w:val="18"/>
                <w:szCs w:val="18"/>
              </w:rPr>
              <w:t xml:space="preserve"> – </w:t>
            </w:r>
            <w:r>
              <w:rPr>
                <w:rFonts w:cs="Calibri"/>
                <w:b/>
                <w:color w:val="000000" w:themeColor="text1"/>
                <w:sz w:val="18"/>
                <w:szCs w:val="18"/>
              </w:rPr>
              <w:t xml:space="preserve">No </w:t>
            </w:r>
            <w:r w:rsidRPr="001F29F9">
              <w:rPr>
                <w:rFonts w:cs="Calibri"/>
                <w:b/>
                <w:color w:val="000000" w:themeColor="text1"/>
                <w:sz w:val="18"/>
                <w:szCs w:val="18"/>
              </w:rPr>
              <w:t>Effective Date</w:t>
            </w:r>
            <w:r>
              <w:rPr>
                <w:rFonts w:cs="Calibri"/>
                <w:b/>
                <w:color w:val="000000" w:themeColor="text1"/>
                <w:sz w:val="18"/>
                <w:szCs w:val="18"/>
              </w:rPr>
              <w:t>, NSC</w:t>
            </w:r>
          </w:p>
        </w:tc>
      </w:tr>
      <w:tr w:rsidR="00AD40DF" w:rsidRPr="001F29F9" w:rsidTr="00376EA5">
        <w:trPr>
          <w:trHeight w:val="233"/>
        </w:trPr>
        <w:tc>
          <w:tcPr>
            <w:tcW w:w="1710" w:type="dxa"/>
            <w:tcBorders>
              <w:bottom w:val="single" w:sz="4" w:space="0" w:color="000000" w:themeColor="text1"/>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Code</w:t>
            </w:r>
          </w:p>
        </w:tc>
        <w:tc>
          <w:tcPr>
            <w:tcW w:w="180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Rating</w:t>
            </w:r>
          </w:p>
        </w:tc>
        <w:tc>
          <w:tcPr>
            <w:tcW w:w="2250" w:type="dxa"/>
            <w:vMerge w:val="restart"/>
            <w:tcBorders>
              <w:lef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Condition</w:t>
            </w:r>
          </w:p>
        </w:tc>
        <w:tc>
          <w:tcPr>
            <w:tcW w:w="1080" w:type="dxa"/>
            <w:vMerge w:val="restart"/>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Code</w:t>
            </w:r>
          </w:p>
        </w:tc>
        <w:tc>
          <w:tcPr>
            <w:tcW w:w="810" w:type="dxa"/>
            <w:vMerge w:val="restart"/>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Rating</w:t>
            </w:r>
          </w:p>
        </w:tc>
        <w:tc>
          <w:tcPr>
            <w:tcW w:w="1188" w:type="dxa"/>
            <w:vMerge w:val="restart"/>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Exam</w:t>
            </w:r>
          </w:p>
        </w:tc>
      </w:tr>
      <w:tr w:rsidR="00AD40DF" w:rsidRPr="001F29F9" w:rsidTr="00376EA5">
        <w:trPr>
          <w:trHeight w:val="152"/>
        </w:trPr>
        <w:tc>
          <w:tcPr>
            <w:tcW w:w="1710" w:type="dxa"/>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On TDRL – 200</w:t>
            </w:r>
            <w:r>
              <w:rPr>
                <w:b/>
                <w:color w:val="000000" w:themeColor="text1"/>
                <w:sz w:val="18"/>
                <w:szCs w:val="18"/>
              </w:rPr>
              <w:t>30717</w:t>
            </w:r>
          </w:p>
        </w:tc>
        <w:tc>
          <w:tcPr>
            <w:tcW w:w="1080" w:type="dxa"/>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p>
        </w:tc>
        <w:tc>
          <w:tcPr>
            <w:tcW w:w="1080" w:type="dxa"/>
            <w:tcBorders>
              <w:right w:val="single" w:sz="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r w:rsidRPr="001F29F9">
              <w:rPr>
                <w:b/>
                <w:color w:val="000000" w:themeColor="text1"/>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AD40DF" w:rsidRPr="001F29F9" w:rsidRDefault="00AD40DF" w:rsidP="00376EA5">
            <w:pPr>
              <w:tabs>
                <w:tab w:val="left" w:pos="206"/>
                <w:tab w:val="center" w:pos="387"/>
              </w:tabs>
              <w:contextualSpacing/>
              <w:rPr>
                <w:rFonts w:cstheme="minorHAnsi"/>
                <w:b/>
                <w:color w:val="000000" w:themeColor="text1"/>
                <w:sz w:val="18"/>
                <w:szCs w:val="18"/>
              </w:rPr>
            </w:pPr>
            <w:r w:rsidRPr="001F29F9">
              <w:rPr>
                <w:b/>
                <w:color w:val="000000" w:themeColor="text1"/>
                <w:sz w:val="18"/>
                <w:szCs w:val="18"/>
              </w:rPr>
              <w:t>Sep.</w:t>
            </w:r>
          </w:p>
        </w:tc>
        <w:tc>
          <w:tcPr>
            <w:tcW w:w="2250" w:type="dxa"/>
            <w:vMerge/>
            <w:tcBorders>
              <w:left w:val="thinThickThinSmallGap" w:sz="24" w:space="0" w:color="auto"/>
              <w:bottom w:val="single" w:sz="4" w:space="0" w:color="auto"/>
            </w:tcBorders>
            <w:shd w:val="clear" w:color="auto" w:fill="D9D9D9" w:themeFill="background1" w:themeFillShade="D9"/>
            <w:vAlign w:val="center"/>
          </w:tcPr>
          <w:p w:rsidR="00AD40DF" w:rsidRPr="001F29F9" w:rsidRDefault="00AD40DF" w:rsidP="00376EA5">
            <w:pPr>
              <w:contextualSpacing/>
              <w:rPr>
                <w:rFonts w:cstheme="minorHAnsi"/>
                <w:b/>
                <w:color w:val="000000" w:themeColor="text1"/>
                <w:sz w:val="18"/>
                <w:szCs w:val="18"/>
              </w:rPr>
            </w:pPr>
          </w:p>
        </w:tc>
        <w:tc>
          <w:tcPr>
            <w:tcW w:w="1080" w:type="dxa"/>
            <w:vMerge/>
            <w:tcBorders>
              <w:bottom w:val="single" w:sz="4" w:space="0" w:color="auto"/>
            </w:tcBorders>
            <w:shd w:val="clear" w:color="auto" w:fill="C6D9F1" w:themeFill="text2" w:themeFillTint="33"/>
          </w:tcPr>
          <w:p w:rsidR="00AD40DF" w:rsidRPr="001F29F9" w:rsidRDefault="00AD40DF" w:rsidP="00376EA5">
            <w:pPr>
              <w:contextualSpacing/>
              <w:rPr>
                <w:rFonts w:cstheme="minorHAnsi"/>
                <w:b/>
                <w:color w:val="000000" w:themeColor="text1"/>
                <w:sz w:val="18"/>
                <w:szCs w:val="18"/>
              </w:rPr>
            </w:pPr>
          </w:p>
        </w:tc>
        <w:tc>
          <w:tcPr>
            <w:tcW w:w="810" w:type="dxa"/>
            <w:vMerge/>
            <w:shd w:val="clear" w:color="auto" w:fill="C6D9F1" w:themeFill="text2" w:themeFillTint="33"/>
          </w:tcPr>
          <w:p w:rsidR="00AD40DF" w:rsidRPr="001F29F9" w:rsidRDefault="00AD40DF" w:rsidP="00376EA5">
            <w:pPr>
              <w:contextualSpacing/>
              <w:rPr>
                <w:rFonts w:cstheme="minorHAnsi"/>
                <w:b/>
                <w:color w:val="000000" w:themeColor="text1"/>
                <w:sz w:val="18"/>
                <w:szCs w:val="18"/>
              </w:rPr>
            </w:pPr>
          </w:p>
        </w:tc>
        <w:tc>
          <w:tcPr>
            <w:tcW w:w="1188" w:type="dxa"/>
            <w:vMerge/>
            <w:shd w:val="clear" w:color="auto" w:fill="C6D9F1" w:themeFill="text2" w:themeFillTint="33"/>
          </w:tcPr>
          <w:p w:rsidR="00AD40DF" w:rsidRPr="001F29F9" w:rsidRDefault="00AD40DF" w:rsidP="00376EA5">
            <w:pPr>
              <w:contextualSpacing/>
              <w:rPr>
                <w:rFonts w:cstheme="minorHAnsi"/>
                <w:b/>
                <w:color w:val="000000" w:themeColor="text1"/>
                <w:sz w:val="18"/>
                <w:szCs w:val="18"/>
              </w:rPr>
            </w:pPr>
          </w:p>
        </w:tc>
      </w:tr>
      <w:tr w:rsidR="00AD40DF" w:rsidRPr="001F29F9" w:rsidTr="00376EA5">
        <w:trPr>
          <w:trHeight w:val="336"/>
        </w:trPr>
        <w:tc>
          <w:tcPr>
            <w:tcW w:w="1710" w:type="dxa"/>
            <w:vMerge w:val="restart"/>
            <w:tcBorders>
              <w:right w:val="single" w:sz="4" w:space="0" w:color="auto"/>
            </w:tcBorders>
            <w:shd w:val="clear" w:color="auto" w:fill="FFFFFF" w:themeFill="background1"/>
            <w:vAlign w:val="center"/>
          </w:tcPr>
          <w:p w:rsidR="00AD40DF" w:rsidRPr="001F29F9" w:rsidRDefault="00AD40DF" w:rsidP="00376EA5">
            <w:pPr>
              <w:spacing w:line="180" w:lineRule="exact"/>
              <w:contextualSpacing/>
              <w:jc w:val="left"/>
              <w:rPr>
                <w:rFonts w:cstheme="minorHAnsi"/>
                <w:color w:val="000000" w:themeColor="text1"/>
                <w:sz w:val="18"/>
                <w:szCs w:val="18"/>
              </w:rPr>
            </w:pPr>
            <w:r>
              <w:rPr>
                <w:rFonts w:cstheme="minorHAnsi"/>
                <w:color w:val="000000" w:themeColor="text1"/>
                <w:sz w:val="18"/>
                <w:szCs w:val="18"/>
              </w:rPr>
              <w:t>Chronic Left Arm and Neck Pain</w:t>
            </w:r>
          </w:p>
        </w:tc>
        <w:tc>
          <w:tcPr>
            <w:tcW w:w="1080" w:type="dxa"/>
            <w:vMerge w:val="restart"/>
            <w:tcBorders>
              <w:left w:val="single" w:sz="4" w:space="0" w:color="auto"/>
            </w:tcBorders>
            <w:shd w:val="clear" w:color="auto" w:fill="FFFFFF" w:themeFill="background1"/>
            <w:vAlign w:val="center"/>
          </w:tcPr>
          <w:p w:rsidR="00AD40DF" w:rsidRPr="001F29F9" w:rsidRDefault="00AD40DF" w:rsidP="00376EA5">
            <w:pPr>
              <w:spacing w:line="180" w:lineRule="exact"/>
              <w:contextualSpacing/>
              <w:rPr>
                <w:rFonts w:cstheme="minorHAnsi"/>
                <w:color w:val="000000" w:themeColor="text1"/>
                <w:sz w:val="18"/>
                <w:szCs w:val="18"/>
              </w:rPr>
            </w:pPr>
            <w:r>
              <w:rPr>
                <w:rFonts w:cstheme="minorHAnsi"/>
                <w:color w:val="000000" w:themeColor="text1"/>
                <w:sz w:val="18"/>
                <w:szCs w:val="18"/>
              </w:rPr>
              <w:t>8799-8713</w:t>
            </w:r>
          </w:p>
        </w:tc>
        <w:tc>
          <w:tcPr>
            <w:tcW w:w="1080" w:type="dxa"/>
            <w:vMerge w:val="restart"/>
            <w:tcBorders>
              <w:right w:val="single" w:sz="4" w:space="0" w:color="auto"/>
            </w:tcBorders>
            <w:shd w:val="clear" w:color="auto" w:fill="FFFFFF" w:themeFill="background1"/>
            <w:vAlign w:val="center"/>
          </w:tcPr>
          <w:p w:rsidR="00AD40DF" w:rsidRPr="001F29F9" w:rsidRDefault="00AD40DF" w:rsidP="00376EA5">
            <w:pPr>
              <w:spacing w:line="180" w:lineRule="exact"/>
              <w:rPr>
                <w:rFonts w:cstheme="minorHAnsi"/>
                <w:color w:val="000000" w:themeColor="text1"/>
                <w:sz w:val="18"/>
                <w:szCs w:val="18"/>
              </w:rPr>
            </w:pPr>
            <w:r>
              <w:rPr>
                <w:rFonts w:cstheme="minorHAnsi"/>
                <w:color w:val="000000" w:themeColor="text1"/>
                <w:sz w:val="18"/>
                <w:szCs w:val="18"/>
              </w:rPr>
              <w:t>40</w:t>
            </w:r>
            <w:r w:rsidRPr="001F29F9">
              <w:rPr>
                <w:rFonts w:cstheme="minorHAnsi"/>
                <w:color w:val="000000" w:themeColor="text1"/>
                <w:sz w:val="18"/>
                <w:szCs w:val="18"/>
              </w:rPr>
              <w:t>%</w:t>
            </w:r>
          </w:p>
        </w:tc>
        <w:tc>
          <w:tcPr>
            <w:tcW w:w="720" w:type="dxa"/>
            <w:vMerge w:val="restart"/>
            <w:tcBorders>
              <w:left w:val="single" w:sz="4" w:space="0" w:color="auto"/>
              <w:right w:val="thinThickThinSmallGap" w:sz="24" w:space="0" w:color="auto"/>
            </w:tcBorders>
            <w:shd w:val="clear" w:color="auto" w:fill="FFFFFF" w:themeFill="background1"/>
            <w:vAlign w:val="center"/>
          </w:tcPr>
          <w:p w:rsidR="00AD40DF" w:rsidRPr="001F29F9" w:rsidRDefault="00AD40DF" w:rsidP="00376EA5">
            <w:pPr>
              <w:spacing w:line="180" w:lineRule="exact"/>
              <w:rPr>
                <w:rFonts w:cstheme="minorHAnsi"/>
                <w:color w:val="000000" w:themeColor="text1"/>
                <w:sz w:val="18"/>
                <w:szCs w:val="18"/>
              </w:rPr>
            </w:pPr>
            <w:r>
              <w:rPr>
                <w:rFonts w:cstheme="minorHAnsi"/>
                <w:color w:val="000000" w:themeColor="text1"/>
                <w:sz w:val="18"/>
                <w:szCs w:val="18"/>
              </w:rPr>
              <w:t>--</w:t>
            </w:r>
          </w:p>
        </w:tc>
        <w:tc>
          <w:tcPr>
            <w:tcW w:w="2250" w:type="dxa"/>
            <w:tcBorders>
              <w:left w:val="thinThickThinSmallGap" w:sz="24" w:space="0" w:color="auto"/>
              <w:bottom w:val="single" w:sz="4" w:space="0" w:color="auto"/>
            </w:tcBorders>
            <w:shd w:val="clear" w:color="auto" w:fill="FFFFFF" w:themeFill="background1"/>
            <w:vAlign w:val="center"/>
          </w:tcPr>
          <w:p w:rsidR="00AD40DF" w:rsidRPr="001F29F9" w:rsidRDefault="00AD40DF" w:rsidP="00376EA5">
            <w:pPr>
              <w:spacing w:line="180" w:lineRule="exact"/>
              <w:contextualSpacing/>
              <w:jc w:val="left"/>
              <w:rPr>
                <w:rFonts w:cstheme="minorHAnsi"/>
                <w:color w:val="000000" w:themeColor="text1"/>
                <w:sz w:val="18"/>
                <w:szCs w:val="18"/>
              </w:rPr>
            </w:pPr>
            <w:r>
              <w:rPr>
                <w:rFonts w:cstheme="minorHAnsi"/>
                <w:color w:val="000000" w:themeColor="text1"/>
                <w:sz w:val="18"/>
                <w:szCs w:val="18"/>
              </w:rPr>
              <w:t>Left Arm Condition, Associated with Neck Injury</w:t>
            </w:r>
          </w:p>
        </w:tc>
        <w:tc>
          <w:tcPr>
            <w:tcW w:w="1080" w:type="dxa"/>
            <w:tcBorders>
              <w:bottom w:val="single" w:sz="4" w:space="0" w:color="auto"/>
            </w:tcBorders>
            <w:shd w:val="clear" w:color="auto" w:fill="FFFFFF" w:themeFill="background1"/>
            <w:vAlign w:val="center"/>
          </w:tcPr>
          <w:p w:rsidR="00AD40DF" w:rsidRPr="001F29F9" w:rsidRDefault="00AD40DF" w:rsidP="00376EA5">
            <w:pPr>
              <w:spacing w:line="180" w:lineRule="exact"/>
              <w:contextualSpacing/>
              <w:rPr>
                <w:rFonts w:cstheme="minorHAnsi"/>
                <w:color w:val="000000" w:themeColor="text1"/>
                <w:sz w:val="18"/>
                <w:szCs w:val="18"/>
              </w:rPr>
            </w:pPr>
            <w:r>
              <w:rPr>
                <w:rFonts w:cstheme="minorHAnsi"/>
                <w:color w:val="000000" w:themeColor="text1"/>
                <w:sz w:val="18"/>
                <w:szCs w:val="18"/>
              </w:rPr>
              <w:t>5201</w:t>
            </w:r>
          </w:p>
        </w:tc>
        <w:tc>
          <w:tcPr>
            <w:tcW w:w="810" w:type="dxa"/>
            <w:tcBorders>
              <w:bottom w:val="single" w:sz="4" w:space="0" w:color="auto"/>
            </w:tcBorders>
            <w:shd w:val="clear" w:color="auto" w:fill="FFFFFF" w:themeFill="background1"/>
            <w:vAlign w:val="center"/>
          </w:tcPr>
          <w:p w:rsidR="00AD40DF" w:rsidRPr="001F29F9" w:rsidRDefault="00AD40DF" w:rsidP="00376EA5">
            <w:pPr>
              <w:spacing w:line="180" w:lineRule="exact"/>
              <w:contextualSpacing/>
              <w:rPr>
                <w:rFonts w:cstheme="minorHAnsi"/>
                <w:color w:val="000000" w:themeColor="text1"/>
                <w:sz w:val="18"/>
                <w:szCs w:val="18"/>
              </w:rPr>
            </w:pPr>
            <w:r>
              <w:rPr>
                <w:rFonts w:cstheme="minorHAnsi"/>
                <w:color w:val="000000" w:themeColor="text1"/>
                <w:sz w:val="18"/>
                <w:szCs w:val="18"/>
              </w:rPr>
              <w:t>NSC</w:t>
            </w:r>
          </w:p>
        </w:tc>
        <w:tc>
          <w:tcPr>
            <w:tcW w:w="1188" w:type="dxa"/>
            <w:tcBorders>
              <w:bottom w:val="single" w:sz="4" w:space="0" w:color="auto"/>
            </w:tcBorders>
            <w:shd w:val="clear" w:color="auto" w:fill="FFFFFF" w:themeFill="background1"/>
            <w:vAlign w:val="center"/>
          </w:tcPr>
          <w:p w:rsidR="00AD40DF" w:rsidRPr="00DD64F0" w:rsidRDefault="00AD40DF" w:rsidP="00376EA5">
            <w:pPr>
              <w:spacing w:line="180" w:lineRule="exact"/>
              <w:contextualSpacing/>
              <w:rPr>
                <w:rFonts w:cstheme="minorHAnsi"/>
                <w:color w:val="000000" w:themeColor="text1"/>
                <w:sz w:val="18"/>
                <w:szCs w:val="18"/>
              </w:rPr>
            </w:pPr>
            <w:r w:rsidRPr="00DD64F0">
              <w:rPr>
                <w:rFonts w:cstheme="minorHAnsi"/>
                <w:color w:val="000000" w:themeColor="text1"/>
                <w:sz w:val="18"/>
                <w:szCs w:val="18"/>
              </w:rPr>
              <w:t>20040421</w:t>
            </w:r>
          </w:p>
        </w:tc>
      </w:tr>
      <w:tr w:rsidR="00AD40DF" w:rsidRPr="001F29F9" w:rsidTr="00376EA5">
        <w:trPr>
          <w:trHeight w:val="410"/>
        </w:trPr>
        <w:tc>
          <w:tcPr>
            <w:tcW w:w="1710" w:type="dxa"/>
            <w:vMerge/>
            <w:tcBorders>
              <w:right w:val="single" w:sz="4" w:space="0" w:color="auto"/>
            </w:tcBorders>
            <w:shd w:val="clear" w:color="auto" w:fill="FFFFFF" w:themeFill="background1"/>
          </w:tcPr>
          <w:p w:rsidR="00AD40DF" w:rsidRDefault="00AD40DF" w:rsidP="00376EA5">
            <w:pPr>
              <w:spacing w:line="180" w:lineRule="exact"/>
              <w:contextualSpacing/>
              <w:jc w:val="left"/>
              <w:rPr>
                <w:color w:val="000000" w:themeColor="text1"/>
                <w:sz w:val="18"/>
                <w:szCs w:val="18"/>
              </w:rPr>
            </w:pPr>
          </w:p>
        </w:tc>
        <w:tc>
          <w:tcPr>
            <w:tcW w:w="1080" w:type="dxa"/>
            <w:vMerge/>
            <w:tcBorders>
              <w:left w:val="single" w:sz="4" w:space="0" w:color="auto"/>
            </w:tcBorders>
            <w:shd w:val="clear" w:color="auto" w:fill="FFFFFF" w:themeFill="background1"/>
            <w:vAlign w:val="center"/>
          </w:tcPr>
          <w:p w:rsidR="00AD40DF" w:rsidRDefault="00AD40DF" w:rsidP="00376EA5">
            <w:pPr>
              <w:spacing w:line="180" w:lineRule="exact"/>
              <w:contextualSpacing/>
              <w:rPr>
                <w:color w:val="000000" w:themeColor="text1"/>
                <w:sz w:val="18"/>
                <w:szCs w:val="18"/>
              </w:rPr>
            </w:pPr>
          </w:p>
        </w:tc>
        <w:tc>
          <w:tcPr>
            <w:tcW w:w="1080" w:type="dxa"/>
            <w:vMerge/>
            <w:tcBorders>
              <w:right w:val="single" w:sz="4" w:space="0" w:color="auto"/>
            </w:tcBorders>
            <w:shd w:val="clear" w:color="auto" w:fill="FFFFFF" w:themeFill="background1"/>
            <w:vAlign w:val="center"/>
          </w:tcPr>
          <w:p w:rsidR="00AD40DF" w:rsidRDefault="00AD40DF" w:rsidP="00376EA5">
            <w:pPr>
              <w:spacing w:line="180" w:lineRule="exact"/>
              <w:rPr>
                <w:color w:val="000000" w:themeColor="text1"/>
                <w:sz w:val="18"/>
                <w:szCs w:val="18"/>
              </w:rPr>
            </w:pPr>
          </w:p>
        </w:tc>
        <w:tc>
          <w:tcPr>
            <w:tcW w:w="720" w:type="dxa"/>
            <w:vMerge/>
            <w:tcBorders>
              <w:left w:val="single" w:sz="4" w:space="0" w:color="auto"/>
              <w:right w:val="thinThickThinSmallGap" w:sz="24" w:space="0" w:color="auto"/>
            </w:tcBorders>
            <w:shd w:val="clear" w:color="auto" w:fill="FFFFFF" w:themeFill="background1"/>
            <w:vAlign w:val="center"/>
          </w:tcPr>
          <w:p w:rsidR="00AD40DF" w:rsidRPr="001F29F9" w:rsidRDefault="00AD40DF" w:rsidP="00376EA5">
            <w:pPr>
              <w:spacing w:line="180" w:lineRule="exact"/>
              <w:rPr>
                <w:color w:val="000000" w:themeColor="text1"/>
                <w:sz w:val="18"/>
                <w:szCs w:val="18"/>
              </w:rPr>
            </w:pPr>
          </w:p>
        </w:tc>
        <w:tc>
          <w:tcPr>
            <w:tcW w:w="2250" w:type="dxa"/>
            <w:tcBorders>
              <w:top w:val="single" w:sz="4" w:space="0" w:color="auto"/>
              <w:left w:val="thinThickThinSmallGap" w:sz="24" w:space="0" w:color="auto"/>
              <w:bottom w:val="single" w:sz="4" w:space="0" w:color="auto"/>
            </w:tcBorders>
            <w:shd w:val="clear" w:color="auto" w:fill="FFFFFF" w:themeFill="background1"/>
            <w:vAlign w:val="center"/>
          </w:tcPr>
          <w:p w:rsidR="00AD40DF" w:rsidRPr="001F29F9" w:rsidRDefault="00AD40DF" w:rsidP="00376EA5">
            <w:pPr>
              <w:spacing w:line="180" w:lineRule="exact"/>
              <w:contextualSpacing/>
              <w:jc w:val="left"/>
              <w:rPr>
                <w:color w:val="000000" w:themeColor="text1"/>
                <w:sz w:val="18"/>
                <w:szCs w:val="18"/>
              </w:rPr>
            </w:pPr>
            <w:r>
              <w:rPr>
                <w:color w:val="000000" w:themeColor="text1"/>
                <w:sz w:val="18"/>
                <w:szCs w:val="18"/>
              </w:rPr>
              <w:t xml:space="preserve">Left Hand </w:t>
            </w:r>
            <w:r w:rsidR="00360F9A">
              <w:rPr>
                <w:color w:val="000000" w:themeColor="text1"/>
                <w:sz w:val="18"/>
                <w:szCs w:val="18"/>
              </w:rPr>
              <w:t>Condition</w:t>
            </w:r>
            <w:r>
              <w:rPr>
                <w:color w:val="000000" w:themeColor="text1"/>
                <w:sz w:val="18"/>
                <w:szCs w:val="18"/>
              </w:rPr>
              <w:t>, Associated with Neck Injury</w:t>
            </w:r>
          </w:p>
        </w:tc>
        <w:tc>
          <w:tcPr>
            <w:tcW w:w="1080" w:type="dxa"/>
            <w:tcBorders>
              <w:top w:val="single" w:sz="4" w:space="0" w:color="auto"/>
              <w:bottom w:val="single" w:sz="4" w:space="0" w:color="auto"/>
            </w:tcBorders>
            <w:shd w:val="clear" w:color="auto" w:fill="FFFFFF" w:themeFill="background1"/>
            <w:vAlign w:val="center"/>
          </w:tcPr>
          <w:p w:rsidR="00AD40DF" w:rsidRPr="001F29F9" w:rsidRDefault="00AD40DF" w:rsidP="00376EA5">
            <w:pPr>
              <w:spacing w:line="180" w:lineRule="exact"/>
              <w:contextualSpacing/>
              <w:rPr>
                <w:color w:val="000000" w:themeColor="text1"/>
                <w:sz w:val="18"/>
                <w:szCs w:val="18"/>
              </w:rPr>
            </w:pPr>
            <w:r>
              <w:rPr>
                <w:color w:val="000000" w:themeColor="text1"/>
                <w:sz w:val="18"/>
                <w:szCs w:val="18"/>
              </w:rPr>
              <w:t>5299-5220</w:t>
            </w:r>
          </w:p>
        </w:tc>
        <w:tc>
          <w:tcPr>
            <w:tcW w:w="810" w:type="dxa"/>
            <w:tcBorders>
              <w:top w:val="single" w:sz="4" w:space="0" w:color="auto"/>
              <w:bottom w:val="single" w:sz="4" w:space="0" w:color="auto"/>
            </w:tcBorders>
            <w:shd w:val="clear" w:color="auto" w:fill="FFFFFF" w:themeFill="background1"/>
            <w:vAlign w:val="center"/>
          </w:tcPr>
          <w:p w:rsidR="00AD40DF" w:rsidRPr="001F29F9" w:rsidRDefault="00AD40DF" w:rsidP="00376EA5">
            <w:pPr>
              <w:spacing w:line="180" w:lineRule="exact"/>
              <w:contextualSpacing/>
              <w:rPr>
                <w:color w:val="000000" w:themeColor="text1"/>
                <w:sz w:val="18"/>
                <w:szCs w:val="18"/>
              </w:rPr>
            </w:pPr>
            <w:r>
              <w:rPr>
                <w:color w:val="000000" w:themeColor="text1"/>
                <w:sz w:val="18"/>
                <w:szCs w:val="18"/>
              </w:rPr>
              <w:t>NSC</w:t>
            </w:r>
          </w:p>
        </w:tc>
        <w:tc>
          <w:tcPr>
            <w:tcW w:w="1188" w:type="dxa"/>
            <w:tcBorders>
              <w:top w:val="single" w:sz="4" w:space="0" w:color="auto"/>
              <w:bottom w:val="single" w:sz="4" w:space="0" w:color="auto"/>
            </w:tcBorders>
            <w:shd w:val="clear" w:color="auto" w:fill="FFFFFF" w:themeFill="background1"/>
            <w:vAlign w:val="center"/>
          </w:tcPr>
          <w:p w:rsidR="00AD40DF" w:rsidRPr="00DD64F0" w:rsidRDefault="00AD40DF" w:rsidP="00376EA5">
            <w:pPr>
              <w:spacing w:line="180" w:lineRule="exact"/>
              <w:contextualSpacing/>
              <w:rPr>
                <w:color w:val="000000" w:themeColor="text1"/>
                <w:sz w:val="18"/>
                <w:szCs w:val="18"/>
              </w:rPr>
            </w:pPr>
            <w:r w:rsidRPr="00DD64F0">
              <w:rPr>
                <w:rFonts w:cstheme="minorHAnsi"/>
                <w:color w:val="000000" w:themeColor="text1"/>
                <w:sz w:val="18"/>
                <w:szCs w:val="18"/>
              </w:rPr>
              <w:t>20040421</w:t>
            </w:r>
          </w:p>
        </w:tc>
      </w:tr>
      <w:tr w:rsidR="00AD40DF" w:rsidRPr="001F29F9" w:rsidTr="00376EA5">
        <w:trPr>
          <w:trHeight w:val="267"/>
        </w:trPr>
        <w:tc>
          <w:tcPr>
            <w:tcW w:w="1710" w:type="dxa"/>
            <w:vMerge/>
            <w:tcBorders>
              <w:right w:val="single" w:sz="4" w:space="0" w:color="auto"/>
            </w:tcBorders>
            <w:shd w:val="clear" w:color="auto" w:fill="FFFFFF" w:themeFill="background1"/>
          </w:tcPr>
          <w:p w:rsidR="00AD40DF" w:rsidRDefault="00AD40DF" w:rsidP="00376EA5">
            <w:pPr>
              <w:spacing w:line="180" w:lineRule="exact"/>
              <w:contextualSpacing/>
              <w:jc w:val="left"/>
              <w:rPr>
                <w:color w:val="000000" w:themeColor="text1"/>
                <w:sz w:val="18"/>
                <w:szCs w:val="18"/>
              </w:rPr>
            </w:pPr>
          </w:p>
        </w:tc>
        <w:tc>
          <w:tcPr>
            <w:tcW w:w="1080" w:type="dxa"/>
            <w:vMerge/>
            <w:tcBorders>
              <w:left w:val="single" w:sz="4" w:space="0" w:color="auto"/>
            </w:tcBorders>
            <w:shd w:val="clear" w:color="auto" w:fill="FFFFFF" w:themeFill="background1"/>
            <w:vAlign w:val="center"/>
          </w:tcPr>
          <w:p w:rsidR="00AD40DF" w:rsidRDefault="00AD40DF" w:rsidP="00376EA5">
            <w:pPr>
              <w:spacing w:line="180" w:lineRule="exact"/>
              <w:contextualSpacing/>
              <w:rPr>
                <w:color w:val="000000" w:themeColor="text1"/>
                <w:sz w:val="18"/>
                <w:szCs w:val="18"/>
              </w:rPr>
            </w:pPr>
          </w:p>
        </w:tc>
        <w:tc>
          <w:tcPr>
            <w:tcW w:w="1080" w:type="dxa"/>
            <w:vMerge/>
            <w:tcBorders>
              <w:right w:val="single" w:sz="4" w:space="0" w:color="auto"/>
            </w:tcBorders>
            <w:shd w:val="clear" w:color="auto" w:fill="FFFFFF" w:themeFill="background1"/>
            <w:vAlign w:val="center"/>
          </w:tcPr>
          <w:p w:rsidR="00AD40DF" w:rsidRDefault="00AD40DF" w:rsidP="00376EA5">
            <w:pPr>
              <w:spacing w:line="180" w:lineRule="exact"/>
              <w:rPr>
                <w:color w:val="000000" w:themeColor="text1"/>
                <w:sz w:val="18"/>
                <w:szCs w:val="18"/>
              </w:rPr>
            </w:pPr>
          </w:p>
        </w:tc>
        <w:tc>
          <w:tcPr>
            <w:tcW w:w="720" w:type="dxa"/>
            <w:vMerge/>
            <w:tcBorders>
              <w:left w:val="single" w:sz="4" w:space="0" w:color="auto"/>
              <w:right w:val="thinThickThinSmallGap" w:sz="24" w:space="0" w:color="auto"/>
            </w:tcBorders>
            <w:shd w:val="clear" w:color="auto" w:fill="FFFFFF" w:themeFill="background1"/>
            <w:vAlign w:val="center"/>
          </w:tcPr>
          <w:p w:rsidR="00AD40DF" w:rsidRPr="001F29F9" w:rsidRDefault="00AD40DF" w:rsidP="00376EA5">
            <w:pPr>
              <w:spacing w:line="180" w:lineRule="exact"/>
              <w:rPr>
                <w:color w:val="000000" w:themeColor="text1"/>
                <w:sz w:val="18"/>
                <w:szCs w:val="18"/>
              </w:rPr>
            </w:pPr>
          </w:p>
        </w:tc>
        <w:tc>
          <w:tcPr>
            <w:tcW w:w="2250" w:type="dxa"/>
            <w:tcBorders>
              <w:top w:val="single" w:sz="4" w:space="0" w:color="auto"/>
              <w:left w:val="thinThickThinSmallGap" w:sz="24" w:space="0" w:color="auto"/>
            </w:tcBorders>
            <w:shd w:val="clear" w:color="auto" w:fill="FFFFFF" w:themeFill="background1"/>
            <w:vAlign w:val="center"/>
          </w:tcPr>
          <w:p w:rsidR="00AD40DF" w:rsidRDefault="00AD40DF" w:rsidP="00376EA5">
            <w:pPr>
              <w:spacing w:line="180" w:lineRule="exact"/>
              <w:contextualSpacing/>
              <w:jc w:val="left"/>
              <w:rPr>
                <w:color w:val="000000" w:themeColor="text1"/>
                <w:sz w:val="18"/>
                <w:szCs w:val="18"/>
              </w:rPr>
            </w:pPr>
            <w:r>
              <w:rPr>
                <w:color w:val="000000" w:themeColor="text1"/>
                <w:sz w:val="18"/>
                <w:szCs w:val="18"/>
              </w:rPr>
              <w:t>Neck Injury</w:t>
            </w:r>
          </w:p>
        </w:tc>
        <w:tc>
          <w:tcPr>
            <w:tcW w:w="1080" w:type="dxa"/>
            <w:tcBorders>
              <w:top w:val="single" w:sz="4" w:space="0" w:color="auto"/>
            </w:tcBorders>
            <w:shd w:val="clear" w:color="auto" w:fill="FFFFFF" w:themeFill="background1"/>
            <w:vAlign w:val="center"/>
          </w:tcPr>
          <w:p w:rsidR="00AD40DF" w:rsidRDefault="00AD40DF" w:rsidP="00376EA5">
            <w:pPr>
              <w:spacing w:line="180" w:lineRule="exact"/>
              <w:contextualSpacing/>
              <w:rPr>
                <w:color w:val="000000" w:themeColor="text1"/>
                <w:sz w:val="18"/>
                <w:szCs w:val="18"/>
              </w:rPr>
            </w:pPr>
            <w:r>
              <w:rPr>
                <w:color w:val="000000" w:themeColor="text1"/>
                <w:sz w:val="18"/>
                <w:szCs w:val="18"/>
              </w:rPr>
              <w:t>5299-5237</w:t>
            </w:r>
          </w:p>
        </w:tc>
        <w:tc>
          <w:tcPr>
            <w:tcW w:w="810" w:type="dxa"/>
            <w:tcBorders>
              <w:top w:val="single" w:sz="4" w:space="0" w:color="auto"/>
            </w:tcBorders>
            <w:shd w:val="clear" w:color="auto" w:fill="FFFFFF" w:themeFill="background1"/>
            <w:vAlign w:val="center"/>
          </w:tcPr>
          <w:p w:rsidR="00AD40DF" w:rsidRDefault="00AD40DF" w:rsidP="00376EA5">
            <w:pPr>
              <w:spacing w:line="180" w:lineRule="exact"/>
              <w:contextualSpacing/>
              <w:rPr>
                <w:color w:val="000000" w:themeColor="text1"/>
                <w:sz w:val="18"/>
                <w:szCs w:val="18"/>
              </w:rPr>
            </w:pPr>
            <w:r>
              <w:rPr>
                <w:color w:val="000000" w:themeColor="text1"/>
                <w:sz w:val="18"/>
                <w:szCs w:val="18"/>
              </w:rPr>
              <w:t>NSC</w:t>
            </w:r>
          </w:p>
        </w:tc>
        <w:tc>
          <w:tcPr>
            <w:tcW w:w="1188" w:type="dxa"/>
            <w:tcBorders>
              <w:top w:val="single" w:sz="4" w:space="0" w:color="auto"/>
            </w:tcBorders>
            <w:shd w:val="clear" w:color="auto" w:fill="FFFFFF" w:themeFill="background1"/>
            <w:vAlign w:val="center"/>
          </w:tcPr>
          <w:p w:rsidR="00AD40DF" w:rsidRPr="00DD64F0" w:rsidRDefault="00AD40DF" w:rsidP="00376EA5">
            <w:pPr>
              <w:spacing w:line="180" w:lineRule="exact"/>
              <w:contextualSpacing/>
              <w:rPr>
                <w:color w:val="000000" w:themeColor="text1"/>
                <w:sz w:val="18"/>
                <w:szCs w:val="18"/>
              </w:rPr>
            </w:pPr>
            <w:r w:rsidRPr="00DD64F0">
              <w:rPr>
                <w:rFonts w:cstheme="minorHAnsi"/>
                <w:color w:val="000000" w:themeColor="text1"/>
                <w:sz w:val="18"/>
                <w:szCs w:val="18"/>
              </w:rPr>
              <w:t>20040421</w:t>
            </w:r>
          </w:p>
        </w:tc>
      </w:tr>
      <w:tr w:rsidR="00AD40DF" w:rsidRPr="001F29F9" w:rsidTr="00376EA5">
        <w:trPr>
          <w:trHeight w:val="1196"/>
        </w:trPr>
        <w:tc>
          <w:tcPr>
            <w:tcW w:w="1710" w:type="dxa"/>
            <w:tcBorders>
              <w:right w:val="single" w:sz="4" w:space="0" w:color="auto"/>
            </w:tcBorders>
            <w:shd w:val="clear" w:color="auto" w:fill="FFFFFF" w:themeFill="background1"/>
            <w:vAlign w:val="center"/>
          </w:tcPr>
          <w:p w:rsidR="00AD40DF" w:rsidRPr="001F29F9" w:rsidRDefault="00AD40DF" w:rsidP="00376EA5">
            <w:pPr>
              <w:spacing w:line="180" w:lineRule="exact"/>
              <w:contextualSpacing/>
              <w:jc w:val="left"/>
              <w:rPr>
                <w:rFonts w:cstheme="minorHAnsi"/>
                <w:color w:val="000000" w:themeColor="text1"/>
                <w:sz w:val="18"/>
                <w:szCs w:val="18"/>
              </w:rPr>
            </w:pPr>
            <w:r>
              <w:rPr>
                <w:rFonts w:cstheme="minorHAnsi"/>
                <w:color w:val="000000" w:themeColor="text1"/>
                <w:sz w:val="18"/>
                <w:szCs w:val="18"/>
              </w:rPr>
              <w:t>Chronic Pain, Left Shoulder, with Mild Acromioclavicular Arthritis with Rotator Cuff Tendonitis</w:t>
            </w:r>
          </w:p>
        </w:tc>
        <w:tc>
          <w:tcPr>
            <w:tcW w:w="1080" w:type="dxa"/>
            <w:tcBorders>
              <w:left w:val="single" w:sz="4" w:space="0" w:color="auto"/>
            </w:tcBorders>
            <w:shd w:val="clear" w:color="auto" w:fill="FFFFFF" w:themeFill="background1"/>
            <w:vAlign w:val="center"/>
          </w:tcPr>
          <w:p w:rsidR="00AD40DF" w:rsidRPr="001F29F9" w:rsidRDefault="00AD40DF" w:rsidP="00376EA5">
            <w:pPr>
              <w:spacing w:line="180" w:lineRule="exact"/>
              <w:contextualSpacing/>
              <w:rPr>
                <w:rFonts w:cstheme="minorHAnsi"/>
                <w:color w:val="000000" w:themeColor="text1"/>
                <w:sz w:val="18"/>
                <w:szCs w:val="18"/>
              </w:rPr>
            </w:pPr>
            <w:r>
              <w:rPr>
                <w:rFonts w:cstheme="minorHAnsi"/>
                <w:color w:val="000000" w:themeColor="text1"/>
                <w:sz w:val="18"/>
                <w:szCs w:val="18"/>
              </w:rPr>
              <w:t>5099-5003</w:t>
            </w:r>
          </w:p>
        </w:tc>
        <w:tc>
          <w:tcPr>
            <w:tcW w:w="1080" w:type="dxa"/>
            <w:tcBorders>
              <w:right w:val="single" w:sz="4" w:space="0" w:color="auto"/>
            </w:tcBorders>
            <w:shd w:val="clear" w:color="auto" w:fill="FFFFFF" w:themeFill="background1"/>
            <w:vAlign w:val="center"/>
          </w:tcPr>
          <w:p w:rsidR="00AD40DF" w:rsidRPr="001F29F9" w:rsidRDefault="00AD40DF" w:rsidP="00376EA5">
            <w:pPr>
              <w:spacing w:line="180" w:lineRule="exact"/>
              <w:rPr>
                <w:rFonts w:cstheme="minorHAnsi"/>
                <w:color w:val="000000" w:themeColor="text1"/>
                <w:sz w:val="18"/>
                <w:szCs w:val="18"/>
              </w:rPr>
            </w:pPr>
            <w:r>
              <w:rPr>
                <w:rFonts w:cstheme="minorHAnsi"/>
                <w:color w:val="000000" w:themeColor="text1"/>
                <w:sz w:val="18"/>
                <w:szCs w:val="18"/>
              </w:rPr>
              <w:t>--</w:t>
            </w:r>
          </w:p>
        </w:tc>
        <w:tc>
          <w:tcPr>
            <w:tcW w:w="720" w:type="dxa"/>
            <w:tcBorders>
              <w:left w:val="single" w:sz="4" w:space="0" w:color="auto"/>
              <w:right w:val="thinThickThinSmallGap" w:sz="24" w:space="0" w:color="auto"/>
            </w:tcBorders>
            <w:shd w:val="clear" w:color="auto" w:fill="FFFFFF" w:themeFill="background1"/>
            <w:vAlign w:val="center"/>
          </w:tcPr>
          <w:p w:rsidR="00AD40DF" w:rsidRPr="001F29F9" w:rsidRDefault="00AD40DF" w:rsidP="00376EA5">
            <w:pPr>
              <w:spacing w:line="180" w:lineRule="exact"/>
              <w:rPr>
                <w:rFonts w:cstheme="minorHAnsi"/>
                <w:color w:val="000000" w:themeColor="text1"/>
                <w:sz w:val="18"/>
                <w:szCs w:val="18"/>
              </w:rPr>
            </w:pPr>
            <w:r>
              <w:rPr>
                <w:rFonts w:cstheme="minorHAnsi"/>
                <w:color w:val="000000" w:themeColor="text1"/>
                <w:sz w:val="18"/>
                <w:szCs w:val="18"/>
              </w:rPr>
              <w:t>20</w:t>
            </w:r>
            <w:r w:rsidRPr="001F29F9">
              <w:rPr>
                <w:rFonts w:cstheme="minorHAnsi"/>
                <w:color w:val="000000" w:themeColor="text1"/>
                <w:sz w:val="18"/>
                <w:szCs w:val="18"/>
              </w:rPr>
              <w:t>%</w:t>
            </w:r>
          </w:p>
        </w:tc>
        <w:tc>
          <w:tcPr>
            <w:tcW w:w="2250" w:type="dxa"/>
            <w:tcBorders>
              <w:left w:val="thinThickThinSmallGap" w:sz="24" w:space="0" w:color="auto"/>
            </w:tcBorders>
            <w:shd w:val="clear" w:color="auto" w:fill="FFFFFF" w:themeFill="background1"/>
            <w:vAlign w:val="center"/>
          </w:tcPr>
          <w:p w:rsidR="00AD40DF" w:rsidRPr="001F29F9" w:rsidRDefault="00AD40DF" w:rsidP="00376EA5">
            <w:pPr>
              <w:spacing w:line="180" w:lineRule="exact"/>
              <w:contextualSpacing/>
              <w:jc w:val="left"/>
              <w:rPr>
                <w:color w:val="000000" w:themeColor="text1"/>
                <w:sz w:val="18"/>
                <w:szCs w:val="18"/>
              </w:rPr>
            </w:pPr>
            <w:r>
              <w:rPr>
                <w:color w:val="000000" w:themeColor="text1"/>
                <w:sz w:val="18"/>
                <w:szCs w:val="18"/>
              </w:rPr>
              <w:t>Left Shoulder Condition, Associated with Neck Injury</w:t>
            </w:r>
          </w:p>
        </w:tc>
        <w:tc>
          <w:tcPr>
            <w:tcW w:w="1080" w:type="dxa"/>
            <w:shd w:val="clear" w:color="auto" w:fill="FFFFFF" w:themeFill="background1"/>
            <w:vAlign w:val="center"/>
          </w:tcPr>
          <w:p w:rsidR="00AD40DF" w:rsidRPr="001F29F9" w:rsidRDefault="00AD40DF" w:rsidP="00376EA5">
            <w:pPr>
              <w:spacing w:line="180" w:lineRule="exact"/>
              <w:contextualSpacing/>
              <w:rPr>
                <w:color w:val="000000" w:themeColor="text1"/>
                <w:sz w:val="18"/>
                <w:szCs w:val="18"/>
              </w:rPr>
            </w:pPr>
            <w:r>
              <w:rPr>
                <w:color w:val="000000" w:themeColor="text1"/>
                <w:sz w:val="18"/>
                <w:szCs w:val="18"/>
              </w:rPr>
              <w:t>5299-5203</w:t>
            </w:r>
          </w:p>
        </w:tc>
        <w:tc>
          <w:tcPr>
            <w:tcW w:w="810" w:type="dxa"/>
            <w:shd w:val="clear" w:color="auto" w:fill="FFFFFF" w:themeFill="background1"/>
            <w:vAlign w:val="center"/>
          </w:tcPr>
          <w:p w:rsidR="00AD40DF" w:rsidRPr="001F29F9" w:rsidRDefault="00AD40DF" w:rsidP="00376EA5">
            <w:pPr>
              <w:spacing w:line="180" w:lineRule="exact"/>
              <w:contextualSpacing/>
              <w:rPr>
                <w:color w:val="000000" w:themeColor="text1"/>
                <w:sz w:val="18"/>
                <w:szCs w:val="18"/>
              </w:rPr>
            </w:pPr>
            <w:r>
              <w:rPr>
                <w:color w:val="000000" w:themeColor="text1"/>
                <w:sz w:val="18"/>
                <w:szCs w:val="18"/>
              </w:rPr>
              <w:t>NSC</w:t>
            </w:r>
          </w:p>
        </w:tc>
        <w:tc>
          <w:tcPr>
            <w:tcW w:w="1188" w:type="dxa"/>
            <w:shd w:val="clear" w:color="auto" w:fill="FFFFFF" w:themeFill="background1"/>
            <w:vAlign w:val="center"/>
          </w:tcPr>
          <w:p w:rsidR="00AD40DF" w:rsidRPr="00300EC8" w:rsidRDefault="00AD40DF" w:rsidP="00376EA5">
            <w:pPr>
              <w:spacing w:line="180" w:lineRule="exact"/>
              <w:contextualSpacing/>
              <w:rPr>
                <w:rFonts w:cstheme="minorHAnsi"/>
                <w:color w:val="000000" w:themeColor="text1"/>
                <w:sz w:val="18"/>
                <w:szCs w:val="18"/>
              </w:rPr>
            </w:pPr>
            <w:r w:rsidRPr="00300EC8">
              <w:rPr>
                <w:rFonts w:cstheme="minorHAnsi"/>
                <w:color w:val="000000" w:themeColor="text1"/>
                <w:sz w:val="18"/>
                <w:szCs w:val="18"/>
              </w:rPr>
              <w:t>VARD*</w:t>
            </w:r>
          </w:p>
          <w:p w:rsidR="00AD40DF" w:rsidRPr="00DD64F0" w:rsidRDefault="00AD40DF" w:rsidP="00376EA5">
            <w:pPr>
              <w:spacing w:line="180" w:lineRule="exact"/>
              <w:contextualSpacing/>
              <w:rPr>
                <w:rFonts w:cstheme="minorHAnsi"/>
                <w:color w:val="000000" w:themeColor="text1"/>
                <w:sz w:val="18"/>
                <w:szCs w:val="18"/>
              </w:rPr>
            </w:pPr>
            <w:r w:rsidRPr="00300EC8">
              <w:rPr>
                <w:rFonts w:cstheme="minorHAnsi"/>
                <w:color w:val="000000" w:themeColor="text1"/>
                <w:sz w:val="18"/>
                <w:szCs w:val="18"/>
              </w:rPr>
              <w:t>20040520</w:t>
            </w:r>
          </w:p>
        </w:tc>
      </w:tr>
      <w:tr w:rsidR="00AD40DF" w:rsidRPr="001F29F9" w:rsidTr="00376EA5">
        <w:trPr>
          <w:trHeight w:val="188"/>
        </w:trPr>
        <w:tc>
          <w:tcPr>
            <w:tcW w:w="4590" w:type="dxa"/>
            <w:gridSpan w:val="4"/>
            <w:tcBorders>
              <w:bottom w:val="single" w:sz="4" w:space="0" w:color="000000" w:themeColor="text1"/>
              <w:right w:val="thinThickThinSmallGap" w:sz="24" w:space="0" w:color="auto"/>
            </w:tcBorders>
            <w:shd w:val="clear" w:color="auto" w:fill="FFFFFF" w:themeFill="background1"/>
            <w:vAlign w:val="center"/>
          </w:tcPr>
          <w:p w:rsidR="00AD40DF" w:rsidRPr="001F29F9" w:rsidRDefault="00AD40DF" w:rsidP="00376EA5">
            <w:pPr>
              <w:spacing w:line="180" w:lineRule="exact"/>
              <w:contextualSpacing/>
              <w:rPr>
                <w:rFonts w:cstheme="minorHAnsi"/>
                <w:color w:val="000000" w:themeColor="text1"/>
                <w:sz w:val="18"/>
                <w:szCs w:val="18"/>
              </w:rPr>
            </w:pPr>
            <w:r>
              <w:rPr>
                <w:color w:val="auto"/>
                <w:sz w:val="18"/>
                <w:szCs w:val="18"/>
              </w:rPr>
              <w:t>↓No Additional MEB/PEB Entries↓</w:t>
            </w:r>
          </w:p>
        </w:tc>
        <w:tc>
          <w:tcPr>
            <w:tcW w:w="4140" w:type="dxa"/>
            <w:gridSpan w:val="3"/>
            <w:tcBorders>
              <w:left w:val="thinThickThinSmallGap" w:sz="24" w:space="0" w:color="auto"/>
              <w:bottom w:val="single" w:sz="4" w:space="0" w:color="000000" w:themeColor="text1"/>
            </w:tcBorders>
            <w:shd w:val="clear" w:color="auto" w:fill="FFFFFF" w:themeFill="background1"/>
            <w:vAlign w:val="center"/>
          </w:tcPr>
          <w:p w:rsidR="00AD40DF" w:rsidRPr="001F29F9" w:rsidRDefault="000B7711" w:rsidP="00376EA5">
            <w:pPr>
              <w:spacing w:line="180" w:lineRule="exact"/>
              <w:contextualSpacing/>
              <w:rPr>
                <w:rFonts w:cstheme="minorHAnsi"/>
                <w:color w:val="000000" w:themeColor="text1"/>
                <w:sz w:val="18"/>
                <w:szCs w:val="18"/>
              </w:rPr>
            </w:pPr>
            <w:r>
              <w:rPr>
                <w:rFonts w:cstheme="minorHAnsi"/>
                <w:color w:val="000000" w:themeColor="text1"/>
                <w:sz w:val="18"/>
                <w:szCs w:val="18"/>
              </w:rPr>
              <w:t>Not Service-</w:t>
            </w:r>
            <w:r w:rsidR="00AD40DF" w:rsidRPr="001F29F9">
              <w:rPr>
                <w:rFonts w:cstheme="minorHAnsi"/>
                <w:color w:val="000000" w:themeColor="text1"/>
                <w:sz w:val="18"/>
                <w:szCs w:val="18"/>
              </w:rPr>
              <w:t xml:space="preserve">Connected x </w:t>
            </w:r>
            <w:r w:rsidR="00AD40DF">
              <w:rPr>
                <w:rFonts w:cstheme="minorHAnsi"/>
                <w:color w:val="000000" w:themeColor="text1"/>
                <w:sz w:val="18"/>
                <w:szCs w:val="18"/>
              </w:rPr>
              <w:t>5</w:t>
            </w:r>
          </w:p>
        </w:tc>
        <w:tc>
          <w:tcPr>
            <w:tcW w:w="1188" w:type="dxa"/>
            <w:tcBorders>
              <w:bottom w:val="single" w:sz="4" w:space="0" w:color="000000" w:themeColor="text1"/>
            </w:tcBorders>
            <w:shd w:val="clear" w:color="auto" w:fill="FFFFFF" w:themeFill="background1"/>
            <w:vAlign w:val="center"/>
          </w:tcPr>
          <w:p w:rsidR="00AD40DF" w:rsidRPr="00DD64F0" w:rsidRDefault="00AD40DF" w:rsidP="00376EA5">
            <w:pPr>
              <w:spacing w:line="180" w:lineRule="exact"/>
              <w:contextualSpacing/>
              <w:rPr>
                <w:rFonts w:cstheme="minorHAnsi"/>
                <w:color w:val="000000" w:themeColor="text1"/>
                <w:sz w:val="18"/>
                <w:szCs w:val="18"/>
              </w:rPr>
            </w:pPr>
            <w:r w:rsidRPr="00DD64F0">
              <w:rPr>
                <w:rFonts w:cstheme="minorHAnsi"/>
                <w:color w:val="000000" w:themeColor="text1"/>
                <w:sz w:val="18"/>
                <w:szCs w:val="18"/>
              </w:rPr>
              <w:t>20040421</w:t>
            </w:r>
          </w:p>
        </w:tc>
      </w:tr>
      <w:tr w:rsidR="00AD40DF" w:rsidRPr="001F29F9" w:rsidTr="00376EA5">
        <w:trPr>
          <w:trHeight w:val="242"/>
        </w:trPr>
        <w:tc>
          <w:tcPr>
            <w:tcW w:w="4590" w:type="dxa"/>
            <w:gridSpan w:val="4"/>
            <w:tcBorders>
              <w:righ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color w:val="000000" w:themeColor="text1"/>
                <w:sz w:val="18"/>
                <w:szCs w:val="18"/>
              </w:rPr>
            </w:pPr>
            <w:r w:rsidRPr="001F29F9">
              <w:rPr>
                <w:rFonts w:cstheme="minorHAnsi"/>
                <w:color w:val="000000" w:themeColor="text1"/>
                <w:sz w:val="18"/>
                <w:szCs w:val="18"/>
              </w:rPr>
              <w:t xml:space="preserve">Combined:  </w:t>
            </w:r>
            <w:r>
              <w:rPr>
                <w:rFonts w:cstheme="minorHAnsi"/>
                <w:color w:val="000000" w:themeColor="text1"/>
                <w:sz w:val="18"/>
                <w:szCs w:val="18"/>
              </w:rPr>
              <w:t>20</w:t>
            </w:r>
            <w:r w:rsidRPr="001F29F9">
              <w:rPr>
                <w:rFonts w:cstheme="minorHAnsi"/>
                <w:color w:val="000000" w:themeColor="text1"/>
                <w:sz w:val="18"/>
                <w:szCs w:val="18"/>
              </w:rPr>
              <w:t>%</w:t>
            </w:r>
          </w:p>
        </w:tc>
        <w:tc>
          <w:tcPr>
            <w:tcW w:w="5328" w:type="dxa"/>
            <w:gridSpan w:val="4"/>
            <w:tcBorders>
              <w:left w:val="thinThickThinSmallGap" w:sz="24" w:space="0" w:color="auto"/>
            </w:tcBorders>
            <w:shd w:val="clear" w:color="auto" w:fill="D9D9D9" w:themeFill="background1" w:themeFillShade="D9"/>
            <w:vAlign w:val="center"/>
          </w:tcPr>
          <w:p w:rsidR="00AD40DF" w:rsidRPr="001F29F9" w:rsidRDefault="00AD40DF" w:rsidP="00376EA5">
            <w:pPr>
              <w:contextualSpacing/>
              <w:rPr>
                <w:rFonts w:cstheme="minorHAnsi"/>
                <w:color w:val="000000" w:themeColor="text1"/>
                <w:sz w:val="18"/>
                <w:szCs w:val="18"/>
              </w:rPr>
            </w:pPr>
            <w:r w:rsidRPr="001F29F9">
              <w:rPr>
                <w:rFonts w:cstheme="minorHAnsi"/>
                <w:color w:val="000000" w:themeColor="text1"/>
                <w:sz w:val="18"/>
                <w:szCs w:val="18"/>
              </w:rPr>
              <w:t xml:space="preserve">Combined:  </w:t>
            </w:r>
            <w:r>
              <w:rPr>
                <w:rFonts w:cstheme="minorHAnsi"/>
                <w:color w:val="000000" w:themeColor="text1"/>
                <w:sz w:val="18"/>
                <w:szCs w:val="18"/>
              </w:rPr>
              <w:t>NSC</w:t>
            </w:r>
          </w:p>
        </w:tc>
      </w:tr>
    </w:tbl>
    <w:p w:rsidR="00AD40DF" w:rsidRPr="001F29F9" w:rsidRDefault="00AD40DF" w:rsidP="00AD40DF">
      <w:pPr>
        <w:pBdr>
          <w:bottom w:val="single" w:sz="12" w:space="1" w:color="auto"/>
        </w:pBdr>
        <w:tabs>
          <w:tab w:val="left" w:pos="288"/>
          <w:tab w:val="left" w:pos="4752"/>
        </w:tabs>
        <w:jc w:val="both"/>
        <w:rPr>
          <w:color w:val="000000" w:themeColor="text1"/>
        </w:rPr>
      </w:pPr>
    </w:p>
    <w:p w:rsidR="00AD40DF" w:rsidRDefault="00AD40DF" w:rsidP="00BF0E94">
      <w:pPr>
        <w:jc w:val="left"/>
        <w:rPr>
          <w:color w:val="auto"/>
        </w:rPr>
      </w:pPr>
    </w:p>
    <w:p w:rsidR="00CE3E46" w:rsidRDefault="00CE3E46" w:rsidP="00BF0E94">
      <w:pPr>
        <w:jc w:val="left"/>
        <w:rPr>
          <w:color w:val="auto"/>
        </w:rPr>
      </w:pPr>
    </w:p>
    <w:p w:rsidR="007C3350" w:rsidRDefault="00AD2379" w:rsidP="006616B7">
      <w:pPr>
        <w:jc w:val="both"/>
        <w:rPr>
          <w:rFonts w:cs="Times New Roman"/>
          <w:color w:val="auto"/>
          <w:szCs w:val="24"/>
        </w:rPr>
      </w:pPr>
      <w:r w:rsidRPr="00F64312">
        <w:rPr>
          <w:color w:val="auto"/>
          <w:u w:val="single"/>
        </w:rPr>
        <w:t>ANALYSIS SUMMARY</w:t>
      </w:r>
      <w:r w:rsidRPr="00F64312">
        <w:rPr>
          <w:color w:val="auto"/>
        </w:rPr>
        <w:t>:</w:t>
      </w:r>
      <w:r w:rsidR="006616B7">
        <w:rPr>
          <w:color w:val="auto"/>
        </w:rPr>
        <w:t xml:space="preserve">  </w:t>
      </w:r>
      <w:r w:rsidR="007C3350" w:rsidRPr="007C3350">
        <w:rPr>
          <w:rFonts w:cs="Times New Roman"/>
          <w:color w:val="auto"/>
          <w:szCs w:val="24"/>
        </w:rPr>
        <w:t xml:space="preserve">The </w:t>
      </w:r>
      <w:r w:rsidR="000B7711">
        <w:rPr>
          <w:rFonts w:cs="Times New Roman"/>
          <w:color w:val="auto"/>
          <w:szCs w:val="24"/>
        </w:rPr>
        <w:t>Disability Evaluation System (</w:t>
      </w:r>
      <w:r w:rsidR="007C3350" w:rsidRPr="007C3350">
        <w:rPr>
          <w:rFonts w:cs="Times New Roman"/>
          <w:color w:val="auto"/>
          <w:szCs w:val="24"/>
        </w:rPr>
        <w:t>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w:t>
      </w:r>
      <w:r w:rsidR="000B7711">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FD55AA">
        <w:rPr>
          <w:rFonts w:cs="Times New Roman"/>
          <w:color w:val="auto"/>
          <w:szCs w:val="24"/>
        </w:rPr>
        <w:t>itions determined to be service-</w:t>
      </w:r>
      <w:r w:rsidR="007C3350" w:rsidRPr="007C3350">
        <w:rPr>
          <w:rFonts w:cs="Times New Roman"/>
          <w:color w:val="auto"/>
          <w:szCs w:val="24"/>
        </w:rPr>
        <w:t xml:space="preserve">connected by the </w:t>
      </w:r>
      <w:r w:rsidR="000B7711" w:rsidRPr="007C3350">
        <w:rPr>
          <w:rFonts w:cs="Times New Roman"/>
          <w:color w:val="auto"/>
          <w:szCs w:val="24"/>
        </w:rPr>
        <w:t>Department of Veteran</w:t>
      </w:r>
      <w:r w:rsidR="000B7711">
        <w:rPr>
          <w:rFonts w:cs="Times New Roman"/>
          <w:color w:val="auto"/>
          <w:szCs w:val="24"/>
        </w:rPr>
        <w:t>s’ Affairs (DVA)</w:t>
      </w:r>
      <w:r w:rsidR="000B7711" w:rsidRPr="007C3350">
        <w:rPr>
          <w:rFonts w:cs="Times New Roman"/>
          <w:color w:val="auto"/>
          <w:szCs w:val="24"/>
        </w:rPr>
        <w:t xml:space="preserve"> </w:t>
      </w:r>
      <w:r w:rsidR="007C3350" w:rsidRPr="007C3350">
        <w:rPr>
          <w:rFonts w:cs="Times New Roman"/>
          <w:color w:val="auto"/>
          <w:szCs w:val="24"/>
        </w:rPr>
        <w:t xml:space="preserve">but not determined to be unfitting by the PEB.  However the </w:t>
      </w:r>
      <w:r w:rsidR="000B7711">
        <w:rPr>
          <w:rFonts w:cs="Times New Roman"/>
          <w:color w:val="auto"/>
          <w:szCs w:val="24"/>
        </w:rPr>
        <w:t>DVA</w:t>
      </w:r>
      <w:r w:rsidR="007C3350" w:rsidRPr="007C3350">
        <w:rPr>
          <w:rFonts w:cs="Times New Roman"/>
          <w:color w:val="auto"/>
          <w:szCs w:val="24"/>
        </w:rPr>
        <w:t>, operating under a different set of laws (Title 38, United States Code), is empo</w:t>
      </w:r>
      <w:r w:rsidR="000B7711">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0B7711">
        <w:rPr>
          <w:rFonts w:cs="Times New Roman"/>
          <w:color w:val="auto"/>
          <w:szCs w:val="24"/>
        </w:rPr>
        <w:t>V</w:t>
      </w:r>
      <w:r w:rsidR="007C3350" w:rsidRPr="007C3350">
        <w:rPr>
          <w:rFonts w:cs="Times New Roman"/>
          <w:color w:val="auto"/>
          <w:szCs w:val="24"/>
        </w:rPr>
        <w:t xml:space="preserve">eteran’s disability rating should </w:t>
      </w:r>
      <w:r w:rsidR="000B7711">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w:t>
      </w:r>
      <w:r w:rsidR="00571D95">
        <w:rPr>
          <w:rFonts w:cs="Times New Roman"/>
          <w:color w:val="auto"/>
          <w:szCs w:val="24"/>
        </w:rPr>
        <w:t>ity at the time of separation.</w:t>
      </w:r>
    </w:p>
    <w:p w:rsidR="00CE3E46" w:rsidRPr="006616B7" w:rsidRDefault="00CE3E46" w:rsidP="00B22D42">
      <w:pPr>
        <w:jc w:val="both"/>
        <w:rPr>
          <w:color w:val="auto"/>
          <w:highlight w:val="yellow"/>
        </w:rPr>
      </w:pPr>
    </w:p>
    <w:p w:rsidR="007F6902" w:rsidRDefault="006616B7" w:rsidP="007F6902">
      <w:pPr>
        <w:jc w:val="both"/>
        <w:rPr>
          <w:color w:val="auto"/>
        </w:rPr>
      </w:pPr>
      <w:proofErr w:type="gramStart"/>
      <w:r w:rsidRPr="006616B7">
        <w:rPr>
          <w:color w:val="auto"/>
          <w:u w:val="single"/>
        </w:rPr>
        <w:t xml:space="preserve">Chronic Left </w:t>
      </w:r>
      <w:r w:rsidR="00D05F2B">
        <w:rPr>
          <w:color w:val="auto"/>
          <w:u w:val="single"/>
        </w:rPr>
        <w:t xml:space="preserve">Arm and </w:t>
      </w:r>
      <w:r w:rsidRPr="006616B7">
        <w:rPr>
          <w:color w:val="auto"/>
          <w:u w:val="single"/>
        </w:rPr>
        <w:t>Neck Pain Condition</w:t>
      </w:r>
      <w:r w:rsidRPr="006616B7">
        <w:rPr>
          <w:color w:val="auto"/>
        </w:rPr>
        <w:t>.</w:t>
      </w:r>
      <w:proofErr w:type="gramEnd"/>
      <w:r w:rsidR="007F6902">
        <w:rPr>
          <w:color w:val="auto"/>
        </w:rPr>
        <w:t xml:space="preserve">  </w:t>
      </w:r>
      <w:r w:rsidR="00A84635">
        <w:rPr>
          <w:color w:val="auto"/>
        </w:rPr>
        <w:t xml:space="preserve">The </w:t>
      </w:r>
      <w:r w:rsidR="00223C14">
        <w:rPr>
          <w:color w:val="auto"/>
        </w:rPr>
        <w:t>left hand</w:t>
      </w:r>
      <w:r w:rsidR="00BA08FB">
        <w:rPr>
          <w:color w:val="auto"/>
        </w:rPr>
        <w:t xml:space="preserve"> dominant </w:t>
      </w:r>
      <w:r w:rsidR="00A84635">
        <w:rPr>
          <w:color w:val="auto"/>
        </w:rPr>
        <w:t xml:space="preserve">CI developed chronic neck and left arm pain following a fall off of a military truck during training in May 2000.  Initial </w:t>
      </w:r>
      <w:r w:rsidR="000B7711">
        <w:rPr>
          <w:color w:val="auto"/>
        </w:rPr>
        <w:t>magnetic resonance imaging (</w:t>
      </w:r>
      <w:r w:rsidR="00A84635">
        <w:rPr>
          <w:color w:val="auto"/>
        </w:rPr>
        <w:t>MRI</w:t>
      </w:r>
      <w:r w:rsidR="000B7711">
        <w:rPr>
          <w:color w:val="auto"/>
        </w:rPr>
        <w:t>)</w:t>
      </w:r>
      <w:r w:rsidR="00A84635">
        <w:rPr>
          <w:color w:val="auto"/>
        </w:rPr>
        <w:t xml:space="preserve"> imaging indicated a bulging cervical disc, but </w:t>
      </w:r>
      <w:r w:rsidR="00D05F2B">
        <w:rPr>
          <w:color w:val="auto"/>
        </w:rPr>
        <w:t xml:space="preserve">a </w:t>
      </w:r>
      <w:r w:rsidR="00A84635">
        <w:rPr>
          <w:color w:val="auto"/>
        </w:rPr>
        <w:t xml:space="preserve">subsequent MRI in August 2000 and CT in October 2000 were unremarkable without evidence of disc bulging, protrusion, herniation or neural foraminal compromise. </w:t>
      </w:r>
      <w:r w:rsidR="00C7616A">
        <w:rPr>
          <w:color w:val="auto"/>
        </w:rPr>
        <w:t xml:space="preserve"> </w:t>
      </w:r>
      <w:r w:rsidR="00A84635">
        <w:rPr>
          <w:color w:val="auto"/>
        </w:rPr>
        <w:t xml:space="preserve">An electromyogram in November 2000 was “mildly abnormal” in the left C6-7 myotome indicating a possible mild left radiculopathy that the neurologist attributed to nerve root stretch at the time of the fall.  The neurologist concluded the CI had complex regional pain syndrome </w:t>
      </w:r>
      <w:r w:rsidR="00BA08FB">
        <w:rPr>
          <w:color w:val="auto"/>
        </w:rPr>
        <w:t>(CRPS)</w:t>
      </w:r>
      <w:r w:rsidR="00D05F2B">
        <w:rPr>
          <w:color w:val="auto"/>
        </w:rPr>
        <w:t xml:space="preserve"> </w:t>
      </w:r>
      <w:r w:rsidR="00A84635">
        <w:rPr>
          <w:color w:val="auto"/>
        </w:rPr>
        <w:t>of the left upper extremity based on diffuse pain complaints and cooler skin temperature on the left compared to the right</w:t>
      </w:r>
      <w:r w:rsidR="00BA08FB">
        <w:rPr>
          <w:color w:val="auto"/>
        </w:rPr>
        <w:t xml:space="preserve"> (</w:t>
      </w:r>
      <w:r w:rsidR="00D05F2B" w:rsidRPr="00BA08FB">
        <w:rPr>
          <w:color w:val="auto"/>
        </w:rPr>
        <w:t>consistent with stage 2 CRPS</w:t>
      </w:r>
      <w:r w:rsidR="00BA08FB" w:rsidRPr="00BA08FB">
        <w:rPr>
          <w:color w:val="auto"/>
        </w:rPr>
        <w:t xml:space="preserve">).  </w:t>
      </w:r>
      <w:r w:rsidR="00D05F2B">
        <w:rPr>
          <w:color w:val="auto"/>
        </w:rPr>
        <w:t>A b</w:t>
      </w:r>
      <w:r w:rsidR="00A84635">
        <w:rPr>
          <w:color w:val="auto"/>
        </w:rPr>
        <w:t xml:space="preserve">one scan </w:t>
      </w:r>
      <w:r w:rsidR="00D05F2B">
        <w:rPr>
          <w:color w:val="auto"/>
        </w:rPr>
        <w:t xml:space="preserve">performed </w:t>
      </w:r>
      <w:r w:rsidR="00A84635">
        <w:rPr>
          <w:color w:val="auto"/>
        </w:rPr>
        <w:t>in March 2001 was negative for changes associated with complex regional pain syndrome</w:t>
      </w:r>
      <w:r w:rsidR="00BA08FB">
        <w:rPr>
          <w:color w:val="auto"/>
        </w:rPr>
        <w:t xml:space="preserve"> (considered useful for stage 1 and </w:t>
      </w:r>
      <w:r w:rsidR="00BA08FB">
        <w:rPr>
          <w:color w:val="auto"/>
        </w:rPr>
        <w:lastRenderedPageBreak/>
        <w:t>2 CRPS)</w:t>
      </w:r>
      <w:r w:rsidR="00DE2034">
        <w:rPr>
          <w:color w:val="auto"/>
        </w:rPr>
        <w:t>.</w:t>
      </w:r>
      <w:r w:rsidR="0091007E">
        <w:rPr>
          <w:color w:val="auto"/>
        </w:rPr>
        <w:t xml:space="preserve"> </w:t>
      </w:r>
      <w:r w:rsidR="001E7DD7">
        <w:rPr>
          <w:color w:val="auto"/>
        </w:rPr>
        <w:t xml:space="preserve"> </w:t>
      </w:r>
      <w:r w:rsidR="00D05F2B">
        <w:rPr>
          <w:color w:val="auto"/>
        </w:rPr>
        <w:t xml:space="preserve">The neurologist noted evidence of improvement in </w:t>
      </w:r>
      <w:r w:rsidR="005151AA">
        <w:rPr>
          <w:color w:val="auto"/>
        </w:rPr>
        <w:t xml:space="preserve">April and </w:t>
      </w:r>
      <w:r w:rsidR="00D05F2B">
        <w:rPr>
          <w:color w:val="auto"/>
        </w:rPr>
        <w:t xml:space="preserve">August 2001 after which time the CI moved to a new state.  </w:t>
      </w:r>
      <w:r w:rsidR="00DE2034">
        <w:rPr>
          <w:color w:val="auto"/>
        </w:rPr>
        <w:t xml:space="preserve">The CI </w:t>
      </w:r>
      <w:r w:rsidR="00DB071D">
        <w:rPr>
          <w:color w:val="auto"/>
        </w:rPr>
        <w:t xml:space="preserve">continued to report pain that prevented return to duty </w:t>
      </w:r>
      <w:r w:rsidR="00DE2034">
        <w:rPr>
          <w:color w:val="auto"/>
        </w:rPr>
        <w:t xml:space="preserve">and was subsequently referred for MEB.  The MEB </w:t>
      </w:r>
      <w:r w:rsidR="00FD55AA">
        <w:rPr>
          <w:color w:val="auto"/>
        </w:rPr>
        <w:t>narrative summary (</w:t>
      </w:r>
      <w:r w:rsidR="00DE2034">
        <w:rPr>
          <w:color w:val="auto"/>
        </w:rPr>
        <w:t>NARSUM</w:t>
      </w:r>
      <w:r w:rsidR="00FD55AA">
        <w:rPr>
          <w:color w:val="auto"/>
        </w:rPr>
        <w:t>)</w:t>
      </w:r>
      <w:r w:rsidR="00DE2034">
        <w:rPr>
          <w:color w:val="auto"/>
        </w:rPr>
        <w:t xml:space="preserve"> </w:t>
      </w:r>
      <w:r w:rsidR="00F16FF6">
        <w:rPr>
          <w:color w:val="auto"/>
        </w:rPr>
        <w:t>n</w:t>
      </w:r>
      <w:r w:rsidR="00DE2034">
        <w:rPr>
          <w:color w:val="auto"/>
        </w:rPr>
        <w:t>oted a history of s</w:t>
      </w:r>
      <w:r w:rsidR="00DE2034" w:rsidRPr="00EA1816">
        <w:rPr>
          <w:color w:val="auto"/>
        </w:rPr>
        <w:t>evere left arm, shoulder, and chronic neck and head pain</w:t>
      </w:r>
      <w:r w:rsidR="00DE2034">
        <w:rPr>
          <w:color w:val="auto"/>
        </w:rPr>
        <w:t xml:space="preserve"> and summarized evaluations over the </w:t>
      </w:r>
      <w:r w:rsidR="00FD55AA">
        <w:rPr>
          <w:color w:val="auto"/>
        </w:rPr>
        <w:t>2 1/2</w:t>
      </w:r>
      <w:r w:rsidR="00DE2034">
        <w:rPr>
          <w:color w:val="auto"/>
        </w:rPr>
        <w:t xml:space="preserve"> years since injury leading u</w:t>
      </w:r>
      <w:r w:rsidR="000B7711">
        <w:rPr>
          <w:color w:val="auto"/>
        </w:rPr>
        <w:t xml:space="preserve">p to the time of the MEB.  The </w:t>
      </w:r>
      <w:r w:rsidR="00DE2034">
        <w:rPr>
          <w:color w:val="auto"/>
        </w:rPr>
        <w:t xml:space="preserve">PEB determined the </w:t>
      </w:r>
      <w:r w:rsidR="00DE2034" w:rsidRPr="00EA1816">
        <w:rPr>
          <w:color w:val="auto"/>
        </w:rPr>
        <w:t xml:space="preserve">chronic left arm </w:t>
      </w:r>
      <w:r w:rsidR="00FD55AA">
        <w:rPr>
          <w:color w:val="auto"/>
        </w:rPr>
        <w:t>and neck pain following injury</w:t>
      </w:r>
      <w:r w:rsidR="00F16FF6">
        <w:rPr>
          <w:color w:val="auto"/>
        </w:rPr>
        <w:t xml:space="preserve"> on</w:t>
      </w:r>
      <w:r w:rsidR="00FD55AA">
        <w:rPr>
          <w:color w:val="auto"/>
        </w:rPr>
        <w:t xml:space="preserve"> </w:t>
      </w:r>
      <w:r w:rsidR="00DE2034" w:rsidRPr="00EA1816">
        <w:rPr>
          <w:color w:val="auto"/>
        </w:rPr>
        <w:t xml:space="preserve">6 May 2000, consistent with regional pain syndrome (reflex sympathetic dystrophy) </w:t>
      </w:r>
      <w:r w:rsidR="00DE2034">
        <w:rPr>
          <w:color w:val="auto"/>
        </w:rPr>
        <w:t xml:space="preserve">due to cervical nerve stretch, was unfitting for continued military service.  The PEB noted negative imaging and </w:t>
      </w:r>
      <w:r w:rsidR="00DE2034" w:rsidRPr="00EA1816">
        <w:rPr>
          <w:color w:val="auto"/>
        </w:rPr>
        <w:t>EMG</w:t>
      </w:r>
      <w:r w:rsidR="007436D9">
        <w:rPr>
          <w:color w:val="auto"/>
        </w:rPr>
        <w:t>,</w:t>
      </w:r>
      <w:r w:rsidR="00DE2034" w:rsidRPr="00EA1816">
        <w:rPr>
          <w:color w:val="auto"/>
        </w:rPr>
        <w:t xml:space="preserve"> </w:t>
      </w:r>
      <w:r w:rsidR="00DE2034">
        <w:rPr>
          <w:color w:val="auto"/>
        </w:rPr>
        <w:t>but “m</w:t>
      </w:r>
      <w:r w:rsidR="00DE2034" w:rsidRPr="00EA1816">
        <w:rPr>
          <w:color w:val="auto"/>
        </w:rPr>
        <w:t>arked pain limits left upper extremity function</w:t>
      </w:r>
      <w:r w:rsidR="000B7711">
        <w:rPr>
          <w:color w:val="auto"/>
        </w:rPr>
        <w:t>.</w:t>
      </w:r>
      <w:r w:rsidR="00DE2034">
        <w:rPr>
          <w:color w:val="auto"/>
        </w:rPr>
        <w:t>”  The PEB r</w:t>
      </w:r>
      <w:r w:rsidR="00DE2034" w:rsidRPr="00EA1816">
        <w:rPr>
          <w:color w:val="auto"/>
        </w:rPr>
        <w:t xml:space="preserve">ated </w:t>
      </w:r>
      <w:r w:rsidR="00DE2034">
        <w:rPr>
          <w:color w:val="auto"/>
        </w:rPr>
        <w:t xml:space="preserve">the condition </w:t>
      </w:r>
      <w:r w:rsidR="00DE2034" w:rsidRPr="00EA1816">
        <w:rPr>
          <w:color w:val="auto"/>
        </w:rPr>
        <w:t>analogous</w:t>
      </w:r>
      <w:r w:rsidR="00DE2034">
        <w:rPr>
          <w:color w:val="auto"/>
        </w:rPr>
        <w:t>ly</w:t>
      </w:r>
      <w:r w:rsidR="00DE2034" w:rsidRPr="00EA1816">
        <w:rPr>
          <w:color w:val="auto"/>
        </w:rPr>
        <w:t xml:space="preserve"> to neuralgia, all radicular groups moderate</w:t>
      </w:r>
      <w:r w:rsidR="00BA08FB">
        <w:rPr>
          <w:color w:val="auto"/>
        </w:rPr>
        <w:t xml:space="preserve"> (</w:t>
      </w:r>
      <w:r w:rsidR="00DE2034" w:rsidRPr="00EA1816">
        <w:rPr>
          <w:color w:val="auto"/>
        </w:rPr>
        <w:t>major</w:t>
      </w:r>
      <w:r w:rsidR="00BA08FB">
        <w:rPr>
          <w:color w:val="auto"/>
        </w:rPr>
        <w:t>)</w:t>
      </w:r>
      <w:r w:rsidR="00DE2034">
        <w:rPr>
          <w:color w:val="auto"/>
        </w:rPr>
        <w:t xml:space="preserve">, </w:t>
      </w:r>
      <w:r w:rsidR="00DE2034" w:rsidRPr="00EA1816">
        <w:rPr>
          <w:color w:val="auto"/>
        </w:rPr>
        <w:t>40%</w:t>
      </w:r>
      <w:r w:rsidR="00DE2034">
        <w:rPr>
          <w:color w:val="auto"/>
        </w:rPr>
        <w:t xml:space="preserve"> (</w:t>
      </w:r>
      <w:r w:rsidR="00DE2034" w:rsidRPr="00EA1816">
        <w:rPr>
          <w:color w:val="auto"/>
        </w:rPr>
        <w:t>8799-8713</w:t>
      </w:r>
      <w:r w:rsidR="00DE2034">
        <w:rPr>
          <w:color w:val="auto"/>
        </w:rPr>
        <w:t>),</w:t>
      </w:r>
      <w:r w:rsidR="00D00AFA">
        <w:rPr>
          <w:color w:val="auto"/>
        </w:rPr>
        <w:t xml:space="preserve"> the maximum allowable rating, </w:t>
      </w:r>
      <w:r w:rsidR="00DE2034">
        <w:rPr>
          <w:color w:val="auto"/>
        </w:rPr>
        <w:t>and placed the CI on TDRL.</w:t>
      </w:r>
      <w:r w:rsidR="007F6902">
        <w:rPr>
          <w:color w:val="auto"/>
        </w:rPr>
        <w:t xml:space="preserve">  </w:t>
      </w:r>
      <w:r w:rsidR="007F6902" w:rsidRPr="007F6902">
        <w:rPr>
          <w:color w:val="auto"/>
        </w:rPr>
        <w:t xml:space="preserve">Board members agreed </w:t>
      </w:r>
      <w:r w:rsidR="007F6902">
        <w:rPr>
          <w:color w:val="auto"/>
        </w:rPr>
        <w:t xml:space="preserve">there was </w:t>
      </w:r>
      <w:r w:rsidR="00DB071D">
        <w:rPr>
          <w:color w:val="auto"/>
        </w:rPr>
        <w:t>no</w:t>
      </w:r>
      <w:r w:rsidR="00D00AFA">
        <w:rPr>
          <w:color w:val="auto"/>
        </w:rPr>
        <w:t xml:space="preserve"> route to a higher rating and in</w:t>
      </w:r>
      <w:r w:rsidR="007F6902">
        <w:rPr>
          <w:color w:val="auto"/>
        </w:rPr>
        <w:t>sufficient evidence to support a higher rating than that adjudicated by the PEB at the time of placement on TDRL.</w:t>
      </w:r>
    </w:p>
    <w:p w:rsidR="00C7616A" w:rsidRPr="007F6902" w:rsidRDefault="00C7616A" w:rsidP="007F6902">
      <w:pPr>
        <w:jc w:val="both"/>
        <w:rPr>
          <w:color w:val="auto"/>
        </w:rPr>
      </w:pPr>
    </w:p>
    <w:p w:rsidR="00FD55AA" w:rsidRDefault="007F6902" w:rsidP="004B6BD9">
      <w:pPr>
        <w:jc w:val="both"/>
        <w:rPr>
          <w:color w:val="auto"/>
        </w:rPr>
      </w:pPr>
      <w:r w:rsidRPr="007F6902">
        <w:rPr>
          <w:color w:val="auto"/>
        </w:rPr>
        <w:t xml:space="preserve">The Board next considered the </w:t>
      </w:r>
      <w:r>
        <w:rPr>
          <w:color w:val="auto"/>
        </w:rPr>
        <w:t xml:space="preserve">permanent rating </w:t>
      </w:r>
      <w:r w:rsidRPr="007F6902">
        <w:rPr>
          <w:color w:val="auto"/>
        </w:rPr>
        <w:t>determination made by the PEB at the time of removal from the TDRL</w:t>
      </w:r>
      <w:r>
        <w:rPr>
          <w:color w:val="auto"/>
        </w:rPr>
        <w:t>.</w:t>
      </w:r>
      <w:r w:rsidR="004D6DC3">
        <w:rPr>
          <w:color w:val="auto"/>
        </w:rPr>
        <w:t xml:space="preserve">  </w:t>
      </w:r>
      <w:r w:rsidR="000977D6">
        <w:rPr>
          <w:color w:val="auto"/>
        </w:rPr>
        <w:t>A 13 August 2003 neurosurgery evaluation recounted the complaint of left upper extremity pain.  On examination, diffuse give</w:t>
      </w:r>
      <w:r w:rsidR="00360F9A">
        <w:rPr>
          <w:color w:val="auto"/>
        </w:rPr>
        <w:t>-</w:t>
      </w:r>
      <w:r w:rsidR="000977D6">
        <w:rPr>
          <w:color w:val="auto"/>
        </w:rPr>
        <w:t>way weakness of the left arm</w:t>
      </w:r>
      <w:r w:rsidR="00DB071D">
        <w:rPr>
          <w:color w:val="auto"/>
        </w:rPr>
        <w:t xml:space="preserve"> was present.</w:t>
      </w:r>
      <w:r w:rsidR="000977D6">
        <w:rPr>
          <w:color w:val="auto"/>
        </w:rPr>
        <w:t xml:space="preserve"> </w:t>
      </w:r>
      <w:r w:rsidR="00B72AF0">
        <w:rPr>
          <w:color w:val="auto"/>
        </w:rPr>
        <w:t xml:space="preserve"> </w:t>
      </w:r>
      <w:r w:rsidR="000977D6">
        <w:rPr>
          <w:color w:val="auto"/>
        </w:rPr>
        <w:t xml:space="preserve">Reflexes were normal and examination testing for cervical nerve root impingement was negative.  Decreased pin-prick sensation was noted in left C7 and C8 region.  Findings of complex regional pain syndrome were not documented on this examination. </w:t>
      </w:r>
      <w:r w:rsidR="00B72AF0">
        <w:rPr>
          <w:color w:val="auto"/>
        </w:rPr>
        <w:t xml:space="preserve"> </w:t>
      </w:r>
      <w:r w:rsidR="000977D6">
        <w:rPr>
          <w:color w:val="auto"/>
        </w:rPr>
        <w:t>The neurosurgeon noted the etiology of the CI symptoms wer</w:t>
      </w:r>
      <w:r w:rsidR="00B72AF0">
        <w:rPr>
          <w:color w:val="auto"/>
        </w:rPr>
        <w:t>e “not clear</w:t>
      </w:r>
      <w:r w:rsidR="000B7711">
        <w:rPr>
          <w:color w:val="auto"/>
        </w:rPr>
        <w:t>.</w:t>
      </w:r>
      <w:r w:rsidR="00B72AF0">
        <w:rPr>
          <w:color w:val="auto"/>
        </w:rPr>
        <w:t xml:space="preserve">”  </w:t>
      </w:r>
      <w:r w:rsidR="000977D6">
        <w:rPr>
          <w:color w:val="auto"/>
        </w:rPr>
        <w:t>A 27 August 2003 cervical spine myelogram was normal.</w:t>
      </w:r>
      <w:r w:rsidR="009864E7">
        <w:rPr>
          <w:color w:val="auto"/>
        </w:rPr>
        <w:t xml:space="preserve">  </w:t>
      </w:r>
      <w:r>
        <w:rPr>
          <w:color w:val="auto"/>
        </w:rPr>
        <w:t>The CI underwent TDRL ree</w:t>
      </w:r>
      <w:r w:rsidR="000B7711">
        <w:rPr>
          <w:color w:val="auto"/>
        </w:rPr>
        <w:t xml:space="preserve">valuation by orthopedic surgery on  </w:t>
      </w:r>
      <w:r>
        <w:rPr>
          <w:color w:val="auto"/>
        </w:rPr>
        <w:t xml:space="preserve"> </w:t>
      </w:r>
      <w:r w:rsidR="000B7711">
        <w:rPr>
          <w:color w:val="auto"/>
        </w:rPr>
        <w:t xml:space="preserve">         </w:t>
      </w:r>
      <w:r w:rsidRPr="00EA1816">
        <w:rPr>
          <w:color w:val="auto"/>
        </w:rPr>
        <w:t>19</w:t>
      </w:r>
      <w:r>
        <w:rPr>
          <w:color w:val="auto"/>
        </w:rPr>
        <w:t xml:space="preserve"> </w:t>
      </w:r>
      <w:r w:rsidRPr="00EA1816">
        <w:rPr>
          <w:color w:val="auto"/>
        </w:rPr>
        <w:t>Mar</w:t>
      </w:r>
      <w:r>
        <w:rPr>
          <w:color w:val="auto"/>
        </w:rPr>
        <w:t>ch 20</w:t>
      </w:r>
      <w:r w:rsidRPr="00EA1816">
        <w:rPr>
          <w:color w:val="auto"/>
        </w:rPr>
        <w:t>04</w:t>
      </w:r>
      <w:r>
        <w:rPr>
          <w:color w:val="auto"/>
        </w:rPr>
        <w:t>.  The TDRL evaluation orthopedic NARSUM summarizes the clinical history that included a diagnosis of regional pain syndrome of the left upper extremity.  The orthopedic surgeon noted that</w:t>
      </w:r>
      <w:r w:rsidR="000977D6">
        <w:rPr>
          <w:color w:val="auto"/>
        </w:rPr>
        <w:t xml:space="preserve"> there was no clinical evidence of regional pain syndrome present on orthopedic clinic examinations </w:t>
      </w:r>
      <w:r w:rsidR="009864E7">
        <w:rPr>
          <w:color w:val="auto"/>
        </w:rPr>
        <w:t xml:space="preserve">since </w:t>
      </w:r>
      <w:r w:rsidR="000977D6">
        <w:rPr>
          <w:color w:val="auto"/>
        </w:rPr>
        <w:t>June 2003</w:t>
      </w:r>
      <w:r w:rsidR="009864E7">
        <w:rPr>
          <w:color w:val="auto"/>
        </w:rPr>
        <w:t>.  Evaluation by</w:t>
      </w:r>
      <w:r w:rsidR="007436D9">
        <w:rPr>
          <w:color w:val="auto"/>
        </w:rPr>
        <w:t xml:space="preserve"> orthopedic surgery, including </w:t>
      </w:r>
      <w:r w:rsidR="00FD55AA">
        <w:rPr>
          <w:color w:val="auto"/>
        </w:rPr>
        <w:t>X</w:t>
      </w:r>
      <w:r w:rsidR="007436D9" w:rsidRPr="007436D9">
        <w:rPr>
          <w:color w:val="auto"/>
        </w:rPr>
        <w:t>-</w:t>
      </w:r>
      <w:r w:rsidR="009864E7" w:rsidRPr="007436D9">
        <w:rPr>
          <w:color w:val="auto"/>
        </w:rPr>
        <w:t>rays a</w:t>
      </w:r>
      <w:r w:rsidR="009864E7">
        <w:rPr>
          <w:color w:val="auto"/>
        </w:rPr>
        <w:t xml:space="preserve">nd MRI, concluded with diagnosis of </w:t>
      </w:r>
      <w:r w:rsidR="00B53118">
        <w:rPr>
          <w:color w:val="auto"/>
        </w:rPr>
        <w:t xml:space="preserve">left shoulder </w:t>
      </w:r>
      <w:r w:rsidR="009864E7">
        <w:rPr>
          <w:color w:val="auto"/>
        </w:rPr>
        <w:t>acromioclavicular arthritis.  The orthopedic NA</w:t>
      </w:r>
      <w:r w:rsidR="008F3007">
        <w:rPr>
          <w:color w:val="auto"/>
        </w:rPr>
        <w:t>RSUM reported full active range-of-</w:t>
      </w:r>
      <w:r w:rsidR="009864E7">
        <w:rPr>
          <w:color w:val="auto"/>
        </w:rPr>
        <w:t xml:space="preserve">motion </w:t>
      </w:r>
      <w:r w:rsidR="008F3007">
        <w:rPr>
          <w:color w:val="auto"/>
        </w:rPr>
        <w:t xml:space="preserve">(ROM) </w:t>
      </w:r>
      <w:r w:rsidR="00B72AF0">
        <w:rPr>
          <w:color w:val="auto"/>
        </w:rPr>
        <w:t xml:space="preserve">of the </w:t>
      </w:r>
      <w:r w:rsidR="00B53118">
        <w:rPr>
          <w:color w:val="auto"/>
        </w:rPr>
        <w:t xml:space="preserve">left </w:t>
      </w:r>
      <w:r w:rsidR="00B72AF0">
        <w:rPr>
          <w:color w:val="auto"/>
        </w:rPr>
        <w:t xml:space="preserve">shoulder </w:t>
      </w:r>
      <w:r w:rsidR="009864E7">
        <w:rPr>
          <w:color w:val="auto"/>
        </w:rPr>
        <w:t xml:space="preserve">(to 180 degrees), with intact sensation.  There was mildly positive testing for acromioclavicular </w:t>
      </w:r>
      <w:r w:rsidR="00AB1ECB">
        <w:rPr>
          <w:color w:val="auto"/>
        </w:rPr>
        <w:t>disease, with negative tests for impingement.  No instability was reported.  Temperature over both shoulders was judged as equal.  There was “suboptimal effort” on manual muscle testing with slight decrease bilaterally.</w:t>
      </w:r>
      <w:r w:rsidR="001E7DD7">
        <w:rPr>
          <w:color w:val="auto"/>
        </w:rPr>
        <w:t xml:space="preserve">  </w:t>
      </w:r>
      <w:r w:rsidR="00FD55AA">
        <w:rPr>
          <w:color w:val="auto"/>
        </w:rPr>
        <w:t xml:space="preserve">The </w:t>
      </w:r>
      <w:r w:rsidR="00AB1ECB">
        <w:rPr>
          <w:color w:val="auto"/>
        </w:rPr>
        <w:t>PEB</w:t>
      </w:r>
      <w:r w:rsidR="00FD55AA">
        <w:rPr>
          <w:color w:val="auto"/>
        </w:rPr>
        <w:t>,</w:t>
      </w:r>
      <w:r w:rsidR="00AB1ECB">
        <w:rPr>
          <w:color w:val="auto"/>
        </w:rPr>
        <w:t xml:space="preserve"> </w:t>
      </w:r>
      <w:r w:rsidR="00FD55AA">
        <w:rPr>
          <w:color w:val="auto"/>
        </w:rPr>
        <w:t xml:space="preserve">on </w:t>
      </w:r>
      <w:r w:rsidR="00AB1ECB" w:rsidRPr="00EA1816">
        <w:rPr>
          <w:color w:val="auto"/>
        </w:rPr>
        <w:t>22 June 2004</w:t>
      </w:r>
      <w:r w:rsidR="00FD55AA">
        <w:rPr>
          <w:color w:val="auto"/>
        </w:rPr>
        <w:t>,</w:t>
      </w:r>
      <w:r w:rsidR="00AB1ECB" w:rsidRPr="00EA1816">
        <w:rPr>
          <w:color w:val="auto"/>
        </w:rPr>
        <w:t xml:space="preserve"> </w:t>
      </w:r>
      <w:r w:rsidR="00AB1ECB">
        <w:rPr>
          <w:color w:val="auto"/>
        </w:rPr>
        <w:t xml:space="preserve">concluded that </w:t>
      </w:r>
      <w:r w:rsidR="00AB1ECB" w:rsidRPr="00EA1816">
        <w:rPr>
          <w:color w:val="auto"/>
        </w:rPr>
        <w:t>chronic pain, left shoulder, with mild acromioclavicular arthritis with rotator cuff tendonitis</w:t>
      </w:r>
      <w:r w:rsidR="00AB1ECB">
        <w:rPr>
          <w:color w:val="auto"/>
        </w:rPr>
        <w:t xml:space="preserve"> was unfitting and adjudicated a </w:t>
      </w:r>
      <w:r w:rsidR="00AB1ECB" w:rsidRPr="00EA1816">
        <w:rPr>
          <w:color w:val="auto"/>
        </w:rPr>
        <w:t>20%</w:t>
      </w:r>
      <w:r w:rsidR="00AB1ECB">
        <w:rPr>
          <w:color w:val="auto"/>
        </w:rPr>
        <w:t xml:space="preserve"> rating </w:t>
      </w:r>
      <w:r w:rsidR="00AB1ECB" w:rsidRPr="00EA1816">
        <w:rPr>
          <w:color w:val="auto"/>
        </w:rPr>
        <w:t xml:space="preserve">IAW USPDA </w:t>
      </w:r>
      <w:r w:rsidR="00FD55AA">
        <w:rPr>
          <w:color w:val="auto"/>
        </w:rPr>
        <w:t>p</w:t>
      </w:r>
      <w:r w:rsidR="00AB1ECB" w:rsidRPr="00EA1816">
        <w:rPr>
          <w:color w:val="auto"/>
        </w:rPr>
        <w:t xml:space="preserve">ain </w:t>
      </w:r>
      <w:r w:rsidR="00FD55AA">
        <w:rPr>
          <w:color w:val="auto"/>
        </w:rPr>
        <w:t>p</w:t>
      </w:r>
      <w:r w:rsidR="00AB1ECB" w:rsidRPr="00EA1816">
        <w:rPr>
          <w:color w:val="auto"/>
        </w:rPr>
        <w:t>olicy</w:t>
      </w:r>
      <w:r w:rsidR="00AB1ECB">
        <w:rPr>
          <w:color w:val="auto"/>
        </w:rPr>
        <w:t xml:space="preserve"> for </w:t>
      </w:r>
      <w:r w:rsidR="00AB1ECB" w:rsidRPr="00EA1816">
        <w:rPr>
          <w:color w:val="auto"/>
        </w:rPr>
        <w:t>moderate, constant</w:t>
      </w:r>
      <w:r w:rsidR="00AB1ECB">
        <w:rPr>
          <w:color w:val="auto"/>
        </w:rPr>
        <w:t xml:space="preserve"> pain (coded 5</w:t>
      </w:r>
      <w:r w:rsidR="00AB1ECB" w:rsidRPr="00EA1816">
        <w:rPr>
          <w:color w:val="auto"/>
        </w:rPr>
        <w:t>099-5003</w:t>
      </w:r>
      <w:r w:rsidR="00AB1ECB">
        <w:rPr>
          <w:color w:val="auto"/>
        </w:rPr>
        <w:t xml:space="preserve">).  The PEB noted that the CI was originally </w:t>
      </w:r>
      <w:r w:rsidR="00AB1ECB" w:rsidRPr="00EA1816">
        <w:rPr>
          <w:color w:val="auto"/>
        </w:rPr>
        <w:t>placed on TDRL for reflex sympathetic dystrophy</w:t>
      </w:r>
      <w:r w:rsidR="00CE3E46">
        <w:rPr>
          <w:color w:val="auto"/>
        </w:rPr>
        <w:t xml:space="preserve"> (CRPS)</w:t>
      </w:r>
      <w:r w:rsidR="00AB1ECB" w:rsidRPr="00EA1816">
        <w:rPr>
          <w:color w:val="auto"/>
        </w:rPr>
        <w:t xml:space="preserve"> left arm and neck</w:t>
      </w:r>
      <w:r w:rsidR="00AB1ECB">
        <w:rPr>
          <w:color w:val="auto"/>
        </w:rPr>
        <w:t xml:space="preserve"> but that the </w:t>
      </w:r>
      <w:r w:rsidR="00AB1ECB" w:rsidRPr="00EA1816">
        <w:rPr>
          <w:color w:val="auto"/>
        </w:rPr>
        <w:t>TDRL evaluation d</w:t>
      </w:r>
      <w:r w:rsidR="00AB1ECB">
        <w:rPr>
          <w:color w:val="auto"/>
        </w:rPr>
        <w:t xml:space="preserve">id </w:t>
      </w:r>
      <w:r w:rsidR="00AB1ECB" w:rsidRPr="00EA1816">
        <w:rPr>
          <w:color w:val="auto"/>
        </w:rPr>
        <w:t>not support that diagnosis.</w:t>
      </w:r>
      <w:r w:rsidR="004D6DC3">
        <w:rPr>
          <w:color w:val="auto"/>
        </w:rPr>
        <w:t xml:space="preserve">  </w:t>
      </w:r>
    </w:p>
    <w:p w:rsidR="00FD55AA" w:rsidRDefault="00FD55AA" w:rsidP="004B6BD9">
      <w:pPr>
        <w:jc w:val="both"/>
        <w:rPr>
          <w:color w:val="auto"/>
        </w:rPr>
      </w:pPr>
    </w:p>
    <w:p w:rsidR="004B6BD9" w:rsidRPr="007F6902" w:rsidRDefault="00AB1ECB" w:rsidP="004B6BD9">
      <w:pPr>
        <w:jc w:val="both"/>
        <w:rPr>
          <w:color w:val="auto"/>
        </w:rPr>
      </w:pPr>
      <w:r>
        <w:rPr>
          <w:color w:val="auto"/>
        </w:rPr>
        <w:t xml:space="preserve">The CI also underwent </w:t>
      </w:r>
      <w:r w:rsidR="00F16FF6">
        <w:rPr>
          <w:color w:val="auto"/>
        </w:rPr>
        <w:t xml:space="preserve">a </w:t>
      </w:r>
      <w:r w:rsidRPr="00EA1816">
        <w:rPr>
          <w:color w:val="auto"/>
        </w:rPr>
        <w:t xml:space="preserve">VA </w:t>
      </w:r>
      <w:r w:rsidR="00FD55AA">
        <w:rPr>
          <w:color w:val="auto"/>
        </w:rPr>
        <w:t>C</w:t>
      </w:r>
      <w:r w:rsidRPr="00EA1816">
        <w:rPr>
          <w:color w:val="auto"/>
        </w:rPr>
        <w:t xml:space="preserve">ompensation and </w:t>
      </w:r>
      <w:r w:rsidR="00FD55AA">
        <w:rPr>
          <w:color w:val="auto"/>
        </w:rPr>
        <w:t>P</w:t>
      </w:r>
      <w:r w:rsidRPr="00EA1816">
        <w:rPr>
          <w:color w:val="auto"/>
        </w:rPr>
        <w:t>ension (C&amp;P) examination</w:t>
      </w:r>
      <w:r>
        <w:rPr>
          <w:color w:val="auto"/>
        </w:rPr>
        <w:t xml:space="preserve"> on </w:t>
      </w:r>
      <w:r w:rsidRPr="00EA1816">
        <w:rPr>
          <w:color w:val="auto"/>
        </w:rPr>
        <w:t>21 April 2004</w:t>
      </w:r>
      <w:r>
        <w:rPr>
          <w:color w:val="auto"/>
        </w:rPr>
        <w:t>.</w:t>
      </w:r>
      <w:r w:rsidR="004D6DC3">
        <w:rPr>
          <w:color w:val="auto"/>
        </w:rPr>
        <w:t xml:space="preserve">  The examiner summarized the history of neck and left arm pain.  The examiner noted the neck was held in normal posture, with motion limited by pain.  Although there was “global weakness” of the left upper extremity, there was no atrophy of left arm musculature compared with the right, consistent with symmetric use.  No sensory loss was noted and reflexes were intact and normal.  The examiner noted a recent normal CT myelogram.  The examiner stated he could find no objective evidence of neurologic deficit.  The VA </w:t>
      </w:r>
      <w:r w:rsidR="00FD55AA">
        <w:rPr>
          <w:color w:val="auto"/>
        </w:rPr>
        <w:t>r</w:t>
      </w:r>
      <w:r w:rsidR="004D6DC3">
        <w:rPr>
          <w:color w:val="auto"/>
        </w:rPr>
        <w:t xml:space="preserve">ating </w:t>
      </w:r>
      <w:r w:rsidR="00FD55AA">
        <w:rPr>
          <w:color w:val="auto"/>
        </w:rPr>
        <w:t>d</w:t>
      </w:r>
      <w:r w:rsidR="004D6DC3">
        <w:rPr>
          <w:color w:val="auto"/>
        </w:rPr>
        <w:t xml:space="preserve">ecision </w:t>
      </w:r>
      <w:r w:rsidR="00FD55AA">
        <w:rPr>
          <w:color w:val="auto"/>
        </w:rPr>
        <w:t xml:space="preserve">on </w:t>
      </w:r>
      <w:r w:rsidR="004D6DC3" w:rsidRPr="00EA1816">
        <w:rPr>
          <w:color w:val="auto"/>
        </w:rPr>
        <w:t>20</w:t>
      </w:r>
      <w:r w:rsidR="004D6DC3">
        <w:rPr>
          <w:color w:val="auto"/>
        </w:rPr>
        <w:t xml:space="preserve"> </w:t>
      </w:r>
      <w:r w:rsidR="004D6DC3" w:rsidRPr="00EA1816">
        <w:rPr>
          <w:color w:val="auto"/>
        </w:rPr>
        <w:t>May</w:t>
      </w:r>
      <w:r w:rsidR="004D6DC3">
        <w:rPr>
          <w:color w:val="auto"/>
        </w:rPr>
        <w:t xml:space="preserve"> 20</w:t>
      </w:r>
      <w:r w:rsidR="004D6DC3" w:rsidRPr="00EA1816">
        <w:rPr>
          <w:color w:val="auto"/>
        </w:rPr>
        <w:t xml:space="preserve">04 </w:t>
      </w:r>
      <w:r w:rsidR="00FD55AA">
        <w:rPr>
          <w:color w:val="auto"/>
        </w:rPr>
        <w:t>did not grant a service-</w:t>
      </w:r>
      <w:r w:rsidR="004D6DC3">
        <w:rPr>
          <w:color w:val="auto"/>
        </w:rPr>
        <w:t xml:space="preserve">connected rating for claimed neck and left upper extremity condition based on the C&amp;P examination </w:t>
      </w:r>
      <w:r w:rsidR="00A944E1">
        <w:rPr>
          <w:color w:val="auto"/>
        </w:rPr>
        <w:t xml:space="preserve">which did </w:t>
      </w:r>
      <w:r w:rsidR="004D6DC3">
        <w:rPr>
          <w:color w:val="auto"/>
        </w:rPr>
        <w:t xml:space="preserve">not show any </w:t>
      </w:r>
      <w:r w:rsidR="004D6DC3" w:rsidRPr="00EA1816">
        <w:rPr>
          <w:color w:val="auto"/>
        </w:rPr>
        <w:t>permanent residual or chronic disability</w:t>
      </w:r>
      <w:r w:rsidR="004D6DC3">
        <w:rPr>
          <w:color w:val="auto"/>
        </w:rPr>
        <w:t>.</w:t>
      </w:r>
      <w:r w:rsidR="001E7DD7">
        <w:rPr>
          <w:color w:val="auto"/>
        </w:rPr>
        <w:t xml:space="preserve">  </w:t>
      </w:r>
      <w:r w:rsidR="004D6DC3">
        <w:rPr>
          <w:color w:val="auto"/>
        </w:rPr>
        <w:t xml:space="preserve">The Board noted the PEB rated the </w:t>
      </w:r>
      <w:r w:rsidR="004C6625">
        <w:rPr>
          <w:color w:val="auto"/>
        </w:rPr>
        <w:t xml:space="preserve">unfitting </w:t>
      </w:r>
      <w:r w:rsidR="004D6DC3">
        <w:rPr>
          <w:color w:val="auto"/>
        </w:rPr>
        <w:t xml:space="preserve">left shoulder pain condition IAW with the USPDA pain policy, and the Board considered the rating for the unfitting condition based on VASRD rating guidelines. </w:t>
      </w:r>
      <w:r w:rsidR="00FD55AA">
        <w:rPr>
          <w:color w:val="auto"/>
        </w:rPr>
        <w:t xml:space="preserve"> The Board noted that the </w:t>
      </w:r>
      <w:r w:rsidR="008F3007">
        <w:rPr>
          <w:color w:val="auto"/>
        </w:rPr>
        <w:t>ROM</w:t>
      </w:r>
      <w:r w:rsidR="004D6DC3">
        <w:rPr>
          <w:color w:val="auto"/>
        </w:rPr>
        <w:t xml:space="preserve"> was non-compensable but agreed a 10% rating was supported in accordance with §4.59 for painful motion.  The Board considered other shoulder diagnostic codes but</w:t>
      </w:r>
      <w:r w:rsidR="004B6BD9">
        <w:rPr>
          <w:color w:val="auto"/>
        </w:rPr>
        <w:t xml:space="preserve"> there was no route to a higher rating than 10%.</w:t>
      </w:r>
      <w:r w:rsidR="004C6625">
        <w:rPr>
          <w:color w:val="auto"/>
        </w:rPr>
        <w:t xml:space="preserve">  </w:t>
      </w:r>
      <w:r w:rsidR="004B6BD9" w:rsidRPr="00CE3E46">
        <w:rPr>
          <w:color w:val="auto"/>
        </w:rPr>
        <w:t xml:space="preserve">The Board </w:t>
      </w:r>
      <w:r w:rsidR="004B6BD9" w:rsidRPr="00CE3E46">
        <w:rPr>
          <w:color w:val="auto"/>
        </w:rPr>
        <w:lastRenderedPageBreak/>
        <w:t>may not recommend a combined rating lower than that adjudicated by the PEB.</w:t>
      </w:r>
      <w:r w:rsidR="004C6625">
        <w:rPr>
          <w:color w:val="auto"/>
        </w:rPr>
        <w:t xml:space="preserve"> </w:t>
      </w:r>
      <w:r w:rsidR="00346382">
        <w:rPr>
          <w:color w:val="auto"/>
        </w:rPr>
        <w:t xml:space="preserve"> </w:t>
      </w:r>
      <w:r w:rsidR="00346382" w:rsidRPr="00CE3E46">
        <w:rPr>
          <w:color w:val="auto"/>
        </w:rPr>
        <w:t>After due deliberation, considering all of the evidence and mindful of VASRD §4.3 (reasonable doubt</w:t>
      </w:r>
      <w:r w:rsidR="00346382" w:rsidRPr="00F64312">
        <w:rPr>
          <w:rFonts w:eastAsia="Calibri" w:cs="Times New Roman"/>
          <w:color w:val="auto"/>
          <w:szCs w:val="24"/>
        </w:rPr>
        <w:t xml:space="preserve">), the Board concluded that there was insufficient cause to recommend a change in the </w:t>
      </w:r>
      <w:r w:rsidR="004B6BD9" w:rsidRPr="007F6902">
        <w:rPr>
          <w:color w:val="auto"/>
        </w:rPr>
        <w:t>PEB’s permanent rating for the</w:t>
      </w:r>
      <w:r w:rsidR="004B6BD9">
        <w:rPr>
          <w:color w:val="auto"/>
        </w:rPr>
        <w:t xml:space="preserve"> left upper extremity pain </w:t>
      </w:r>
      <w:r w:rsidR="004B6BD9" w:rsidRPr="007F6902">
        <w:rPr>
          <w:color w:val="auto"/>
        </w:rPr>
        <w:t>condition at the time of removal from TDRL.</w:t>
      </w:r>
    </w:p>
    <w:p w:rsidR="00CE3E46" w:rsidRDefault="00CE3E46" w:rsidP="003863E9">
      <w:pPr>
        <w:jc w:val="both"/>
        <w:rPr>
          <w:color w:val="auto"/>
          <w:u w:val="single"/>
        </w:rPr>
      </w:pPr>
    </w:p>
    <w:p w:rsidR="003863E9" w:rsidRDefault="006B690F" w:rsidP="003863E9">
      <w:pPr>
        <w:jc w:val="both"/>
        <w:rPr>
          <w:rFonts w:eastAsia="Calibri" w:cs="Times New Roman"/>
          <w:color w:val="auto"/>
          <w:szCs w:val="24"/>
        </w:rPr>
      </w:pPr>
      <w:proofErr w:type="gramStart"/>
      <w:r w:rsidRPr="00346382">
        <w:rPr>
          <w:color w:val="auto"/>
          <w:u w:val="single"/>
        </w:rPr>
        <w:t xml:space="preserve">Contended </w:t>
      </w:r>
      <w:r w:rsidR="00AD2379" w:rsidRPr="00346382">
        <w:rPr>
          <w:color w:val="auto"/>
          <w:u w:val="single"/>
        </w:rPr>
        <w:t>PEB Conditions</w:t>
      </w:r>
      <w:r w:rsidR="00AD2379" w:rsidRPr="00346382">
        <w:rPr>
          <w:color w:val="auto"/>
        </w:rPr>
        <w:t>.</w:t>
      </w:r>
      <w:proofErr w:type="gramEnd"/>
      <w:r w:rsidR="0001281C" w:rsidRPr="00346382">
        <w:rPr>
          <w:color w:val="auto"/>
        </w:rPr>
        <w:t xml:space="preserve">  </w:t>
      </w:r>
      <w:r w:rsidR="00346382">
        <w:rPr>
          <w:color w:val="auto"/>
        </w:rPr>
        <w:t xml:space="preserve">The Board also considered whether the residual complaints of neck pain </w:t>
      </w:r>
      <w:r w:rsidR="007341DB">
        <w:rPr>
          <w:color w:val="auto"/>
        </w:rPr>
        <w:t>and C</w:t>
      </w:r>
      <w:r w:rsidR="00C7616A">
        <w:rPr>
          <w:color w:val="auto"/>
        </w:rPr>
        <w:t>R</w:t>
      </w:r>
      <w:r w:rsidR="007341DB">
        <w:rPr>
          <w:color w:val="auto"/>
        </w:rPr>
        <w:t xml:space="preserve">PS </w:t>
      </w:r>
      <w:r w:rsidR="00346382">
        <w:rPr>
          <w:color w:val="auto"/>
        </w:rPr>
        <w:t xml:space="preserve">remained </w:t>
      </w:r>
      <w:r w:rsidR="007341DB">
        <w:rPr>
          <w:color w:val="auto"/>
        </w:rPr>
        <w:t>unfitting at the time of permanent disability disposition warranting a separate rating at the time of removal from the TDRL.</w:t>
      </w:r>
      <w:r w:rsidR="001E7DD7">
        <w:rPr>
          <w:color w:val="auto"/>
        </w:rPr>
        <w:t xml:space="preserve">  </w:t>
      </w:r>
      <w:r w:rsidR="00346382" w:rsidRPr="00346382">
        <w:rPr>
          <w:color w:val="auto"/>
        </w:rPr>
        <w:t>The Board’s first charge with respect to these conditions is an assessment of the appropriateness</w:t>
      </w:r>
      <w:r w:rsidR="00346382" w:rsidRPr="00792790">
        <w:rPr>
          <w:rFonts w:eastAsia="Calibri" w:cs="Times New Roman"/>
          <w:color w:val="auto"/>
          <w:szCs w:val="24"/>
        </w:rPr>
        <w:t xml:space="preserve"> of the PEB’s fitness adjudications.  The Board’s threshold for countering fitness determinations is higher than the VASRD §4.3 (reasonable doubt) standard used for its rating recommendations, but remains adherent to the DoDI 6040.44 “fair and equitable” standard. </w:t>
      </w:r>
      <w:r w:rsidR="001E7DD7">
        <w:rPr>
          <w:rFonts w:eastAsia="Calibri" w:cs="Times New Roman"/>
          <w:color w:val="auto"/>
          <w:szCs w:val="24"/>
        </w:rPr>
        <w:t xml:space="preserve"> </w:t>
      </w:r>
      <w:r w:rsidR="007341DB">
        <w:rPr>
          <w:color w:val="auto"/>
        </w:rPr>
        <w:t>The neck condition was not determined to be</w:t>
      </w:r>
      <w:r w:rsidR="001E7DD7">
        <w:rPr>
          <w:color w:val="auto"/>
        </w:rPr>
        <w:t xml:space="preserve"> a separately unfitting condition by the PEB, but neck pain was listed as part of the unfitting condition.  </w:t>
      </w:r>
      <w:r w:rsidR="00346382">
        <w:rPr>
          <w:color w:val="auto"/>
        </w:rPr>
        <w:t xml:space="preserve">The Board noted the unremarkable results of extensive imaging, and the predominant </w:t>
      </w:r>
      <w:r w:rsidR="00C7616A">
        <w:rPr>
          <w:color w:val="auto"/>
        </w:rPr>
        <w:t xml:space="preserve">clinical </w:t>
      </w:r>
      <w:r w:rsidR="00346382">
        <w:rPr>
          <w:color w:val="auto"/>
        </w:rPr>
        <w:t xml:space="preserve">focus on the left extremity symptoms.  </w:t>
      </w:r>
      <w:r w:rsidR="00346382">
        <w:rPr>
          <w:color w:val="000000"/>
        </w:rPr>
        <w:t xml:space="preserve">The condition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w:t>
      </w:r>
      <w:r w:rsidR="00346382">
        <w:rPr>
          <w:color w:val="000000"/>
        </w:rPr>
        <w:t xml:space="preserve">that neck pain itself was of sufficient severity to </w:t>
      </w:r>
      <w:r w:rsidR="003863E9" w:rsidRPr="001F29F9">
        <w:rPr>
          <w:color w:val="000000"/>
        </w:rPr>
        <w:t>interfere with satisfactory duty perfor</w:t>
      </w:r>
      <w:r w:rsidR="00346382">
        <w:rPr>
          <w:color w:val="000000"/>
        </w:rPr>
        <w:t>mance at the time of permanent disability disposition.</w:t>
      </w:r>
      <w:r w:rsidR="001E7DD7">
        <w:rPr>
          <w:color w:val="000000"/>
        </w:rPr>
        <w:t xml:space="preserve">  </w:t>
      </w:r>
      <w:r w:rsidR="007341DB">
        <w:rPr>
          <w:color w:val="000000"/>
        </w:rPr>
        <w:t>The TDRL NARSUM</w:t>
      </w:r>
      <w:r w:rsidR="00BA08FB">
        <w:rPr>
          <w:color w:val="000000"/>
        </w:rPr>
        <w:t xml:space="preserve"> and the contemporaneous VA C&amp;P</w:t>
      </w:r>
      <w:r w:rsidR="007341DB">
        <w:rPr>
          <w:color w:val="000000"/>
        </w:rPr>
        <w:t xml:space="preserve"> examination did not document clinical symptoms or examination findings of CRPS.  </w:t>
      </w:r>
      <w:r w:rsidR="00BA08FB">
        <w:rPr>
          <w:color w:val="000000"/>
        </w:rPr>
        <w:t xml:space="preserve">Accepted medical principles reflect that </w:t>
      </w:r>
      <w:r w:rsidR="00A944E1">
        <w:rPr>
          <w:color w:val="000000"/>
        </w:rPr>
        <w:t>i</w:t>
      </w:r>
      <w:r w:rsidR="007341DB">
        <w:rPr>
          <w:color w:val="000000"/>
        </w:rPr>
        <w:t>mprovement is</w:t>
      </w:r>
      <w:r w:rsidR="00BA08FB">
        <w:rPr>
          <w:color w:val="000000"/>
        </w:rPr>
        <w:t xml:space="preserve"> expected in the majority of cases while some may have chronic symptoms or recurrences</w:t>
      </w:r>
      <w:r w:rsidR="007341DB">
        <w:rPr>
          <w:color w:val="000000"/>
        </w:rPr>
        <w:t xml:space="preserve"> </w:t>
      </w:r>
      <w:r w:rsidR="00BA08FB">
        <w:rPr>
          <w:color w:val="000000"/>
        </w:rPr>
        <w:t>after recovery.  The TDRL NARSUM examiner, an orthopedic surgeon, was specific in his conclusion that manifestations of this condition w</w:t>
      </w:r>
      <w:r w:rsidR="00360F9A">
        <w:rPr>
          <w:color w:val="000000"/>
        </w:rPr>
        <w:t>ere</w:t>
      </w:r>
      <w:r w:rsidR="00BA08FB">
        <w:rPr>
          <w:color w:val="000000"/>
        </w:rPr>
        <w:t xml:space="preserve"> not present during orthopedic examinations for the year prior to the time of the TDRL NARSUM.</w:t>
      </w:r>
      <w:r w:rsidR="001E7DD7">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346382">
        <w:rPr>
          <w:rFonts w:eastAsia="Calibri" w:cs="Times New Roman"/>
          <w:color w:val="auto"/>
          <w:szCs w:val="24"/>
        </w:rPr>
        <w:t xml:space="preserve">neck pain </w:t>
      </w:r>
      <w:r w:rsidR="007341DB">
        <w:rPr>
          <w:rFonts w:eastAsia="Calibri" w:cs="Times New Roman"/>
          <w:color w:val="auto"/>
          <w:szCs w:val="24"/>
        </w:rPr>
        <w:t xml:space="preserve">or CRPS </w:t>
      </w:r>
      <w:r w:rsidR="00346382">
        <w:rPr>
          <w:rFonts w:eastAsia="Calibri" w:cs="Times New Roman"/>
          <w:color w:val="auto"/>
          <w:szCs w:val="24"/>
        </w:rPr>
        <w:t>condition</w:t>
      </w:r>
      <w:r w:rsidR="007341DB">
        <w:rPr>
          <w:rFonts w:eastAsia="Calibri" w:cs="Times New Roman"/>
          <w:color w:val="auto"/>
          <w:szCs w:val="24"/>
        </w:rPr>
        <w:t>s</w:t>
      </w:r>
      <w:r w:rsidR="003863E9" w:rsidRPr="00792790">
        <w:rPr>
          <w:rFonts w:eastAsia="Calibri" w:cs="Times New Roman"/>
          <w:color w:val="auto"/>
          <w:szCs w:val="24"/>
        </w:rPr>
        <w:t>;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CE3E46" w:rsidRDefault="00AD2379" w:rsidP="00417BED">
      <w:pPr>
        <w:jc w:val="both"/>
        <w:rPr>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E3E46">
        <w:rPr>
          <w:color w:val="auto"/>
        </w:rPr>
        <w:t>.</w:t>
      </w:r>
      <w:r w:rsidR="00CE3E46" w:rsidRPr="00CE3E46">
        <w:rPr>
          <w:color w:val="auto"/>
        </w:rPr>
        <w:t xml:space="preserve">  </w:t>
      </w:r>
      <w:r w:rsidR="00241B01" w:rsidRPr="00CE3E46">
        <w:rPr>
          <w:color w:val="auto"/>
        </w:rPr>
        <w:t xml:space="preserve">As discussed above, </w:t>
      </w:r>
      <w:r w:rsidR="00F16FF6">
        <w:rPr>
          <w:color w:val="auto"/>
        </w:rPr>
        <w:t xml:space="preserve">the </w:t>
      </w:r>
      <w:r w:rsidR="00241B01" w:rsidRPr="00CE3E46">
        <w:rPr>
          <w:color w:val="auto"/>
        </w:rPr>
        <w:t>PEB</w:t>
      </w:r>
      <w:r w:rsidR="00F16FF6">
        <w:rPr>
          <w:color w:val="auto"/>
        </w:rPr>
        <w:t>’s</w:t>
      </w:r>
      <w:bookmarkStart w:id="0" w:name="_GoBack"/>
      <w:bookmarkEnd w:id="0"/>
      <w:r w:rsidR="00241B01" w:rsidRPr="00CE3E46">
        <w:rPr>
          <w:color w:val="auto"/>
        </w:rPr>
        <w:t xml:space="preserve"> reliance on the USAPDA pain policy for rating</w:t>
      </w:r>
      <w:r w:rsidR="004C6625" w:rsidRPr="00CE3E46">
        <w:rPr>
          <w:color w:val="auto"/>
        </w:rPr>
        <w:t xml:space="preserve"> </w:t>
      </w:r>
      <w:r w:rsidR="004C6625" w:rsidRPr="00EA1816">
        <w:rPr>
          <w:color w:val="auto"/>
        </w:rPr>
        <w:t>chronic pain, left shoulder, with mild acromioclavicular arthritis with rotator cuff tendonitis</w:t>
      </w:r>
      <w:r w:rsidR="004C6625">
        <w:rPr>
          <w:color w:val="auto"/>
        </w:rPr>
        <w:t xml:space="preserve"> </w:t>
      </w:r>
      <w:r w:rsidR="00241B01" w:rsidRPr="00CE3E46">
        <w:rPr>
          <w:color w:val="auto"/>
        </w:rPr>
        <w:t>was operant in this case and the condition was adjudicated independently of that policy by the Board.</w:t>
      </w:r>
      <w:r w:rsidR="00CE3E46" w:rsidRPr="00CE3E46">
        <w:rPr>
          <w:color w:val="auto"/>
        </w:rPr>
        <w:t xml:space="preserve">  In the matter of the chronic left arm and neck pain, reflex sympathetic dystrophy condition, the Board unanimously recommends no change in the PEB adjudication at the time of placement on the TDRL.  </w:t>
      </w:r>
      <w:r w:rsidR="00560F12" w:rsidRPr="00CE3E46">
        <w:rPr>
          <w:color w:val="auto"/>
        </w:rPr>
        <w:t xml:space="preserve">In the matter of the </w:t>
      </w:r>
      <w:r w:rsidR="004C6625" w:rsidRPr="00CE3E46">
        <w:rPr>
          <w:color w:val="auto"/>
        </w:rPr>
        <w:t xml:space="preserve">left shoulder pain </w:t>
      </w:r>
      <w:r w:rsidR="00560F12" w:rsidRPr="00CE3E46">
        <w:rPr>
          <w:color w:val="auto"/>
        </w:rPr>
        <w:t>condition and IAW VASRD §4.71a, the Board unanimously recommends no change in the PEB adjudication</w:t>
      </w:r>
      <w:r w:rsidR="00CE3E46" w:rsidRPr="00CE3E46">
        <w:rPr>
          <w:color w:val="auto"/>
        </w:rPr>
        <w:t xml:space="preserve"> at the time of permanent disability disposition and removal from the TDRL.  </w:t>
      </w:r>
      <w:r w:rsidR="00560F12" w:rsidRPr="00CE3E46">
        <w:rPr>
          <w:color w:val="auto"/>
        </w:rPr>
        <w:t xml:space="preserve">In the matter of the contended </w:t>
      </w:r>
      <w:r w:rsidR="00D00AFA" w:rsidRPr="00CE3E46">
        <w:rPr>
          <w:color w:val="auto"/>
        </w:rPr>
        <w:t xml:space="preserve">neck and arm (CPRS) </w:t>
      </w:r>
      <w:r w:rsidR="00560F12" w:rsidRPr="00CE3E46">
        <w:rPr>
          <w:color w:val="auto"/>
        </w:rPr>
        <w:t xml:space="preserve">conditions, the Board unanimously </w:t>
      </w:r>
      <w:r w:rsidR="00417BED" w:rsidRPr="00CE3E46">
        <w:rPr>
          <w:color w:val="auto"/>
        </w:rPr>
        <w:t>recommends no change from the PEB determinations as not unfitting</w:t>
      </w:r>
      <w:r w:rsidR="00CE3E46" w:rsidRPr="00CE3E46">
        <w:rPr>
          <w:color w:val="auto"/>
        </w:rPr>
        <w:t xml:space="preserve"> at the time of permanent disability disposition and removal from the TDRL</w:t>
      </w:r>
      <w:r w:rsidR="00417BED" w:rsidRPr="00CE3E46">
        <w:rPr>
          <w:color w:val="auto"/>
        </w:rPr>
        <w:t>.</w:t>
      </w:r>
      <w:r w:rsidR="00CE3E46" w:rsidRPr="00CE3E46">
        <w:rPr>
          <w:color w:val="auto"/>
        </w:rPr>
        <w:t xml:space="preserve">  </w:t>
      </w:r>
      <w:r w:rsidR="00417BED" w:rsidRPr="00CE3E46">
        <w:rPr>
          <w:color w:val="auto"/>
        </w:rPr>
        <w:t>There were no other conditions within the Board’s scope of review for consideration.</w:t>
      </w:r>
      <w:r w:rsidR="00165C7B" w:rsidRPr="00CE3E46">
        <w:rPr>
          <w:color w:val="auto"/>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Default="00AD2379" w:rsidP="00D00AFA">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071071" w:rsidRPr="00F64312"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F64312" w:rsidTr="0021565F">
        <w:trPr>
          <w:trHeight w:val="206"/>
          <w:jc w:val="center"/>
        </w:trPr>
        <w:tc>
          <w:tcPr>
            <w:tcW w:w="549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53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RATING</w:t>
            </w:r>
          </w:p>
        </w:tc>
      </w:tr>
      <w:tr w:rsidR="00071071" w:rsidRPr="00F64312" w:rsidTr="0021565F">
        <w:trPr>
          <w:trHeight w:val="194"/>
          <w:jc w:val="center"/>
        </w:trPr>
        <w:tc>
          <w:tcPr>
            <w:tcW w:w="549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071071" w:rsidRPr="00F64312" w:rsidTr="0021565F">
        <w:trPr>
          <w:trHeight w:val="197"/>
          <w:jc w:val="center"/>
        </w:trPr>
        <w:tc>
          <w:tcPr>
            <w:tcW w:w="5490" w:type="dxa"/>
            <w:vAlign w:val="center"/>
          </w:tcPr>
          <w:p w:rsidR="00071071" w:rsidRPr="00F64312" w:rsidRDefault="00D00AFA" w:rsidP="00071071">
            <w:pPr>
              <w:tabs>
                <w:tab w:val="left" w:pos="288"/>
                <w:tab w:val="left" w:pos="4752"/>
              </w:tabs>
              <w:jc w:val="left"/>
              <w:rPr>
                <w:rFonts w:eastAsia="Calibri" w:cs="Times New Roman"/>
                <w:color w:val="auto"/>
                <w:szCs w:val="24"/>
              </w:rPr>
            </w:pPr>
            <w:r>
              <w:rPr>
                <w:rFonts w:eastAsia="Calibri" w:cs="Times New Roman"/>
                <w:color w:val="auto"/>
                <w:szCs w:val="24"/>
              </w:rPr>
              <w:lastRenderedPageBreak/>
              <w:t>Chronic Left Arm and Neck Pain; Reflex Sympathetic Dystrophy</w:t>
            </w:r>
          </w:p>
        </w:tc>
        <w:tc>
          <w:tcPr>
            <w:tcW w:w="1530" w:type="dxa"/>
            <w:tcBorders>
              <w:bottom w:val="single" w:sz="4" w:space="0" w:color="000000"/>
            </w:tcBorders>
            <w:vAlign w:val="center"/>
          </w:tcPr>
          <w:p w:rsidR="00071071" w:rsidRPr="00F64312" w:rsidRDefault="00D00AFA" w:rsidP="00071071">
            <w:pPr>
              <w:tabs>
                <w:tab w:val="left" w:pos="288"/>
                <w:tab w:val="left" w:pos="4752"/>
              </w:tabs>
              <w:rPr>
                <w:color w:val="auto"/>
                <w:highlight w:val="lightGray"/>
              </w:rPr>
            </w:pPr>
            <w:r w:rsidRPr="00D00AFA">
              <w:rPr>
                <w:color w:val="auto"/>
              </w:rPr>
              <w:t>8799-8713</w:t>
            </w:r>
          </w:p>
        </w:tc>
        <w:tc>
          <w:tcPr>
            <w:tcW w:w="810" w:type="dxa"/>
            <w:tcBorders>
              <w:bottom w:val="single" w:sz="4" w:space="0" w:color="000000"/>
            </w:tcBorders>
            <w:vAlign w:val="center"/>
          </w:tcPr>
          <w:p w:rsidR="00071071" w:rsidRPr="00D00AFA" w:rsidRDefault="00D00AFA" w:rsidP="00071071">
            <w:pPr>
              <w:tabs>
                <w:tab w:val="left" w:pos="288"/>
                <w:tab w:val="left" w:pos="4752"/>
              </w:tabs>
              <w:rPr>
                <w:color w:val="auto"/>
              </w:rPr>
            </w:pPr>
            <w:r>
              <w:rPr>
                <w:color w:val="auto"/>
              </w:rPr>
              <w:t>40%</w:t>
            </w:r>
          </w:p>
        </w:tc>
        <w:tc>
          <w:tcPr>
            <w:tcW w:w="1530" w:type="dxa"/>
            <w:tcBorders>
              <w:bottom w:val="single" w:sz="4" w:space="0" w:color="000000"/>
            </w:tcBorders>
            <w:vAlign w:val="center"/>
          </w:tcPr>
          <w:p w:rsidR="00071071" w:rsidRPr="00D00AFA" w:rsidRDefault="00D00AFA" w:rsidP="00071071">
            <w:pPr>
              <w:tabs>
                <w:tab w:val="left" w:pos="288"/>
                <w:tab w:val="left" w:pos="4752"/>
              </w:tabs>
              <w:rPr>
                <w:rFonts w:eastAsia="Calibri" w:cs="Times New Roman"/>
                <w:color w:val="auto"/>
                <w:szCs w:val="24"/>
              </w:rPr>
            </w:pPr>
            <w:r>
              <w:rPr>
                <w:rFonts w:eastAsia="Calibri" w:cs="Times New Roman"/>
                <w:color w:val="auto"/>
                <w:szCs w:val="24"/>
              </w:rPr>
              <w:t>--</w:t>
            </w:r>
          </w:p>
        </w:tc>
      </w:tr>
      <w:tr w:rsidR="00D00AFA" w:rsidRPr="00F64312" w:rsidTr="0021565F">
        <w:trPr>
          <w:trHeight w:val="197"/>
          <w:jc w:val="center"/>
        </w:trPr>
        <w:tc>
          <w:tcPr>
            <w:tcW w:w="5490" w:type="dxa"/>
            <w:vAlign w:val="center"/>
          </w:tcPr>
          <w:p w:rsidR="00D00AFA" w:rsidRPr="00F64312" w:rsidRDefault="00D00AFA" w:rsidP="00071071">
            <w:pPr>
              <w:tabs>
                <w:tab w:val="left" w:pos="288"/>
                <w:tab w:val="left" w:pos="4752"/>
              </w:tabs>
              <w:jc w:val="left"/>
              <w:rPr>
                <w:rFonts w:eastAsia="Calibri" w:cs="Times New Roman"/>
                <w:color w:val="auto"/>
                <w:szCs w:val="24"/>
              </w:rPr>
            </w:pPr>
            <w:r>
              <w:rPr>
                <w:rFonts w:eastAsia="Calibri" w:cs="Times New Roman"/>
                <w:color w:val="auto"/>
                <w:szCs w:val="24"/>
              </w:rPr>
              <w:t>Chronic Pain, Left Shoulder, with Mild Acromioclavicular Arthritis, Rotator Cuff Tendonitis</w:t>
            </w:r>
          </w:p>
        </w:tc>
        <w:tc>
          <w:tcPr>
            <w:tcW w:w="1530" w:type="dxa"/>
            <w:tcBorders>
              <w:bottom w:val="single" w:sz="4" w:space="0" w:color="000000"/>
            </w:tcBorders>
            <w:vAlign w:val="center"/>
          </w:tcPr>
          <w:p w:rsidR="00D00AFA" w:rsidRPr="00F64312" w:rsidRDefault="00D00AFA" w:rsidP="00071071">
            <w:pPr>
              <w:tabs>
                <w:tab w:val="left" w:pos="288"/>
                <w:tab w:val="left" w:pos="4752"/>
              </w:tabs>
              <w:rPr>
                <w:color w:val="auto"/>
                <w:highlight w:val="lightGray"/>
              </w:rPr>
            </w:pPr>
            <w:r w:rsidRPr="00D00AFA">
              <w:rPr>
                <w:color w:val="auto"/>
              </w:rPr>
              <w:t>5099-5003</w:t>
            </w:r>
          </w:p>
        </w:tc>
        <w:tc>
          <w:tcPr>
            <w:tcW w:w="810" w:type="dxa"/>
            <w:tcBorders>
              <w:bottom w:val="single" w:sz="4" w:space="0" w:color="000000"/>
            </w:tcBorders>
            <w:vAlign w:val="center"/>
          </w:tcPr>
          <w:p w:rsidR="00D00AFA" w:rsidRPr="00D00AFA" w:rsidRDefault="00D00AFA" w:rsidP="00071071">
            <w:pPr>
              <w:tabs>
                <w:tab w:val="left" w:pos="288"/>
                <w:tab w:val="left" w:pos="4752"/>
              </w:tabs>
              <w:rPr>
                <w:color w:val="auto"/>
              </w:rPr>
            </w:pPr>
            <w:r>
              <w:rPr>
                <w:color w:val="auto"/>
              </w:rPr>
              <w:t>--</w:t>
            </w:r>
          </w:p>
        </w:tc>
        <w:tc>
          <w:tcPr>
            <w:tcW w:w="1530" w:type="dxa"/>
            <w:tcBorders>
              <w:bottom w:val="single" w:sz="4" w:space="0" w:color="000000"/>
            </w:tcBorders>
            <w:vAlign w:val="center"/>
          </w:tcPr>
          <w:p w:rsidR="00D00AFA" w:rsidRPr="00D00AFA" w:rsidRDefault="00D00AFA" w:rsidP="00071071">
            <w:pPr>
              <w:tabs>
                <w:tab w:val="left" w:pos="288"/>
                <w:tab w:val="left" w:pos="4752"/>
              </w:tabs>
              <w:rPr>
                <w:rFonts w:eastAsia="Calibri" w:cs="Times New Roman"/>
                <w:color w:val="auto"/>
                <w:szCs w:val="24"/>
              </w:rPr>
            </w:pPr>
            <w:r>
              <w:rPr>
                <w:rFonts w:eastAsia="Calibri" w:cs="Times New Roman"/>
                <w:color w:val="auto"/>
                <w:szCs w:val="24"/>
              </w:rPr>
              <w:t>20%</w:t>
            </w:r>
          </w:p>
        </w:tc>
      </w:tr>
      <w:tr w:rsidR="00071071" w:rsidRPr="00F64312" w:rsidTr="0021565F">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D00AFA" w:rsidRDefault="00D00AFA" w:rsidP="00071071">
            <w:pPr>
              <w:tabs>
                <w:tab w:val="left" w:pos="288"/>
                <w:tab w:val="left" w:pos="4752"/>
              </w:tabs>
              <w:rPr>
                <w:rFonts w:eastAsia="Calibri" w:cs="Times New Roman"/>
                <w:b/>
                <w:color w:val="auto"/>
                <w:szCs w:val="24"/>
              </w:rPr>
            </w:pPr>
            <w:r>
              <w:rPr>
                <w:rFonts w:eastAsia="Calibri" w:cs="Times New Roman"/>
                <w:b/>
                <w:color w:val="auto"/>
                <w:szCs w:val="24"/>
              </w:rPr>
              <w:t>40%</w:t>
            </w:r>
          </w:p>
        </w:tc>
        <w:tc>
          <w:tcPr>
            <w:tcW w:w="1530" w:type="dxa"/>
            <w:shd w:val="pct15" w:color="auto" w:fill="auto"/>
            <w:vAlign w:val="center"/>
          </w:tcPr>
          <w:p w:rsidR="00071071" w:rsidRPr="00D00AFA" w:rsidRDefault="00D00AFA" w:rsidP="00071071">
            <w:pPr>
              <w:tabs>
                <w:tab w:val="left" w:pos="288"/>
                <w:tab w:val="left" w:pos="4752"/>
              </w:tabs>
              <w:rPr>
                <w:rFonts w:eastAsia="Calibri" w:cs="Times New Roman"/>
                <w:b/>
                <w:color w:val="auto"/>
                <w:szCs w:val="24"/>
              </w:rPr>
            </w:pPr>
            <w:r>
              <w:rPr>
                <w:rFonts w:eastAsia="Calibri" w:cs="Times New Roman"/>
                <w:b/>
                <w:color w:val="auto"/>
                <w:szCs w:val="24"/>
              </w:rPr>
              <w:t>20%</w:t>
            </w:r>
          </w:p>
        </w:tc>
      </w:tr>
    </w:tbl>
    <w:p w:rsidR="00AD2379" w:rsidRPr="00F64312" w:rsidRDefault="00AD2379" w:rsidP="006B690F">
      <w:pPr>
        <w:jc w:val="both"/>
        <w:rPr>
          <w:color w:val="auto"/>
        </w:rPr>
      </w:pPr>
    </w:p>
    <w:p w:rsidR="00A944E1" w:rsidRDefault="00A944E1">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487174">
        <w:rPr>
          <w:color w:val="auto"/>
        </w:rPr>
        <w:t xml:space="preserve"> 20110801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14BFA">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14BFA" w:rsidRDefault="00AD2379" w:rsidP="00BF0E94">
      <w:pPr>
        <w:tabs>
          <w:tab w:val="left" w:pos="0"/>
          <w:tab w:val="left" w:pos="4320"/>
        </w:tabs>
        <w:jc w:val="both"/>
        <w:rPr>
          <w:color w:val="auto"/>
        </w:rPr>
      </w:pPr>
      <w:r w:rsidRPr="00F64312">
        <w:rPr>
          <w:color w:val="auto"/>
        </w:rPr>
        <w:tab/>
        <w:t xml:space="preserve">           Physical Disability Board of Review</w:t>
      </w:r>
    </w:p>
    <w:p w:rsidR="00714BFA" w:rsidRDefault="00714BFA">
      <w:pPr>
        <w:spacing w:line="240" w:lineRule="auto"/>
        <w:jc w:val="left"/>
        <w:rPr>
          <w:color w:val="auto"/>
        </w:rPr>
      </w:pPr>
      <w:r>
        <w:rPr>
          <w:color w:val="auto"/>
        </w:rPr>
        <w:br w:type="page"/>
      </w:r>
    </w:p>
    <w:p w:rsidR="00714BFA" w:rsidRDefault="00714BFA" w:rsidP="00714BFA">
      <w:pPr>
        <w:sectPr w:rsidR="00714BFA">
          <w:pgSz w:w="12240" w:h="15840"/>
          <w:pgMar w:top="2160" w:right="1440" w:bottom="1440" w:left="1440" w:header="720" w:footer="720" w:gutter="0"/>
          <w:cols w:space="720"/>
        </w:sectPr>
      </w:pPr>
    </w:p>
    <w:p w:rsidR="00714BFA" w:rsidRDefault="00714BFA" w:rsidP="00714BFA">
      <w:pPr>
        <w:pStyle w:val="Header"/>
        <w:tabs>
          <w:tab w:val="left" w:pos="720"/>
        </w:tabs>
        <w:jc w:val="left"/>
      </w:pPr>
      <w:r>
        <w:lastRenderedPageBreak/>
        <w:t>SFMR-RB</w:t>
      </w:r>
      <w:r>
        <w:tab/>
      </w:r>
      <w:r>
        <w:tab/>
      </w:r>
      <w:r>
        <w:tab/>
      </w:r>
      <w:r>
        <w:tab/>
      </w:r>
      <w:r>
        <w:tab/>
      </w:r>
      <w:r>
        <w:tab/>
      </w:r>
      <w:r>
        <w:tab/>
      </w:r>
      <w:r>
        <w:tab/>
      </w:r>
      <w:r>
        <w:tab/>
      </w:r>
    </w:p>
    <w:p w:rsidR="00714BFA" w:rsidRDefault="00714BFA" w:rsidP="00714BFA">
      <w:pPr>
        <w:pStyle w:val="Header"/>
        <w:tabs>
          <w:tab w:val="left" w:pos="720"/>
        </w:tabs>
        <w:jc w:val="left"/>
      </w:pPr>
    </w:p>
    <w:p w:rsidR="00714BFA" w:rsidRDefault="00714BFA" w:rsidP="00714BFA">
      <w:pPr>
        <w:jc w:val="left"/>
      </w:pPr>
    </w:p>
    <w:p w:rsidR="00714BFA" w:rsidRDefault="00714BFA" w:rsidP="00714BFA">
      <w:pPr>
        <w:jc w:val="left"/>
      </w:pPr>
      <w:r>
        <w:t xml:space="preserve">MEMORANDUM FOR Commander, US Army Physical Disability Agency </w:t>
      </w:r>
    </w:p>
    <w:p w:rsidR="00714BFA" w:rsidRDefault="00714BFA" w:rsidP="00714BFA">
      <w:pPr>
        <w:jc w:val="left"/>
      </w:pPr>
      <w:r>
        <w:t xml:space="preserve">(TAPD-ZB </w:t>
      </w:r>
      <w:proofErr w:type="gramStart"/>
      <w:r>
        <w:t>/  )</w:t>
      </w:r>
      <w:proofErr w:type="gramEnd"/>
      <w:r>
        <w:t>, 2900 Crystal Drive, Suite 300, Arlington, VA  22202</w:t>
      </w:r>
    </w:p>
    <w:p w:rsidR="00714BFA" w:rsidRDefault="00714BFA" w:rsidP="00714BFA">
      <w:pPr>
        <w:jc w:val="left"/>
      </w:pPr>
    </w:p>
    <w:p w:rsidR="00714BFA" w:rsidRDefault="00714BFA" w:rsidP="00714BFA">
      <w:pPr>
        <w:ind w:right="-180"/>
        <w:jc w:val="left"/>
      </w:pPr>
      <w:r>
        <w:t>SUBJECT:  Department of Defense Physical Disability Board of Review Recommendation for XXXXXXXXXXXXXXXXXXXX, AR20120011969 (PD201100704)</w:t>
      </w:r>
    </w:p>
    <w:p w:rsidR="00714BFA" w:rsidRDefault="00714BFA" w:rsidP="00714BFA">
      <w:pPr>
        <w:pStyle w:val="Header"/>
        <w:tabs>
          <w:tab w:val="left" w:pos="720"/>
        </w:tabs>
        <w:jc w:val="left"/>
      </w:pPr>
    </w:p>
    <w:p w:rsidR="00714BFA" w:rsidRDefault="00714BFA" w:rsidP="00714BFA">
      <w:pPr>
        <w:jc w:val="left"/>
      </w:pPr>
    </w:p>
    <w:p w:rsidR="00714BFA" w:rsidRDefault="00714BFA" w:rsidP="00714BF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14BFA" w:rsidRDefault="00714BFA" w:rsidP="00714BFA">
      <w:pPr>
        <w:jc w:val="left"/>
      </w:pPr>
      <w:r>
        <w:t>This decision is final.  The individual concerned, counsel (if any), and any Members of Congress who have shown interest in this application have been notified of this decision by mail.</w:t>
      </w:r>
    </w:p>
    <w:p w:rsidR="00714BFA" w:rsidRDefault="00714BFA" w:rsidP="00714BFA">
      <w:pPr>
        <w:jc w:val="left"/>
      </w:pPr>
    </w:p>
    <w:p w:rsidR="00714BFA" w:rsidRDefault="00714BFA" w:rsidP="00714BFA">
      <w:pPr>
        <w:jc w:val="left"/>
      </w:pPr>
      <w:r>
        <w:t xml:space="preserve"> BY ORDER OF THE SECRETARY OF THE ARMY:</w:t>
      </w:r>
    </w:p>
    <w:p w:rsidR="00714BFA" w:rsidRDefault="00714BFA" w:rsidP="00714BFA">
      <w:pPr>
        <w:jc w:val="left"/>
      </w:pPr>
    </w:p>
    <w:p w:rsidR="00714BFA" w:rsidRDefault="00714BFA" w:rsidP="00714BFA">
      <w:pPr>
        <w:jc w:val="left"/>
      </w:pPr>
    </w:p>
    <w:p w:rsidR="00714BFA" w:rsidRDefault="00714BFA" w:rsidP="00714BFA">
      <w:pPr>
        <w:pStyle w:val="Header"/>
        <w:tabs>
          <w:tab w:val="left" w:pos="720"/>
        </w:tabs>
        <w:jc w:val="left"/>
      </w:pPr>
    </w:p>
    <w:p w:rsidR="00714BFA" w:rsidRDefault="00714BFA" w:rsidP="00714BFA">
      <w:pPr>
        <w:jc w:val="left"/>
      </w:pPr>
    </w:p>
    <w:p w:rsidR="00714BFA" w:rsidRDefault="00714BFA" w:rsidP="00714BFA">
      <w:pPr>
        <w:jc w:val="left"/>
      </w:pPr>
      <w:bookmarkStart w:id="1" w:name="OLE_LINK4"/>
      <w:bookmarkStart w:id="2" w:name="OLE_LINK3"/>
      <w:r>
        <w:t>Encl</w:t>
      </w:r>
      <w:r>
        <w:tab/>
      </w:r>
      <w:r>
        <w:tab/>
      </w:r>
      <w:r>
        <w:tab/>
      </w:r>
      <w:r>
        <w:tab/>
      </w:r>
      <w:r>
        <w:tab/>
      </w:r>
      <w:r>
        <w:tab/>
        <w:t xml:space="preserve">     XXXXXXXXXXXXXXXX</w:t>
      </w:r>
    </w:p>
    <w:p w:rsidR="00714BFA" w:rsidRDefault="00714BFA" w:rsidP="00714BFA">
      <w:pPr>
        <w:jc w:val="left"/>
      </w:pPr>
      <w:r>
        <w:tab/>
      </w:r>
      <w:r>
        <w:tab/>
      </w:r>
      <w:r>
        <w:tab/>
      </w:r>
      <w:r>
        <w:tab/>
      </w:r>
      <w:r>
        <w:tab/>
      </w:r>
      <w:r>
        <w:tab/>
        <w:t xml:space="preserve">     Deputy Assistant Secretary</w:t>
      </w:r>
    </w:p>
    <w:p w:rsidR="00714BFA" w:rsidRDefault="00714BFA" w:rsidP="00714BFA">
      <w:pPr>
        <w:jc w:val="left"/>
      </w:pPr>
      <w:r>
        <w:tab/>
      </w:r>
      <w:r>
        <w:tab/>
      </w:r>
      <w:r>
        <w:tab/>
      </w:r>
      <w:r>
        <w:tab/>
      </w:r>
      <w:r>
        <w:tab/>
      </w:r>
      <w:r>
        <w:tab/>
        <w:t xml:space="preserve">         (Army Review Boards)</w:t>
      </w:r>
      <w:bookmarkEnd w:id="1"/>
      <w:bookmarkEnd w:id="2"/>
    </w:p>
    <w:p w:rsidR="00714BFA" w:rsidRDefault="00714BFA" w:rsidP="00714BFA">
      <w:pPr>
        <w:jc w:val="left"/>
      </w:pPr>
    </w:p>
    <w:p w:rsidR="00714BFA" w:rsidRDefault="00714BFA" w:rsidP="00714BFA">
      <w:pPr>
        <w:jc w:val="left"/>
      </w:pPr>
      <w:r>
        <w:t xml:space="preserve">CF: </w:t>
      </w:r>
    </w:p>
    <w:p w:rsidR="00714BFA" w:rsidRDefault="00714BFA" w:rsidP="00714BFA">
      <w:pPr>
        <w:jc w:val="left"/>
      </w:pPr>
      <w:r>
        <w:t xml:space="preserve">(  ) </w:t>
      </w:r>
      <w:proofErr w:type="spellStart"/>
      <w:proofErr w:type="gramStart"/>
      <w:r>
        <w:t>DoD</w:t>
      </w:r>
      <w:proofErr w:type="spellEnd"/>
      <w:proofErr w:type="gramEnd"/>
      <w:r>
        <w:t xml:space="preserve"> PDBR</w:t>
      </w:r>
    </w:p>
    <w:p w:rsidR="00714BFA" w:rsidRDefault="00714BFA" w:rsidP="00714BFA">
      <w:pPr>
        <w:jc w:val="left"/>
      </w:pPr>
      <w:r>
        <w:t>(  ) DVA</w:t>
      </w:r>
    </w:p>
    <w:p w:rsidR="00714BFA" w:rsidRDefault="00714BFA" w:rsidP="00714BFA">
      <w:pPr>
        <w:jc w:val="left"/>
      </w:pPr>
    </w:p>
    <w:p w:rsidR="00DF3B06" w:rsidRPr="00714BFA" w:rsidRDefault="00DF3B06" w:rsidP="00714BFA">
      <w:pPr>
        <w:tabs>
          <w:tab w:val="left" w:pos="0"/>
          <w:tab w:val="left" w:pos="4320"/>
        </w:tabs>
        <w:jc w:val="left"/>
        <w:rPr>
          <w:b/>
          <w:color w:val="auto"/>
        </w:rPr>
      </w:pPr>
    </w:p>
    <w:sectPr w:rsidR="00DF3B06" w:rsidRPr="00714BFA"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D4" w:rsidRDefault="00A85DD4">
      <w:r>
        <w:separator/>
      </w:r>
    </w:p>
  </w:endnote>
  <w:endnote w:type="continuationSeparator" w:id="0">
    <w:p w:rsidR="00A85DD4" w:rsidRDefault="00A85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14" w:rsidRDefault="00223C14" w:rsidP="007F6902">
    <w:pPr>
      <w:pStyle w:val="Footer"/>
      <w:ind w:firstLine="4320"/>
      <w:rPr>
        <w:color w:val="auto"/>
      </w:rPr>
    </w:pPr>
    <w:r w:rsidRPr="00374247">
      <w:rPr>
        <w:color w:val="auto"/>
      </w:rPr>
      <w:t xml:space="preserve">   </w:t>
    </w:r>
    <w:r w:rsidR="00B32BFB" w:rsidRPr="00B32BFB">
      <w:fldChar w:fldCharType="begin"/>
    </w:r>
    <w:r w:rsidR="00A85DD4">
      <w:instrText xml:space="preserve"> PAGE   \* MERGEFORMAT </w:instrText>
    </w:r>
    <w:r w:rsidR="00B32BFB" w:rsidRPr="00B32BFB">
      <w:fldChar w:fldCharType="separate"/>
    </w:r>
    <w:r w:rsidR="00714BFA" w:rsidRPr="00714BFA">
      <w:rPr>
        <w:noProof/>
        <w:color w:val="auto"/>
      </w:rPr>
      <w:t>6</w:t>
    </w:r>
    <w:r w:rsidR="00B32BFB">
      <w:rPr>
        <w:noProof/>
        <w:color w:val="auto"/>
      </w:rPr>
      <w:fldChar w:fldCharType="end"/>
    </w:r>
    <w:r w:rsidRPr="00374247">
      <w:rPr>
        <w:color w:val="auto"/>
      </w:rPr>
      <w:t xml:space="preserve">                                                           </w:t>
    </w:r>
    <w:r w:rsidRPr="007F6902">
      <w:rPr>
        <w:color w:val="auto"/>
      </w:rPr>
      <w:t>PD11-00</w:t>
    </w:r>
    <w:r>
      <w:rPr>
        <w:color w:val="auto"/>
      </w:rPr>
      <w:t>704</w:t>
    </w:r>
  </w:p>
  <w:p w:rsidR="00223C14" w:rsidRPr="00684CE6" w:rsidRDefault="00223C14" w:rsidP="007F6902">
    <w:pPr>
      <w:pStyle w:val="Footer"/>
      <w:ind w:firstLine="4320"/>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D4" w:rsidRDefault="00A85DD4">
      <w:r>
        <w:separator/>
      </w:r>
    </w:p>
  </w:footnote>
  <w:footnote w:type="continuationSeparator" w:id="0">
    <w:p w:rsidR="00A85DD4" w:rsidRDefault="00A85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332"/>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77D6"/>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B7711"/>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0F5F"/>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EA4"/>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F50"/>
    <w:rsid w:val="001209BA"/>
    <w:rsid w:val="001211AF"/>
    <w:rsid w:val="001215DF"/>
    <w:rsid w:val="001219DF"/>
    <w:rsid w:val="0012220B"/>
    <w:rsid w:val="00122940"/>
    <w:rsid w:val="00122ABE"/>
    <w:rsid w:val="00122FC5"/>
    <w:rsid w:val="001231DC"/>
    <w:rsid w:val="0012453A"/>
    <w:rsid w:val="0012489B"/>
    <w:rsid w:val="001272AE"/>
    <w:rsid w:val="00130756"/>
    <w:rsid w:val="00130E75"/>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2AB0"/>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7DD7"/>
    <w:rsid w:val="001F0297"/>
    <w:rsid w:val="001F29F9"/>
    <w:rsid w:val="001F3C05"/>
    <w:rsid w:val="001F6E0B"/>
    <w:rsid w:val="001F75C8"/>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2C2"/>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C1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575"/>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23C3"/>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382"/>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0F9A"/>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6EA5"/>
    <w:rsid w:val="00377BD2"/>
    <w:rsid w:val="00380601"/>
    <w:rsid w:val="00380FD4"/>
    <w:rsid w:val="003816F5"/>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71"/>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D5"/>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2E0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5FCF"/>
    <w:rsid w:val="004761CC"/>
    <w:rsid w:val="00476229"/>
    <w:rsid w:val="004766C9"/>
    <w:rsid w:val="00480D4A"/>
    <w:rsid w:val="004815C2"/>
    <w:rsid w:val="00481DA1"/>
    <w:rsid w:val="00483A2B"/>
    <w:rsid w:val="00484212"/>
    <w:rsid w:val="004848C3"/>
    <w:rsid w:val="00484BA9"/>
    <w:rsid w:val="0048599A"/>
    <w:rsid w:val="00486818"/>
    <w:rsid w:val="00487174"/>
    <w:rsid w:val="0049255F"/>
    <w:rsid w:val="0049445D"/>
    <w:rsid w:val="00494D39"/>
    <w:rsid w:val="00495350"/>
    <w:rsid w:val="00495E3C"/>
    <w:rsid w:val="00496041"/>
    <w:rsid w:val="00497156"/>
    <w:rsid w:val="004A0C79"/>
    <w:rsid w:val="004A1FE0"/>
    <w:rsid w:val="004A24D2"/>
    <w:rsid w:val="004A2728"/>
    <w:rsid w:val="004A3214"/>
    <w:rsid w:val="004A33F5"/>
    <w:rsid w:val="004A4136"/>
    <w:rsid w:val="004A417B"/>
    <w:rsid w:val="004A4378"/>
    <w:rsid w:val="004A712D"/>
    <w:rsid w:val="004A7C03"/>
    <w:rsid w:val="004B03F3"/>
    <w:rsid w:val="004B0CC9"/>
    <w:rsid w:val="004B1C61"/>
    <w:rsid w:val="004B2536"/>
    <w:rsid w:val="004B46D7"/>
    <w:rsid w:val="004B478D"/>
    <w:rsid w:val="004B6AF3"/>
    <w:rsid w:val="004B6B34"/>
    <w:rsid w:val="004B6BD9"/>
    <w:rsid w:val="004B6F1F"/>
    <w:rsid w:val="004B715E"/>
    <w:rsid w:val="004B7169"/>
    <w:rsid w:val="004B79C9"/>
    <w:rsid w:val="004C00DD"/>
    <w:rsid w:val="004C05CF"/>
    <w:rsid w:val="004C0776"/>
    <w:rsid w:val="004C1EF8"/>
    <w:rsid w:val="004C2063"/>
    <w:rsid w:val="004C24C5"/>
    <w:rsid w:val="004C2645"/>
    <w:rsid w:val="004C4417"/>
    <w:rsid w:val="004C47D5"/>
    <w:rsid w:val="004C4CAF"/>
    <w:rsid w:val="004C5E33"/>
    <w:rsid w:val="004C60A3"/>
    <w:rsid w:val="004C6625"/>
    <w:rsid w:val="004C6CDA"/>
    <w:rsid w:val="004C79F5"/>
    <w:rsid w:val="004D10D4"/>
    <w:rsid w:val="004D16BD"/>
    <w:rsid w:val="004D2AAB"/>
    <w:rsid w:val="004D362B"/>
    <w:rsid w:val="004D3C7F"/>
    <w:rsid w:val="004D42CB"/>
    <w:rsid w:val="004D4A0C"/>
    <w:rsid w:val="004D6DC3"/>
    <w:rsid w:val="004D6E90"/>
    <w:rsid w:val="004D6F2B"/>
    <w:rsid w:val="004E0248"/>
    <w:rsid w:val="004E21A3"/>
    <w:rsid w:val="004E32EA"/>
    <w:rsid w:val="004E3517"/>
    <w:rsid w:val="004E6866"/>
    <w:rsid w:val="004F0C58"/>
    <w:rsid w:val="004F10EB"/>
    <w:rsid w:val="004F2038"/>
    <w:rsid w:val="004F3222"/>
    <w:rsid w:val="004F3639"/>
    <w:rsid w:val="004F3BFA"/>
    <w:rsid w:val="004F4E3C"/>
    <w:rsid w:val="004F5A1A"/>
    <w:rsid w:val="004F675A"/>
    <w:rsid w:val="004F77A3"/>
    <w:rsid w:val="004F796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1AA"/>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47"/>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151"/>
    <w:rsid w:val="0055034F"/>
    <w:rsid w:val="00550476"/>
    <w:rsid w:val="0055288D"/>
    <w:rsid w:val="005533DE"/>
    <w:rsid w:val="0055493C"/>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95"/>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09C4"/>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6B7"/>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679"/>
    <w:rsid w:val="00671EB4"/>
    <w:rsid w:val="00673CDC"/>
    <w:rsid w:val="0067443B"/>
    <w:rsid w:val="0067548D"/>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24C"/>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DB6"/>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BFA"/>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E27"/>
    <w:rsid w:val="0073254D"/>
    <w:rsid w:val="007340F3"/>
    <w:rsid w:val="007341DB"/>
    <w:rsid w:val="007347BB"/>
    <w:rsid w:val="00735704"/>
    <w:rsid w:val="00736A49"/>
    <w:rsid w:val="007419A1"/>
    <w:rsid w:val="007436D9"/>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946"/>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902"/>
    <w:rsid w:val="007F691A"/>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EDB"/>
    <w:rsid w:val="008B515D"/>
    <w:rsid w:val="008B5660"/>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07"/>
    <w:rsid w:val="008F30F4"/>
    <w:rsid w:val="008F58E1"/>
    <w:rsid w:val="008F5ECF"/>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07E"/>
    <w:rsid w:val="009102BF"/>
    <w:rsid w:val="00911365"/>
    <w:rsid w:val="00911490"/>
    <w:rsid w:val="009115F2"/>
    <w:rsid w:val="00911B11"/>
    <w:rsid w:val="00914000"/>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380"/>
    <w:rsid w:val="009461E6"/>
    <w:rsid w:val="009472C9"/>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4E7"/>
    <w:rsid w:val="00986514"/>
    <w:rsid w:val="00986FCC"/>
    <w:rsid w:val="00990FD6"/>
    <w:rsid w:val="00992BF4"/>
    <w:rsid w:val="009935C3"/>
    <w:rsid w:val="0099421F"/>
    <w:rsid w:val="00994D33"/>
    <w:rsid w:val="00994FC8"/>
    <w:rsid w:val="009A0346"/>
    <w:rsid w:val="009A0DE3"/>
    <w:rsid w:val="009A1643"/>
    <w:rsid w:val="009A215A"/>
    <w:rsid w:val="009A26B9"/>
    <w:rsid w:val="009A45D7"/>
    <w:rsid w:val="009A49D3"/>
    <w:rsid w:val="009A4F1B"/>
    <w:rsid w:val="009A5C8D"/>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A72"/>
    <w:rsid w:val="009E09D0"/>
    <w:rsid w:val="009E0C9F"/>
    <w:rsid w:val="009E1181"/>
    <w:rsid w:val="009E1283"/>
    <w:rsid w:val="009E3A7F"/>
    <w:rsid w:val="009E4C9B"/>
    <w:rsid w:val="009E4DFC"/>
    <w:rsid w:val="009E5789"/>
    <w:rsid w:val="009E57B1"/>
    <w:rsid w:val="009E6379"/>
    <w:rsid w:val="009F020F"/>
    <w:rsid w:val="009F077E"/>
    <w:rsid w:val="009F2BC8"/>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7D1"/>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2F0"/>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635"/>
    <w:rsid w:val="00A84EC4"/>
    <w:rsid w:val="00A85DD4"/>
    <w:rsid w:val="00A86530"/>
    <w:rsid w:val="00A86CB6"/>
    <w:rsid w:val="00A90D55"/>
    <w:rsid w:val="00A91E6C"/>
    <w:rsid w:val="00A9225E"/>
    <w:rsid w:val="00A944D8"/>
    <w:rsid w:val="00A944E1"/>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ECB"/>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0DF"/>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1C5"/>
    <w:rsid w:val="00B32341"/>
    <w:rsid w:val="00B32685"/>
    <w:rsid w:val="00B32BFB"/>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3118"/>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AF0"/>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08FB"/>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611"/>
    <w:rsid w:val="00BE2AB8"/>
    <w:rsid w:val="00BE2FC1"/>
    <w:rsid w:val="00BE3142"/>
    <w:rsid w:val="00BE37AA"/>
    <w:rsid w:val="00BE4039"/>
    <w:rsid w:val="00BE4570"/>
    <w:rsid w:val="00BE4AEB"/>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4A1"/>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16A"/>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667"/>
    <w:rsid w:val="00CC78A2"/>
    <w:rsid w:val="00CC7DF8"/>
    <w:rsid w:val="00CD15BE"/>
    <w:rsid w:val="00CD1EF2"/>
    <w:rsid w:val="00CD32BD"/>
    <w:rsid w:val="00CD34C7"/>
    <w:rsid w:val="00CD5653"/>
    <w:rsid w:val="00CD56D4"/>
    <w:rsid w:val="00CD5E6D"/>
    <w:rsid w:val="00CD63C8"/>
    <w:rsid w:val="00CD76F8"/>
    <w:rsid w:val="00CD78A5"/>
    <w:rsid w:val="00CE02E8"/>
    <w:rsid w:val="00CE069E"/>
    <w:rsid w:val="00CE0DE0"/>
    <w:rsid w:val="00CE214F"/>
    <w:rsid w:val="00CE2B1F"/>
    <w:rsid w:val="00CE2CC2"/>
    <w:rsid w:val="00CE3722"/>
    <w:rsid w:val="00CE3E46"/>
    <w:rsid w:val="00CE449C"/>
    <w:rsid w:val="00CE744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0AFA"/>
    <w:rsid w:val="00D00E6A"/>
    <w:rsid w:val="00D02596"/>
    <w:rsid w:val="00D0280D"/>
    <w:rsid w:val="00D02AEF"/>
    <w:rsid w:val="00D03EC9"/>
    <w:rsid w:val="00D05669"/>
    <w:rsid w:val="00D05F2B"/>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71D"/>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2034"/>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E1D"/>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5FD6"/>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2C7"/>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FF6"/>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5AA"/>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4B6BD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128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BA04-FB01-438C-AA4C-76E037E8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2012-06-28T11:57:00Z</cp:lastPrinted>
  <dcterms:created xsi:type="dcterms:W3CDTF">2012-07-18T15:50:00Z</dcterms:created>
  <dcterms:modified xsi:type="dcterms:W3CDTF">2012-07-18T15:50:00Z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