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5A" w:rsidRPr="001F29F9" w:rsidRDefault="00FD3D5A" w:rsidP="00BF0E94">
      <w:pPr>
        <w:tabs>
          <w:tab w:val="left" w:pos="288"/>
          <w:tab w:val="left" w:pos="4752"/>
        </w:tabs>
        <w:rPr>
          <w:color w:val="000000"/>
        </w:rPr>
      </w:pPr>
      <w:r w:rsidRPr="001F29F9">
        <w:rPr>
          <w:color w:val="000000"/>
        </w:rPr>
        <w:t>RECORD OF PROCEEDINGS</w:t>
      </w:r>
    </w:p>
    <w:p w:rsidR="00FD3D5A" w:rsidRPr="001F29F9" w:rsidRDefault="00FD3D5A" w:rsidP="00BF0E94">
      <w:pPr>
        <w:tabs>
          <w:tab w:val="left" w:pos="288"/>
          <w:tab w:val="left" w:pos="4752"/>
        </w:tabs>
        <w:rPr>
          <w:color w:val="000000"/>
        </w:rPr>
      </w:pPr>
      <w:r w:rsidRPr="001F29F9">
        <w:rPr>
          <w:color w:val="000000"/>
        </w:rPr>
        <w:t>PHYSICAL DISABILITY BOARD OF REVIEW</w:t>
      </w:r>
    </w:p>
    <w:p w:rsidR="00FD3D5A" w:rsidRPr="001F29F9" w:rsidRDefault="00FD3D5A" w:rsidP="00BF0E94">
      <w:pPr>
        <w:tabs>
          <w:tab w:val="left" w:pos="288"/>
          <w:tab w:val="left" w:pos="4752"/>
        </w:tabs>
        <w:jc w:val="both"/>
        <w:rPr>
          <w:caps/>
          <w:color w:val="000000"/>
        </w:rPr>
      </w:pPr>
    </w:p>
    <w:p w:rsidR="00FD3D5A" w:rsidRPr="001F29F9" w:rsidRDefault="00FD3D5A" w:rsidP="003C53E8">
      <w:pPr>
        <w:tabs>
          <w:tab w:val="left" w:pos="288"/>
          <w:tab w:val="left" w:pos="4752"/>
          <w:tab w:val="left" w:pos="6390"/>
          <w:tab w:val="left" w:pos="9270"/>
        </w:tabs>
        <w:jc w:val="both"/>
        <w:rPr>
          <w:caps/>
          <w:color w:val="000000"/>
        </w:rPr>
      </w:pPr>
      <w:r w:rsidRPr="001F29F9">
        <w:rPr>
          <w:caps/>
          <w:color w:val="000000"/>
        </w:rPr>
        <w:t xml:space="preserve">NAME: </w:t>
      </w:r>
      <w:r w:rsidR="00AA64BF">
        <w:rPr>
          <w:caps/>
          <w:color w:val="000000"/>
        </w:rPr>
        <w:t xml:space="preserve"> </w:t>
      </w:r>
      <w:r w:rsidRPr="001F29F9">
        <w:rPr>
          <w:caps/>
          <w:color w:val="000000"/>
        </w:rPr>
        <w:t xml:space="preserve">          </w:t>
      </w:r>
      <w:r>
        <w:rPr>
          <w:caps/>
          <w:color w:val="000000"/>
        </w:rPr>
        <w:tab/>
      </w:r>
      <w:r>
        <w:rPr>
          <w:caps/>
          <w:color w:val="000000"/>
        </w:rPr>
        <w:tab/>
      </w:r>
      <w:r w:rsidR="00084810">
        <w:rPr>
          <w:caps/>
          <w:color w:val="000000"/>
        </w:rPr>
        <w:t xml:space="preserve">     </w:t>
      </w:r>
      <w:r w:rsidR="006A1CEF">
        <w:rPr>
          <w:caps/>
          <w:color w:val="000000"/>
        </w:rPr>
        <w:t xml:space="preserve"> </w:t>
      </w:r>
      <w:r w:rsidR="00084810">
        <w:rPr>
          <w:caps/>
          <w:color w:val="000000"/>
        </w:rPr>
        <w:t xml:space="preserve"> </w:t>
      </w:r>
      <w:r w:rsidRPr="001F29F9">
        <w:rPr>
          <w:caps/>
          <w:color w:val="000000"/>
        </w:rPr>
        <w:t>BRANCH OF SERVICE</w:t>
      </w:r>
      <w:r w:rsidRPr="00B22566">
        <w:rPr>
          <w:caps/>
          <w:color w:val="000000"/>
        </w:rPr>
        <w:t xml:space="preserve">:  Army </w:t>
      </w:r>
    </w:p>
    <w:p w:rsidR="00FD3D5A" w:rsidRPr="001F29F9" w:rsidRDefault="00FD3D5A" w:rsidP="0068098E">
      <w:pPr>
        <w:tabs>
          <w:tab w:val="left" w:pos="288"/>
          <w:tab w:val="left" w:pos="4166"/>
          <w:tab w:val="left" w:pos="4752"/>
          <w:tab w:val="left" w:pos="5130"/>
          <w:tab w:val="left" w:pos="9270"/>
        </w:tabs>
        <w:jc w:val="both"/>
        <w:rPr>
          <w:caps/>
          <w:color w:val="000000"/>
        </w:rPr>
      </w:pPr>
      <w:r w:rsidRPr="001F29F9">
        <w:rPr>
          <w:caps/>
          <w:color w:val="000000"/>
        </w:rPr>
        <w:t>CASE NUMBER:  PD1100700</w:t>
      </w:r>
      <w:r w:rsidRPr="001F29F9">
        <w:rPr>
          <w:color w:val="000000"/>
        </w:rPr>
        <w:t xml:space="preserve"> </w:t>
      </w:r>
      <w:r w:rsidRPr="001F29F9">
        <w:rPr>
          <w:color w:val="000000"/>
        </w:rPr>
        <w:tab/>
      </w:r>
      <w:r w:rsidRPr="001F29F9">
        <w:rPr>
          <w:color w:val="000000"/>
        </w:rPr>
        <w:tab/>
        <w:t xml:space="preserve">                           </w:t>
      </w:r>
      <w:r w:rsidR="00084810">
        <w:rPr>
          <w:color w:val="000000"/>
        </w:rPr>
        <w:t xml:space="preserve">      </w:t>
      </w:r>
      <w:r w:rsidRPr="001F29F9">
        <w:rPr>
          <w:color w:val="000000"/>
        </w:rPr>
        <w:t xml:space="preserve">   SEPARATION DATE:  20080617</w:t>
      </w:r>
    </w:p>
    <w:p w:rsidR="00FD3D5A" w:rsidRPr="001F29F9" w:rsidRDefault="00084810" w:rsidP="00B22566">
      <w:pPr>
        <w:tabs>
          <w:tab w:val="left" w:pos="288"/>
          <w:tab w:val="left" w:pos="5130"/>
        </w:tabs>
        <w:jc w:val="both"/>
        <w:rPr>
          <w:color w:val="000000"/>
        </w:rPr>
      </w:pPr>
      <w:r>
        <w:rPr>
          <w:caps/>
          <w:color w:val="000000"/>
        </w:rPr>
        <w:t>BOARD DATE:  2012</w:t>
      </w:r>
      <w:r w:rsidR="00437BF5">
        <w:rPr>
          <w:caps/>
          <w:color w:val="000000"/>
        </w:rPr>
        <w:t>0330</w:t>
      </w:r>
      <w:r w:rsidRPr="00485B12">
        <w:rPr>
          <w:caps/>
          <w:color w:val="000000"/>
        </w:rPr>
        <w:t xml:space="preserve">  </w:t>
      </w:r>
      <w:r w:rsidR="00485B12">
        <w:rPr>
          <w:caps/>
          <w:color w:val="000000"/>
        </w:rPr>
        <w:t xml:space="preserve"> </w:t>
      </w:r>
    </w:p>
    <w:p w:rsidR="00FD3D5A" w:rsidRPr="001F29F9" w:rsidRDefault="00FD3D5A" w:rsidP="003C53E8">
      <w:pPr>
        <w:pBdr>
          <w:bottom w:val="single" w:sz="12" w:space="1" w:color="auto"/>
        </w:pBdr>
        <w:tabs>
          <w:tab w:val="left" w:pos="288"/>
          <w:tab w:val="left" w:pos="4752"/>
        </w:tabs>
        <w:jc w:val="both"/>
        <w:rPr>
          <w:color w:val="000000"/>
        </w:rPr>
      </w:pPr>
    </w:p>
    <w:p w:rsidR="00FD3D5A" w:rsidRPr="001F29F9" w:rsidRDefault="00FD3D5A" w:rsidP="00BF0E94">
      <w:pPr>
        <w:tabs>
          <w:tab w:val="left" w:pos="288"/>
          <w:tab w:val="left" w:pos="4752"/>
        </w:tabs>
        <w:jc w:val="both"/>
        <w:rPr>
          <w:color w:val="000000"/>
        </w:rPr>
      </w:pPr>
    </w:p>
    <w:p w:rsidR="00FD3D5A" w:rsidRPr="001F29F9" w:rsidRDefault="00FD3D5A" w:rsidP="00BF0E94">
      <w:pPr>
        <w:tabs>
          <w:tab w:val="left" w:pos="288"/>
          <w:tab w:val="left" w:pos="4752"/>
        </w:tabs>
        <w:jc w:val="both"/>
        <w:rPr>
          <w:color w:val="000000"/>
        </w:rPr>
      </w:pPr>
      <w:r w:rsidRPr="001F29F9">
        <w:rPr>
          <w:color w:val="000000"/>
          <w:u w:val="single"/>
        </w:rPr>
        <w:t>SUMMARY OF CASE</w:t>
      </w:r>
      <w:r w:rsidRPr="001F29F9">
        <w:rPr>
          <w:color w:val="000000"/>
        </w:rPr>
        <w:t>: Data extracted from the available evidence of record reflects that this covered indiv</w:t>
      </w:r>
      <w:r w:rsidR="00C20B96">
        <w:rPr>
          <w:color w:val="000000"/>
        </w:rPr>
        <w:t>idual (CI) was a National Guard</w:t>
      </w:r>
      <w:r w:rsidRPr="001F29F9">
        <w:rPr>
          <w:color w:val="000000"/>
        </w:rPr>
        <w:t xml:space="preserve"> PFC/E-3 (25B, Inf</w:t>
      </w:r>
      <w:r w:rsidR="00C20B96">
        <w:rPr>
          <w:color w:val="000000"/>
        </w:rPr>
        <w:t>ormation Technology Specialist)</w:t>
      </w:r>
      <w:r w:rsidRPr="001F29F9">
        <w:rPr>
          <w:color w:val="000000"/>
        </w:rPr>
        <w:t xml:space="preserve"> medically separated for </w:t>
      </w:r>
      <w:r>
        <w:rPr>
          <w:color w:val="000000"/>
        </w:rPr>
        <w:t xml:space="preserve">right and left </w:t>
      </w:r>
      <w:r w:rsidR="00C20B96">
        <w:rPr>
          <w:color w:val="000000"/>
        </w:rPr>
        <w:t>foot conditions</w:t>
      </w:r>
      <w:r w:rsidRPr="001F29F9">
        <w:rPr>
          <w:color w:val="000000"/>
        </w:rPr>
        <w:t xml:space="preserve">. </w:t>
      </w:r>
      <w:r w:rsidR="00C20B96">
        <w:rPr>
          <w:color w:val="000000"/>
        </w:rPr>
        <w:t xml:space="preserve"> </w:t>
      </w:r>
      <w:r w:rsidRPr="001F29F9">
        <w:rPr>
          <w:color w:val="000000"/>
        </w:rPr>
        <w:t>The CI first experienced bilateral foot and ankle pain during basic training in 2007.</w:t>
      </w:r>
      <w:r w:rsidR="00C20B96">
        <w:rPr>
          <w:color w:val="000000"/>
        </w:rPr>
        <w:t xml:space="preserve"> </w:t>
      </w:r>
      <w:r w:rsidRPr="001F29F9">
        <w:rPr>
          <w:color w:val="000000"/>
        </w:rPr>
        <w:t xml:space="preserve"> She was diagnosed with bilateral </w:t>
      </w:r>
      <w:proofErr w:type="spellStart"/>
      <w:r w:rsidR="00C20B96">
        <w:rPr>
          <w:color w:val="000000"/>
        </w:rPr>
        <w:t>calcaneal</w:t>
      </w:r>
      <w:proofErr w:type="spellEnd"/>
      <w:r w:rsidR="00C20B96">
        <w:rPr>
          <w:color w:val="000000"/>
        </w:rPr>
        <w:t xml:space="preserve"> stress fractures;</w:t>
      </w:r>
      <w:r w:rsidRPr="001F29F9">
        <w:rPr>
          <w:color w:val="000000"/>
        </w:rPr>
        <w:t xml:space="preserve"> </w:t>
      </w:r>
      <w:r w:rsidR="00437BF5">
        <w:rPr>
          <w:color w:val="000000"/>
        </w:rPr>
        <w:t xml:space="preserve">and, </w:t>
      </w:r>
      <w:r w:rsidRPr="001F29F9">
        <w:rPr>
          <w:color w:val="000000"/>
        </w:rPr>
        <w:t xml:space="preserve">treated with casts, </w:t>
      </w:r>
      <w:r w:rsidR="00C20B96">
        <w:rPr>
          <w:color w:val="000000"/>
        </w:rPr>
        <w:t>progressive weight bearing</w:t>
      </w:r>
      <w:r w:rsidRPr="001F29F9">
        <w:rPr>
          <w:color w:val="000000"/>
        </w:rPr>
        <w:t xml:space="preserve">, physical therapy and </w:t>
      </w:r>
      <w:r w:rsidR="00C20B96">
        <w:rPr>
          <w:color w:val="000000"/>
        </w:rPr>
        <w:t>analgesics</w:t>
      </w:r>
      <w:r w:rsidRPr="001F29F9">
        <w:rPr>
          <w:color w:val="000000"/>
        </w:rPr>
        <w:t xml:space="preserve">. </w:t>
      </w:r>
      <w:r w:rsidR="00C20B96">
        <w:rPr>
          <w:color w:val="000000"/>
        </w:rPr>
        <w:t xml:space="preserve"> </w:t>
      </w:r>
      <w:r w:rsidR="00044679">
        <w:rPr>
          <w:color w:val="000000"/>
        </w:rPr>
        <w:t xml:space="preserve">Her condition </w:t>
      </w:r>
      <w:r w:rsidR="00044679" w:rsidRPr="00F566B7">
        <w:rPr>
          <w:color w:val="000000"/>
        </w:rPr>
        <w:t xml:space="preserve">could not be adequately rehabilitated to meet the physical requirements of </w:t>
      </w:r>
      <w:r w:rsidR="00044679">
        <w:rPr>
          <w:color w:val="000000"/>
        </w:rPr>
        <w:t>her</w:t>
      </w:r>
      <w:r w:rsidR="00044679" w:rsidRPr="00F566B7">
        <w:rPr>
          <w:color w:val="000000"/>
        </w:rPr>
        <w:t xml:space="preserve"> Military Occupational Specialty (MOS) or satis</w:t>
      </w:r>
      <w:r w:rsidR="00044679">
        <w:rPr>
          <w:color w:val="000000"/>
        </w:rPr>
        <w:t>fy physical fitness standards.</w:t>
      </w:r>
      <w:r w:rsidR="00044679" w:rsidRPr="00F566B7">
        <w:rPr>
          <w:color w:val="000000"/>
        </w:rPr>
        <w:t xml:space="preserve"> </w:t>
      </w:r>
      <w:r w:rsidR="00044679">
        <w:rPr>
          <w:color w:val="000000"/>
        </w:rPr>
        <w:t xml:space="preserve"> She </w:t>
      </w:r>
      <w:r w:rsidR="00044679" w:rsidRPr="00F566B7">
        <w:rPr>
          <w:color w:val="000000"/>
        </w:rPr>
        <w:t xml:space="preserve">was </w:t>
      </w:r>
      <w:r w:rsidR="00044679">
        <w:rPr>
          <w:color w:val="000000"/>
        </w:rPr>
        <w:t xml:space="preserve">thus </w:t>
      </w:r>
      <w:r w:rsidR="00044679" w:rsidRPr="00F566B7">
        <w:rPr>
          <w:color w:val="000000"/>
        </w:rPr>
        <w:t>issued a permanent L3 profile and</w:t>
      </w:r>
      <w:r w:rsidR="00044679">
        <w:rPr>
          <w:color w:val="000000"/>
        </w:rPr>
        <w:t xml:space="preserve"> </w:t>
      </w:r>
      <w:r w:rsidR="00044679" w:rsidRPr="00F566B7">
        <w:rPr>
          <w:color w:val="000000"/>
        </w:rPr>
        <w:t xml:space="preserve">referred for a </w:t>
      </w:r>
      <w:r w:rsidR="00044679">
        <w:rPr>
          <w:color w:val="000000"/>
        </w:rPr>
        <w:t>Medical Evaluation Board (MEB).</w:t>
      </w:r>
      <w:r w:rsidR="00044679" w:rsidRPr="00F566B7">
        <w:rPr>
          <w:color w:val="000000"/>
        </w:rPr>
        <w:t xml:space="preserve"> </w:t>
      </w:r>
      <w:r w:rsidR="00044679">
        <w:rPr>
          <w:color w:val="000000"/>
        </w:rPr>
        <w:t xml:space="preserve"> The right and left foot conditions, </w:t>
      </w:r>
      <w:r w:rsidR="00044679" w:rsidRPr="00F566B7">
        <w:rPr>
          <w:color w:val="000000"/>
        </w:rPr>
        <w:t xml:space="preserve">characterized </w:t>
      </w:r>
      <w:r w:rsidR="00044679">
        <w:rPr>
          <w:color w:val="000000"/>
        </w:rPr>
        <w:t xml:space="preserve">identically </w:t>
      </w:r>
      <w:r w:rsidR="00044679" w:rsidRPr="00F566B7">
        <w:rPr>
          <w:color w:val="000000"/>
        </w:rPr>
        <w:t>as “</w:t>
      </w:r>
      <w:r w:rsidR="00044679">
        <w:rPr>
          <w:color w:val="000000"/>
        </w:rPr>
        <w:t>c</w:t>
      </w:r>
      <w:r w:rsidR="00044679" w:rsidRPr="00B22566">
        <w:rPr>
          <w:color w:val="000000"/>
        </w:rPr>
        <w:t>hronic posterior heel pain secondary to stress fracture</w:t>
      </w:r>
      <w:r w:rsidR="00044679" w:rsidRPr="00F566B7">
        <w:rPr>
          <w:color w:val="000000"/>
        </w:rPr>
        <w:t>”</w:t>
      </w:r>
      <w:r w:rsidR="00044679">
        <w:rPr>
          <w:color w:val="000000"/>
        </w:rPr>
        <w:t xml:space="preserve"> were</w:t>
      </w:r>
      <w:r w:rsidR="00044679" w:rsidRPr="00F566B7">
        <w:rPr>
          <w:color w:val="000000"/>
        </w:rPr>
        <w:t xml:space="preserve"> forwarded to the Physical Evaluation Board (PEB) as medically unacceptable IAW AR 40-501.  No other conditions were submitted </w:t>
      </w:r>
      <w:r w:rsidR="00437BF5">
        <w:rPr>
          <w:color w:val="000000"/>
        </w:rPr>
        <w:t>by the MEB; but</w:t>
      </w:r>
      <w:r w:rsidR="00044679" w:rsidRPr="00F566B7">
        <w:rPr>
          <w:color w:val="000000"/>
        </w:rPr>
        <w:t xml:space="preserve"> other conditions</w:t>
      </w:r>
      <w:r w:rsidR="00044679">
        <w:rPr>
          <w:color w:val="000000"/>
        </w:rPr>
        <w:t>, contended or</w:t>
      </w:r>
      <w:r w:rsidR="00044679" w:rsidRPr="00F566B7">
        <w:rPr>
          <w:color w:val="000000"/>
        </w:rPr>
        <w:t xml:space="preserve"> evidenced in the Disability Evaluation System (DES) file, are addressed below.</w:t>
      </w:r>
      <w:r w:rsidR="00044679">
        <w:rPr>
          <w:color w:val="000000"/>
        </w:rPr>
        <w:t xml:space="preserve">  The</w:t>
      </w:r>
      <w:r w:rsidRPr="00B22566">
        <w:rPr>
          <w:color w:val="000000"/>
        </w:rPr>
        <w:t xml:space="preserve"> PEB adjudicated the right and left heel conditions as unfitting, rated 10% </w:t>
      </w:r>
      <w:r w:rsidR="00044679">
        <w:rPr>
          <w:color w:val="000000"/>
        </w:rPr>
        <w:t>each</w:t>
      </w:r>
      <w:r w:rsidRPr="00B22566">
        <w:rPr>
          <w:color w:val="000000"/>
        </w:rPr>
        <w:t xml:space="preserve">, </w:t>
      </w:r>
      <w:r w:rsidR="00044679">
        <w:rPr>
          <w:color w:val="000000"/>
        </w:rPr>
        <w:t>citing criteria</w:t>
      </w:r>
      <w:r w:rsidRPr="00B22566">
        <w:rPr>
          <w:color w:val="000000"/>
        </w:rPr>
        <w:t xml:space="preserve"> of the Veterans Administration Schedule for Rating Disabilities (VASRD). </w:t>
      </w:r>
      <w:r w:rsidR="00044679">
        <w:rPr>
          <w:color w:val="000000"/>
        </w:rPr>
        <w:t xml:space="preserve"> </w:t>
      </w:r>
      <w:r w:rsidRPr="00B22566">
        <w:rPr>
          <w:color w:val="000000"/>
        </w:rPr>
        <w:t>The CI made no appeals, and was medically separated with a 20% combined disability rating.</w:t>
      </w:r>
    </w:p>
    <w:p w:rsidR="00FD3D5A" w:rsidRPr="001F29F9" w:rsidRDefault="00FD3D5A" w:rsidP="00BF0E94">
      <w:pPr>
        <w:pBdr>
          <w:bottom w:val="single" w:sz="12" w:space="1" w:color="auto"/>
        </w:pBdr>
        <w:tabs>
          <w:tab w:val="left" w:pos="288"/>
          <w:tab w:val="left" w:pos="4752"/>
        </w:tabs>
        <w:jc w:val="both"/>
        <w:rPr>
          <w:color w:val="000000"/>
        </w:rPr>
      </w:pPr>
    </w:p>
    <w:p w:rsidR="00FD3D5A" w:rsidRPr="001F29F9" w:rsidRDefault="00FD3D5A" w:rsidP="00BF0E94">
      <w:pPr>
        <w:tabs>
          <w:tab w:val="left" w:pos="288"/>
          <w:tab w:val="left" w:pos="4752"/>
        </w:tabs>
        <w:jc w:val="both"/>
        <w:rPr>
          <w:color w:val="000000"/>
        </w:rPr>
      </w:pPr>
    </w:p>
    <w:p w:rsidR="00FD3D5A" w:rsidRPr="001F29F9" w:rsidRDefault="00FD3D5A" w:rsidP="00BF0E94">
      <w:pPr>
        <w:tabs>
          <w:tab w:val="left" w:pos="288"/>
          <w:tab w:val="left" w:pos="4752"/>
        </w:tabs>
        <w:jc w:val="both"/>
        <w:rPr>
          <w:color w:val="000000"/>
        </w:rPr>
      </w:pPr>
      <w:r w:rsidRPr="001F29F9">
        <w:rPr>
          <w:color w:val="000000"/>
          <w:u w:val="single"/>
        </w:rPr>
        <w:t>CI CONTENTION</w:t>
      </w:r>
      <w:r w:rsidRPr="001F29F9">
        <w:rPr>
          <w:color w:val="000000"/>
        </w:rPr>
        <w:t>:</w:t>
      </w:r>
      <w:r w:rsidRPr="00B22566">
        <w:rPr>
          <w:color w:val="000000"/>
        </w:rPr>
        <w:t xml:space="preserve"> </w:t>
      </w:r>
      <w:r>
        <w:rPr>
          <w:color w:val="000000"/>
        </w:rPr>
        <w:t>“I now have additional medical documentation that the VA board does not have.</w:t>
      </w:r>
      <w:r w:rsidR="00382B7D">
        <w:rPr>
          <w:color w:val="000000"/>
        </w:rPr>
        <w:t xml:space="preserve">  I have documentation to provide evidence of injuries to my left foot and left hip.</w:t>
      </w:r>
      <w:r>
        <w:rPr>
          <w:color w:val="000000"/>
        </w:rPr>
        <w:t xml:space="preserve">”  </w:t>
      </w:r>
      <w:r w:rsidR="00382B7D">
        <w:rPr>
          <w:color w:val="000000"/>
        </w:rPr>
        <w:t xml:space="preserve">Attached is an emergency treatment record from a military treatment facility dated November 30, 2007; </w:t>
      </w:r>
      <w:r w:rsidR="00435C34">
        <w:rPr>
          <w:color w:val="000000"/>
        </w:rPr>
        <w:t xml:space="preserve">which was not in the </w:t>
      </w:r>
      <w:r w:rsidR="00F179F0">
        <w:rPr>
          <w:color w:val="000000"/>
        </w:rPr>
        <w:t>original</w:t>
      </w:r>
      <w:r w:rsidR="00C244E0">
        <w:rPr>
          <w:color w:val="000000"/>
        </w:rPr>
        <w:t xml:space="preserve"> s</w:t>
      </w:r>
      <w:r w:rsidR="00435C34">
        <w:rPr>
          <w:color w:val="000000"/>
        </w:rPr>
        <w:t xml:space="preserve">ervice file, and which will be addressed.  </w:t>
      </w:r>
    </w:p>
    <w:p w:rsidR="00FD3D5A" w:rsidRPr="001F29F9" w:rsidRDefault="00FD3D5A" w:rsidP="00BF0E94">
      <w:pPr>
        <w:pBdr>
          <w:bottom w:val="single" w:sz="12" w:space="1" w:color="auto"/>
        </w:pBdr>
        <w:tabs>
          <w:tab w:val="left" w:pos="288"/>
          <w:tab w:val="left" w:pos="4752"/>
        </w:tabs>
        <w:jc w:val="both"/>
        <w:rPr>
          <w:color w:val="000000"/>
        </w:rPr>
      </w:pPr>
    </w:p>
    <w:p w:rsidR="00FD3D5A" w:rsidRPr="001F29F9" w:rsidRDefault="00FD3D5A" w:rsidP="00BF0E94">
      <w:pPr>
        <w:tabs>
          <w:tab w:val="left" w:pos="288"/>
          <w:tab w:val="left" w:pos="4752"/>
        </w:tabs>
        <w:jc w:val="both"/>
        <w:rPr>
          <w:color w:val="000000"/>
        </w:rPr>
      </w:pPr>
    </w:p>
    <w:p w:rsidR="00FD3D5A" w:rsidRPr="001F29F9" w:rsidRDefault="00FD3D5A" w:rsidP="00BF0E94">
      <w:pPr>
        <w:jc w:val="left"/>
        <w:rPr>
          <w:color w:val="000000"/>
        </w:rPr>
      </w:pPr>
      <w:r w:rsidRPr="001F29F9">
        <w:rPr>
          <w:color w:val="000000"/>
          <w:u w:val="single"/>
        </w:rPr>
        <w:t>RATING COMPARISON</w:t>
      </w:r>
      <w:r w:rsidRPr="001F29F9">
        <w:rPr>
          <w:color w:val="000000"/>
        </w:rPr>
        <w:t>:</w:t>
      </w:r>
    </w:p>
    <w:p w:rsidR="00FD3D5A" w:rsidRDefault="00FD3D5A" w:rsidP="00FE7C22">
      <w:pPr>
        <w:jc w:val="both"/>
        <w:rPr>
          <w:color w:val="000000"/>
        </w:rPr>
      </w:pPr>
    </w:p>
    <w:tbl>
      <w:tblPr>
        <w:tblpPr w:leftFromText="187" w:rightFromText="187" w:vertAnchor="text" w:tblpXSpec="center" w:tblpY="1"/>
        <w:tblOverlap w:val="neve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78"/>
        <w:gridCol w:w="630"/>
        <w:gridCol w:w="774"/>
        <w:gridCol w:w="2826"/>
        <w:gridCol w:w="630"/>
        <w:gridCol w:w="774"/>
        <w:gridCol w:w="990"/>
      </w:tblGrid>
      <w:tr w:rsidR="00FD3D5A" w:rsidRPr="005B1449" w:rsidTr="000204BC">
        <w:trPr>
          <w:trHeight w:val="233"/>
        </w:trPr>
        <w:tc>
          <w:tcPr>
            <w:tcW w:w="4482" w:type="dxa"/>
            <w:gridSpan w:val="3"/>
            <w:tcBorders>
              <w:right w:val="thinThickThinSmallGap" w:sz="24" w:space="0" w:color="auto"/>
            </w:tcBorders>
            <w:shd w:val="clear" w:color="auto" w:fill="D9D9D9"/>
            <w:vAlign w:val="center"/>
          </w:tcPr>
          <w:p w:rsidR="00FD3D5A" w:rsidRPr="006C288F" w:rsidRDefault="00FD3D5A" w:rsidP="000204BC">
            <w:pPr>
              <w:contextualSpacing/>
              <w:rPr>
                <w:b/>
                <w:color w:val="000000"/>
                <w:sz w:val="18"/>
              </w:rPr>
            </w:pPr>
            <w:r w:rsidRPr="006C288F">
              <w:rPr>
                <w:b/>
                <w:color w:val="000000"/>
                <w:sz w:val="18"/>
              </w:rPr>
              <w:t>Service PEB – Dated 200</w:t>
            </w:r>
            <w:r>
              <w:rPr>
                <w:b/>
                <w:color w:val="000000"/>
                <w:sz w:val="18"/>
              </w:rPr>
              <w:t>80422</w:t>
            </w:r>
          </w:p>
        </w:tc>
        <w:tc>
          <w:tcPr>
            <w:tcW w:w="5220" w:type="dxa"/>
            <w:gridSpan w:val="4"/>
            <w:tcBorders>
              <w:left w:val="thinThickThinSmallGap" w:sz="24" w:space="0" w:color="auto"/>
            </w:tcBorders>
            <w:shd w:val="clear" w:color="auto" w:fill="D9D9D9"/>
            <w:vAlign w:val="center"/>
          </w:tcPr>
          <w:p w:rsidR="00FD3D5A" w:rsidRPr="006C288F" w:rsidRDefault="00FD3D5A" w:rsidP="000204BC">
            <w:pPr>
              <w:contextualSpacing/>
              <w:rPr>
                <w:b/>
                <w:color w:val="000000"/>
                <w:sz w:val="18"/>
              </w:rPr>
            </w:pPr>
            <w:r w:rsidRPr="006C288F">
              <w:rPr>
                <w:b/>
                <w:color w:val="000000"/>
                <w:sz w:val="18"/>
              </w:rPr>
              <w:t>VA (</w:t>
            </w:r>
            <w:r>
              <w:rPr>
                <w:b/>
                <w:color w:val="000000"/>
                <w:sz w:val="18"/>
              </w:rPr>
              <w:t>9</w:t>
            </w:r>
            <w:r w:rsidRPr="006C288F">
              <w:rPr>
                <w:b/>
                <w:color w:val="000000"/>
                <w:sz w:val="18"/>
              </w:rPr>
              <w:t xml:space="preserve"> Mo. </w:t>
            </w:r>
            <w:r w:rsidRPr="00C66760">
              <w:rPr>
                <w:b/>
                <w:color w:val="000000"/>
                <w:sz w:val="18"/>
              </w:rPr>
              <w:t>Post-</w:t>
            </w:r>
            <w:r w:rsidRPr="006C288F">
              <w:rPr>
                <w:b/>
                <w:color w:val="000000"/>
                <w:sz w:val="18"/>
              </w:rPr>
              <w:t>Separation) – All Effective Date 200</w:t>
            </w:r>
            <w:r>
              <w:rPr>
                <w:b/>
                <w:color w:val="000000"/>
                <w:sz w:val="18"/>
              </w:rPr>
              <w:t>80618</w:t>
            </w:r>
          </w:p>
        </w:tc>
      </w:tr>
      <w:tr w:rsidR="00FD3D5A" w:rsidRPr="005B1449" w:rsidTr="000204BC">
        <w:trPr>
          <w:trHeight w:val="100"/>
        </w:trPr>
        <w:tc>
          <w:tcPr>
            <w:tcW w:w="3078" w:type="dxa"/>
            <w:tcBorders>
              <w:right w:val="single" w:sz="4" w:space="0" w:color="auto"/>
            </w:tcBorders>
            <w:shd w:val="clear" w:color="auto" w:fill="D9D9D9"/>
            <w:vAlign w:val="center"/>
          </w:tcPr>
          <w:p w:rsidR="00FD3D5A" w:rsidRPr="006C288F" w:rsidRDefault="00FD3D5A" w:rsidP="000204BC">
            <w:pPr>
              <w:contextualSpacing/>
              <w:rPr>
                <w:b/>
                <w:color w:val="000000"/>
                <w:sz w:val="18"/>
              </w:rPr>
            </w:pPr>
            <w:r w:rsidRPr="006C288F">
              <w:rPr>
                <w:b/>
                <w:color w:val="000000"/>
                <w:sz w:val="18"/>
              </w:rPr>
              <w:t>Condition</w:t>
            </w:r>
          </w:p>
        </w:tc>
        <w:tc>
          <w:tcPr>
            <w:tcW w:w="630" w:type="dxa"/>
            <w:tcBorders>
              <w:left w:val="single" w:sz="4" w:space="0" w:color="auto"/>
            </w:tcBorders>
            <w:shd w:val="clear" w:color="auto" w:fill="D9D9D9"/>
            <w:vAlign w:val="center"/>
          </w:tcPr>
          <w:p w:rsidR="00FD3D5A" w:rsidRPr="006C288F" w:rsidRDefault="00FD3D5A" w:rsidP="000204BC">
            <w:pPr>
              <w:contextualSpacing/>
              <w:rPr>
                <w:b/>
                <w:color w:val="000000"/>
                <w:sz w:val="18"/>
              </w:rPr>
            </w:pPr>
            <w:r w:rsidRPr="006C288F">
              <w:rPr>
                <w:b/>
                <w:color w:val="000000"/>
                <w:sz w:val="18"/>
              </w:rPr>
              <w:t>Code</w:t>
            </w:r>
          </w:p>
        </w:tc>
        <w:tc>
          <w:tcPr>
            <w:tcW w:w="774" w:type="dxa"/>
            <w:tcBorders>
              <w:right w:val="thinThickThinSmallGap" w:sz="24" w:space="0" w:color="auto"/>
            </w:tcBorders>
            <w:shd w:val="clear" w:color="auto" w:fill="D9D9D9"/>
            <w:vAlign w:val="center"/>
          </w:tcPr>
          <w:p w:rsidR="00FD3D5A" w:rsidRPr="006C288F" w:rsidRDefault="00FD3D5A" w:rsidP="000204BC">
            <w:pPr>
              <w:contextualSpacing/>
              <w:rPr>
                <w:b/>
                <w:color w:val="000000"/>
                <w:sz w:val="18"/>
              </w:rPr>
            </w:pPr>
            <w:r w:rsidRPr="006C288F">
              <w:rPr>
                <w:b/>
                <w:color w:val="000000"/>
                <w:sz w:val="18"/>
              </w:rPr>
              <w:t>Rating</w:t>
            </w:r>
          </w:p>
        </w:tc>
        <w:tc>
          <w:tcPr>
            <w:tcW w:w="2826" w:type="dxa"/>
            <w:tcBorders>
              <w:left w:val="thinThickThinSmallGap" w:sz="24" w:space="0" w:color="auto"/>
            </w:tcBorders>
            <w:shd w:val="clear" w:color="auto" w:fill="D9D9D9"/>
            <w:vAlign w:val="center"/>
          </w:tcPr>
          <w:p w:rsidR="00FD3D5A" w:rsidRPr="006C288F" w:rsidRDefault="00FD3D5A" w:rsidP="000204BC">
            <w:pPr>
              <w:contextualSpacing/>
              <w:rPr>
                <w:b/>
                <w:color w:val="000000"/>
                <w:sz w:val="18"/>
              </w:rPr>
            </w:pPr>
            <w:r w:rsidRPr="006C288F">
              <w:rPr>
                <w:b/>
                <w:color w:val="000000"/>
                <w:sz w:val="18"/>
              </w:rPr>
              <w:t>Condition</w:t>
            </w:r>
          </w:p>
        </w:tc>
        <w:tc>
          <w:tcPr>
            <w:tcW w:w="630" w:type="dxa"/>
            <w:shd w:val="clear" w:color="auto" w:fill="D9D9D9"/>
            <w:vAlign w:val="center"/>
          </w:tcPr>
          <w:p w:rsidR="00FD3D5A" w:rsidRPr="006C288F" w:rsidRDefault="00FD3D5A" w:rsidP="000204BC">
            <w:pPr>
              <w:contextualSpacing/>
              <w:rPr>
                <w:b/>
                <w:color w:val="000000"/>
                <w:sz w:val="18"/>
              </w:rPr>
            </w:pPr>
            <w:r w:rsidRPr="006C288F">
              <w:rPr>
                <w:b/>
                <w:color w:val="000000"/>
                <w:sz w:val="18"/>
              </w:rPr>
              <w:t>Code</w:t>
            </w:r>
          </w:p>
        </w:tc>
        <w:tc>
          <w:tcPr>
            <w:tcW w:w="774" w:type="dxa"/>
            <w:shd w:val="clear" w:color="auto" w:fill="D9D9D9"/>
            <w:vAlign w:val="center"/>
          </w:tcPr>
          <w:p w:rsidR="00FD3D5A" w:rsidRPr="006C288F" w:rsidRDefault="00FD3D5A" w:rsidP="000204BC">
            <w:pPr>
              <w:contextualSpacing/>
              <w:rPr>
                <w:b/>
                <w:color w:val="000000"/>
                <w:sz w:val="18"/>
              </w:rPr>
            </w:pPr>
            <w:r w:rsidRPr="006C288F">
              <w:rPr>
                <w:b/>
                <w:color w:val="000000"/>
                <w:sz w:val="18"/>
              </w:rPr>
              <w:t>Rating</w:t>
            </w:r>
          </w:p>
        </w:tc>
        <w:tc>
          <w:tcPr>
            <w:tcW w:w="990" w:type="dxa"/>
            <w:shd w:val="clear" w:color="auto" w:fill="D9D9D9"/>
            <w:vAlign w:val="center"/>
          </w:tcPr>
          <w:p w:rsidR="00FD3D5A" w:rsidRPr="006C288F" w:rsidRDefault="00FD3D5A" w:rsidP="000204BC">
            <w:pPr>
              <w:contextualSpacing/>
              <w:rPr>
                <w:b/>
                <w:color w:val="000000"/>
                <w:sz w:val="18"/>
              </w:rPr>
            </w:pPr>
            <w:r w:rsidRPr="006C288F">
              <w:rPr>
                <w:b/>
                <w:color w:val="000000"/>
                <w:sz w:val="18"/>
              </w:rPr>
              <w:t>Exam</w:t>
            </w:r>
          </w:p>
        </w:tc>
      </w:tr>
      <w:tr w:rsidR="00FD3D5A" w:rsidRPr="005B1449" w:rsidTr="000204BC">
        <w:trPr>
          <w:trHeight w:val="65"/>
        </w:trPr>
        <w:tc>
          <w:tcPr>
            <w:tcW w:w="3078" w:type="dxa"/>
            <w:tcBorders>
              <w:right w:val="single" w:sz="4" w:space="0" w:color="auto"/>
            </w:tcBorders>
            <w:shd w:val="clear" w:color="auto" w:fill="FFFFFF"/>
            <w:vAlign w:val="center"/>
          </w:tcPr>
          <w:p w:rsidR="00FD3D5A" w:rsidRPr="006C288F" w:rsidRDefault="00084810" w:rsidP="000204BC">
            <w:pPr>
              <w:spacing w:line="220" w:lineRule="exact"/>
              <w:contextualSpacing/>
              <w:jc w:val="left"/>
              <w:rPr>
                <w:color w:val="000000"/>
                <w:sz w:val="18"/>
              </w:rPr>
            </w:pPr>
            <w:r>
              <w:rPr>
                <w:color w:val="000000"/>
                <w:sz w:val="18"/>
              </w:rPr>
              <w:t>R</w:t>
            </w:r>
            <w:r w:rsidR="00FD3D5A" w:rsidRPr="00256BBB">
              <w:rPr>
                <w:color w:val="000000"/>
                <w:sz w:val="18"/>
              </w:rPr>
              <w:t xml:space="preserve"> Heel Pain</w:t>
            </w:r>
            <w:r w:rsidR="000204BC">
              <w:rPr>
                <w:color w:val="000000"/>
                <w:sz w:val="18"/>
              </w:rPr>
              <w:t>,</w:t>
            </w:r>
            <w:r w:rsidR="00FD3D5A" w:rsidRPr="00256BBB">
              <w:rPr>
                <w:color w:val="000000"/>
                <w:sz w:val="18"/>
              </w:rPr>
              <w:t xml:space="preserve"> </w:t>
            </w:r>
            <w:proofErr w:type="spellStart"/>
            <w:r w:rsidR="000204BC">
              <w:rPr>
                <w:color w:val="000000"/>
                <w:sz w:val="18"/>
              </w:rPr>
              <w:t>Calcaneal</w:t>
            </w:r>
            <w:proofErr w:type="spellEnd"/>
            <w:r w:rsidR="000204BC">
              <w:rPr>
                <w:color w:val="000000"/>
                <w:sz w:val="18"/>
              </w:rPr>
              <w:t xml:space="preserve"> </w:t>
            </w:r>
            <w:r w:rsidR="00FD3D5A" w:rsidRPr="00256BBB">
              <w:rPr>
                <w:color w:val="000000"/>
                <w:sz w:val="18"/>
              </w:rPr>
              <w:t>Stress F</w:t>
            </w:r>
            <w:r w:rsidR="000204BC">
              <w:rPr>
                <w:color w:val="000000"/>
                <w:sz w:val="18"/>
              </w:rPr>
              <w:t>racture</w:t>
            </w:r>
          </w:p>
        </w:tc>
        <w:tc>
          <w:tcPr>
            <w:tcW w:w="630" w:type="dxa"/>
            <w:tcBorders>
              <w:left w:val="single" w:sz="4" w:space="0" w:color="auto"/>
            </w:tcBorders>
            <w:shd w:val="clear" w:color="auto" w:fill="FFFFFF"/>
            <w:vAlign w:val="center"/>
          </w:tcPr>
          <w:p w:rsidR="00FD3D5A" w:rsidRPr="006C288F" w:rsidRDefault="00FD3D5A" w:rsidP="000204BC">
            <w:pPr>
              <w:spacing w:line="220" w:lineRule="exact"/>
              <w:contextualSpacing/>
              <w:rPr>
                <w:color w:val="000000"/>
                <w:sz w:val="18"/>
              </w:rPr>
            </w:pPr>
            <w:r w:rsidRPr="002343D0">
              <w:rPr>
                <w:color w:val="000000"/>
                <w:sz w:val="18"/>
              </w:rPr>
              <w:t>5284</w:t>
            </w:r>
          </w:p>
        </w:tc>
        <w:tc>
          <w:tcPr>
            <w:tcW w:w="774" w:type="dxa"/>
            <w:tcBorders>
              <w:right w:val="thinThickThinSmallGap" w:sz="24" w:space="0" w:color="auto"/>
            </w:tcBorders>
            <w:shd w:val="clear" w:color="auto" w:fill="FFFFFF"/>
            <w:vAlign w:val="center"/>
          </w:tcPr>
          <w:p w:rsidR="00FD3D5A" w:rsidRPr="006C288F" w:rsidRDefault="00FD3D5A" w:rsidP="000204BC">
            <w:pPr>
              <w:spacing w:line="220" w:lineRule="exact"/>
              <w:rPr>
                <w:color w:val="000000"/>
                <w:sz w:val="18"/>
              </w:rPr>
            </w:pPr>
            <w:r>
              <w:rPr>
                <w:color w:val="000000"/>
                <w:sz w:val="18"/>
              </w:rPr>
              <w:t>10</w:t>
            </w:r>
            <w:r w:rsidRPr="006C288F">
              <w:rPr>
                <w:color w:val="000000"/>
                <w:sz w:val="18"/>
              </w:rPr>
              <w:t>%</w:t>
            </w:r>
          </w:p>
        </w:tc>
        <w:tc>
          <w:tcPr>
            <w:tcW w:w="2826" w:type="dxa"/>
            <w:tcBorders>
              <w:left w:val="thinThickThinSmallGap" w:sz="24" w:space="0" w:color="auto"/>
            </w:tcBorders>
            <w:shd w:val="clear" w:color="auto" w:fill="FFFFFF"/>
            <w:vAlign w:val="center"/>
          </w:tcPr>
          <w:p w:rsidR="00FD3D5A" w:rsidRPr="006C288F" w:rsidRDefault="00FD3D5A" w:rsidP="000204BC">
            <w:pPr>
              <w:spacing w:line="220" w:lineRule="exact"/>
              <w:contextualSpacing/>
              <w:jc w:val="left"/>
              <w:rPr>
                <w:color w:val="000000"/>
                <w:sz w:val="18"/>
              </w:rPr>
            </w:pPr>
            <w:r>
              <w:rPr>
                <w:color w:val="000000"/>
                <w:sz w:val="18"/>
              </w:rPr>
              <w:t>Residuals</w:t>
            </w:r>
            <w:r w:rsidR="000204BC">
              <w:rPr>
                <w:color w:val="000000"/>
                <w:sz w:val="18"/>
              </w:rPr>
              <w:t>, Stress Fracture</w:t>
            </w:r>
            <w:r w:rsidR="00084810">
              <w:rPr>
                <w:color w:val="000000"/>
                <w:sz w:val="18"/>
              </w:rPr>
              <w:t xml:space="preserve"> R</w:t>
            </w:r>
            <w:r>
              <w:rPr>
                <w:color w:val="000000"/>
                <w:sz w:val="18"/>
              </w:rPr>
              <w:t xml:space="preserve"> F</w:t>
            </w:r>
            <w:r w:rsidRPr="002343D0">
              <w:rPr>
                <w:color w:val="000000"/>
                <w:sz w:val="18"/>
              </w:rPr>
              <w:t>oot</w:t>
            </w:r>
          </w:p>
        </w:tc>
        <w:tc>
          <w:tcPr>
            <w:tcW w:w="630" w:type="dxa"/>
            <w:shd w:val="clear" w:color="auto" w:fill="FFFFFF"/>
            <w:vAlign w:val="center"/>
          </w:tcPr>
          <w:p w:rsidR="00FD3D5A" w:rsidRPr="006C288F" w:rsidRDefault="00FD3D5A" w:rsidP="000204BC">
            <w:pPr>
              <w:spacing w:line="220" w:lineRule="exact"/>
              <w:contextualSpacing/>
              <w:rPr>
                <w:color w:val="000000"/>
                <w:sz w:val="18"/>
              </w:rPr>
            </w:pPr>
            <w:r w:rsidRPr="002343D0">
              <w:rPr>
                <w:color w:val="000000"/>
                <w:sz w:val="18"/>
              </w:rPr>
              <w:t>5284</w:t>
            </w:r>
          </w:p>
        </w:tc>
        <w:tc>
          <w:tcPr>
            <w:tcW w:w="774" w:type="dxa"/>
            <w:shd w:val="clear" w:color="auto" w:fill="FFFFFF"/>
            <w:vAlign w:val="center"/>
          </w:tcPr>
          <w:p w:rsidR="00FD3D5A" w:rsidRPr="006C288F" w:rsidRDefault="00FD3D5A" w:rsidP="000204BC">
            <w:pPr>
              <w:spacing w:line="220" w:lineRule="exact"/>
              <w:contextualSpacing/>
              <w:rPr>
                <w:color w:val="000000"/>
                <w:sz w:val="18"/>
              </w:rPr>
            </w:pPr>
            <w:r>
              <w:rPr>
                <w:color w:val="000000"/>
                <w:sz w:val="18"/>
              </w:rPr>
              <w:t>10</w:t>
            </w:r>
            <w:r w:rsidRPr="006C288F">
              <w:rPr>
                <w:color w:val="000000"/>
                <w:sz w:val="18"/>
              </w:rPr>
              <w:t>%</w:t>
            </w:r>
          </w:p>
        </w:tc>
        <w:tc>
          <w:tcPr>
            <w:tcW w:w="990" w:type="dxa"/>
            <w:shd w:val="clear" w:color="auto" w:fill="FFFFFF"/>
            <w:vAlign w:val="center"/>
          </w:tcPr>
          <w:p w:rsidR="00FD3D5A" w:rsidRPr="006C288F" w:rsidRDefault="00FD3D5A" w:rsidP="000204BC">
            <w:pPr>
              <w:spacing w:line="220" w:lineRule="exact"/>
              <w:contextualSpacing/>
              <w:rPr>
                <w:color w:val="000000"/>
                <w:sz w:val="18"/>
              </w:rPr>
            </w:pPr>
            <w:r w:rsidRPr="006C288F">
              <w:rPr>
                <w:color w:val="000000"/>
                <w:sz w:val="18"/>
              </w:rPr>
              <w:t>200</w:t>
            </w:r>
            <w:r>
              <w:rPr>
                <w:color w:val="000000"/>
                <w:sz w:val="18"/>
              </w:rPr>
              <w:t>90106</w:t>
            </w:r>
          </w:p>
        </w:tc>
      </w:tr>
      <w:tr w:rsidR="00FD3D5A" w:rsidRPr="005B1449" w:rsidTr="000204BC">
        <w:trPr>
          <w:trHeight w:val="172"/>
        </w:trPr>
        <w:tc>
          <w:tcPr>
            <w:tcW w:w="3078" w:type="dxa"/>
            <w:tcBorders>
              <w:right w:val="single" w:sz="4" w:space="0" w:color="auto"/>
            </w:tcBorders>
            <w:shd w:val="clear" w:color="auto" w:fill="FFFFFF"/>
            <w:vAlign w:val="center"/>
          </w:tcPr>
          <w:p w:rsidR="00FD3D5A" w:rsidRPr="006C288F" w:rsidRDefault="00084810" w:rsidP="000204BC">
            <w:pPr>
              <w:spacing w:line="220" w:lineRule="exact"/>
              <w:contextualSpacing/>
              <w:jc w:val="left"/>
              <w:rPr>
                <w:color w:val="000000"/>
                <w:sz w:val="18"/>
              </w:rPr>
            </w:pPr>
            <w:r>
              <w:rPr>
                <w:color w:val="000000"/>
                <w:sz w:val="18"/>
              </w:rPr>
              <w:t>L</w:t>
            </w:r>
            <w:r w:rsidRPr="00256BBB">
              <w:rPr>
                <w:color w:val="000000"/>
                <w:sz w:val="18"/>
              </w:rPr>
              <w:t xml:space="preserve"> Heel </w:t>
            </w:r>
            <w:r w:rsidR="000204BC">
              <w:rPr>
                <w:color w:val="000000"/>
                <w:sz w:val="18"/>
              </w:rPr>
              <w:t>Pain,</w:t>
            </w:r>
            <w:r w:rsidR="000204BC" w:rsidRPr="00256BBB">
              <w:rPr>
                <w:color w:val="000000"/>
                <w:sz w:val="18"/>
              </w:rPr>
              <w:t xml:space="preserve"> </w:t>
            </w:r>
            <w:proofErr w:type="spellStart"/>
            <w:r w:rsidR="000204BC">
              <w:rPr>
                <w:color w:val="000000"/>
                <w:sz w:val="18"/>
              </w:rPr>
              <w:t>Calcaneal</w:t>
            </w:r>
            <w:proofErr w:type="spellEnd"/>
            <w:r w:rsidR="000204BC">
              <w:rPr>
                <w:color w:val="000000"/>
                <w:sz w:val="18"/>
              </w:rPr>
              <w:t xml:space="preserve"> </w:t>
            </w:r>
            <w:r w:rsidR="000204BC" w:rsidRPr="00256BBB">
              <w:rPr>
                <w:color w:val="000000"/>
                <w:sz w:val="18"/>
              </w:rPr>
              <w:t>Stress F</w:t>
            </w:r>
            <w:r w:rsidR="000204BC">
              <w:rPr>
                <w:color w:val="000000"/>
                <w:sz w:val="18"/>
              </w:rPr>
              <w:t>racture</w:t>
            </w:r>
          </w:p>
        </w:tc>
        <w:tc>
          <w:tcPr>
            <w:tcW w:w="630" w:type="dxa"/>
            <w:tcBorders>
              <w:left w:val="single" w:sz="4" w:space="0" w:color="auto"/>
            </w:tcBorders>
            <w:shd w:val="clear" w:color="auto" w:fill="FFFFFF"/>
            <w:vAlign w:val="center"/>
          </w:tcPr>
          <w:p w:rsidR="00FD3D5A" w:rsidRPr="006C288F" w:rsidRDefault="00FD3D5A" w:rsidP="000204BC">
            <w:pPr>
              <w:spacing w:line="220" w:lineRule="exact"/>
              <w:contextualSpacing/>
              <w:rPr>
                <w:color w:val="000000"/>
                <w:sz w:val="18"/>
              </w:rPr>
            </w:pPr>
            <w:r w:rsidRPr="002343D0">
              <w:rPr>
                <w:color w:val="000000"/>
                <w:sz w:val="18"/>
              </w:rPr>
              <w:t>5284</w:t>
            </w:r>
          </w:p>
        </w:tc>
        <w:tc>
          <w:tcPr>
            <w:tcW w:w="774" w:type="dxa"/>
            <w:tcBorders>
              <w:right w:val="thinThickThinSmallGap" w:sz="24" w:space="0" w:color="auto"/>
            </w:tcBorders>
            <w:shd w:val="clear" w:color="auto" w:fill="FFFFFF"/>
            <w:vAlign w:val="center"/>
          </w:tcPr>
          <w:p w:rsidR="00FD3D5A" w:rsidRPr="006C288F" w:rsidRDefault="00FD3D5A" w:rsidP="000204BC">
            <w:pPr>
              <w:spacing w:line="220" w:lineRule="exact"/>
              <w:rPr>
                <w:color w:val="000000"/>
                <w:sz w:val="18"/>
              </w:rPr>
            </w:pPr>
            <w:r>
              <w:rPr>
                <w:color w:val="000000"/>
                <w:sz w:val="18"/>
              </w:rPr>
              <w:t>10</w:t>
            </w:r>
            <w:r w:rsidRPr="006C288F">
              <w:rPr>
                <w:color w:val="000000"/>
                <w:sz w:val="18"/>
              </w:rPr>
              <w:t>%</w:t>
            </w:r>
          </w:p>
        </w:tc>
        <w:tc>
          <w:tcPr>
            <w:tcW w:w="2826" w:type="dxa"/>
            <w:tcBorders>
              <w:left w:val="thinThickThinSmallGap" w:sz="24" w:space="0" w:color="auto"/>
              <w:right w:val="single" w:sz="4" w:space="0" w:color="auto"/>
            </w:tcBorders>
            <w:shd w:val="clear" w:color="auto" w:fill="FFFFFF"/>
            <w:vAlign w:val="center"/>
          </w:tcPr>
          <w:p w:rsidR="00FD3D5A" w:rsidRPr="006C288F" w:rsidRDefault="00084810" w:rsidP="000204BC">
            <w:pPr>
              <w:spacing w:line="220" w:lineRule="exact"/>
              <w:contextualSpacing/>
              <w:jc w:val="left"/>
              <w:rPr>
                <w:color w:val="000000"/>
                <w:sz w:val="18"/>
              </w:rPr>
            </w:pPr>
            <w:r>
              <w:rPr>
                <w:color w:val="000000"/>
                <w:sz w:val="18"/>
              </w:rPr>
              <w:t>Residuals</w:t>
            </w:r>
            <w:r w:rsidR="000204BC">
              <w:rPr>
                <w:color w:val="000000"/>
                <w:sz w:val="18"/>
              </w:rPr>
              <w:t>,</w:t>
            </w:r>
            <w:r>
              <w:rPr>
                <w:color w:val="000000"/>
                <w:sz w:val="18"/>
              </w:rPr>
              <w:t xml:space="preserve"> </w:t>
            </w:r>
            <w:r w:rsidR="000204BC">
              <w:rPr>
                <w:color w:val="000000"/>
                <w:sz w:val="18"/>
              </w:rPr>
              <w:t xml:space="preserve">Stress Fracture </w:t>
            </w:r>
            <w:r>
              <w:rPr>
                <w:color w:val="000000"/>
                <w:sz w:val="18"/>
              </w:rPr>
              <w:t>L F</w:t>
            </w:r>
            <w:r w:rsidRPr="002343D0">
              <w:rPr>
                <w:color w:val="000000"/>
                <w:sz w:val="18"/>
              </w:rPr>
              <w:t>oot</w:t>
            </w:r>
          </w:p>
        </w:tc>
        <w:tc>
          <w:tcPr>
            <w:tcW w:w="630" w:type="dxa"/>
            <w:tcBorders>
              <w:left w:val="single" w:sz="4" w:space="0" w:color="auto"/>
            </w:tcBorders>
            <w:shd w:val="clear" w:color="auto" w:fill="FFFFFF"/>
            <w:vAlign w:val="center"/>
          </w:tcPr>
          <w:p w:rsidR="00FD3D5A" w:rsidRPr="006C288F" w:rsidRDefault="00FD3D5A" w:rsidP="000204BC">
            <w:pPr>
              <w:spacing w:line="220" w:lineRule="exact"/>
              <w:contextualSpacing/>
              <w:rPr>
                <w:color w:val="000000"/>
                <w:sz w:val="18"/>
              </w:rPr>
            </w:pPr>
            <w:r w:rsidRPr="002343D0">
              <w:rPr>
                <w:color w:val="000000"/>
                <w:sz w:val="18"/>
              </w:rPr>
              <w:t>5284</w:t>
            </w:r>
          </w:p>
        </w:tc>
        <w:tc>
          <w:tcPr>
            <w:tcW w:w="774" w:type="dxa"/>
            <w:shd w:val="clear" w:color="auto" w:fill="FFFFFF"/>
            <w:vAlign w:val="center"/>
          </w:tcPr>
          <w:p w:rsidR="00FD3D5A" w:rsidRPr="006C288F" w:rsidRDefault="00FD3D5A" w:rsidP="000204BC">
            <w:pPr>
              <w:spacing w:line="220" w:lineRule="exact"/>
              <w:contextualSpacing/>
              <w:rPr>
                <w:color w:val="000000"/>
                <w:sz w:val="18"/>
              </w:rPr>
            </w:pPr>
            <w:r>
              <w:rPr>
                <w:color w:val="000000"/>
                <w:sz w:val="18"/>
              </w:rPr>
              <w:t>0</w:t>
            </w:r>
            <w:r w:rsidRPr="006C288F">
              <w:rPr>
                <w:color w:val="000000"/>
                <w:sz w:val="18"/>
              </w:rPr>
              <w:t>%</w:t>
            </w:r>
          </w:p>
        </w:tc>
        <w:tc>
          <w:tcPr>
            <w:tcW w:w="990" w:type="dxa"/>
            <w:shd w:val="clear" w:color="auto" w:fill="FFFFFF"/>
            <w:vAlign w:val="center"/>
          </w:tcPr>
          <w:p w:rsidR="00FD3D5A" w:rsidRPr="006C288F" w:rsidRDefault="00FD3D5A" w:rsidP="000204BC">
            <w:pPr>
              <w:spacing w:line="220" w:lineRule="exact"/>
              <w:contextualSpacing/>
              <w:rPr>
                <w:color w:val="000000"/>
                <w:sz w:val="18"/>
              </w:rPr>
            </w:pPr>
            <w:r w:rsidRPr="006C288F">
              <w:rPr>
                <w:color w:val="000000"/>
                <w:sz w:val="18"/>
              </w:rPr>
              <w:t>200</w:t>
            </w:r>
            <w:r>
              <w:rPr>
                <w:color w:val="000000"/>
                <w:sz w:val="18"/>
              </w:rPr>
              <w:t>90106</w:t>
            </w:r>
          </w:p>
        </w:tc>
      </w:tr>
      <w:tr w:rsidR="00FD3D5A" w:rsidRPr="005B1449" w:rsidTr="000204BC">
        <w:trPr>
          <w:trHeight w:val="118"/>
        </w:trPr>
        <w:tc>
          <w:tcPr>
            <w:tcW w:w="4482" w:type="dxa"/>
            <w:gridSpan w:val="3"/>
            <w:tcBorders>
              <w:top w:val="single" w:sz="4" w:space="0" w:color="auto"/>
              <w:right w:val="thinThickThinSmallGap" w:sz="24" w:space="0" w:color="auto"/>
            </w:tcBorders>
            <w:shd w:val="clear" w:color="auto" w:fill="FFFFFF"/>
            <w:vAlign w:val="center"/>
          </w:tcPr>
          <w:p w:rsidR="00FD3D5A" w:rsidRDefault="00FD3D5A" w:rsidP="000204BC">
            <w:pPr>
              <w:spacing w:line="220" w:lineRule="exact"/>
              <w:contextualSpacing/>
              <w:rPr>
                <w:color w:val="000000"/>
                <w:sz w:val="18"/>
              </w:rPr>
            </w:pPr>
            <w:r w:rsidRPr="006C288F">
              <w:rPr>
                <w:color w:val="000000"/>
                <w:sz w:val="18"/>
              </w:rPr>
              <w:t>No Additional MEB/PEB Entries</w:t>
            </w:r>
          </w:p>
        </w:tc>
        <w:tc>
          <w:tcPr>
            <w:tcW w:w="4230" w:type="dxa"/>
            <w:gridSpan w:val="3"/>
            <w:tcBorders>
              <w:top w:val="single" w:sz="4" w:space="0" w:color="auto"/>
              <w:left w:val="thinThickThinSmallGap" w:sz="24" w:space="0" w:color="auto"/>
            </w:tcBorders>
            <w:shd w:val="clear" w:color="auto" w:fill="FFFFFF"/>
            <w:vAlign w:val="center"/>
          </w:tcPr>
          <w:p w:rsidR="00FD3D5A" w:rsidRDefault="00FD3D5A" w:rsidP="000204BC">
            <w:pPr>
              <w:spacing w:line="220" w:lineRule="exact"/>
              <w:contextualSpacing/>
              <w:rPr>
                <w:color w:val="000000"/>
                <w:sz w:val="18"/>
              </w:rPr>
            </w:pPr>
            <w:r w:rsidRPr="006C288F">
              <w:rPr>
                <w:color w:val="000000"/>
                <w:sz w:val="18"/>
              </w:rPr>
              <w:t xml:space="preserve">Not Service Connected x </w:t>
            </w:r>
            <w:r>
              <w:rPr>
                <w:color w:val="000000"/>
                <w:sz w:val="18"/>
              </w:rPr>
              <w:t>1</w:t>
            </w:r>
          </w:p>
        </w:tc>
        <w:tc>
          <w:tcPr>
            <w:tcW w:w="990" w:type="dxa"/>
            <w:shd w:val="clear" w:color="auto" w:fill="FFFFFF"/>
            <w:vAlign w:val="center"/>
          </w:tcPr>
          <w:p w:rsidR="00FD3D5A" w:rsidRPr="006C288F" w:rsidRDefault="00FD3D5A" w:rsidP="000204BC">
            <w:pPr>
              <w:spacing w:line="220" w:lineRule="exact"/>
              <w:contextualSpacing/>
              <w:rPr>
                <w:color w:val="000000"/>
                <w:sz w:val="18"/>
              </w:rPr>
            </w:pPr>
            <w:r w:rsidRPr="006C288F">
              <w:rPr>
                <w:color w:val="000000"/>
                <w:sz w:val="18"/>
              </w:rPr>
              <w:t>200</w:t>
            </w:r>
            <w:r>
              <w:rPr>
                <w:color w:val="000000"/>
                <w:sz w:val="18"/>
              </w:rPr>
              <w:t>90106</w:t>
            </w:r>
          </w:p>
        </w:tc>
      </w:tr>
      <w:tr w:rsidR="00FD3D5A" w:rsidRPr="005B1449" w:rsidTr="000204BC">
        <w:trPr>
          <w:trHeight w:val="242"/>
        </w:trPr>
        <w:tc>
          <w:tcPr>
            <w:tcW w:w="4482" w:type="dxa"/>
            <w:gridSpan w:val="3"/>
            <w:tcBorders>
              <w:right w:val="thinThickThinSmallGap" w:sz="24" w:space="0" w:color="auto"/>
            </w:tcBorders>
            <w:shd w:val="clear" w:color="auto" w:fill="D9D9D9"/>
          </w:tcPr>
          <w:p w:rsidR="00FD3D5A" w:rsidRPr="006C288F" w:rsidRDefault="00FD3D5A" w:rsidP="000204BC">
            <w:pPr>
              <w:contextualSpacing/>
              <w:rPr>
                <w:b/>
                <w:color w:val="000000"/>
                <w:sz w:val="18"/>
              </w:rPr>
            </w:pPr>
            <w:r w:rsidRPr="006C288F">
              <w:rPr>
                <w:b/>
                <w:color w:val="000000"/>
                <w:sz w:val="18"/>
              </w:rPr>
              <w:t xml:space="preserve">Combined:  </w:t>
            </w:r>
            <w:r>
              <w:rPr>
                <w:b/>
                <w:color w:val="000000"/>
                <w:sz w:val="18"/>
              </w:rPr>
              <w:t>20</w:t>
            </w:r>
            <w:r w:rsidRPr="006C288F">
              <w:rPr>
                <w:b/>
                <w:color w:val="000000"/>
                <w:sz w:val="18"/>
              </w:rPr>
              <w:t>%</w:t>
            </w:r>
          </w:p>
        </w:tc>
        <w:tc>
          <w:tcPr>
            <w:tcW w:w="5220" w:type="dxa"/>
            <w:gridSpan w:val="4"/>
            <w:tcBorders>
              <w:left w:val="thinThickThinSmallGap" w:sz="24" w:space="0" w:color="auto"/>
            </w:tcBorders>
            <w:shd w:val="clear" w:color="auto" w:fill="D9D9D9"/>
          </w:tcPr>
          <w:p w:rsidR="00FD3D5A" w:rsidRPr="006C288F" w:rsidRDefault="00FD3D5A" w:rsidP="000204BC">
            <w:pPr>
              <w:contextualSpacing/>
              <w:rPr>
                <w:b/>
                <w:color w:val="000000"/>
                <w:sz w:val="18"/>
              </w:rPr>
            </w:pPr>
            <w:r w:rsidRPr="006C288F">
              <w:rPr>
                <w:b/>
                <w:color w:val="000000"/>
                <w:sz w:val="18"/>
              </w:rPr>
              <w:t xml:space="preserve">Combined:  </w:t>
            </w:r>
            <w:r>
              <w:rPr>
                <w:b/>
                <w:color w:val="000000"/>
                <w:sz w:val="18"/>
              </w:rPr>
              <w:t>1</w:t>
            </w:r>
            <w:r w:rsidRPr="006C288F">
              <w:rPr>
                <w:b/>
                <w:color w:val="000000"/>
                <w:sz w:val="18"/>
              </w:rPr>
              <w:t>0%</w:t>
            </w:r>
          </w:p>
        </w:tc>
      </w:tr>
    </w:tbl>
    <w:p w:rsidR="00FD3D5A" w:rsidRPr="001F29F9" w:rsidRDefault="00FD3D5A" w:rsidP="00A97CD9">
      <w:pPr>
        <w:pBdr>
          <w:bottom w:val="single" w:sz="12" w:space="1" w:color="auto"/>
        </w:pBdr>
        <w:tabs>
          <w:tab w:val="left" w:pos="288"/>
          <w:tab w:val="left" w:pos="4752"/>
        </w:tabs>
        <w:jc w:val="both"/>
        <w:rPr>
          <w:color w:val="000000"/>
        </w:rPr>
      </w:pPr>
    </w:p>
    <w:p w:rsidR="00FD3D5A" w:rsidRPr="001F29F9" w:rsidRDefault="00FD3D5A" w:rsidP="00B22566">
      <w:pPr>
        <w:jc w:val="both"/>
        <w:rPr>
          <w:color w:val="000000"/>
          <w:u w:val="single"/>
        </w:rPr>
      </w:pPr>
    </w:p>
    <w:p w:rsidR="00FD3D5A" w:rsidRPr="001F29F9" w:rsidRDefault="00FD3D5A" w:rsidP="00B22566">
      <w:pPr>
        <w:jc w:val="both"/>
        <w:rPr>
          <w:color w:val="000000"/>
          <w:u w:val="single"/>
        </w:rPr>
      </w:pPr>
      <w:r w:rsidRPr="001F29F9">
        <w:rPr>
          <w:color w:val="000000"/>
          <w:u w:val="single"/>
        </w:rPr>
        <w:t>ANALYSIS SUMMARY</w:t>
      </w:r>
      <w:r w:rsidRPr="001F29F9">
        <w:rPr>
          <w:color w:val="000000"/>
        </w:rPr>
        <w:t>:</w:t>
      </w:r>
      <w:r w:rsidR="00044679">
        <w:rPr>
          <w:color w:val="000000"/>
        </w:rPr>
        <w:t xml:space="preserve">  </w:t>
      </w:r>
      <w:r w:rsidR="00044679" w:rsidRPr="00044679">
        <w:rPr>
          <w:color w:val="000000"/>
        </w:rPr>
        <w:t xml:space="preserve">The Board acknowledges the CI’s contention that suggests </w:t>
      </w:r>
      <w:r w:rsidR="00DC0344">
        <w:rPr>
          <w:color w:val="000000"/>
        </w:rPr>
        <w:t>s</w:t>
      </w:r>
      <w:r w:rsidR="00044679" w:rsidRPr="00044679">
        <w:rPr>
          <w:color w:val="000000"/>
        </w:rPr>
        <w:t xml:space="preserve">ervice ratings should have been conferred for other conditions </w:t>
      </w:r>
      <w:r w:rsidR="00044679">
        <w:rPr>
          <w:color w:val="000000"/>
        </w:rPr>
        <w:t xml:space="preserve">incurred in </w:t>
      </w:r>
      <w:r w:rsidR="00DC0344">
        <w:rPr>
          <w:color w:val="000000"/>
        </w:rPr>
        <w:t>s</w:t>
      </w:r>
      <w:r w:rsidR="00044679">
        <w:rPr>
          <w:color w:val="000000"/>
        </w:rPr>
        <w:t>ervice</w:t>
      </w:r>
      <w:r w:rsidR="00044679" w:rsidRPr="00044679">
        <w:rPr>
          <w:color w:val="000000"/>
        </w:rPr>
        <w:t>.  The Board wishes to clarify that it i</w:t>
      </w:r>
      <w:r w:rsidR="00C244E0">
        <w:rPr>
          <w:color w:val="000000"/>
        </w:rPr>
        <w:t>s subject to the same laws for s</w:t>
      </w:r>
      <w:r w:rsidR="00044679" w:rsidRPr="00044679">
        <w:rPr>
          <w:color w:val="000000"/>
        </w:rPr>
        <w:t xml:space="preserve">ervice disability entitlements as those under which the DES operates.  </w:t>
      </w:r>
      <w:r w:rsidR="00DC0344">
        <w:rPr>
          <w:iCs/>
          <w:color w:val="000000"/>
        </w:rPr>
        <w:t xml:space="preserve">While the </w:t>
      </w:r>
      <w:r w:rsidR="00044679" w:rsidRPr="00044679">
        <w:rPr>
          <w:iCs/>
          <w:color w:val="000000"/>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DC0344">
        <w:rPr>
          <w:iCs/>
          <w:color w:val="000000"/>
        </w:rPr>
        <w:t>s’</w:t>
      </w:r>
      <w:r w:rsidR="00D83FF8">
        <w:rPr>
          <w:iCs/>
          <w:color w:val="000000"/>
        </w:rPr>
        <w:t xml:space="preserve"> Affairs, </w:t>
      </w:r>
      <w:r w:rsidR="00044679" w:rsidRPr="00044679">
        <w:rPr>
          <w:iCs/>
          <w:color w:val="000000"/>
        </w:rPr>
        <w:t xml:space="preserve">operating under a different set of laws (Title 38, United States Code), is </w:t>
      </w:r>
      <w:r w:rsidR="00DC0344">
        <w:rPr>
          <w:iCs/>
          <w:color w:val="000000"/>
        </w:rPr>
        <w:t>empowered to compensate service-</w:t>
      </w:r>
      <w:r w:rsidR="00044679" w:rsidRPr="00044679">
        <w:rPr>
          <w:iCs/>
          <w:color w:val="000000"/>
        </w:rPr>
        <w:t xml:space="preserve">connected conditions and to periodically re-evaluate said conditions for the purpose of adjusting the </w:t>
      </w:r>
      <w:r w:rsidR="00DC0344">
        <w:rPr>
          <w:iCs/>
          <w:color w:val="000000"/>
        </w:rPr>
        <w:t>V</w:t>
      </w:r>
      <w:r w:rsidR="00044679" w:rsidRPr="00044679">
        <w:rPr>
          <w:iCs/>
          <w:color w:val="000000"/>
        </w:rPr>
        <w:t xml:space="preserve">eteran’s disability rating should </w:t>
      </w:r>
      <w:r w:rsidR="00DC0344">
        <w:rPr>
          <w:iCs/>
          <w:color w:val="000000"/>
        </w:rPr>
        <w:t xml:space="preserve">the </w:t>
      </w:r>
      <w:r w:rsidR="00044679" w:rsidRPr="00044679">
        <w:rPr>
          <w:iCs/>
          <w:color w:val="000000"/>
        </w:rPr>
        <w:t>degree of impairment vary over time.</w:t>
      </w:r>
    </w:p>
    <w:p w:rsidR="00FD3D5A" w:rsidRPr="001F29F9" w:rsidRDefault="00FD3D5A" w:rsidP="00BF0E94">
      <w:pPr>
        <w:jc w:val="left"/>
        <w:rPr>
          <w:color w:val="000000"/>
        </w:rPr>
      </w:pPr>
    </w:p>
    <w:p w:rsidR="00FD3D5A" w:rsidRDefault="00FD3D5A" w:rsidP="00B22566">
      <w:pPr>
        <w:jc w:val="both"/>
        <w:rPr>
          <w:rFonts w:cs="Times New Roman"/>
          <w:color w:val="auto"/>
        </w:rPr>
      </w:pPr>
      <w:proofErr w:type="gramStart"/>
      <w:r w:rsidRPr="00B22566">
        <w:rPr>
          <w:color w:val="000000"/>
          <w:u w:val="single"/>
        </w:rPr>
        <w:lastRenderedPageBreak/>
        <w:t xml:space="preserve">Right </w:t>
      </w:r>
      <w:r w:rsidR="00946B36">
        <w:rPr>
          <w:color w:val="000000"/>
          <w:u w:val="single"/>
        </w:rPr>
        <w:t>Foot</w:t>
      </w:r>
      <w:r w:rsidRPr="00B22566">
        <w:rPr>
          <w:color w:val="000000"/>
          <w:u w:val="single"/>
        </w:rPr>
        <w:t xml:space="preserve"> Condition</w:t>
      </w:r>
      <w:r w:rsidRPr="00FF5304">
        <w:rPr>
          <w:color w:val="000000"/>
        </w:rPr>
        <w:t>.</w:t>
      </w:r>
      <w:proofErr w:type="gramEnd"/>
      <w:r w:rsidRPr="00FF5304">
        <w:rPr>
          <w:color w:val="000000"/>
        </w:rPr>
        <w:t xml:space="preserve"> </w:t>
      </w:r>
      <w:r w:rsidR="009628E4">
        <w:rPr>
          <w:color w:val="000000"/>
        </w:rPr>
        <w:t xml:space="preserve">The CI began experiencing </w:t>
      </w:r>
      <w:r w:rsidR="009628E4" w:rsidRPr="00FF5304">
        <w:rPr>
          <w:color w:val="000000"/>
        </w:rPr>
        <w:t xml:space="preserve">right ankle pain during basic training </w:t>
      </w:r>
      <w:r w:rsidR="009628E4">
        <w:rPr>
          <w:color w:val="000000"/>
        </w:rPr>
        <w:t xml:space="preserve">in </w:t>
      </w:r>
      <w:r w:rsidRPr="00FF5304">
        <w:rPr>
          <w:color w:val="000000"/>
        </w:rPr>
        <w:t xml:space="preserve">June 2007. A </w:t>
      </w:r>
      <w:r w:rsidR="009628E4">
        <w:rPr>
          <w:color w:val="000000"/>
        </w:rPr>
        <w:t xml:space="preserve">subsequent </w:t>
      </w:r>
      <w:r w:rsidRPr="00FF5304">
        <w:rPr>
          <w:color w:val="000000"/>
        </w:rPr>
        <w:t xml:space="preserve">bone scan revealed a stress fracture </w:t>
      </w:r>
      <w:r>
        <w:rPr>
          <w:color w:val="000000"/>
        </w:rPr>
        <w:t>of</w:t>
      </w:r>
      <w:r w:rsidRPr="00FF5304">
        <w:rPr>
          <w:color w:val="000000"/>
        </w:rPr>
        <w:t xml:space="preserve"> the right posterior </w:t>
      </w:r>
      <w:r>
        <w:rPr>
          <w:color w:val="000000"/>
        </w:rPr>
        <w:t xml:space="preserve">portion of the </w:t>
      </w:r>
      <w:proofErr w:type="spellStart"/>
      <w:r w:rsidRPr="00FF5304">
        <w:rPr>
          <w:color w:val="000000"/>
        </w:rPr>
        <w:t>calcane</w:t>
      </w:r>
      <w:r>
        <w:rPr>
          <w:color w:val="000000"/>
        </w:rPr>
        <w:t>us</w:t>
      </w:r>
      <w:proofErr w:type="spellEnd"/>
      <w:r w:rsidRPr="00FF5304">
        <w:rPr>
          <w:color w:val="000000"/>
        </w:rPr>
        <w:t xml:space="preserve">. She was </w:t>
      </w:r>
      <w:r w:rsidR="009628E4">
        <w:rPr>
          <w:color w:val="000000"/>
        </w:rPr>
        <w:t xml:space="preserve">treated conservatively and managed to complete basic training.  </w:t>
      </w:r>
      <w:r w:rsidRPr="00FF5304">
        <w:rPr>
          <w:color w:val="000000"/>
        </w:rPr>
        <w:t>Her ankle pain resolved, but she continued to experience pain in her posterior heel.</w:t>
      </w:r>
      <w:r w:rsidR="009628E4">
        <w:rPr>
          <w:color w:val="000000"/>
        </w:rPr>
        <w:t xml:space="preserve"> </w:t>
      </w:r>
      <w:r w:rsidRPr="00FF5304">
        <w:rPr>
          <w:color w:val="000000"/>
        </w:rPr>
        <w:t xml:space="preserve"> The fracture did not heal completely despite </w:t>
      </w:r>
      <w:r w:rsidR="009628E4">
        <w:rPr>
          <w:color w:val="000000"/>
        </w:rPr>
        <w:t xml:space="preserve">activity restriction </w:t>
      </w:r>
      <w:r>
        <w:rPr>
          <w:color w:val="000000"/>
        </w:rPr>
        <w:t>and immobilization</w:t>
      </w:r>
      <w:r w:rsidRPr="00FF5304">
        <w:rPr>
          <w:color w:val="000000"/>
        </w:rPr>
        <w:t xml:space="preserve">. </w:t>
      </w:r>
      <w:r w:rsidR="009628E4">
        <w:rPr>
          <w:color w:val="000000"/>
        </w:rPr>
        <w:t xml:space="preserve"> </w:t>
      </w:r>
      <w:r w:rsidRPr="00FF5304">
        <w:rPr>
          <w:color w:val="000000"/>
        </w:rPr>
        <w:t xml:space="preserve">At the MEB exam </w:t>
      </w:r>
      <w:r w:rsidR="009628E4">
        <w:rPr>
          <w:color w:val="000000"/>
        </w:rPr>
        <w:t>(</w:t>
      </w:r>
      <w:r w:rsidRPr="00FF5304">
        <w:rPr>
          <w:color w:val="000000"/>
        </w:rPr>
        <w:t>3 months pr</w:t>
      </w:r>
      <w:r w:rsidR="00DC0344">
        <w:rPr>
          <w:color w:val="000000"/>
        </w:rPr>
        <w:t xml:space="preserve">ior to </w:t>
      </w:r>
      <w:r w:rsidRPr="00FF5304">
        <w:rPr>
          <w:color w:val="000000"/>
        </w:rPr>
        <w:t>separation</w:t>
      </w:r>
      <w:r w:rsidR="009628E4">
        <w:rPr>
          <w:color w:val="000000"/>
        </w:rPr>
        <w:t>)</w:t>
      </w:r>
      <w:r w:rsidRPr="00FF5304">
        <w:rPr>
          <w:color w:val="000000"/>
        </w:rPr>
        <w:t>, the CI reported chronic pain in the right posterior heel that was exacerbated by walking, running</w:t>
      </w:r>
      <w:r w:rsidR="009628E4">
        <w:rPr>
          <w:color w:val="000000"/>
        </w:rPr>
        <w:t>, prolonged standing</w:t>
      </w:r>
      <w:r w:rsidR="00807B7C">
        <w:rPr>
          <w:color w:val="000000"/>
        </w:rPr>
        <w:t>,</w:t>
      </w:r>
      <w:r w:rsidRPr="00FF5304">
        <w:rPr>
          <w:color w:val="000000"/>
        </w:rPr>
        <w:t xml:space="preserve"> or any </w:t>
      </w:r>
      <w:r w:rsidR="009628E4">
        <w:rPr>
          <w:color w:val="000000"/>
        </w:rPr>
        <w:t>load</w:t>
      </w:r>
      <w:r w:rsidRPr="00FF5304">
        <w:rPr>
          <w:color w:val="000000"/>
        </w:rPr>
        <w:t xml:space="preserve">-bearing. </w:t>
      </w:r>
      <w:r w:rsidR="009628E4">
        <w:rPr>
          <w:color w:val="000000"/>
        </w:rPr>
        <w:t xml:space="preserve"> </w:t>
      </w:r>
      <w:r w:rsidR="00807B7C">
        <w:rPr>
          <w:color w:val="000000"/>
        </w:rPr>
        <w:t>The</w:t>
      </w:r>
      <w:r w:rsidRPr="00FF5304">
        <w:rPr>
          <w:color w:val="000000"/>
        </w:rPr>
        <w:t xml:space="preserve"> </w:t>
      </w:r>
      <w:r w:rsidR="00807B7C">
        <w:rPr>
          <w:color w:val="000000"/>
        </w:rPr>
        <w:t xml:space="preserve">physical </w:t>
      </w:r>
      <w:r w:rsidRPr="00FF5304">
        <w:rPr>
          <w:color w:val="000000"/>
        </w:rPr>
        <w:t xml:space="preserve">exam noted </w:t>
      </w:r>
      <w:r w:rsidR="00437BF5">
        <w:rPr>
          <w:color w:val="000000"/>
        </w:rPr>
        <w:t xml:space="preserve">a </w:t>
      </w:r>
      <w:r w:rsidR="00150570">
        <w:rPr>
          <w:color w:val="000000"/>
        </w:rPr>
        <w:t>slightly</w:t>
      </w:r>
      <w:r w:rsidRPr="00FF5304">
        <w:rPr>
          <w:color w:val="000000"/>
        </w:rPr>
        <w:t xml:space="preserve"> </w:t>
      </w:r>
      <w:proofErr w:type="spellStart"/>
      <w:r w:rsidRPr="00FF5304">
        <w:rPr>
          <w:color w:val="000000"/>
        </w:rPr>
        <w:t>antalgic</w:t>
      </w:r>
      <w:proofErr w:type="spellEnd"/>
      <w:r w:rsidRPr="00FF5304">
        <w:rPr>
          <w:color w:val="000000"/>
        </w:rPr>
        <w:t xml:space="preserve"> ga</w:t>
      </w:r>
      <w:r w:rsidR="00150570">
        <w:rPr>
          <w:color w:val="000000"/>
        </w:rPr>
        <w:t>it</w:t>
      </w:r>
      <w:r w:rsidR="00437BF5">
        <w:rPr>
          <w:color w:val="000000"/>
        </w:rPr>
        <w:t>,</w:t>
      </w:r>
      <w:r w:rsidRPr="00FF5304">
        <w:rPr>
          <w:color w:val="000000"/>
        </w:rPr>
        <w:t xml:space="preserve"> and a decreased ankle </w:t>
      </w:r>
      <w:r w:rsidR="00807B7C">
        <w:rPr>
          <w:color w:val="000000"/>
        </w:rPr>
        <w:t>range-of-motion (</w:t>
      </w:r>
      <w:r w:rsidRPr="00FF5304">
        <w:rPr>
          <w:color w:val="000000"/>
        </w:rPr>
        <w:t>ROM</w:t>
      </w:r>
      <w:r w:rsidR="00807B7C">
        <w:rPr>
          <w:color w:val="000000"/>
        </w:rPr>
        <w:t>)</w:t>
      </w:r>
      <w:r w:rsidRPr="00FF5304">
        <w:rPr>
          <w:color w:val="000000"/>
        </w:rPr>
        <w:t xml:space="preserve"> </w:t>
      </w:r>
      <w:r w:rsidR="00807B7C">
        <w:rPr>
          <w:color w:val="000000"/>
        </w:rPr>
        <w:t xml:space="preserve">which was attributed </w:t>
      </w:r>
      <w:r w:rsidRPr="00FF5304">
        <w:rPr>
          <w:color w:val="000000"/>
        </w:rPr>
        <w:t xml:space="preserve">to </w:t>
      </w:r>
      <w:r w:rsidR="00807B7C">
        <w:rPr>
          <w:color w:val="000000"/>
        </w:rPr>
        <w:t xml:space="preserve">guarding from the </w:t>
      </w:r>
      <w:r w:rsidR="00807B7C" w:rsidRPr="00FF5304">
        <w:rPr>
          <w:color w:val="000000"/>
        </w:rPr>
        <w:t xml:space="preserve">heel </w:t>
      </w:r>
      <w:r w:rsidRPr="00FF5304">
        <w:rPr>
          <w:color w:val="000000"/>
        </w:rPr>
        <w:t xml:space="preserve">pain. </w:t>
      </w:r>
      <w:r w:rsidR="00807B7C">
        <w:rPr>
          <w:color w:val="000000"/>
        </w:rPr>
        <w:t xml:space="preserve"> </w:t>
      </w:r>
      <w:r w:rsidRPr="00FF5304">
        <w:rPr>
          <w:color w:val="000000"/>
        </w:rPr>
        <w:t xml:space="preserve">The posterior heel was </w:t>
      </w:r>
      <w:r w:rsidR="00807B7C">
        <w:rPr>
          <w:color w:val="000000"/>
        </w:rPr>
        <w:t>tender with a palpable</w:t>
      </w:r>
      <w:r w:rsidRPr="00FF5304">
        <w:rPr>
          <w:color w:val="000000"/>
        </w:rPr>
        <w:t xml:space="preserve"> bony prominence. </w:t>
      </w:r>
      <w:r w:rsidR="00807B7C">
        <w:rPr>
          <w:color w:val="000000"/>
        </w:rPr>
        <w:t xml:space="preserve"> </w:t>
      </w:r>
      <w:r w:rsidRPr="00FF5304">
        <w:rPr>
          <w:color w:val="000000"/>
        </w:rPr>
        <w:t xml:space="preserve">At the VA Compensation and Pension (C&amp;P) exam </w:t>
      </w:r>
      <w:r w:rsidR="00807B7C">
        <w:rPr>
          <w:color w:val="000000"/>
        </w:rPr>
        <w:t>(</w:t>
      </w:r>
      <w:r w:rsidRPr="00FF5304">
        <w:rPr>
          <w:color w:val="000000"/>
        </w:rPr>
        <w:t xml:space="preserve">7 months </w:t>
      </w:r>
      <w:r w:rsidR="00DC0344">
        <w:rPr>
          <w:color w:val="000000"/>
        </w:rPr>
        <w:t xml:space="preserve">after </w:t>
      </w:r>
      <w:r w:rsidRPr="00FF5304">
        <w:rPr>
          <w:color w:val="000000"/>
        </w:rPr>
        <w:t>separation</w:t>
      </w:r>
      <w:r w:rsidR="00807B7C">
        <w:rPr>
          <w:color w:val="000000"/>
        </w:rPr>
        <w:t>)</w:t>
      </w:r>
      <w:r w:rsidRPr="00FF5304">
        <w:rPr>
          <w:color w:val="000000"/>
        </w:rPr>
        <w:t xml:space="preserve">, the CI continued to report chronic pain with standing and walking, and intermittent stiffness. </w:t>
      </w:r>
      <w:r w:rsidR="000F52AB">
        <w:rPr>
          <w:color w:val="000000"/>
        </w:rPr>
        <w:t xml:space="preserve"> </w:t>
      </w:r>
      <w:r w:rsidRPr="00FF5304">
        <w:rPr>
          <w:color w:val="000000"/>
        </w:rPr>
        <w:t xml:space="preserve">The </w:t>
      </w:r>
      <w:r w:rsidR="000F52AB">
        <w:rPr>
          <w:color w:val="000000"/>
        </w:rPr>
        <w:t xml:space="preserve">VA </w:t>
      </w:r>
      <w:r w:rsidRPr="00FF5304">
        <w:rPr>
          <w:color w:val="000000"/>
        </w:rPr>
        <w:t xml:space="preserve">examiner noted swelling </w:t>
      </w:r>
      <w:r w:rsidR="000F52AB">
        <w:rPr>
          <w:color w:val="000000"/>
        </w:rPr>
        <w:t xml:space="preserve">and tenderness of </w:t>
      </w:r>
      <w:r w:rsidRPr="00FF5304">
        <w:rPr>
          <w:color w:val="000000"/>
        </w:rPr>
        <w:t>the heel</w:t>
      </w:r>
      <w:r w:rsidR="000F52AB">
        <w:rPr>
          <w:color w:val="000000"/>
        </w:rPr>
        <w:t xml:space="preserve"> with a </w:t>
      </w:r>
      <w:r w:rsidR="000F52AB" w:rsidRPr="00FF5304">
        <w:rPr>
          <w:color w:val="000000"/>
        </w:rPr>
        <w:t>bony protuberance</w:t>
      </w:r>
      <w:r w:rsidRPr="00FF5304">
        <w:rPr>
          <w:color w:val="000000"/>
        </w:rPr>
        <w:t xml:space="preserve">, </w:t>
      </w:r>
      <w:r w:rsidR="000F52AB">
        <w:rPr>
          <w:color w:val="000000"/>
        </w:rPr>
        <w:t xml:space="preserve">and documented </w:t>
      </w:r>
      <w:r w:rsidRPr="00FF5304">
        <w:rPr>
          <w:color w:val="000000"/>
        </w:rPr>
        <w:t>mil</w:t>
      </w:r>
      <w:r w:rsidR="000F52AB">
        <w:rPr>
          <w:color w:val="000000"/>
        </w:rPr>
        <w:t>d flat feet with weight-bearing</w:t>
      </w:r>
      <w:r w:rsidRPr="00FF5304">
        <w:rPr>
          <w:color w:val="000000"/>
        </w:rPr>
        <w:t xml:space="preserve">. </w:t>
      </w:r>
      <w:r w:rsidR="000F52AB">
        <w:rPr>
          <w:color w:val="000000"/>
        </w:rPr>
        <w:t xml:space="preserve"> </w:t>
      </w:r>
      <w:r w:rsidR="00150570">
        <w:rPr>
          <w:color w:val="000000"/>
        </w:rPr>
        <w:t>Gait at that time was noted to be normal.</w:t>
      </w:r>
    </w:p>
    <w:p w:rsidR="000F52AB" w:rsidRPr="003C53E8" w:rsidRDefault="000F52AB" w:rsidP="00B22566">
      <w:pPr>
        <w:jc w:val="both"/>
        <w:rPr>
          <w:rFonts w:cs="Times New Roman"/>
          <w:color w:val="auto"/>
        </w:rPr>
      </w:pPr>
    </w:p>
    <w:p w:rsidR="009947AA" w:rsidRPr="009947AA" w:rsidRDefault="000F52AB" w:rsidP="009947AA">
      <w:pPr>
        <w:tabs>
          <w:tab w:val="left" w:pos="288"/>
          <w:tab w:val="left" w:pos="4752"/>
        </w:tabs>
        <w:jc w:val="both"/>
        <w:rPr>
          <w:color w:val="000000"/>
        </w:rPr>
      </w:pPr>
      <w:r w:rsidRPr="000F52AB">
        <w:rPr>
          <w:rFonts w:cs="Times New Roman"/>
          <w:color w:val="auto"/>
        </w:rPr>
        <w:t xml:space="preserve">The Board directs attention to its rating recommendation based on the above evidence. </w:t>
      </w:r>
      <w:r w:rsidR="002A5808">
        <w:rPr>
          <w:rFonts w:cs="Times New Roman"/>
          <w:color w:val="auto"/>
        </w:rPr>
        <w:t xml:space="preserve"> All members agreed that the MEB evidence was more probative, given its closer proximity to separation; although, there was not a ratable difference between the </w:t>
      </w:r>
      <w:r w:rsidR="00437BF5">
        <w:rPr>
          <w:rFonts w:cs="Times New Roman"/>
          <w:color w:val="auto"/>
        </w:rPr>
        <w:t>MEB and VA</w:t>
      </w:r>
      <w:r w:rsidR="002A5808">
        <w:rPr>
          <w:rFonts w:cs="Times New Roman"/>
          <w:color w:val="auto"/>
        </w:rPr>
        <w:t xml:space="preserve"> evaluations.  </w:t>
      </w:r>
      <w:r w:rsidR="00FD3D5A" w:rsidRPr="00B22566">
        <w:rPr>
          <w:rFonts w:cs="Times New Roman"/>
          <w:color w:val="auto"/>
        </w:rPr>
        <w:t xml:space="preserve">Both the VA and the MEB rated </w:t>
      </w:r>
      <w:r w:rsidR="002A5808">
        <w:rPr>
          <w:rFonts w:cs="Times New Roman"/>
          <w:color w:val="auto"/>
        </w:rPr>
        <w:t>the</w:t>
      </w:r>
      <w:r w:rsidR="00FD3D5A" w:rsidRPr="00B22566">
        <w:rPr>
          <w:rFonts w:cs="Times New Roman"/>
          <w:color w:val="auto"/>
        </w:rPr>
        <w:t xml:space="preserve"> condition </w:t>
      </w:r>
      <w:r w:rsidR="002A5808" w:rsidRPr="00B22566">
        <w:rPr>
          <w:rFonts w:cs="Times New Roman"/>
          <w:color w:val="auto"/>
        </w:rPr>
        <w:t>under VASRD code 5284 (</w:t>
      </w:r>
      <w:r w:rsidR="002A5808" w:rsidRPr="00B22566">
        <w:rPr>
          <w:bCs/>
          <w:color w:val="000000"/>
        </w:rPr>
        <w:t>f</w:t>
      </w:r>
      <w:r w:rsidR="002A5808" w:rsidRPr="00B22566">
        <w:rPr>
          <w:color w:val="000000"/>
        </w:rPr>
        <w:t>oot injuries, other)</w:t>
      </w:r>
      <w:r w:rsidR="002A5808">
        <w:rPr>
          <w:color w:val="000000"/>
        </w:rPr>
        <w:t xml:space="preserve">; and, both arrived at the same </w:t>
      </w:r>
      <w:r w:rsidR="00FD3D5A" w:rsidRPr="00B22566">
        <w:rPr>
          <w:rFonts w:cs="Times New Roman"/>
          <w:color w:val="auto"/>
        </w:rPr>
        <w:t>10%</w:t>
      </w:r>
      <w:r w:rsidR="002A5808">
        <w:rPr>
          <w:rFonts w:cs="Times New Roman"/>
          <w:color w:val="auto"/>
        </w:rPr>
        <w:t xml:space="preserve"> rating, assessing the disability as </w:t>
      </w:r>
      <w:r w:rsidR="00DC0344">
        <w:rPr>
          <w:rFonts w:cs="Times New Roman"/>
          <w:color w:val="auto"/>
        </w:rPr>
        <w:t>“</w:t>
      </w:r>
      <w:r w:rsidR="002A5808">
        <w:rPr>
          <w:rFonts w:cs="Times New Roman"/>
          <w:color w:val="auto"/>
        </w:rPr>
        <w:t>moderate</w:t>
      </w:r>
      <w:r w:rsidR="00DC0344">
        <w:rPr>
          <w:rFonts w:cs="Times New Roman"/>
          <w:color w:val="auto"/>
        </w:rPr>
        <w:t>”</w:t>
      </w:r>
      <w:r w:rsidR="002A5808">
        <w:rPr>
          <w:rFonts w:cs="Times New Roman"/>
          <w:color w:val="auto"/>
        </w:rPr>
        <w:t xml:space="preserve"> under that code</w:t>
      </w:r>
      <w:r w:rsidR="00FD3D5A" w:rsidRPr="00B22566">
        <w:rPr>
          <w:color w:val="000000"/>
        </w:rPr>
        <w:t xml:space="preserve">. </w:t>
      </w:r>
      <w:r w:rsidR="002A5808">
        <w:rPr>
          <w:color w:val="000000"/>
        </w:rPr>
        <w:t xml:space="preserve"> The higher ratings under 5284 are </w:t>
      </w:r>
      <w:r w:rsidR="00FD3D5A" w:rsidRPr="00B22566">
        <w:rPr>
          <w:color w:val="000000"/>
        </w:rPr>
        <w:t xml:space="preserve">20% </w:t>
      </w:r>
      <w:r w:rsidR="002A5808">
        <w:rPr>
          <w:color w:val="000000"/>
        </w:rPr>
        <w:t xml:space="preserve">for </w:t>
      </w:r>
      <w:r w:rsidR="00DC0344">
        <w:rPr>
          <w:color w:val="000000"/>
        </w:rPr>
        <w:t>“</w:t>
      </w:r>
      <w:r w:rsidR="00FD3D5A" w:rsidRPr="00B22566">
        <w:rPr>
          <w:color w:val="000000"/>
        </w:rPr>
        <w:t>moderately severe</w:t>
      </w:r>
      <w:r w:rsidR="00DC0344">
        <w:rPr>
          <w:color w:val="000000"/>
        </w:rPr>
        <w:t>”</w:t>
      </w:r>
      <w:r w:rsidR="00FD3D5A" w:rsidRPr="00B22566">
        <w:rPr>
          <w:color w:val="000000"/>
        </w:rPr>
        <w:t xml:space="preserve"> and 30% </w:t>
      </w:r>
      <w:r w:rsidR="00DC0344">
        <w:rPr>
          <w:color w:val="000000"/>
        </w:rPr>
        <w:t>for “</w:t>
      </w:r>
      <w:r w:rsidR="00FD3D5A" w:rsidRPr="00B22566">
        <w:rPr>
          <w:color w:val="000000"/>
        </w:rPr>
        <w:t>severe.</w:t>
      </w:r>
      <w:r w:rsidR="00DC0344">
        <w:rPr>
          <w:color w:val="000000"/>
        </w:rPr>
        <w:t>”</w:t>
      </w:r>
      <w:r w:rsidR="00FD3D5A" w:rsidRPr="00B22566">
        <w:rPr>
          <w:color w:val="000000"/>
        </w:rPr>
        <w:t xml:space="preserve"> </w:t>
      </w:r>
      <w:r w:rsidR="002A5808">
        <w:rPr>
          <w:color w:val="000000"/>
        </w:rPr>
        <w:t xml:space="preserve"> </w:t>
      </w:r>
      <w:r w:rsidR="00532127">
        <w:rPr>
          <w:color w:val="000000"/>
        </w:rPr>
        <w:t xml:space="preserve">Severe disability would connote </w:t>
      </w:r>
      <w:r w:rsidR="00FD3D5A" w:rsidRPr="00B22566">
        <w:rPr>
          <w:color w:val="000000"/>
        </w:rPr>
        <w:t xml:space="preserve">debilitating pain or an inability </w:t>
      </w:r>
      <w:r w:rsidR="00532127">
        <w:rPr>
          <w:color w:val="000000"/>
        </w:rPr>
        <w:t xml:space="preserve">to walk without assistance, </w:t>
      </w:r>
      <w:r w:rsidR="004C343D" w:rsidRPr="004C343D">
        <w:rPr>
          <w:color w:val="000000"/>
        </w:rPr>
        <w:t xml:space="preserve">with restrictions on some essential daily activities.  </w:t>
      </w:r>
      <w:r w:rsidR="00532127">
        <w:rPr>
          <w:color w:val="000000"/>
        </w:rPr>
        <w:t>M</w:t>
      </w:r>
      <w:r w:rsidR="00FD3D5A" w:rsidRPr="00B22566">
        <w:rPr>
          <w:color w:val="000000"/>
        </w:rPr>
        <w:t xml:space="preserve">oderately severe </w:t>
      </w:r>
      <w:r w:rsidR="00532127">
        <w:rPr>
          <w:color w:val="000000"/>
        </w:rPr>
        <w:t xml:space="preserve">disability connotes </w:t>
      </w:r>
      <w:r w:rsidR="00FD3D5A" w:rsidRPr="00B22566">
        <w:rPr>
          <w:color w:val="000000"/>
        </w:rPr>
        <w:t xml:space="preserve">a </w:t>
      </w:r>
      <w:r w:rsidR="00532127">
        <w:rPr>
          <w:color w:val="000000"/>
        </w:rPr>
        <w:t>significant</w:t>
      </w:r>
      <w:r w:rsidR="00FD3D5A" w:rsidRPr="00B22566">
        <w:rPr>
          <w:color w:val="000000"/>
        </w:rPr>
        <w:t xml:space="preserve"> deformity or pain </w:t>
      </w:r>
      <w:r w:rsidR="00532127">
        <w:rPr>
          <w:color w:val="000000"/>
        </w:rPr>
        <w:t xml:space="preserve">with minimal use or </w:t>
      </w:r>
      <w:r w:rsidR="00FD3D5A" w:rsidRPr="00B22566">
        <w:rPr>
          <w:color w:val="000000"/>
        </w:rPr>
        <w:t xml:space="preserve">manipulation </w:t>
      </w:r>
      <w:r w:rsidR="00532127">
        <w:rPr>
          <w:color w:val="000000"/>
        </w:rPr>
        <w:t xml:space="preserve">of the foot, with </w:t>
      </w:r>
      <w:r w:rsidR="00365F4D">
        <w:rPr>
          <w:color w:val="000000"/>
        </w:rPr>
        <w:t xml:space="preserve">significant </w:t>
      </w:r>
      <w:r w:rsidR="00532127">
        <w:rPr>
          <w:color w:val="000000"/>
        </w:rPr>
        <w:t xml:space="preserve">limitations </w:t>
      </w:r>
      <w:r w:rsidR="00365F4D">
        <w:rPr>
          <w:color w:val="000000"/>
        </w:rPr>
        <w:t xml:space="preserve">on mobility and </w:t>
      </w:r>
      <w:r w:rsidR="00437BF5">
        <w:rPr>
          <w:color w:val="000000"/>
        </w:rPr>
        <w:t xml:space="preserve">interfering </w:t>
      </w:r>
      <w:r w:rsidR="00365F4D">
        <w:rPr>
          <w:color w:val="000000"/>
        </w:rPr>
        <w:t>some</w:t>
      </w:r>
      <w:r w:rsidR="00437BF5">
        <w:rPr>
          <w:color w:val="000000"/>
        </w:rPr>
        <w:t>what with</w:t>
      </w:r>
      <w:r w:rsidR="00365F4D">
        <w:rPr>
          <w:color w:val="000000"/>
        </w:rPr>
        <w:t xml:space="preserve"> routine activities</w:t>
      </w:r>
      <w:r w:rsidR="00FD3D5A" w:rsidRPr="00B22566">
        <w:rPr>
          <w:color w:val="000000"/>
        </w:rPr>
        <w:t xml:space="preserve">. </w:t>
      </w:r>
      <w:r w:rsidR="00365F4D">
        <w:rPr>
          <w:color w:val="000000"/>
        </w:rPr>
        <w:t xml:space="preserve"> All members agreed that the physical findings and </w:t>
      </w:r>
      <w:r w:rsidR="00327CAC">
        <w:rPr>
          <w:color w:val="000000"/>
        </w:rPr>
        <w:t>functional limitations</w:t>
      </w:r>
      <w:r w:rsidR="00365F4D">
        <w:rPr>
          <w:color w:val="000000"/>
        </w:rPr>
        <w:t xml:space="preserve"> referable to the right foot did not meet the threshold for any of the higher ratings under 5284.  </w:t>
      </w:r>
      <w:r w:rsidR="004C343D">
        <w:rPr>
          <w:color w:val="000000"/>
        </w:rPr>
        <w:t xml:space="preserve">This </w:t>
      </w:r>
      <w:r w:rsidR="00365F4D">
        <w:rPr>
          <w:color w:val="000000"/>
        </w:rPr>
        <w:t>is easily the most clinicall</w:t>
      </w:r>
      <w:r w:rsidR="004C343D">
        <w:rPr>
          <w:color w:val="000000"/>
        </w:rPr>
        <w:t>y applicable code for this case;</w:t>
      </w:r>
      <w:r w:rsidR="00365F4D">
        <w:rPr>
          <w:color w:val="000000"/>
        </w:rPr>
        <w:t xml:space="preserve"> although</w:t>
      </w:r>
      <w:r w:rsidR="004C343D">
        <w:rPr>
          <w:color w:val="000000"/>
        </w:rPr>
        <w:t>,</w:t>
      </w:r>
      <w:r w:rsidR="00365F4D">
        <w:rPr>
          <w:color w:val="000000"/>
        </w:rPr>
        <w:t xml:space="preserve"> </w:t>
      </w:r>
      <w:r w:rsidR="004C343D">
        <w:rPr>
          <w:color w:val="000000"/>
        </w:rPr>
        <w:t>the Board</w:t>
      </w:r>
      <w:r w:rsidR="00365F4D">
        <w:rPr>
          <w:color w:val="000000"/>
        </w:rPr>
        <w:t xml:space="preserve"> considered alternate ratings under </w:t>
      </w:r>
      <w:r w:rsidR="004C343D">
        <w:rPr>
          <w:color w:val="000000"/>
        </w:rPr>
        <w:t>other</w:t>
      </w:r>
      <w:r w:rsidR="00365F4D">
        <w:rPr>
          <w:color w:val="000000"/>
        </w:rPr>
        <w:t xml:space="preserve"> foot or </w:t>
      </w:r>
      <w:r w:rsidR="004C343D">
        <w:rPr>
          <w:color w:val="000000"/>
        </w:rPr>
        <w:t xml:space="preserve">contiguous ankle </w:t>
      </w:r>
      <w:r w:rsidR="00365F4D">
        <w:rPr>
          <w:color w:val="000000"/>
        </w:rPr>
        <w:t>joint codes</w:t>
      </w:r>
      <w:r w:rsidR="004C343D">
        <w:rPr>
          <w:color w:val="000000"/>
        </w:rPr>
        <w:t xml:space="preserve">, or as analogous to 5003 (degenerative arthritis).  No applicable code yields a rating higher than 10% with the evidence before the Board.  </w:t>
      </w:r>
      <w:r w:rsidR="009947AA" w:rsidRPr="009947AA">
        <w:rPr>
          <w:color w:val="000000"/>
        </w:rPr>
        <w:t xml:space="preserve">After due deliberation, considering all of the evidence and mindful of VASRD §4.3 (reasonable doubt), the Board concluded that there was insufficient cause to recommend a change in the PEB adjudication for the </w:t>
      </w:r>
      <w:r w:rsidR="004F306F">
        <w:rPr>
          <w:color w:val="000000"/>
        </w:rPr>
        <w:t xml:space="preserve">right </w:t>
      </w:r>
      <w:r w:rsidR="009947AA">
        <w:rPr>
          <w:color w:val="000000"/>
        </w:rPr>
        <w:t>foot</w:t>
      </w:r>
      <w:r w:rsidR="009947AA" w:rsidRPr="009947AA">
        <w:rPr>
          <w:color w:val="000000"/>
        </w:rPr>
        <w:t xml:space="preserve"> condition.</w:t>
      </w:r>
    </w:p>
    <w:p w:rsidR="00FD3D5A" w:rsidRPr="003C53E8" w:rsidRDefault="00FD3D5A" w:rsidP="002A5808">
      <w:pPr>
        <w:tabs>
          <w:tab w:val="left" w:pos="288"/>
          <w:tab w:val="left" w:pos="4752"/>
        </w:tabs>
        <w:jc w:val="both"/>
        <w:rPr>
          <w:rFonts w:cs="Times New Roman"/>
          <w:color w:val="auto"/>
        </w:rPr>
      </w:pPr>
    </w:p>
    <w:p w:rsidR="00FD3D5A" w:rsidRPr="00B22566" w:rsidRDefault="00FD3D5A" w:rsidP="00B22566">
      <w:pPr>
        <w:jc w:val="both"/>
        <w:rPr>
          <w:rFonts w:cs="Times New Roman"/>
          <w:color w:val="auto"/>
        </w:rPr>
      </w:pPr>
      <w:proofErr w:type="gramStart"/>
      <w:r w:rsidRPr="00946B36">
        <w:rPr>
          <w:rFonts w:cs="Times New Roman"/>
          <w:color w:val="auto"/>
          <w:u w:val="single"/>
        </w:rPr>
        <w:t xml:space="preserve">Left </w:t>
      </w:r>
      <w:r w:rsidR="00946B36">
        <w:rPr>
          <w:rFonts w:cs="Times New Roman"/>
          <w:color w:val="auto"/>
          <w:u w:val="single"/>
        </w:rPr>
        <w:t>Foot</w:t>
      </w:r>
      <w:r w:rsidRPr="00B22566">
        <w:rPr>
          <w:rFonts w:cs="Times New Roman"/>
          <w:color w:val="auto"/>
          <w:u w:val="single"/>
        </w:rPr>
        <w:t>/Ankle Condition</w:t>
      </w:r>
      <w:r w:rsidRPr="009947AA">
        <w:rPr>
          <w:rFonts w:cs="Times New Roman"/>
          <w:color w:val="auto"/>
        </w:rPr>
        <w:t>.</w:t>
      </w:r>
      <w:proofErr w:type="gramEnd"/>
      <w:r w:rsidRPr="009947AA">
        <w:rPr>
          <w:rFonts w:cs="Times New Roman"/>
          <w:color w:val="auto"/>
        </w:rPr>
        <w:t xml:space="preserve"> </w:t>
      </w:r>
      <w:r w:rsidR="00946B36">
        <w:rPr>
          <w:rFonts w:cs="Times New Roman"/>
          <w:color w:val="auto"/>
        </w:rPr>
        <w:t>T</w:t>
      </w:r>
      <w:r w:rsidRPr="00B22566">
        <w:rPr>
          <w:rFonts w:cs="Times New Roman"/>
          <w:color w:val="auto"/>
        </w:rPr>
        <w:t xml:space="preserve">he </w:t>
      </w:r>
      <w:r w:rsidR="00946B36">
        <w:rPr>
          <w:rFonts w:cs="Times New Roman"/>
          <w:color w:val="auto"/>
        </w:rPr>
        <w:t>onset of pain in basic training and the clinical course for the left foot was similar to that related above for the right foot; although the ankle component of the pain did not resolve.  The 2007 bone scan referenced above suggested stress fractures of the talus (</w:t>
      </w:r>
      <w:r w:rsidR="00AB3E6A">
        <w:rPr>
          <w:rFonts w:cs="Times New Roman"/>
          <w:color w:val="auto"/>
        </w:rPr>
        <w:t>an</w:t>
      </w:r>
      <w:r w:rsidR="00946B36">
        <w:rPr>
          <w:rFonts w:cs="Times New Roman"/>
          <w:color w:val="auto"/>
        </w:rPr>
        <w:t xml:space="preserve"> ankle bone) and </w:t>
      </w:r>
      <w:proofErr w:type="spellStart"/>
      <w:r w:rsidR="00946B36">
        <w:rPr>
          <w:rFonts w:cs="Times New Roman"/>
          <w:color w:val="auto"/>
        </w:rPr>
        <w:t>calcaneus</w:t>
      </w:r>
      <w:proofErr w:type="spellEnd"/>
      <w:r w:rsidR="00946B36">
        <w:rPr>
          <w:rFonts w:cs="Times New Roman"/>
          <w:color w:val="auto"/>
        </w:rPr>
        <w:t>.  Treatment measures were in tandem with those for the r</w:t>
      </w:r>
      <w:r w:rsidR="00150570">
        <w:rPr>
          <w:rFonts w:cs="Times New Roman"/>
          <w:color w:val="auto"/>
        </w:rPr>
        <w:t>ight foot.  The MEB examiner reported equivalent severity and physical limitations to those for the right foot, although the VA C&amp;P examiner</w:t>
      </w:r>
      <w:r w:rsidR="00C244E0">
        <w:rPr>
          <w:rFonts w:cs="Times New Roman"/>
          <w:color w:val="auto"/>
        </w:rPr>
        <w:t>, after separation,</w:t>
      </w:r>
      <w:r w:rsidR="00150570">
        <w:rPr>
          <w:rFonts w:cs="Times New Roman"/>
          <w:color w:val="auto"/>
        </w:rPr>
        <w:t xml:space="preserve"> described less severe pain on the left.  The MEB physical examination noted pain with motion, but not tenderness of the foot and ankle. </w:t>
      </w:r>
      <w:r w:rsidRPr="00FF5304">
        <w:rPr>
          <w:color w:val="000000"/>
        </w:rPr>
        <w:t xml:space="preserve"> </w:t>
      </w:r>
      <w:r w:rsidR="00090043">
        <w:rPr>
          <w:color w:val="000000"/>
        </w:rPr>
        <w:t xml:space="preserve">Ankle </w:t>
      </w:r>
      <w:proofErr w:type="spellStart"/>
      <w:r w:rsidR="00090043">
        <w:rPr>
          <w:color w:val="000000"/>
        </w:rPr>
        <w:t>dorsiflexion</w:t>
      </w:r>
      <w:proofErr w:type="spellEnd"/>
      <w:r w:rsidR="00090043">
        <w:rPr>
          <w:color w:val="000000"/>
        </w:rPr>
        <w:t xml:space="preserve"> was 10⁰ (normal 20⁰), but plantar </w:t>
      </w:r>
      <w:r w:rsidR="00327CAC">
        <w:rPr>
          <w:color w:val="000000"/>
        </w:rPr>
        <w:t xml:space="preserve">flexion </w:t>
      </w:r>
      <w:r w:rsidR="00090043">
        <w:rPr>
          <w:color w:val="000000"/>
        </w:rPr>
        <w:t xml:space="preserve">and lateral </w:t>
      </w:r>
      <w:r w:rsidR="00327CAC">
        <w:rPr>
          <w:color w:val="000000"/>
        </w:rPr>
        <w:t>excursions</w:t>
      </w:r>
      <w:r w:rsidR="00090043">
        <w:rPr>
          <w:color w:val="000000"/>
        </w:rPr>
        <w:t xml:space="preserve"> were normal.  </w:t>
      </w:r>
      <w:r w:rsidR="00090043">
        <w:rPr>
          <w:rFonts w:cs="Times New Roman"/>
          <w:color w:val="auto"/>
        </w:rPr>
        <w:t>At</w:t>
      </w:r>
      <w:r w:rsidRPr="00B22566">
        <w:rPr>
          <w:rFonts w:cs="Times New Roman"/>
          <w:color w:val="auto"/>
        </w:rPr>
        <w:t xml:space="preserve"> the </w:t>
      </w:r>
      <w:r w:rsidR="00090043">
        <w:rPr>
          <w:rFonts w:cs="Times New Roman"/>
          <w:color w:val="auto"/>
        </w:rPr>
        <w:t xml:space="preserve">VA </w:t>
      </w:r>
      <w:r w:rsidRPr="00B22566">
        <w:rPr>
          <w:rFonts w:cs="Times New Roman"/>
          <w:color w:val="auto"/>
        </w:rPr>
        <w:t xml:space="preserve">C&amp;P </w:t>
      </w:r>
      <w:r w:rsidR="00090043">
        <w:rPr>
          <w:rFonts w:cs="Times New Roman"/>
          <w:color w:val="auto"/>
        </w:rPr>
        <w:t>evaluation</w:t>
      </w:r>
      <w:r w:rsidRPr="00B22566">
        <w:rPr>
          <w:rFonts w:cs="Times New Roman"/>
          <w:color w:val="auto"/>
        </w:rPr>
        <w:t xml:space="preserve">, </w:t>
      </w:r>
      <w:r w:rsidR="00150570">
        <w:rPr>
          <w:rFonts w:cs="Times New Roman"/>
          <w:color w:val="auto"/>
        </w:rPr>
        <w:t>the CI</w:t>
      </w:r>
      <w:r w:rsidRPr="00B22566">
        <w:rPr>
          <w:rFonts w:cs="Times New Roman"/>
          <w:color w:val="auto"/>
        </w:rPr>
        <w:t xml:space="preserve"> reported intermittent pain in the dorsum of the left foot with weight-bearing. </w:t>
      </w:r>
      <w:r w:rsidR="00090043">
        <w:rPr>
          <w:rFonts w:cs="Times New Roman"/>
          <w:color w:val="auto"/>
        </w:rPr>
        <w:t>The VA physician described the physical exam for the left foot as “no painful motion, edema, instability, weakness, or tenderness to palpation</w:t>
      </w:r>
      <w:r w:rsidR="00C244E0">
        <w:rPr>
          <w:rFonts w:cs="Times New Roman"/>
          <w:color w:val="auto"/>
        </w:rPr>
        <w:t>.</w:t>
      </w:r>
      <w:r w:rsidR="00090043">
        <w:rPr>
          <w:rFonts w:cs="Times New Roman"/>
          <w:color w:val="auto"/>
        </w:rPr>
        <w:t xml:space="preserve">”  Ankle ROM was normal.  </w:t>
      </w:r>
    </w:p>
    <w:p w:rsidR="00FD3D5A" w:rsidRPr="003C53E8" w:rsidRDefault="00FD3D5A" w:rsidP="003C53E8">
      <w:pPr>
        <w:jc w:val="left"/>
        <w:rPr>
          <w:rFonts w:cs="Times New Roman"/>
          <w:color w:val="auto"/>
        </w:rPr>
      </w:pPr>
    </w:p>
    <w:p w:rsidR="009C58E8" w:rsidRPr="009947AA" w:rsidRDefault="009C58E8" w:rsidP="009C58E8">
      <w:pPr>
        <w:tabs>
          <w:tab w:val="left" w:pos="288"/>
          <w:tab w:val="left" w:pos="4752"/>
        </w:tabs>
        <w:jc w:val="both"/>
        <w:rPr>
          <w:color w:val="000000"/>
        </w:rPr>
      </w:pPr>
      <w:r w:rsidRPr="000F52AB">
        <w:rPr>
          <w:rFonts w:cs="Times New Roman"/>
          <w:color w:val="auto"/>
        </w:rPr>
        <w:t xml:space="preserve">The Board directs attention to its rating recommendation based on the above evidence. </w:t>
      </w:r>
      <w:r>
        <w:rPr>
          <w:rFonts w:cs="Times New Roman"/>
          <w:color w:val="auto"/>
        </w:rPr>
        <w:t xml:space="preserve"> The Board’s probative value judgments and coding conclusions were equivalent to those just elaborated for the opposite foot.  Although ankle pathology was more co-mingled for the left foot, presumably because of the </w:t>
      </w:r>
      <w:proofErr w:type="spellStart"/>
      <w:r>
        <w:rPr>
          <w:rFonts w:cs="Times New Roman"/>
          <w:color w:val="auto"/>
        </w:rPr>
        <w:t>talar</w:t>
      </w:r>
      <w:proofErr w:type="spellEnd"/>
      <w:r>
        <w:rPr>
          <w:rFonts w:cs="Times New Roman"/>
          <w:color w:val="auto"/>
        </w:rPr>
        <w:t xml:space="preserve"> involvement; there was no rating advantage to application of one of the ankle codes; and, no support for separate foot and ankle ratings that would surmount objections of </w:t>
      </w:r>
      <w:r w:rsidRPr="009C58E8">
        <w:rPr>
          <w:rFonts w:cs="Times New Roman"/>
          <w:color w:val="auto"/>
        </w:rPr>
        <w:t>VASRD §4.14 (avoidance of pyramiding)</w:t>
      </w:r>
      <w:r>
        <w:rPr>
          <w:rFonts w:cs="Times New Roman"/>
          <w:color w:val="auto"/>
        </w:rPr>
        <w:t xml:space="preserve">.  Considering the probative MEB evaluation, with equivalent descriptions for left and right severity; and, physical limitations shared by both lower extremities; </w:t>
      </w:r>
      <w:r w:rsidR="004F306F">
        <w:rPr>
          <w:rFonts w:cs="Times New Roman"/>
          <w:color w:val="auto"/>
        </w:rPr>
        <w:t xml:space="preserve">it was readily concluded that the MEB’s 10% rating was reasonable based on the same rationales previously elaborated.  </w:t>
      </w:r>
      <w:r w:rsidRPr="009947AA">
        <w:rPr>
          <w:color w:val="000000"/>
        </w:rPr>
        <w:t xml:space="preserve">After due deliberation, considering all of the evidence and </w:t>
      </w:r>
      <w:r w:rsidRPr="009947AA">
        <w:rPr>
          <w:color w:val="000000"/>
        </w:rPr>
        <w:lastRenderedPageBreak/>
        <w:t xml:space="preserve">mindful of VASRD §4.3 (reasonable doubt), the Board concluded that there was insufficient cause to recommend a change in the PEB adjudication for the </w:t>
      </w:r>
      <w:r w:rsidR="004F306F">
        <w:rPr>
          <w:color w:val="000000"/>
        </w:rPr>
        <w:t xml:space="preserve">left </w:t>
      </w:r>
      <w:r>
        <w:rPr>
          <w:color w:val="000000"/>
        </w:rPr>
        <w:t>foot</w:t>
      </w:r>
      <w:r w:rsidR="004F306F">
        <w:rPr>
          <w:color w:val="000000"/>
        </w:rPr>
        <w:t>/ankle</w:t>
      </w:r>
      <w:r w:rsidRPr="009947AA">
        <w:rPr>
          <w:color w:val="000000"/>
        </w:rPr>
        <w:t xml:space="preserve"> condition.</w:t>
      </w:r>
    </w:p>
    <w:p w:rsidR="00435C34" w:rsidRDefault="00435C34" w:rsidP="00B22566">
      <w:pPr>
        <w:jc w:val="both"/>
        <w:rPr>
          <w:rFonts w:cs="Times New Roman"/>
          <w:color w:val="auto"/>
        </w:rPr>
      </w:pPr>
    </w:p>
    <w:p w:rsidR="00435C34" w:rsidRPr="00E7498A" w:rsidRDefault="00435C34" w:rsidP="00B22566">
      <w:pPr>
        <w:jc w:val="both"/>
        <w:rPr>
          <w:rFonts w:cs="Times New Roman"/>
          <w:color w:val="auto"/>
        </w:rPr>
      </w:pPr>
      <w:proofErr w:type="gramStart"/>
      <w:r w:rsidRPr="00435C34">
        <w:rPr>
          <w:rFonts w:cs="Times New Roman"/>
          <w:color w:val="auto"/>
          <w:u w:val="single"/>
        </w:rPr>
        <w:t>Other Contended Conditions</w:t>
      </w:r>
      <w:r>
        <w:rPr>
          <w:rFonts w:cs="Times New Roman"/>
          <w:color w:val="auto"/>
        </w:rPr>
        <w:t>.</w:t>
      </w:r>
      <w:proofErr w:type="gramEnd"/>
      <w:r w:rsidR="004F306F">
        <w:rPr>
          <w:rFonts w:cs="Times New Roman"/>
          <w:color w:val="auto"/>
        </w:rPr>
        <w:t xml:space="preserve">  The CI requests consideration of additional evidence submitted for injuries to her left foot and left hip.  The submitted records added no pertinent evi</w:t>
      </w:r>
      <w:r w:rsidR="00F179F0">
        <w:rPr>
          <w:rFonts w:cs="Times New Roman"/>
          <w:color w:val="auto"/>
        </w:rPr>
        <w:t>dence for the left foot</w:t>
      </w:r>
      <w:r w:rsidR="004F306F">
        <w:rPr>
          <w:rFonts w:cs="Times New Roman"/>
          <w:color w:val="auto"/>
        </w:rPr>
        <w:t xml:space="preserve"> which has </w:t>
      </w:r>
      <w:r w:rsidR="00F179F0">
        <w:rPr>
          <w:rFonts w:cs="Times New Roman"/>
          <w:color w:val="auto"/>
        </w:rPr>
        <w:t xml:space="preserve">not been addressed and </w:t>
      </w:r>
      <w:r w:rsidR="00327CAC">
        <w:rPr>
          <w:rFonts w:cs="Times New Roman"/>
          <w:color w:val="auto"/>
        </w:rPr>
        <w:t xml:space="preserve">incorporated into the </w:t>
      </w:r>
      <w:r w:rsidR="00F179F0">
        <w:rPr>
          <w:rFonts w:cs="Times New Roman"/>
          <w:color w:val="auto"/>
        </w:rPr>
        <w:t xml:space="preserve">recommendation above.  The submitted </w:t>
      </w:r>
      <w:r w:rsidR="00F179F0">
        <w:rPr>
          <w:color w:val="000000"/>
        </w:rPr>
        <w:t xml:space="preserve">emergency treatment record </w:t>
      </w:r>
      <w:r w:rsidR="00C244E0">
        <w:rPr>
          <w:color w:val="000000"/>
        </w:rPr>
        <w:t xml:space="preserve">(7 months prior to </w:t>
      </w:r>
      <w:r w:rsidR="00E7498A">
        <w:rPr>
          <w:color w:val="000000"/>
        </w:rPr>
        <w:t xml:space="preserve">separation) </w:t>
      </w:r>
      <w:r w:rsidR="00F179F0">
        <w:rPr>
          <w:color w:val="000000"/>
        </w:rPr>
        <w:t>documents a 2 week history of left hip pain without trauma, and notes that the CI presented on crutches.  The physical exam was limited to (medical shorthand translated) “left hip non-tender with full range of motion</w:t>
      </w:r>
      <w:r w:rsidR="00C244E0">
        <w:rPr>
          <w:color w:val="000000"/>
        </w:rPr>
        <w:t>;</w:t>
      </w:r>
      <w:r w:rsidR="00F179F0">
        <w:rPr>
          <w:color w:val="000000"/>
        </w:rPr>
        <w:t xml:space="preserve">” no x-ray </w:t>
      </w:r>
      <w:r w:rsidR="00A747CA">
        <w:rPr>
          <w:color w:val="000000"/>
        </w:rPr>
        <w:t>is in evidence</w:t>
      </w:r>
      <w:r w:rsidR="00E7498A">
        <w:rPr>
          <w:color w:val="000000"/>
        </w:rPr>
        <w:t xml:space="preserve"> and, t</w:t>
      </w:r>
      <w:r w:rsidR="00E04C75">
        <w:rPr>
          <w:color w:val="000000"/>
        </w:rPr>
        <w:t>he diagnosis was “</w:t>
      </w:r>
      <w:proofErr w:type="spellStart"/>
      <w:r w:rsidR="00E04C75">
        <w:rPr>
          <w:color w:val="000000"/>
        </w:rPr>
        <w:t>arthralgia</w:t>
      </w:r>
      <w:proofErr w:type="spellEnd"/>
      <w:r w:rsidR="00C244E0">
        <w:rPr>
          <w:color w:val="000000"/>
        </w:rPr>
        <w:t>.</w:t>
      </w:r>
      <w:r w:rsidR="00E04C75">
        <w:rPr>
          <w:color w:val="000000"/>
        </w:rPr>
        <w:t>”</w:t>
      </w:r>
      <w:r w:rsidR="00E7498A">
        <w:rPr>
          <w:color w:val="000000"/>
        </w:rPr>
        <w:t xml:space="preserve">  No follow-up or other documentation was submitted by the CI, but there is an outpatient treatment note soon after the emergency visit which documents “</w:t>
      </w:r>
      <w:proofErr w:type="spellStart"/>
      <w:r w:rsidR="00E7498A">
        <w:rPr>
          <w:color w:val="000000"/>
        </w:rPr>
        <w:t>periostitis</w:t>
      </w:r>
      <w:proofErr w:type="spellEnd"/>
      <w:r w:rsidR="00E7498A">
        <w:rPr>
          <w:color w:val="000000"/>
        </w:rPr>
        <w:t xml:space="preserve"> hips</w:t>
      </w:r>
      <w:r w:rsidR="00C244E0">
        <w:rPr>
          <w:color w:val="000000"/>
        </w:rPr>
        <w:t>.</w:t>
      </w:r>
      <w:r w:rsidR="00E7498A">
        <w:rPr>
          <w:color w:val="000000"/>
        </w:rPr>
        <w:t xml:space="preserve">” </w:t>
      </w:r>
      <w:r w:rsidR="001255CA">
        <w:rPr>
          <w:color w:val="000000"/>
        </w:rPr>
        <w:t xml:space="preserve"> </w:t>
      </w:r>
      <w:r w:rsidR="00E04C75">
        <w:rPr>
          <w:color w:val="000000"/>
        </w:rPr>
        <w:t>There are two treatment notes from January 2008 documenting “</w:t>
      </w:r>
      <w:r w:rsidR="00E04C75" w:rsidRPr="00E04C75">
        <w:rPr>
          <w:i/>
          <w:color w:val="000000"/>
        </w:rPr>
        <w:t>right</w:t>
      </w:r>
      <w:r w:rsidR="00E7498A">
        <w:rPr>
          <w:i/>
          <w:color w:val="000000"/>
        </w:rPr>
        <w:t xml:space="preserve"> </w:t>
      </w:r>
      <w:r w:rsidR="00E7498A">
        <w:rPr>
          <w:color w:val="000000"/>
        </w:rPr>
        <w:t>hip pain secondary to right foot pain</w:t>
      </w:r>
      <w:r w:rsidR="00C244E0">
        <w:rPr>
          <w:color w:val="000000"/>
        </w:rPr>
        <w:t>.</w:t>
      </w:r>
      <w:r w:rsidR="00E7498A">
        <w:rPr>
          <w:color w:val="000000"/>
        </w:rPr>
        <w:t xml:space="preserve">”  </w:t>
      </w:r>
      <w:r w:rsidR="00C244E0">
        <w:rPr>
          <w:color w:val="000000"/>
        </w:rPr>
        <w:t>There is a note 2</w:t>
      </w:r>
      <w:r w:rsidR="00D97C4F">
        <w:rPr>
          <w:color w:val="000000"/>
        </w:rPr>
        <w:t xml:space="preserve"> weeks later stating</w:t>
      </w:r>
      <w:r w:rsidR="00327CAC">
        <w:rPr>
          <w:color w:val="000000"/>
        </w:rPr>
        <w:t>,</w:t>
      </w:r>
      <w:r w:rsidR="00D97C4F">
        <w:rPr>
          <w:color w:val="000000"/>
        </w:rPr>
        <w:t xml:space="preserve"> “</w:t>
      </w:r>
      <w:proofErr w:type="gramStart"/>
      <w:r w:rsidR="00C244E0">
        <w:rPr>
          <w:color w:val="000000"/>
        </w:rPr>
        <w:t>h</w:t>
      </w:r>
      <w:r w:rsidR="00D97C4F">
        <w:rPr>
          <w:color w:val="000000"/>
        </w:rPr>
        <w:t>ip</w:t>
      </w:r>
      <w:proofErr w:type="gramEnd"/>
      <w:r w:rsidR="00D97C4F">
        <w:rPr>
          <w:color w:val="000000"/>
        </w:rPr>
        <w:t xml:space="preserve"> pains resolved.”</w:t>
      </w:r>
      <w:r w:rsidR="001255CA">
        <w:rPr>
          <w:color w:val="000000"/>
        </w:rPr>
        <w:t xml:space="preserve"> </w:t>
      </w:r>
      <w:r w:rsidR="00C60903">
        <w:rPr>
          <w:color w:val="000000"/>
        </w:rPr>
        <w:t xml:space="preserve"> A right hip rating was denied by the VA on the basis that the VA C&amp;P examiner</w:t>
      </w:r>
      <w:r w:rsidR="00C244E0">
        <w:rPr>
          <w:color w:val="000000"/>
        </w:rPr>
        <w:t>,</w:t>
      </w:r>
      <w:r w:rsidR="00C60903">
        <w:rPr>
          <w:color w:val="000000"/>
        </w:rPr>
        <w:t xml:space="preserve"> </w:t>
      </w:r>
      <w:r w:rsidR="00C244E0">
        <w:rPr>
          <w:color w:val="000000"/>
        </w:rPr>
        <w:t xml:space="preserve">after separation, </w:t>
      </w:r>
      <w:r w:rsidR="00C60903">
        <w:rPr>
          <w:color w:val="000000"/>
        </w:rPr>
        <w:t>found no pathology on which to base a diagnosis.</w:t>
      </w:r>
      <w:r w:rsidR="001255CA">
        <w:rPr>
          <w:color w:val="000000"/>
        </w:rPr>
        <w:t xml:space="preserve"> </w:t>
      </w:r>
      <w:r w:rsidR="00C60903">
        <w:rPr>
          <w:color w:val="000000"/>
        </w:rPr>
        <w:t xml:space="preserve"> Neither hip condition was profiled or implicated in the commander’s statement.  The Board thus has no basis for a recommendation for additional </w:t>
      </w:r>
      <w:r w:rsidR="00C244E0">
        <w:rPr>
          <w:color w:val="000000"/>
        </w:rPr>
        <w:t>s</w:t>
      </w:r>
      <w:r w:rsidR="00C60903">
        <w:rPr>
          <w:color w:val="000000"/>
        </w:rPr>
        <w:t>ervice rating for the contended right hip condition.</w:t>
      </w:r>
    </w:p>
    <w:p w:rsidR="00FD3D5A" w:rsidRPr="001F29F9" w:rsidRDefault="00FD3D5A" w:rsidP="00BF0E94">
      <w:pPr>
        <w:jc w:val="both"/>
        <w:rPr>
          <w:color w:val="000000"/>
        </w:rPr>
      </w:pPr>
    </w:p>
    <w:p w:rsidR="00FD3D5A" w:rsidRPr="001F29F9" w:rsidRDefault="00FD3D5A" w:rsidP="00BF0E94">
      <w:pPr>
        <w:jc w:val="both"/>
        <w:rPr>
          <w:color w:val="000000"/>
        </w:rPr>
      </w:pPr>
      <w:proofErr w:type="gramStart"/>
      <w:r w:rsidRPr="001F29F9">
        <w:rPr>
          <w:color w:val="000000"/>
          <w:u w:val="single"/>
        </w:rPr>
        <w:t>Remaining Conditions</w:t>
      </w:r>
      <w:r w:rsidRPr="001F29F9">
        <w:rPr>
          <w:color w:val="000000"/>
        </w:rPr>
        <w:t>.</w:t>
      </w:r>
      <w:proofErr w:type="gramEnd"/>
      <w:r w:rsidRPr="001F29F9">
        <w:rPr>
          <w:color w:val="000000"/>
        </w:rPr>
        <w:t xml:space="preserve">  No other conditions were noted in the </w:t>
      </w:r>
      <w:r w:rsidR="00C60903">
        <w:rPr>
          <w:color w:val="000000"/>
        </w:rPr>
        <w:t>narrative summary</w:t>
      </w:r>
      <w:r w:rsidRPr="001F29F9">
        <w:rPr>
          <w:color w:val="000000"/>
        </w:rPr>
        <w:t xml:space="preserve">, identified by the CI on the MEB physical or found elsewhere in the DES file. </w:t>
      </w:r>
      <w:r w:rsidR="00C60903">
        <w:rPr>
          <w:color w:val="000000"/>
        </w:rPr>
        <w:t xml:space="preserve"> </w:t>
      </w:r>
      <w:r w:rsidRPr="001F29F9">
        <w:rPr>
          <w:color w:val="000000"/>
        </w:rPr>
        <w:t xml:space="preserve">The Board does not have the authority under </w:t>
      </w:r>
      <w:proofErr w:type="spellStart"/>
      <w:r w:rsidRPr="001F29F9">
        <w:rPr>
          <w:color w:val="000000"/>
        </w:rPr>
        <w:t>DoDI</w:t>
      </w:r>
      <w:proofErr w:type="spellEnd"/>
      <w:r w:rsidRPr="001F29F9">
        <w:rPr>
          <w:color w:val="000000"/>
        </w:rPr>
        <w:t xml:space="preserve"> 6040.44 to render fitness or rating recommendations for any conditions not considered by the DES.  The Board therefore has no reasonable basis for recommending any additional unfitting conditions for </w:t>
      </w:r>
      <w:r w:rsidR="00C244E0">
        <w:rPr>
          <w:color w:val="000000"/>
        </w:rPr>
        <w:t>s</w:t>
      </w:r>
      <w:r w:rsidR="00C60903">
        <w:rPr>
          <w:color w:val="000000"/>
        </w:rPr>
        <w:t>ervice</w:t>
      </w:r>
      <w:r w:rsidRPr="001F29F9">
        <w:rPr>
          <w:color w:val="000000"/>
        </w:rPr>
        <w:t xml:space="preserve"> rating.</w:t>
      </w:r>
      <w:r w:rsidR="00485B12">
        <w:rPr>
          <w:color w:val="000000"/>
        </w:rPr>
        <w:t xml:space="preserve"> </w:t>
      </w:r>
    </w:p>
    <w:p w:rsidR="00FD3D5A" w:rsidRPr="001F29F9" w:rsidRDefault="00FD3D5A" w:rsidP="00BF0E94">
      <w:pPr>
        <w:pBdr>
          <w:bottom w:val="single" w:sz="12" w:space="1" w:color="auto"/>
        </w:pBdr>
        <w:tabs>
          <w:tab w:val="left" w:pos="288"/>
          <w:tab w:val="left" w:pos="4752"/>
        </w:tabs>
        <w:jc w:val="both"/>
        <w:rPr>
          <w:color w:val="000000"/>
        </w:rPr>
      </w:pPr>
    </w:p>
    <w:p w:rsidR="00FD3D5A" w:rsidRPr="001F29F9" w:rsidRDefault="00FD3D5A" w:rsidP="006364ED">
      <w:pPr>
        <w:jc w:val="left"/>
        <w:rPr>
          <w:color w:val="000000"/>
        </w:rPr>
      </w:pPr>
    </w:p>
    <w:p w:rsidR="00FD3D5A" w:rsidRPr="003C53E8" w:rsidRDefault="00FD3D5A" w:rsidP="00B22566">
      <w:pPr>
        <w:jc w:val="both"/>
        <w:rPr>
          <w:rFonts w:cs="Times New Roman"/>
          <w:color w:val="auto"/>
        </w:rPr>
      </w:pPr>
      <w:r w:rsidRPr="00B22566">
        <w:rPr>
          <w:color w:val="000000"/>
          <w:u w:val="single"/>
        </w:rPr>
        <w:t>BOARD FINDINGS</w:t>
      </w:r>
      <w:r w:rsidRPr="00B22566">
        <w:rPr>
          <w:color w:val="000000"/>
        </w:rPr>
        <w:t xml:space="preserve">: IAW </w:t>
      </w:r>
      <w:proofErr w:type="spellStart"/>
      <w:r w:rsidRPr="00B22566">
        <w:rPr>
          <w:color w:val="000000"/>
        </w:rPr>
        <w:t>DoDI</w:t>
      </w:r>
      <w:proofErr w:type="spellEnd"/>
      <w:r w:rsidRPr="00B22566">
        <w:rPr>
          <w:color w:val="000000"/>
        </w:rPr>
        <w:t xml:space="preserve"> 6040.44, provisions of </w:t>
      </w:r>
      <w:proofErr w:type="spellStart"/>
      <w:r w:rsidRPr="00B22566">
        <w:rPr>
          <w:color w:val="000000"/>
        </w:rPr>
        <w:t>DoD</w:t>
      </w:r>
      <w:proofErr w:type="spellEnd"/>
      <w:r w:rsidRPr="00B22566">
        <w:rPr>
          <w:color w:val="000000"/>
        </w:rPr>
        <w:t xml:space="preserve"> or Military Department regulations or guidelines relied upon by the PEB will not be considered by the Board to the extent they were inconsistent with the VASRD in effect at the time of the adjudication</w:t>
      </w:r>
      <w:r w:rsidRPr="00B22566">
        <w:rPr>
          <w:rFonts w:cs="Times New Roman"/>
          <w:color w:val="auto"/>
        </w:rPr>
        <w:t>.</w:t>
      </w:r>
      <w:r w:rsidR="00C60903">
        <w:rPr>
          <w:rFonts w:cs="Times New Roman"/>
          <w:color w:val="auto"/>
        </w:rPr>
        <w:t xml:space="preserve"> </w:t>
      </w:r>
      <w:r w:rsidRPr="00B22566">
        <w:rPr>
          <w:rFonts w:cs="Times New Roman"/>
          <w:color w:val="auto"/>
        </w:rPr>
        <w:t xml:space="preserve"> The Board did not surmise from the record or PEB ruling in this case that any prerogatives outside the VASRD were exercised. In the matter of the right and left </w:t>
      </w:r>
      <w:r w:rsidR="00E50B42">
        <w:rPr>
          <w:rFonts w:cs="Times New Roman"/>
          <w:color w:val="auto"/>
        </w:rPr>
        <w:t>foot (</w:t>
      </w:r>
      <w:r w:rsidR="00AE657C">
        <w:rPr>
          <w:rFonts w:cs="Times New Roman"/>
          <w:color w:val="auto"/>
        </w:rPr>
        <w:t>includes</w:t>
      </w:r>
      <w:r w:rsidR="00E50B42">
        <w:rPr>
          <w:rFonts w:cs="Times New Roman"/>
          <w:color w:val="auto"/>
        </w:rPr>
        <w:t xml:space="preserve"> ankle)</w:t>
      </w:r>
      <w:r w:rsidRPr="00B22566">
        <w:rPr>
          <w:rFonts w:cs="Times New Roman"/>
          <w:color w:val="auto"/>
        </w:rPr>
        <w:t xml:space="preserve"> conditions and IAW VASRD §4.71a, the Board unanimously recommends no change in the PEB adjudication</w:t>
      </w:r>
      <w:r w:rsidR="00AE657C">
        <w:rPr>
          <w:rFonts w:cs="Times New Roman"/>
          <w:color w:val="auto"/>
        </w:rPr>
        <w:t>s</w:t>
      </w:r>
      <w:r w:rsidRPr="00B22566">
        <w:rPr>
          <w:rFonts w:cs="Times New Roman"/>
          <w:color w:val="auto"/>
        </w:rPr>
        <w:t xml:space="preserve">.  </w:t>
      </w:r>
      <w:r w:rsidR="00E50B42" w:rsidRPr="00E50B42">
        <w:rPr>
          <w:rFonts w:cs="Times New Roman"/>
          <w:color w:val="auto"/>
        </w:rPr>
        <w:t xml:space="preserve">In the matter of </w:t>
      </w:r>
      <w:r w:rsidR="00E50B42">
        <w:rPr>
          <w:rFonts w:cs="Times New Roman"/>
          <w:color w:val="auto"/>
        </w:rPr>
        <w:t>the contended right hip condition</w:t>
      </w:r>
      <w:r w:rsidR="00E50B42" w:rsidRPr="00E50B42">
        <w:rPr>
          <w:rFonts w:cs="Times New Roman"/>
          <w:color w:val="auto"/>
        </w:rPr>
        <w:t xml:space="preserve">, the Board unanimously agrees that it cannot recommend a finding of unfit for additional </w:t>
      </w:r>
      <w:r w:rsidR="00C244E0">
        <w:rPr>
          <w:rFonts w:cs="Times New Roman"/>
          <w:color w:val="auto"/>
        </w:rPr>
        <w:t>s</w:t>
      </w:r>
      <w:r w:rsidR="00E50B42" w:rsidRPr="00E50B42">
        <w:rPr>
          <w:rFonts w:cs="Times New Roman"/>
          <w:color w:val="auto"/>
        </w:rPr>
        <w:t xml:space="preserve">ervice disability rating.  </w:t>
      </w:r>
      <w:r w:rsidRPr="00B22566">
        <w:rPr>
          <w:rFonts w:cs="Times New Roman"/>
          <w:color w:val="auto"/>
        </w:rPr>
        <w:t xml:space="preserve">The Board unanimously agrees that there were no other conditions eligible for Board consideration which could be recommended as additionally unfitting for </w:t>
      </w:r>
      <w:r w:rsidR="00C244E0">
        <w:rPr>
          <w:rFonts w:cs="Times New Roman"/>
          <w:color w:val="auto"/>
        </w:rPr>
        <w:t>s</w:t>
      </w:r>
      <w:r w:rsidR="00E50B42">
        <w:rPr>
          <w:rFonts w:cs="Times New Roman"/>
          <w:color w:val="auto"/>
        </w:rPr>
        <w:t>ervice disability rating</w:t>
      </w:r>
      <w:r w:rsidRPr="00B22566">
        <w:rPr>
          <w:rFonts w:cs="Times New Roman"/>
          <w:color w:val="auto"/>
        </w:rPr>
        <w:t>.</w:t>
      </w:r>
    </w:p>
    <w:p w:rsidR="00FD3D5A" w:rsidRPr="001F29F9" w:rsidRDefault="00FD3D5A" w:rsidP="00BF0E94">
      <w:pPr>
        <w:pBdr>
          <w:bottom w:val="single" w:sz="12" w:space="1" w:color="auto"/>
        </w:pBdr>
        <w:tabs>
          <w:tab w:val="left" w:pos="288"/>
          <w:tab w:val="left" w:pos="4752"/>
        </w:tabs>
        <w:jc w:val="both"/>
        <w:rPr>
          <w:color w:val="000000"/>
        </w:rPr>
      </w:pPr>
    </w:p>
    <w:p w:rsidR="00FD3D5A" w:rsidRPr="001F29F9" w:rsidRDefault="00FD3D5A" w:rsidP="006364ED">
      <w:pPr>
        <w:jc w:val="left"/>
        <w:rPr>
          <w:color w:val="000000"/>
        </w:rPr>
      </w:pPr>
    </w:p>
    <w:p w:rsidR="00FD3D5A" w:rsidRDefault="00FD3D5A" w:rsidP="00BF0E94">
      <w:pPr>
        <w:jc w:val="both"/>
        <w:rPr>
          <w:color w:val="000000"/>
        </w:rPr>
      </w:pPr>
      <w:r w:rsidRPr="001F29F9">
        <w:rPr>
          <w:color w:val="000000"/>
          <w:u w:val="single"/>
        </w:rPr>
        <w:t>RECOMMENDATION</w:t>
      </w:r>
      <w:r w:rsidRPr="001F29F9">
        <w:rPr>
          <w:color w:val="000000"/>
        </w:rPr>
        <w:t xml:space="preserve">: The Board, therefore, recommends that there be no </w:t>
      </w:r>
      <w:proofErr w:type="spellStart"/>
      <w:r w:rsidRPr="001F29F9">
        <w:rPr>
          <w:color w:val="000000"/>
        </w:rPr>
        <w:t>recharacterization</w:t>
      </w:r>
      <w:proofErr w:type="spellEnd"/>
      <w:r w:rsidRPr="001F29F9">
        <w:rPr>
          <w:color w:val="000000"/>
        </w:rPr>
        <w:t xml:space="preserve"> of the CI’s disability and separation determination, as follows: </w:t>
      </w:r>
    </w:p>
    <w:p w:rsidR="00FD3D5A" w:rsidRPr="001F29F9" w:rsidRDefault="00FD3D5A" w:rsidP="00BF0E94">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8"/>
        <w:gridCol w:w="1800"/>
        <w:gridCol w:w="1580"/>
        <w:gridCol w:w="1084"/>
      </w:tblGrid>
      <w:tr w:rsidR="00FD3D5A" w:rsidRPr="000D5DBE" w:rsidTr="000204BC">
        <w:trPr>
          <w:trHeight w:val="206"/>
          <w:jc w:val="center"/>
        </w:trPr>
        <w:tc>
          <w:tcPr>
            <w:tcW w:w="7038" w:type="dxa"/>
            <w:gridSpan w:val="2"/>
            <w:tcBorders>
              <w:right w:val="single" w:sz="4" w:space="0" w:color="auto"/>
            </w:tcBorders>
            <w:shd w:val="clear" w:color="auto" w:fill="D9D9D9"/>
            <w:vAlign w:val="center"/>
          </w:tcPr>
          <w:p w:rsidR="00FD3D5A" w:rsidRPr="000D5DBE" w:rsidRDefault="00FD3D5A" w:rsidP="00BF0E94">
            <w:pPr>
              <w:tabs>
                <w:tab w:val="left" w:pos="288"/>
                <w:tab w:val="left" w:pos="4752"/>
              </w:tabs>
              <w:rPr>
                <w:b/>
                <w:color w:val="000000"/>
              </w:rPr>
            </w:pPr>
            <w:r w:rsidRPr="000D5DBE">
              <w:rPr>
                <w:b/>
                <w:color w:val="000000"/>
              </w:rPr>
              <w:t>UNFITTING CONDITION</w:t>
            </w:r>
          </w:p>
        </w:tc>
        <w:tc>
          <w:tcPr>
            <w:tcW w:w="1580" w:type="dxa"/>
            <w:tcBorders>
              <w:left w:val="single" w:sz="4" w:space="0" w:color="auto"/>
            </w:tcBorders>
            <w:shd w:val="clear" w:color="auto" w:fill="D9D9D9"/>
            <w:vAlign w:val="center"/>
          </w:tcPr>
          <w:p w:rsidR="00FD3D5A" w:rsidRPr="000D5DBE" w:rsidRDefault="00FD3D5A" w:rsidP="00BF0E94">
            <w:pPr>
              <w:tabs>
                <w:tab w:val="left" w:pos="288"/>
                <w:tab w:val="left" w:pos="4752"/>
              </w:tabs>
              <w:rPr>
                <w:b/>
                <w:color w:val="000000"/>
              </w:rPr>
            </w:pPr>
            <w:r w:rsidRPr="000D5DBE">
              <w:rPr>
                <w:b/>
                <w:color w:val="000000"/>
              </w:rPr>
              <w:t>VASRD CODE</w:t>
            </w:r>
          </w:p>
        </w:tc>
        <w:tc>
          <w:tcPr>
            <w:tcW w:w="1084" w:type="dxa"/>
            <w:shd w:val="clear" w:color="auto" w:fill="D9D9D9"/>
            <w:vAlign w:val="center"/>
          </w:tcPr>
          <w:p w:rsidR="00FD3D5A" w:rsidRPr="000D5DBE" w:rsidRDefault="00FD3D5A" w:rsidP="00BF0E94">
            <w:pPr>
              <w:tabs>
                <w:tab w:val="left" w:pos="288"/>
                <w:tab w:val="left" w:pos="4752"/>
              </w:tabs>
              <w:rPr>
                <w:b/>
                <w:color w:val="000000"/>
              </w:rPr>
            </w:pPr>
            <w:r w:rsidRPr="000D5DBE">
              <w:rPr>
                <w:b/>
                <w:color w:val="000000"/>
              </w:rPr>
              <w:t>RATING</w:t>
            </w:r>
          </w:p>
        </w:tc>
      </w:tr>
      <w:tr w:rsidR="00FD3D5A" w:rsidRPr="000D5DBE" w:rsidTr="000204BC">
        <w:trPr>
          <w:trHeight w:val="120"/>
          <w:jc w:val="center"/>
        </w:trPr>
        <w:tc>
          <w:tcPr>
            <w:tcW w:w="7038" w:type="dxa"/>
            <w:gridSpan w:val="2"/>
            <w:tcBorders>
              <w:right w:val="single" w:sz="4" w:space="0" w:color="auto"/>
            </w:tcBorders>
            <w:vAlign w:val="center"/>
          </w:tcPr>
          <w:p w:rsidR="00FD3D5A" w:rsidRPr="000D5DBE" w:rsidRDefault="000204BC" w:rsidP="00BF0E94">
            <w:pPr>
              <w:tabs>
                <w:tab w:val="left" w:pos="288"/>
                <w:tab w:val="left" w:pos="4752"/>
              </w:tabs>
              <w:jc w:val="left"/>
              <w:rPr>
                <w:color w:val="000000"/>
              </w:rPr>
            </w:pPr>
            <w:r>
              <w:rPr>
                <w:color w:val="000000"/>
              </w:rPr>
              <w:t>Residuals,</w:t>
            </w:r>
            <w:r w:rsidR="00FD3D5A" w:rsidRPr="00B22566">
              <w:rPr>
                <w:color w:val="000000"/>
              </w:rPr>
              <w:t xml:space="preserve"> </w:t>
            </w:r>
            <w:r w:rsidRPr="000D5DBE">
              <w:rPr>
                <w:color w:val="000000"/>
              </w:rPr>
              <w:t xml:space="preserve"> Right </w:t>
            </w:r>
            <w:proofErr w:type="spellStart"/>
            <w:r w:rsidR="00FD3D5A" w:rsidRPr="00B22566">
              <w:rPr>
                <w:color w:val="000000"/>
              </w:rPr>
              <w:t>Calcaneal</w:t>
            </w:r>
            <w:proofErr w:type="spellEnd"/>
            <w:r w:rsidR="00FD3D5A" w:rsidRPr="00B22566">
              <w:rPr>
                <w:color w:val="000000"/>
              </w:rPr>
              <w:t xml:space="preserve"> Stress Fracture</w:t>
            </w:r>
          </w:p>
        </w:tc>
        <w:tc>
          <w:tcPr>
            <w:tcW w:w="1580" w:type="dxa"/>
            <w:tcBorders>
              <w:left w:val="single" w:sz="4" w:space="0" w:color="auto"/>
            </w:tcBorders>
            <w:vAlign w:val="center"/>
          </w:tcPr>
          <w:p w:rsidR="00FD3D5A" w:rsidRPr="00B22566" w:rsidRDefault="00FD3D5A" w:rsidP="00BF0E94">
            <w:pPr>
              <w:tabs>
                <w:tab w:val="left" w:pos="288"/>
                <w:tab w:val="left" w:pos="4752"/>
              </w:tabs>
              <w:rPr>
                <w:color w:val="000000"/>
              </w:rPr>
            </w:pPr>
            <w:r w:rsidRPr="00B22566">
              <w:rPr>
                <w:color w:val="000000"/>
              </w:rPr>
              <w:t>5284</w:t>
            </w:r>
          </w:p>
        </w:tc>
        <w:tc>
          <w:tcPr>
            <w:tcW w:w="1084" w:type="dxa"/>
            <w:vAlign w:val="center"/>
          </w:tcPr>
          <w:p w:rsidR="00FD3D5A" w:rsidRPr="00B22566" w:rsidRDefault="00FD3D5A" w:rsidP="00BF0E94">
            <w:pPr>
              <w:tabs>
                <w:tab w:val="left" w:pos="288"/>
                <w:tab w:val="left" w:pos="4752"/>
              </w:tabs>
              <w:rPr>
                <w:color w:val="000000"/>
              </w:rPr>
            </w:pPr>
            <w:r w:rsidRPr="00B22566">
              <w:rPr>
                <w:color w:val="000000"/>
              </w:rPr>
              <w:t>10%</w:t>
            </w:r>
          </w:p>
        </w:tc>
      </w:tr>
      <w:tr w:rsidR="00FD3D5A" w:rsidRPr="000D5DBE" w:rsidTr="000204BC">
        <w:trPr>
          <w:trHeight w:val="120"/>
          <w:jc w:val="center"/>
        </w:trPr>
        <w:tc>
          <w:tcPr>
            <w:tcW w:w="7038" w:type="dxa"/>
            <w:gridSpan w:val="2"/>
            <w:tcBorders>
              <w:right w:val="single" w:sz="4" w:space="0" w:color="auto"/>
            </w:tcBorders>
            <w:vAlign w:val="center"/>
          </w:tcPr>
          <w:p w:rsidR="00FD3D5A" w:rsidRPr="000D5DBE" w:rsidRDefault="000204BC" w:rsidP="000204BC">
            <w:pPr>
              <w:tabs>
                <w:tab w:val="left" w:pos="288"/>
                <w:tab w:val="left" w:pos="4752"/>
              </w:tabs>
              <w:jc w:val="left"/>
              <w:rPr>
                <w:color w:val="000000"/>
                <w:highlight w:val="yellow"/>
              </w:rPr>
            </w:pPr>
            <w:r>
              <w:rPr>
                <w:color w:val="000000"/>
              </w:rPr>
              <w:t>Residuals,</w:t>
            </w:r>
            <w:r w:rsidRPr="00B22566">
              <w:rPr>
                <w:color w:val="000000"/>
              </w:rPr>
              <w:t xml:space="preserve"> </w:t>
            </w:r>
            <w:r w:rsidRPr="000D5DBE">
              <w:rPr>
                <w:color w:val="000000"/>
              </w:rPr>
              <w:t xml:space="preserve"> </w:t>
            </w:r>
            <w:r>
              <w:rPr>
                <w:color w:val="000000"/>
              </w:rPr>
              <w:t>Left</w:t>
            </w:r>
            <w:r w:rsidRPr="000D5DBE">
              <w:rPr>
                <w:color w:val="000000"/>
              </w:rPr>
              <w:t xml:space="preserve"> </w:t>
            </w:r>
            <w:proofErr w:type="spellStart"/>
            <w:r w:rsidRPr="00B22566">
              <w:rPr>
                <w:color w:val="000000"/>
              </w:rPr>
              <w:t>Calcaneal</w:t>
            </w:r>
            <w:proofErr w:type="spellEnd"/>
            <w:r w:rsidRPr="00B22566">
              <w:rPr>
                <w:color w:val="000000"/>
              </w:rPr>
              <w:t xml:space="preserve"> </w:t>
            </w:r>
            <w:r w:rsidR="00E50B42">
              <w:rPr>
                <w:color w:val="000000"/>
              </w:rPr>
              <w:t xml:space="preserve">and </w:t>
            </w:r>
            <w:proofErr w:type="spellStart"/>
            <w:r w:rsidR="00E50B42">
              <w:rPr>
                <w:color w:val="000000"/>
              </w:rPr>
              <w:t>Talar</w:t>
            </w:r>
            <w:proofErr w:type="spellEnd"/>
            <w:r w:rsidR="00E50B42">
              <w:rPr>
                <w:color w:val="000000"/>
              </w:rPr>
              <w:t xml:space="preserve"> </w:t>
            </w:r>
            <w:r w:rsidRPr="00B22566">
              <w:rPr>
                <w:color w:val="000000"/>
              </w:rPr>
              <w:t>Stress Fracture</w:t>
            </w:r>
            <w:r w:rsidR="00E50B42">
              <w:rPr>
                <w:color w:val="000000"/>
              </w:rPr>
              <w:t>s</w:t>
            </w:r>
          </w:p>
        </w:tc>
        <w:tc>
          <w:tcPr>
            <w:tcW w:w="1580" w:type="dxa"/>
            <w:tcBorders>
              <w:left w:val="single" w:sz="4" w:space="0" w:color="auto"/>
            </w:tcBorders>
            <w:vAlign w:val="center"/>
          </w:tcPr>
          <w:p w:rsidR="00FD3D5A" w:rsidRPr="00B22566" w:rsidRDefault="00FD3D5A" w:rsidP="00BF0E94">
            <w:pPr>
              <w:tabs>
                <w:tab w:val="left" w:pos="288"/>
                <w:tab w:val="left" w:pos="4752"/>
              </w:tabs>
              <w:rPr>
                <w:color w:val="000000"/>
              </w:rPr>
            </w:pPr>
            <w:r w:rsidRPr="00B22566">
              <w:rPr>
                <w:color w:val="000000"/>
              </w:rPr>
              <w:t>5284</w:t>
            </w:r>
          </w:p>
        </w:tc>
        <w:tc>
          <w:tcPr>
            <w:tcW w:w="1084" w:type="dxa"/>
            <w:vAlign w:val="center"/>
          </w:tcPr>
          <w:p w:rsidR="00FD3D5A" w:rsidRPr="00B22566" w:rsidRDefault="00FD3D5A" w:rsidP="00BF0E94">
            <w:pPr>
              <w:tabs>
                <w:tab w:val="left" w:pos="288"/>
                <w:tab w:val="left" w:pos="4752"/>
              </w:tabs>
              <w:rPr>
                <w:color w:val="000000"/>
              </w:rPr>
            </w:pPr>
            <w:r w:rsidRPr="00B22566">
              <w:rPr>
                <w:color w:val="000000"/>
              </w:rPr>
              <w:t>10%</w:t>
            </w:r>
          </w:p>
        </w:tc>
      </w:tr>
      <w:tr w:rsidR="00FD3D5A" w:rsidRPr="000D5DBE" w:rsidTr="000204BC">
        <w:tblPrEx>
          <w:tblLook w:val="0000"/>
        </w:tblPrEx>
        <w:trPr>
          <w:gridBefore w:val="1"/>
          <w:wBefore w:w="5238" w:type="dxa"/>
          <w:trHeight w:val="143"/>
          <w:jc w:val="center"/>
        </w:trPr>
        <w:tc>
          <w:tcPr>
            <w:tcW w:w="3380" w:type="dxa"/>
            <w:gridSpan w:val="2"/>
            <w:tcBorders>
              <w:left w:val="single" w:sz="4" w:space="0" w:color="auto"/>
              <w:bottom w:val="single" w:sz="4" w:space="0" w:color="auto"/>
            </w:tcBorders>
            <w:shd w:val="clear" w:color="auto" w:fill="D9D9D9"/>
            <w:vAlign w:val="center"/>
          </w:tcPr>
          <w:p w:rsidR="00FD3D5A" w:rsidRPr="00B22566" w:rsidRDefault="00FD3D5A" w:rsidP="00BF0E94">
            <w:pPr>
              <w:tabs>
                <w:tab w:val="left" w:pos="288"/>
                <w:tab w:val="left" w:pos="4752"/>
              </w:tabs>
              <w:rPr>
                <w:b/>
                <w:color w:val="000000"/>
              </w:rPr>
            </w:pPr>
            <w:r w:rsidRPr="00B22566">
              <w:rPr>
                <w:b/>
                <w:color w:val="000000"/>
              </w:rPr>
              <w:t>COMBINED (Incorporating BLF)</w:t>
            </w:r>
          </w:p>
        </w:tc>
        <w:tc>
          <w:tcPr>
            <w:tcW w:w="1084" w:type="dxa"/>
            <w:shd w:val="clear" w:color="auto" w:fill="D9D9D9"/>
            <w:vAlign w:val="center"/>
          </w:tcPr>
          <w:p w:rsidR="00FD3D5A" w:rsidRPr="00B22566" w:rsidRDefault="00FD3D5A" w:rsidP="00BF0E94">
            <w:pPr>
              <w:tabs>
                <w:tab w:val="left" w:pos="288"/>
                <w:tab w:val="left" w:pos="4752"/>
              </w:tabs>
              <w:rPr>
                <w:b/>
                <w:color w:val="000000"/>
              </w:rPr>
            </w:pPr>
            <w:r w:rsidRPr="00B22566">
              <w:rPr>
                <w:b/>
                <w:color w:val="000000"/>
              </w:rPr>
              <w:t>20%</w:t>
            </w:r>
          </w:p>
        </w:tc>
      </w:tr>
    </w:tbl>
    <w:p w:rsidR="00FD3D5A" w:rsidRPr="001F29F9" w:rsidRDefault="00FD3D5A" w:rsidP="00BF0E94">
      <w:pPr>
        <w:pBdr>
          <w:bottom w:val="single" w:sz="12" w:space="1" w:color="auto"/>
        </w:pBdr>
        <w:tabs>
          <w:tab w:val="left" w:pos="288"/>
          <w:tab w:val="left" w:pos="4752"/>
        </w:tabs>
        <w:jc w:val="both"/>
        <w:rPr>
          <w:color w:val="000000"/>
        </w:rPr>
      </w:pPr>
    </w:p>
    <w:p w:rsidR="00FD3D5A" w:rsidRPr="001F29F9" w:rsidRDefault="00FD3D5A" w:rsidP="00BF0E94">
      <w:pPr>
        <w:rPr>
          <w:color w:val="000000"/>
        </w:rPr>
      </w:pPr>
    </w:p>
    <w:p w:rsidR="001255CA" w:rsidRDefault="001255CA">
      <w:pPr>
        <w:spacing w:line="240" w:lineRule="auto"/>
        <w:jc w:val="left"/>
        <w:rPr>
          <w:color w:val="000000"/>
        </w:rPr>
      </w:pPr>
      <w:r>
        <w:rPr>
          <w:color w:val="000000"/>
        </w:rPr>
        <w:br w:type="page"/>
      </w:r>
    </w:p>
    <w:p w:rsidR="00FD3D5A" w:rsidRPr="001F29F9" w:rsidRDefault="00FD3D5A" w:rsidP="00BF0E94">
      <w:pPr>
        <w:tabs>
          <w:tab w:val="left" w:pos="288"/>
          <w:tab w:val="left" w:pos="4752"/>
        </w:tabs>
        <w:jc w:val="both"/>
        <w:rPr>
          <w:color w:val="000000"/>
        </w:rPr>
      </w:pPr>
      <w:r w:rsidRPr="001F29F9">
        <w:rPr>
          <w:color w:val="000000"/>
        </w:rPr>
        <w:lastRenderedPageBreak/>
        <w:t>The following documentary evidence was considered:</w:t>
      </w:r>
    </w:p>
    <w:p w:rsidR="00FD3D5A" w:rsidRPr="001F29F9" w:rsidRDefault="00FD3D5A" w:rsidP="00B3575C">
      <w:pPr>
        <w:tabs>
          <w:tab w:val="left" w:pos="288"/>
          <w:tab w:val="left" w:pos="4752"/>
        </w:tabs>
        <w:spacing w:line="440" w:lineRule="exact"/>
        <w:jc w:val="both"/>
        <w:rPr>
          <w:color w:val="000000"/>
        </w:rPr>
      </w:pPr>
      <w:r w:rsidRPr="001F29F9">
        <w:rPr>
          <w:color w:val="000000"/>
        </w:rPr>
        <w:t>Exhibit A.  DD Fo</w:t>
      </w:r>
      <w:r w:rsidR="00C244E0">
        <w:rPr>
          <w:color w:val="000000"/>
        </w:rPr>
        <w:t>rm 294, dated 20110825, w/</w:t>
      </w:r>
      <w:proofErr w:type="spellStart"/>
      <w:r w:rsidR="00C244E0">
        <w:rPr>
          <w:color w:val="000000"/>
        </w:rPr>
        <w:t>atchs</w:t>
      </w:r>
      <w:proofErr w:type="spellEnd"/>
    </w:p>
    <w:p w:rsidR="00FD3D5A" w:rsidRPr="001F29F9" w:rsidRDefault="00FD3D5A" w:rsidP="00BF0E94">
      <w:pPr>
        <w:tabs>
          <w:tab w:val="left" w:pos="288"/>
          <w:tab w:val="left" w:pos="4752"/>
        </w:tabs>
        <w:jc w:val="both"/>
        <w:rPr>
          <w:color w:val="000000"/>
        </w:rPr>
      </w:pPr>
      <w:r w:rsidRPr="001F29F9">
        <w:rPr>
          <w:color w:val="000000"/>
        </w:rPr>
        <w:t>Exhib</w:t>
      </w:r>
      <w:r w:rsidR="00C244E0">
        <w:rPr>
          <w:color w:val="000000"/>
        </w:rPr>
        <w:t>it B.  Service Treatment Record</w:t>
      </w:r>
    </w:p>
    <w:p w:rsidR="00FD3D5A" w:rsidRPr="001F29F9" w:rsidRDefault="00FD3D5A" w:rsidP="00BF0E94">
      <w:pPr>
        <w:tabs>
          <w:tab w:val="left" w:pos="288"/>
          <w:tab w:val="left" w:pos="4752"/>
        </w:tabs>
        <w:jc w:val="both"/>
        <w:rPr>
          <w:color w:val="000000"/>
        </w:rPr>
      </w:pPr>
      <w:r w:rsidRPr="001F29F9">
        <w:rPr>
          <w:color w:val="000000"/>
        </w:rPr>
        <w:t>Exhibit C.  Department of Ve</w:t>
      </w:r>
      <w:r w:rsidR="00C244E0">
        <w:rPr>
          <w:color w:val="000000"/>
        </w:rPr>
        <w:t>terans Affairs Treatment Record</w:t>
      </w:r>
    </w:p>
    <w:p w:rsidR="00FD3D5A" w:rsidRPr="001F29F9" w:rsidRDefault="00FD3D5A" w:rsidP="00BF0E94">
      <w:pPr>
        <w:tabs>
          <w:tab w:val="left" w:pos="288"/>
          <w:tab w:val="left" w:pos="4752"/>
        </w:tabs>
        <w:jc w:val="both"/>
        <w:rPr>
          <w:color w:val="000000"/>
        </w:rPr>
      </w:pPr>
    </w:p>
    <w:p w:rsidR="00FD3D5A" w:rsidRPr="001F29F9" w:rsidRDefault="00FD3D5A" w:rsidP="00BF0E94">
      <w:pPr>
        <w:tabs>
          <w:tab w:val="left" w:pos="288"/>
          <w:tab w:val="left" w:pos="4752"/>
        </w:tabs>
        <w:jc w:val="both"/>
        <w:rPr>
          <w:color w:val="000000"/>
        </w:rPr>
      </w:pPr>
    </w:p>
    <w:p w:rsidR="00FD3D5A" w:rsidRPr="001F29F9" w:rsidRDefault="00FD3D5A" w:rsidP="00BF0E94">
      <w:pPr>
        <w:tabs>
          <w:tab w:val="left" w:pos="288"/>
          <w:tab w:val="left" w:pos="4752"/>
        </w:tabs>
        <w:jc w:val="both"/>
        <w:rPr>
          <w:color w:val="000000"/>
        </w:rPr>
      </w:pPr>
    </w:p>
    <w:p w:rsidR="00FD3D5A" w:rsidRPr="001F29F9" w:rsidRDefault="00FD3D5A" w:rsidP="00BF0E94">
      <w:pPr>
        <w:tabs>
          <w:tab w:val="left" w:pos="0"/>
          <w:tab w:val="left" w:pos="4320"/>
        </w:tabs>
        <w:jc w:val="both"/>
        <w:rPr>
          <w:color w:val="000000"/>
        </w:rPr>
      </w:pPr>
      <w:r w:rsidRPr="001F29F9">
        <w:rPr>
          <w:color w:val="000000"/>
        </w:rPr>
        <w:tab/>
        <w:t xml:space="preserve">           President</w:t>
      </w:r>
    </w:p>
    <w:p w:rsidR="00AA64BF" w:rsidRDefault="00FD3D5A" w:rsidP="00BF0E94">
      <w:pPr>
        <w:tabs>
          <w:tab w:val="left" w:pos="0"/>
          <w:tab w:val="left" w:pos="4320"/>
        </w:tabs>
        <w:jc w:val="both"/>
        <w:rPr>
          <w:color w:val="000000"/>
        </w:rPr>
      </w:pPr>
      <w:r w:rsidRPr="001F29F9">
        <w:rPr>
          <w:color w:val="000000"/>
        </w:rPr>
        <w:tab/>
        <w:t xml:space="preserve">           Physical Disability Board of Review</w:t>
      </w:r>
    </w:p>
    <w:p w:rsidR="00AA64BF" w:rsidRDefault="00AA64BF">
      <w:pPr>
        <w:spacing w:line="240" w:lineRule="auto"/>
        <w:jc w:val="left"/>
        <w:rPr>
          <w:color w:val="000000"/>
        </w:rPr>
      </w:pPr>
      <w:r>
        <w:rPr>
          <w:color w:val="000000"/>
        </w:rPr>
        <w:br w:type="page"/>
      </w:r>
    </w:p>
    <w:p w:rsidR="00AA64BF" w:rsidRDefault="00AA64BF" w:rsidP="00AA64BF">
      <w:pPr>
        <w:pStyle w:val="Header"/>
        <w:tabs>
          <w:tab w:val="clear" w:pos="4320"/>
          <w:tab w:val="clear" w:pos="8640"/>
        </w:tabs>
        <w:jc w:val="left"/>
      </w:pPr>
      <w:r>
        <w:lastRenderedPageBreak/>
        <w:t>SFMR-RB</w:t>
      </w:r>
      <w:r>
        <w:tab/>
      </w:r>
      <w:r>
        <w:tab/>
      </w:r>
      <w:r>
        <w:tab/>
      </w:r>
      <w:r>
        <w:tab/>
      </w:r>
      <w:r>
        <w:tab/>
      </w:r>
      <w:r>
        <w:tab/>
      </w:r>
      <w:r>
        <w:tab/>
      </w:r>
      <w:r>
        <w:tab/>
      </w:r>
      <w:r>
        <w:tab/>
      </w:r>
    </w:p>
    <w:p w:rsidR="00AA64BF" w:rsidRDefault="00AA64BF" w:rsidP="00AA64BF">
      <w:pPr>
        <w:pStyle w:val="Header"/>
        <w:tabs>
          <w:tab w:val="clear" w:pos="4320"/>
          <w:tab w:val="clear" w:pos="8640"/>
        </w:tabs>
        <w:jc w:val="left"/>
      </w:pPr>
    </w:p>
    <w:p w:rsidR="00AA64BF" w:rsidRDefault="00AA64BF" w:rsidP="00AA64BF">
      <w:pPr>
        <w:jc w:val="left"/>
      </w:pPr>
    </w:p>
    <w:p w:rsidR="00AA64BF" w:rsidRDefault="00AA64BF" w:rsidP="00AA64BF">
      <w:pPr>
        <w:jc w:val="left"/>
      </w:pPr>
      <w:r>
        <w:t xml:space="preserve">MEMORANDUM FOR Commander, US Army Physical Disability Agency </w:t>
      </w:r>
    </w:p>
    <w:p w:rsidR="00AA64BF" w:rsidRDefault="00AA64BF" w:rsidP="00AA64BF">
      <w:pPr>
        <w:jc w:val="left"/>
      </w:pPr>
      <w:r>
        <w:t xml:space="preserve"> </w:t>
      </w:r>
    </w:p>
    <w:p w:rsidR="00AA64BF" w:rsidRDefault="00AA64BF" w:rsidP="00AA64BF">
      <w:pPr>
        <w:jc w:val="left"/>
      </w:pPr>
    </w:p>
    <w:p w:rsidR="00AA64BF" w:rsidRDefault="00AA64BF" w:rsidP="00AA64BF">
      <w:pPr>
        <w:ind w:right="-180"/>
        <w:jc w:val="left"/>
      </w:pPr>
      <w:r>
        <w:t xml:space="preserve">SUBJECT:  Department of Defense Physical Disability Board of Review Recommendation  </w:t>
      </w:r>
    </w:p>
    <w:p w:rsidR="00AA64BF" w:rsidRDefault="00AA64BF" w:rsidP="00AA64BF">
      <w:pPr>
        <w:jc w:val="left"/>
      </w:pPr>
    </w:p>
    <w:p w:rsidR="00AA64BF" w:rsidRDefault="00AA64BF" w:rsidP="00AA64B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AA64BF" w:rsidRDefault="00AA64BF" w:rsidP="00AA64BF">
      <w:pPr>
        <w:jc w:val="left"/>
      </w:pPr>
    </w:p>
    <w:p w:rsidR="00AA64BF" w:rsidRDefault="00AA64BF" w:rsidP="00AA64BF">
      <w:pPr>
        <w:jc w:val="left"/>
      </w:pPr>
      <w:r>
        <w:t>This decision is final.  The individual concerned, counsel (if any), and any Members of Congress who have shown interest in this application have been notified of this decision by mail.</w:t>
      </w:r>
    </w:p>
    <w:p w:rsidR="00AA64BF" w:rsidRDefault="00AA64BF" w:rsidP="00AA64BF">
      <w:pPr>
        <w:jc w:val="left"/>
      </w:pPr>
    </w:p>
    <w:p w:rsidR="00AA64BF" w:rsidRDefault="00AA64BF" w:rsidP="00AA64BF">
      <w:pPr>
        <w:jc w:val="left"/>
      </w:pPr>
      <w:r>
        <w:t xml:space="preserve"> BY ORDER OF THE SECRETARY OF THE ARMY:</w:t>
      </w:r>
    </w:p>
    <w:p w:rsidR="00AA64BF" w:rsidRDefault="00AA64BF" w:rsidP="00AA64BF">
      <w:pPr>
        <w:jc w:val="left"/>
      </w:pPr>
    </w:p>
    <w:p w:rsidR="00AA64BF" w:rsidRDefault="00AA64BF" w:rsidP="00AA64BF">
      <w:pPr>
        <w:jc w:val="left"/>
      </w:pPr>
    </w:p>
    <w:p w:rsidR="00AA64BF" w:rsidRDefault="00AA64BF" w:rsidP="00AA64BF">
      <w:pPr>
        <w:pStyle w:val="Header"/>
        <w:tabs>
          <w:tab w:val="clear" w:pos="4320"/>
          <w:tab w:val="clear" w:pos="8640"/>
        </w:tabs>
        <w:jc w:val="left"/>
      </w:pPr>
    </w:p>
    <w:p w:rsidR="00AA64BF" w:rsidRDefault="00AA64BF" w:rsidP="00AA64BF">
      <w:pPr>
        <w:jc w:val="left"/>
      </w:pPr>
    </w:p>
    <w:p w:rsidR="00AA64BF" w:rsidRDefault="00AA64BF" w:rsidP="00AA64BF">
      <w:pPr>
        <w:jc w:val="left"/>
      </w:pPr>
      <w:bookmarkStart w:id="0" w:name="OLE_LINK3"/>
      <w:bookmarkStart w:id="1" w:name="OLE_LINK4"/>
      <w:r>
        <w:t>Encl</w:t>
      </w:r>
      <w:r>
        <w:tab/>
      </w:r>
      <w:r>
        <w:tab/>
      </w:r>
      <w:r>
        <w:tab/>
      </w:r>
      <w:r>
        <w:tab/>
      </w:r>
      <w:r>
        <w:tab/>
      </w:r>
      <w:r>
        <w:tab/>
        <w:t xml:space="preserve">   </w:t>
      </w:r>
    </w:p>
    <w:p w:rsidR="00AA64BF" w:rsidRDefault="00AA64BF" w:rsidP="00AA64BF">
      <w:pPr>
        <w:jc w:val="left"/>
      </w:pPr>
    </w:p>
    <w:p w:rsidR="00AA64BF" w:rsidRDefault="00AA64BF" w:rsidP="00AA64BF">
      <w:pPr>
        <w:jc w:val="left"/>
      </w:pPr>
      <w:r>
        <w:tab/>
      </w:r>
      <w:r>
        <w:tab/>
      </w:r>
      <w:r>
        <w:tab/>
      </w:r>
      <w:r>
        <w:tab/>
      </w:r>
      <w:r>
        <w:tab/>
      </w:r>
      <w:r>
        <w:tab/>
        <w:t xml:space="preserve">     Deputy Assistant Secretary</w:t>
      </w:r>
    </w:p>
    <w:p w:rsidR="00AA64BF" w:rsidRDefault="00AA64BF" w:rsidP="00AA64BF">
      <w:pPr>
        <w:jc w:val="left"/>
      </w:pPr>
      <w:r>
        <w:tab/>
      </w:r>
      <w:r>
        <w:tab/>
      </w:r>
      <w:r>
        <w:tab/>
      </w:r>
      <w:r>
        <w:tab/>
      </w:r>
      <w:r>
        <w:tab/>
      </w:r>
      <w:r>
        <w:tab/>
        <w:t xml:space="preserve">         (Army Review Boards)</w:t>
      </w:r>
      <w:bookmarkEnd w:id="0"/>
      <w:bookmarkEnd w:id="1"/>
    </w:p>
    <w:p w:rsidR="00FD3D5A" w:rsidRPr="001F29F9" w:rsidRDefault="00FD3D5A" w:rsidP="00AA64BF">
      <w:pPr>
        <w:tabs>
          <w:tab w:val="left" w:pos="0"/>
          <w:tab w:val="left" w:pos="4320"/>
        </w:tabs>
        <w:jc w:val="left"/>
        <w:rPr>
          <w:color w:val="000000"/>
        </w:rPr>
      </w:pPr>
    </w:p>
    <w:p w:rsidR="00FD3D5A" w:rsidRDefault="00FD3D5A" w:rsidP="00E50B42">
      <w:pPr>
        <w:jc w:val="both"/>
        <w:rPr>
          <w:color w:val="000000"/>
          <w:u w:val="single"/>
        </w:rPr>
      </w:pPr>
    </w:p>
    <w:p w:rsidR="000C20DC" w:rsidRDefault="000C20DC">
      <w:pPr>
        <w:jc w:val="both"/>
        <w:rPr>
          <w:color w:val="000000"/>
        </w:rPr>
      </w:pPr>
    </w:p>
    <w:sectPr w:rsidR="000C20DC" w:rsidSect="00B22566">
      <w:footerReference w:type="default" r:id="rId7"/>
      <w:footnotePr>
        <w:numRestart w:val="eachSect"/>
      </w:footnotePr>
      <w:pgSz w:w="12240" w:h="15840" w:code="1"/>
      <w:pgMar w:top="1440" w:right="108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A9" w:rsidRDefault="001769A9">
      <w:r>
        <w:separator/>
      </w:r>
    </w:p>
  </w:endnote>
  <w:endnote w:type="continuationSeparator" w:id="0">
    <w:p w:rsidR="001769A9" w:rsidRDefault="00176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5A" w:rsidRPr="00374247" w:rsidRDefault="00FD3D5A" w:rsidP="00374247">
    <w:pPr>
      <w:pStyle w:val="Footer"/>
      <w:ind w:firstLine="4320"/>
      <w:rPr>
        <w:color w:val="auto"/>
      </w:rPr>
    </w:pPr>
    <w:r w:rsidRPr="00374247">
      <w:rPr>
        <w:color w:val="auto"/>
      </w:rPr>
      <w:t xml:space="preserve">   </w:t>
    </w:r>
    <w:fldSimple w:instr=" PAGE   \* MERGEFORMAT ">
      <w:r w:rsidR="00AA64BF" w:rsidRPr="00AA64BF">
        <w:rPr>
          <w:noProof/>
          <w:color w:val="auto"/>
        </w:rPr>
        <w:t>5</w:t>
      </w:r>
    </w:fldSimple>
    <w:r w:rsidRPr="00374247">
      <w:rPr>
        <w:color w:val="auto"/>
      </w:rPr>
      <w:t xml:space="preserve">                                                           </w:t>
    </w:r>
    <w:r w:rsidRPr="001D64F3">
      <w:rPr>
        <w:color w:val="auto"/>
      </w:rPr>
      <w:t>PD1</w:t>
    </w:r>
    <w:r w:rsidRPr="009369A6">
      <w:rPr>
        <w:color w:val="auto"/>
      </w:rPr>
      <w:t>100700</w:t>
    </w:r>
  </w:p>
  <w:p w:rsidR="00FD3D5A" w:rsidRPr="00684CE6" w:rsidRDefault="00FD3D5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A9" w:rsidRDefault="001769A9">
      <w:r>
        <w:separator/>
      </w:r>
    </w:p>
  </w:footnote>
  <w:footnote w:type="continuationSeparator" w:id="0">
    <w:p w:rsidR="001769A9" w:rsidRDefault="00176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AF0"/>
    <w:rsid w:val="00010B0F"/>
    <w:rsid w:val="00012428"/>
    <w:rsid w:val="00012733"/>
    <w:rsid w:val="00013417"/>
    <w:rsid w:val="000145C2"/>
    <w:rsid w:val="0001473F"/>
    <w:rsid w:val="00014A47"/>
    <w:rsid w:val="00014A9E"/>
    <w:rsid w:val="00017778"/>
    <w:rsid w:val="000204BC"/>
    <w:rsid w:val="00021361"/>
    <w:rsid w:val="00021DC6"/>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679"/>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810"/>
    <w:rsid w:val="00084CF2"/>
    <w:rsid w:val="00085D7B"/>
    <w:rsid w:val="0008708B"/>
    <w:rsid w:val="00090043"/>
    <w:rsid w:val="00092619"/>
    <w:rsid w:val="00092C66"/>
    <w:rsid w:val="000949DD"/>
    <w:rsid w:val="00094E4F"/>
    <w:rsid w:val="000A1454"/>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0DC"/>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C5"/>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2AB"/>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55CA"/>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570"/>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9A9"/>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4D5"/>
    <w:rsid w:val="00214DBA"/>
    <w:rsid w:val="002151AB"/>
    <w:rsid w:val="0021548C"/>
    <w:rsid w:val="00215C4C"/>
    <w:rsid w:val="00215ED6"/>
    <w:rsid w:val="00216049"/>
    <w:rsid w:val="002163FA"/>
    <w:rsid w:val="00217606"/>
    <w:rsid w:val="00217C09"/>
    <w:rsid w:val="00220F5C"/>
    <w:rsid w:val="00220FA9"/>
    <w:rsid w:val="002216BF"/>
    <w:rsid w:val="00221B9B"/>
    <w:rsid w:val="00221DDC"/>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3D0"/>
    <w:rsid w:val="0023455F"/>
    <w:rsid w:val="00234B3B"/>
    <w:rsid w:val="00234D98"/>
    <w:rsid w:val="00234EBB"/>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6BBB"/>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03AD"/>
    <w:rsid w:val="002A233F"/>
    <w:rsid w:val="002A3237"/>
    <w:rsid w:val="002A4119"/>
    <w:rsid w:val="002A5808"/>
    <w:rsid w:val="002A58B7"/>
    <w:rsid w:val="002A5943"/>
    <w:rsid w:val="002A5C3C"/>
    <w:rsid w:val="002A685E"/>
    <w:rsid w:val="002A72C7"/>
    <w:rsid w:val="002B0204"/>
    <w:rsid w:val="002B03B2"/>
    <w:rsid w:val="002B0749"/>
    <w:rsid w:val="002B0F6D"/>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507"/>
    <w:rsid w:val="002F0D6A"/>
    <w:rsid w:val="002F0E28"/>
    <w:rsid w:val="002F195B"/>
    <w:rsid w:val="002F287E"/>
    <w:rsid w:val="002F2981"/>
    <w:rsid w:val="002F2D63"/>
    <w:rsid w:val="002F6AD8"/>
    <w:rsid w:val="002F7F81"/>
    <w:rsid w:val="00300A36"/>
    <w:rsid w:val="00301B45"/>
    <w:rsid w:val="00305856"/>
    <w:rsid w:val="00305867"/>
    <w:rsid w:val="0030593D"/>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27927"/>
    <w:rsid w:val="00327CAC"/>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4F9"/>
    <w:rsid w:val="003618B6"/>
    <w:rsid w:val="0036199A"/>
    <w:rsid w:val="003620C8"/>
    <w:rsid w:val="0036319E"/>
    <w:rsid w:val="003632A4"/>
    <w:rsid w:val="00363362"/>
    <w:rsid w:val="0036392A"/>
    <w:rsid w:val="00364CAB"/>
    <w:rsid w:val="00365767"/>
    <w:rsid w:val="003659C0"/>
    <w:rsid w:val="00365F4D"/>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2B7D"/>
    <w:rsid w:val="003840F6"/>
    <w:rsid w:val="00384866"/>
    <w:rsid w:val="003851BA"/>
    <w:rsid w:val="003857D4"/>
    <w:rsid w:val="00385D6F"/>
    <w:rsid w:val="00386D21"/>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0C2B"/>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5C34"/>
    <w:rsid w:val="00437B8A"/>
    <w:rsid w:val="00437BF5"/>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5B12"/>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C61"/>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343D"/>
    <w:rsid w:val="004C47D5"/>
    <w:rsid w:val="004C4CAF"/>
    <w:rsid w:val="004C5E33"/>
    <w:rsid w:val="004C60A3"/>
    <w:rsid w:val="004C6CDA"/>
    <w:rsid w:val="004C79F5"/>
    <w:rsid w:val="004D10D4"/>
    <w:rsid w:val="004D16BD"/>
    <w:rsid w:val="004D2AAB"/>
    <w:rsid w:val="004D3C7F"/>
    <w:rsid w:val="004D42CB"/>
    <w:rsid w:val="004D6E90"/>
    <w:rsid w:val="004D6F2B"/>
    <w:rsid w:val="004E0248"/>
    <w:rsid w:val="004E21A3"/>
    <w:rsid w:val="004E32EA"/>
    <w:rsid w:val="004E3517"/>
    <w:rsid w:val="004E6866"/>
    <w:rsid w:val="004F0C58"/>
    <w:rsid w:val="004F306F"/>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127"/>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3A03"/>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449"/>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1CEF"/>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88F"/>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683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68A0"/>
    <w:rsid w:val="008078D8"/>
    <w:rsid w:val="0080798E"/>
    <w:rsid w:val="00807B7C"/>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1AD2"/>
    <w:rsid w:val="00882CC2"/>
    <w:rsid w:val="00883103"/>
    <w:rsid w:val="0088325A"/>
    <w:rsid w:val="00883930"/>
    <w:rsid w:val="00884535"/>
    <w:rsid w:val="008902BE"/>
    <w:rsid w:val="0089038F"/>
    <w:rsid w:val="00890CDA"/>
    <w:rsid w:val="00891BBA"/>
    <w:rsid w:val="00892079"/>
    <w:rsid w:val="00892B90"/>
    <w:rsid w:val="008946EB"/>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A7FC3"/>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69A6"/>
    <w:rsid w:val="00937F57"/>
    <w:rsid w:val="0094031E"/>
    <w:rsid w:val="009419B4"/>
    <w:rsid w:val="00941A4C"/>
    <w:rsid w:val="00942645"/>
    <w:rsid w:val="00944C0B"/>
    <w:rsid w:val="009461E6"/>
    <w:rsid w:val="00946B3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8E4"/>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7AA"/>
    <w:rsid w:val="00994FC8"/>
    <w:rsid w:val="009A08E5"/>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488"/>
    <w:rsid w:val="009C3F82"/>
    <w:rsid w:val="009C582A"/>
    <w:rsid w:val="009C58E8"/>
    <w:rsid w:val="009C5C56"/>
    <w:rsid w:val="009C72DD"/>
    <w:rsid w:val="009C78FD"/>
    <w:rsid w:val="009C7DF5"/>
    <w:rsid w:val="009D056C"/>
    <w:rsid w:val="009D060F"/>
    <w:rsid w:val="009D1ADE"/>
    <w:rsid w:val="009D297C"/>
    <w:rsid w:val="009D3652"/>
    <w:rsid w:val="009D37CA"/>
    <w:rsid w:val="009D4229"/>
    <w:rsid w:val="009D4268"/>
    <w:rsid w:val="009D5DE9"/>
    <w:rsid w:val="009D6CAA"/>
    <w:rsid w:val="009E09D0"/>
    <w:rsid w:val="009E0B2E"/>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563"/>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39DB"/>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672"/>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47CA"/>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64BF"/>
    <w:rsid w:val="00AA73AF"/>
    <w:rsid w:val="00AB062D"/>
    <w:rsid w:val="00AB0A8A"/>
    <w:rsid w:val="00AB1754"/>
    <w:rsid w:val="00AB1F8D"/>
    <w:rsid w:val="00AB27DD"/>
    <w:rsid w:val="00AB3E6A"/>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657C"/>
    <w:rsid w:val="00AF01B2"/>
    <w:rsid w:val="00AF1103"/>
    <w:rsid w:val="00AF1668"/>
    <w:rsid w:val="00AF1DBB"/>
    <w:rsid w:val="00AF25B2"/>
    <w:rsid w:val="00AF28DE"/>
    <w:rsid w:val="00AF41EE"/>
    <w:rsid w:val="00AF4FA5"/>
    <w:rsid w:val="00AF5BB4"/>
    <w:rsid w:val="00AF6ECC"/>
    <w:rsid w:val="00B005BD"/>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2566"/>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0BD6"/>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4F1"/>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B96"/>
    <w:rsid w:val="00C217F7"/>
    <w:rsid w:val="00C2272E"/>
    <w:rsid w:val="00C22F3A"/>
    <w:rsid w:val="00C23311"/>
    <w:rsid w:val="00C244E0"/>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903"/>
    <w:rsid w:val="00C60F23"/>
    <w:rsid w:val="00C6170B"/>
    <w:rsid w:val="00C62EB2"/>
    <w:rsid w:val="00C63431"/>
    <w:rsid w:val="00C64C87"/>
    <w:rsid w:val="00C65414"/>
    <w:rsid w:val="00C665FE"/>
    <w:rsid w:val="00C66760"/>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071"/>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909"/>
    <w:rsid w:val="00D65D70"/>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3FF8"/>
    <w:rsid w:val="00D84133"/>
    <w:rsid w:val="00D84B8D"/>
    <w:rsid w:val="00D8545C"/>
    <w:rsid w:val="00D86AB5"/>
    <w:rsid w:val="00D86E57"/>
    <w:rsid w:val="00D876AD"/>
    <w:rsid w:val="00D87788"/>
    <w:rsid w:val="00D877C8"/>
    <w:rsid w:val="00D87E7D"/>
    <w:rsid w:val="00D91040"/>
    <w:rsid w:val="00D910C2"/>
    <w:rsid w:val="00D9168C"/>
    <w:rsid w:val="00D9189B"/>
    <w:rsid w:val="00D91DA6"/>
    <w:rsid w:val="00D921A0"/>
    <w:rsid w:val="00D93A41"/>
    <w:rsid w:val="00D93B9A"/>
    <w:rsid w:val="00D95984"/>
    <w:rsid w:val="00D95C64"/>
    <w:rsid w:val="00D9706F"/>
    <w:rsid w:val="00D972D4"/>
    <w:rsid w:val="00D97C4F"/>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344"/>
    <w:rsid w:val="00DC07B7"/>
    <w:rsid w:val="00DC0BF1"/>
    <w:rsid w:val="00DC1607"/>
    <w:rsid w:val="00DC17F2"/>
    <w:rsid w:val="00DC4001"/>
    <w:rsid w:val="00DC41C3"/>
    <w:rsid w:val="00DC4A3C"/>
    <w:rsid w:val="00DC4FA4"/>
    <w:rsid w:val="00DC5028"/>
    <w:rsid w:val="00DC5B37"/>
    <w:rsid w:val="00DD286D"/>
    <w:rsid w:val="00DD2CAF"/>
    <w:rsid w:val="00DD3593"/>
    <w:rsid w:val="00DD64E0"/>
    <w:rsid w:val="00DD775C"/>
    <w:rsid w:val="00DD7BCC"/>
    <w:rsid w:val="00DD7BE0"/>
    <w:rsid w:val="00DE0C67"/>
    <w:rsid w:val="00DE3555"/>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4C75"/>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42"/>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498A"/>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0CD9"/>
    <w:rsid w:val="00F11EBE"/>
    <w:rsid w:val="00F12293"/>
    <w:rsid w:val="00F12BA8"/>
    <w:rsid w:val="00F12D7A"/>
    <w:rsid w:val="00F130D0"/>
    <w:rsid w:val="00F13AC6"/>
    <w:rsid w:val="00F14933"/>
    <w:rsid w:val="00F1516A"/>
    <w:rsid w:val="00F15EE5"/>
    <w:rsid w:val="00F171F9"/>
    <w:rsid w:val="00F1737C"/>
    <w:rsid w:val="00F173AA"/>
    <w:rsid w:val="00F179F0"/>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09F"/>
    <w:rsid w:val="00FC4284"/>
    <w:rsid w:val="00FC4576"/>
    <w:rsid w:val="00FC5FF5"/>
    <w:rsid w:val="00FC6285"/>
    <w:rsid w:val="00FC78FB"/>
    <w:rsid w:val="00FC7DBC"/>
    <w:rsid w:val="00FD076A"/>
    <w:rsid w:val="00FD0AA0"/>
    <w:rsid w:val="00FD1D5A"/>
    <w:rsid w:val="00FD3D5A"/>
    <w:rsid w:val="00FD5059"/>
    <w:rsid w:val="00FD554D"/>
    <w:rsid w:val="00FD5BCC"/>
    <w:rsid w:val="00FD6C2D"/>
    <w:rsid w:val="00FD7B23"/>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304"/>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dcterms:created xsi:type="dcterms:W3CDTF">2012-03-29T21:56:00Z</dcterms:created>
  <dcterms:modified xsi:type="dcterms:W3CDTF">2012-05-04T16:51:00Z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